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6E59E8" w14:textId="77777777" w:rsidR="008456D5" w:rsidRDefault="00546218" w:rsidP="00F1428D">
      <w:pPr>
        <w:ind w:left="-1247"/>
      </w:pPr>
      <w:bookmarkStart w:id="0" w:name="_GoBack"/>
      <w:bookmarkEnd w:id="0"/>
      <w:r>
        <w:rPr>
          <w:noProof/>
          <w:lang w:eastAsia="en-AU"/>
        </w:rPr>
        <w:drawing>
          <wp:anchor distT="0" distB="0" distL="114300" distR="114300" simplePos="0" relativeHeight="251658240" behindDoc="0" locked="1" layoutInCell="1" allowOverlap="1" wp14:anchorId="06B825E3" wp14:editId="68B3265C">
            <wp:simplePos x="0" y="0"/>
            <wp:positionH relativeFrom="page">
              <wp:align>right</wp:align>
            </wp:positionH>
            <wp:positionV relativeFrom="page">
              <wp:align>bottom</wp:align>
            </wp:positionV>
            <wp:extent cx="10692000" cy="3595320"/>
            <wp:effectExtent l="0" t="0" r="0" b="5715"/>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692000" cy="3595320"/>
                    </a:xfrm>
                    <a:prstGeom prst="rect">
                      <a:avLst/>
                    </a:prstGeom>
                  </pic:spPr>
                </pic:pic>
              </a:graphicData>
            </a:graphic>
            <wp14:sizeRelH relativeFrom="margin">
              <wp14:pctWidth>0</wp14:pctWidth>
            </wp14:sizeRelH>
            <wp14:sizeRelV relativeFrom="margin">
              <wp14:pctHeight>0</wp14:pctHeight>
            </wp14:sizeRelV>
          </wp:anchor>
        </w:drawing>
      </w:r>
      <w:r w:rsidR="007A05BE">
        <w:rPr>
          <w:noProof/>
          <w:lang w:eastAsia="en-AU"/>
        </w:rPr>
        <w:drawing>
          <wp:inline distT="0" distB="0" distL="0" distR="0" wp14:anchorId="3DD50742" wp14:editId="308454A8">
            <wp:extent cx="3647614" cy="669240"/>
            <wp:effectExtent l="0" t="0" r="0" b="0"/>
            <wp:docPr id="5" name="Picture 5" descr="Australian Government&#10;Department of Infrastructure, Transport, Regional Development,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ustralian Government&#10;Department of Infrastructure, Transport, Regional Development, Communications and the Arts"/>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647614" cy="669240"/>
                    </a:xfrm>
                    <a:prstGeom prst="rect">
                      <a:avLst/>
                    </a:prstGeom>
                  </pic:spPr>
                </pic:pic>
              </a:graphicData>
            </a:graphic>
          </wp:inline>
        </w:drawing>
      </w:r>
    </w:p>
    <w:p w14:paraId="39B0BF6E" w14:textId="77777777" w:rsidR="00C278E3" w:rsidRDefault="00C278E3" w:rsidP="003261CF">
      <w:pPr>
        <w:pStyle w:val="Title"/>
        <w:spacing w:before="600"/>
      </w:pPr>
    </w:p>
    <w:p w14:paraId="4963365D" w14:textId="7B84C005" w:rsidR="003D0448" w:rsidRPr="00243A86" w:rsidRDefault="007824DA" w:rsidP="00243A86">
      <w:pPr>
        <w:pStyle w:val="Title"/>
      </w:pPr>
      <w:r w:rsidRPr="00243A86">
        <w:t>Review of the anti-siphoning scheme</w:t>
      </w:r>
    </w:p>
    <w:p w14:paraId="7E295A82" w14:textId="647C80A0" w:rsidR="00DE4FE2" w:rsidRDefault="004A5449" w:rsidP="00DE4FE2">
      <w:pPr>
        <w:pStyle w:val="Subtitle"/>
      </w:pPr>
      <w:r>
        <w:t>Consultation paper</w:t>
      </w:r>
    </w:p>
    <w:sdt>
      <w:sdtPr>
        <w:alias w:val="Publish Date"/>
        <w:tag w:val=""/>
        <w:id w:val="452527336"/>
        <w:placeholder>
          <w:docPart w:val="7A1683D5419049179889471D6398D463"/>
        </w:placeholder>
        <w:dataBinding w:prefixMappings="xmlns:ns0='http://schemas.microsoft.com/office/2006/coverPageProps' " w:xpath="/ns0:CoverPageProperties[1]/ns0:PublishDate[1]" w:storeItemID="{55AF091B-3C7A-41E3-B477-F2FDAA23CFDA}"/>
        <w:date w:fullDate="2022-10-05T00:00:00Z">
          <w:dateFormat w:val="MMMM yyyy"/>
          <w:lid w:val="en-AU"/>
          <w:storeMappedDataAs w:val="dateTime"/>
          <w:calendar w:val="gregorian"/>
        </w:date>
      </w:sdtPr>
      <w:sdtEndPr/>
      <w:sdtContent>
        <w:p w14:paraId="13822D6F" w14:textId="4B81C043" w:rsidR="00DE4FE2" w:rsidRDefault="00CE3B52" w:rsidP="00DE4FE2">
          <w:pPr>
            <w:pStyle w:val="CoverDate"/>
          </w:pPr>
          <w:r>
            <w:t>October 2022</w:t>
          </w:r>
        </w:p>
      </w:sdtContent>
    </w:sdt>
    <w:p w14:paraId="4DA94E1C" w14:textId="77777777" w:rsidR="00DE4FE2" w:rsidRDefault="00DE4FE2"/>
    <w:p w14:paraId="732678A3" w14:textId="77777777" w:rsidR="00DE4FE2" w:rsidRDefault="00DE4FE2">
      <w:pPr>
        <w:sectPr w:rsidR="00DE4FE2" w:rsidSect="00546218">
          <w:headerReference w:type="even" r:id="rId14"/>
          <w:headerReference w:type="default" r:id="rId15"/>
          <w:footerReference w:type="even" r:id="rId16"/>
          <w:footerReference w:type="default" r:id="rId17"/>
          <w:headerReference w:type="first" r:id="rId18"/>
          <w:footerReference w:type="first" r:id="rId19"/>
          <w:pgSz w:w="11906" w:h="16838" w:code="9"/>
          <w:pgMar w:top="1021" w:right="1021" w:bottom="1021" w:left="2268" w:header="510" w:footer="567" w:gutter="0"/>
          <w:cols w:space="708"/>
          <w:titlePg/>
          <w:docGrid w:linePitch="360"/>
        </w:sectPr>
      </w:pPr>
    </w:p>
    <w:p w14:paraId="79C02E53" w14:textId="77777777" w:rsidR="0086091A" w:rsidRPr="00030AC6" w:rsidRDefault="0086091A" w:rsidP="0086091A">
      <w:pPr>
        <w:spacing w:after="120" w:line="256" w:lineRule="auto"/>
      </w:pPr>
      <w:r w:rsidRPr="00030AC6">
        <w:lastRenderedPageBreak/>
        <w:t>© Commonwealth of Australia 2022</w:t>
      </w:r>
    </w:p>
    <w:p w14:paraId="5CBE1532" w14:textId="77777777" w:rsidR="0086091A" w:rsidRPr="00030AC6" w:rsidRDefault="0086091A" w:rsidP="0086091A">
      <w:pPr>
        <w:pStyle w:val="Heading2notshowing"/>
      </w:pPr>
      <w:bookmarkStart w:id="1" w:name="_Toc105156702"/>
      <w:bookmarkStart w:id="2" w:name="_Toc105157522"/>
      <w:bookmarkStart w:id="3" w:name="_Toc105769850"/>
      <w:bookmarkStart w:id="4" w:name="_Toc106198532"/>
      <w:bookmarkStart w:id="5" w:name="_Toc106270275"/>
      <w:bookmarkStart w:id="6" w:name="_Toc106270318"/>
      <w:bookmarkStart w:id="7" w:name="_Toc106350432"/>
      <w:bookmarkStart w:id="8" w:name="_Toc106635397"/>
      <w:bookmarkStart w:id="9" w:name="_Toc108611453"/>
      <w:r w:rsidRPr="00030AC6">
        <w:t>Ownership of intellectual property rights in this publication</w:t>
      </w:r>
      <w:bookmarkEnd w:id="1"/>
      <w:bookmarkEnd w:id="2"/>
      <w:bookmarkEnd w:id="3"/>
      <w:bookmarkEnd w:id="4"/>
      <w:bookmarkEnd w:id="5"/>
      <w:bookmarkEnd w:id="6"/>
      <w:bookmarkEnd w:id="7"/>
      <w:bookmarkEnd w:id="8"/>
      <w:bookmarkEnd w:id="9"/>
    </w:p>
    <w:p w14:paraId="03400080" w14:textId="77777777" w:rsidR="0086091A" w:rsidRPr="00030AC6" w:rsidRDefault="0086091A" w:rsidP="0086091A">
      <w:pPr>
        <w:pStyle w:val="Normaldisclaimerpage"/>
      </w:pPr>
      <w:r w:rsidRPr="00030AC6">
        <w:t>Unless otherwise noted, copyright (and any other intellectual property rights, if any) in this publication is owned by the Commonwealth of Australia (referred to below as the Commonwealth).</w:t>
      </w:r>
    </w:p>
    <w:p w14:paraId="495FE01A" w14:textId="77777777" w:rsidR="0086091A" w:rsidRPr="00030AC6" w:rsidRDefault="0086091A" w:rsidP="0086091A">
      <w:pPr>
        <w:pStyle w:val="Heading2notshowing"/>
      </w:pPr>
      <w:bookmarkStart w:id="10" w:name="_Toc105156703"/>
      <w:bookmarkStart w:id="11" w:name="_Toc105157523"/>
      <w:bookmarkStart w:id="12" w:name="_Toc105769851"/>
      <w:bookmarkStart w:id="13" w:name="_Toc106198533"/>
      <w:bookmarkStart w:id="14" w:name="_Toc106270276"/>
      <w:bookmarkStart w:id="15" w:name="_Toc106270319"/>
      <w:bookmarkStart w:id="16" w:name="_Toc106350433"/>
      <w:bookmarkStart w:id="17" w:name="_Toc106635398"/>
      <w:bookmarkStart w:id="18" w:name="_Toc108611454"/>
      <w:r w:rsidRPr="00030AC6">
        <w:t>Disclaimer</w:t>
      </w:r>
      <w:bookmarkEnd w:id="10"/>
      <w:bookmarkEnd w:id="11"/>
      <w:bookmarkEnd w:id="12"/>
      <w:bookmarkEnd w:id="13"/>
      <w:bookmarkEnd w:id="14"/>
      <w:bookmarkEnd w:id="15"/>
      <w:bookmarkEnd w:id="16"/>
      <w:bookmarkEnd w:id="17"/>
      <w:bookmarkEnd w:id="18"/>
    </w:p>
    <w:p w14:paraId="7E2528B9" w14:textId="77777777" w:rsidR="0086091A" w:rsidRPr="00030AC6" w:rsidRDefault="0086091A" w:rsidP="0086091A">
      <w:pPr>
        <w:pStyle w:val="Normaldisclaimerpage"/>
      </w:pPr>
      <w:r w:rsidRPr="00030AC6">
        <w:t>The material contained in this publication is made available on the understanding that the Commonwealth is not providing professional advice, and that users exercise their own skill and care with respect to its use, and seek independent advice if necessary.</w:t>
      </w:r>
    </w:p>
    <w:p w14:paraId="72984BE6" w14:textId="77777777" w:rsidR="0086091A" w:rsidRPr="00030AC6" w:rsidRDefault="0086091A" w:rsidP="0086091A">
      <w:pPr>
        <w:pStyle w:val="Normaldisclaimerpage"/>
      </w:pPr>
      <w:r w:rsidRPr="00030AC6">
        <w:t>The Commonwealth makes no representations or warranties as to the contents or accuracy of the information contained in this publication. To the extent permitted by law, the Commonwealth disclaims liability to any person or organisation in respect of anything done, or omitted to be done, in reliance upon information contained in this publication.</w:t>
      </w:r>
    </w:p>
    <w:p w14:paraId="57A498C9" w14:textId="77777777" w:rsidR="0086091A" w:rsidRPr="00030AC6" w:rsidRDefault="0086091A" w:rsidP="0086091A">
      <w:pPr>
        <w:pStyle w:val="Heading2notshowing"/>
      </w:pPr>
      <w:bookmarkStart w:id="19" w:name="_Toc105156704"/>
      <w:bookmarkStart w:id="20" w:name="_Toc105157524"/>
      <w:bookmarkStart w:id="21" w:name="_Toc105769852"/>
      <w:bookmarkStart w:id="22" w:name="_Toc106198534"/>
      <w:bookmarkStart w:id="23" w:name="_Toc106270277"/>
      <w:bookmarkStart w:id="24" w:name="_Toc106270320"/>
      <w:bookmarkStart w:id="25" w:name="_Toc106350434"/>
      <w:bookmarkStart w:id="26" w:name="_Toc106635399"/>
      <w:bookmarkStart w:id="27" w:name="_Toc108611455"/>
      <w:r w:rsidRPr="00030AC6">
        <w:t>Creative Commons licence</w:t>
      </w:r>
      <w:bookmarkEnd w:id="19"/>
      <w:bookmarkEnd w:id="20"/>
      <w:bookmarkEnd w:id="21"/>
      <w:bookmarkEnd w:id="22"/>
      <w:bookmarkEnd w:id="23"/>
      <w:bookmarkEnd w:id="24"/>
      <w:bookmarkEnd w:id="25"/>
      <w:bookmarkEnd w:id="26"/>
      <w:bookmarkEnd w:id="27"/>
    </w:p>
    <w:p w14:paraId="608635F4" w14:textId="6E70BB17" w:rsidR="0086091A" w:rsidRPr="00030AC6" w:rsidRDefault="0086091A" w:rsidP="0086091A">
      <w:pPr>
        <w:pStyle w:val="Normaldisclaimerpage"/>
      </w:pPr>
      <w:r w:rsidRPr="00030AC6">
        <w:t>With the exception of (a) the Coat of Arms; (b) the Department of Infrastructure, Transport, Regional Development, Communications and the Arts photos and graphics,</w:t>
      </w:r>
      <w:r w:rsidR="00424028">
        <w:t xml:space="preserve"> (c) data and graphics from OzTAM and SportBusiness,</w:t>
      </w:r>
      <w:r w:rsidRPr="00030AC6">
        <w:t xml:space="preserve"> copyright in this publication is licensed under a Creative Commons Attribution 4.0 Australia Licence.</w:t>
      </w:r>
    </w:p>
    <w:p w14:paraId="17D0B0CD" w14:textId="77777777" w:rsidR="0086091A" w:rsidRPr="00030AC6" w:rsidRDefault="0086091A" w:rsidP="0086091A">
      <w:pPr>
        <w:pStyle w:val="Normaldisclaimerpage"/>
      </w:pPr>
      <w:r w:rsidRPr="00030AC6">
        <w:t>Creative Commons Attribution 4.0 Australia Licence is a standard form licence agreement that allows you to copy, communicate and adapt this publication provided that you attribute the work to the Commonwealth and abide by the other licence terms.</w:t>
      </w:r>
    </w:p>
    <w:p w14:paraId="3C1B762D" w14:textId="2A5DEBDE" w:rsidR="0086091A" w:rsidRPr="00030AC6" w:rsidRDefault="0086091A" w:rsidP="0086091A">
      <w:pPr>
        <w:pStyle w:val="Normaldisclaimerpage"/>
      </w:pPr>
      <w:r w:rsidRPr="00030AC6">
        <w:t xml:space="preserve">Further information on the licence terms is available from </w:t>
      </w:r>
      <w:hyperlink r:id="rId20" w:history="1">
        <w:r w:rsidRPr="00030AC6">
          <w:rPr>
            <w:rStyle w:val="Hyperlink"/>
          </w:rPr>
          <w:t>https://creativecommons.org/licenses/by/4.0/</w:t>
        </w:r>
      </w:hyperlink>
      <w:r w:rsidRPr="00030AC6">
        <w:t>.</w:t>
      </w:r>
      <w:r w:rsidRPr="00030AC6">
        <w:br/>
        <w:t>This publication should be attributed in the following way: © Commonwealth of Australia 2022.</w:t>
      </w:r>
    </w:p>
    <w:p w14:paraId="04915DB0" w14:textId="77777777" w:rsidR="0086091A" w:rsidRPr="00030AC6" w:rsidRDefault="0086091A" w:rsidP="0086091A">
      <w:pPr>
        <w:pStyle w:val="Heading2notshowing"/>
      </w:pPr>
      <w:bookmarkStart w:id="28" w:name="_Toc105156705"/>
      <w:bookmarkStart w:id="29" w:name="_Toc105157525"/>
      <w:bookmarkStart w:id="30" w:name="_Toc105769853"/>
      <w:bookmarkStart w:id="31" w:name="_Toc106198535"/>
      <w:bookmarkStart w:id="32" w:name="_Toc106270278"/>
      <w:bookmarkStart w:id="33" w:name="_Toc106270321"/>
      <w:bookmarkStart w:id="34" w:name="_Toc106350435"/>
      <w:bookmarkStart w:id="35" w:name="_Toc106635400"/>
      <w:bookmarkStart w:id="36" w:name="_Toc108611456"/>
      <w:r w:rsidRPr="00030AC6">
        <w:t>Use of the Coat of Arms</w:t>
      </w:r>
      <w:bookmarkEnd w:id="28"/>
      <w:bookmarkEnd w:id="29"/>
      <w:bookmarkEnd w:id="30"/>
      <w:bookmarkEnd w:id="31"/>
      <w:bookmarkEnd w:id="32"/>
      <w:bookmarkEnd w:id="33"/>
      <w:bookmarkEnd w:id="34"/>
      <w:bookmarkEnd w:id="35"/>
      <w:bookmarkEnd w:id="36"/>
    </w:p>
    <w:p w14:paraId="57C3EB66" w14:textId="702E649C" w:rsidR="0086091A" w:rsidRPr="00030AC6" w:rsidRDefault="0086091A" w:rsidP="0086091A">
      <w:pPr>
        <w:pStyle w:val="Normaldisclaimerpage"/>
      </w:pPr>
      <w:r w:rsidRPr="00030AC6">
        <w:t xml:space="preserve">The Department of the Prime Minister and Cabinet sets the terms under which the Coat of Arms is used. Please refer to the Commonwealth Coat of Arms — Information and Guidelines publication available at </w:t>
      </w:r>
      <w:hyperlink r:id="rId21" w:history="1">
        <w:r w:rsidRPr="00030AC6">
          <w:rPr>
            <w:rStyle w:val="Hyperlink"/>
          </w:rPr>
          <w:t>www.pmc.gov.au</w:t>
        </w:r>
      </w:hyperlink>
      <w:r w:rsidRPr="00030AC6">
        <w:t>.</w:t>
      </w:r>
    </w:p>
    <w:p w14:paraId="122A8651" w14:textId="77777777" w:rsidR="0086091A" w:rsidRPr="00030AC6" w:rsidRDefault="0086091A" w:rsidP="0086091A">
      <w:pPr>
        <w:pStyle w:val="Heading2notshowing"/>
      </w:pPr>
      <w:bookmarkStart w:id="37" w:name="_Toc105156706"/>
      <w:bookmarkStart w:id="38" w:name="_Toc105157526"/>
      <w:bookmarkStart w:id="39" w:name="_Toc105769854"/>
      <w:bookmarkStart w:id="40" w:name="_Toc106198536"/>
      <w:bookmarkStart w:id="41" w:name="_Toc106270279"/>
      <w:bookmarkStart w:id="42" w:name="_Toc106270322"/>
      <w:bookmarkStart w:id="43" w:name="_Toc106350436"/>
      <w:bookmarkStart w:id="44" w:name="_Toc106635401"/>
      <w:bookmarkStart w:id="45" w:name="_Toc108611457"/>
      <w:r w:rsidRPr="00030AC6">
        <w:t>Contact us</w:t>
      </w:r>
      <w:bookmarkEnd w:id="37"/>
      <w:bookmarkEnd w:id="38"/>
      <w:bookmarkEnd w:id="39"/>
      <w:bookmarkEnd w:id="40"/>
      <w:bookmarkEnd w:id="41"/>
      <w:bookmarkEnd w:id="42"/>
      <w:bookmarkEnd w:id="43"/>
      <w:bookmarkEnd w:id="44"/>
      <w:bookmarkEnd w:id="45"/>
    </w:p>
    <w:p w14:paraId="046F983D" w14:textId="77777777" w:rsidR="0086091A" w:rsidRPr="00030AC6" w:rsidRDefault="0086091A" w:rsidP="0086091A">
      <w:pPr>
        <w:pStyle w:val="Normaldisclaimerpage"/>
      </w:pPr>
      <w:r w:rsidRPr="00030AC6">
        <w:t>This publication is available in hard copy or PDF format. All other rights are reserved, including in relation to any departmental logos or trademarks which may exist. For enquiries regarding the licence and any use of this publication, please contact:</w:t>
      </w:r>
    </w:p>
    <w:p w14:paraId="48300239" w14:textId="77777777" w:rsidR="0086091A" w:rsidRPr="00030AC6" w:rsidRDefault="0086091A" w:rsidP="0086091A">
      <w:pPr>
        <w:pStyle w:val="Normaldisclaimerpage"/>
        <w:ind w:left="567"/>
      </w:pPr>
      <w:r w:rsidRPr="00030AC6">
        <w:t>Director—Publishing and Communications</w:t>
      </w:r>
      <w:r w:rsidRPr="00030AC6">
        <w:br/>
        <w:t>Communication Branch</w:t>
      </w:r>
      <w:r w:rsidRPr="00030AC6">
        <w:br/>
        <w:t>Department of Infrastructure, Transport, Regional Development, Communications and the Arts</w:t>
      </w:r>
      <w:r w:rsidRPr="00030AC6">
        <w:br/>
        <w:t>GPO Box 594</w:t>
      </w:r>
      <w:r w:rsidRPr="00030AC6">
        <w:br/>
        <w:t>Canberra ACT 2601</w:t>
      </w:r>
      <w:r w:rsidRPr="00030AC6">
        <w:br/>
        <w:t>Australia</w:t>
      </w:r>
    </w:p>
    <w:p w14:paraId="74D22908" w14:textId="3ED6A105" w:rsidR="0086091A" w:rsidRPr="00030AC6" w:rsidRDefault="0086091A" w:rsidP="0086091A">
      <w:pPr>
        <w:pStyle w:val="Normaldisclaimerpage"/>
        <w:ind w:left="567"/>
      </w:pPr>
      <w:r w:rsidRPr="00030AC6">
        <w:t xml:space="preserve">Email: </w:t>
      </w:r>
      <w:hyperlink r:id="rId22" w:history="1">
        <w:r w:rsidRPr="00030AC6">
          <w:rPr>
            <w:rStyle w:val="Hyperlink"/>
          </w:rPr>
          <w:t>publishing@communications.gov.au</w:t>
        </w:r>
      </w:hyperlink>
    </w:p>
    <w:p w14:paraId="3D7D206D" w14:textId="54DB9206" w:rsidR="0086091A" w:rsidRPr="00030AC6" w:rsidRDefault="0086091A" w:rsidP="0086091A">
      <w:pPr>
        <w:pStyle w:val="Normaldisclaimerpage"/>
        <w:ind w:firstLine="567"/>
      </w:pPr>
      <w:r w:rsidRPr="00030AC6">
        <w:t xml:space="preserve">Websites: </w:t>
      </w:r>
      <w:hyperlink r:id="rId23" w:history="1">
        <w:r w:rsidRPr="00030AC6">
          <w:rPr>
            <w:rStyle w:val="Hyperlink"/>
          </w:rPr>
          <w:t>www.infrastructure.gov.au</w:t>
        </w:r>
      </w:hyperlink>
      <w:r w:rsidRPr="00030AC6">
        <w:t xml:space="preserve"> | </w:t>
      </w:r>
      <w:hyperlink r:id="rId24" w:history="1">
        <w:r w:rsidRPr="00030AC6">
          <w:rPr>
            <w:rStyle w:val="Hyperlink"/>
          </w:rPr>
          <w:t>www.communications.gov.au</w:t>
        </w:r>
      </w:hyperlink>
      <w:r w:rsidRPr="00030AC6">
        <w:t xml:space="preserve"> | </w:t>
      </w:r>
      <w:hyperlink r:id="rId25" w:history="1">
        <w:r w:rsidRPr="00030AC6">
          <w:rPr>
            <w:rStyle w:val="Hyperlink"/>
          </w:rPr>
          <w:t>www.arts.gov.au</w:t>
        </w:r>
      </w:hyperlink>
      <w:r w:rsidRPr="00030AC6">
        <w:t>.</w:t>
      </w:r>
    </w:p>
    <w:p w14:paraId="0451CDA4" w14:textId="77777777" w:rsidR="0086091A" w:rsidRPr="00030AC6" w:rsidRDefault="0086091A" w:rsidP="0086091A">
      <w:pPr>
        <w:suppressAutoHyphens w:val="0"/>
      </w:pPr>
      <w:r w:rsidRPr="00030AC6">
        <w:br w:type="page"/>
      </w:r>
    </w:p>
    <w:p w14:paraId="77C227AB" w14:textId="77777777" w:rsidR="00DE4FE2" w:rsidRPr="00B60AC7" w:rsidRDefault="002B7197" w:rsidP="00B60AC7">
      <w:pPr>
        <w:pStyle w:val="Normaldisclaimerpage"/>
        <w:rPr>
          <w:color w:val="081E3E" w:themeColor="text2"/>
          <w:sz w:val="44"/>
          <w:szCs w:val="44"/>
        </w:rPr>
      </w:pPr>
      <w:r w:rsidRPr="00B60AC7">
        <w:rPr>
          <w:color w:val="081E3E" w:themeColor="text2"/>
          <w:sz w:val="44"/>
          <w:szCs w:val="44"/>
        </w:rPr>
        <w:lastRenderedPageBreak/>
        <w:t>Table of C</w:t>
      </w:r>
      <w:r w:rsidR="00DE4FE2" w:rsidRPr="00B60AC7">
        <w:rPr>
          <w:color w:val="081E3E" w:themeColor="text2"/>
          <w:sz w:val="44"/>
          <w:szCs w:val="44"/>
        </w:rPr>
        <w:t>ontents</w:t>
      </w:r>
    </w:p>
    <w:p w14:paraId="668FB22E" w14:textId="61F88FF6" w:rsidR="0079462E" w:rsidRDefault="00A95970">
      <w:pPr>
        <w:pStyle w:val="TOC1"/>
        <w:rPr>
          <w:rFonts w:eastAsiaTheme="minorEastAsia"/>
          <w:b w:val="0"/>
          <w:noProof/>
          <w:color w:val="auto"/>
          <w:sz w:val="22"/>
          <w:u w:val="none"/>
          <w:lang w:eastAsia="en-AU"/>
        </w:rPr>
      </w:pPr>
      <w:r>
        <w:fldChar w:fldCharType="begin"/>
      </w:r>
      <w:r>
        <w:instrText xml:space="preserve"> TOC \o "3-3" \h \z \t "Heading 1,1,Heading 2,2,Heading 1 Numbered,1,Heading 2 Numbered,2,Appendix Heading 1,1,Attachment Heading 1,1" </w:instrText>
      </w:r>
      <w:r>
        <w:fldChar w:fldCharType="separate"/>
      </w:r>
      <w:hyperlink w:anchor="_Toc116061389" w:history="1">
        <w:r w:rsidR="0079462E" w:rsidRPr="006560C4">
          <w:rPr>
            <w:rStyle w:val="Hyperlink"/>
            <w:noProof/>
          </w:rPr>
          <w:t>Executive Summary</w:t>
        </w:r>
        <w:r w:rsidR="0079462E">
          <w:rPr>
            <w:noProof/>
            <w:webHidden/>
          </w:rPr>
          <w:tab/>
        </w:r>
        <w:r w:rsidR="0079462E">
          <w:rPr>
            <w:noProof/>
            <w:webHidden/>
          </w:rPr>
          <w:fldChar w:fldCharType="begin"/>
        </w:r>
        <w:r w:rsidR="0079462E">
          <w:rPr>
            <w:noProof/>
            <w:webHidden/>
          </w:rPr>
          <w:instrText xml:space="preserve"> PAGEREF _Toc116061389 \h </w:instrText>
        </w:r>
        <w:r w:rsidR="0079462E">
          <w:rPr>
            <w:noProof/>
            <w:webHidden/>
          </w:rPr>
        </w:r>
        <w:r w:rsidR="0079462E">
          <w:rPr>
            <w:noProof/>
            <w:webHidden/>
          </w:rPr>
          <w:fldChar w:fldCharType="separate"/>
        </w:r>
        <w:r w:rsidR="009F7F4F">
          <w:rPr>
            <w:noProof/>
            <w:webHidden/>
          </w:rPr>
          <w:t>5</w:t>
        </w:r>
        <w:r w:rsidR="0079462E">
          <w:rPr>
            <w:noProof/>
            <w:webHidden/>
          </w:rPr>
          <w:fldChar w:fldCharType="end"/>
        </w:r>
      </w:hyperlink>
    </w:p>
    <w:p w14:paraId="31B38985" w14:textId="19D2E093" w:rsidR="0079462E" w:rsidRDefault="009F7F4F">
      <w:pPr>
        <w:pStyle w:val="TOC1"/>
        <w:rPr>
          <w:rFonts w:eastAsiaTheme="minorEastAsia"/>
          <w:b w:val="0"/>
          <w:noProof/>
          <w:color w:val="auto"/>
          <w:sz w:val="22"/>
          <w:u w:val="none"/>
          <w:lang w:eastAsia="en-AU"/>
        </w:rPr>
      </w:pPr>
      <w:hyperlink w:anchor="_Toc116061390" w:history="1">
        <w:r w:rsidR="0079462E" w:rsidRPr="006560C4">
          <w:rPr>
            <w:rStyle w:val="Hyperlink"/>
            <w:noProof/>
          </w:rPr>
          <w:t>Make your views known</w:t>
        </w:r>
        <w:r w:rsidR="0079462E">
          <w:rPr>
            <w:noProof/>
            <w:webHidden/>
          </w:rPr>
          <w:tab/>
        </w:r>
        <w:r w:rsidR="0079462E">
          <w:rPr>
            <w:noProof/>
            <w:webHidden/>
          </w:rPr>
          <w:fldChar w:fldCharType="begin"/>
        </w:r>
        <w:r w:rsidR="0079462E">
          <w:rPr>
            <w:noProof/>
            <w:webHidden/>
          </w:rPr>
          <w:instrText xml:space="preserve"> PAGEREF _Toc116061390 \h </w:instrText>
        </w:r>
        <w:r w:rsidR="0079462E">
          <w:rPr>
            <w:noProof/>
            <w:webHidden/>
          </w:rPr>
        </w:r>
        <w:r w:rsidR="0079462E">
          <w:rPr>
            <w:noProof/>
            <w:webHidden/>
          </w:rPr>
          <w:fldChar w:fldCharType="separate"/>
        </w:r>
        <w:r>
          <w:rPr>
            <w:noProof/>
            <w:webHidden/>
          </w:rPr>
          <w:t>7</w:t>
        </w:r>
        <w:r w:rsidR="0079462E">
          <w:rPr>
            <w:noProof/>
            <w:webHidden/>
          </w:rPr>
          <w:fldChar w:fldCharType="end"/>
        </w:r>
      </w:hyperlink>
    </w:p>
    <w:p w14:paraId="6BBD4792" w14:textId="22117EAB" w:rsidR="0079462E" w:rsidRDefault="009F7F4F">
      <w:pPr>
        <w:pStyle w:val="TOC1"/>
        <w:rPr>
          <w:rFonts w:eastAsiaTheme="minorEastAsia"/>
          <w:b w:val="0"/>
          <w:noProof/>
          <w:color w:val="auto"/>
          <w:sz w:val="22"/>
          <w:u w:val="none"/>
          <w:lang w:eastAsia="en-AU"/>
        </w:rPr>
      </w:pPr>
      <w:hyperlink w:anchor="_Toc116061393" w:history="1">
        <w:r w:rsidR="0079462E" w:rsidRPr="006560C4">
          <w:rPr>
            <w:rStyle w:val="Hyperlink"/>
            <w:noProof/>
          </w:rPr>
          <w:t>PART 1: Sports and the broadcasting environment</w:t>
        </w:r>
        <w:r w:rsidR="0079462E">
          <w:rPr>
            <w:noProof/>
            <w:webHidden/>
          </w:rPr>
          <w:tab/>
        </w:r>
        <w:r w:rsidR="0079462E">
          <w:rPr>
            <w:noProof/>
            <w:webHidden/>
          </w:rPr>
          <w:fldChar w:fldCharType="begin"/>
        </w:r>
        <w:r w:rsidR="0079462E">
          <w:rPr>
            <w:noProof/>
            <w:webHidden/>
          </w:rPr>
          <w:instrText xml:space="preserve"> PAGEREF _Toc116061393 \h </w:instrText>
        </w:r>
        <w:r w:rsidR="0079462E">
          <w:rPr>
            <w:noProof/>
            <w:webHidden/>
          </w:rPr>
        </w:r>
        <w:r w:rsidR="0079462E">
          <w:rPr>
            <w:noProof/>
            <w:webHidden/>
          </w:rPr>
          <w:fldChar w:fldCharType="separate"/>
        </w:r>
        <w:r>
          <w:rPr>
            <w:noProof/>
            <w:webHidden/>
          </w:rPr>
          <w:t>8</w:t>
        </w:r>
        <w:r w:rsidR="0079462E">
          <w:rPr>
            <w:noProof/>
            <w:webHidden/>
          </w:rPr>
          <w:fldChar w:fldCharType="end"/>
        </w:r>
      </w:hyperlink>
    </w:p>
    <w:p w14:paraId="576F8F2B" w14:textId="6F2A5897" w:rsidR="0079462E" w:rsidRDefault="009F7F4F">
      <w:pPr>
        <w:pStyle w:val="TOC1"/>
        <w:rPr>
          <w:rFonts w:eastAsiaTheme="minorEastAsia"/>
          <w:b w:val="0"/>
          <w:noProof/>
          <w:color w:val="auto"/>
          <w:sz w:val="22"/>
          <w:u w:val="none"/>
          <w:lang w:eastAsia="en-AU"/>
        </w:rPr>
      </w:pPr>
      <w:hyperlink w:anchor="_Toc116061394" w:history="1">
        <w:r w:rsidR="0079462E" w:rsidRPr="006560C4">
          <w:rPr>
            <w:rStyle w:val="Hyperlink"/>
            <w:noProof/>
          </w:rPr>
          <w:t>Chapter 1: Sport in Australia</w:t>
        </w:r>
        <w:r w:rsidR="0079462E">
          <w:rPr>
            <w:noProof/>
            <w:webHidden/>
          </w:rPr>
          <w:tab/>
        </w:r>
        <w:r w:rsidR="0079462E">
          <w:rPr>
            <w:noProof/>
            <w:webHidden/>
          </w:rPr>
          <w:fldChar w:fldCharType="begin"/>
        </w:r>
        <w:r w:rsidR="0079462E">
          <w:rPr>
            <w:noProof/>
            <w:webHidden/>
          </w:rPr>
          <w:instrText xml:space="preserve"> PAGEREF _Toc116061394 \h </w:instrText>
        </w:r>
        <w:r w:rsidR="0079462E">
          <w:rPr>
            <w:noProof/>
            <w:webHidden/>
          </w:rPr>
        </w:r>
        <w:r w:rsidR="0079462E">
          <w:rPr>
            <w:noProof/>
            <w:webHidden/>
          </w:rPr>
          <w:fldChar w:fldCharType="separate"/>
        </w:r>
        <w:r>
          <w:rPr>
            <w:noProof/>
            <w:webHidden/>
          </w:rPr>
          <w:t>8</w:t>
        </w:r>
        <w:r w:rsidR="0079462E">
          <w:rPr>
            <w:noProof/>
            <w:webHidden/>
          </w:rPr>
          <w:fldChar w:fldCharType="end"/>
        </w:r>
      </w:hyperlink>
    </w:p>
    <w:p w14:paraId="6DD44A72" w14:textId="7D56EB5C" w:rsidR="0079462E" w:rsidRDefault="009F7F4F">
      <w:pPr>
        <w:pStyle w:val="TOC1"/>
        <w:rPr>
          <w:rFonts w:eastAsiaTheme="minorEastAsia"/>
          <w:b w:val="0"/>
          <w:noProof/>
          <w:color w:val="auto"/>
          <w:sz w:val="22"/>
          <w:u w:val="none"/>
          <w:lang w:eastAsia="en-AU"/>
        </w:rPr>
      </w:pPr>
      <w:hyperlink w:anchor="_Toc116061395" w:history="1">
        <w:r w:rsidR="0079462E" w:rsidRPr="006560C4">
          <w:rPr>
            <w:rStyle w:val="Hyperlink"/>
            <w:noProof/>
          </w:rPr>
          <w:t>Chapter 2: The anti-siphoning scheme</w:t>
        </w:r>
        <w:r w:rsidR="0079462E">
          <w:rPr>
            <w:noProof/>
            <w:webHidden/>
          </w:rPr>
          <w:tab/>
        </w:r>
        <w:r w:rsidR="0079462E">
          <w:rPr>
            <w:noProof/>
            <w:webHidden/>
          </w:rPr>
          <w:fldChar w:fldCharType="begin"/>
        </w:r>
        <w:r w:rsidR="0079462E">
          <w:rPr>
            <w:noProof/>
            <w:webHidden/>
          </w:rPr>
          <w:instrText xml:space="preserve"> PAGEREF _Toc116061395 \h </w:instrText>
        </w:r>
        <w:r w:rsidR="0079462E">
          <w:rPr>
            <w:noProof/>
            <w:webHidden/>
          </w:rPr>
        </w:r>
        <w:r w:rsidR="0079462E">
          <w:rPr>
            <w:noProof/>
            <w:webHidden/>
          </w:rPr>
          <w:fldChar w:fldCharType="separate"/>
        </w:r>
        <w:r>
          <w:rPr>
            <w:noProof/>
            <w:webHidden/>
          </w:rPr>
          <w:t>10</w:t>
        </w:r>
        <w:r w:rsidR="0079462E">
          <w:rPr>
            <w:noProof/>
            <w:webHidden/>
          </w:rPr>
          <w:fldChar w:fldCharType="end"/>
        </w:r>
      </w:hyperlink>
    </w:p>
    <w:p w14:paraId="0438F1DA" w14:textId="15B49791" w:rsidR="0079462E" w:rsidRDefault="009F7F4F">
      <w:pPr>
        <w:pStyle w:val="TOC2"/>
        <w:rPr>
          <w:rFonts w:eastAsiaTheme="minorEastAsia"/>
          <w:noProof/>
          <w:color w:val="auto"/>
          <w:lang w:eastAsia="en-AU"/>
        </w:rPr>
      </w:pPr>
      <w:hyperlink w:anchor="_Toc116061396" w:history="1">
        <w:r w:rsidR="0079462E" w:rsidRPr="006560C4">
          <w:rPr>
            <w:rStyle w:val="Hyperlink"/>
            <w:noProof/>
          </w:rPr>
          <w:t>The scheme</w:t>
        </w:r>
        <w:r w:rsidR="0079462E">
          <w:rPr>
            <w:noProof/>
            <w:webHidden/>
          </w:rPr>
          <w:tab/>
        </w:r>
        <w:r w:rsidR="0079462E">
          <w:rPr>
            <w:noProof/>
            <w:webHidden/>
          </w:rPr>
          <w:fldChar w:fldCharType="begin"/>
        </w:r>
        <w:r w:rsidR="0079462E">
          <w:rPr>
            <w:noProof/>
            <w:webHidden/>
          </w:rPr>
          <w:instrText xml:space="preserve"> PAGEREF _Toc116061396 \h </w:instrText>
        </w:r>
        <w:r w:rsidR="0079462E">
          <w:rPr>
            <w:noProof/>
            <w:webHidden/>
          </w:rPr>
        </w:r>
        <w:r w:rsidR="0079462E">
          <w:rPr>
            <w:noProof/>
            <w:webHidden/>
          </w:rPr>
          <w:fldChar w:fldCharType="separate"/>
        </w:r>
        <w:r>
          <w:rPr>
            <w:noProof/>
            <w:webHidden/>
          </w:rPr>
          <w:t>10</w:t>
        </w:r>
        <w:r w:rsidR="0079462E">
          <w:rPr>
            <w:noProof/>
            <w:webHidden/>
          </w:rPr>
          <w:fldChar w:fldCharType="end"/>
        </w:r>
      </w:hyperlink>
    </w:p>
    <w:p w14:paraId="17A2E42E" w14:textId="6ABCDC67" w:rsidR="0079462E" w:rsidRDefault="009F7F4F">
      <w:pPr>
        <w:pStyle w:val="TOC2"/>
        <w:rPr>
          <w:rFonts w:eastAsiaTheme="minorEastAsia"/>
          <w:noProof/>
          <w:color w:val="auto"/>
          <w:lang w:eastAsia="en-AU"/>
        </w:rPr>
      </w:pPr>
      <w:hyperlink w:anchor="_Toc116061397" w:history="1">
        <w:r w:rsidR="0079462E" w:rsidRPr="006560C4">
          <w:rPr>
            <w:rStyle w:val="Hyperlink"/>
            <w:noProof/>
          </w:rPr>
          <w:t>The anti-siphoning list</w:t>
        </w:r>
        <w:r w:rsidR="0079462E">
          <w:rPr>
            <w:noProof/>
            <w:webHidden/>
          </w:rPr>
          <w:tab/>
        </w:r>
        <w:r w:rsidR="0079462E">
          <w:rPr>
            <w:noProof/>
            <w:webHidden/>
          </w:rPr>
          <w:fldChar w:fldCharType="begin"/>
        </w:r>
        <w:r w:rsidR="0079462E">
          <w:rPr>
            <w:noProof/>
            <w:webHidden/>
          </w:rPr>
          <w:instrText xml:space="preserve"> PAGEREF _Toc116061397 \h </w:instrText>
        </w:r>
        <w:r w:rsidR="0079462E">
          <w:rPr>
            <w:noProof/>
            <w:webHidden/>
          </w:rPr>
        </w:r>
        <w:r w:rsidR="0079462E">
          <w:rPr>
            <w:noProof/>
            <w:webHidden/>
          </w:rPr>
          <w:fldChar w:fldCharType="separate"/>
        </w:r>
        <w:r>
          <w:rPr>
            <w:noProof/>
            <w:webHidden/>
          </w:rPr>
          <w:t>11</w:t>
        </w:r>
        <w:r w:rsidR="0079462E">
          <w:rPr>
            <w:noProof/>
            <w:webHidden/>
          </w:rPr>
          <w:fldChar w:fldCharType="end"/>
        </w:r>
      </w:hyperlink>
    </w:p>
    <w:p w14:paraId="5F188416" w14:textId="5E156333" w:rsidR="0079462E" w:rsidRDefault="009F7F4F">
      <w:pPr>
        <w:pStyle w:val="TOC2"/>
        <w:rPr>
          <w:rFonts w:eastAsiaTheme="minorEastAsia"/>
          <w:noProof/>
          <w:color w:val="auto"/>
          <w:lang w:eastAsia="en-AU"/>
        </w:rPr>
      </w:pPr>
      <w:hyperlink w:anchor="_Toc116061398" w:history="1">
        <w:r w:rsidR="0079462E" w:rsidRPr="006560C4">
          <w:rPr>
            <w:rStyle w:val="Hyperlink"/>
            <w:noProof/>
          </w:rPr>
          <w:t>The anti-hoarding rules</w:t>
        </w:r>
        <w:r w:rsidR="0079462E">
          <w:rPr>
            <w:noProof/>
            <w:webHidden/>
          </w:rPr>
          <w:tab/>
        </w:r>
        <w:r w:rsidR="0079462E">
          <w:rPr>
            <w:noProof/>
            <w:webHidden/>
          </w:rPr>
          <w:fldChar w:fldCharType="begin"/>
        </w:r>
        <w:r w:rsidR="0079462E">
          <w:rPr>
            <w:noProof/>
            <w:webHidden/>
          </w:rPr>
          <w:instrText xml:space="preserve"> PAGEREF _Toc116061398 \h </w:instrText>
        </w:r>
        <w:r w:rsidR="0079462E">
          <w:rPr>
            <w:noProof/>
            <w:webHidden/>
          </w:rPr>
        </w:r>
        <w:r w:rsidR="0079462E">
          <w:rPr>
            <w:noProof/>
            <w:webHidden/>
          </w:rPr>
          <w:fldChar w:fldCharType="separate"/>
        </w:r>
        <w:r>
          <w:rPr>
            <w:noProof/>
            <w:webHidden/>
          </w:rPr>
          <w:t>12</w:t>
        </w:r>
        <w:r w:rsidR="0079462E">
          <w:rPr>
            <w:noProof/>
            <w:webHidden/>
          </w:rPr>
          <w:fldChar w:fldCharType="end"/>
        </w:r>
      </w:hyperlink>
    </w:p>
    <w:p w14:paraId="4A9035DB" w14:textId="421B8E34" w:rsidR="0079462E" w:rsidRDefault="009F7F4F">
      <w:pPr>
        <w:pStyle w:val="TOC2"/>
        <w:rPr>
          <w:rFonts w:eastAsiaTheme="minorEastAsia"/>
          <w:noProof/>
          <w:color w:val="auto"/>
          <w:lang w:eastAsia="en-AU"/>
        </w:rPr>
      </w:pPr>
      <w:hyperlink w:anchor="_Toc116061399" w:history="1">
        <w:r w:rsidR="0079462E" w:rsidRPr="006560C4">
          <w:rPr>
            <w:rStyle w:val="Hyperlink"/>
            <w:noProof/>
          </w:rPr>
          <w:t>Administration and enforcement</w:t>
        </w:r>
        <w:r w:rsidR="0079462E">
          <w:rPr>
            <w:noProof/>
            <w:webHidden/>
          </w:rPr>
          <w:tab/>
        </w:r>
        <w:r w:rsidR="0079462E">
          <w:rPr>
            <w:noProof/>
            <w:webHidden/>
          </w:rPr>
          <w:fldChar w:fldCharType="begin"/>
        </w:r>
        <w:r w:rsidR="0079462E">
          <w:rPr>
            <w:noProof/>
            <w:webHidden/>
          </w:rPr>
          <w:instrText xml:space="preserve"> PAGEREF _Toc116061399 \h </w:instrText>
        </w:r>
        <w:r w:rsidR="0079462E">
          <w:rPr>
            <w:noProof/>
            <w:webHidden/>
          </w:rPr>
        </w:r>
        <w:r w:rsidR="0079462E">
          <w:rPr>
            <w:noProof/>
            <w:webHidden/>
          </w:rPr>
          <w:fldChar w:fldCharType="separate"/>
        </w:r>
        <w:r>
          <w:rPr>
            <w:noProof/>
            <w:webHidden/>
          </w:rPr>
          <w:t>13</w:t>
        </w:r>
        <w:r w:rsidR="0079462E">
          <w:rPr>
            <w:noProof/>
            <w:webHidden/>
          </w:rPr>
          <w:fldChar w:fldCharType="end"/>
        </w:r>
      </w:hyperlink>
    </w:p>
    <w:p w14:paraId="196EE1B0" w14:textId="779D4978" w:rsidR="0079462E" w:rsidRDefault="009F7F4F">
      <w:pPr>
        <w:pStyle w:val="TOC1"/>
        <w:rPr>
          <w:rFonts w:eastAsiaTheme="minorEastAsia"/>
          <w:b w:val="0"/>
          <w:noProof/>
          <w:color w:val="auto"/>
          <w:sz w:val="22"/>
          <w:u w:val="none"/>
          <w:lang w:eastAsia="en-AU"/>
        </w:rPr>
      </w:pPr>
      <w:hyperlink w:anchor="_Toc116061400" w:history="1">
        <w:r w:rsidR="0079462E" w:rsidRPr="006560C4">
          <w:rPr>
            <w:rStyle w:val="Hyperlink"/>
            <w:noProof/>
          </w:rPr>
          <w:t>Chapter 3: Trends in sports coverage and consumption</w:t>
        </w:r>
        <w:r w:rsidR="0079462E">
          <w:rPr>
            <w:noProof/>
            <w:webHidden/>
          </w:rPr>
          <w:tab/>
        </w:r>
        <w:r w:rsidR="0079462E">
          <w:rPr>
            <w:noProof/>
            <w:webHidden/>
          </w:rPr>
          <w:fldChar w:fldCharType="begin"/>
        </w:r>
        <w:r w:rsidR="0079462E">
          <w:rPr>
            <w:noProof/>
            <w:webHidden/>
          </w:rPr>
          <w:instrText xml:space="preserve"> PAGEREF _Toc116061400 \h </w:instrText>
        </w:r>
        <w:r w:rsidR="0079462E">
          <w:rPr>
            <w:noProof/>
            <w:webHidden/>
          </w:rPr>
        </w:r>
        <w:r w:rsidR="0079462E">
          <w:rPr>
            <w:noProof/>
            <w:webHidden/>
          </w:rPr>
          <w:fldChar w:fldCharType="separate"/>
        </w:r>
        <w:r>
          <w:rPr>
            <w:noProof/>
            <w:webHidden/>
          </w:rPr>
          <w:t>14</w:t>
        </w:r>
        <w:r w:rsidR="0079462E">
          <w:rPr>
            <w:noProof/>
            <w:webHidden/>
          </w:rPr>
          <w:fldChar w:fldCharType="end"/>
        </w:r>
      </w:hyperlink>
    </w:p>
    <w:p w14:paraId="4DD4C938" w14:textId="500282F6" w:rsidR="0079462E" w:rsidRDefault="009F7F4F">
      <w:pPr>
        <w:pStyle w:val="TOC2"/>
        <w:rPr>
          <w:rFonts w:eastAsiaTheme="minorEastAsia"/>
          <w:noProof/>
          <w:color w:val="auto"/>
          <w:lang w:eastAsia="en-AU"/>
        </w:rPr>
      </w:pPr>
      <w:hyperlink w:anchor="_Toc116061401" w:history="1">
        <w:r w:rsidR="0079462E" w:rsidRPr="006560C4">
          <w:rPr>
            <w:rStyle w:val="Hyperlink"/>
            <w:noProof/>
          </w:rPr>
          <w:t>More providers, more choice</w:t>
        </w:r>
        <w:r w:rsidR="0079462E">
          <w:rPr>
            <w:noProof/>
            <w:webHidden/>
          </w:rPr>
          <w:tab/>
        </w:r>
        <w:r w:rsidR="0079462E">
          <w:rPr>
            <w:noProof/>
            <w:webHidden/>
          </w:rPr>
          <w:fldChar w:fldCharType="begin"/>
        </w:r>
        <w:r w:rsidR="0079462E">
          <w:rPr>
            <w:noProof/>
            <w:webHidden/>
          </w:rPr>
          <w:instrText xml:space="preserve"> PAGEREF _Toc116061401 \h </w:instrText>
        </w:r>
        <w:r w:rsidR="0079462E">
          <w:rPr>
            <w:noProof/>
            <w:webHidden/>
          </w:rPr>
        </w:r>
        <w:r w:rsidR="0079462E">
          <w:rPr>
            <w:noProof/>
            <w:webHidden/>
          </w:rPr>
          <w:fldChar w:fldCharType="separate"/>
        </w:r>
        <w:r>
          <w:rPr>
            <w:noProof/>
            <w:webHidden/>
          </w:rPr>
          <w:t>14</w:t>
        </w:r>
        <w:r w:rsidR="0079462E">
          <w:rPr>
            <w:noProof/>
            <w:webHidden/>
          </w:rPr>
          <w:fldChar w:fldCharType="end"/>
        </w:r>
      </w:hyperlink>
    </w:p>
    <w:p w14:paraId="77385098" w14:textId="0485D655" w:rsidR="0079462E" w:rsidRDefault="009F7F4F">
      <w:pPr>
        <w:pStyle w:val="TOC2"/>
        <w:rPr>
          <w:rFonts w:eastAsiaTheme="minorEastAsia"/>
          <w:noProof/>
          <w:color w:val="auto"/>
          <w:lang w:eastAsia="en-AU"/>
        </w:rPr>
      </w:pPr>
      <w:hyperlink w:anchor="_Toc116061402" w:history="1">
        <w:r w:rsidR="0079462E" w:rsidRPr="006560C4">
          <w:rPr>
            <w:rStyle w:val="Hyperlink"/>
            <w:noProof/>
          </w:rPr>
          <w:t>A large number of Australians watch sport</w:t>
        </w:r>
        <w:r w:rsidR="0079462E">
          <w:rPr>
            <w:noProof/>
            <w:webHidden/>
          </w:rPr>
          <w:tab/>
        </w:r>
        <w:r w:rsidR="0079462E">
          <w:rPr>
            <w:noProof/>
            <w:webHidden/>
          </w:rPr>
          <w:fldChar w:fldCharType="begin"/>
        </w:r>
        <w:r w:rsidR="0079462E">
          <w:rPr>
            <w:noProof/>
            <w:webHidden/>
          </w:rPr>
          <w:instrText xml:space="preserve"> PAGEREF _Toc116061402 \h </w:instrText>
        </w:r>
        <w:r w:rsidR="0079462E">
          <w:rPr>
            <w:noProof/>
            <w:webHidden/>
          </w:rPr>
        </w:r>
        <w:r w:rsidR="0079462E">
          <w:rPr>
            <w:noProof/>
            <w:webHidden/>
          </w:rPr>
          <w:fldChar w:fldCharType="separate"/>
        </w:r>
        <w:r>
          <w:rPr>
            <w:noProof/>
            <w:webHidden/>
          </w:rPr>
          <w:t>15</w:t>
        </w:r>
        <w:r w:rsidR="0079462E">
          <w:rPr>
            <w:noProof/>
            <w:webHidden/>
          </w:rPr>
          <w:fldChar w:fldCharType="end"/>
        </w:r>
      </w:hyperlink>
    </w:p>
    <w:p w14:paraId="4678BC99" w14:textId="77DEA97D" w:rsidR="0079462E" w:rsidRDefault="009F7F4F">
      <w:pPr>
        <w:pStyle w:val="TOC2"/>
        <w:rPr>
          <w:rFonts w:eastAsiaTheme="minorEastAsia"/>
          <w:noProof/>
          <w:color w:val="auto"/>
          <w:lang w:eastAsia="en-AU"/>
        </w:rPr>
      </w:pPr>
      <w:hyperlink w:anchor="_Toc116061403" w:history="1">
        <w:r w:rsidR="0079462E" w:rsidRPr="006560C4">
          <w:rPr>
            <w:rStyle w:val="Hyperlink"/>
            <w:noProof/>
          </w:rPr>
          <w:t>Sport remains an important genre for broadcasters</w:t>
        </w:r>
        <w:r w:rsidR="0079462E">
          <w:rPr>
            <w:noProof/>
            <w:webHidden/>
          </w:rPr>
          <w:tab/>
        </w:r>
        <w:r w:rsidR="0079462E">
          <w:rPr>
            <w:noProof/>
            <w:webHidden/>
          </w:rPr>
          <w:fldChar w:fldCharType="begin"/>
        </w:r>
        <w:r w:rsidR="0079462E">
          <w:rPr>
            <w:noProof/>
            <w:webHidden/>
          </w:rPr>
          <w:instrText xml:space="preserve"> PAGEREF _Toc116061403 \h </w:instrText>
        </w:r>
        <w:r w:rsidR="0079462E">
          <w:rPr>
            <w:noProof/>
            <w:webHidden/>
          </w:rPr>
        </w:r>
        <w:r w:rsidR="0079462E">
          <w:rPr>
            <w:noProof/>
            <w:webHidden/>
          </w:rPr>
          <w:fldChar w:fldCharType="separate"/>
        </w:r>
        <w:r>
          <w:rPr>
            <w:noProof/>
            <w:webHidden/>
          </w:rPr>
          <w:t>18</w:t>
        </w:r>
        <w:r w:rsidR="0079462E">
          <w:rPr>
            <w:noProof/>
            <w:webHidden/>
          </w:rPr>
          <w:fldChar w:fldCharType="end"/>
        </w:r>
      </w:hyperlink>
    </w:p>
    <w:p w14:paraId="20E80A48" w14:textId="2B1444D3" w:rsidR="0079462E" w:rsidRDefault="009F7F4F">
      <w:pPr>
        <w:pStyle w:val="TOC2"/>
        <w:rPr>
          <w:rFonts w:eastAsiaTheme="minorEastAsia"/>
          <w:noProof/>
          <w:color w:val="auto"/>
          <w:lang w:eastAsia="en-AU"/>
        </w:rPr>
      </w:pPr>
      <w:hyperlink w:anchor="_Toc116061404" w:history="1">
        <w:r w:rsidR="0079462E" w:rsidRPr="006560C4">
          <w:rPr>
            <w:rStyle w:val="Hyperlink"/>
            <w:noProof/>
          </w:rPr>
          <w:t>The value of sports rights continues to grow</w:t>
        </w:r>
        <w:r w:rsidR="0079462E">
          <w:rPr>
            <w:noProof/>
            <w:webHidden/>
          </w:rPr>
          <w:tab/>
        </w:r>
        <w:r w:rsidR="0079462E">
          <w:rPr>
            <w:noProof/>
            <w:webHidden/>
          </w:rPr>
          <w:fldChar w:fldCharType="begin"/>
        </w:r>
        <w:r w:rsidR="0079462E">
          <w:rPr>
            <w:noProof/>
            <w:webHidden/>
          </w:rPr>
          <w:instrText xml:space="preserve"> PAGEREF _Toc116061404 \h </w:instrText>
        </w:r>
        <w:r w:rsidR="0079462E">
          <w:rPr>
            <w:noProof/>
            <w:webHidden/>
          </w:rPr>
        </w:r>
        <w:r w:rsidR="0079462E">
          <w:rPr>
            <w:noProof/>
            <w:webHidden/>
          </w:rPr>
          <w:fldChar w:fldCharType="separate"/>
        </w:r>
        <w:r>
          <w:rPr>
            <w:noProof/>
            <w:webHidden/>
          </w:rPr>
          <w:t>20</w:t>
        </w:r>
        <w:r w:rsidR="0079462E">
          <w:rPr>
            <w:noProof/>
            <w:webHidden/>
          </w:rPr>
          <w:fldChar w:fldCharType="end"/>
        </w:r>
      </w:hyperlink>
    </w:p>
    <w:p w14:paraId="00DF37B0" w14:textId="0FC50FD4" w:rsidR="0079462E" w:rsidRDefault="009F7F4F">
      <w:pPr>
        <w:pStyle w:val="TOC2"/>
        <w:rPr>
          <w:rFonts w:eastAsiaTheme="minorEastAsia"/>
          <w:noProof/>
          <w:color w:val="auto"/>
          <w:lang w:eastAsia="en-AU"/>
        </w:rPr>
      </w:pPr>
      <w:hyperlink w:anchor="_Toc116061405" w:history="1">
        <w:r w:rsidR="0079462E" w:rsidRPr="006560C4">
          <w:rPr>
            <w:rStyle w:val="Hyperlink"/>
            <w:noProof/>
          </w:rPr>
          <w:t>Online services are playing a greater role</w:t>
        </w:r>
        <w:r w:rsidR="0079462E">
          <w:rPr>
            <w:noProof/>
            <w:webHidden/>
          </w:rPr>
          <w:tab/>
        </w:r>
        <w:r w:rsidR="0079462E">
          <w:rPr>
            <w:noProof/>
            <w:webHidden/>
          </w:rPr>
          <w:fldChar w:fldCharType="begin"/>
        </w:r>
        <w:r w:rsidR="0079462E">
          <w:rPr>
            <w:noProof/>
            <w:webHidden/>
          </w:rPr>
          <w:instrText xml:space="preserve"> PAGEREF _Toc116061405 \h </w:instrText>
        </w:r>
        <w:r w:rsidR="0079462E">
          <w:rPr>
            <w:noProof/>
            <w:webHidden/>
          </w:rPr>
        </w:r>
        <w:r w:rsidR="0079462E">
          <w:rPr>
            <w:noProof/>
            <w:webHidden/>
          </w:rPr>
          <w:fldChar w:fldCharType="separate"/>
        </w:r>
        <w:r>
          <w:rPr>
            <w:noProof/>
            <w:webHidden/>
          </w:rPr>
          <w:t>22</w:t>
        </w:r>
        <w:r w:rsidR="0079462E">
          <w:rPr>
            <w:noProof/>
            <w:webHidden/>
          </w:rPr>
          <w:fldChar w:fldCharType="end"/>
        </w:r>
      </w:hyperlink>
    </w:p>
    <w:p w14:paraId="7876065A" w14:textId="42D079EC" w:rsidR="0079462E" w:rsidRDefault="009F7F4F">
      <w:pPr>
        <w:pStyle w:val="TOC2"/>
        <w:rPr>
          <w:rFonts w:eastAsiaTheme="minorEastAsia"/>
          <w:noProof/>
          <w:color w:val="auto"/>
          <w:lang w:eastAsia="en-AU"/>
        </w:rPr>
      </w:pPr>
      <w:hyperlink w:anchor="_Toc116061408" w:history="1">
        <w:r w:rsidR="0079462E" w:rsidRPr="006560C4">
          <w:rPr>
            <w:rStyle w:val="Hyperlink"/>
            <w:noProof/>
          </w:rPr>
          <w:t>International trends highlight the growth in online coverage</w:t>
        </w:r>
        <w:r w:rsidR="0079462E">
          <w:rPr>
            <w:noProof/>
            <w:webHidden/>
          </w:rPr>
          <w:tab/>
        </w:r>
        <w:r w:rsidR="0079462E">
          <w:rPr>
            <w:noProof/>
            <w:webHidden/>
          </w:rPr>
          <w:fldChar w:fldCharType="begin"/>
        </w:r>
        <w:r w:rsidR="0079462E">
          <w:rPr>
            <w:noProof/>
            <w:webHidden/>
          </w:rPr>
          <w:instrText xml:space="preserve"> PAGEREF _Toc116061408 \h </w:instrText>
        </w:r>
        <w:r w:rsidR="0079462E">
          <w:rPr>
            <w:noProof/>
            <w:webHidden/>
          </w:rPr>
        </w:r>
        <w:r w:rsidR="0079462E">
          <w:rPr>
            <w:noProof/>
            <w:webHidden/>
          </w:rPr>
          <w:fldChar w:fldCharType="separate"/>
        </w:r>
        <w:r>
          <w:rPr>
            <w:noProof/>
            <w:webHidden/>
          </w:rPr>
          <w:t>24</w:t>
        </w:r>
        <w:r w:rsidR="0079462E">
          <w:rPr>
            <w:noProof/>
            <w:webHidden/>
          </w:rPr>
          <w:fldChar w:fldCharType="end"/>
        </w:r>
      </w:hyperlink>
    </w:p>
    <w:p w14:paraId="63BFE340" w14:textId="07626BC9" w:rsidR="0079462E" w:rsidRDefault="009F7F4F">
      <w:pPr>
        <w:pStyle w:val="TOC1"/>
        <w:rPr>
          <w:rFonts w:eastAsiaTheme="minorEastAsia"/>
          <w:b w:val="0"/>
          <w:noProof/>
          <w:color w:val="auto"/>
          <w:sz w:val="22"/>
          <w:u w:val="none"/>
          <w:lang w:eastAsia="en-AU"/>
        </w:rPr>
      </w:pPr>
      <w:hyperlink w:anchor="_Toc116061412" w:history="1">
        <w:r w:rsidR="0079462E" w:rsidRPr="006560C4">
          <w:rPr>
            <w:rStyle w:val="Hyperlink"/>
            <w:noProof/>
          </w:rPr>
          <w:t>PART 2: Issues for consultation</w:t>
        </w:r>
        <w:r w:rsidR="0079462E">
          <w:rPr>
            <w:noProof/>
            <w:webHidden/>
          </w:rPr>
          <w:tab/>
        </w:r>
        <w:r w:rsidR="0079462E">
          <w:rPr>
            <w:noProof/>
            <w:webHidden/>
          </w:rPr>
          <w:fldChar w:fldCharType="begin"/>
        </w:r>
        <w:r w:rsidR="0079462E">
          <w:rPr>
            <w:noProof/>
            <w:webHidden/>
          </w:rPr>
          <w:instrText xml:space="preserve"> PAGEREF _Toc116061412 \h </w:instrText>
        </w:r>
        <w:r w:rsidR="0079462E">
          <w:rPr>
            <w:noProof/>
            <w:webHidden/>
          </w:rPr>
        </w:r>
        <w:r w:rsidR="0079462E">
          <w:rPr>
            <w:noProof/>
            <w:webHidden/>
          </w:rPr>
          <w:fldChar w:fldCharType="separate"/>
        </w:r>
        <w:r>
          <w:rPr>
            <w:noProof/>
            <w:webHidden/>
          </w:rPr>
          <w:t>26</w:t>
        </w:r>
        <w:r w:rsidR="0079462E">
          <w:rPr>
            <w:noProof/>
            <w:webHidden/>
          </w:rPr>
          <w:fldChar w:fldCharType="end"/>
        </w:r>
      </w:hyperlink>
    </w:p>
    <w:p w14:paraId="537E083B" w14:textId="76EAA20C" w:rsidR="0079462E" w:rsidRDefault="009F7F4F">
      <w:pPr>
        <w:pStyle w:val="TOC1"/>
        <w:rPr>
          <w:rFonts w:eastAsiaTheme="minorEastAsia"/>
          <w:b w:val="0"/>
          <w:noProof/>
          <w:color w:val="auto"/>
          <w:sz w:val="22"/>
          <w:u w:val="none"/>
          <w:lang w:eastAsia="en-AU"/>
        </w:rPr>
      </w:pPr>
      <w:hyperlink w:anchor="_Toc116061413" w:history="1">
        <w:r w:rsidR="0079462E" w:rsidRPr="006560C4">
          <w:rPr>
            <w:rStyle w:val="Hyperlink"/>
            <w:noProof/>
          </w:rPr>
          <w:t>Chapter 4: Policy settings and considerations</w:t>
        </w:r>
        <w:r w:rsidR="0079462E">
          <w:rPr>
            <w:noProof/>
            <w:webHidden/>
          </w:rPr>
          <w:tab/>
        </w:r>
        <w:r w:rsidR="0079462E">
          <w:rPr>
            <w:noProof/>
            <w:webHidden/>
          </w:rPr>
          <w:fldChar w:fldCharType="begin"/>
        </w:r>
        <w:r w:rsidR="0079462E">
          <w:rPr>
            <w:noProof/>
            <w:webHidden/>
          </w:rPr>
          <w:instrText xml:space="preserve"> PAGEREF _Toc116061413 \h </w:instrText>
        </w:r>
        <w:r w:rsidR="0079462E">
          <w:rPr>
            <w:noProof/>
            <w:webHidden/>
          </w:rPr>
        </w:r>
        <w:r w:rsidR="0079462E">
          <w:rPr>
            <w:noProof/>
            <w:webHidden/>
          </w:rPr>
          <w:fldChar w:fldCharType="separate"/>
        </w:r>
        <w:r>
          <w:rPr>
            <w:noProof/>
            <w:webHidden/>
          </w:rPr>
          <w:t>27</w:t>
        </w:r>
        <w:r w:rsidR="0079462E">
          <w:rPr>
            <w:noProof/>
            <w:webHidden/>
          </w:rPr>
          <w:fldChar w:fldCharType="end"/>
        </w:r>
      </w:hyperlink>
    </w:p>
    <w:p w14:paraId="250EB48C" w14:textId="5EB9A207" w:rsidR="0079462E" w:rsidRDefault="009F7F4F">
      <w:pPr>
        <w:pStyle w:val="TOC2"/>
        <w:rPr>
          <w:rFonts w:eastAsiaTheme="minorEastAsia"/>
          <w:noProof/>
          <w:color w:val="auto"/>
          <w:lang w:eastAsia="en-AU"/>
        </w:rPr>
      </w:pPr>
      <w:hyperlink w:anchor="_Toc116061414" w:history="1">
        <w:r w:rsidR="0079462E" w:rsidRPr="006560C4">
          <w:rPr>
            <w:rStyle w:val="Hyperlink"/>
            <w:noProof/>
          </w:rPr>
          <w:t>Policy objective</w:t>
        </w:r>
        <w:r w:rsidR="0079462E">
          <w:rPr>
            <w:noProof/>
            <w:webHidden/>
          </w:rPr>
          <w:tab/>
        </w:r>
        <w:r w:rsidR="0079462E">
          <w:rPr>
            <w:noProof/>
            <w:webHidden/>
          </w:rPr>
          <w:fldChar w:fldCharType="begin"/>
        </w:r>
        <w:r w:rsidR="0079462E">
          <w:rPr>
            <w:noProof/>
            <w:webHidden/>
          </w:rPr>
          <w:instrText xml:space="preserve"> PAGEREF _Toc116061414 \h </w:instrText>
        </w:r>
        <w:r w:rsidR="0079462E">
          <w:rPr>
            <w:noProof/>
            <w:webHidden/>
          </w:rPr>
        </w:r>
        <w:r w:rsidR="0079462E">
          <w:rPr>
            <w:noProof/>
            <w:webHidden/>
          </w:rPr>
          <w:fldChar w:fldCharType="separate"/>
        </w:r>
        <w:r>
          <w:rPr>
            <w:noProof/>
            <w:webHidden/>
          </w:rPr>
          <w:t>27</w:t>
        </w:r>
        <w:r w:rsidR="0079462E">
          <w:rPr>
            <w:noProof/>
            <w:webHidden/>
          </w:rPr>
          <w:fldChar w:fldCharType="end"/>
        </w:r>
      </w:hyperlink>
    </w:p>
    <w:p w14:paraId="4468F3C6" w14:textId="75A8ADE5" w:rsidR="0079462E" w:rsidRDefault="009F7F4F">
      <w:pPr>
        <w:pStyle w:val="TOC2"/>
        <w:rPr>
          <w:rFonts w:eastAsiaTheme="minorEastAsia"/>
          <w:noProof/>
          <w:color w:val="auto"/>
          <w:lang w:eastAsia="en-AU"/>
        </w:rPr>
      </w:pPr>
      <w:hyperlink w:anchor="_Toc116061417" w:history="1">
        <w:r w:rsidR="0079462E" w:rsidRPr="006560C4">
          <w:rPr>
            <w:rStyle w:val="Hyperlink"/>
            <w:noProof/>
          </w:rPr>
          <w:t>Policy mechanism</w:t>
        </w:r>
        <w:r w:rsidR="0079462E">
          <w:rPr>
            <w:noProof/>
            <w:webHidden/>
          </w:rPr>
          <w:tab/>
        </w:r>
        <w:r w:rsidR="0079462E">
          <w:rPr>
            <w:noProof/>
            <w:webHidden/>
          </w:rPr>
          <w:fldChar w:fldCharType="begin"/>
        </w:r>
        <w:r w:rsidR="0079462E">
          <w:rPr>
            <w:noProof/>
            <w:webHidden/>
          </w:rPr>
          <w:instrText xml:space="preserve"> PAGEREF _Toc116061417 \h </w:instrText>
        </w:r>
        <w:r w:rsidR="0079462E">
          <w:rPr>
            <w:noProof/>
            <w:webHidden/>
          </w:rPr>
        </w:r>
        <w:r w:rsidR="0079462E">
          <w:rPr>
            <w:noProof/>
            <w:webHidden/>
          </w:rPr>
          <w:fldChar w:fldCharType="separate"/>
        </w:r>
        <w:r>
          <w:rPr>
            <w:noProof/>
            <w:webHidden/>
          </w:rPr>
          <w:t>29</w:t>
        </w:r>
        <w:r w:rsidR="0079462E">
          <w:rPr>
            <w:noProof/>
            <w:webHidden/>
          </w:rPr>
          <w:fldChar w:fldCharType="end"/>
        </w:r>
      </w:hyperlink>
    </w:p>
    <w:p w14:paraId="11A8184F" w14:textId="1C8CCC70" w:rsidR="0079462E" w:rsidRDefault="009F7F4F">
      <w:pPr>
        <w:pStyle w:val="TOC1"/>
        <w:rPr>
          <w:rFonts w:eastAsiaTheme="minorEastAsia"/>
          <w:b w:val="0"/>
          <w:noProof/>
          <w:color w:val="auto"/>
          <w:sz w:val="22"/>
          <w:u w:val="none"/>
          <w:lang w:eastAsia="en-AU"/>
        </w:rPr>
      </w:pPr>
      <w:hyperlink w:anchor="_Toc116061420" w:history="1">
        <w:r w:rsidR="0079462E" w:rsidRPr="006560C4">
          <w:rPr>
            <w:rStyle w:val="Hyperlink"/>
            <w:noProof/>
          </w:rPr>
          <w:t>Chapter 5: The operation of the scheme</w:t>
        </w:r>
        <w:r w:rsidR="0079462E">
          <w:rPr>
            <w:noProof/>
            <w:webHidden/>
          </w:rPr>
          <w:tab/>
        </w:r>
        <w:r w:rsidR="0079462E">
          <w:rPr>
            <w:noProof/>
            <w:webHidden/>
          </w:rPr>
          <w:fldChar w:fldCharType="begin"/>
        </w:r>
        <w:r w:rsidR="0079462E">
          <w:rPr>
            <w:noProof/>
            <w:webHidden/>
          </w:rPr>
          <w:instrText xml:space="preserve"> PAGEREF _Toc116061420 \h </w:instrText>
        </w:r>
        <w:r w:rsidR="0079462E">
          <w:rPr>
            <w:noProof/>
            <w:webHidden/>
          </w:rPr>
        </w:r>
        <w:r w:rsidR="0079462E">
          <w:rPr>
            <w:noProof/>
            <w:webHidden/>
          </w:rPr>
          <w:fldChar w:fldCharType="separate"/>
        </w:r>
        <w:r>
          <w:rPr>
            <w:noProof/>
            <w:webHidden/>
          </w:rPr>
          <w:t>31</w:t>
        </w:r>
        <w:r w:rsidR="0079462E">
          <w:rPr>
            <w:noProof/>
            <w:webHidden/>
          </w:rPr>
          <w:fldChar w:fldCharType="end"/>
        </w:r>
      </w:hyperlink>
    </w:p>
    <w:p w14:paraId="78B93A28" w14:textId="660748ED" w:rsidR="0079462E" w:rsidRDefault="009F7F4F">
      <w:pPr>
        <w:pStyle w:val="TOC2"/>
        <w:rPr>
          <w:rFonts w:eastAsiaTheme="minorEastAsia"/>
          <w:noProof/>
          <w:color w:val="auto"/>
          <w:lang w:eastAsia="en-AU"/>
        </w:rPr>
      </w:pPr>
      <w:hyperlink w:anchor="_Toc116061421" w:history="1">
        <w:r w:rsidR="0079462E" w:rsidRPr="006560C4">
          <w:rPr>
            <w:rStyle w:val="Hyperlink"/>
            <w:noProof/>
          </w:rPr>
          <w:t>Application of the scheme to new media</w:t>
        </w:r>
        <w:r w:rsidR="0079462E">
          <w:rPr>
            <w:noProof/>
            <w:webHidden/>
          </w:rPr>
          <w:tab/>
        </w:r>
        <w:r w:rsidR="0079462E">
          <w:rPr>
            <w:noProof/>
            <w:webHidden/>
          </w:rPr>
          <w:fldChar w:fldCharType="begin"/>
        </w:r>
        <w:r w:rsidR="0079462E">
          <w:rPr>
            <w:noProof/>
            <w:webHidden/>
          </w:rPr>
          <w:instrText xml:space="preserve"> PAGEREF _Toc116061421 \h </w:instrText>
        </w:r>
        <w:r w:rsidR="0079462E">
          <w:rPr>
            <w:noProof/>
            <w:webHidden/>
          </w:rPr>
        </w:r>
        <w:r w:rsidR="0079462E">
          <w:rPr>
            <w:noProof/>
            <w:webHidden/>
          </w:rPr>
          <w:fldChar w:fldCharType="separate"/>
        </w:r>
        <w:r>
          <w:rPr>
            <w:noProof/>
            <w:webHidden/>
          </w:rPr>
          <w:t>31</w:t>
        </w:r>
        <w:r w:rsidR="0079462E">
          <w:rPr>
            <w:noProof/>
            <w:webHidden/>
          </w:rPr>
          <w:fldChar w:fldCharType="end"/>
        </w:r>
      </w:hyperlink>
    </w:p>
    <w:p w14:paraId="33B308BB" w14:textId="0717B696" w:rsidR="0079462E" w:rsidRDefault="009F7F4F">
      <w:pPr>
        <w:pStyle w:val="TOC2"/>
        <w:rPr>
          <w:rFonts w:eastAsiaTheme="minorEastAsia"/>
          <w:noProof/>
          <w:color w:val="auto"/>
          <w:lang w:eastAsia="en-AU"/>
        </w:rPr>
      </w:pPr>
      <w:hyperlink w:anchor="_Toc116061424" w:history="1">
        <w:r w:rsidR="0079462E" w:rsidRPr="006560C4">
          <w:rPr>
            <w:rStyle w:val="Hyperlink"/>
            <w:noProof/>
          </w:rPr>
          <w:t>Regulatory rule: acquisition, conferral or offer?</w:t>
        </w:r>
        <w:r w:rsidR="0079462E">
          <w:rPr>
            <w:noProof/>
            <w:webHidden/>
          </w:rPr>
          <w:tab/>
        </w:r>
        <w:r w:rsidR="0079462E">
          <w:rPr>
            <w:noProof/>
            <w:webHidden/>
          </w:rPr>
          <w:fldChar w:fldCharType="begin"/>
        </w:r>
        <w:r w:rsidR="0079462E">
          <w:rPr>
            <w:noProof/>
            <w:webHidden/>
          </w:rPr>
          <w:instrText xml:space="preserve"> PAGEREF _Toc116061424 \h </w:instrText>
        </w:r>
        <w:r w:rsidR="0079462E">
          <w:rPr>
            <w:noProof/>
            <w:webHidden/>
          </w:rPr>
        </w:r>
        <w:r w:rsidR="0079462E">
          <w:rPr>
            <w:noProof/>
            <w:webHidden/>
          </w:rPr>
          <w:fldChar w:fldCharType="separate"/>
        </w:r>
        <w:r>
          <w:rPr>
            <w:noProof/>
            <w:webHidden/>
          </w:rPr>
          <w:t>32</w:t>
        </w:r>
        <w:r w:rsidR="0079462E">
          <w:rPr>
            <w:noProof/>
            <w:webHidden/>
          </w:rPr>
          <w:fldChar w:fldCharType="end"/>
        </w:r>
      </w:hyperlink>
    </w:p>
    <w:p w14:paraId="5150E5C2" w14:textId="4C0276DD" w:rsidR="0079462E" w:rsidRDefault="009F7F4F">
      <w:pPr>
        <w:pStyle w:val="TOC2"/>
        <w:rPr>
          <w:rFonts w:eastAsiaTheme="minorEastAsia"/>
          <w:noProof/>
          <w:color w:val="auto"/>
          <w:lang w:eastAsia="en-AU"/>
        </w:rPr>
      </w:pPr>
      <w:hyperlink w:anchor="_Toc116061427" w:history="1">
        <w:r w:rsidR="0079462E" w:rsidRPr="006560C4">
          <w:rPr>
            <w:rStyle w:val="Hyperlink"/>
            <w:noProof/>
          </w:rPr>
          <w:t>Use and disposal of a right to televise an event</w:t>
        </w:r>
        <w:r w:rsidR="0079462E">
          <w:rPr>
            <w:noProof/>
            <w:webHidden/>
          </w:rPr>
          <w:tab/>
        </w:r>
        <w:r w:rsidR="0079462E">
          <w:rPr>
            <w:noProof/>
            <w:webHidden/>
          </w:rPr>
          <w:fldChar w:fldCharType="begin"/>
        </w:r>
        <w:r w:rsidR="0079462E">
          <w:rPr>
            <w:noProof/>
            <w:webHidden/>
          </w:rPr>
          <w:instrText xml:space="preserve"> PAGEREF _Toc116061427 \h </w:instrText>
        </w:r>
        <w:r w:rsidR="0079462E">
          <w:rPr>
            <w:noProof/>
            <w:webHidden/>
          </w:rPr>
        </w:r>
        <w:r w:rsidR="0079462E">
          <w:rPr>
            <w:noProof/>
            <w:webHidden/>
          </w:rPr>
          <w:fldChar w:fldCharType="separate"/>
        </w:r>
        <w:r>
          <w:rPr>
            <w:noProof/>
            <w:webHidden/>
          </w:rPr>
          <w:t>34</w:t>
        </w:r>
        <w:r w:rsidR="0079462E">
          <w:rPr>
            <w:noProof/>
            <w:webHidden/>
          </w:rPr>
          <w:fldChar w:fldCharType="end"/>
        </w:r>
      </w:hyperlink>
    </w:p>
    <w:p w14:paraId="6B1FA30F" w14:textId="43C2645E" w:rsidR="0079462E" w:rsidRDefault="009F7F4F">
      <w:pPr>
        <w:pStyle w:val="TOC2"/>
        <w:rPr>
          <w:rFonts w:eastAsiaTheme="minorEastAsia"/>
          <w:noProof/>
          <w:color w:val="auto"/>
          <w:lang w:eastAsia="en-AU"/>
        </w:rPr>
      </w:pPr>
      <w:hyperlink w:anchor="_Toc116061430" w:history="1">
        <w:r w:rsidR="0079462E" w:rsidRPr="006560C4">
          <w:rPr>
            <w:rStyle w:val="Hyperlink"/>
            <w:noProof/>
          </w:rPr>
          <w:t>Coverage of anti-siphoning listed events</w:t>
        </w:r>
        <w:r w:rsidR="0079462E">
          <w:rPr>
            <w:noProof/>
            <w:webHidden/>
          </w:rPr>
          <w:tab/>
        </w:r>
        <w:r w:rsidR="0079462E">
          <w:rPr>
            <w:noProof/>
            <w:webHidden/>
          </w:rPr>
          <w:fldChar w:fldCharType="begin"/>
        </w:r>
        <w:r w:rsidR="0079462E">
          <w:rPr>
            <w:noProof/>
            <w:webHidden/>
          </w:rPr>
          <w:instrText xml:space="preserve"> PAGEREF _Toc116061430 \h </w:instrText>
        </w:r>
        <w:r w:rsidR="0079462E">
          <w:rPr>
            <w:noProof/>
            <w:webHidden/>
          </w:rPr>
        </w:r>
        <w:r w:rsidR="0079462E">
          <w:rPr>
            <w:noProof/>
            <w:webHidden/>
          </w:rPr>
          <w:fldChar w:fldCharType="separate"/>
        </w:r>
        <w:r>
          <w:rPr>
            <w:noProof/>
            <w:webHidden/>
          </w:rPr>
          <w:t>36</w:t>
        </w:r>
        <w:r w:rsidR="0079462E">
          <w:rPr>
            <w:noProof/>
            <w:webHidden/>
          </w:rPr>
          <w:fldChar w:fldCharType="end"/>
        </w:r>
      </w:hyperlink>
    </w:p>
    <w:p w14:paraId="3432C2B2" w14:textId="6D408446" w:rsidR="0079462E" w:rsidRDefault="009F7F4F">
      <w:pPr>
        <w:pStyle w:val="TOC2"/>
        <w:rPr>
          <w:rFonts w:eastAsiaTheme="minorEastAsia"/>
          <w:noProof/>
          <w:color w:val="auto"/>
          <w:lang w:eastAsia="en-AU"/>
        </w:rPr>
      </w:pPr>
      <w:hyperlink w:anchor="_Toc116061433" w:history="1">
        <w:r w:rsidR="0079462E" w:rsidRPr="006560C4">
          <w:rPr>
            <w:rStyle w:val="Hyperlink"/>
            <w:noProof/>
          </w:rPr>
          <w:t>Transparency: information disclosure and information gathering</w:t>
        </w:r>
        <w:r w:rsidR="0079462E">
          <w:rPr>
            <w:noProof/>
            <w:webHidden/>
          </w:rPr>
          <w:tab/>
        </w:r>
        <w:r w:rsidR="0079462E">
          <w:rPr>
            <w:noProof/>
            <w:webHidden/>
          </w:rPr>
          <w:fldChar w:fldCharType="begin"/>
        </w:r>
        <w:r w:rsidR="0079462E">
          <w:rPr>
            <w:noProof/>
            <w:webHidden/>
          </w:rPr>
          <w:instrText xml:space="preserve"> PAGEREF _Toc116061433 \h </w:instrText>
        </w:r>
        <w:r w:rsidR="0079462E">
          <w:rPr>
            <w:noProof/>
            <w:webHidden/>
          </w:rPr>
        </w:r>
        <w:r w:rsidR="0079462E">
          <w:rPr>
            <w:noProof/>
            <w:webHidden/>
          </w:rPr>
          <w:fldChar w:fldCharType="separate"/>
        </w:r>
        <w:r>
          <w:rPr>
            <w:noProof/>
            <w:webHidden/>
          </w:rPr>
          <w:t>38</w:t>
        </w:r>
        <w:r w:rsidR="0079462E">
          <w:rPr>
            <w:noProof/>
            <w:webHidden/>
          </w:rPr>
          <w:fldChar w:fldCharType="end"/>
        </w:r>
      </w:hyperlink>
    </w:p>
    <w:p w14:paraId="4DABDB5A" w14:textId="6209B1C2" w:rsidR="0079462E" w:rsidRDefault="009F7F4F">
      <w:pPr>
        <w:pStyle w:val="TOC1"/>
        <w:rPr>
          <w:rFonts w:eastAsiaTheme="minorEastAsia"/>
          <w:b w:val="0"/>
          <w:noProof/>
          <w:color w:val="auto"/>
          <w:sz w:val="22"/>
          <w:u w:val="none"/>
          <w:lang w:eastAsia="en-AU"/>
        </w:rPr>
      </w:pPr>
      <w:hyperlink w:anchor="_Toc116061436" w:history="1">
        <w:r w:rsidR="0079462E" w:rsidRPr="006560C4">
          <w:rPr>
            <w:rStyle w:val="Hyperlink"/>
            <w:noProof/>
          </w:rPr>
          <w:t>Chapter 6: The composition of the anti-siphoning list</w:t>
        </w:r>
        <w:r w:rsidR="0079462E">
          <w:rPr>
            <w:noProof/>
            <w:webHidden/>
          </w:rPr>
          <w:tab/>
        </w:r>
        <w:r w:rsidR="0079462E">
          <w:rPr>
            <w:noProof/>
            <w:webHidden/>
          </w:rPr>
          <w:fldChar w:fldCharType="begin"/>
        </w:r>
        <w:r w:rsidR="0079462E">
          <w:rPr>
            <w:noProof/>
            <w:webHidden/>
          </w:rPr>
          <w:instrText xml:space="preserve"> PAGEREF _Toc116061436 \h </w:instrText>
        </w:r>
        <w:r w:rsidR="0079462E">
          <w:rPr>
            <w:noProof/>
            <w:webHidden/>
          </w:rPr>
        </w:r>
        <w:r w:rsidR="0079462E">
          <w:rPr>
            <w:noProof/>
            <w:webHidden/>
          </w:rPr>
          <w:fldChar w:fldCharType="separate"/>
        </w:r>
        <w:r>
          <w:rPr>
            <w:noProof/>
            <w:webHidden/>
          </w:rPr>
          <w:t>39</w:t>
        </w:r>
        <w:r w:rsidR="0079462E">
          <w:rPr>
            <w:noProof/>
            <w:webHidden/>
          </w:rPr>
          <w:fldChar w:fldCharType="end"/>
        </w:r>
      </w:hyperlink>
    </w:p>
    <w:p w14:paraId="550ADC04" w14:textId="5396FAF4" w:rsidR="0079462E" w:rsidRDefault="009F7F4F">
      <w:pPr>
        <w:pStyle w:val="TOC2"/>
        <w:rPr>
          <w:rFonts w:eastAsiaTheme="minorEastAsia"/>
          <w:noProof/>
          <w:color w:val="auto"/>
          <w:lang w:eastAsia="en-AU"/>
        </w:rPr>
      </w:pPr>
      <w:hyperlink w:anchor="_Toc116061437" w:history="1">
        <w:r w:rsidR="0079462E" w:rsidRPr="006560C4">
          <w:rPr>
            <w:rStyle w:val="Hyperlink"/>
            <w:noProof/>
          </w:rPr>
          <w:t>Sports on the anti-siphoning list</w:t>
        </w:r>
        <w:r w:rsidR="0079462E">
          <w:rPr>
            <w:noProof/>
            <w:webHidden/>
          </w:rPr>
          <w:tab/>
        </w:r>
        <w:r w:rsidR="0079462E">
          <w:rPr>
            <w:noProof/>
            <w:webHidden/>
          </w:rPr>
          <w:fldChar w:fldCharType="begin"/>
        </w:r>
        <w:r w:rsidR="0079462E">
          <w:rPr>
            <w:noProof/>
            <w:webHidden/>
          </w:rPr>
          <w:instrText xml:space="preserve"> PAGEREF _Toc116061437 \h </w:instrText>
        </w:r>
        <w:r w:rsidR="0079462E">
          <w:rPr>
            <w:noProof/>
            <w:webHidden/>
          </w:rPr>
        </w:r>
        <w:r w:rsidR="0079462E">
          <w:rPr>
            <w:noProof/>
            <w:webHidden/>
          </w:rPr>
          <w:fldChar w:fldCharType="separate"/>
        </w:r>
        <w:r>
          <w:rPr>
            <w:noProof/>
            <w:webHidden/>
          </w:rPr>
          <w:t>39</w:t>
        </w:r>
        <w:r w:rsidR="0079462E">
          <w:rPr>
            <w:noProof/>
            <w:webHidden/>
          </w:rPr>
          <w:fldChar w:fldCharType="end"/>
        </w:r>
      </w:hyperlink>
    </w:p>
    <w:p w14:paraId="7BC5F585" w14:textId="738385C1" w:rsidR="0079462E" w:rsidRDefault="009F7F4F">
      <w:pPr>
        <w:pStyle w:val="TOC2"/>
        <w:rPr>
          <w:rFonts w:eastAsiaTheme="minorEastAsia"/>
          <w:noProof/>
          <w:color w:val="auto"/>
          <w:lang w:eastAsia="en-AU"/>
        </w:rPr>
      </w:pPr>
      <w:hyperlink w:anchor="_Toc116061440" w:history="1">
        <w:r w:rsidR="0079462E" w:rsidRPr="006560C4">
          <w:rPr>
            <w:rStyle w:val="Hyperlink"/>
            <w:noProof/>
          </w:rPr>
          <w:t>Events on the anti-siphoning list</w:t>
        </w:r>
        <w:r w:rsidR="0079462E">
          <w:rPr>
            <w:noProof/>
            <w:webHidden/>
          </w:rPr>
          <w:tab/>
        </w:r>
        <w:r w:rsidR="0079462E">
          <w:rPr>
            <w:noProof/>
            <w:webHidden/>
          </w:rPr>
          <w:fldChar w:fldCharType="begin"/>
        </w:r>
        <w:r w:rsidR="0079462E">
          <w:rPr>
            <w:noProof/>
            <w:webHidden/>
          </w:rPr>
          <w:instrText xml:space="preserve"> PAGEREF _Toc116061440 \h </w:instrText>
        </w:r>
        <w:r w:rsidR="0079462E">
          <w:rPr>
            <w:noProof/>
            <w:webHidden/>
          </w:rPr>
        </w:r>
        <w:r w:rsidR="0079462E">
          <w:rPr>
            <w:noProof/>
            <w:webHidden/>
          </w:rPr>
          <w:fldChar w:fldCharType="separate"/>
        </w:r>
        <w:r>
          <w:rPr>
            <w:noProof/>
            <w:webHidden/>
          </w:rPr>
          <w:t>40</w:t>
        </w:r>
        <w:r w:rsidR="0079462E">
          <w:rPr>
            <w:noProof/>
            <w:webHidden/>
          </w:rPr>
          <w:fldChar w:fldCharType="end"/>
        </w:r>
      </w:hyperlink>
    </w:p>
    <w:p w14:paraId="31446F16" w14:textId="35394BC6" w:rsidR="0079462E" w:rsidRDefault="009F7F4F">
      <w:pPr>
        <w:pStyle w:val="TOC2"/>
        <w:rPr>
          <w:rFonts w:eastAsiaTheme="minorEastAsia"/>
          <w:noProof/>
          <w:color w:val="auto"/>
          <w:lang w:eastAsia="en-AU"/>
        </w:rPr>
      </w:pPr>
      <w:hyperlink w:anchor="_Toc116061443" w:history="1">
        <w:r w:rsidR="0079462E" w:rsidRPr="006560C4">
          <w:rPr>
            <w:rStyle w:val="Hyperlink"/>
            <w:noProof/>
          </w:rPr>
          <w:t>Differentiated regulation – a two-tier list</w:t>
        </w:r>
        <w:r w:rsidR="0079462E">
          <w:rPr>
            <w:noProof/>
            <w:webHidden/>
          </w:rPr>
          <w:tab/>
        </w:r>
        <w:r w:rsidR="0079462E">
          <w:rPr>
            <w:noProof/>
            <w:webHidden/>
          </w:rPr>
          <w:fldChar w:fldCharType="begin"/>
        </w:r>
        <w:r w:rsidR="0079462E">
          <w:rPr>
            <w:noProof/>
            <w:webHidden/>
          </w:rPr>
          <w:instrText xml:space="preserve"> PAGEREF _Toc116061443 \h </w:instrText>
        </w:r>
        <w:r w:rsidR="0079462E">
          <w:rPr>
            <w:noProof/>
            <w:webHidden/>
          </w:rPr>
        </w:r>
        <w:r w:rsidR="0079462E">
          <w:rPr>
            <w:noProof/>
            <w:webHidden/>
          </w:rPr>
          <w:fldChar w:fldCharType="separate"/>
        </w:r>
        <w:r>
          <w:rPr>
            <w:noProof/>
            <w:webHidden/>
          </w:rPr>
          <w:t>41</w:t>
        </w:r>
        <w:r w:rsidR="0079462E">
          <w:rPr>
            <w:noProof/>
            <w:webHidden/>
          </w:rPr>
          <w:fldChar w:fldCharType="end"/>
        </w:r>
      </w:hyperlink>
    </w:p>
    <w:p w14:paraId="58E50A49" w14:textId="5202D2B3" w:rsidR="0079462E" w:rsidRDefault="009F7F4F">
      <w:pPr>
        <w:pStyle w:val="TOC2"/>
        <w:rPr>
          <w:rFonts w:eastAsiaTheme="minorEastAsia"/>
          <w:noProof/>
          <w:color w:val="auto"/>
          <w:lang w:eastAsia="en-AU"/>
        </w:rPr>
      </w:pPr>
      <w:hyperlink w:anchor="_Toc116061446" w:history="1">
        <w:r w:rsidR="0079462E" w:rsidRPr="006560C4">
          <w:rPr>
            <w:rStyle w:val="Hyperlink"/>
            <w:noProof/>
          </w:rPr>
          <w:t>Delisting arrangements</w:t>
        </w:r>
        <w:r w:rsidR="0079462E">
          <w:rPr>
            <w:noProof/>
            <w:webHidden/>
          </w:rPr>
          <w:tab/>
        </w:r>
        <w:r w:rsidR="0079462E">
          <w:rPr>
            <w:noProof/>
            <w:webHidden/>
          </w:rPr>
          <w:fldChar w:fldCharType="begin"/>
        </w:r>
        <w:r w:rsidR="0079462E">
          <w:rPr>
            <w:noProof/>
            <w:webHidden/>
          </w:rPr>
          <w:instrText xml:space="preserve"> PAGEREF _Toc116061446 \h </w:instrText>
        </w:r>
        <w:r w:rsidR="0079462E">
          <w:rPr>
            <w:noProof/>
            <w:webHidden/>
          </w:rPr>
        </w:r>
        <w:r w:rsidR="0079462E">
          <w:rPr>
            <w:noProof/>
            <w:webHidden/>
          </w:rPr>
          <w:fldChar w:fldCharType="separate"/>
        </w:r>
        <w:r>
          <w:rPr>
            <w:noProof/>
            <w:webHidden/>
          </w:rPr>
          <w:t>43</w:t>
        </w:r>
        <w:r w:rsidR="0079462E">
          <w:rPr>
            <w:noProof/>
            <w:webHidden/>
          </w:rPr>
          <w:fldChar w:fldCharType="end"/>
        </w:r>
      </w:hyperlink>
    </w:p>
    <w:p w14:paraId="65C87AD1" w14:textId="731568E9" w:rsidR="0079462E" w:rsidRDefault="009F7F4F">
      <w:pPr>
        <w:pStyle w:val="TOC1"/>
        <w:rPr>
          <w:rFonts w:eastAsiaTheme="minorEastAsia"/>
          <w:b w:val="0"/>
          <w:noProof/>
          <w:color w:val="auto"/>
          <w:sz w:val="22"/>
          <w:u w:val="none"/>
          <w:lang w:eastAsia="en-AU"/>
        </w:rPr>
      </w:pPr>
      <w:hyperlink w:anchor="_Toc116061447" w:history="1">
        <w:r w:rsidR="0079462E" w:rsidRPr="006560C4">
          <w:rPr>
            <w:rStyle w:val="Hyperlink"/>
            <w:noProof/>
          </w:rPr>
          <w:t>Attachment A: Consultation questions</w:t>
        </w:r>
        <w:r w:rsidR="0079462E">
          <w:rPr>
            <w:noProof/>
            <w:webHidden/>
          </w:rPr>
          <w:tab/>
        </w:r>
        <w:r w:rsidR="0079462E">
          <w:rPr>
            <w:noProof/>
            <w:webHidden/>
          </w:rPr>
          <w:fldChar w:fldCharType="begin"/>
        </w:r>
        <w:r w:rsidR="0079462E">
          <w:rPr>
            <w:noProof/>
            <w:webHidden/>
          </w:rPr>
          <w:instrText xml:space="preserve"> PAGEREF _Toc116061447 \h </w:instrText>
        </w:r>
        <w:r w:rsidR="0079462E">
          <w:rPr>
            <w:noProof/>
            <w:webHidden/>
          </w:rPr>
        </w:r>
        <w:r w:rsidR="0079462E">
          <w:rPr>
            <w:noProof/>
            <w:webHidden/>
          </w:rPr>
          <w:fldChar w:fldCharType="separate"/>
        </w:r>
        <w:r>
          <w:rPr>
            <w:noProof/>
            <w:webHidden/>
          </w:rPr>
          <w:t>44</w:t>
        </w:r>
        <w:r w:rsidR="0079462E">
          <w:rPr>
            <w:noProof/>
            <w:webHidden/>
          </w:rPr>
          <w:fldChar w:fldCharType="end"/>
        </w:r>
      </w:hyperlink>
    </w:p>
    <w:p w14:paraId="571C9E22" w14:textId="6F6B99BF" w:rsidR="0079462E" w:rsidRDefault="009F7F4F">
      <w:pPr>
        <w:pStyle w:val="TOC1"/>
        <w:rPr>
          <w:rFonts w:eastAsiaTheme="minorEastAsia"/>
          <w:b w:val="0"/>
          <w:noProof/>
          <w:color w:val="auto"/>
          <w:sz w:val="22"/>
          <w:u w:val="none"/>
          <w:lang w:eastAsia="en-AU"/>
        </w:rPr>
      </w:pPr>
      <w:hyperlink w:anchor="_Toc116061448" w:history="1">
        <w:r w:rsidR="0079462E" w:rsidRPr="006560C4">
          <w:rPr>
            <w:rStyle w:val="Hyperlink"/>
            <w:noProof/>
          </w:rPr>
          <w:t>Attachment B: Current anti-siphoning list</w:t>
        </w:r>
        <w:r w:rsidR="0079462E">
          <w:rPr>
            <w:noProof/>
            <w:webHidden/>
          </w:rPr>
          <w:tab/>
        </w:r>
        <w:r w:rsidR="0079462E">
          <w:rPr>
            <w:noProof/>
            <w:webHidden/>
          </w:rPr>
          <w:fldChar w:fldCharType="begin"/>
        </w:r>
        <w:r w:rsidR="0079462E">
          <w:rPr>
            <w:noProof/>
            <w:webHidden/>
          </w:rPr>
          <w:instrText xml:space="preserve"> PAGEREF _Toc116061448 \h </w:instrText>
        </w:r>
        <w:r w:rsidR="0079462E">
          <w:rPr>
            <w:noProof/>
            <w:webHidden/>
          </w:rPr>
        </w:r>
        <w:r w:rsidR="0079462E">
          <w:rPr>
            <w:noProof/>
            <w:webHidden/>
          </w:rPr>
          <w:fldChar w:fldCharType="separate"/>
        </w:r>
        <w:r>
          <w:rPr>
            <w:noProof/>
            <w:webHidden/>
          </w:rPr>
          <w:t>48</w:t>
        </w:r>
        <w:r w:rsidR="0079462E">
          <w:rPr>
            <w:noProof/>
            <w:webHidden/>
          </w:rPr>
          <w:fldChar w:fldCharType="end"/>
        </w:r>
      </w:hyperlink>
    </w:p>
    <w:p w14:paraId="7FEB6201" w14:textId="71E30F65" w:rsidR="0079462E" w:rsidRDefault="009F7F4F">
      <w:pPr>
        <w:pStyle w:val="TOC1"/>
        <w:rPr>
          <w:rFonts w:eastAsiaTheme="minorEastAsia"/>
          <w:b w:val="0"/>
          <w:noProof/>
          <w:color w:val="auto"/>
          <w:sz w:val="22"/>
          <w:u w:val="none"/>
          <w:lang w:eastAsia="en-AU"/>
        </w:rPr>
      </w:pPr>
      <w:hyperlink w:anchor="_Toc116061449" w:history="1">
        <w:r w:rsidR="0079462E" w:rsidRPr="006560C4">
          <w:rPr>
            <w:rStyle w:val="Hyperlink"/>
            <w:noProof/>
          </w:rPr>
          <w:t>Attachment C: Average free-to-air audiences for major sports</w:t>
        </w:r>
        <w:r w:rsidR="0079462E">
          <w:rPr>
            <w:noProof/>
            <w:webHidden/>
          </w:rPr>
          <w:tab/>
        </w:r>
        <w:r w:rsidR="0079462E">
          <w:rPr>
            <w:noProof/>
            <w:webHidden/>
          </w:rPr>
          <w:fldChar w:fldCharType="begin"/>
        </w:r>
        <w:r w:rsidR="0079462E">
          <w:rPr>
            <w:noProof/>
            <w:webHidden/>
          </w:rPr>
          <w:instrText xml:space="preserve"> PAGEREF _Toc116061449 \h </w:instrText>
        </w:r>
        <w:r w:rsidR="0079462E">
          <w:rPr>
            <w:noProof/>
            <w:webHidden/>
          </w:rPr>
        </w:r>
        <w:r w:rsidR="0079462E">
          <w:rPr>
            <w:noProof/>
            <w:webHidden/>
          </w:rPr>
          <w:fldChar w:fldCharType="separate"/>
        </w:r>
        <w:r>
          <w:rPr>
            <w:noProof/>
            <w:webHidden/>
          </w:rPr>
          <w:t>50</w:t>
        </w:r>
        <w:r w:rsidR="0079462E">
          <w:rPr>
            <w:noProof/>
            <w:webHidden/>
          </w:rPr>
          <w:fldChar w:fldCharType="end"/>
        </w:r>
      </w:hyperlink>
    </w:p>
    <w:p w14:paraId="086C9FDA" w14:textId="7B64D6C1" w:rsidR="007476E0" w:rsidRDefault="00A95970">
      <w:pPr>
        <w:suppressAutoHyphens w:val="0"/>
      </w:pPr>
      <w:r>
        <w:fldChar w:fldCharType="end"/>
      </w:r>
    </w:p>
    <w:p w14:paraId="320C359E" w14:textId="50F7A0CA" w:rsidR="00CF0FB1" w:rsidRDefault="00CF0FB1">
      <w:pPr>
        <w:suppressAutoHyphens w:val="0"/>
      </w:pPr>
    </w:p>
    <w:p w14:paraId="46E054BA" w14:textId="77777777" w:rsidR="00CF0FB1" w:rsidRDefault="00CF0FB1">
      <w:pPr>
        <w:suppressAutoHyphens w:val="0"/>
      </w:pPr>
    </w:p>
    <w:p w14:paraId="3F4170E6" w14:textId="77777777" w:rsidR="007476E0" w:rsidRDefault="007476E0" w:rsidP="007476E0">
      <w:pPr>
        <w:pStyle w:val="TOCHeading"/>
      </w:pPr>
      <w:r>
        <w:t>List of Figures and Tables</w:t>
      </w:r>
    </w:p>
    <w:p w14:paraId="79DBBEC6" w14:textId="6130A2F9" w:rsidR="00094BE9" w:rsidRDefault="007476E0">
      <w:pPr>
        <w:pStyle w:val="TableofFigures"/>
        <w:tabs>
          <w:tab w:val="right" w:pos="9854"/>
        </w:tabs>
        <w:rPr>
          <w:rFonts w:eastAsiaTheme="minorEastAsia"/>
          <w:noProof/>
          <w:color w:val="auto"/>
          <w:lang w:eastAsia="en-AU"/>
        </w:rPr>
      </w:pPr>
      <w:r>
        <w:fldChar w:fldCharType="begin"/>
      </w:r>
      <w:r>
        <w:instrText xml:space="preserve"> TOC \h \z \t "Caption" \c </w:instrText>
      </w:r>
      <w:r>
        <w:fldChar w:fldCharType="separate"/>
      </w:r>
      <w:hyperlink w:anchor="_Toc114487427" w:history="1">
        <w:r w:rsidR="00094BE9" w:rsidRPr="006337D2">
          <w:rPr>
            <w:rStyle w:val="Hyperlink"/>
            <w:noProof/>
          </w:rPr>
          <w:t>Table 1: Sports and associated events currently included under the anti-siphoning list</w:t>
        </w:r>
        <w:r w:rsidR="00094BE9">
          <w:rPr>
            <w:noProof/>
            <w:webHidden/>
          </w:rPr>
          <w:tab/>
        </w:r>
        <w:r w:rsidR="00094BE9">
          <w:rPr>
            <w:noProof/>
            <w:webHidden/>
          </w:rPr>
          <w:fldChar w:fldCharType="begin"/>
        </w:r>
        <w:r w:rsidR="00094BE9">
          <w:rPr>
            <w:noProof/>
            <w:webHidden/>
          </w:rPr>
          <w:instrText xml:space="preserve"> PAGEREF _Toc114487427 \h </w:instrText>
        </w:r>
        <w:r w:rsidR="00094BE9">
          <w:rPr>
            <w:noProof/>
            <w:webHidden/>
          </w:rPr>
        </w:r>
        <w:r w:rsidR="00094BE9">
          <w:rPr>
            <w:noProof/>
            <w:webHidden/>
          </w:rPr>
          <w:fldChar w:fldCharType="separate"/>
        </w:r>
        <w:r w:rsidR="009F7F4F">
          <w:rPr>
            <w:noProof/>
            <w:webHidden/>
          </w:rPr>
          <w:t>11</w:t>
        </w:r>
        <w:r w:rsidR="00094BE9">
          <w:rPr>
            <w:noProof/>
            <w:webHidden/>
          </w:rPr>
          <w:fldChar w:fldCharType="end"/>
        </w:r>
      </w:hyperlink>
    </w:p>
    <w:p w14:paraId="7E32ACA9" w14:textId="61CFC9B4" w:rsidR="00094BE9" w:rsidRDefault="009F7F4F">
      <w:pPr>
        <w:pStyle w:val="TableofFigures"/>
        <w:tabs>
          <w:tab w:val="right" w:pos="9854"/>
        </w:tabs>
        <w:rPr>
          <w:rFonts w:eastAsiaTheme="minorEastAsia"/>
          <w:noProof/>
          <w:color w:val="auto"/>
          <w:lang w:eastAsia="en-AU"/>
        </w:rPr>
      </w:pPr>
      <w:hyperlink w:anchor="_Toc114487428" w:history="1">
        <w:r w:rsidR="00094BE9" w:rsidRPr="006337D2">
          <w:rPr>
            <w:rStyle w:val="Hyperlink"/>
            <w:noProof/>
          </w:rPr>
          <w:t>Figure 1: Increase in viewing options for Australians – number of providers, 1992-2022</w:t>
        </w:r>
        <w:r w:rsidR="00094BE9">
          <w:rPr>
            <w:noProof/>
            <w:webHidden/>
          </w:rPr>
          <w:tab/>
        </w:r>
        <w:r w:rsidR="00094BE9">
          <w:rPr>
            <w:noProof/>
            <w:webHidden/>
          </w:rPr>
          <w:fldChar w:fldCharType="begin"/>
        </w:r>
        <w:r w:rsidR="00094BE9">
          <w:rPr>
            <w:noProof/>
            <w:webHidden/>
          </w:rPr>
          <w:instrText xml:space="preserve"> PAGEREF _Toc114487428 \h </w:instrText>
        </w:r>
        <w:r w:rsidR="00094BE9">
          <w:rPr>
            <w:noProof/>
            <w:webHidden/>
          </w:rPr>
        </w:r>
        <w:r w:rsidR="00094BE9">
          <w:rPr>
            <w:noProof/>
            <w:webHidden/>
          </w:rPr>
          <w:fldChar w:fldCharType="separate"/>
        </w:r>
        <w:r>
          <w:rPr>
            <w:noProof/>
            <w:webHidden/>
          </w:rPr>
          <w:t>14</w:t>
        </w:r>
        <w:r w:rsidR="00094BE9">
          <w:rPr>
            <w:noProof/>
            <w:webHidden/>
          </w:rPr>
          <w:fldChar w:fldCharType="end"/>
        </w:r>
      </w:hyperlink>
    </w:p>
    <w:p w14:paraId="7916BD9C" w14:textId="73478B01" w:rsidR="00094BE9" w:rsidRDefault="009F7F4F">
      <w:pPr>
        <w:pStyle w:val="TableofFigures"/>
        <w:tabs>
          <w:tab w:val="right" w:pos="9854"/>
        </w:tabs>
        <w:rPr>
          <w:rFonts w:eastAsiaTheme="minorEastAsia"/>
          <w:noProof/>
          <w:color w:val="auto"/>
          <w:lang w:eastAsia="en-AU"/>
        </w:rPr>
      </w:pPr>
      <w:hyperlink w:anchor="_Toc114487429" w:history="1">
        <w:r w:rsidR="00094BE9" w:rsidRPr="006337D2">
          <w:rPr>
            <w:rStyle w:val="Hyperlink"/>
            <w:rFonts w:cs="Times New Roman"/>
            <w:noProof/>
          </w:rPr>
          <w:t>Figure 2: Friday night sport continues to attract audiences to free-to-air channels</w:t>
        </w:r>
        <w:r w:rsidR="00094BE9">
          <w:rPr>
            <w:noProof/>
            <w:webHidden/>
          </w:rPr>
          <w:tab/>
        </w:r>
        <w:r w:rsidR="00094BE9">
          <w:rPr>
            <w:noProof/>
            <w:webHidden/>
          </w:rPr>
          <w:fldChar w:fldCharType="begin"/>
        </w:r>
        <w:r w:rsidR="00094BE9">
          <w:rPr>
            <w:noProof/>
            <w:webHidden/>
          </w:rPr>
          <w:instrText xml:space="preserve"> PAGEREF _Toc114487429 \h </w:instrText>
        </w:r>
        <w:r w:rsidR="00094BE9">
          <w:rPr>
            <w:noProof/>
            <w:webHidden/>
          </w:rPr>
        </w:r>
        <w:r w:rsidR="00094BE9">
          <w:rPr>
            <w:noProof/>
            <w:webHidden/>
          </w:rPr>
          <w:fldChar w:fldCharType="separate"/>
        </w:r>
        <w:r>
          <w:rPr>
            <w:noProof/>
            <w:webHidden/>
          </w:rPr>
          <w:t>16</w:t>
        </w:r>
        <w:r w:rsidR="00094BE9">
          <w:rPr>
            <w:noProof/>
            <w:webHidden/>
          </w:rPr>
          <w:fldChar w:fldCharType="end"/>
        </w:r>
      </w:hyperlink>
    </w:p>
    <w:p w14:paraId="7875115D" w14:textId="0C5E3F2C" w:rsidR="00094BE9" w:rsidRDefault="009F7F4F">
      <w:pPr>
        <w:pStyle w:val="TableofFigures"/>
        <w:tabs>
          <w:tab w:val="right" w:pos="9854"/>
        </w:tabs>
        <w:rPr>
          <w:rFonts w:eastAsiaTheme="minorEastAsia"/>
          <w:noProof/>
          <w:color w:val="auto"/>
          <w:lang w:eastAsia="en-AU"/>
        </w:rPr>
      </w:pPr>
      <w:hyperlink w:anchor="_Toc114487430" w:history="1">
        <w:r w:rsidR="00094BE9" w:rsidRPr="006337D2">
          <w:rPr>
            <w:rStyle w:val="Hyperlink"/>
            <w:rFonts w:cs="Times New Roman"/>
            <w:noProof/>
          </w:rPr>
          <w:t>Figure 3: Marquee events continue to draw large viewership</w:t>
        </w:r>
        <w:r w:rsidR="00094BE9">
          <w:rPr>
            <w:noProof/>
            <w:webHidden/>
          </w:rPr>
          <w:tab/>
        </w:r>
        <w:r w:rsidR="00094BE9">
          <w:rPr>
            <w:noProof/>
            <w:webHidden/>
          </w:rPr>
          <w:fldChar w:fldCharType="begin"/>
        </w:r>
        <w:r w:rsidR="00094BE9">
          <w:rPr>
            <w:noProof/>
            <w:webHidden/>
          </w:rPr>
          <w:instrText xml:space="preserve"> PAGEREF _Toc114487430 \h </w:instrText>
        </w:r>
        <w:r w:rsidR="00094BE9">
          <w:rPr>
            <w:noProof/>
            <w:webHidden/>
          </w:rPr>
        </w:r>
        <w:r w:rsidR="00094BE9">
          <w:rPr>
            <w:noProof/>
            <w:webHidden/>
          </w:rPr>
          <w:fldChar w:fldCharType="separate"/>
        </w:r>
        <w:r>
          <w:rPr>
            <w:noProof/>
            <w:webHidden/>
          </w:rPr>
          <w:t>17</w:t>
        </w:r>
        <w:r w:rsidR="00094BE9">
          <w:rPr>
            <w:noProof/>
            <w:webHidden/>
          </w:rPr>
          <w:fldChar w:fldCharType="end"/>
        </w:r>
      </w:hyperlink>
    </w:p>
    <w:p w14:paraId="3E281B31" w14:textId="4FA2D8BD" w:rsidR="00094BE9" w:rsidRDefault="009F7F4F">
      <w:pPr>
        <w:pStyle w:val="TableofFigures"/>
        <w:tabs>
          <w:tab w:val="right" w:pos="9854"/>
        </w:tabs>
        <w:rPr>
          <w:rFonts w:eastAsiaTheme="minorEastAsia"/>
          <w:noProof/>
          <w:color w:val="auto"/>
          <w:lang w:eastAsia="en-AU"/>
        </w:rPr>
      </w:pPr>
      <w:hyperlink w:anchor="_Toc114487431" w:history="1">
        <w:r w:rsidR="00094BE9" w:rsidRPr="006337D2">
          <w:rPr>
            <w:rStyle w:val="Hyperlink"/>
            <w:noProof/>
          </w:rPr>
          <w:t>Table 2: 10 most popular programs on free-to-air television in 2021 (metro areas)</w:t>
        </w:r>
        <w:r w:rsidR="00094BE9">
          <w:rPr>
            <w:noProof/>
            <w:webHidden/>
          </w:rPr>
          <w:tab/>
        </w:r>
        <w:r w:rsidR="00094BE9">
          <w:rPr>
            <w:noProof/>
            <w:webHidden/>
          </w:rPr>
          <w:fldChar w:fldCharType="begin"/>
        </w:r>
        <w:r w:rsidR="00094BE9">
          <w:rPr>
            <w:noProof/>
            <w:webHidden/>
          </w:rPr>
          <w:instrText xml:space="preserve"> PAGEREF _Toc114487431 \h </w:instrText>
        </w:r>
        <w:r w:rsidR="00094BE9">
          <w:rPr>
            <w:noProof/>
            <w:webHidden/>
          </w:rPr>
        </w:r>
        <w:r w:rsidR="00094BE9">
          <w:rPr>
            <w:noProof/>
            <w:webHidden/>
          </w:rPr>
          <w:fldChar w:fldCharType="separate"/>
        </w:r>
        <w:r>
          <w:rPr>
            <w:noProof/>
            <w:webHidden/>
          </w:rPr>
          <w:t>18</w:t>
        </w:r>
        <w:r w:rsidR="00094BE9">
          <w:rPr>
            <w:noProof/>
            <w:webHidden/>
          </w:rPr>
          <w:fldChar w:fldCharType="end"/>
        </w:r>
      </w:hyperlink>
    </w:p>
    <w:p w14:paraId="23A7EAC3" w14:textId="32DE606C" w:rsidR="00094BE9" w:rsidRDefault="009F7F4F">
      <w:pPr>
        <w:pStyle w:val="TableofFigures"/>
        <w:tabs>
          <w:tab w:val="right" w:pos="9854"/>
        </w:tabs>
        <w:rPr>
          <w:rFonts w:eastAsiaTheme="minorEastAsia"/>
          <w:noProof/>
          <w:color w:val="auto"/>
          <w:lang w:eastAsia="en-AU"/>
        </w:rPr>
      </w:pPr>
      <w:hyperlink w:anchor="_Toc114487432" w:history="1">
        <w:r w:rsidR="00094BE9" w:rsidRPr="006337D2">
          <w:rPr>
            <w:rStyle w:val="Hyperlink"/>
            <w:noProof/>
          </w:rPr>
          <w:t>Table 3: 10 most popular programs on subscription television in 2021</w:t>
        </w:r>
        <w:r w:rsidR="00094BE9">
          <w:rPr>
            <w:noProof/>
            <w:webHidden/>
          </w:rPr>
          <w:tab/>
        </w:r>
        <w:r w:rsidR="00094BE9">
          <w:rPr>
            <w:noProof/>
            <w:webHidden/>
          </w:rPr>
          <w:fldChar w:fldCharType="begin"/>
        </w:r>
        <w:r w:rsidR="00094BE9">
          <w:rPr>
            <w:noProof/>
            <w:webHidden/>
          </w:rPr>
          <w:instrText xml:space="preserve"> PAGEREF _Toc114487432 \h </w:instrText>
        </w:r>
        <w:r w:rsidR="00094BE9">
          <w:rPr>
            <w:noProof/>
            <w:webHidden/>
          </w:rPr>
        </w:r>
        <w:r w:rsidR="00094BE9">
          <w:rPr>
            <w:noProof/>
            <w:webHidden/>
          </w:rPr>
          <w:fldChar w:fldCharType="separate"/>
        </w:r>
        <w:r>
          <w:rPr>
            <w:noProof/>
            <w:webHidden/>
          </w:rPr>
          <w:t>18</w:t>
        </w:r>
        <w:r w:rsidR="00094BE9">
          <w:rPr>
            <w:noProof/>
            <w:webHidden/>
          </w:rPr>
          <w:fldChar w:fldCharType="end"/>
        </w:r>
      </w:hyperlink>
    </w:p>
    <w:p w14:paraId="7BE60B03" w14:textId="6F584DFA" w:rsidR="00094BE9" w:rsidRDefault="009F7F4F">
      <w:pPr>
        <w:pStyle w:val="TableofFigures"/>
        <w:tabs>
          <w:tab w:val="right" w:pos="9854"/>
        </w:tabs>
        <w:rPr>
          <w:rFonts w:eastAsiaTheme="minorEastAsia"/>
          <w:noProof/>
          <w:color w:val="auto"/>
          <w:lang w:eastAsia="en-AU"/>
        </w:rPr>
      </w:pPr>
      <w:hyperlink w:anchor="_Toc114487433" w:history="1">
        <w:r w:rsidR="00094BE9" w:rsidRPr="006337D2">
          <w:rPr>
            <w:rStyle w:val="Hyperlink"/>
            <w:noProof/>
          </w:rPr>
          <w:t>Figure 4: Value of select sports broadcasting rights in the Australian market</w:t>
        </w:r>
        <w:r w:rsidR="00094BE9">
          <w:rPr>
            <w:noProof/>
            <w:webHidden/>
          </w:rPr>
          <w:tab/>
        </w:r>
        <w:r w:rsidR="00094BE9">
          <w:rPr>
            <w:noProof/>
            <w:webHidden/>
          </w:rPr>
          <w:fldChar w:fldCharType="begin"/>
        </w:r>
        <w:r w:rsidR="00094BE9">
          <w:rPr>
            <w:noProof/>
            <w:webHidden/>
          </w:rPr>
          <w:instrText xml:space="preserve"> PAGEREF _Toc114487433 \h </w:instrText>
        </w:r>
        <w:r w:rsidR="00094BE9">
          <w:rPr>
            <w:noProof/>
            <w:webHidden/>
          </w:rPr>
        </w:r>
        <w:r w:rsidR="00094BE9">
          <w:rPr>
            <w:noProof/>
            <w:webHidden/>
          </w:rPr>
          <w:fldChar w:fldCharType="separate"/>
        </w:r>
        <w:r>
          <w:rPr>
            <w:noProof/>
            <w:webHidden/>
          </w:rPr>
          <w:t>20</w:t>
        </w:r>
        <w:r w:rsidR="00094BE9">
          <w:rPr>
            <w:noProof/>
            <w:webHidden/>
          </w:rPr>
          <w:fldChar w:fldCharType="end"/>
        </w:r>
      </w:hyperlink>
    </w:p>
    <w:p w14:paraId="43415991" w14:textId="2746218D" w:rsidR="00094BE9" w:rsidRDefault="009F7F4F">
      <w:pPr>
        <w:pStyle w:val="TableofFigures"/>
        <w:tabs>
          <w:tab w:val="right" w:pos="9854"/>
        </w:tabs>
        <w:rPr>
          <w:rFonts w:eastAsiaTheme="minorEastAsia"/>
          <w:noProof/>
          <w:color w:val="auto"/>
          <w:lang w:eastAsia="en-AU"/>
        </w:rPr>
      </w:pPr>
      <w:hyperlink w:anchor="_Toc114487434" w:history="1">
        <w:r w:rsidR="00094BE9" w:rsidRPr="006337D2">
          <w:rPr>
            <w:rStyle w:val="Hyperlink"/>
            <w:noProof/>
          </w:rPr>
          <w:t>Figure 5: Change in online media consumption over the past decade (2010–2020)</w:t>
        </w:r>
        <w:r w:rsidR="00094BE9">
          <w:rPr>
            <w:noProof/>
            <w:webHidden/>
          </w:rPr>
          <w:tab/>
        </w:r>
        <w:r w:rsidR="00094BE9">
          <w:rPr>
            <w:noProof/>
            <w:webHidden/>
          </w:rPr>
          <w:fldChar w:fldCharType="begin"/>
        </w:r>
        <w:r w:rsidR="00094BE9">
          <w:rPr>
            <w:noProof/>
            <w:webHidden/>
          </w:rPr>
          <w:instrText xml:space="preserve"> PAGEREF _Toc114487434 \h </w:instrText>
        </w:r>
        <w:r w:rsidR="00094BE9">
          <w:rPr>
            <w:noProof/>
            <w:webHidden/>
          </w:rPr>
        </w:r>
        <w:r w:rsidR="00094BE9">
          <w:rPr>
            <w:noProof/>
            <w:webHidden/>
          </w:rPr>
          <w:fldChar w:fldCharType="separate"/>
        </w:r>
        <w:r>
          <w:rPr>
            <w:noProof/>
            <w:webHidden/>
          </w:rPr>
          <w:t>28</w:t>
        </w:r>
        <w:r w:rsidR="00094BE9">
          <w:rPr>
            <w:noProof/>
            <w:webHidden/>
          </w:rPr>
          <w:fldChar w:fldCharType="end"/>
        </w:r>
      </w:hyperlink>
    </w:p>
    <w:p w14:paraId="3D15E3AC" w14:textId="04A4FC3F" w:rsidR="00094BE9" w:rsidRDefault="009F7F4F">
      <w:pPr>
        <w:pStyle w:val="TableofFigures"/>
        <w:tabs>
          <w:tab w:val="right" w:pos="9854"/>
        </w:tabs>
        <w:rPr>
          <w:rFonts w:eastAsiaTheme="minorEastAsia"/>
          <w:noProof/>
          <w:color w:val="auto"/>
          <w:lang w:eastAsia="en-AU"/>
        </w:rPr>
      </w:pPr>
      <w:hyperlink w:anchor="_Toc114487435" w:history="1">
        <w:r w:rsidR="00094BE9" w:rsidRPr="006337D2">
          <w:rPr>
            <w:rStyle w:val="Hyperlink"/>
            <w:noProof/>
          </w:rPr>
          <w:t>Table 4: Sports currently included on the list</w:t>
        </w:r>
        <w:r w:rsidR="00094BE9">
          <w:rPr>
            <w:noProof/>
            <w:webHidden/>
          </w:rPr>
          <w:tab/>
        </w:r>
        <w:r w:rsidR="00094BE9">
          <w:rPr>
            <w:noProof/>
            <w:webHidden/>
          </w:rPr>
          <w:fldChar w:fldCharType="begin"/>
        </w:r>
        <w:r w:rsidR="00094BE9">
          <w:rPr>
            <w:noProof/>
            <w:webHidden/>
          </w:rPr>
          <w:instrText xml:space="preserve"> PAGEREF _Toc114487435 \h </w:instrText>
        </w:r>
        <w:r w:rsidR="00094BE9">
          <w:rPr>
            <w:noProof/>
            <w:webHidden/>
          </w:rPr>
        </w:r>
        <w:r w:rsidR="00094BE9">
          <w:rPr>
            <w:noProof/>
            <w:webHidden/>
          </w:rPr>
          <w:fldChar w:fldCharType="separate"/>
        </w:r>
        <w:r>
          <w:rPr>
            <w:noProof/>
            <w:webHidden/>
          </w:rPr>
          <w:t>39</w:t>
        </w:r>
        <w:r w:rsidR="00094BE9">
          <w:rPr>
            <w:noProof/>
            <w:webHidden/>
          </w:rPr>
          <w:fldChar w:fldCharType="end"/>
        </w:r>
      </w:hyperlink>
    </w:p>
    <w:p w14:paraId="1A3B9A93" w14:textId="507A2B4B" w:rsidR="0086091A" w:rsidRDefault="007476E0">
      <w:pPr>
        <w:suppressAutoHyphens w:val="0"/>
      </w:pPr>
      <w:r>
        <w:fldChar w:fldCharType="end"/>
      </w:r>
      <w:r w:rsidR="0086091A">
        <w:br w:type="page"/>
      </w:r>
    </w:p>
    <w:p w14:paraId="0549B581" w14:textId="333684AA" w:rsidR="0086091A" w:rsidRDefault="0086091A" w:rsidP="00243A86">
      <w:pPr>
        <w:pStyle w:val="Heading1"/>
      </w:pPr>
      <w:bookmarkStart w:id="46" w:name="_Toc113361251"/>
      <w:bookmarkStart w:id="47" w:name="_Toc116061389"/>
      <w:r>
        <w:lastRenderedPageBreak/>
        <w:t>Executive Summary</w:t>
      </w:r>
      <w:bookmarkEnd w:id="46"/>
      <w:bookmarkEnd w:id="47"/>
      <w:r>
        <w:t xml:space="preserve"> </w:t>
      </w:r>
    </w:p>
    <w:p w14:paraId="48B0E989" w14:textId="5D79AB99" w:rsidR="00305312" w:rsidRPr="00FF5A29" w:rsidRDefault="00305312" w:rsidP="00FF5A29">
      <w:pPr>
        <w:pStyle w:val="Introduction"/>
        <w:spacing w:before="120" w:after="120"/>
      </w:pPr>
      <w:r w:rsidRPr="00FF5A29">
        <w:t xml:space="preserve">The </w:t>
      </w:r>
      <w:r w:rsidR="007B6436">
        <w:rPr>
          <w:lang w:val="en-US"/>
        </w:rPr>
        <w:t>A</w:t>
      </w:r>
      <w:r w:rsidR="000A207F">
        <w:rPr>
          <w:lang w:val="en-US"/>
        </w:rPr>
        <w:t>lbanese</w:t>
      </w:r>
      <w:r>
        <w:rPr>
          <w:lang w:val="en-US"/>
        </w:rPr>
        <w:t xml:space="preserve"> </w:t>
      </w:r>
      <w:r w:rsidRPr="00FF5A29">
        <w:t>Government committed to undertake a review of the anti-siphoning scheme in the context of the 2022 Federal Election. This consultation paper gives effect to that commitment and initiates the review.</w:t>
      </w:r>
    </w:p>
    <w:p w14:paraId="45FC0616" w14:textId="33E965FC" w:rsidR="00305312" w:rsidRPr="00FF5A29" w:rsidRDefault="00305312" w:rsidP="00FF5A29">
      <w:pPr>
        <w:pStyle w:val="Introduction"/>
        <w:spacing w:before="120" w:after="120"/>
      </w:pPr>
      <w:r w:rsidRPr="00FF5A29">
        <w:t xml:space="preserve">The anti-siphoning scheme regulates the order in which the right to televise events on the </w:t>
      </w:r>
      <w:r w:rsidRPr="008714E0">
        <w:rPr>
          <w:i/>
        </w:rPr>
        <w:t>Broadcasting Services (Events) Notice (No. 1) 2010</w:t>
      </w:r>
      <w:r w:rsidRPr="00FF5A29">
        <w:t xml:space="preserve"> (the anti-siphoning list) may be acquired by licensed television broadcasters.</w:t>
      </w:r>
    </w:p>
    <w:p w14:paraId="7082413F" w14:textId="3A8C6D12" w:rsidR="00305312" w:rsidRPr="00243A86" w:rsidRDefault="00305312" w:rsidP="00FF5A29">
      <w:pPr>
        <w:rPr>
          <w:lang w:val="en-US"/>
        </w:rPr>
      </w:pPr>
      <w:r w:rsidRPr="00243A86">
        <w:rPr>
          <w:lang w:val="en-US"/>
        </w:rPr>
        <w:t>The review will examine the role and impact of the scheme in a contemporary media environment. This will include the composition of the</w:t>
      </w:r>
      <w:r w:rsidR="0059323D">
        <w:rPr>
          <w:lang w:val="en-US"/>
        </w:rPr>
        <w:t xml:space="preserve"> anti-siphoning</w:t>
      </w:r>
      <w:r w:rsidRPr="00243A86">
        <w:rPr>
          <w:lang w:val="en-US"/>
        </w:rPr>
        <w:t xml:space="preserve"> list, noting that the current list i</w:t>
      </w:r>
      <w:r w:rsidR="00733979">
        <w:rPr>
          <w:lang w:val="en-US"/>
        </w:rPr>
        <w:t>s</w:t>
      </w:r>
      <w:r w:rsidRPr="00243A86">
        <w:rPr>
          <w:lang w:val="en-US"/>
        </w:rPr>
        <w:t xml:space="preserve"> due to expire </w:t>
      </w:r>
      <w:r w:rsidR="004240F9">
        <w:rPr>
          <w:lang w:val="en-US"/>
        </w:rPr>
        <w:t>on 1</w:t>
      </w:r>
      <w:r w:rsidR="00541A8F">
        <w:rPr>
          <w:lang w:val="en-US"/>
        </w:rPr>
        <w:t> </w:t>
      </w:r>
      <w:r w:rsidRPr="00243A86">
        <w:rPr>
          <w:lang w:val="en-US"/>
        </w:rPr>
        <w:t>April</w:t>
      </w:r>
      <w:r w:rsidR="00541A8F">
        <w:rPr>
          <w:lang w:val="en-US"/>
        </w:rPr>
        <w:t> </w:t>
      </w:r>
      <w:r w:rsidRPr="00243A86">
        <w:rPr>
          <w:lang w:val="en-US"/>
        </w:rPr>
        <w:t>2023.</w:t>
      </w:r>
    </w:p>
    <w:p w14:paraId="500E041F" w14:textId="2D836C0A" w:rsidR="00305312" w:rsidRDefault="00305312" w:rsidP="00282076">
      <w:pPr>
        <w:rPr>
          <w:lang w:val="en-US"/>
        </w:rPr>
      </w:pPr>
      <w:r>
        <w:rPr>
          <w:lang w:val="en-US"/>
        </w:rPr>
        <w:t xml:space="preserve">As outlined in the Explanatory Memorandum to the </w:t>
      </w:r>
      <w:r w:rsidR="00541A8F">
        <w:rPr>
          <w:lang w:val="en-US"/>
        </w:rPr>
        <w:t>bill</w:t>
      </w:r>
      <w:r>
        <w:rPr>
          <w:lang w:val="en-US"/>
        </w:rPr>
        <w:t xml:space="preserve"> that introduced the original provisions, the </w:t>
      </w:r>
      <w:r w:rsidR="004204E9" w:rsidRPr="004204E9">
        <w:rPr>
          <w:lang w:val="en-US"/>
        </w:rPr>
        <w:t>objective</w:t>
      </w:r>
      <w:r w:rsidRPr="004204E9">
        <w:rPr>
          <w:lang w:val="en-US"/>
        </w:rPr>
        <w:t xml:space="preserve"> of the scheme </w:t>
      </w:r>
      <w:r w:rsidR="00541A8F">
        <w:rPr>
          <w:lang w:val="en-US"/>
        </w:rPr>
        <w:t>is</w:t>
      </w:r>
      <w:r w:rsidR="00541A8F" w:rsidRPr="004204E9">
        <w:rPr>
          <w:lang w:val="en-US"/>
        </w:rPr>
        <w:t xml:space="preserve"> </w:t>
      </w:r>
      <w:r w:rsidRPr="004204E9">
        <w:rPr>
          <w:lang w:val="en-US"/>
        </w:rPr>
        <w:t>to ensure</w:t>
      </w:r>
      <w:r w:rsidR="00541A8F">
        <w:rPr>
          <w:lang w:val="en-US"/>
        </w:rPr>
        <w:t>:</w:t>
      </w:r>
    </w:p>
    <w:p w14:paraId="44C10B61" w14:textId="67E102BD" w:rsidR="00305312" w:rsidRPr="00B1015D" w:rsidRDefault="00305312" w:rsidP="00FF5A29">
      <w:pPr>
        <w:spacing w:before="80"/>
        <w:ind w:left="567" w:right="794"/>
        <w:rPr>
          <w:lang w:val="en-US"/>
        </w:rPr>
      </w:pPr>
      <w:r w:rsidRPr="00B1015D">
        <w:rPr>
          <w:lang w:val="en-US"/>
        </w:rPr>
        <w:t>“</w:t>
      </w:r>
      <w:r w:rsidR="0059323D">
        <w:rPr>
          <w:i/>
          <w:lang w:val="en-US"/>
        </w:rPr>
        <w:t>…</w:t>
      </w:r>
      <w:r w:rsidRPr="00172735">
        <w:rPr>
          <w:i/>
          <w:lang w:val="en-US"/>
        </w:rPr>
        <w:t xml:space="preserve">on equity grounds, that Australians </w:t>
      </w:r>
      <w:r w:rsidR="004204E9" w:rsidRPr="00172735">
        <w:rPr>
          <w:i/>
          <w:lang w:val="en-US"/>
        </w:rPr>
        <w:t xml:space="preserve">will </w:t>
      </w:r>
      <w:r w:rsidRPr="00172735">
        <w:rPr>
          <w:i/>
          <w:lang w:val="en-US"/>
        </w:rPr>
        <w:t>continue to have free access to important events. It will, however, also allow subscription television broadcasters to negotiate subsequent rights to complementary, or more detailed, coverage of events</w:t>
      </w:r>
      <w:r w:rsidRPr="00B1015D">
        <w:rPr>
          <w:lang w:val="en-US"/>
        </w:rPr>
        <w:t>.”</w:t>
      </w:r>
      <w:r w:rsidR="00541A8F">
        <w:rPr>
          <w:rStyle w:val="FootnoteReference"/>
          <w:lang w:val="en-US"/>
        </w:rPr>
        <w:footnoteReference w:id="2"/>
      </w:r>
      <w:r w:rsidRPr="00B1015D">
        <w:rPr>
          <w:lang w:val="en-US"/>
        </w:rPr>
        <w:t xml:space="preserve"> </w:t>
      </w:r>
    </w:p>
    <w:p w14:paraId="3CDE5437" w14:textId="6EED66EE" w:rsidR="00305312" w:rsidRDefault="00305312" w:rsidP="00FF5A29">
      <w:r>
        <w:t>The central question for this review is whether this broad objective of free access to televised coverage of important events is being met by the scheme and</w:t>
      </w:r>
      <w:r w:rsidR="0059323D">
        <w:t xml:space="preserve"> </w:t>
      </w:r>
      <w:r w:rsidR="005B4593">
        <w:t>the</w:t>
      </w:r>
      <w:r w:rsidR="00F1699D">
        <w:t xml:space="preserve"> anti-siphoning</w:t>
      </w:r>
      <w:r w:rsidR="005B4593">
        <w:t xml:space="preserve"> </w:t>
      </w:r>
      <w:r>
        <w:t>list in their current form, and whether changes to these regulatory arrangements are warranted.</w:t>
      </w:r>
    </w:p>
    <w:p w14:paraId="68F06E61" w14:textId="1EC33F99" w:rsidR="005B4593" w:rsidRDefault="0020011B" w:rsidP="00FF5A29">
      <w:r>
        <w:t>T</w:t>
      </w:r>
      <w:r w:rsidR="00305312">
        <w:t>he scheme seeks to promote the objective of free access to iconic events through free-to-air television</w:t>
      </w:r>
      <w:r w:rsidR="00305312" w:rsidRPr="00D528AD">
        <w:t xml:space="preserve"> broadcast</w:t>
      </w:r>
      <w:r w:rsidR="00305312">
        <w:t xml:space="preserve">ing services – licensed commercial television broadcasters and the national broadcasters. </w:t>
      </w:r>
      <w:r>
        <w:t xml:space="preserve">It does so by </w:t>
      </w:r>
      <w:r w:rsidR="00305312">
        <w:t>prevent</w:t>
      </w:r>
      <w:r>
        <w:t>ing</w:t>
      </w:r>
      <w:r w:rsidR="00305312">
        <w:t xml:space="preserve"> subscription television broadcasting licensees from acquiring a right to televise an event on the </w:t>
      </w:r>
      <w:r w:rsidR="00D24A27">
        <w:t xml:space="preserve">anti-siphoning </w:t>
      </w:r>
      <w:r w:rsidR="00305312">
        <w:t>list until a</w:t>
      </w:r>
      <w:r w:rsidR="00945EDD">
        <w:t xml:space="preserve"> free-to-air</w:t>
      </w:r>
      <w:r w:rsidR="00305312">
        <w:t xml:space="preserve"> broadcaster has a</w:t>
      </w:r>
      <w:r w:rsidR="00945EDD">
        <w:t>cquired that</w:t>
      </w:r>
      <w:r w:rsidR="00305312">
        <w:t xml:space="preserve"> right</w:t>
      </w:r>
      <w:r w:rsidR="00281D46">
        <w:t xml:space="preserve">, or the event is automatically delisted (removed) from the list </w:t>
      </w:r>
      <w:r w:rsidR="000E2419">
        <w:t>4,368 hours (</w:t>
      </w:r>
      <w:r w:rsidR="00281D46">
        <w:t>26 weeks</w:t>
      </w:r>
      <w:r w:rsidR="000E2419">
        <w:t>)</w:t>
      </w:r>
      <w:r w:rsidR="00281D46">
        <w:t xml:space="preserve"> prior to it commencing</w:t>
      </w:r>
      <w:r w:rsidR="008930A4">
        <w:t>.</w:t>
      </w:r>
    </w:p>
    <w:p w14:paraId="3851A2DD" w14:textId="6BA2065D" w:rsidR="00305312" w:rsidRDefault="003947A7" w:rsidP="00FF5A29">
      <w:pPr>
        <w:rPr>
          <w:lang w:val="en-US"/>
        </w:rPr>
      </w:pPr>
      <w:r>
        <w:t>Currently, the scheme does</w:t>
      </w:r>
      <w:r w:rsidR="00603A56">
        <w:t xml:space="preserve"> not</w:t>
      </w:r>
      <w:r w:rsidR="005B4593">
        <w:t xml:space="preserve"> </w:t>
      </w:r>
      <w:r>
        <w:t xml:space="preserve">require free-to-air </w:t>
      </w:r>
      <w:r w:rsidR="004204E9">
        <w:t xml:space="preserve">broadcasters to </w:t>
      </w:r>
      <w:r>
        <w:t>acquire rights</w:t>
      </w:r>
      <w:r w:rsidR="005B4593">
        <w:t xml:space="preserve"> </w:t>
      </w:r>
      <w:r w:rsidR="00B656F9">
        <w:t>to events on the</w:t>
      </w:r>
      <w:r w:rsidR="00D24A27">
        <w:t xml:space="preserve"> anti-siphoning</w:t>
      </w:r>
      <w:r w:rsidR="00B656F9">
        <w:t xml:space="preserve"> list, </w:t>
      </w:r>
      <w:r w:rsidR="005B4593">
        <w:t>or</w:t>
      </w:r>
      <w:r w:rsidR="008930A4">
        <w:t xml:space="preserve"> </w:t>
      </w:r>
      <w:r>
        <w:t>to televise event</w:t>
      </w:r>
      <w:r w:rsidR="005B4593">
        <w:t>s</w:t>
      </w:r>
      <w:r>
        <w:t xml:space="preserve"> they </w:t>
      </w:r>
      <w:r w:rsidR="005B4593">
        <w:t xml:space="preserve">do </w:t>
      </w:r>
      <w:r>
        <w:t>acquire</w:t>
      </w:r>
      <w:r w:rsidR="005B4593">
        <w:t>. It also does</w:t>
      </w:r>
      <w:r w:rsidR="00603A56">
        <w:t xml:space="preserve"> not</w:t>
      </w:r>
      <w:r w:rsidR="005B4593">
        <w:t xml:space="preserve"> </w:t>
      </w:r>
      <w:r>
        <w:t xml:space="preserve">prevent </w:t>
      </w:r>
      <w:r w:rsidR="005B4593">
        <w:t xml:space="preserve">free-to-air broadcasters from </w:t>
      </w:r>
      <w:r w:rsidR="004204E9">
        <w:t>on-</w:t>
      </w:r>
      <w:r>
        <w:t xml:space="preserve">selling some or all of </w:t>
      </w:r>
      <w:r w:rsidR="005B4593">
        <w:t>the rights they hold</w:t>
      </w:r>
      <w:r>
        <w:t xml:space="preserve">. </w:t>
      </w:r>
      <w:r w:rsidR="00A00B87">
        <w:t>I</w:t>
      </w:r>
      <w:r w:rsidR="004204E9">
        <w:t>n effect</w:t>
      </w:r>
      <w:r w:rsidR="0020011B">
        <w:t>,</w:t>
      </w:r>
      <w:r w:rsidR="004204E9">
        <w:t xml:space="preserve"> the scheme serves to </w:t>
      </w:r>
      <w:r w:rsidR="004204E9" w:rsidRPr="00426C32">
        <w:rPr>
          <w:lang w:val="en-US"/>
        </w:rPr>
        <w:t>increase the likelihood of, rather than</w:t>
      </w:r>
      <w:r w:rsidR="005B4593">
        <w:rPr>
          <w:lang w:val="en-US"/>
        </w:rPr>
        <w:t xml:space="preserve"> </w:t>
      </w:r>
      <w:r w:rsidR="004204E9" w:rsidRPr="00426C32">
        <w:rPr>
          <w:lang w:val="en-US"/>
        </w:rPr>
        <w:t xml:space="preserve">guarantee, </w:t>
      </w:r>
      <w:r w:rsidR="004204E9">
        <w:rPr>
          <w:lang w:val="en-US"/>
        </w:rPr>
        <w:t>free televised coverage of iconic and nationally important events</w:t>
      </w:r>
      <w:r w:rsidR="00E2323E">
        <w:rPr>
          <w:lang w:val="en-US"/>
        </w:rPr>
        <w:t>.</w:t>
      </w:r>
    </w:p>
    <w:p w14:paraId="05AD64B4" w14:textId="3FE2924E" w:rsidR="00541A8F" w:rsidRDefault="00281D46" w:rsidP="00FF5A29">
      <w:r>
        <w:t>The scheme also does</w:t>
      </w:r>
      <w:r w:rsidR="00603A56">
        <w:t xml:space="preserve"> not</w:t>
      </w:r>
      <w:r>
        <w:t xml:space="preserve"> apply to online services, including: streaming services such as Netflix and Amazon Prime Video; dedicated Over-The-Top </w:t>
      </w:r>
      <w:r w:rsidR="000E2419">
        <w:t xml:space="preserve">(OTT) </w:t>
      </w:r>
      <w:r>
        <w:t>sports services like Kayo Sports and Optus Sport; Broadcast Video On Demand</w:t>
      </w:r>
      <w:r w:rsidR="00E85F8C">
        <w:t xml:space="preserve"> (BVOD)</w:t>
      </w:r>
      <w:r>
        <w:t xml:space="preserve"> services such as 9Now and 7plus; </w:t>
      </w:r>
      <w:r w:rsidR="00541A8F">
        <w:t>or</w:t>
      </w:r>
      <w:r>
        <w:t xml:space="preserve"> digital platforms such as Twitter and YouTube.</w:t>
      </w:r>
    </w:p>
    <w:p w14:paraId="2EE1CCCE" w14:textId="525436F9" w:rsidR="00305312" w:rsidRDefault="00305312" w:rsidP="00FF5A29">
      <w:r>
        <w:t>While the scheme targets traditional broadcasting sectors, the market in which sporting events are televised and consumed by audiences is rapidly evolving</w:t>
      </w:r>
      <w:r w:rsidR="00603777">
        <w:t xml:space="preserve">. It is a </w:t>
      </w:r>
      <w:r>
        <w:t xml:space="preserve">very different </w:t>
      </w:r>
      <w:r w:rsidR="00603777">
        <w:t xml:space="preserve">market today compared with the one </w:t>
      </w:r>
      <w:r>
        <w:t>in existence at the time the scheme was implemented.</w:t>
      </w:r>
    </w:p>
    <w:p w14:paraId="51524879" w14:textId="361EE0B0" w:rsidR="00541A8F" w:rsidRDefault="00305312" w:rsidP="00665D0D">
      <w:pPr>
        <w:pStyle w:val="ListParagraph"/>
        <w:numPr>
          <w:ilvl w:val="0"/>
          <w:numId w:val="114"/>
        </w:numPr>
        <w:spacing w:after="120" w:line="240" w:lineRule="auto"/>
        <w:ind w:left="357" w:hanging="357"/>
        <w:contextualSpacing w:val="0"/>
      </w:pPr>
      <w:r>
        <w:t>Australians’ viewing options have broadened in the past decade to include online services, and viewers’ habits are changing as a result.</w:t>
      </w:r>
    </w:p>
    <w:p w14:paraId="479EB65E" w14:textId="5A86A66D" w:rsidR="00603777" w:rsidRDefault="00305312" w:rsidP="008D776A">
      <w:pPr>
        <w:pStyle w:val="ListParagraph"/>
        <w:numPr>
          <w:ilvl w:val="0"/>
          <w:numId w:val="114"/>
        </w:numPr>
        <w:spacing w:before="80" w:after="80" w:line="240" w:lineRule="auto"/>
        <w:ind w:left="357" w:hanging="357"/>
        <w:contextualSpacing w:val="0"/>
      </w:pPr>
      <w:r w:rsidRPr="00D528AD">
        <w:t xml:space="preserve">Sport is one of the few genres of programming that continues to </w:t>
      </w:r>
      <w:r w:rsidR="0020011B">
        <w:t>attract</w:t>
      </w:r>
      <w:r w:rsidRPr="00D528AD">
        <w:t xml:space="preserve"> audience</w:t>
      </w:r>
      <w:r w:rsidR="00603777">
        <w:t xml:space="preserve">s in significant </w:t>
      </w:r>
      <w:r w:rsidRPr="00D528AD">
        <w:t>numbers</w:t>
      </w:r>
      <w:r w:rsidR="00541A8F">
        <w:t>,</w:t>
      </w:r>
      <w:r w:rsidR="00603777">
        <w:t xml:space="preserve"> and the value of </w:t>
      </w:r>
      <w:r w:rsidR="003C2E4E">
        <w:t>high</w:t>
      </w:r>
      <w:r w:rsidR="0094495C">
        <w:t>-</w:t>
      </w:r>
      <w:r w:rsidR="003C2E4E">
        <w:t xml:space="preserve">profile </w:t>
      </w:r>
      <w:r w:rsidR="00603777">
        <w:t>sports rights has grown exponentially over recent years.</w:t>
      </w:r>
    </w:p>
    <w:p w14:paraId="43A70D8F" w14:textId="4D6459DA" w:rsidR="00B656F9" w:rsidRDefault="00305312" w:rsidP="00FF5A29">
      <w:r w:rsidRPr="006B7BC6">
        <w:rPr>
          <w:lang w:val="x-none"/>
        </w:rPr>
        <w:lastRenderedPageBreak/>
        <w:t xml:space="preserve">As </w:t>
      </w:r>
      <w:r w:rsidR="004204E9">
        <w:rPr>
          <w:lang w:val="en-US"/>
        </w:rPr>
        <w:t>the</w:t>
      </w:r>
      <w:r>
        <w:rPr>
          <w:lang w:val="en-US"/>
        </w:rPr>
        <w:t xml:space="preserve"> </w:t>
      </w:r>
      <w:r>
        <w:t>market evolves, there are questions as to the role and scope of the scheme</w:t>
      </w:r>
      <w:r w:rsidR="00603777">
        <w:t>. This consultation paper sets out a range of issues associated with the regulation of sports coverage</w:t>
      </w:r>
      <w:r w:rsidR="00B656F9">
        <w:t>. To this end, the paper is organised into two parts</w:t>
      </w:r>
      <w:r w:rsidR="008930A4">
        <w:t>.</w:t>
      </w:r>
    </w:p>
    <w:p w14:paraId="0475FE4D" w14:textId="77777777" w:rsidR="00BD520F" w:rsidRDefault="00B656F9" w:rsidP="002C21E2">
      <w:r w:rsidRPr="00E85F8C">
        <w:rPr>
          <w:b/>
        </w:rPr>
        <w:t>Part 1</w:t>
      </w:r>
      <w:r>
        <w:t xml:space="preserve"> of </w:t>
      </w:r>
      <w:r w:rsidR="00FB7AF8">
        <w:t xml:space="preserve">the </w:t>
      </w:r>
      <w:r>
        <w:t>paper describes the sports and broadcasting environment in Australia</w:t>
      </w:r>
      <w:r w:rsidR="00C67728">
        <w:t xml:space="preserve"> and provides </w:t>
      </w:r>
      <w:r w:rsidR="00427D3D">
        <w:t xml:space="preserve">relevant </w:t>
      </w:r>
      <w:r>
        <w:t xml:space="preserve">background </w:t>
      </w:r>
      <w:r w:rsidR="00427D3D">
        <w:t>to</w:t>
      </w:r>
      <w:r>
        <w:t xml:space="preserve"> the review. </w:t>
      </w:r>
    </w:p>
    <w:p w14:paraId="144A5CDA" w14:textId="77777777" w:rsidR="00BD520F" w:rsidRPr="00BD520F" w:rsidRDefault="00B656F9" w:rsidP="00665D0D">
      <w:pPr>
        <w:pStyle w:val="ListParagraph"/>
        <w:numPr>
          <w:ilvl w:val="0"/>
          <w:numId w:val="114"/>
        </w:numPr>
        <w:spacing w:after="120" w:line="240" w:lineRule="auto"/>
        <w:ind w:left="357" w:hanging="357"/>
        <w:contextualSpacing w:val="0"/>
        <w:rPr>
          <w:u w:val="single"/>
        </w:rPr>
      </w:pPr>
      <w:r w:rsidRPr="00E85F8C">
        <w:rPr>
          <w:u w:val="single"/>
        </w:rPr>
        <w:t>Chapters 1 and 2</w:t>
      </w:r>
      <w:r w:rsidRPr="00B0559E">
        <w:t xml:space="preserve"> summarise, respectively, the role of sport in Australian society and the operation of the anti-siphoning scheme.</w:t>
      </w:r>
      <w:r w:rsidRPr="00BD520F">
        <w:rPr>
          <w:u w:val="single"/>
        </w:rPr>
        <w:t xml:space="preserve"> </w:t>
      </w:r>
    </w:p>
    <w:p w14:paraId="7F987409" w14:textId="4C167319" w:rsidR="00B656F9" w:rsidRPr="00B0559E" w:rsidRDefault="00B656F9" w:rsidP="00665D0D">
      <w:pPr>
        <w:pStyle w:val="ListParagraph"/>
        <w:numPr>
          <w:ilvl w:val="0"/>
          <w:numId w:val="114"/>
        </w:numPr>
        <w:spacing w:after="120" w:line="240" w:lineRule="auto"/>
        <w:ind w:left="357" w:hanging="357"/>
        <w:contextualSpacing w:val="0"/>
      </w:pPr>
      <w:r w:rsidRPr="00E85F8C">
        <w:rPr>
          <w:u w:val="single"/>
        </w:rPr>
        <w:t>Chapter 3</w:t>
      </w:r>
      <w:r w:rsidRPr="00B0559E">
        <w:t xml:space="preserve"> examines trends in sports coverage and consumption in Australia.</w:t>
      </w:r>
    </w:p>
    <w:p w14:paraId="090AC83E" w14:textId="1484F4F9" w:rsidR="008930A4" w:rsidRDefault="00B656F9" w:rsidP="002C21E2">
      <w:r w:rsidRPr="00E85F8C">
        <w:rPr>
          <w:b/>
        </w:rPr>
        <w:t>Part 2</w:t>
      </w:r>
      <w:r>
        <w:t xml:space="preserve"> of the paper</w:t>
      </w:r>
      <w:r w:rsidR="00C67728">
        <w:t xml:space="preserve"> steps thro</w:t>
      </w:r>
      <w:r w:rsidR="00427D3D">
        <w:t xml:space="preserve">ugh </w:t>
      </w:r>
      <w:r w:rsidR="00541A8F">
        <w:t>a number</w:t>
      </w:r>
      <w:r w:rsidR="00427D3D">
        <w:t xml:space="preserve"> of </w:t>
      </w:r>
      <w:r w:rsidR="00541A8F">
        <w:t xml:space="preserve">specific </w:t>
      </w:r>
      <w:r w:rsidR="00427D3D">
        <w:t xml:space="preserve">issues that will be </w:t>
      </w:r>
      <w:r w:rsidR="00541A8F">
        <w:t>relevant to</w:t>
      </w:r>
      <w:r w:rsidR="00427D3D">
        <w:t xml:space="preserve"> the review.</w:t>
      </w:r>
    </w:p>
    <w:p w14:paraId="6D2E10A7" w14:textId="441A4831" w:rsidR="008930A4" w:rsidRDefault="00427D3D" w:rsidP="00665D0D">
      <w:pPr>
        <w:pStyle w:val="ListParagraph"/>
        <w:numPr>
          <w:ilvl w:val="0"/>
          <w:numId w:val="114"/>
        </w:numPr>
        <w:spacing w:after="120" w:line="240" w:lineRule="auto"/>
        <w:ind w:left="357" w:hanging="357"/>
        <w:contextualSpacing w:val="0"/>
      </w:pPr>
      <w:r w:rsidRPr="00E85F8C">
        <w:rPr>
          <w:u w:val="single"/>
        </w:rPr>
        <w:t>Chapter 4</w:t>
      </w:r>
      <w:r>
        <w:t xml:space="preserve"> sets out two key threshold issues for the scheme: the policy objective of providing free </w:t>
      </w:r>
      <w:r w:rsidR="002C21E2">
        <w:t xml:space="preserve">access to televised coverage of important events; and the mechanism (currently the scheme and </w:t>
      </w:r>
      <w:r w:rsidR="00D24A27">
        <w:t xml:space="preserve">anti-siphoning </w:t>
      </w:r>
      <w:r w:rsidR="002C21E2">
        <w:t>list) for achieving this objective.</w:t>
      </w:r>
    </w:p>
    <w:p w14:paraId="50D09C6E" w14:textId="122523D2" w:rsidR="008930A4" w:rsidRDefault="002C21E2" w:rsidP="00665D0D">
      <w:pPr>
        <w:pStyle w:val="ListParagraph"/>
        <w:numPr>
          <w:ilvl w:val="0"/>
          <w:numId w:val="114"/>
        </w:numPr>
        <w:spacing w:after="120" w:line="240" w:lineRule="auto"/>
        <w:ind w:left="357" w:hanging="357"/>
        <w:contextualSpacing w:val="0"/>
      </w:pPr>
      <w:r w:rsidRPr="00E85F8C">
        <w:rPr>
          <w:u w:val="single"/>
        </w:rPr>
        <w:t>Chapter 5</w:t>
      </w:r>
      <w:r w:rsidR="008C59A5">
        <w:t xml:space="preserve"> concerns the scheme itself and seeks views on: the potential application </w:t>
      </w:r>
      <w:r w:rsidR="00541A8F">
        <w:t xml:space="preserve">of the scheme </w:t>
      </w:r>
      <w:r w:rsidR="008C59A5">
        <w:t>to new media; the regulatory rule at the heart of the scheme; the use and di</w:t>
      </w:r>
      <w:r w:rsidR="008930A4">
        <w:t xml:space="preserve">sposal of rights to televise </w:t>
      </w:r>
      <w:r w:rsidR="008C59A5">
        <w:t>event</w:t>
      </w:r>
      <w:r w:rsidR="00BA7C27">
        <w:t>s</w:t>
      </w:r>
      <w:r w:rsidR="008930A4">
        <w:t xml:space="preserve"> on the</w:t>
      </w:r>
      <w:r w:rsidR="00D24A27">
        <w:t xml:space="preserve"> anti-siphoning</w:t>
      </w:r>
      <w:r w:rsidR="008930A4">
        <w:t xml:space="preserve"> list</w:t>
      </w:r>
      <w:r w:rsidR="008C59A5">
        <w:t xml:space="preserve">; </w:t>
      </w:r>
      <w:r w:rsidR="008930A4">
        <w:t xml:space="preserve">the </w:t>
      </w:r>
      <w:r w:rsidR="008C59A5">
        <w:t>coverage of anti-siphoning listed events; and information disclosure and gathering.</w:t>
      </w:r>
    </w:p>
    <w:p w14:paraId="07CEFF78" w14:textId="6692317A" w:rsidR="00603777" w:rsidRDefault="008C59A5" w:rsidP="00665D0D">
      <w:pPr>
        <w:pStyle w:val="ListParagraph"/>
        <w:numPr>
          <w:ilvl w:val="0"/>
          <w:numId w:val="114"/>
        </w:numPr>
        <w:spacing w:after="120" w:line="240" w:lineRule="auto"/>
        <w:ind w:left="357" w:hanging="357"/>
        <w:contextualSpacing w:val="0"/>
      </w:pPr>
      <w:r w:rsidRPr="00E85F8C">
        <w:rPr>
          <w:u w:val="single"/>
        </w:rPr>
        <w:t>Chapter 6</w:t>
      </w:r>
      <w:r>
        <w:t xml:space="preserve"> concerns the composition of the</w:t>
      </w:r>
      <w:r w:rsidR="00D24A27">
        <w:t xml:space="preserve"> anti-siphoning</w:t>
      </w:r>
      <w:r>
        <w:t xml:space="preserve"> list and invites comment on: the sports and events that should be listed; the construction of the list and the concept of tiers; and the delisting arrangements</w:t>
      </w:r>
      <w:r w:rsidR="00427D3D">
        <w:t>.</w:t>
      </w:r>
    </w:p>
    <w:p w14:paraId="4613985C" w14:textId="4F331358" w:rsidR="0086091A" w:rsidRDefault="00603777" w:rsidP="00FF5A29">
      <w:pPr>
        <w:rPr>
          <w:rFonts w:asciiTheme="majorHAnsi" w:eastAsiaTheme="majorEastAsia" w:hAnsiTheme="majorHAnsi" w:cstheme="majorBidi"/>
          <w:color w:val="081E3E" w:themeColor="text2"/>
          <w:sz w:val="44"/>
          <w:szCs w:val="32"/>
        </w:rPr>
      </w:pPr>
      <w:r>
        <w:t xml:space="preserve">The views collated through this process will inform the </w:t>
      </w:r>
      <w:r w:rsidR="00541A8F">
        <w:t>G</w:t>
      </w:r>
      <w:r>
        <w:t xml:space="preserve">overnment’s </w:t>
      </w:r>
      <w:r w:rsidR="00CD622B">
        <w:t>assessment</w:t>
      </w:r>
      <w:r>
        <w:t xml:space="preserve"> of </w:t>
      </w:r>
      <w:r w:rsidR="00CD622B">
        <w:t xml:space="preserve">the operation of the existing scheme and </w:t>
      </w:r>
      <w:r w:rsidR="00945EDD">
        <w:t xml:space="preserve">anti-siphoning </w:t>
      </w:r>
      <w:r w:rsidR="00CD622B">
        <w:t>list and the consideration of potential reforms.</w:t>
      </w:r>
      <w:r w:rsidR="0086091A">
        <w:br w:type="page"/>
      </w:r>
    </w:p>
    <w:p w14:paraId="5AFCF26F" w14:textId="13225F3C" w:rsidR="0086091A" w:rsidRDefault="0086091A" w:rsidP="00243A86">
      <w:pPr>
        <w:pStyle w:val="Heading1"/>
      </w:pPr>
      <w:bookmarkStart w:id="48" w:name="_Toc113361252"/>
      <w:bookmarkStart w:id="49" w:name="_Toc116061390"/>
      <w:r>
        <w:lastRenderedPageBreak/>
        <w:t>Make your views known</w:t>
      </w:r>
      <w:bookmarkEnd w:id="48"/>
      <w:bookmarkEnd w:id="49"/>
    </w:p>
    <w:p w14:paraId="6DD3DA93" w14:textId="3F012B32" w:rsidR="0086091A" w:rsidRPr="00030AC6" w:rsidRDefault="0086091A" w:rsidP="0086091A">
      <w:r w:rsidRPr="00030AC6">
        <w:t>The Department of Infrastructure, Transport, Regional Development, Communications and the Arts (</w:t>
      </w:r>
      <w:r w:rsidR="00FB7AF8" w:rsidRPr="00030AC6">
        <w:t>the</w:t>
      </w:r>
      <w:r w:rsidR="00FB7AF8">
        <w:t> </w:t>
      </w:r>
      <w:r w:rsidRPr="00030AC6">
        <w:t xml:space="preserve">department) is seeking feedback from interested parties on the </w:t>
      </w:r>
      <w:r w:rsidR="00AF0CCC">
        <w:t xml:space="preserve">review of the anti-siphoning scheme. </w:t>
      </w:r>
      <w:r w:rsidR="00142F9E">
        <w:t>Comments and s</w:t>
      </w:r>
      <w:r w:rsidRPr="00030AC6">
        <w:t>ubmissions received by the department as part of this consultation will inform</w:t>
      </w:r>
      <w:r w:rsidR="00945EDD">
        <w:t xml:space="preserve"> the Australian</w:t>
      </w:r>
      <w:r w:rsidR="00AF0CCC">
        <w:t xml:space="preserve"> </w:t>
      </w:r>
      <w:r w:rsidR="00945EDD">
        <w:t>G</w:t>
      </w:r>
      <w:r w:rsidR="00AF0CCC">
        <w:t xml:space="preserve">overnment’s considerations of the need for, and nature of, reforms to the scheme and the anti-siphoning list. This review forms part of a broader program of </w:t>
      </w:r>
      <w:r w:rsidRPr="00030AC6">
        <w:t>work to modernise the regulation of media services in Australia.</w:t>
      </w:r>
    </w:p>
    <w:p w14:paraId="737522C0" w14:textId="77777777" w:rsidR="0086091A" w:rsidRPr="00906284" w:rsidRDefault="0086091A" w:rsidP="00B22819">
      <w:pPr>
        <w:pStyle w:val="Heading2"/>
      </w:pPr>
      <w:bookmarkStart w:id="50" w:name="_Toc108514707"/>
      <w:bookmarkStart w:id="51" w:name="_Toc108611464"/>
      <w:bookmarkStart w:id="52" w:name="_Toc111031077"/>
      <w:bookmarkStart w:id="53" w:name="_Toc112233665"/>
      <w:bookmarkStart w:id="54" w:name="_Toc112326008"/>
      <w:bookmarkStart w:id="55" w:name="_Toc113028178"/>
      <w:bookmarkStart w:id="56" w:name="_Toc113361253"/>
      <w:bookmarkStart w:id="57" w:name="_Toc113361761"/>
      <w:bookmarkStart w:id="58" w:name="_Toc114476236"/>
      <w:bookmarkStart w:id="59" w:name="_Toc114487283"/>
      <w:bookmarkStart w:id="60" w:name="_Toc114487367"/>
      <w:bookmarkStart w:id="61" w:name="_Toc116044833"/>
      <w:bookmarkStart w:id="62" w:name="_Toc116046017"/>
      <w:bookmarkStart w:id="63" w:name="_Toc116061391"/>
      <w:bookmarkStart w:id="64" w:name="_Toc116292934"/>
      <w:r w:rsidRPr="00906284">
        <w:t>Making a submission</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6FC30892" w14:textId="02E2E20D" w:rsidR="0086091A" w:rsidRPr="00030AC6" w:rsidRDefault="0086091A" w:rsidP="0086091A">
      <w:r w:rsidRPr="00030AC6">
        <w:t xml:space="preserve">The department is welcoming written </w:t>
      </w:r>
      <w:r w:rsidR="00142F9E">
        <w:t xml:space="preserve">comments and </w:t>
      </w:r>
      <w:r w:rsidRPr="00030AC6">
        <w:t xml:space="preserve">submissions on the matters outlined in this paper. </w:t>
      </w:r>
      <w:r w:rsidR="00142F9E">
        <w:t xml:space="preserve">Comments and </w:t>
      </w:r>
      <w:r w:rsidR="00D10B9A">
        <w:t>s</w:t>
      </w:r>
      <w:r w:rsidRPr="00030AC6">
        <w:t xml:space="preserve">ubmissions should be received by </w:t>
      </w:r>
      <w:r w:rsidRPr="00030AC6">
        <w:rPr>
          <w:b/>
        </w:rPr>
        <w:t xml:space="preserve">5:00 PM Australian Eastern </w:t>
      </w:r>
      <w:r w:rsidR="00E76209">
        <w:rPr>
          <w:b/>
        </w:rPr>
        <w:t>Daylight</w:t>
      </w:r>
      <w:r w:rsidRPr="00030AC6">
        <w:rPr>
          <w:b/>
        </w:rPr>
        <w:t xml:space="preserve"> Time</w:t>
      </w:r>
      <w:r w:rsidR="00C82614">
        <w:rPr>
          <w:b/>
        </w:rPr>
        <w:t xml:space="preserve"> on</w:t>
      </w:r>
      <w:r w:rsidRPr="00030AC6">
        <w:rPr>
          <w:b/>
        </w:rPr>
        <w:t xml:space="preserve"> </w:t>
      </w:r>
      <w:r w:rsidR="00CE3B52">
        <w:rPr>
          <w:b/>
        </w:rPr>
        <w:t>Tuesday</w:t>
      </w:r>
      <w:r w:rsidR="00E76209">
        <w:rPr>
          <w:b/>
        </w:rPr>
        <w:t>,</w:t>
      </w:r>
      <w:r w:rsidR="00142F9E">
        <w:rPr>
          <w:b/>
        </w:rPr>
        <w:t> </w:t>
      </w:r>
      <w:r w:rsidR="00CE3B52">
        <w:rPr>
          <w:b/>
        </w:rPr>
        <w:t>6</w:t>
      </w:r>
      <w:r w:rsidR="00142F9E">
        <w:rPr>
          <w:b/>
        </w:rPr>
        <w:t> </w:t>
      </w:r>
      <w:r w:rsidR="00CE3B52">
        <w:rPr>
          <w:b/>
        </w:rPr>
        <w:t>December</w:t>
      </w:r>
      <w:r w:rsidR="00E76209">
        <w:rPr>
          <w:b/>
        </w:rPr>
        <w:t xml:space="preserve"> </w:t>
      </w:r>
      <w:r w:rsidRPr="00030AC6">
        <w:rPr>
          <w:b/>
        </w:rPr>
        <w:t>2022</w:t>
      </w:r>
      <w:r w:rsidRPr="00030AC6">
        <w:t>.</w:t>
      </w:r>
    </w:p>
    <w:p w14:paraId="282CCDBD" w14:textId="0644482A" w:rsidR="0086091A" w:rsidRPr="00030AC6" w:rsidRDefault="00142F9E" w:rsidP="0086091A">
      <w:r>
        <w:t xml:space="preserve">Comments and </w:t>
      </w:r>
      <w:r w:rsidR="0086091A" w:rsidRPr="00030AC6">
        <w:t>submissions can be lodged by:</w:t>
      </w:r>
    </w:p>
    <w:p w14:paraId="59DD9982" w14:textId="51E55A0C" w:rsidR="0086091A" w:rsidRPr="00030AC6" w:rsidRDefault="0086091A" w:rsidP="0086091A">
      <w:pPr>
        <w:ind w:left="1134" w:hanging="1134"/>
      </w:pPr>
      <w:r w:rsidRPr="00030AC6">
        <w:t>Website:</w:t>
      </w:r>
      <w:r w:rsidRPr="00030AC6">
        <w:tab/>
      </w:r>
      <w:hyperlink r:id="rId26" w:history="1">
        <w:r w:rsidRPr="00030AC6">
          <w:rPr>
            <w:rStyle w:val="Hyperlink"/>
            <w:rFonts w:cs="Segoe UI"/>
            <w:szCs w:val="21"/>
          </w:rPr>
          <w:t>https://www.infrastructure.gov.au/have-your-say/</w:t>
        </w:r>
      </w:hyperlink>
    </w:p>
    <w:p w14:paraId="255705DE" w14:textId="77777777" w:rsidR="0086091A" w:rsidRPr="00030AC6" w:rsidRDefault="0086091A" w:rsidP="0086091A">
      <w:pPr>
        <w:ind w:left="1134" w:hanging="1134"/>
      </w:pPr>
      <w:r w:rsidRPr="00030AC6">
        <w:t>Post:</w:t>
      </w:r>
      <w:r w:rsidRPr="00030AC6">
        <w:tab/>
        <w:t>Media Reform—Online Safety, Media and Platforms Division</w:t>
      </w:r>
      <w:r w:rsidRPr="00030AC6">
        <w:br/>
        <w:t>Department of Infrastructure, Transport, Regional Development, Communications and the Arts, GPO Box 2154 CANBERRA ACT 2601</w:t>
      </w:r>
    </w:p>
    <w:p w14:paraId="1688CFDF" w14:textId="149E3944" w:rsidR="0086091A" w:rsidRPr="00030AC6" w:rsidRDefault="00142F9E" w:rsidP="0086091A">
      <w:r>
        <w:t xml:space="preserve">Comments </w:t>
      </w:r>
      <w:r w:rsidR="007C4EFD">
        <w:t xml:space="preserve">and submissions </w:t>
      </w:r>
      <w:r>
        <w:t>should include the respondent’s name</w:t>
      </w:r>
      <w:r w:rsidR="007C4EFD">
        <w:t xml:space="preserve">, </w:t>
      </w:r>
      <w:r w:rsidR="0086091A" w:rsidRPr="00F34704">
        <w:t>organisation (if applicable) and contact details.</w:t>
      </w:r>
    </w:p>
    <w:p w14:paraId="199B56A9" w14:textId="66BC526D" w:rsidR="0086091A" w:rsidRPr="00030AC6" w:rsidRDefault="0086091A" w:rsidP="0086091A">
      <w:r w:rsidRPr="00030AC6">
        <w:t xml:space="preserve">Questions about the submission process can be directed to </w:t>
      </w:r>
      <w:hyperlink r:id="rId27" w:history="1">
        <w:r w:rsidRPr="00030AC6">
          <w:rPr>
            <w:rStyle w:val="Hyperlink"/>
            <w:rFonts w:cs="Segoe UI"/>
            <w:szCs w:val="21"/>
          </w:rPr>
          <w:t>Media.Reform@communications.gov.au</w:t>
        </w:r>
      </w:hyperlink>
      <w:r w:rsidRPr="00030AC6">
        <w:t>.</w:t>
      </w:r>
    </w:p>
    <w:p w14:paraId="77585128" w14:textId="77777777" w:rsidR="0086091A" w:rsidRPr="00030AC6" w:rsidRDefault="0086091A" w:rsidP="00B22819">
      <w:pPr>
        <w:pStyle w:val="Heading2"/>
      </w:pPr>
      <w:bookmarkStart w:id="65" w:name="_Toc108514708"/>
      <w:bookmarkStart w:id="66" w:name="_Toc108611465"/>
      <w:bookmarkStart w:id="67" w:name="_Toc111031078"/>
      <w:bookmarkStart w:id="68" w:name="_Toc112233666"/>
      <w:bookmarkStart w:id="69" w:name="_Toc112326009"/>
      <w:bookmarkStart w:id="70" w:name="_Toc113028179"/>
      <w:bookmarkStart w:id="71" w:name="_Toc113361254"/>
      <w:bookmarkStart w:id="72" w:name="_Toc113361762"/>
      <w:bookmarkStart w:id="73" w:name="_Toc114476237"/>
      <w:bookmarkStart w:id="74" w:name="_Toc114487284"/>
      <w:bookmarkStart w:id="75" w:name="_Toc114487368"/>
      <w:bookmarkStart w:id="76" w:name="_Toc116044834"/>
      <w:bookmarkStart w:id="77" w:name="_Toc116046018"/>
      <w:bookmarkStart w:id="78" w:name="_Toc116061392"/>
      <w:bookmarkStart w:id="79" w:name="_Toc116292935"/>
      <w:r w:rsidRPr="00030AC6">
        <w:t>Publication of submissions and confidentiality</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14:paraId="52A0C8AF" w14:textId="3998BBB4" w:rsidR="00142F9E" w:rsidRPr="00030AC6" w:rsidRDefault="0086091A" w:rsidP="00142F9E">
      <w:r w:rsidRPr="00030AC6">
        <w:t>All submissions will be made publicly available by the department unless a respondent specifically requests that a submission, or a part of a submission, be kept confidential.</w:t>
      </w:r>
      <w:r w:rsidR="00142F9E" w:rsidRPr="00142F9E">
        <w:t xml:space="preserve"> </w:t>
      </w:r>
      <w:r w:rsidR="00142F9E">
        <w:t xml:space="preserve">Comments will not be published.  </w:t>
      </w:r>
    </w:p>
    <w:p w14:paraId="1778192F" w14:textId="77777777" w:rsidR="0086091A" w:rsidRPr="00030AC6" w:rsidRDefault="0086091A" w:rsidP="008D776A">
      <w:r w:rsidRPr="00030AC6">
        <w:t>The department reserves the right not to publish any submission, or part of a submission, which in its view contains potentially offensive or defamatory material, or for confidentiality reasons.</w:t>
      </w:r>
    </w:p>
    <w:p w14:paraId="756AECF3" w14:textId="652E8B1D" w:rsidR="0086091A" w:rsidRDefault="0086091A" w:rsidP="00142F9E">
      <w:r w:rsidRPr="00030AC6">
        <w:t xml:space="preserve">The department is subject to the </w:t>
      </w:r>
      <w:r w:rsidRPr="00030AC6">
        <w:rPr>
          <w:i/>
        </w:rPr>
        <w:t>Freedom of Information Act 1982</w:t>
      </w:r>
      <w:r w:rsidRPr="00030AC6">
        <w:t xml:space="preserve"> and </w:t>
      </w:r>
      <w:r w:rsidR="00142F9E">
        <w:t xml:space="preserve">comments and </w:t>
      </w:r>
      <w:r w:rsidRPr="00030AC6">
        <w:t>submissions may be required to be disclosed by the department in response to requests made under that Act.</w:t>
      </w:r>
    </w:p>
    <w:p w14:paraId="318374D7" w14:textId="77777777" w:rsidR="005912BE" w:rsidRDefault="005912BE"/>
    <w:p w14:paraId="1B26234A" w14:textId="77777777" w:rsidR="005912BE" w:rsidRDefault="005912BE">
      <w:pPr>
        <w:sectPr w:rsidR="005912BE" w:rsidSect="00DC0C3E">
          <w:headerReference w:type="even" r:id="rId28"/>
          <w:headerReference w:type="default" r:id="rId29"/>
          <w:footerReference w:type="default" r:id="rId30"/>
          <w:headerReference w:type="first" r:id="rId31"/>
          <w:footerReference w:type="first" r:id="rId32"/>
          <w:pgSz w:w="11906" w:h="16838" w:code="9"/>
          <w:pgMar w:top="1021" w:right="1021" w:bottom="1021" w:left="1021" w:header="510" w:footer="567" w:gutter="0"/>
          <w:cols w:space="708"/>
          <w:docGrid w:linePitch="360"/>
        </w:sectPr>
      </w:pPr>
    </w:p>
    <w:p w14:paraId="57E4BB2D" w14:textId="50CA9DC6" w:rsidR="00B00BF1" w:rsidRDefault="00B00BF1" w:rsidP="00B00BF1">
      <w:pPr>
        <w:pStyle w:val="Heading1"/>
        <w:spacing w:before="0"/>
        <w:jc w:val="center"/>
      </w:pPr>
      <w:bookmarkStart w:id="80" w:name="_Toc113361255"/>
      <w:bookmarkStart w:id="81" w:name="_Toc116061393"/>
      <w:r>
        <w:lastRenderedPageBreak/>
        <w:t xml:space="preserve">PART 1: Sports and </w:t>
      </w:r>
      <w:r w:rsidR="00797747">
        <w:t>the b</w:t>
      </w:r>
      <w:r>
        <w:t>roadcasting</w:t>
      </w:r>
      <w:r w:rsidR="00797747">
        <w:t xml:space="preserve"> environment</w:t>
      </w:r>
      <w:bookmarkEnd w:id="80"/>
      <w:bookmarkEnd w:id="81"/>
    </w:p>
    <w:p w14:paraId="35991055" w14:textId="77777777" w:rsidR="00B00BF1" w:rsidRDefault="00B00BF1" w:rsidP="00797747"/>
    <w:p w14:paraId="08D15587" w14:textId="0DBDED0A" w:rsidR="001A0968" w:rsidRPr="007A46A1" w:rsidRDefault="003949EA" w:rsidP="001A0968">
      <w:pPr>
        <w:pStyle w:val="Heading1"/>
        <w:spacing w:before="0"/>
      </w:pPr>
      <w:bookmarkStart w:id="82" w:name="_Toc113361256"/>
      <w:bookmarkStart w:id="83" w:name="_Toc116061394"/>
      <w:r>
        <w:t xml:space="preserve">Chapter 1: </w:t>
      </w:r>
      <w:r w:rsidR="001A0968" w:rsidRPr="007A46A1">
        <w:t>Sport in Australia</w:t>
      </w:r>
      <w:bookmarkEnd w:id="82"/>
      <w:bookmarkEnd w:id="83"/>
    </w:p>
    <w:p w14:paraId="0203B21D" w14:textId="5727F156" w:rsidR="008C0A56" w:rsidRDefault="004B3FBE" w:rsidP="00E85F8C">
      <w:pPr>
        <w:pStyle w:val="Introduction"/>
        <w:spacing w:before="120" w:after="120"/>
      </w:pPr>
      <w:r>
        <w:t xml:space="preserve">Sport </w:t>
      </w:r>
      <w:r w:rsidR="00862646">
        <w:t xml:space="preserve">is an integral part of Australian </w:t>
      </w:r>
      <w:r w:rsidR="00956364">
        <w:t>life and culture. It supports positive health outcomes at an individual and community level, contributes to social cohesion</w:t>
      </w:r>
      <w:r w:rsidR="00655644">
        <w:t>,</w:t>
      </w:r>
      <w:r w:rsidR="00956364">
        <w:t xml:space="preserve"> and helps to build a sense of national pride an</w:t>
      </w:r>
      <w:r w:rsidR="00E3100C">
        <w:t>d</w:t>
      </w:r>
      <w:r w:rsidR="00956364">
        <w:t xml:space="preserve"> identity.</w:t>
      </w:r>
    </w:p>
    <w:p w14:paraId="485DFA12" w14:textId="2D6A40B9" w:rsidR="00524233" w:rsidRDefault="00524233" w:rsidP="00E85F8C">
      <w:r>
        <w:t xml:space="preserve">Most people are engaged </w:t>
      </w:r>
      <w:r w:rsidR="000D6B3B">
        <w:t xml:space="preserve">with sport </w:t>
      </w:r>
      <w:r>
        <w:t>at some level, whether this be spectating, volunteering or participating</w:t>
      </w:r>
      <w:r w:rsidR="00056769">
        <w:t>.</w:t>
      </w:r>
      <w:r w:rsidRPr="00056769">
        <w:rPr>
          <w:vertAlign w:val="superscript"/>
        </w:rPr>
        <w:footnoteReference w:id="3"/>
      </w:r>
      <w:r>
        <w:t xml:space="preserve"> Sport brings Australians together, no matter their ability, culture, gender or age, providing a shared identity for</w:t>
      </w:r>
      <w:r w:rsidRPr="00056769">
        <w:t xml:space="preserve"> Australia’s diverse population. We come together to play sport within our local communities and gather at stadiums around the country to support our teams and athletes.</w:t>
      </w:r>
    </w:p>
    <w:p w14:paraId="07B7D5F3" w14:textId="77777777" w:rsidR="00F54EC6" w:rsidRDefault="00F54EC6" w:rsidP="00F54EC6">
      <w:r>
        <w:t>Over 17 million Australians over 15 and 2.2 million children participate in sport or physical activity, and are supported by almost 3 million volunteers.</w:t>
      </w:r>
      <w:r w:rsidRPr="00056769">
        <w:rPr>
          <w:vertAlign w:val="superscript"/>
        </w:rPr>
        <w:footnoteReference w:id="4"/>
      </w:r>
      <w:r>
        <w:t xml:space="preserve"> Interestingly, Australians are continuing to return to sport post</w:t>
      </w:r>
      <w:r>
        <w:noBreakHyphen/>
        <w:t>COVID-19 disruptions and are engaging in a greater mix of activities.</w:t>
      </w:r>
      <w:r w:rsidRPr="00056769">
        <w:rPr>
          <w:vertAlign w:val="superscript"/>
        </w:rPr>
        <w:footnoteReference w:id="5"/>
      </w:r>
    </w:p>
    <w:p w14:paraId="584F6126" w14:textId="0EF024B6" w:rsidR="00524233" w:rsidRDefault="00524233" w:rsidP="00056769">
      <w:r>
        <w:t xml:space="preserve">It is </w:t>
      </w:r>
      <w:r w:rsidR="00A37961">
        <w:t xml:space="preserve">also </w:t>
      </w:r>
      <w:r>
        <w:t>an exciting time for sport in Australia</w:t>
      </w:r>
      <w:r w:rsidR="000D6B3B">
        <w:t xml:space="preserve">. We </w:t>
      </w:r>
      <w:r>
        <w:t>have hosted</w:t>
      </w:r>
      <w:r w:rsidR="000A7BBF">
        <w:t>,</w:t>
      </w:r>
      <w:r>
        <w:t xml:space="preserve"> or are preparing to host</w:t>
      </w:r>
      <w:r w:rsidR="000A7BBF">
        <w:t>,</w:t>
      </w:r>
      <w:r>
        <w:t xml:space="preserve"> a number of major international sporting events, including:</w:t>
      </w:r>
    </w:p>
    <w:p w14:paraId="784EDC1F" w14:textId="47AF8D81" w:rsidR="00524233" w:rsidRPr="00056769" w:rsidRDefault="00524233" w:rsidP="00665D0D">
      <w:pPr>
        <w:pStyle w:val="ListParagraph"/>
        <w:numPr>
          <w:ilvl w:val="0"/>
          <w:numId w:val="53"/>
        </w:numPr>
        <w:shd w:val="clear" w:color="auto" w:fill="FFFFFF"/>
        <w:spacing w:after="60" w:line="240" w:lineRule="auto"/>
        <w:ind w:left="357" w:hanging="357"/>
        <w:contextualSpacing w:val="0"/>
        <w:textAlignment w:val="baseline"/>
        <w:rPr>
          <w:rFonts w:cs="Times New Roman"/>
          <w:szCs w:val="24"/>
        </w:rPr>
      </w:pPr>
      <w:r w:rsidRPr="00056769">
        <w:rPr>
          <w:rFonts w:cs="Times New Roman"/>
          <w:szCs w:val="24"/>
        </w:rPr>
        <w:t xml:space="preserve">2022 </w:t>
      </w:r>
      <w:r w:rsidR="00FD043D">
        <w:rPr>
          <w:rFonts w:cs="Times New Roman"/>
          <w:szCs w:val="24"/>
        </w:rPr>
        <w:t>Union Cycliste Internationale (</w:t>
      </w:r>
      <w:r w:rsidRPr="00056769">
        <w:rPr>
          <w:rFonts w:cs="Times New Roman"/>
          <w:szCs w:val="24"/>
        </w:rPr>
        <w:t>UCI</w:t>
      </w:r>
      <w:r w:rsidR="00FD043D">
        <w:rPr>
          <w:rFonts w:cs="Times New Roman"/>
          <w:szCs w:val="24"/>
        </w:rPr>
        <w:t>)</w:t>
      </w:r>
      <w:r w:rsidRPr="00056769">
        <w:rPr>
          <w:rFonts w:cs="Times New Roman"/>
          <w:szCs w:val="24"/>
        </w:rPr>
        <w:t xml:space="preserve"> Road World Championships</w:t>
      </w:r>
    </w:p>
    <w:p w14:paraId="045F91FE" w14:textId="3862CABD" w:rsidR="00524233" w:rsidRPr="00056769" w:rsidRDefault="00524233" w:rsidP="00665D0D">
      <w:pPr>
        <w:pStyle w:val="ListParagraph"/>
        <w:numPr>
          <w:ilvl w:val="0"/>
          <w:numId w:val="53"/>
        </w:numPr>
        <w:shd w:val="clear" w:color="auto" w:fill="FFFFFF"/>
        <w:spacing w:after="60" w:line="240" w:lineRule="auto"/>
        <w:ind w:left="357" w:hanging="357"/>
        <w:contextualSpacing w:val="0"/>
        <w:textAlignment w:val="baseline"/>
        <w:rPr>
          <w:rFonts w:cs="Times New Roman"/>
          <w:szCs w:val="24"/>
        </w:rPr>
      </w:pPr>
      <w:r w:rsidRPr="00056769">
        <w:rPr>
          <w:rFonts w:cs="Times New Roman"/>
          <w:szCs w:val="24"/>
        </w:rPr>
        <w:t xml:space="preserve">2022 FIBA Women’s </w:t>
      </w:r>
      <w:r w:rsidR="00FD043D">
        <w:rPr>
          <w:rFonts w:cs="Times New Roman"/>
          <w:szCs w:val="24"/>
        </w:rPr>
        <w:t xml:space="preserve">Basketball </w:t>
      </w:r>
      <w:r w:rsidRPr="00056769">
        <w:rPr>
          <w:rFonts w:cs="Times New Roman"/>
          <w:szCs w:val="24"/>
        </w:rPr>
        <w:t>World Cup</w:t>
      </w:r>
    </w:p>
    <w:p w14:paraId="61707325" w14:textId="4043D0FB" w:rsidR="00524233" w:rsidRPr="00056769" w:rsidRDefault="00524233" w:rsidP="00665D0D">
      <w:pPr>
        <w:pStyle w:val="ListParagraph"/>
        <w:numPr>
          <w:ilvl w:val="0"/>
          <w:numId w:val="53"/>
        </w:numPr>
        <w:shd w:val="clear" w:color="auto" w:fill="FFFFFF"/>
        <w:spacing w:after="60" w:line="240" w:lineRule="auto"/>
        <w:ind w:left="357" w:hanging="357"/>
        <w:contextualSpacing w:val="0"/>
        <w:textAlignment w:val="baseline"/>
        <w:rPr>
          <w:rFonts w:cs="Times New Roman"/>
          <w:szCs w:val="24"/>
        </w:rPr>
      </w:pPr>
      <w:r w:rsidRPr="00056769">
        <w:rPr>
          <w:rFonts w:cs="Times New Roman"/>
          <w:szCs w:val="24"/>
        </w:rPr>
        <w:t>2022 I</w:t>
      </w:r>
      <w:r w:rsidR="00686A62">
        <w:rPr>
          <w:rFonts w:cs="Times New Roman"/>
          <w:szCs w:val="24"/>
        </w:rPr>
        <w:t>nternational Cricket Council (</w:t>
      </w:r>
      <w:r w:rsidRPr="00056769">
        <w:rPr>
          <w:rFonts w:cs="Times New Roman"/>
          <w:szCs w:val="24"/>
        </w:rPr>
        <w:t>ICC</w:t>
      </w:r>
      <w:r w:rsidR="00686A62">
        <w:rPr>
          <w:rFonts w:cs="Times New Roman"/>
          <w:szCs w:val="24"/>
        </w:rPr>
        <w:t>)</w:t>
      </w:r>
      <w:r w:rsidRPr="00056769">
        <w:rPr>
          <w:rFonts w:cs="Times New Roman"/>
          <w:szCs w:val="24"/>
        </w:rPr>
        <w:t xml:space="preserve"> Men’s T20 World Cup</w:t>
      </w:r>
    </w:p>
    <w:p w14:paraId="31FE4349" w14:textId="7BFC7B9B" w:rsidR="00524233" w:rsidRPr="00056769" w:rsidRDefault="00524233" w:rsidP="00665D0D">
      <w:pPr>
        <w:pStyle w:val="ListParagraph"/>
        <w:numPr>
          <w:ilvl w:val="0"/>
          <w:numId w:val="53"/>
        </w:numPr>
        <w:shd w:val="clear" w:color="auto" w:fill="FFFFFF"/>
        <w:spacing w:after="60" w:line="240" w:lineRule="auto"/>
        <w:ind w:left="357" w:hanging="357"/>
        <w:contextualSpacing w:val="0"/>
        <w:textAlignment w:val="baseline"/>
        <w:rPr>
          <w:rFonts w:cs="Times New Roman"/>
          <w:szCs w:val="24"/>
        </w:rPr>
      </w:pPr>
      <w:r w:rsidRPr="00056769">
        <w:rPr>
          <w:rFonts w:cs="Times New Roman"/>
          <w:szCs w:val="24"/>
        </w:rPr>
        <w:t xml:space="preserve">2022 </w:t>
      </w:r>
      <w:r w:rsidR="00FD043D" w:rsidRPr="00056769">
        <w:rPr>
          <w:rFonts w:cs="Times New Roman"/>
          <w:szCs w:val="24"/>
        </w:rPr>
        <w:t>V</w:t>
      </w:r>
      <w:r w:rsidR="00FD043D">
        <w:rPr>
          <w:rFonts w:cs="Times New Roman"/>
          <w:szCs w:val="24"/>
        </w:rPr>
        <w:t>irtus</w:t>
      </w:r>
      <w:r w:rsidR="00FD043D" w:rsidRPr="00056769">
        <w:rPr>
          <w:rFonts w:cs="Times New Roman"/>
          <w:szCs w:val="24"/>
        </w:rPr>
        <w:t xml:space="preserve"> </w:t>
      </w:r>
      <w:r w:rsidRPr="00056769">
        <w:rPr>
          <w:rFonts w:cs="Times New Roman"/>
          <w:szCs w:val="24"/>
        </w:rPr>
        <w:t>Oceania</w:t>
      </w:r>
      <w:r w:rsidR="00A87F0A">
        <w:rPr>
          <w:rFonts w:cs="Times New Roman"/>
          <w:szCs w:val="24"/>
        </w:rPr>
        <w:t xml:space="preserve"> </w:t>
      </w:r>
      <w:r w:rsidRPr="00056769">
        <w:rPr>
          <w:rFonts w:cs="Times New Roman"/>
          <w:szCs w:val="24"/>
        </w:rPr>
        <w:t>Asia Games</w:t>
      </w:r>
    </w:p>
    <w:p w14:paraId="02681021" w14:textId="47E6115A" w:rsidR="00524233" w:rsidRPr="00056769" w:rsidRDefault="00524233" w:rsidP="00665D0D">
      <w:pPr>
        <w:pStyle w:val="ListParagraph"/>
        <w:numPr>
          <w:ilvl w:val="0"/>
          <w:numId w:val="53"/>
        </w:numPr>
        <w:shd w:val="clear" w:color="auto" w:fill="FFFFFF"/>
        <w:spacing w:after="60" w:line="240" w:lineRule="auto"/>
        <w:ind w:left="357" w:hanging="357"/>
        <w:contextualSpacing w:val="0"/>
        <w:textAlignment w:val="baseline"/>
        <w:rPr>
          <w:rFonts w:cs="Times New Roman"/>
          <w:szCs w:val="24"/>
        </w:rPr>
      </w:pPr>
      <w:r w:rsidRPr="00056769">
        <w:rPr>
          <w:rFonts w:cs="Times New Roman"/>
          <w:szCs w:val="24"/>
        </w:rPr>
        <w:t>2023 World Transplant Gam</w:t>
      </w:r>
      <w:r w:rsidR="00FB7C15">
        <w:rPr>
          <w:rFonts w:cs="Times New Roman"/>
          <w:szCs w:val="24"/>
        </w:rPr>
        <w:t>e</w:t>
      </w:r>
      <w:r w:rsidRPr="00056769">
        <w:rPr>
          <w:rFonts w:cs="Times New Roman"/>
          <w:szCs w:val="24"/>
        </w:rPr>
        <w:t>s</w:t>
      </w:r>
    </w:p>
    <w:p w14:paraId="6D3F75D6" w14:textId="77777777" w:rsidR="00524233" w:rsidRPr="00056769" w:rsidRDefault="00524233" w:rsidP="00665D0D">
      <w:pPr>
        <w:pStyle w:val="ListParagraph"/>
        <w:numPr>
          <w:ilvl w:val="0"/>
          <w:numId w:val="53"/>
        </w:numPr>
        <w:shd w:val="clear" w:color="auto" w:fill="FFFFFF"/>
        <w:spacing w:after="60" w:line="240" w:lineRule="auto"/>
        <w:ind w:left="357" w:hanging="357"/>
        <w:contextualSpacing w:val="0"/>
        <w:textAlignment w:val="baseline"/>
        <w:rPr>
          <w:rFonts w:cs="Times New Roman"/>
          <w:szCs w:val="24"/>
        </w:rPr>
      </w:pPr>
      <w:r w:rsidRPr="00056769">
        <w:rPr>
          <w:rFonts w:cs="Times New Roman"/>
          <w:szCs w:val="24"/>
        </w:rPr>
        <w:t>2023 FIFA Women’s World Cup (co-hosting with New Zealand)</w:t>
      </w:r>
    </w:p>
    <w:p w14:paraId="36988742" w14:textId="31F9AC32" w:rsidR="00524233" w:rsidRPr="00056769" w:rsidRDefault="00524233" w:rsidP="00665D0D">
      <w:pPr>
        <w:pStyle w:val="ListParagraph"/>
        <w:numPr>
          <w:ilvl w:val="0"/>
          <w:numId w:val="53"/>
        </w:numPr>
        <w:shd w:val="clear" w:color="auto" w:fill="FFFFFF"/>
        <w:spacing w:after="60" w:line="240" w:lineRule="auto"/>
        <w:ind w:left="357" w:hanging="357"/>
        <w:contextualSpacing w:val="0"/>
        <w:textAlignment w:val="baseline"/>
        <w:rPr>
          <w:rFonts w:cs="Times New Roman"/>
          <w:szCs w:val="24"/>
        </w:rPr>
      </w:pPr>
      <w:r w:rsidRPr="00056769">
        <w:rPr>
          <w:rFonts w:cs="Times New Roman"/>
          <w:szCs w:val="24"/>
        </w:rPr>
        <w:t xml:space="preserve">2026 Commonwealth Games </w:t>
      </w:r>
      <w:r w:rsidR="001A4C19">
        <w:rPr>
          <w:rFonts w:cs="Times New Roman"/>
          <w:szCs w:val="24"/>
        </w:rPr>
        <w:t>(to be hosted in Regional Victoria)</w:t>
      </w:r>
    </w:p>
    <w:p w14:paraId="1489CAC4" w14:textId="77777777" w:rsidR="00524233" w:rsidRPr="00056769" w:rsidRDefault="00524233" w:rsidP="00665D0D">
      <w:pPr>
        <w:pStyle w:val="ListParagraph"/>
        <w:numPr>
          <w:ilvl w:val="0"/>
          <w:numId w:val="53"/>
        </w:numPr>
        <w:shd w:val="clear" w:color="auto" w:fill="FFFFFF"/>
        <w:spacing w:after="60" w:line="240" w:lineRule="auto"/>
        <w:ind w:left="357" w:hanging="357"/>
        <w:contextualSpacing w:val="0"/>
        <w:textAlignment w:val="baseline"/>
        <w:rPr>
          <w:rFonts w:cs="Times New Roman"/>
          <w:szCs w:val="24"/>
        </w:rPr>
      </w:pPr>
      <w:r w:rsidRPr="00056769">
        <w:rPr>
          <w:rFonts w:cs="Times New Roman"/>
          <w:szCs w:val="24"/>
        </w:rPr>
        <w:t>2027 Rugby World Cup</w:t>
      </w:r>
    </w:p>
    <w:p w14:paraId="0534883D" w14:textId="77777777" w:rsidR="00524233" w:rsidRPr="00056769" w:rsidRDefault="00524233" w:rsidP="00665D0D">
      <w:pPr>
        <w:pStyle w:val="ListParagraph"/>
        <w:numPr>
          <w:ilvl w:val="0"/>
          <w:numId w:val="53"/>
        </w:numPr>
        <w:shd w:val="clear" w:color="auto" w:fill="FFFFFF"/>
        <w:spacing w:after="60" w:line="240" w:lineRule="auto"/>
        <w:ind w:left="357" w:hanging="357"/>
        <w:contextualSpacing w:val="0"/>
        <w:textAlignment w:val="baseline"/>
        <w:rPr>
          <w:rFonts w:cs="Times New Roman"/>
          <w:szCs w:val="24"/>
        </w:rPr>
      </w:pPr>
      <w:r w:rsidRPr="00056769">
        <w:rPr>
          <w:rFonts w:cs="Times New Roman"/>
          <w:szCs w:val="24"/>
        </w:rPr>
        <w:t>2027 Netball World Cup</w:t>
      </w:r>
    </w:p>
    <w:p w14:paraId="4B5B4721" w14:textId="77777777" w:rsidR="00524233" w:rsidRPr="002A46E3" w:rsidRDefault="00524233" w:rsidP="00665D0D">
      <w:pPr>
        <w:pStyle w:val="ListParagraph"/>
        <w:numPr>
          <w:ilvl w:val="0"/>
          <w:numId w:val="53"/>
        </w:numPr>
        <w:shd w:val="clear" w:color="auto" w:fill="FFFFFF"/>
        <w:spacing w:after="60" w:line="240" w:lineRule="auto"/>
        <w:ind w:left="357" w:hanging="357"/>
        <w:contextualSpacing w:val="0"/>
        <w:textAlignment w:val="baseline"/>
        <w:rPr>
          <w:rFonts w:cs="Times New Roman"/>
          <w:szCs w:val="24"/>
        </w:rPr>
      </w:pPr>
      <w:r w:rsidRPr="002A46E3">
        <w:rPr>
          <w:rFonts w:cs="Times New Roman"/>
          <w:szCs w:val="24"/>
        </w:rPr>
        <w:t>2028 ICC Men’s T20 World Cup (co-hosting with New Zealand)</w:t>
      </w:r>
    </w:p>
    <w:p w14:paraId="07C494F5" w14:textId="77777777" w:rsidR="00524233" w:rsidRPr="008930A4" w:rsidRDefault="00524233" w:rsidP="00665D0D">
      <w:pPr>
        <w:pStyle w:val="ListParagraph"/>
        <w:numPr>
          <w:ilvl w:val="0"/>
          <w:numId w:val="53"/>
        </w:numPr>
        <w:shd w:val="clear" w:color="auto" w:fill="FFFFFF"/>
        <w:spacing w:after="60" w:line="240" w:lineRule="auto"/>
        <w:ind w:left="357" w:hanging="357"/>
        <w:contextualSpacing w:val="0"/>
        <w:textAlignment w:val="baseline"/>
        <w:rPr>
          <w:rFonts w:cs="Times New Roman"/>
          <w:szCs w:val="24"/>
        </w:rPr>
      </w:pPr>
      <w:r w:rsidRPr="008930A4">
        <w:rPr>
          <w:rFonts w:cs="Times New Roman"/>
          <w:szCs w:val="24"/>
        </w:rPr>
        <w:t>2029 Women’s Rugby World Cup</w:t>
      </w:r>
    </w:p>
    <w:p w14:paraId="1B9337EC" w14:textId="3384EA48" w:rsidR="00524233" w:rsidRPr="008930A4" w:rsidRDefault="00524233" w:rsidP="00665D0D">
      <w:pPr>
        <w:pStyle w:val="ListParagraph"/>
        <w:numPr>
          <w:ilvl w:val="0"/>
          <w:numId w:val="53"/>
        </w:numPr>
        <w:shd w:val="clear" w:color="auto" w:fill="FFFFFF"/>
        <w:spacing w:after="60" w:line="240" w:lineRule="auto"/>
        <w:ind w:left="357" w:hanging="357"/>
        <w:contextualSpacing w:val="0"/>
        <w:textAlignment w:val="baseline"/>
        <w:rPr>
          <w:rFonts w:cs="Times New Roman"/>
          <w:szCs w:val="24"/>
        </w:rPr>
      </w:pPr>
      <w:r w:rsidRPr="008930A4">
        <w:rPr>
          <w:rFonts w:cs="Times New Roman"/>
          <w:szCs w:val="24"/>
        </w:rPr>
        <w:t>2032 Olympic and Paralympic Games</w:t>
      </w:r>
      <w:r w:rsidR="001A4C19">
        <w:rPr>
          <w:rFonts w:cs="Times New Roman"/>
          <w:szCs w:val="24"/>
        </w:rPr>
        <w:t xml:space="preserve"> (to be hosted in Brisbane)</w:t>
      </w:r>
      <w:r w:rsidR="00C30680">
        <w:rPr>
          <w:rFonts w:cs="Times New Roman"/>
          <w:szCs w:val="24"/>
        </w:rPr>
        <w:t>.</w:t>
      </w:r>
    </w:p>
    <w:p w14:paraId="3F94DB80" w14:textId="5EC51934" w:rsidR="00C02FF4" w:rsidRDefault="00F54EC6" w:rsidP="00F54EC6">
      <w:r>
        <w:t xml:space="preserve">A number of these events are women’s events and hosting them in Australia will enhance our reputation as a global leader in women's sport and </w:t>
      </w:r>
      <w:r w:rsidRPr="0053591F">
        <w:t xml:space="preserve">improve </w:t>
      </w:r>
      <w:r>
        <w:t xml:space="preserve">the profile </w:t>
      </w:r>
      <w:r w:rsidR="00A37961">
        <w:t>of</w:t>
      </w:r>
      <w:r>
        <w:t xml:space="preserve"> </w:t>
      </w:r>
      <w:r w:rsidR="00CA12E0">
        <w:t xml:space="preserve">our leading </w:t>
      </w:r>
      <w:r w:rsidRPr="0053591F">
        <w:t>female athletes.</w:t>
      </w:r>
      <w:r>
        <w:t xml:space="preserve"> </w:t>
      </w:r>
      <w:r w:rsidRPr="0053591F">
        <w:t>The</w:t>
      </w:r>
      <w:r>
        <w:t xml:space="preserve">se events are also expected to create </w:t>
      </w:r>
      <w:r w:rsidRPr="0053591F">
        <w:t>a greater</w:t>
      </w:r>
      <w:r>
        <w:t xml:space="preserve"> connection with sport and increase participation opportunities for women and girls. </w:t>
      </w:r>
    </w:p>
    <w:p w14:paraId="795CBA7C" w14:textId="66CD0795" w:rsidR="00C02FF4" w:rsidRPr="00287F81" w:rsidRDefault="00C02FF4" w:rsidP="00D10B9A">
      <w:pPr>
        <w:pStyle w:val="ListParagraph"/>
        <w:numPr>
          <w:ilvl w:val="0"/>
          <w:numId w:val="116"/>
        </w:numPr>
        <w:spacing w:line="257" w:lineRule="auto"/>
        <w:ind w:left="357" w:hanging="357"/>
      </w:pPr>
      <w:r w:rsidRPr="00287F81">
        <w:t>Research commissioned by Fox Sports in 2022 found that two-in-five adult viewers of women’s sport say they have been inspired or considered playing</w:t>
      </w:r>
      <w:r w:rsidR="00287F81" w:rsidRPr="00287F81">
        <w:t xml:space="preserve"> the</w:t>
      </w:r>
      <w:r w:rsidRPr="00287F81">
        <w:t xml:space="preserve"> sport themselves after watching on television.</w:t>
      </w:r>
      <w:r w:rsidRPr="00287F81">
        <w:rPr>
          <w:rStyle w:val="FootnoteReference"/>
        </w:rPr>
        <w:footnoteReference w:id="6"/>
      </w:r>
    </w:p>
    <w:p w14:paraId="4072A833" w14:textId="4892E188" w:rsidR="00581AAD" w:rsidRPr="00C23E45" w:rsidRDefault="00F03577" w:rsidP="00D10B9A">
      <w:pPr>
        <w:pStyle w:val="ListParagraph"/>
        <w:numPr>
          <w:ilvl w:val="0"/>
          <w:numId w:val="116"/>
        </w:numPr>
        <w:spacing w:after="120" w:line="240" w:lineRule="auto"/>
        <w:ind w:left="357" w:hanging="357"/>
        <w:contextualSpacing w:val="0"/>
      </w:pPr>
      <w:r w:rsidRPr="00C23E45">
        <w:lastRenderedPageBreak/>
        <w:t>In 2014, the number of female AFL participant</w:t>
      </w:r>
      <w:r w:rsidR="00701FFF" w:rsidRPr="00C23E45">
        <w:t>s was</w:t>
      </w:r>
      <w:r w:rsidRPr="00C23E45">
        <w:t xml:space="preserve"> </w:t>
      </w:r>
      <w:r w:rsidR="00701FFF" w:rsidRPr="00C23E45">
        <w:t>reported a</w:t>
      </w:r>
      <w:r w:rsidR="004B12E8" w:rsidRPr="00C23E45">
        <w:t>t</w:t>
      </w:r>
      <w:r w:rsidR="00701FFF" w:rsidRPr="00C23E45">
        <w:t xml:space="preserve"> 194,966.</w:t>
      </w:r>
      <w:r w:rsidR="00701FFF" w:rsidRPr="00C23E45">
        <w:rPr>
          <w:rStyle w:val="FootnoteReference"/>
        </w:rPr>
        <w:footnoteReference w:id="7"/>
      </w:r>
      <w:r w:rsidR="00701FFF" w:rsidRPr="00C23E45">
        <w:t xml:space="preserve"> Women’s AFL was first broadcast on free-to-air television in 2015, with one exhibition match shown. In 2015, the number of female participants rose to 284,501.</w:t>
      </w:r>
      <w:r w:rsidR="00701FFF" w:rsidRPr="00C23E45">
        <w:rPr>
          <w:rStyle w:val="FootnoteReference"/>
        </w:rPr>
        <w:footnoteReference w:id="8"/>
      </w:r>
      <w:r w:rsidR="00701FFF" w:rsidRPr="00C23E45">
        <w:t xml:space="preserve"> </w:t>
      </w:r>
      <w:r w:rsidRPr="00C23E45">
        <w:t xml:space="preserve">The AFLW competition has </w:t>
      </w:r>
      <w:r w:rsidR="00581AAD" w:rsidRPr="00C23E45">
        <w:t xml:space="preserve">been broadcast </w:t>
      </w:r>
      <w:r w:rsidR="004B12E8" w:rsidRPr="00C23E45">
        <w:t xml:space="preserve">on free-to-air television since its inaugural season in 2017. </w:t>
      </w:r>
      <w:r w:rsidR="00581AAD" w:rsidRPr="00C23E45">
        <w:t>Female</w:t>
      </w:r>
      <w:r w:rsidR="004B12E8" w:rsidRPr="00C23E45">
        <w:t xml:space="preserve"> AFL</w:t>
      </w:r>
      <w:r w:rsidR="00581AAD" w:rsidRPr="00C23E45">
        <w:t xml:space="preserve"> participation figures in 2021 r</w:t>
      </w:r>
      <w:r w:rsidR="00AB65FF" w:rsidRPr="00C23E45">
        <w:t>eached</w:t>
      </w:r>
      <w:r w:rsidR="00581AAD" w:rsidRPr="00C23E45">
        <w:t xml:space="preserve"> to over 600,000.</w:t>
      </w:r>
      <w:r w:rsidR="00AB65FF" w:rsidRPr="00C23E45">
        <w:rPr>
          <w:rStyle w:val="FootnoteReference"/>
        </w:rPr>
        <w:footnoteReference w:id="9"/>
      </w:r>
    </w:p>
    <w:p w14:paraId="6772C28D" w14:textId="7B108233" w:rsidR="00C02FF4" w:rsidRPr="00C23E45" w:rsidRDefault="00C02FF4" w:rsidP="00D10B9A">
      <w:pPr>
        <w:pStyle w:val="ListParagraph"/>
        <w:numPr>
          <w:ilvl w:val="0"/>
          <w:numId w:val="116"/>
        </w:numPr>
        <w:spacing w:after="120" w:line="240" w:lineRule="auto"/>
        <w:ind w:left="357" w:hanging="357"/>
        <w:contextualSpacing w:val="0"/>
      </w:pPr>
      <w:r w:rsidRPr="00C23E45">
        <w:t xml:space="preserve">In </w:t>
      </w:r>
      <w:r w:rsidR="00D52803">
        <w:t xml:space="preserve">April </w:t>
      </w:r>
      <w:r w:rsidRPr="00C23E45">
        <w:t>2022, Tennis Australia reported that interest in the sport had increased 343 per cent since the 2022 Australian Open</w:t>
      </w:r>
      <w:r w:rsidR="00D52803">
        <w:t xml:space="preserve"> in January</w:t>
      </w:r>
      <w:r w:rsidRPr="00C23E45">
        <w:t>.</w:t>
      </w:r>
      <w:r w:rsidRPr="00C23E45">
        <w:rPr>
          <w:rStyle w:val="FootnoteReference"/>
        </w:rPr>
        <w:footnoteReference w:id="10"/>
      </w:r>
      <w:r w:rsidRPr="00C23E45">
        <w:t xml:space="preserve"> </w:t>
      </w:r>
    </w:p>
    <w:p w14:paraId="1C6228D6" w14:textId="575CA807" w:rsidR="00CA12E0" w:rsidRPr="00C23E45" w:rsidRDefault="005C6D78" w:rsidP="00D10B9A">
      <w:pPr>
        <w:pStyle w:val="ListParagraph"/>
        <w:numPr>
          <w:ilvl w:val="0"/>
          <w:numId w:val="116"/>
        </w:numPr>
        <w:spacing w:after="120" w:line="240" w:lineRule="auto"/>
        <w:ind w:left="357" w:hanging="357"/>
        <w:contextualSpacing w:val="0"/>
      </w:pPr>
      <w:r w:rsidRPr="00C23E45">
        <w:t>Female participation in National Rugby League</w:t>
      </w:r>
      <w:r w:rsidR="008B023B" w:rsidRPr="00C23E45">
        <w:t xml:space="preserve"> (NRL)</w:t>
      </w:r>
      <w:r w:rsidRPr="00C23E45">
        <w:t xml:space="preserve"> is also growing rapidly, with </w:t>
      </w:r>
      <w:r w:rsidR="008B023B" w:rsidRPr="00C23E45">
        <w:t>NSW leagues recording its highest registration levels in 2022</w:t>
      </w:r>
      <w:r w:rsidRPr="00C23E45">
        <w:t>.</w:t>
      </w:r>
      <w:r w:rsidRPr="00C23E45">
        <w:rPr>
          <w:rStyle w:val="FootnoteReference"/>
        </w:rPr>
        <w:footnoteReference w:id="11"/>
      </w:r>
      <w:r w:rsidR="008B023B" w:rsidRPr="00C23E45">
        <w:t xml:space="preserve"> The 2022 NRLW Grand Final is also reported to have attracted its highest ever audiences for both free-to-air television (up 10 percent </w:t>
      </w:r>
      <w:r w:rsidR="00051515">
        <w:t>from</w:t>
      </w:r>
      <w:r w:rsidR="008B023B" w:rsidRPr="00C23E45">
        <w:t xml:space="preserve"> 2020) and BVOD (up 197 per cent</w:t>
      </w:r>
      <w:r w:rsidR="00051515">
        <w:t xml:space="preserve"> from</w:t>
      </w:r>
      <w:r w:rsidR="008B023B" w:rsidRPr="00C23E45">
        <w:t xml:space="preserve"> 2020).</w:t>
      </w:r>
      <w:r w:rsidR="008B023B" w:rsidRPr="00C23E45">
        <w:rPr>
          <w:rStyle w:val="FootnoteReference"/>
        </w:rPr>
        <w:footnoteReference w:id="12"/>
      </w:r>
    </w:p>
    <w:p w14:paraId="17833EBC" w14:textId="4FE2339C" w:rsidR="00C33E19" w:rsidRDefault="00CA12E0" w:rsidP="00C4322E">
      <w:r>
        <w:t xml:space="preserve">A relationship between telecast arrangements and sports participation rates has also been seen overseas. </w:t>
      </w:r>
      <w:r w:rsidR="004C5254">
        <w:t>I</w:t>
      </w:r>
      <w:r w:rsidR="00C33E19">
        <w:t>n the U</w:t>
      </w:r>
      <w:r w:rsidR="00657383">
        <w:t>nited Kingdom</w:t>
      </w:r>
      <w:r w:rsidR="00C33E19">
        <w:t xml:space="preserve">, domestic cricket broadcast rights moved from </w:t>
      </w:r>
      <w:r w:rsidR="00991315">
        <w:t>Channel 4 to Sky in 2005.</w:t>
      </w:r>
      <w:r w:rsidR="008E61F6">
        <w:rPr>
          <w:rStyle w:val="FootnoteReference"/>
        </w:rPr>
        <w:footnoteReference w:id="13"/>
      </w:r>
      <w:r w:rsidR="00C33E19">
        <w:t xml:space="preserve"> </w:t>
      </w:r>
      <w:r>
        <w:t>T</w:t>
      </w:r>
      <w:r w:rsidR="00C33E19">
        <w:t>he number of adults participat</w:t>
      </w:r>
      <w:r w:rsidR="004C5254">
        <w:t>ing</w:t>
      </w:r>
      <w:r w:rsidR="00C33E19">
        <w:t xml:space="preserve"> in the sport at least once a week dropped by almost 20 per cent</w:t>
      </w:r>
      <w:r w:rsidR="008E61F6">
        <w:t xml:space="preserve"> over the subsequent 10 years, while </w:t>
      </w:r>
      <w:r w:rsidR="00C33E19">
        <w:t xml:space="preserve">weekly participation in rugby (whose two top competitions remained on free-to-air television) rose </w:t>
      </w:r>
      <w:r w:rsidR="00AD4118">
        <w:t>by around 7</w:t>
      </w:r>
      <w:r w:rsidR="004C5254">
        <w:t> </w:t>
      </w:r>
      <w:r w:rsidR="00AD4118">
        <w:t>per</w:t>
      </w:r>
      <w:r w:rsidR="004C5254">
        <w:t> </w:t>
      </w:r>
      <w:r w:rsidR="00AD4118">
        <w:t>cent</w:t>
      </w:r>
      <w:r w:rsidR="00A37961">
        <w:t xml:space="preserve"> over this period</w:t>
      </w:r>
      <w:r w:rsidR="00AD4118">
        <w:t>.</w:t>
      </w:r>
      <w:r w:rsidR="00AD4118">
        <w:rPr>
          <w:rStyle w:val="FootnoteReference"/>
        </w:rPr>
        <w:footnoteReference w:id="14"/>
      </w:r>
      <w:r>
        <w:t xml:space="preserve"> Although not the only factor at play, this </w:t>
      </w:r>
      <w:r w:rsidR="00C02FF4">
        <w:t>example highlights</w:t>
      </w:r>
      <w:r>
        <w:t xml:space="preserve"> that television coverage </w:t>
      </w:r>
      <w:r w:rsidR="00C02FF4">
        <w:t xml:space="preserve">is likely to have an impact on </w:t>
      </w:r>
      <w:r w:rsidR="00786CED">
        <w:t xml:space="preserve">overall participation rates for sport. </w:t>
      </w:r>
      <w:r>
        <w:t xml:space="preserve">  </w:t>
      </w:r>
    </w:p>
    <w:p w14:paraId="770207CB" w14:textId="3BEF2ED0" w:rsidR="00E1605A" w:rsidRDefault="007960CB" w:rsidP="00C4322E">
      <w:r>
        <w:t>The anti-siphoning scheme and</w:t>
      </w:r>
      <w:r w:rsidR="008F0370">
        <w:t xml:space="preserve"> anti-siphoning</w:t>
      </w:r>
      <w:r>
        <w:t xml:space="preserve"> list se</w:t>
      </w:r>
      <w:r w:rsidR="0030575A">
        <w:t>ek</w:t>
      </w:r>
      <w:r>
        <w:t xml:space="preserve"> to enhance the</w:t>
      </w:r>
      <w:r w:rsidR="004C5254">
        <w:t xml:space="preserve"> </w:t>
      </w:r>
      <w:r>
        <w:t xml:space="preserve">benefits </w:t>
      </w:r>
      <w:r w:rsidR="004C5254">
        <w:t xml:space="preserve">to health and increases in participation </w:t>
      </w:r>
      <w:r w:rsidR="000D6B3B">
        <w:t xml:space="preserve">by supporting </w:t>
      </w:r>
      <w:r>
        <w:t>the wide availability of televised coverage of events of national significance.</w:t>
      </w:r>
    </w:p>
    <w:p w14:paraId="2F88F4B2" w14:textId="77777777" w:rsidR="00E1605A" w:rsidRDefault="00E1605A" w:rsidP="00C4322E"/>
    <w:p w14:paraId="422EF9F1" w14:textId="3D6A3BE7" w:rsidR="001A0968" w:rsidRDefault="001A0968" w:rsidP="00C4322E">
      <w:pPr>
        <w:rPr>
          <w:rFonts w:asciiTheme="majorHAnsi" w:eastAsiaTheme="majorEastAsia" w:hAnsiTheme="majorHAnsi" w:cstheme="majorBidi"/>
          <w:color w:val="081E3E" w:themeColor="text2"/>
          <w:sz w:val="44"/>
          <w:szCs w:val="32"/>
        </w:rPr>
      </w:pPr>
      <w:r>
        <w:br w:type="page"/>
      </w:r>
    </w:p>
    <w:p w14:paraId="493F4FB0" w14:textId="025312D0" w:rsidR="00D80993" w:rsidRDefault="003949EA" w:rsidP="00A017AD">
      <w:pPr>
        <w:pStyle w:val="Heading1"/>
      </w:pPr>
      <w:bookmarkStart w:id="84" w:name="_Toc113361257"/>
      <w:bookmarkStart w:id="85" w:name="_Toc116061395"/>
      <w:r>
        <w:lastRenderedPageBreak/>
        <w:t xml:space="preserve">Chapter 2: </w:t>
      </w:r>
      <w:r w:rsidR="00D80993" w:rsidRPr="00BE1CE2">
        <w:t>The anti-siphoning scheme</w:t>
      </w:r>
      <w:bookmarkEnd w:id="84"/>
      <w:bookmarkEnd w:id="85"/>
    </w:p>
    <w:p w14:paraId="583E7AC8" w14:textId="4F17182E" w:rsidR="004452DE" w:rsidRDefault="00A871DA" w:rsidP="004B520C">
      <w:pPr>
        <w:pStyle w:val="Introduction"/>
        <w:spacing w:before="120" w:after="120"/>
      </w:pPr>
      <w:r w:rsidRPr="00A871DA">
        <w:t xml:space="preserve">The regulatory framework for the anti-siphoning scheme </w:t>
      </w:r>
      <w:r w:rsidR="003D2126">
        <w:rPr>
          <w:lang w:val="en-US"/>
        </w:rPr>
        <w:t xml:space="preserve">(the scheme) </w:t>
      </w:r>
      <w:r w:rsidRPr="00A871DA">
        <w:t xml:space="preserve">is </w:t>
      </w:r>
      <w:r w:rsidR="000117F7">
        <w:rPr>
          <w:lang w:val="en-US"/>
        </w:rPr>
        <w:t xml:space="preserve">established </w:t>
      </w:r>
      <w:r w:rsidRPr="00A871DA">
        <w:t xml:space="preserve">in the </w:t>
      </w:r>
      <w:r w:rsidRPr="00A871DA">
        <w:rPr>
          <w:i/>
        </w:rPr>
        <w:t xml:space="preserve">Broadcasting Services Act 1992 </w:t>
      </w:r>
      <w:r w:rsidRPr="00A871DA">
        <w:t>(BSA)</w:t>
      </w:r>
      <w:r w:rsidR="00841290">
        <w:rPr>
          <w:lang w:val="en-US"/>
        </w:rPr>
        <w:t xml:space="preserve"> and </w:t>
      </w:r>
      <w:r w:rsidRPr="00A871DA">
        <w:t>came into effect in 1994</w:t>
      </w:r>
      <w:r w:rsidR="000117F7">
        <w:rPr>
          <w:lang w:val="en-US"/>
        </w:rPr>
        <w:t>.</w:t>
      </w:r>
    </w:p>
    <w:p w14:paraId="468F1B17" w14:textId="33CE1626" w:rsidR="004452DE" w:rsidRDefault="00A871DA" w:rsidP="004B520C">
      <w:pPr>
        <w:pStyle w:val="Introduction"/>
        <w:spacing w:before="120" w:after="120"/>
      </w:pPr>
      <w:r w:rsidRPr="00A871DA">
        <w:t xml:space="preserve">The scheme </w:t>
      </w:r>
      <w:r w:rsidR="004452DE">
        <w:rPr>
          <w:lang w:val="en-AU"/>
        </w:rPr>
        <w:t>seeks</w:t>
      </w:r>
      <w:r w:rsidRPr="00A871DA">
        <w:t xml:space="preserve"> to increase </w:t>
      </w:r>
      <w:r w:rsidR="007558A6">
        <w:rPr>
          <w:lang w:val="en-US"/>
        </w:rPr>
        <w:t>the likelihood of free televised coverage of iconic and nationally important events.</w:t>
      </w:r>
    </w:p>
    <w:p w14:paraId="1CE0E5A9" w14:textId="48954B16" w:rsidR="00A871DA" w:rsidRPr="00A871DA" w:rsidRDefault="00A871DA" w:rsidP="004B520C">
      <w:pPr>
        <w:pStyle w:val="Introduction"/>
        <w:spacing w:before="120" w:after="120"/>
      </w:pPr>
      <w:r w:rsidRPr="00A871DA">
        <w:t xml:space="preserve">The current legislative instrument made </w:t>
      </w:r>
      <w:r w:rsidR="007558A6">
        <w:rPr>
          <w:lang w:val="en-US"/>
        </w:rPr>
        <w:t xml:space="preserve">under the scheme </w:t>
      </w:r>
      <w:r w:rsidRPr="00A871DA">
        <w:t xml:space="preserve">is the </w:t>
      </w:r>
      <w:r w:rsidRPr="00A871DA">
        <w:rPr>
          <w:i/>
        </w:rPr>
        <w:t>Broadcasting Services (Events) Notice (No. 1) 2010</w:t>
      </w:r>
      <w:r w:rsidRPr="00A871DA">
        <w:t xml:space="preserve"> (the anti-siphoning list).</w:t>
      </w:r>
    </w:p>
    <w:p w14:paraId="52440461" w14:textId="77777777" w:rsidR="004B520C" w:rsidRDefault="004B520C" w:rsidP="004B520C"/>
    <w:p w14:paraId="7AD74C3F" w14:textId="77777777" w:rsidR="00D80993" w:rsidRPr="00EE71E5" w:rsidRDefault="00D80993" w:rsidP="00B22819">
      <w:pPr>
        <w:pStyle w:val="Heading2"/>
      </w:pPr>
      <w:bookmarkStart w:id="86" w:name="_Toc112233667"/>
      <w:bookmarkStart w:id="87" w:name="_Toc112326010"/>
      <w:bookmarkStart w:id="88" w:name="_Toc113028180"/>
      <w:bookmarkStart w:id="89" w:name="_Toc113361258"/>
      <w:bookmarkStart w:id="90" w:name="_Toc114476238"/>
      <w:bookmarkStart w:id="91" w:name="_Toc114487285"/>
      <w:bookmarkStart w:id="92" w:name="_Toc116046019"/>
      <w:bookmarkStart w:id="93" w:name="_Toc116061396"/>
      <w:bookmarkStart w:id="94" w:name="_Toc116292936"/>
      <w:r w:rsidRPr="00EE71E5">
        <w:t>The scheme</w:t>
      </w:r>
      <w:bookmarkEnd w:id="86"/>
      <w:bookmarkEnd w:id="87"/>
      <w:bookmarkEnd w:id="88"/>
      <w:bookmarkEnd w:id="89"/>
      <w:bookmarkEnd w:id="90"/>
      <w:bookmarkEnd w:id="91"/>
      <w:bookmarkEnd w:id="92"/>
      <w:bookmarkEnd w:id="93"/>
      <w:bookmarkEnd w:id="94"/>
    </w:p>
    <w:p w14:paraId="087A9DB2" w14:textId="7EA166F5" w:rsidR="007558A6" w:rsidRDefault="008A6056" w:rsidP="008A6056">
      <w:pPr>
        <w:keepNext/>
        <w:keepLines/>
      </w:pPr>
      <w:r w:rsidRPr="00F31076">
        <w:rPr>
          <w:rFonts w:cs="Times New Roman"/>
        </w:rPr>
        <w:t xml:space="preserve">The </w:t>
      </w:r>
      <w:r>
        <w:rPr>
          <w:rFonts w:cs="Times New Roman"/>
        </w:rPr>
        <w:t xml:space="preserve">anti-siphoning </w:t>
      </w:r>
      <w:r w:rsidRPr="00F31076">
        <w:rPr>
          <w:rFonts w:cs="Times New Roman"/>
        </w:rPr>
        <w:t>scheme regulates the order</w:t>
      </w:r>
      <w:r w:rsidR="00545FCE">
        <w:rPr>
          <w:rFonts w:cs="Times New Roman"/>
        </w:rPr>
        <w:t xml:space="preserve"> in which the </w:t>
      </w:r>
      <w:r w:rsidR="004452DE">
        <w:rPr>
          <w:rFonts w:cs="Times New Roman"/>
        </w:rPr>
        <w:t xml:space="preserve">rights to televise </w:t>
      </w:r>
      <w:r w:rsidRPr="00F31076">
        <w:rPr>
          <w:rFonts w:cs="Times New Roman"/>
        </w:rPr>
        <w:t>events on the</w:t>
      </w:r>
      <w:r>
        <w:rPr>
          <w:rFonts w:cs="Times New Roman"/>
        </w:rPr>
        <w:t xml:space="preserve"> anti-siphoning</w:t>
      </w:r>
      <w:r w:rsidRPr="00F31076">
        <w:rPr>
          <w:rFonts w:cs="Times New Roman"/>
        </w:rPr>
        <w:t xml:space="preserve"> list may be acquired by television broadcasters</w:t>
      </w:r>
      <w:r w:rsidR="000117F7">
        <w:rPr>
          <w:rFonts w:cs="Times New Roman"/>
        </w:rPr>
        <w:t xml:space="preserve">. The scheme </w:t>
      </w:r>
      <w:r w:rsidR="007558A6">
        <w:t>operates as a licence condition for subscription television broadcasting licensees,</w:t>
      </w:r>
      <w:r w:rsidR="007558A6">
        <w:rPr>
          <w:rStyle w:val="FootnoteReference"/>
        </w:rPr>
        <w:footnoteReference w:id="15"/>
      </w:r>
      <w:r w:rsidR="007558A6">
        <w:t xml:space="preserve"> preventing them from</w:t>
      </w:r>
      <w:r w:rsidR="00CC5EBB">
        <w:t xml:space="preserve"> acquiring the right to televise an event on the anti</w:t>
      </w:r>
      <w:r w:rsidR="00C30680">
        <w:noBreakHyphen/>
      </w:r>
      <w:r w:rsidR="00CC5EBB">
        <w:t>siphoning list unless</w:t>
      </w:r>
      <w:r w:rsidR="007558A6">
        <w:t>:</w:t>
      </w:r>
    </w:p>
    <w:p w14:paraId="6696EA6A" w14:textId="7902845A" w:rsidR="001664B9" w:rsidRDefault="001664B9" w:rsidP="00665D0D">
      <w:pPr>
        <w:pStyle w:val="ListParagraph"/>
        <w:numPr>
          <w:ilvl w:val="0"/>
          <w:numId w:val="53"/>
        </w:numPr>
        <w:shd w:val="clear" w:color="auto" w:fill="FFFFFF"/>
        <w:spacing w:after="120" w:line="240" w:lineRule="auto"/>
        <w:ind w:left="357" w:hanging="357"/>
        <w:contextualSpacing w:val="0"/>
        <w:textAlignment w:val="baseline"/>
        <w:rPr>
          <w:rFonts w:cs="Times New Roman"/>
          <w:szCs w:val="24"/>
        </w:rPr>
      </w:pPr>
      <w:r w:rsidRPr="00A017AD">
        <w:rPr>
          <w:rFonts w:cs="Times New Roman"/>
          <w:szCs w:val="24"/>
        </w:rPr>
        <w:t>a national broadcaster has the right to televise the event on any of its broadcasting services; or</w:t>
      </w:r>
    </w:p>
    <w:p w14:paraId="46ABDAAB" w14:textId="5168B06A" w:rsidR="001664B9" w:rsidRPr="00A017AD" w:rsidRDefault="0084223E" w:rsidP="00665D0D">
      <w:pPr>
        <w:pStyle w:val="ListParagraph"/>
        <w:numPr>
          <w:ilvl w:val="0"/>
          <w:numId w:val="53"/>
        </w:numPr>
        <w:shd w:val="clear" w:color="auto" w:fill="FFFFFF"/>
        <w:spacing w:after="120" w:line="240" w:lineRule="auto"/>
        <w:textAlignment w:val="baseline"/>
        <w:rPr>
          <w:rFonts w:cs="Times New Roman"/>
          <w:szCs w:val="24"/>
        </w:rPr>
      </w:pPr>
      <w:r>
        <w:rPr>
          <w:rFonts w:cs="Times New Roman"/>
          <w:szCs w:val="24"/>
        </w:rPr>
        <w:t>commercial television broadcasting licensee</w:t>
      </w:r>
      <w:r w:rsidR="00D62A89">
        <w:rPr>
          <w:rFonts w:cs="Times New Roman"/>
          <w:szCs w:val="24"/>
        </w:rPr>
        <w:t>s</w:t>
      </w:r>
      <w:r>
        <w:rPr>
          <w:rFonts w:cs="Times New Roman"/>
          <w:szCs w:val="24"/>
        </w:rPr>
        <w:t xml:space="preserve"> (</w:t>
      </w:r>
      <w:r w:rsidR="00795F43">
        <w:rPr>
          <w:rFonts w:cs="Times New Roman"/>
          <w:szCs w:val="24"/>
        </w:rPr>
        <w:t xml:space="preserve">excluding </w:t>
      </w:r>
      <w:r w:rsidR="00667B9D">
        <w:rPr>
          <w:rFonts w:cs="Times New Roman"/>
          <w:szCs w:val="24"/>
        </w:rPr>
        <w:t xml:space="preserve">licensees of </w:t>
      </w:r>
      <w:r w:rsidR="00D62A89">
        <w:rPr>
          <w:rFonts w:cs="Times New Roman"/>
          <w:szCs w:val="24"/>
        </w:rPr>
        <w:t xml:space="preserve">certain types </w:t>
      </w:r>
      <w:r w:rsidR="0069367F">
        <w:rPr>
          <w:rFonts w:cs="Times New Roman"/>
          <w:szCs w:val="24"/>
        </w:rPr>
        <w:t>of commercial television broadcasting licences</w:t>
      </w:r>
      <w:r>
        <w:rPr>
          <w:rFonts w:cs="Times New Roman"/>
          <w:szCs w:val="24"/>
        </w:rPr>
        <w:t xml:space="preserve">) </w:t>
      </w:r>
      <w:r w:rsidR="00D62A89">
        <w:rPr>
          <w:rFonts w:cs="Times New Roman"/>
          <w:szCs w:val="24"/>
        </w:rPr>
        <w:t>whose television services</w:t>
      </w:r>
      <w:r>
        <w:rPr>
          <w:rFonts w:cs="Times New Roman"/>
          <w:szCs w:val="24"/>
        </w:rPr>
        <w:t xml:space="preserve"> cover more tha</w:t>
      </w:r>
      <w:r w:rsidR="006536FD">
        <w:rPr>
          <w:rFonts w:cs="Times New Roman"/>
          <w:szCs w:val="24"/>
        </w:rPr>
        <w:t>n</w:t>
      </w:r>
      <w:r>
        <w:rPr>
          <w:rFonts w:cs="Times New Roman"/>
          <w:szCs w:val="24"/>
        </w:rPr>
        <w:t xml:space="preserve"> 50 per cent of the Australian population</w:t>
      </w:r>
      <w:r w:rsidR="00D62A89">
        <w:rPr>
          <w:rFonts w:cs="Times New Roman"/>
          <w:szCs w:val="24"/>
        </w:rPr>
        <w:t xml:space="preserve"> have a </w:t>
      </w:r>
      <w:r>
        <w:rPr>
          <w:rFonts w:cs="Times New Roman"/>
          <w:szCs w:val="24"/>
        </w:rPr>
        <w:t>right to televise the event</w:t>
      </w:r>
      <w:r w:rsidR="00D62A89">
        <w:rPr>
          <w:rFonts w:cs="Times New Roman"/>
          <w:szCs w:val="24"/>
        </w:rPr>
        <w:t>.</w:t>
      </w:r>
    </w:p>
    <w:p w14:paraId="6D91A71D" w14:textId="5C6464B9" w:rsidR="00D62A89" w:rsidRDefault="007558A6" w:rsidP="001028FA">
      <w:pPr>
        <w:rPr>
          <w:lang w:val="en-US"/>
        </w:rPr>
      </w:pPr>
      <w:r>
        <w:t>Events are automatically</w:t>
      </w:r>
      <w:r w:rsidR="00C90E44" w:rsidRPr="00834E8A" w:rsidDel="00410456">
        <w:t xml:space="preserve"> </w:t>
      </w:r>
      <w:r w:rsidR="00410456">
        <w:t>d</w:t>
      </w:r>
      <w:r w:rsidR="00410456" w:rsidRPr="00834E8A">
        <w:t>elist</w:t>
      </w:r>
      <w:r w:rsidR="00410456">
        <w:t>ed</w:t>
      </w:r>
      <w:r w:rsidR="00C90E44" w:rsidRPr="00834E8A">
        <w:t xml:space="preserve"> </w:t>
      </w:r>
      <w:r>
        <w:t xml:space="preserve">(removed) from the </w:t>
      </w:r>
      <w:r w:rsidR="008F0370">
        <w:t xml:space="preserve">anti-siphoning </w:t>
      </w:r>
      <w:r>
        <w:t xml:space="preserve">list </w:t>
      </w:r>
      <w:r w:rsidR="00945EDD">
        <w:t>4,368 hours (</w:t>
      </w:r>
      <w:r w:rsidR="00C90E44" w:rsidRPr="00834E8A">
        <w:t>26 weeks</w:t>
      </w:r>
      <w:r w:rsidR="00945EDD">
        <w:t>)</w:t>
      </w:r>
      <w:r w:rsidR="00C90E44" w:rsidRPr="00834E8A">
        <w:t xml:space="preserve"> prior to the </w:t>
      </w:r>
      <w:r w:rsidR="001028FA">
        <w:t xml:space="preserve">start of the </w:t>
      </w:r>
      <w:r>
        <w:t xml:space="preserve">specific </w:t>
      </w:r>
      <w:r w:rsidR="00C90E44" w:rsidRPr="00834E8A">
        <w:t>event</w:t>
      </w:r>
      <w:r>
        <w:t>.</w:t>
      </w:r>
      <w:r w:rsidR="007B2F00">
        <w:rPr>
          <w:rStyle w:val="FootnoteReference"/>
        </w:rPr>
        <w:footnoteReference w:id="16"/>
      </w:r>
      <w:r w:rsidR="00C90E44">
        <w:t xml:space="preserve"> </w:t>
      </w:r>
      <w:r w:rsidR="005252EC">
        <w:t xml:space="preserve">As outlined in the </w:t>
      </w:r>
      <w:r w:rsidR="005252EC">
        <w:rPr>
          <w:lang w:val="en-US"/>
        </w:rPr>
        <w:t xml:space="preserve">Explanatory Memorandum to the </w:t>
      </w:r>
      <w:r w:rsidR="00D62A89" w:rsidRPr="009062B0">
        <w:rPr>
          <w:i/>
          <w:lang w:val="en-US"/>
        </w:rPr>
        <w:t>Broadcasting Legislation Amendment (Broadcasting Reform) Bill 2017</w:t>
      </w:r>
      <w:r w:rsidR="00D62A89">
        <w:rPr>
          <w:lang w:val="en-US"/>
        </w:rPr>
        <w:t>, which</w:t>
      </w:r>
      <w:r w:rsidR="005252EC">
        <w:rPr>
          <w:lang w:val="en-US"/>
        </w:rPr>
        <w:t xml:space="preserve"> amended </w:t>
      </w:r>
      <w:r w:rsidR="00D62A89">
        <w:rPr>
          <w:lang w:val="en-US"/>
        </w:rPr>
        <w:t xml:space="preserve">certain aspects of </w:t>
      </w:r>
      <w:r w:rsidR="005252EC">
        <w:rPr>
          <w:lang w:val="en-US"/>
        </w:rPr>
        <w:t xml:space="preserve">the </w:t>
      </w:r>
      <w:r w:rsidR="00D62A89">
        <w:rPr>
          <w:lang w:val="en-US"/>
        </w:rPr>
        <w:t xml:space="preserve">scheme, the automatic </w:t>
      </w:r>
      <w:r w:rsidR="005252EC">
        <w:rPr>
          <w:lang w:val="en-US"/>
        </w:rPr>
        <w:t xml:space="preserve">delisting </w:t>
      </w:r>
      <w:r w:rsidR="00D62A89">
        <w:rPr>
          <w:lang w:val="en-US"/>
        </w:rPr>
        <w:t>arrangements seek</w:t>
      </w:r>
      <w:r w:rsidR="005252EC">
        <w:rPr>
          <w:lang w:val="en-US"/>
        </w:rPr>
        <w:t xml:space="preserve"> to</w:t>
      </w:r>
    </w:p>
    <w:p w14:paraId="72F0696B" w14:textId="79BD4875" w:rsidR="005252EC" w:rsidRDefault="005252EC" w:rsidP="001D6ABE">
      <w:pPr>
        <w:ind w:left="567" w:right="794"/>
      </w:pPr>
      <w:r w:rsidRPr="00287F81">
        <w:rPr>
          <w:i/>
        </w:rPr>
        <w:t>“provide subscription television broadcasters with some opportunity to acquire the rights to events that free-to-air broadcasters could be considered not to be interested in acquiring if they have not done so by that time</w:t>
      </w:r>
      <w:r w:rsidR="00D62A89" w:rsidRPr="00287F81">
        <w:rPr>
          <w:i/>
        </w:rPr>
        <w:t>”.</w:t>
      </w:r>
    </w:p>
    <w:p w14:paraId="23CB1601" w14:textId="708674CF" w:rsidR="00F678AA" w:rsidRDefault="00F678AA" w:rsidP="001028FA">
      <w:r>
        <w:t xml:space="preserve">The Minister may retain an event on the </w:t>
      </w:r>
      <w:r w:rsidR="008F0370">
        <w:t xml:space="preserve">anti-siphoning </w:t>
      </w:r>
      <w:r>
        <w:t xml:space="preserve">list (overriding automatic delisting) if they are satisfied that at least one </w:t>
      </w:r>
      <w:r w:rsidR="006B2695">
        <w:t>free-to-air</w:t>
      </w:r>
      <w:r>
        <w:t xml:space="preserve"> broadcaster has not had a reasonable opportunity to acquire the right to televise the event concerned.</w:t>
      </w:r>
    </w:p>
    <w:p w14:paraId="294C06D6" w14:textId="54ED8914" w:rsidR="00D62A89" w:rsidRDefault="00F678AA" w:rsidP="001028FA">
      <w:r>
        <w:t xml:space="preserve">The Minister can also remove an event from the </w:t>
      </w:r>
      <w:r w:rsidR="008F0370">
        <w:t xml:space="preserve">anti-siphoning </w:t>
      </w:r>
      <w:r>
        <w:t>list, separate from the automatic delisting arrangements referred above</w:t>
      </w:r>
      <w:r w:rsidR="00C90E44" w:rsidRPr="00834E8A">
        <w:t>.</w:t>
      </w:r>
      <w:r w:rsidR="007B2F00">
        <w:rPr>
          <w:rStyle w:val="FootnoteReference"/>
        </w:rPr>
        <w:footnoteReference w:id="17"/>
      </w:r>
      <w:r w:rsidR="00C90E44" w:rsidRPr="00834E8A">
        <w:t xml:space="preserve"> </w:t>
      </w:r>
      <w:r>
        <w:t>The BSA provides a number of illustrative examples of the circumstance in which the Minister might exercise the power. This includes</w:t>
      </w:r>
      <w:r w:rsidR="00AB5DF7">
        <w:t xml:space="preserve"> </w:t>
      </w:r>
      <w:r w:rsidR="00D62A89">
        <w:t>the circumstance</w:t>
      </w:r>
      <w:r w:rsidR="00AB5DF7">
        <w:t xml:space="preserve"> where</w:t>
      </w:r>
      <w:r w:rsidR="00D62A89">
        <w:t>:</w:t>
      </w:r>
    </w:p>
    <w:p w14:paraId="03277066" w14:textId="1880BC4E" w:rsidR="00801121" w:rsidRPr="00AB5DF7" w:rsidRDefault="00AB5DF7" w:rsidP="001D6ABE">
      <w:pPr>
        <w:ind w:left="567" w:right="794"/>
      </w:pPr>
      <w:r>
        <w:t>“</w:t>
      </w:r>
      <w:r w:rsidR="00D62A89" w:rsidRPr="00D62A89">
        <w:rPr>
          <w:i/>
        </w:rPr>
        <w:t>A</w:t>
      </w:r>
      <w:r w:rsidR="00D62A89">
        <w:t xml:space="preserve"> </w:t>
      </w:r>
      <w:r w:rsidR="00801121" w:rsidRPr="00AB5DF7">
        <w:rPr>
          <w:i/>
        </w:rPr>
        <w:t>commercial television broadcasting licensee has acquired the right to televise an event, but has failed to televise the event or has televised only an unreasonably small proportion of the event. The Minister is of the opinion that removing that event, or another event, from the notice is likely to have the effect that the removed event will be televised to a greater extent than it would be if it remained on the notice.</w:t>
      </w:r>
      <w:r>
        <w:t>”</w:t>
      </w:r>
    </w:p>
    <w:p w14:paraId="6240905F" w14:textId="24346D81" w:rsidR="00CE1792" w:rsidRDefault="00253D3A" w:rsidP="004C5254">
      <w:pPr>
        <w:pStyle w:val="Box1Heading"/>
        <w:pBdr>
          <w:bottom w:val="single" w:sz="4" w:space="13" w:color="008089" w:themeColor="accent2"/>
        </w:pBdr>
      </w:pPr>
      <w:bookmarkStart w:id="95" w:name="_Hlk111630239"/>
      <w:r>
        <w:rPr>
          <w:lang w:val="en-US"/>
        </w:rPr>
        <w:lastRenderedPageBreak/>
        <w:t>The anti-siphoning scheme does not:</w:t>
      </w:r>
    </w:p>
    <w:p w14:paraId="1CAE7EDC" w14:textId="2E70E4C9" w:rsidR="004A1916" w:rsidRPr="00C30680" w:rsidRDefault="004A1916" w:rsidP="00665D0D">
      <w:pPr>
        <w:pStyle w:val="Box1Bullet1"/>
        <w:numPr>
          <w:ilvl w:val="0"/>
          <w:numId w:val="48"/>
        </w:numPr>
        <w:pBdr>
          <w:bottom w:val="single" w:sz="4" w:space="13" w:color="008089" w:themeColor="accent2"/>
        </w:pBdr>
        <w:spacing w:before="0" w:after="120"/>
        <w:ind w:left="641" w:hanging="357"/>
        <w:rPr>
          <w:sz w:val="22"/>
          <w:szCs w:val="22"/>
        </w:rPr>
      </w:pPr>
      <w:r w:rsidRPr="00C30680">
        <w:rPr>
          <w:sz w:val="22"/>
          <w:szCs w:val="22"/>
          <w:lang w:val="en-US"/>
        </w:rPr>
        <w:t xml:space="preserve">require free-to-air television broadcasters to acquire the right to televise </w:t>
      </w:r>
      <w:r w:rsidR="008F0370">
        <w:rPr>
          <w:sz w:val="22"/>
          <w:szCs w:val="22"/>
          <w:lang w:val="en-US"/>
        </w:rPr>
        <w:t xml:space="preserve">anti-siphoning </w:t>
      </w:r>
      <w:r w:rsidRPr="00C30680">
        <w:rPr>
          <w:sz w:val="22"/>
          <w:szCs w:val="22"/>
          <w:lang w:val="en-US"/>
        </w:rPr>
        <w:t>listed events</w:t>
      </w:r>
      <w:r w:rsidR="000327F8" w:rsidRPr="00C30680">
        <w:rPr>
          <w:sz w:val="22"/>
          <w:szCs w:val="22"/>
          <w:lang w:val="en-US"/>
        </w:rPr>
        <w:t>,</w:t>
      </w:r>
      <w:r w:rsidRPr="00C30680">
        <w:rPr>
          <w:sz w:val="22"/>
          <w:szCs w:val="22"/>
          <w:lang w:val="en-US"/>
        </w:rPr>
        <w:t xml:space="preserve"> or to televise the events for which they do acquire rights</w:t>
      </w:r>
      <w:r w:rsidR="00253D3A" w:rsidRPr="00C30680">
        <w:rPr>
          <w:sz w:val="22"/>
          <w:szCs w:val="22"/>
          <w:lang w:val="en-US"/>
        </w:rPr>
        <w:t>;</w:t>
      </w:r>
    </w:p>
    <w:p w14:paraId="0720E889" w14:textId="2FC7F397" w:rsidR="00CE1792" w:rsidRPr="00C30680" w:rsidRDefault="000327F8" w:rsidP="00665D0D">
      <w:pPr>
        <w:pStyle w:val="Box1Bullet1"/>
        <w:numPr>
          <w:ilvl w:val="0"/>
          <w:numId w:val="48"/>
        </w:numPr>
        <w:pBdr>
          <w:bottom w:val="single" w:sz="4" w:space="13" w:color="008089" w:themeColor="accent2"/>
        </w:pBdr>
        <w:spacing w:before="0" w:after="120"/>
        <w:rPr>
          <w:sz w:val="22"/>
          <w:szCs w:val="22"/>
        </w:rPr>
      </w:pPr>
      <w:r w:rsidRPr="00C30680">
        <w:rPr>
          <w:sz w:val="22"/>
          <w:szCs w:val="22"/>
          <w:lang w:val="en-US"/>
        </w:rPr>
        <w:t xml:space="preserve">stipulate what </w:t>
      </w:r>
      <w:r w:rsidR="00714F28" w:rsidRPr="00C30680">
        <w:rPr>
          <w:sz w:val="22"/>
          <w:szCs w:val="22"/>
          <w:lang w:val="en-US"/>
        </w:rPr>
        <w:t xml:space="preserve">constitutes a </w:t>
      </w:r>
      <w:r w:rsidRPr="00C30680">
        <w:rPr>
          <w:sz w:val="22"/>
          <w:szCs w:val="22"/>
          <w:lang w:val="en-US"/>
        </w:rPr>
        <w:t xml:space="preserve">‘right to televise’ an event on the </w:t>
      </w:r>
      <w:r w:rsidR="008F0370">
        <w:rPr>
          <w:sz w:val="22"/>
          <w:szCs w:val="22"/>
          <w:lang w:val="en-US"/>
        </w:rPr>
        <w:t xml:space="preserve">anti-siphoning </w:t>
      </w:r>
      <w:r w:rsidRPr="00C30680">
        <w:rPr>
          <w:sz w:val="22"/>
          <w:szCs w:val="22"/>
          <w:lang w:val="en-US"/>
        </w:rPr>
        <w:t>list, although court cases have considered this issue to an extent</w:t>
      </w:r>
      <w:r w:rsidR="00253D3A" w:rsidRPr="00C30680">
        <w:rPr>
          <w:sz w:val="22"/>
          <w:szCs w:val="22"/>
          <w:lang w:val="en-US"/>
        </w:rPr>
        <w:t>;</w:t>
      </w:r>
      <w:r w:rsidRPr="00C30680">
        <w:rPr>
          <w:rStyle w:val="FootnoteReference"/>
          <w:sz w:val="22"/>
          <w:szCs w:val="22"/>
          <w:lang w:val="en-US"/>
        </w:rPr>
        <w:footnoteReference w:id="18"/>
      </w:r>
    </w:p>
    <w:p w14:paraId="2F74296A" w14:textId="292469DE" w:rsidR="00CE1792" w:rsidRPr="00C30680" w:rsidRDefault="00B11804" w:rsidP="00665D0D">
      <w:pPr>
        <w:pStyle w:val="Box1Bullet1"/>
        <w:numPr>
          <w:ilvl w:val="0"/>
          <w:numId w:val="48"/>
        </w:numPr>
        <w:pBdr>
          <w:bottom w:val="single" w:sz="4" w:space="13" w:color="008089" w:themeColor="accent2"/>
        </w:pBdr>
        <w:spacing w:before="0" w:after="120"/>
        <w:rPr>
          <w:sz w:val="22"/>
          <w:szCs w:val="22"/>
        </w:rPr>
      </w:pPr>
      <w:r w:rsidRPr="00C30680">
        <w:rPr>
          <w:sz w:val="22"/>
          <w:szCs w:val="22"/>
          <w:lang w:val="en-US"/>
        </w:rPr>
        <w:t xml:space="preserve">prevent the </w:t>
      </w:r>
      <w:r w:rsidR="00CE1792" w:rsidRPr="00C30680">
        <w:rPr>
          <w:sz w:val="22"/>
          <w:szCs w:val="22"/>
          <w:lang w:val="en-US"/>
        </w:rPr>
        <w:t>on-selling</w:t>
      </w:r>
      <w:r w:rsidRPr="00C30680">
        <w:rPr>
          <w:sz w:val="22"/>
          <w:szCs w:val="22"/>
          <w:lang w:val="en-US"/>
        </w:rPr>
        <w:t xml:space="preserve"> of some, or all, rights to a</w:t>
      </w:r>
      <w:r w:rsidR="000327F8" w:rsidRPr="00C30680">
        <w:rPr>
          <w:sz w:val="22"/>
          <w:szCs w:val="22"/>
          <w:lang w:val="en-US"/>
        </w:rPr>
        <w:t xml:space="preserve">n event on the </w:t>
      </w:r>
      <w:r w:rsidR="008F0370">
        <w:rPr>
          <w:sz w:val="22"/>
          <w:szCs w:val="22"/>
          <w:lang w:val="en-US"/>
        </w:rPr>
        <w:t xml:space="preserve">anti-siphoning </w:t>
      </w:r>
      <w:r w:rsidR="000327F8" w:rsidRPr="00C30680">
        <w:rPr>
          <w:sz w:val="22"/>
          <w:szCs w:val="22"/>
          <w:lang w:val="en-US"/>
        </w:rPr>
        <w:t xml:space="preserve">list to a </w:t>
      </w:r>
      <w:r w:rsidRPr="00C30680">
        <w:rPr>
          <w:sz w:val="22"/>
          <w:szCs w:val="22"/>
          <w:lang w:val="en-US"/>
        </w:rPr>
        <w:t>subscription television broadcas</w:t>
      </w:r>
      <w:r w:rsidR="000327F8" w:rsidRPr="00C30680">
        <w:rPr>
          <w:sz w:val="22"/>
          <w:szCs w:val="22"/>
          <w:lang w:val="en-US"/>
        </w:rPr>
        <w:t xml:space="preserve">ting licensee or any other </w:t>
      </w:r>
      <w:r w:rsidRPr="00C30680">
        <w:rPr>
          <w:sz w:val="22"/>
          <w:szCs w:val="22"/>
          <w:lang w:val="en-US"/>
        </w:rPr>
        <w:t>content service provider</w:t>
      </w:r>
      <w:r w:rsidR="00253D3A" w:rsidRPr="00C30680">
        <w:rPr>
          <w:sz w:val="22"/>
          <w:szCs w:val="22"/>
          <w:lang w:val="en-US"/>
        </w:rPr>
        <w:t>; or</w:t>
      </w:r>
    </w:p>
    <w:p w14:paraId="3B71A2E2" w14:textId="2A8C9CB4" w:rsidR="00714F28" w:rsidRPr="00C30680" w:rsidRDefault="00714F28" w:rsidP="00665D0D">
      <w:pPr>
        <w:pStyle w:val="Box1Bullet1"/>
        <w:numPr>
          <w:ilvl w:val="0"/>
          <w:numId w:val="48"/>
        </w:numPr>
        <w:pBdr>
          <w:bottom w:val="single" w:sz="4" w:space="13" w:color="008089" w:themeColor="accent2"/>
        </w:pBdr>
        <w:spacing w:before="0" w:after="120"/>
        <w:ind w:left="641" w:hanging="357"/>
        <w:rPr>
          <w:sz w:val="22"/>
          <w:szCs w:val="22"/>
        </w:rPr>
      </w:pPr>
      <w:r w:rsidRPr="00C30680">
        <w:rPr>
          <w:sz w:val="22"/>
          <w:szCs w:val="22"/>
          <w:lang w:val="en-US"/>
        </w:rPr>
        <w:t xml:space="preserve">restrict the acquisition of a right to televise an event on the </w:t>
      </w:r>
      <w:r w:rsidR="008F0370">
        <w:rPr>
          <w:sz w:val="22"/>
          <w:szCs w:val="22"/>
          <w:lang w:val="en-US"/>
        </w:rPr>
        <w:t xml:space="preserve">anti-siphoning </w:t>
      </w:r>
      <w:r w:rsidRPr="00C30680">
        <w:rPr>
          <w:sz w:val="22"/>
          <w:szCs w:val="22"/>
          <w:lang w:val="en-US"/>
        </w:rPr>
        <w:t>list by any content service provider other than the holder of a subscription television broadcasting licence.</w:t>
      </w:r>
    </w:p>
    <w:bookmarkEnd w:id="95"/>
    <w:p w14:paraId="5C5ADD5E" w14:textId="77777777" w:rsidR="004146BA" w:rsidRDefault="004146BA" w:rsidP="004146BA"/>
    <w:p w14:paraId="257BF74D" w14:textId="2B0677A2" w:rsidR="00305312" w:rsidRDefault="00305312" w:rsidP="00B22819">
      <w:pPr>
        <w:pStyle w:val="Heading2"/>
      </w:pPr>
      <w:bookmarkStart w:id="96" w:name="_Toc112233668"/>
      <w:bookmarkStart w:id="97" w:name="_Toc112326011"/>
      <w:bookmarkStart w:id="98" w:name="_Toc113028181"/>
      <w:bookmarkStart w:id="99" w:name="_Toc113361259"/>
      <w:bookmarkStart w:id="100" w:name="_Toc114476239"/>
      <w:bookmarkStart w:id="101" w:name="_Toc114487286"/>
      <w:bookmarkStart w:id="102" w:name="_Toc116046020"/>
      <w:bookmarkStart w:id="103" w:name="_Toc116061397"/>
      <w:bookmarkStart w:id="104" w:name="_Toc116292937"/>
      <w:r>
        <w:t xml:space="preserve">The </w:t>
      </w:r>
      <w:r w:rsidR="008F0370">
        <w:t xml:space="preserve">anti-siphoning </w:t>
      </w:r>
      <w:r>
        <w:t>list</w:t>
      </w:r>
      <w:bookmarkEnd w:id="96"/>
      <w:bookmarkEnd w:id="97"/>
      <w:bookmarkEnd w:id="98"/>
      <w:bookmarkEnd w:id="99"/>
      <w:bookmarkEnd w:id="100"/>
      <w:bookmarkEnd w:id="101"/>
      <w:bookmarkEnd w:id="102"/>
      <w:bookmarkEnd w:id="103"/>
      <w:bookmarkEnd w:id="104"/>
    </w:p>
    <w:p w14:paraId="41DB7394" w14:textId="07B71B8A" w:rsidR="008A6056" w:rsidRDefault="00545FCE" w:rsidP="008A6056">
      <w:pPr>
        <w:rPr>
          <w:rFonts w:cs="Times New Roman"/>
        </w:rPr>
      </w:pPr>
      <w:r>
        <w:t xml:space="preserve">A key part of the scheme is the anti-siphoning list. This is a legislative instrument made by the Minister under subsection 115(1) of the BSA. </w:t>
      </w:r>
      <w:r w:rsidR="00714F28">
        <w:t>Through this instrument, the Minister ma</w:t>
      </w:r>
      <w:r w:rsidR="00AB5DF7">
        <w:t>y</w:t>
      </w:r>
      <w:r w:rsidR="00714F28">
        <w:t xml:space="preserve"> specify an event, or events of a kind, </w:t>
      </w:r>
      <w:r w:rsidR="008A6056" w:rsidRPr="00853C92">
        <w:t xml:space="preserve">the televising of which should, in the Minister’s opinion, </w:t>
      </w:r>
      <w:r w:rsidR="000B5E97">
        <w:t>‘</w:t>
      </w:r>
      <w:r w:rsidR="008A6056" w:rsidRPr="000B5E97">
        <w:rPr>
          <w:i/>
        </w:rPr>
        <w:t>be available free to the general public</w:t>
      </w:r>
      <w:r w:rsidR="000B5E97">
        <w:t>’</w:t>
      </w:r>
      <w:r w:rsidR="008A6056" w:rsidRPr="00853C92">
        <w:t>.</w:t>
      </w:r>
      <w:r w:rsidR="008A6441">
        <w:rPr>
          <w:rStyle w:val="FootnoteReference"/>
        </w:rPr>
        <w:footnoteReference w:id="19"/>
      </w:r>
      <w:r w:rsidR="00BC1B93">
        <w:t xml:space="preserve"> The current </w:t>
      </w:r>
      <w:r w:rsidR="008F0370">
        <w:t xml:space="preserve">anti-siphoning </w:t>
      </w:r>
      <w:r w:rsidR="00BC1B93">
        <w:t xml:space="preserve">list, </w:t>
      </w:r>
      <w:r w:rsidR="00BC1B93" w:rsidRPr="00F31076">
        <w:rPr>
          <w:rFonts w:cs="Times New Roman"/>
        </w:rPr>
        <w:t xml:space="preserve">the </w:t>
      </w:r>
      <w:r w:rsidR="00BC1B93" w:rsidRPr="00F31076">
        <w:rPr>
          <w:rFonts w:cs="Times New Roman"/>
          <w:i/>
        </w:rPr>
        <w:t>Broadcasting Services (Events) Notice (No. 1) 2010</w:t>
      </w:r>
      <w:r w:rsidR="00714F28">
        <w:rPr>
          <w:rFonts w:cs="Times New Roman"/>
        </w:rPr>
        <w:t xml:space="preserve">, </w:t>
      </w:r>
      <w:r w:rsidR="00BC1B93">
        <w:rPr>
          <w:rFonts w:cs="Times New Roman"/>
        </w:rPr>
        <w:t xml:space="preserve">is at </w:t>
      </w:r>
      <w:r w:rsidR="00D62A89">
        <w:rPr>
          <w:rFonts w:cs="Times New Roman"/>
        </w:rPr>
        <w:t>Attachment</w:t>
      </w:r>
      <w:r w:rsidR="00BC1B93">
        <w:rPr>
          <w:rFonts w:cs="Times New Roman"/>
        </w:rPr>
        <w:t xml:space="preserve"> </w:t>
      </w:r>
      <w:r w:rsidR="00563193">
        <w:rPr>
          <w:rFonts w:cs="Times New Roman"/>
        </w:rPr>
        <w:t>B</w:t>
      </w:r>
      <w:r w:rsidR="00BC1B93">
        <w:rPr>
          <w:rFonts w:cs="Times New Roman"/>
        </w:rPr>
        <w:t>.</w:t>
      </w:r>
    </w:p>
    <w:p w14:paraId="6281926D" w14:textId="15B5353F" w:rsidR="00CF457F" w:rsidRDefault="00FB330F" w:rsidP="008A6056">
      <w:r>
        <w:t xml:space="preserve">At present, the </w:t>
      </w:r>
      <w:r w:rsidR="008F0370">
        <w:t xml:space="preserve">anti-siphoning </w:t>
      </w:r>
      <w:r>
        <w:t>list is comprised entirely of sporting events. The</w:t>
      </w:r>
      <w:r w:rsidR="00CF457F">
        <w:t xml:space="preserve"> 11 sports and </w:t>
      </w:r>
      <w:r w:rsidR="001D4AC5">
        <w:t xml:space="preserve">their </w:t>
      </w:r>
      <w:r w:rsidR="00CF457F">
        <w:t>associated</w:t>
      </w:r>
      <w:r>
        <w:t xml:space="preserve"> events are </w:t>
      </w:r>
      <w:r w:rsidR="000A14F6">
        <w:t>summarised in</w:t>
      </w:r>
      <w:r w:rsidR="00F87DE3">
        <w:t xml:space="preserve"> </w:t>
      </w:r>
      <w:r w:rsidR="00BB3CA8">
        <w:t>T</w:t>
      </w:r>
      <w:r w:rsidR="00B92023">
        <w:t>able 1</w:t>
      </w:r>
      <w:r w:rsidR="00F87DE3">
        <w:t>.</w:t>
      </w:r>
    </w:p>
    <w:p w14:paraId="0BCE7DB0" w14:textId="4DFFF5B0" w:rsidR="00AB13BA" w:rsidRPr="00AB13BA" w:rsidRDefault="00B92023" w:rsidP="00AB13BA">
      <w:pPr>
        <w:pStyle w:val="Caption"/>
        <w:keepNext/>
      </w:pPr>
      <w:bookmarkStart w:id="105" w:name="_Toc112235044"/>
      <w:bookmarkStart w:id="106" w:name="_Toc114487427"/>
      <w:bookmarkStart w:id="107" w:name="_Hlk111749815"/>
      <w:r>
        <w:t>Table 1</w:t>
      </w:r>
      <w:r w:rsidR="001D4AC5" w:rsidRPr="00806173">
        <w:t xml:space="preserve">: Sports and associated events currently included under the </w:t>
      </w:r>
      <w:r w:rsidR="00F516B0">
        <w:t xml:space="preserve">anti-siphoning </w:t>
      </w:r>
      <w:r w:rsidR="001D4AC5" w:rsidRPr="00806173">
        <w:t>list</w:t>
      </w:r>
      <w:bookmarkEnd w:id="105"/>
      <w:bookmarkEnd w:id="106"/>
    </w:p>
    <w:tbl>
      <w:tblPr>
        <w:tblStyle w:val="DefaultTable11"/>
        <w:tblW w:w="4958" w:type="pct"/>
        <w:tblLook w:val="04E0" w:firstRow="1" w:lastRow="1" w:firstColumn="1" w:lastColumn="0" w:noHBand="0" w:noVBand="1"/>
        <w:tblCaption w:val="Sample table"/>
        <w:tblDescription w:val="Sample table"/>
      </w:tblPr>
      <w:tblGrid>
        <w:gridCol w:w="2694"/>
        <w:gridCol w:w="7087"/>
      </w:tblGrid>
      <w:tr w:rsidR="00AB13BA" w14:paraId="54BBD7A2" w14:textId="77777777" w:rsidTr="00530C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7" w:type="pct"/>
          </w:tcPr>
          <w:p w14:paraId="3511BD00" w14:textId="0D7844C9" w:rsidR="00AB13BA" w:rsidRDefault="00AB13BA" w:rsidP="00CD1D67">
            <w:r>
              <w:t>Sport</w:t>
            </w:r>
          </w:p>
        </w:tc>
        <w:tc>
          <w:tcPr>
            <w:tcW w:w="3623" w:type="pct"/>
          </w:tcPr>
          <w:p w14:paraId="048C80D2" w14:textId="609D4CC8" w:rsidR="00AB13BA" w:rsidRDefault="00AB13BA" w:rsidP="00CD1D67">
            <w:pPr>
              <w:cnfStyle w:val="100000000000" w:firstRow="1" w:lastRow="0" w:firstColumn="0" w:lastColumn="0" w:oddVBand="0" w:evenVBand="0" w:oddHBand="0" w:evenHBand="0" w:firstRowFirstColumn="0" w:firstRowLastColumn="0" w:lastRowFirstColumn="0" w:lastRowLastColumn="0"/>
            </w:pPr>
            <w:r>
              <w:t>Event</w:t>
            </w:r>
          </w:p>
        </w:tc>
      </w:tr>
      <w:tr w:rsidR="00AB13BA" w14:paraId="1A5D3B13" w14:textId="77777777" w:rsidTr="00530C1A">
        <w:tc>
          <w:tcPr>
            <w:cnfStyle w:val="001000000000" w:firstRow="0" w:lastRow="0" w:firstColumn="1" w:lastColumn="0" w:oddVBand="0" w:evenVBand="0" w:oddHBand="0" w:evenHBand="0" w:firstRowFirstColumn="0" w:firstRowLastColumn="0" w:lastRowFirstColumn="0" w:lastRowLastColumn="0"/>
            <w:tcW w:w="1377" w:type="pct"/>
          </w:tcPr>
          <w:p w14:paraId="454C4C53" w14:textId="748EC973" w:rsidR="00AB13BA" w:rsidRDefault="00AB13BA" w:rsidP="00530C1A">
            <w:pPr>
              <w:spacing w:before="60" w:after="60"/>
            </w:pPr>
            <w:r>
              <w:t>Olympic Games</w:t>
            </w:r>
          </w:p>
        </w:tc>
        <w:tc>
          <w:tcPr>
            <w:tcW w:w="3623" w:type="pct"/>
          </w:tcPr>
          <w:p w14:paraId="1B18EA44" w14:textId="23474BB1" w:rsidR="00AB13BA" w:rsidRDefault="00AB13BA" w:rsidP="00530C1A">
            <w:pPr>
              <w:spacing w:before="60" w:after="60"/>
              <w:cnfStyle w:val="000000000000" w:firstRow="0" w:lastRow="0" w:firstColumn="0" w:lastColumn="0" w:oddVBand="0" w:evenVBand="0" w:oddHBand="0" w:evenHBand="0" w:firstRowFirstColumn="0" w:firstRowLastColumn="0" w:lastRowFirstColumn="0" w:lastRowLastColumn="0"/>
            </w:pPr>
            <w:r>
              <w:t xml:space="preserve">Summer </w:t>
            </w:r>
            <w:r w:rsidR="0055699B">
              <w:t xml:space="preserve">Olympics </w:t>
            </w:r>
            <w:r w:rsidR="00530C1A">
              <w:t xml:space="preserve">and </w:t>
            </w:r>
            <w:r>
              <w:t xml:space="preserve">Winter </w:t>
            </w:r>
            <w:r w:rsidR="0055699B">
              <w:t>Olympics</w:t>
            </w:r>
          </w:p>
        </w:tc>
      </w:tr>
      <w:tr w:rsidR="00AB13BA" w14:paraId="58B4A6DA" w14:textId="77777777" w:rsidTr="00530C1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7" w:type="pct"/>
          </w:tcPr>
          <w:p w14:paraId="05B0051F" w14:textId="09AE5780" w:rsidR="00AB13BA" w:rsidRDefault="00B92023" w:rsidP="00530C1A">
            <w:pPr>
              <w:spacing w:before="60" w:after="60"/>
            </w:pPr>
            <w:r>
              <w:t>Commonwealth Games</w:t>
            </w:r>
          </w:p>
        </w:tc>
        <w:tc>
          <w:tcPr>
            <w:tcW w:w="3623" w:type="pct"/>
          </w:tcPr>
          <w:p w14:paraId="4CC13919" w14:textId="56E4F426" w:rsidR="00AB13BA" w:rsidRDefault="00B92023" w:rsidP="00530C1A">
            <w:pPr>
              <w:spacing w:before="60" w:after="60"/>
              <w:cnfStyle w:val="000000010000" w:firstRow="0" w:lastRow="0" w:firstColumn="0" w:lastColumn="0" w:oddVBand="0" w:evenVBand="0" w:oddHBand="0" w:evenHBand="1" w:firstRowFirstColumn="0" w:firstRowLastColumn="0" w:lastRowFirstColumn="0" w:lastRowLastColumn="0"/>
            </w:pPr>
            <w:r>
              <w:t>Commonwealth Games</w:t>
            </w:r>
          </w:p>
        </w:tc>
      </w:tr>
      <w:tr w:rsidR="00AB13BA" w14:paraId="77688B5D" w14:textId="77777777" w:rsidTr="00530C1A">
        <w:tc>
          <w:tcPr>
            <w:cnfStyle w:val="001000000000" w:firstRow="0" w:lastRow="0" w:firstColumn="1" w:lastColumn="0" w:oddVBand="0" w:evenVBand="0" w:oddHBand="0" w:evenHBand="0" w:firstRowFirstColumn="0" w:firstRowLastColumn="0" w:lastRowFirstColumn="0" w:lastRowLastColumn="0"/>
            <w:tcW w:w="1377" w:type="pct"/>
          </w:tcPr>
          <w:p w14:paraId="2571EDDC" w14:textId="5C83EC47" w:rsidR="00AB13BA" w:rsidRDefault="00B92023" w:rsidP="00530C1A">
            <w:pPr>
              <w:spacing w:before="60" w:after="60"/>
            </w:pPr>
            <w:r>
              <w:t>Horse racing</w:t>
            </w:r>
          </w:p>
        </w:tc>
        <w:tc>
          <w:tcPr>
            <w:tcW w:w="3623" w:type="pct"/>
          </w:tcPr>
          <w:p w14:paraId="1EBEE3A5" w14:textId="42D9A330" w:rsidR="00AB13BA" w:rsidRDefault="00B92023" w:rsidP="00530C1A">
            <w:pPr>
              <w:spacing w:before="60" w:after="60"/>
              <w:cnfStyle w:val="000000000000" w:firstRow="0" w:lastRow="0" w:firstColumn="0" w:lastColumn="0" w:oddVBand="0" w:evenVBand="0" w:oddHBand="0" w:evenHBand="0" w:firstRowFirstColumn="0" w:firstRowLastColumn="0" w:lastRowFirstColumn="0" w:lastRowLastColumn="0"/>
            </w:pPr>
            <w:r>
              <w:t>Melbourne Cup</w:t>
            </w:r>
          </w:p>
        </w:tc>
      </w:tr>
      <w:tr w:rsidR="00AB13BA" w14:paraId="57DA994A" w14:textId="77777777" w:rsidTr="00530C1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7" w:type="pct"/>
          </w:tcPr>
          <w:p w14:paraId="3F02B52C" w14:textId="33A1BEF0" w:rsidR="00AB13BA" w:rsidRDefault="0055699B" w:rsidP="00530C1A">
            <w:pPr>
              <w:spacing w:before="60" w:after="60"/>
            </w:pPr>
            <w:r w:rsidRPr="0055699B">
              <w:t>AFL</w:t>
            </w:r>
          </w:p>
        </w:tc>
        <w:tc>
          <w:tcPr>
            <w:tcW w:w="3623" w:type="pct"/>
          </w:tcPr>
          <w:p w14:paraId="65ED336C" w14:textId="777E8919" w:rsidR="00AB13BA" w:rsidRDefault="0055699B" w:rsidP="00530C1A">
            <w:pPr>
              <w:spacing w:before="60" w:after="60"/>
              <w:cnfStyle w:val="000000010000" w:firstRow="0" w:lastRow="0" w:firstColumn="0" w:lastColumn="0" w:oddVBand="0" w:evenVBand="0" w:oddHBand="0" w:evenHBand="1" w:firstRowFirstColumn="0" w:firstRowLastColumn="0" w:lastRowFirstColumn="0" w:lastRowLastColumn="0"/>
            </w:pPr>
            <w:r w:rsidRPr="000741C8">
              <w:t>Premiership</w:t>
            </w:r>
            <w:r w:rsidR="00FC3F18">
              <w:t xml:space="preserve"> competition, including Finals </w:t>
            </w:r>
            <w:r w:rsidR="00FC79E7">
              <w:t>S</w:t>
            </w:r>
            <w:r w:rsidR="00FC3F18">
              <w:t>eries</w:t>
            </w:r>
          </w:p>
        </w:tc>
      </w:tr>
      <w:tr w:rsidR="0055699B" w14:paraId="01720944" w14:textId="77777777" w:rsidTr="00530C1A">
        <w:tc>
          <w:tcPr>
            <w:cnfStyle w:val="001000000000" w:firstRow="0" w:lastRow="0" w:firstColumn="1" w:lastColumn="0" w:oddVBand="0" w:evenVBand="0" w:oddHBand="0" w:evenHBand="0" w:firstRowFirstColumn="0" w:firstRowLastColumn="0" w:lastRowFirstColumn="0" w:lastRowLastColumn="0"/>
            <w:tcW w:w="1377" w:type="pct"/>
          </w:tcPr>
          <w:p w14:paraId="5CC59CB4" w14:textId="60C1CD67" w:rsidR="0055699B" w:rsidRPr="0055699B" w:rsidRDefault="0055699B" w:rsidP="00530C1A">
            <w:pPr>
              <w:spacing w:before="60" w:after="60"/>
            </w:pPr>
            <w:r w:rsidRPr="0055699B">
              <w:t>Rugby League</w:t>
            </w:r>
          </w:p>
        </w:tc>
        <w:tc>
          <w:tcPr>
            <w:tcW w:w="3623" w:type="pct"/>
          </w:tcPr>
          <w:p w14:paraId="241980E1" w14:textId="30171DBF" w:rsidR="0055699B" w:rsidRPr="00FC3F18" w:rsidRDefault="0055699B" w:rsidP="00530C1A">
            <w:pPr>
              <w:spacing w:before="60" w:after="60"/>
              <w:cnfStyle w:val="000000000000" w:firstRow="0" w:lastRow="0" w:firstColumn="0" w:lastColumn="0" w:oddVBand="0" w:evenVBand="0" w:oddHBand="0" w:evenHBand="0" w:firstRowFirstColumn="0" w:firstRowLastColumn="0" w:lastRowFirstColumn="0" w:lastRowLastColumn="0"/>
            </w:pPr>
            <w:r w:rsidRPr="00FC3F18">
              <w:t>Premiership</w:t>
            </w:r>
            <w:r w:rsidR="00FC3F18">
              <w:t xml:space="preserve"> competition, including Finals </w:t>
            </w:r>
            <w:r w:rsidR="00FC79E7">
              <w:t>S</w:t>
            </w:r>
            <w:r w:rsidR="00FC3F18">
              <w:t>eries</w:t>
            </w:r>
            <w:r>
              <w:t xml:space="preserve">; </w:t>
            </w:r>
            <w:r w:rsidRPr="00FC3F18">
              <w:t>State of Origin</w:t>
            </w:r>
            <w:r>
              <w:t xml:space="preserve">; </w:t>
            </w:r>
            <w:r w:rsidRPr="00FC3F18">
              <w:t>International Test Matches</w:t>
            </w:r>
            <w:r w:rsidR="00FC3F18">
              <w:t xml:space="preserve"> of AUS team played in Australia or New Zealand</w:t>
            </w:r>
            <w:r>
              <w:t xml:space="preserve">; </w:t>
            </w:r>
            <w:r w:rsidR="00FC3F18">
              <w:t xml:space="preserve">and </w:t>
            </w:r>
            <w:r w:rsidRPr="00FC3F18">
              <w:t>Rugby League World Cup</w:t>
            </w:r>
            <w:r w:rsidR="00FC3F18">
              <w:t xml:space="preserve"> matches of AUS team played in Australia, </w:t>
            </w:r>
            <w:r w:rsidR="00330D29">
              <w:t>New </w:t>
            </w:r>
            <w:r w:rsidR="00FC3F18">
              <w:t>Zealand or Papua New Guinea</w:t>
            </w:r>
          </w:p>
        </w:tc>
      </w:tr>
      <w:tr w:rsidR="0055699B" w14:paraId="0723AC34" w14:textId="77777777" w:rsidTr="00530C1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7" w:type="pct"/>
          </w:tcPr>
          <w:p w14:paraId="5BD0350F" w14:textId="4AD162A8" w:rsidR="0055699B" w:rsidRPr="0055699B" w:rsidRDefault="0055699B" w:rsidP="00530C1A">
            <w:pPr>
              <w:spacing w:before="60" w:after="60"/>
            </w:pPr>
            <w:r w:rsidRPr="0055699B">
              <w:t>Rugby Union</w:t>
            </w:r>
          </w:p>
        </w:tc>
        <w:tc>
          <w:tcPr>
            <w:tcW w:w="3623" w:type="pct"/>
          </w:tcPr>
          <w:p w14:paraId="5D90629B" w14:textId="747409FC" w:rsidR="0055699B" w:rsidRPr="00FC3F18" w:rsidRDefault="0055699B" w:rsidP="00530C1A">
            <w:pPr>
              <w:spacing w:before="60" w:after="60"/>
              <w:cnfStyle w:val="000000010000" w:firstRow="0" w:lastRow="0" w:firstColumn="0" w:lastColumn="0" w:oddVBand="0" w:evenVBand="0" w:oddHBand="0" w:evenHBand="1" w:firstRowFirstColumn="0" w:firstRowLastColumn="0" w:lastRowFirstColumn="0" w:lastRowLastColumn="0"/>
            </w:pPr>
            <w:r>
              <w:t>International Test Matches</w:t>
            </w:r>
            <w:r w:rsidR="00FC3F18">
              <w:t xml:space="preserve"> of AUS team played in Australia or New Zealand;</w:t>
            </w:r>
            <w:r>
              <w:t xml:space="preserve"> Rugby World Cup</w:t>
            </w:r>
            <w:r w:rsidR="00FC3F18">
              <w:t xml:space="preserve"> matches of AUS team, and the Final</w:t>
            </w:r>
            <w:r w:rsidR="00BF7CBA">
              <w:t xml:space="preserve"> of tournament</w:t>
            </w:r>
          </w:p>
        </w:tc>
      </w:tr>
      <w:tr w:rsidR="0055699B" w14:paraId="1EAC752A" w14:textId="77777777" w:rsidTr="00530C1A">
        <w:tc>
          <w:tcPr>
            <w:cnfStyle w:val="001000000000" w:firstRow="0" w:lastRow="0" w:firstColumn="1" w:lastColumn="0" w:oddVBand="0" w:evenVBand="0" w:oddHBand="0" w:evenHBand="0" w:firstRowFirstColumn="0" w:firstRowLastColumn="0" w:lastRowFirstColumn="0" w:lastRowLastColumn="0"/>
            <w:tcW w:w="1377" w:type="pct"/>
          </w:tcPr>
          <w:p w14:paraId="19C3FF48" w14:textId="14F9A81B" w:rsidR="0055699B" w:rsidRPr="0055699B" w:rsidRDefault="0055699B" w:rsidP="00530C1A">
            <w:pPr>
              <w:spacing w:before="60" w:after="60"/>
            </w:pPr>
            <w:r w:rsidRPr="0055699B">
              <w:t>Cricket</w:t>
            </w:r>
          </w:p>
        </w:tc>
        <w:tc>
          <w:tcPr>
            <w:tcW w:w="3623" w:type="pct"/>
          </w:tcPr>
          <w:p w14:paraId="0F252295" w14:textId="388F2DF7" w:rsidR="0055699B" w:rsidRPr="00FC3F18" w:rsidRDefault="0055699B" w:rsidP="00530C1A">
            <w:pPr>
              <w:spacing w:before="60" w:after="60"/>
              <w:cnfStyle w:val="000000000000" w:firstRow="0" w:lastRow="0" w:firstColumn="0" w:lastColumn="0" w:oddVBand="0" w:evenVBand="0" w:oddHBand="0" w:evenHBand="0" w:firstRowFirstColumn="0" w:firstRowLastColumn="0" w:lastRowFirstColumn="0" w:lastRowLastColumn="0"/>
            </w:pPr>
            <w:r>
              <w:t xml:space="preserve">Test </w:t>
            </w:r>
            <w:r w:rsidR="00BF7CBA">
              <w:t>m</w:t>
            </w:r>
            <w:r>
              <w:t>atches</w:t>
            </w:r>
            <w:r w:rsidR="00BF7CBA">
              <w:t xml:space="preserve"> of AUS team played</w:t>
            </w:r>
            <w:r>
              <w:t xml:space="preserve"> in Australia</w:t>
            </w:r>
            <w:r w:rsidR="00BF7CBA">
              <w:t xml:space="preserve">, Test matches of AUS versus England teams played in the UK; One day matches of AUS team played in Australia; T20 matches of AUS team played in Australia; ICC World Cup </w:t>
            </w:r>
            <w:r w:rsidR="00BF7CBA">
              <w:lastRenderedPageBreak/>
              <w:t>matches of AUS team played in Australia or New Zealand</w:t>
            </w:r>
            <w:r w:rsidR="00CB5A70">
              <w:t xml:space="preserve"> and Final played in Australia or New Zealand</w:t>
            </w:r>
            <w:r w:rsidR="00BF7CBA">
              <w:t xml:space="preserve">; </w:t>
            </w:r>
            <w:r w:rsidR="00CB5A70">
              <w:t>ICC</w:t>
            </w:r>
            <w:r w:rsidR="0054282A">
              <w:t xml:space="preserve"> T20</w:t>
            </w:r>
            <w:r w:rsidR="00CB5A70">
              <w:t xml:space="preserve"> World </w:t>
            </w:r>
            <w:r w:rsidR="0054282A">
              <w:t>Cup</w:t>
            </w:r>
            <w:r w:rsidR="00CB5A70">
              <w:t xml:space="preserve"> matches of AUS team played in Australia or New Zealand and Final played in Australia or New Zealand</w:t>
            </w:r>
          </w:p>
        </w:tc>
      </w:tr>
      <w:tr w:rsidR="0055699B" w14:paraId="14BC74B0" w14:textId="77777777" w:rsidTr="00530C1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7" w:type="pct"/>
          </w:tcPr>
          <w:p w14:paraId="44D48303" w14:textId="535A20A6" w:rsidR="0055699B" w:rsidRPr="0055699B" w:rsidRDefault="0055699B" w:rsidP="00530C1A">
            <w:pPr>
              <w:spacing w:before="60" w:after="60"/>
            </w:pPr>
            <w:r w:rsidRPr="0055699B">
              <w:lastRenderedPageBreak/>
              <w:t>Soccer</w:t>
            </w:r>
          </w:p>
        </w:tc>
        <w:tc>
          <w:tcPr>
            <w:tcW w:w="3623" w:type="pct"/>
          </w:tcPr>
          <w:p w14:paraId="27B2E308" w14:textId="7E29F749" w:rsidR="0055699B" w:rsidRPr="00FC3F18" w:rsidRDefault="0055699B" w:rsidP="00530C1A">
            <w:pPr>
              <w:spacing w:before="60" w:after="60"/>
              <w:cnfStyle w:val="000000010000" w:firstRow="0" w:lastRow="0" w:firstColumn="0" w:lastColumn="0" w:oddVBand="0" w:evenVBand="0" w:oddHBand="0" w:evenHBand="1" w:firstRowFirstColumn="0" w:firstRowLastColumn="0" w:lastRowFirstColumn="0" w:lastRowLastColumn="0"/>
            </w:pPr>
            <w:r>
              <w:t>FIFA World Cup</w:t>
            </w:r>
            <w:r w:rsidR="00CB5A70">
              <w:t xml:space="preserve"> matches of AUS team; FIFA World Cup final; </w:t>
            </w:r>
            <w:r>
              <w:t>FIFA World Cup Qualifier</w:t>
            </w:r>
            <w:r w:rsidR="00CB5A70">
              <w:t xml:space="preserve"> matches of AUS team played in Australia</w:t>
            </w:r>
          </w:p>
        </w:tc>
      </w:tr>
      <w:tr w:rsidR="0055699B" w14:paraId="72478584" w14:textId="77777777" w:rsidTr="00530C1A">
        <w:tc>
          <w:tcPr>
            <w:cnfStyle w:val="001000000000" w:firstRow="0" w:lastRow="0" w:firstColumn="1" w:lastColumn="0" w:oddVBand="0" w:evenVBand="0" w:oddHBand="0" w:evenHBand="0" w:firstRowFirstColumn="0" w:firstRowLastColumn="0" w:lastRowFirstColumn="0" w:lastRowLastColumn="0"/>
            <w:tcW w:w="1377" w:type="pct"/>
          </w:tcPr>
          <w:p w14:paraId="2C2639FE" w14:textId="5BDC1108" w:rsidR="0055699B" w:rsidRPr="0055699B" w:rsidRDefault="0055699B" w:rsidP="00530C1A">
            <w:pPr>
              <w:spacing w:before="60" w:after="60"/>
            </w:pPr>
            <w:r w:rsidRPr="0055699B">
              <w:t>Tennis</w:t>
            </w:r>
          </w:p>
        </w:tc>
        <w:tc>
          <w:tcPr>
            <w:tcW w:w="3623" w:type="pct"/>
          </w:tcPr>
          <w:p w14:paraId="518B9106" w14:textId="73B5EED9" w:rsidR="0055699B" w:rsidRPr="00FC3F18" w:rsidRDefault="0055699B" w:rsidP="00530C1A">
            <w:pPr>
              <w:spacing w:before="60" w:after="60"/>
              <w:cnfStyle w:val="000000000000" w:firstRow="0" w:lastRow="0" w:firstColumn="0" w:lastColumn="0" w:oddVBand="0" w:evenVBand="0" w:oddHBand="0" w:evenHBand="0" w:firstRowFirstColumn="0" w:firstRowLastColumn="0" w:lastRowFirstColumn="0" w:lastRowLastColumn="0"/>
            </w:pPr>
            <w:r>
              <w:t>Australian Open</w:t>
            </w:r>
            <w:r w:rsidR="00CB5A70">
              <w:t xml:space="preserve">; </w:t>
            </w:r>
            <w:r>
              <w:t>Davis Cup</w:t>
            </w:r>
            <w:r w:rsidR="00CB5A70">
              <w:t xml:space="preserve"> involving AUS team</w:t>
            </w:r>
          </w:p>
        </w:tc>
      </w:tr>
      <w:tr w:rsidR="0055699B" w14:paraId="67672707" w14:textId="77777777" w:rsidTr="00530C1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7" w:type="pct"/>
          </w:tcPr>
          <w:p w14:paraId="2CBF753A" w14:textId="3DF9A7BA" w:rsidR="0055699B" w:rsidRPr="0055699B" w:rsidRDefault="0055699B" w:rsidP="00530C1A">
            <w:pPr>
              <w:spacing w:before="60" w:after="60"/>
            </w:pPr>
            <w:r w:rsidRPr="0055699B">
              <w:t>Netball</w:t>
            </w:r>
          </w:p>
        </w:tc>
        <w:tc>
          <w:tcPr>
            <w:tcW w:w="3623" w:type="pct"/>
          </w:tcPr>
          <w:p w14:paraId="4800F295" w14:textId="79790E46" w:rsidR="0055699B" w:rsidRPr="00E22E56" w:rsidRDefault="0055699B" w:rsidP="00530C1A">
            <w:pPr>
              <w:spacing w:before="60" w:after="60"/>
              <w:cnfStyle w:val="000000010000" w:firstRow="0" w:lastRow="0" w:firstColumn="0" w:lastColumn="0" w:oddVBand="0" w:evenVBand="0" w:oddHBand="0" w:evenHBand="1" w:firstRowFirstColumn="0" w:firstRowLastColumn="0" w:lastRowFirstColumn="0" w:lastRowLastColumn="0"/>
              <w:rPr>
                <w:b/>
              </w:rPr>
            </w:pPr>
            <w:r>
              <w:t>Netball World Cup</w:t>
            </w:r>
            <w:r w:rsidR="00E22E56">
              <w:t xml:space="preserve"> final or semi-final involving AUS team</w:t>
            </w:r>
          </w:p>
        </w:tc>
      </w:tr>
      <w:tr w:rsidR="0055699B" w:rsidRPr="00E22E56" w14:paraId="3246F2C9" w14:textId="77777777" w:rsidTr="00530C1A">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7" w:type="pct"/>
            <w:shd w:val="clear" w:color="auto" w:fill="auto"/>
          </w:tcPr>
          <w:p w14:paraId="0D5A062A" w14:textId="70A2E8DB" w:rsidR="0055699B" w:rsidRPr="0055699B" w:rsidRDefault="0055699B" w:rsidP="00530C1A">
            <w:pPr>
              <w:keepNext/>
              <w:spacing w:before="60" w:after="60"/>
            </w:pPr>
            <w:r w:rsidRPr="00FC3F18">
              <w:t>Motor Sports</w:t>
            </w:r>
          </w:p>
        </w:tc>
        <w:tc>
          <w:tcPr>
            <w:tcW w:w="3623" w:type="pct"/>
            <w:shd w:val="clear" w:color="auto" w:fill="auto"/>
          </w:tcPr>
          <w:p w14:paraId="51AB4370" w14:textId="0D6FC3C7" w:rsidR="0055699B" w:rsidRPr="00E22E56" w:rsidRDefault="00E22E56" w:rsidP="00530C1A">
            <w:pPr>
              <w:keepNext/>
              <w:spacing w:before="60" w:after="60"/>
              <w:cnfStyle w:val="010000000000" w:firstRow="0" w:lastRow="1" w:firstColumn="0" w:lastColumn="0" w:oddVBand="0" w:evenVBand="0" w:oddHBand="0" w:evenHBand="0" w:firstRowFirstColumn="0" w:firstRowLastColumn="0" w:lastRowFirstColumn="0" w:lastRowLastColumn="0"/>
              <w:rPr>
                <w:b w:val="0"/>
              </w:rPr>
            </w:pPr>
            <w:r w:rsidRPr="00E22E56">
              <w:rPr>
                <w:b w:val="0"/>
              </w:rPr>
              <w:t xml:space="preserve">Australian </w:t>
            </w:r>
            <w:r w:rsidR="0055699B" w:rsidRPr="00E22E56">
              <w:rPr>
                <w:b w:val="0"/>
              </w:rPr>
              <w:t>F1 Grand Prix</w:t>
            </w:r>
            <w:r w:rsidRPr="00E22E56">
              <w:rPr>
                <w:b w:val="0"/>
              </w:rPr>
              <w:t xml:space="preserve">; Australian </w:t>
            </w:r>
            <w:r w:rsidR="0055699B" w:rsidRPr="00E22E56">
              <w:rPr>
                <w:b w:val="0"/>
              </w:rPr>
              <w:t>MotoGP</w:t>
            </w:r>
            <w:r w:rsidRPr="00F578B6">
              <w:rPr>
                <w:b w:val="0"/>
              </w:rPr>
              <w:t xml:space="preserve">; </w:t>
            </w:r>
            <w:r w:rsidR="0055699B" w:rsidRPr="00F578B6">
              <w:rPr>
                <w:b w:val="0"/>
              </w:rPr>
              <w:t>Bathurst 1000 V8 Race</w:t>
            </w:r>
          </w:p>
        </w:tc>
      </w:tr>
    </w:tbl>
    <w:bookmarkEnd w:id="107"/>
    <w:p w14:paraId="1AEDC04C" w14:textId="00447012" w:rsidR="008A6056" w:rsidRPr="00853C92" w:rsidRDefault="008A6056" w:rsidP="008A6056">
      <w:pPr>
        <w:rPr>
          <w:rFonts w:ascii="Times New Roman" w:hAnsi="Times New Roman" w:cs="Times New Roman"/>
        </w:rPr>
      </w:pPr>
      <w:r w:rsidRPr="00853C92">
        <w:t xml:space="preserve">The </w:t>
      </w:r>
      <w:r w:rsidR="00714F28" w:rsidRPr="00F31076">
        <w:rPr>
          <w:rFonts w:cs="Times New Roman"/>
          <w:i/>
        </w:rPr>
        <w:t>Broadcasting Services (Events) Notice (No. 1) 2010</w:t>
      </w:r>
      <w:r w:rsidR="00714F28">
        <w:rPr>
          <w:rFonts w:cs="Times New Roman"/>
          <w:i/>
        </w:rPr>
        <w:t xml:space="preserve"> </w:t>
      </w:r>
      <w:r w:rsidR="00714F28">
        <w:rPr>
          <w:rFonts w:cs="Times New Roman"/>
        </w:rPr>
        <w:t xml:space="preserve">was </w:t>
      </w:r>
      <w:r w:rsidRPr="00853C92">
        <w:t xml:space="preserve">due to </w:t>
      </w:r>
      <w:r>
        <w:t xml:space="preserve">automatically repeal (or </w:t>
      </w:r>
      <w:r w:rsidR="00714F28">
        <w:t>‘</w:t>
      </w:r>
      <w:r w:rsidRPr="00853C92">
        <w:t>sunset</w:t>
      </w:r>
      <w:r w:rsidR="00714F28">
        <w:t>’</w:t>
      </w:r>
      <w:r>
        <w:t>)</w:t>
      </w:r>
      <w:r w:rsidRPr="00853C92">
        <w:t xml:space="preserve"> on 1</w:t>
      </w:r>
      <w:r w:rsidR="00714F28">
        <w:t> </w:t>
      </w:r>
      <w:r w:rsidRPr="00853C92">
        <w:t>April</w:t>
      </w:r>
      <w:r w:rsidR="00493922">
        <w:t> </w:t>
      </w:r>
      <w:r w:rsidRPr="00853C92">
        <w:t xml:space="preserve">2021. </w:t>
      </w:r>
      <w:r w:rsidR="00714F28">
        <w:t xml:space="preserve">This automatic sunsetting arrangement after a period of 10 years </w:t>
      </w:r>
      <w:r w:rsidR="0044209B">
        <w:t>is stipulated under subsection</w:t>
      </w:r>
      <w:r w:rsidR="00C30680">
        <w:t> </w:t>
      </w:r>
      <w:r w:rsidR="0044209B">
        <w:t xml:space="preserve">50(1) of the </w:t>
      </w:r>
      <w:r w:rsidR="0044209B">
        <w:rPr>
          <w:i/>
        </w:rPr>
        <w:t xml:space="preserve">Legislation Act </w:t>
      </w:r>
      <w:r w:rsidR="0044209B" w:rsidRPr="00CD46E9">
        <w:rPr>
          <w:i/>
        </w:rPr>
        <w:t>2003</w:t>
      </w:r>
      <w:r w:rsidR="0044209B">
        <w:t xml:space="preserve"> and applies to </w:t>
      </w:r>
      <w:r w:rsidR="00714F28">
        <w:t>m</w:t>
      </w:r>
      <w:r w:rsidRPr="00853C92">
        <w:t>ost legislative instruments</w:t>
      </w:r>
      <w:r w:rsidR="00714F28">
        <w:rPr>
          <w:i/>
        </w:rPr>
        <w:t>.</w:t>
      </w:r>
    </w:p>
    <w:p w14:paraId="044F5937" w14:textId="19C5C156" w:rsidR="00714F28" w:rsidRDefault="008A6056" w:rsidP="008A6056">
      <w:r w:rsidRPr="00853C92">
        <w:t>In March 2021</w:t>
      </w:r>
      <w:r>
        <w:t xml:space="preserve">, </w:t>
      </w:r>
      <w:r w:rsidRPr="00853C92">
        <w:t xml:space="preserve">the sunsetting of the </w:t>
      </w:r>
      <w:r w:rsidR="008F0370">
        <w:t xml:space="preserve">anti-siphoning </w:t>
      </w:r>
      <w:r w:rsidRPr="00853C92">
        <w:t>list was deferred until 1 April 2023 by the</w:t>
      </w:r>
      <w:r w:rsidR="008F0370">
        <w:t xml:space="preserve"> then</w:t>
      </w:r>
      <w:r w:rsidR="00B5421C">
        <w:t xml:space="preserve"> Attorney-General pursuant to section 51 of the </w:t>
      </w:r>
      <w:r w:rsidR="00B5421C">
        <w:rPr>
          <w:i/>
        </w:rPr>
        <w:t>Legislation Act 2003</w:t>
      </w:r>
      <w:r w:rsidRPr="00853C92">
        <w:t>.</w:t>
      </w:r>
    </w:p>
    <w:p w14:paraId="6A8CE783" w14:textId="3096F4C5" w:rsidR="00F94D06" w:rsidRPr="00F94D06" w:rsidRDefault="00F94D06" w:rsidP="00F94D06">
      <w:pPr>
        <w:pStyle w:val="Box1Heading"/>
        <w:rPr>
          <w:lang w:val="en-US"/>
        </w:rPr>
      </w:pPr>
      <w:bookmarkStart w:id="108" w:name="_Hlk111649659"/>
      <w:r>
        <w:rPr>
          <w:lang w:val="en-US"/>
        </w:rPr>
        <w:t xml:space="preserve">Key changes to the </w:t>
      </w:r>
      <w:r w:rsidR="008F0370">
        <w:rPr>
          <w:lang w:val="en-US"/>
        </w:rPr>
        <w:t xml:space="preserve">anti-siphoning </w:t>
      </w:r>
      <w:r>
        <w:rPr>
          <w:lang w:val="en-US"/>
        </w:rPr>
        <w:t xml:space="preserve">scheme and </w:t>
      </w:r>
      <w:r w:rsidR="008F0370">
        <w:rPr>
          <w:lang w:val="en-US"/>
        </w:rPr>
        <w:t xml:space="preserve">anti-siphoning </w:t>
      </w:r>
      <w:r>
        <w:rPr>
          <w:lang w:val="en-US"/>
        </w:rPr>
        <w:t>list over time</w:t>
      </w:r>
    </w:p>
    <w:p w14:paraId="3A9A8D18" w14:textId="12C7C8EC" w:rsidR="00F94D06" w:rsidRPr="00F94D06" w:rsidRDefault="00F94D06" w:rsidP="00F94D06">
      <w:pPr>
        <w:pStyle w:val="Box1Text"/>
        <w:rPr>
          <w:lang w:val="en-US"/>
        </w:rPr>
      </w:pPr>
      <w:r>
        <w:rPr>
          <w:lang w:val="en-US"/>
        </w:rPr>
        <w:t>The anti-siphoning scheme has been reviewed</w:t>
      </w:r>
      <w:r>
        <w:rPr>
          <w:rStyle w:val="FootnoteReference"/>
          <w:lang w:val="en-US"/>
        </w:rPr>
        <w:footnoteReference w:id="20"/>
      </w:r>
      <w:r>
        <w:rPr>
          <w:lang w:val="en-US"/>
        </w:rPr>
        <w:t xml:space="preserve"> and amended a number of times since it was first introduced. The most recent reforms to the scheme, made in 2017, were intended to remove outdated and redundant provisions and streamline the anti-siphoning list. These amendments included:</w:t>
      </w:r>
      <w:r w:rsidR="00253D3A">
        <w:rPr>
          <w:rStyle w:val="FootnoteReference"/>
          <w:lang w:val="en-US"/>
        </w:rPr>
        <w:footnoteReference w:id="21"/>
      </w:r>
    </w:p>
    <w:p w14:paraId="3CD4446E" w14:textId="2231931B" w:rsidR="00F94D06" w:rsidRPr="00C30680" w:rsidRDefault="00721BEC" w:rsidP="00665D0D">
      <w:pPr>
        <w:pStyle w:val="Box1Bullet1"/>
        <w:spacing w:before="0" w:after="120"/>
        <w:ind w:left="568" w:hanging="284"/>
        <w:rPr>
          <w:sz w:val="22"/>
          <w:szCs w:val="22"/>
        </w:rPr>
      </w:pPr>
      <w:r w:rsidRPr="00C30680">
        <w:rPr>
          <w:sz w:val="22"/>
          <w:szCs w:val="22"/>
          <w:lang w:val="en-US"/>
        </w:rPr>
        <w:t>changes</w:t>
      </w:r>
      <w:r w:rsidR="00F94D06" w:rsidRPr="00C30680">
        <w:rPr>
          <w:sz w:val="22"/>
          <w:szCs w:val="22"/>
          <w:lang w:val="en-US"/>
        </w:rPr>
        <w:t xml:space="preserve"> to the anti-siphoning list to remov</w:t>
      </w:r>
      <w:r w:rsidR="00253D3A" w:rsidRPr="00C30680">
        <w:rPr>
          <w:sz w:val="22"/>
          <w:szCs w:val="22"/>
          <w:lang w:val="en-US"/>
        </w:rPr>
        <w:t>e</w:t>
      </w:r>
      <w:r w:rsidR="00F94D06" w:rsidRPr="00C30680">
        <w:rPr>
          <w:sz w:val="22"/>
          <w:szCs w:val="22"/>
          <w:lang w:val="en-US"/>
        </w:rPr>
        <w:t xml:space="preserve"> all golf events</w:t>
      </w:r>
      <w:r w:rsidR="00253D3A" w:rsidRPr="00C30680">
        <w:rPr>
          <w:sz w:val="22"/>
          <w:szCs w:val="22"/>
          <w:lang w:val="en-US"/>
        </w:rPr>
        <w:t>,</w:t>
      </w:r>
      <w:r w:rsidR="00F94D06" w:rsidRPr="00C30680">
        <w:rPr>
          <w:sz w:val="22"/>
          <w:szCs w:val="22"/>
          <w:lang w:val="en-US"/>
        </w:rPr>
        <w:t xml:space="preserve"> the English Football Association (FA) Cup final</w:t>
      </w:r>
      <w:r w:rsidR="00253D3A" w:rsidRPr="00C30680">
        <w:rPr>
          <w:sz w:val="22"/>
          <w:szCs w:val="22"/>
          <w:lang w:val="en-US"/>
        </w:rPr>
        <w:t>,</w:t>
      </w:r>
      <w:r w:rsidR="00F94D06" w:rsidRPr="00C30680">
        <w:rPr>
          <w:sz w:val="22"/>
          <w:szCs w:val="22"/>
          <w:lang w:val="en-US"/>
        </w:rPr>
        <w:t xml:space="preserve"> and a number of international events from other sports;</w:t>
      </w:r>
    </w:p>
    <w:p w14:paraId="1330949D" w14:textId="6D75B76E" w:rsidR="00F94D06" w:rsidRPr="00C30680" w:rsidRDefault="00F94D06" w:rsidP="00665D0D">
      <w:pPr>
        <w:pStyle w:val="Box1Bullet1"/>
        <w:spacing w:before="0" w:after="120"/>
        <w:ind w:left="567"/>
        <w:rPr>
          <w:sz w:val="22"/>
          <w:szCs w:val="22"/>
        </w:rPr>
      </w:pPr>
      <w:r w:rsidRPr="00C30680">
        <w:rPr>
          <w:sz w:val="22"/>
          <w:szCs w:val="22"/>
          <w:lang w:val="en-US"/>
        </w:rPr>
        <w:t xml:space="preserve">removing the </w:t>
      </w:r>
      <w:r w:rsidR="00DC2212">
        <w:rPr>
          <w:sz w:val="22"/>
          <w:szCs w:val="22"/>
          <w:lang w:val="en-US"/>
        </w:rPr>
        <w:t>rule</w:t>
      </w:r>
      <w:r w:rsidR="00DC2212" w:rsidRPr="00C30680">
        <w:rPr>
          <w:sz w:val="22"/>
          <w:szCs w:val="22"/>
          <w:lang w:val="en-US"/>
        </w:rPr>
        <w:t xml:space="preserve"> </w:t>
      </w:r>
      <w:r w:rsidRPr="00C30680">
        <w:rPr>
          <w:sz w:val="22"/>
          <w:szCs w:val="22"/>
          <w:lang w:val="en-US"/>
        </w:rPr>
        <w:t xml:space="preserve">that prevented free-to-air broadcasters from televising </w:t>
      </w:r>
      <w:r w:rsidR="002F1533" w:rsidRPr="00C30680">
        <w:rPr>
          <w:sz w:val="22"/>
          <w:szCs w:val="22"/>
          <w:lang w:val="en-US"/>
        </w:rPr>
        <w:t>listed</w:t>
      </w:r>
      <w:r w:rsidRPr="00C30680">
        <w:rPr>
          <w:sz w:val="22"/>
          <w:szCs w:val="22"/>
          <w:lang w:val="en-US"/>
        </w:rPr>
        <w:t xml:space="preserve"> events solely on their digital multichannels</w:t>
      </w:r>
      <w:r w:rsidR="00777396" w:rsidRPr="00C30680">
        <w:rPr>
          <w:sz w:val="22"/>
          <w:szCs w:val="22"/>
          <w:lang w:val="en-US"/>
        </w:rPr>
        <w:t xml:space="preserve">, instead of </w:t>
      </w:r>
      <w:r w:rsidR="00DC2212">
        <w:rPr>
          <w:sz w:val="22"/>
          <w:szCs w:val="22"/>
          <w:lang w:val="en-US"/>
        </w:rPr>
        <w:t xml:space="preserve">telecasting </w:t>
      </w:r>
      <w:r w:rsidR="00777396" w:rsidRPr="00C30680">
        <w:rPr>
          <w:sz w:val="22"/>
          <w:szCs w:val="22"/>
          <w:lang w:val="en-US"/>
        </w:rPr>
        <w:t>the events on th</w:t>
      </w:r>
      <w:r w:rsidR="00B1758E" w:rsidRPr="00C30680">
        <w:rPr>
          <w:sz w:val="22"/>
          <w:szCs w:val="22"/>
          <w:lang w:val="en-US"/>
        </w:rPr>
        <w:t>eir main broadcast channel</w:t>
      </w:r>
      <w:r w:rsidR="00DC2212">
        <w:rPr>
          <w:sz w:val="22"/>
          <w:szCs w:val="22"/>
          <w:lang w:val="en-US"/>
        </w:rPr>
        <w:t xml:space="preserve">s or simulcasting </w:t>
      </w:r>
      <w:r w:rsidR="00C02FF4">
        <w:rPr>
          <w:sz w:val="22"/>
          <w:szCs w:val="22"/>
          <w:lang w:val="en-US"/>
        </w:rPr>
        <w:t xml:space="preserve">them </w:t>
      </w:r>
      <w:r w:rsidR="00DC2212">
        <w:rPr>
          <w:sz w:val="22"/>
          <w:szCs w:val="22"/>
          <w:lang w:val="en-US"/>
        </w:rPr>
        <w:t>on their respective main channels and multichannels</w:t>
      </w:r>
      <w:r w:rsidRPr="00C30680">
        <w:rPr>
          <w:sz w:val="22"/>
          <w:szCs w:val="22"/>
          <w:lang w:val="en-US"/>
        </w:rPr>
        <w:t>;</w:t>
      </w:r>
      <w:r w:rsidR="00493922" w:rsidRPr="00C30680">
        <w:rPr>
          <w:sz w:val="22"/>
          <w:szCs w:val="22"/>
          <w:lang w:val="en-US"/>
        </w:rPr>
        <w:t xml:space="preserve"> and</w:t>
      </w:r>
    </w:p>
    <w:p w14:paraId="562398E6" w14:textId="46311142" w:rsidR="00F94D06" w:rsidRPr="00C30680" w:rsidRDefault="00F94D06" w:rsidP="00665D0D">
      <w:pPr>
        <w:pStyle w:val="Box1Bullet1"/>
        <w:spacing w:before="0" w:after="120"/>
        <w:ind w:left="567"/>
        <w:rPr>
          <w:sz w:val="22"/>
          <w:szCs w:val="22"/>
        </w:rPr>
      </w:pPr>
      <w:r w:rsidRPr="00C30680">
        <w:rPr>
          <w:sz w:val="22"/>
          <w:szCs w:val="22"/>
          <w:lang w:val="en-US"/>
        </w:rPr>
        <w:t>increasing the time out from an event that events are automatically delisted (removed) from the anti-siphoning list from 12 to 26 weeks</w:t>
      </w:r>
      <w:r w:rsidR="001A255C" w:rsidRPr="00C30680">
        <w:rPr>
          <w:sz w:val="22"/>
          <w:szCs w:val="22"/>
          <w:lang w:val="en-US"/>
        </w:rPr>
        <w:t>.</w:t>
      </w:r>
    </w:p>
    <w:p w14:paraId="32D1C91C" w14:textId="77777777" w:rsidR="00574DDB" w:rsidRDefault="00574DDB" w:rsidP="00574DDB">
      <w:bookmarkStart w:id="109" w:name="_Toc112233669"/>
      <w:bookmarkStart w:id="110" w:name="_Toc112326012"/>
      <w:bookmarkStart w:id="111" w:name="_Toc113028182"/>
      <w:bookmarkStart w:id="112" w:name="_Toc113361260"/>
      <w:bookmarkEnd w:id="108"/>
    </w:p>
    <w:p w14:paraId="140E0CD3" w14:textId="77777777" w:rsidR="00D80993" w:rsidRPr="00EE71E5" w:rsidRDefault="00D80993" w:rsidP="00B22819">
      <w:pPr>
        <w:pStyle w:val="Heading2"/>
      </w:pPr>
      <w:bookmarkStart w:id="113" w:name="_Toc114476240"/>
      <w:bookmarkStart w:id="114" w:name="_Toc114487287"/>
      <w:bookmarkStart w:id="115" w:name="_Toc116046021"/>
      <w:bookmarkStart w:id="116" w:name="_Toc116061398"/>
      <w:bookmarkStart w:id="117" w:name="_Toc116292938"/>
      <w:r w:rsidRPr="00EE71E5">
        <w:t>The anti-hoarding rules</w:t>
      </w:r>
      <w:bookmarkEnd w:id="109"/>
      <w:bookmarkEnd w:id="110"/>
      <w:bookmarkEnd w:id="111"/>
      <w:bookmarkEnd w:id="112"/>
      <w:bookmarkEnd w:id="113"/>
      <w:bookmarkEnd w:id="114"/>
      <w:bookmarkEnd w:id="115"/>
      <w:bookmarkEnd w:id="116"/>
      <w:bookmarkEnd w:id="117"/>
    </w:p>
    <w:p w14:paraId="6B944AEE" w14:textId="22F7C6AD" w:rsidR="000C1937" w:rsidRPr="008B05A5" w:rsidRDefault="001A7218" w:rsidP="00D80993">
      <w:pPr>
        <w:spacing w:after="0"/>
        <w:rPr>
          <w:lang w:val="en-US"/>
        </w:rPr>
      </w:pPr>
      <w:r w:rsidRPr="008B05A5">
        <w:rPr>
          <w:lang w:val="en-US"/>
        </w:rPr>
        <w:t xml:space="preserve">Supporting </w:t>
      </w:r>
      <w:r w:rsidR="00035BB7" w:rsidRPr="008B05A5">
        <w:rPr>
          <w:lang w:val="en-US"/>
        </w:rPr>
        <w:t>the objectives of the anti-siphoning scheme, but operating separately to it, are the anti-hoarding rules.</w:t>
      </w:r>
      <w:r w:rsidR="00035BB7" w:rsidRPr="008B05A5">
        <w:rPr>
          <w:rStyle w:val="FootnoteReference"/>
          <w:lang w:val="en-US"/>
        </w:rPr>
        <w:footnoteReference w:id="22"/>
      </w:r>
      <w:r w:rsidR="001A2C1D" w:rsidRPr="008B05A5">
        <w:rPr>
          <w:lang w:val="en-US"/>
        </w:rPr>
        <w:t xml:space="preserve"> The anti-hoarding rules are intended to encourage free-to-air broadcasters to provide live and complete television coverage of events</w:t>
      </w:r>
      <w:r w:rsidR="00035BB7" w:rsidRPr="008B05A5">
        <w:rPr>
          <w:lang w:val="en-US"/>
        </w:rPr>
        <w:t xml:space="preserve"> they have acquired rights to</w:t>
      </w:r>
      <w:r w:rsidR="00FA7D86">
        <w:rPr>
          <w:lang w:val="en-US"/>
        </w:rPr>
        <w:t xml:space="preserve"> and </w:t>
      </w:r>
      <w:r w:rsidR="00821247">
        <w:rPr>
          <w:lang w:val="en-US"/>
        </w:rPr>
        <w:t xml:space="preserve">to </w:t>
      </w:r>
      <w:r w:rsidR="00FA7D86">
        <w:rPr>
          <w:lang w:val="en-US"/>
        </w:rPr>
        <w:t>pass-on any unused portion of those rights</w:t>
      </w:r>
      <w:r w:rsidR="00B427A0" w:rsidRPr="008B05A5">
        <w:rPr>
          <w:lang w:val="en-US"/>
        </w:rPr>
        <w:t xml:space="preserve">. </w:t>
      </w:r>
      <w:r w:rsidR="00B720BB" w:rsidRPr="008B05A5">
        <w:rPr>
          <w:lang w:val="en-US"/>
        </w:rPr>
        <w:t>The BSA provides the Minister with the power to declare, by legislative instrument, an event as a ‘designated event’ that is subject to the anti-hoarding rules.</w:t>
      </w:r>
      <w:r w:rsidR="00B720BB" w:rsidRPr="008B05A5">
        <w:rPr>
          <w:rStyle w:val="FootnoteReference"/>
          <w:lang w:val="en-US"/>
        </w:rPr>
        <w:footnoteReference w:id="23"/>
      </w:r>
    </w:p>
    <w:p w14:paraId="7F565A45" w14:textId="5A483CB5" w:rsidR="001A2C1D" w:rsidRPr="008B05A5" w:rsidRDefault="001A2C1D" w:rsidP="003A4B36">
      <w:pPr>
        <w:spacing w:after="0"/>
        <w:rPr>
          <w:lang w:val="en-US"/>
        </w:rPr>
      </w:pPr>
      <w:r w:rsidRPr="008B05A5">
        <w:rPr>
          <w:lang w:val="en-US"/>
        </w:rPr>
        <w:lastRenderedPageBreak/>
        <w:t>Where the Minister designates an even</w:t>
      </w:r>
      <w:r w:rsidR="00035BB7" w:rsidRPr="008B05A5">
        <w:rPr>
          <w:lang w:val="en-US"/>
        </w:rPr>
        <w:t>t</w:t>
      </w:r>
      <w:r w:rsidRPr="008B05A5">
        <w:rPr>
          <w:lang w:val="en-US"/>
        </w:rPr>
        <w:t xml:space="preserve"> to be subject to the anti-hoarding rules, commercial free-to-air television broadcasters that acquire the rights to televise </w:t>
      </w:r>
      <w:r w:rsidR="0067085F" w:rsidRPr="008B05A5">
        <w:rPr>
          <w:lang w:val="en-US"/>
        </w:rPr>
        <w:t>the</w:t>
      </w:r>
      <w:r w:rsidRPr="008B05A5">
        <w:rPr>
          <w:lang w:val="en-US"/>
        </w:rPr>
        <w:t xml:space="preserve"> event live but do not </w:t>
      </w:r>
      <w:r w:rsidR="00D43083" w:rsidRPr="008B05A5">
        <w:rPr>
          <w:lang w:val="en-US"/>
        </w:rPr>
        <w:t>intend</w:t>
      </w:r>
      <w:r w:rsidRPr="008B05A5">
        <w:rPr>
          <w:lang w:val="en-US"/>
        </w:rPr>
        <w:t xml:space="preserve"> to fully use the rights must offer the unused portion of those rights to the ABC </w:t>
      </w:r>
      <w:r w:rsidR="007127AB">
        <w:rPr>
          <w:lang w:val="en-US"/>
        </w:rPr>
        <w:t>and</w:t>
      </w:r>
      <w:r w:rsidR="007127AB" w:rsidRPr="008B05A5">
        <w:rPr>
          <w:lang w:val="en-US"/>
        </w:rPr>
        <w:t xml:space="preserve"> </w:t>
      </w:r>
      <w:r w:rsidRPr="008B05A5">
        <w:rPr>
          <w:lang w:val="en-US"/>
        </w:rPr>
        <w:t xml:space="preserve">SBS for a nominal charge. If the ABC or SBS acquire the rights to </w:t>
      </w:r>
      <w:r w:rsidR="00D43083" w:rsidRPr="008B05A5">
        <w:rPr>
          <w:lang w:val="en-US"/>
        </w:rPr>
        <w:t xml:space="preserve">a designated </w:t>
      </w:r>
      <w:r w:rsidRPr="008B05A5">
        <w:rPr>
          <w:lang w:val="en-US"/>
        </w:rPr>
        <w:t xml:space="preserve">event but do not </w:t>
      </w:r>
      <w:r w:rsidR="00D43083" w:rsidRPr="008B05A5">
        <w:rPr>
          <w:lang w:val="en-US"/>
        </w:rPr>
        <w:t>intend</w:t>
      </w:r>
      <w:r w:rsidRPr="008B05A5">
        <w:rPr>
          <w:lang w:val="en-US"/>
        </w:rPr>
        <w:t xml:space="preserve"> to fully use the rights, they must offer the unused portion to each other. The offer must be made 30 days or more before the start of the event, unless the Minister is satisfied that it should occur closer to the start of the event,</w:t>
      </w:r>
      <w:r w:rsidR="00434FE8" w:rsidRPr="00434FE8">
        <w:rPr>
          <w:rStyle w:val="FootnoteReference"/>
          <w:lang w:val="en-US"/>
        </w:rPr>
        <w:t xml:space="preserve"> </w:t>
      </w:r>
      <w:r w:rsidRPr="008B05A5">
        <w:rPr>
          <w:lang w:val="en-US"/>
        </w:rPr>
        <w:t>and must remain open for at least seven days.</w:t>
      </w:r>
      <w:r w:rsidR="00915FFA">
        <w:rPr>
          <w:rStyle w:val="FootnoteReference"/>
          <w:lang w:val="en-US"/>
        </w:rPr>
        <w:footnoteReference w:id="24"/>
      </w:r>
    </w:p>
    <w:p w14:paraId="67660601" w14:textId="3230C8D8" w:rsidR="00D43083" w:rsidRDefault="00D43083" w:rsidP="00D80993">
      <w:pPr>
        <w:spacing w:after="0"/>
        <w:rPr>
          <w:lang w:val="en-US"/>
        </w:rPr>
      </w:pPr>
      <w:r w:rsidRPr="008B05A5">
        <w:rPr>
          <w:lang w:val="en-US"/>
        </w:rPr>
        <w:t xml:space="preserve">The anti-hoarding rules also provide the Minister with the power to determine when delayed televising of an event </w:t>
      </w:r>
      <w:r w:rsidR="007127AB">
        <w:rPr>
          <w:lang w:val="en-US"/>
        </w:rPr>
        <w:t xml:space="preserve">in the Central-Western time zones </w:t>
      </w:r>
      <w:r w:rsidRPr="008B05A5">
        <w:rPr>
          <w:lang w:val="en-US"/>
        </w:rPr>
        <w:t>may be appropriate,</w:t>
      </w:r>
      <w:r w:rsidRPr="008B05A5">
        <w:rPr>
          <w:rStyle w:val="FootnoteReference"/>
          <w:lang w:val="en-US"/>
        </w:rPr>
        <w:footnoteReference w:id="25"/>
      </w:r>
      <w:r w:rsidR="005A6A67" w:rsidRPr="008B05A5">
        <w:rPr>
          <w:lang w:val="en-US"/>
        </w:rPr>
        <w:t xml:space="preserve"> set out conditions for where a breach of the rules has occurred,</w:t>
      </w:r>
      <w:r w:rsidR="005A6A67" w:rsidRPr="008B05A5">
        <w:rPr>
          <w:rStyle w:val="FootnoteReference"/>
          <w:lang w:val="en-US"/>
        </w:rPr>
        <w:footnoteReference w:id="26"/>
      </w:r>
      <w:r w:rsidR="005A6A67" w:rsidRPr="008B05A5">
        <w:rPr>
          <w:lang w:val="en-US"/>
        </w:rPr>
        <w:t xml:space="preserve"> and other administrative aspects such as </w:t>
      </w:r>
      <w:r w:rsidR="007127AB">
        <w:rPr>
          <w:lang w:val="en-US"/>
        </w:rPr>
        <w:t>how</w:t>
      </w:r>
      <w:r w:rsidR="005A6A67" w:rsidRPr="008B05A5">
        <w:rPr>
          <w:lang w:val="en-US"/>
        </w:rPr>
        <w:t xml:space="preserve"> offers to transfer rights</w:t>
      </w:r>
      <w:r w:rsidR="007127AB">
        <w:rPr>
          <w:lang w:val="en-US"/>
        </w:rPr>
        <w:t xml:space="preserve"> must be made</w:t>
      </w:r>
      <w:r w:rsidR="005A6A67" w:rsidRPr="008B05A5">
        <w:rPr>
          <w:lang w:val="en-US"/>
        </w:rPr>
        <w:t>.</w:t>
      </w:r>
      <w:r w:rsidR="005A6A67" w:rsidRPr="008B05A5">
        <w:rPr>
          <w:rStyle w:val="FootnoteReference"/>
          <w:lang w:val="en-US"/>
        </w:rPr>
        <w:footnoteReference w:id="27"/>
      </w:r>
    </w:p>
    <w:p w14:paraId="5E9E4A4D" w14:textId="20CE73BD" w:rsidR="00FA7D86" w:rsidRDefault="00561CFC" w:rsidP="00FE73FD">
      <w:pPr>
        <w:spacing w:after="0"/>
        <w:rPr>
          <w:lang w:val="en-US"/>
        </w:rPr>
      </w:pPr>
      <w:r w:rsidRPr="008B05A5">
        <w:rPr>
          <w:lang w:val="en-US"/>
        </w:rPr>
        <w:t xml:space="preserve">The anti-hoarding rules operate as a </w:t>
      </w:r>
      <w:r w:rsidR="00260C87" w:rsidRPr="008B05A5">
        <w:rPr>
          <w:lang w:val="en-US"/>
        </w:rPr>
        <w:t>licen</w:t>
      </w:r>
      <w:r w:rsidR="00FA7D86">
        <w:rPr>
          <w:lang w:val="en-US"/>
        </w:rPr>
        <w:t>c</w:t>
      </w:r>
      <w:r w:rsidR="00260C87" w:rsidRPr="008B05A5">
        <w:rPr>
          <w:lang w:val="en-US"/>
        </w:rPr>
        <w:t>e condition for commercial free-to-air broadcasters</w:t>
      </w:r>
      <w:r w:rsidR="005143DF" w:rsidRPr="008B05A5">
        <w:rPr>
          <w:lang w:val="en-US"/>
        </w:rPr>
        <w:t xml:space="preserve"> and a statutory requirement for the national broadcasters</w:t>
      </w:r>
      <w:r w:rsidR="00260C87" w:rsidRPr="008B05A5">
        <w:rPr>
          <w:lang w:val="en-US"/>
        </w:rPr>
        <w:t xml:space="preserve">. </w:t>
      </w:r>
      <w:r w:rsidR="00FA7D86">
        <w:rPr>
          <w:lang w:val="en-US"/>
        </w:rPr>
        <w:t xml:space="preserve">However, they have been very sparsely used. Only </w:t>
      </w:r>
      <w:r w:rsidR="00020A61">
        <w:rPr>
          <w:lang w:val="en-US"/>
        </w:rPr>
        <w:t>two</w:t>
      </w:r>
      <w:r w:rsidR="00FA7D86">
        <w:rPr>
          <w:lang w:val="en-US"/>
        </w:rPr>
        <w:t xml:space="preserve"> events have ever been design</w:t>
      </w:r>
      <w:r w:rsidR="00F2143F">
        <w:rPr>
          <w:lang w:val="en-US"/>
        </w:rPr>
        <w:t>at</w:t>
      </w:r>
      <w:r w:rsidR="00FA7D86">
        <w:rPr>
          <w:lang w:val="en-US"/>
        </w:rPr>
        <w:t xml:space="preserve">ed under </w:t>
      </w:r>
      <w:r w:rsidR="00F2143F">
        <w:rPr>
          <w:lang w:val="en-US"/>
        </w:rPr>
        <w:t xml:space="preserve">the </w:t>
      </w:r>
      <w:r w:rsidR="00FA7D86">
        <w:rPr>
          <w:lang w:val="en-US"/>
        </w:rPr>
        <w:t xml:space="preserve">framework: the 2002 and 2006 </w:t>
      </w:r>
      <w:r w:rsidR="00FA7D86" w:rsidRPr="00B720BB">
        <w:rPr>
          <w:lang w:val="en-US"/>
        </w:rPr>
        <w:t>F</w:t>
      </w:r>
      <w:r w:rsidR="00FA7D86" w:rsidRPr="00B720BB">
        <w:rPr>
          <w:rFonts w:cstheme="minorHAnsi"/>
          <w:lang w:val="en-US"/>
        </w:rPr>
        <w:t>é</w:t>
      </w:r>
      <w:r w:rsidR="00FA7D86" w:rsidRPr="00B720BB">
        <w:rPr>
          <w:lang w:val="en-US"/>
        </w:rPr>
        <w:t>d</w:t>
      </w:r>
      <w:r w:rsidR="00FA7D86" w:rsidRPr="00B720BB">
        <w:rPr>
          <w:rFonts w:cstheme="minorHAnsi"/>
          <w:lang w:val="en-US"/>
        </w:rPr>
        <w:t>é</w:t>
      </w:r>
      <w:r w:rsidR="00FA7D86" w:rsidRPr="00B720BB">
        <w:rPr>
          <w:lang w:val="en-US"/>
        </w:rPr>
        <w:t xml:space="preserve">ration </w:t>
      </w:r>
      <w:r w:rsidR="007127AB">
        <w:rPr>
          <w:lang w:val="en-US"/>
        </w:rPr>
        <w:t>I</w:t>
      </w:r>
      <w:r w:rsidR="007127AB" w:rsidRPr="00B720BB">
        <w:rPr>
          <w:lang w:val="en-US"/>
        </w:rPr>
        <w:t xml:space="preserve">nternationale </w:t>
      </w:r>
      <w:r w:rsidR="00FA7D86" w:rsidRPr="00B720BB">
        <w:rPr>
          <w:lang w:val="en-US"/>
        </w:rPr>
        <w:t>de Football Association</w:t>
      </w:r>
      <w:r w:rsidR="00FA7D86">
        <w:rPr>
          <w:lang w:val="en-US"/>
        </w:rPr>
        <w:t xml:space="preserve"> (FIFA) World Cup tournaments.</w:t>
      </w:r>
    </w:p>
    <w:p w14:paraId="2A803D4D" w14:textId="77777777" w:rsidR="00EB5739" w:rsidRPr="00605ECA" w:rsidRDefault="00EB5739" w:rsidP="00FE73FD">
      <w:pPr>
        <w:spacing w:after="0"/>
        <w:rPr>
          <w:sz w:val="16"/>
          <w:szCs w:val="16"/>
          <w:lang w:val="en-US"/>
        </w:rPr>
      </w:pPr>
    </w:p>
    <w:tbl>
      <w:tblPr>
        <w:tblStyle w:val="IconBoxTable"/>
        <w:tblW w:w="0" w:type="auto"/>
        <w:tblLook w:val="06A0" w:firstRow="1" w:lastRow="0" w:firstColumn="1" w:lastColumn="0" w:noHBand="1" w:noVBand="1"/>
        <w:tblCaption w:val="Icon box table"/>
        <w:tblDescription w:val="Icon box table"/>
      </w:tblPr>
      <w:tblGrid>
        <w:gridCol w:w="1026"/>
        <w:gridCol w:w="8838"/>
      </w:tblGrid>
      <w:tr w:rsidR="00FA7D86" w14:paraId="2863EF68" w14:textId="77777777" w:rsidTr="00BD41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6" w:type="dxa"/>
          </w:tcPr>
          <w:p w14:paraId="67327AB2" w14:textId="46B67E0A" w:rsidR="00FA7D86" w:rsidRDefault="00CF4634" w:rsidP="00BD41B3">
            <w:pPr>
              <w:rPr>
                <w:lang w:val="x-none"/>
              </w:rPr>
            </w:pPr>
            <w:r>
              <w:rPr>
                <w:noProof/>
                <w:lang w:eastAsia="en-AU"/>
              </w:rPr>
              <w:drawing>
                <wp:inline distT="0" distB="0" distL="0" distR="0" wp14:anchorId="7BC16FEA" wp14:editId="2D5E55A8">
                  <wp:extent cx="536575" cy="536575"/>
                  <wp:effectExtent l="0" t="0" r="0" b="0"/>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36575" cy="536575"/>
                          </a:xfrm>
                          <a:prstGeom prst="rect">
                            <a:avLst/>
                          </a:prstGeom>
                          <a:noFill/>
                        </pic:spPr>
                      </pic:pic>
                    </a:graphicData>
                  </a:graphic>
                </wp:inline>
              </w:drawing>
            </w:r>
          </w:p>
        </w:tc>
        <w:tc>
          <w:tcPr>
            <w:tcW w:w="8838" w:type="dxa"/>
            <w:tcMar>
              <w:left w:w="0" w:type="nil"/>
              <w:right w:w="170" w:type="dxa"/>
            </w:tcMar>
          </w:tcPr>
          <w:p w14:paraId="1699E146" w14:textId="6C039FAA" w:rsidR="00FA7D86" w:rsidRDefault="00FA7D86" w:rsidP="00BD41B3">
            <w:pPr>
              <w:cnfStyle w:val="100000000000" w:firstRow="1" w:lastRow="0" w:firstColumn="0" w:lastColumn="0" w:oddVBand="0" w:evenVBand="0" w:oddHBand="0" w:evenHBand="0" w:firstRowFirstColumn="0" w:firstRowLastColumn="0" w:lastRowFirstColumn="0" w:lastRowLastColumn="0"/>
            </w:pPr>
            <w:r>
              <w:rPr>
                <w:lang w:val="en-US"/>
              </w:rPr>
              <w:t>The 2002 and 2006 FIFA World Cup tournaments are the only events to have been designated under the anti-hoarding rules. The free-to-air broadcast rights for the 2002 tournament were shared by the Nine Network and SBS, while the broadcast rights for the 2006 tournament were purchased by SBS which provided free-to-air television coverage of the event. The anti</w:t>
            </w:r>
            <w:r w:rsidR="004C5254">
              <w:rPr>
                <w:lang w:val="en-US"/>
              </w:rPr>
              <w:noBreakHyphen/>
            </w:r>
            <w:r>
              <w:rPr>
                <w:lang w:val="en-US"/>
              </w:rPr>
              <w:t>hoarding rules were not triggered for either acquisition.</w:t>
            </w:r>
          </w:p>
        </w:tc>
      </w:tr>
    </w:tbl>
    <w:p w14:paraId="2711E115" w14:textId="2A9B5C3D" w:rsidR="00FA7D86" w:rsidRDefault="00477649" w:rsidP="00FE73FD">
      <w:pPr>
        <w:spacing w:after="0"/>
        <w:rPr>
          <w:lang w:val="en-US"/>
        </w:rPr>
      </w:pPr>
      <w:r w:rsidRPr="008B05A5">
        <w:rPr>
          <w:lang w:val="en-US"/>
        </w:rPr>
        <w:t xml:space="preserve">Subscription </w:t>
      </w:r>
      <w:r w:rsidR="00063DF8" w:rsidRPr="008B05A5">
        <w:rPr>
          <w:lang w:val="en-US"/>
        </w:rPr>
        <w:t>television broadcasters and online content providers are not subject to the anti-hoarding rules</w:t>
      </w:r>
      <w:r w:rsidR="00FA7D86">
        <w:rPr>
          <w:lang w:val="en-US"/>
        </w:rPr>
        <w:t>.</w:t>
      </w:r>
    </w:p>
    <w:p w14:paraId="476D54CE" w14:textId="030FDD65" w:rsidR="00E747CB" w:rsidRDefault="00E747CB" w:rsidP="00E747CB"/>
    <w:p w14:paraId="2107107B" w14:textId="3DBC6006" w:rsidR="00D80993" w:rsidRPr="00EE71E5" w:rsidRDefault="00B60AC7" w:rsidP="00B22819">
      <w:pPr>
        <w:pStyle w:val="Heading2"/>
      </w:pPr>
      <w:bookmarkStart w:id="118" w:name="_Toc112233670"/>
      <w:bookmarkStart w:id="119" w:name="_Toc112326013"/>
      <w:bookmarkStart w:id="120" w:name="_Toc113028183"/>
      <w:bookmarkStart w:id="121" w:name="_Toc113361261"/>
      <w:bookmarkStart w:id="122" w:name="_Toc114476241"/>
      <w:bookmarkStart w:id="123" w:name="_Toc114487288"/>
      <w:bookmarkStart w:id="124" w:name="_Toc116046022"/>
      <w:bookmarkStart w:id="125" w:name="_Toc116061399"/>
      <w:bookmarkStart w:id="126" w:name="_Toc116292939"/>
      <w:r>
        <w:t>Administration and enforcement</w:t>
      </w:r>
      <w:bookmarkEnd w:id="118"/>
      <w:bookmarkEnd w:id="119"/>
      <w:bookmarkEnd w:id="120"/>
      <w:bookmarkEnd w:id="121"/>
      <w:bookmarkEnd w:id="122"/>
      <w:bookmarkEnd w:id="123"/>
      <w:bookmarkEnd w:id="124"/>
      <w:bookmarkEnd w:id="125"/>
      <w:bookmarkEnd w:id="126"/>
    </w:p>
    <w:p w14:paraId="257F349C" w14:textId="32B35720" w:rsidR="003A4B36" w:rsidRPr="003A4B36" w:rsidRDefault="003A4B36" w:rsidP="002A35B2">
      <w:pPr>
        <w:rPr>
          <w:rFonts w:ascii="Calibri" w:hAnsi="Calibri" w:cs="Calibri"/>
        </w:rPr>
      </w:pPr>
      <w:bookmarkStart w:id="127" w:name="_Hlk116045464"/>
      <w:r w:rsidRPr="003A4B36">
        <w:rPr>
          <w:rFonts w:ascii="Calibri" w:hAnsi="Calibri" w:cs="Calibri"/>
        </w:rPr>
        <w:t>The Australian Communications and Media Authority (ACMA) is responsible for enforcing compliance with licence conditions of broadcasters, and thus the scheme.</w:t>
      </w:r>
      <w:r w:rsidR="00E87741">
        <w:rPr>
          <w:rStyle w:val="FootnoteReference"/>
          <w:rFonts w:ascii="Calibri" w:hAnsi="Calibri" w:cs="Calibri"/>
        </w:rPr>
        <w:footnoteReference w:id="28"/>
      </w:r>
      <w:r w:rsidRPr="003A4B36">
        <w:rPr>
          <w:rFonts w:ascii="Calibri" w:hAnsi="Calibri" w:cs="Calibri"/>
        </w:rPr>
        <w:t xml:space="preserve"> There have been limited circumstances where the regulator or its predecessor organisation have investigated alleged breaches of the anti-siphoning rules, including suggestions that the broadcast rights for anti-siphoning listed events have been acquired by subscription television broadcasting licensees before free-to-air broadcasters. </w:t>
      </w:r>
    </w:p>
    <w:p w14:paraId="52FBA2F4" w14:textId="7EC3E369" w:rsidR="00821247" w:rsidRPr="00AB5DF7" w:rsidRDefault="00821247" w:rsidP="002A35B2">
      <w:pPr>
        <w:pStyle w:val="ListParagraph"/>
        <w:shd w:val="clear" w:color="auto" w:fill="FFFFFF"/>
        <w:spacing w:before="160" w:after="80" w:line="240" w:lineRule="auto"/>
        <w:ind w:left="0"/>
        <w:contextualSpacing w:val="0"/>
        <w:textAlignment w:val="baseline"/>
        <w:rPr>
          <w:rFonts w:cs="Times New Roman"/>
          <w:szCs w:val="24"/>
        </w:rPr>
      </w:pPr>
      <w:r>
        <w:rPr>
          <w:rFonts w:cs="Times New Roman"/>
          <w:szCs w:val="24"/>
        </w:rPr>
        <w:t>Complaints received by the ACMA relat</w:t>
      </w:r>
      <w:r w:rsidR="00BB3CA8">
        <w:rPr>
          <w:rFonts w:cs="Times New Roman"/>
          <w:szCs w:val="24"/>
        </w:rPr>
        <w:t>ing</w:t>
      </w:r>
      <w:r>
        <w:rPr>
          <w:rFonts w:cs="Times New Roman"/>
          <w:szCs w:val="24"/>
        </w:rPr>
        <w:t xml:space="preserve"> to the anti-siphoning scheme generally </w:t>
      </w:r>
      <w:r w:rsidR="00BB3CA8">
        <w:rPr>
          <w:rFonts w:cs="Times New Roman"/>
          <w:szCs w:val="24"/>
        </w:rPr>
        <w:t xml:space="preserve">raise concerns about </w:t>
      </w:r>
      <w:r>
        <w:rPr>
          <w:rFonts w:cs="Times New Roman"/>
          <w:szCs w:val="24"/>
        </w:rPr>
        <w:t>events not being broadcast live, in-full</w:t>
      </w:r>
      <w:r w:rsidR="00BB3CA8">
        <w:rPr>
          <w:rFonts w:cs="Times New Roman"/>
          <w:szCs w:val="24"/>
        </w:rPr>
        <w:t>,</w:t>
      </w:r>
      <w:r>
        <w:rPr>
          <w:rFonts w:cs="Times New Roman"/>
          <w:szCs w:val="24"/>
        </w:rPr>
        <w:t xml:space="preserve"> or at all. This reflects the common misconception that the rules require free</w:t>
      </w:r>
      <w:r w:rsidR="00BB3CA8">
        <w:rPr>
          <w:rFonts w:cs="Times New Roman"/>
          <w:szCs w:val="24"/>
        </w:rPr>
        <w:noBreakHyphen/>
      </w:r>
      <w:r>
        <w:rPr>
          <w:rFonts w:cs="Times New Roman"/>
          <w:szCs w:val="24"/>
        </w:rPr>
        <w:t>to-air broadcasters to acquire the rights to a</w:t>
      </w:r>
      <w:r w:rsidR="008F0370">
        <w:rPr>
          <w:rFonts w:cs="Times New Roman"/>
          <w:szCs w:val="24"/>
        </w:rPr>
        <w:t>n anti-siphoning</w:t>
      </w:r>
      <w:r>
        <w:rPr>
          <w:rFonts w:cs="Times New Roman"/>
          <w:szCs w:val="24"/>
        </w:rPr>
        <w:t xml:space="preserve"> listed event or to televise an event to which they have acquired the rights.</w:t>
      </w:r>
    </w:p>
    <w:p w14:paraId="7B02D477" w14:textId="45EE68D3" w:rsidR="001A0968" w:rsidRDefault="001A0968" w:rsidP="00104974">
      <w:r>
        <w:br w:type="page"/>
      </w:r>
    </w:p>
    <w:p w14:paraId="2BE08883" w14:textId="5717E32D" w:rsidR="00D80993" w:rsidRPr="00BE1CE2" w:rsidRDefault="003949EA" w:rsidP="00BE1CE2">
      <w:pPr>
        <w:pStyle w:val="Heading1"/>
        <w:spacing w:before="0"/>
      </w:pPr>
      <w:bookmarkStart w:id="128" w:name="_Toc113361262"/>
      <w:bookmarkStart w:id="129" w:name="_Toc116061400"/>
      <w:bookmarkEnd w:id="127"/>
      <w:r>
        <w:lastRenderedPageBreak/>
        <w:t xml:space="preserve">Chapter 3: </w:t>
      </w:r>
      <w:r w:rsidR="007F5CA3">
        <w:t>Trends in s</w:t>
      </w:r>
      <w:r w:rsidR="00D80993" w:rsidRPr="00BE1CE2">
        <w:t xml:space="preserve">ports </w:t>
      </w:r>
      <w:r w:rsidR="00CC4366">
        <w:t>coverage</w:t>
      </w:r>
      <w:r w:rsidR="00CC4366" w:rsidRPr="00BE1CE2">
        <w:t xml:space="preserve"> </w:t>
      </w:r>
      <w:r w:rsidR="007F5CA3">
        <w:t>and consumption</w:t>
      </w:r>
      <w:bookmarkEnd w:id="128"/>
      <w:bookmarkEnd w:id="129"/>
    </w:p>
    <w:p w14:paraId="1DC25D4D" w14:textId="07BAEEB4" w:rsidR="00890B83" w:rsidRDefault="00890B83" w:rsidP="009409CA">
      <w:pPr>
        <w:pStyle w:val="Introduction"/>
        <w:spacing w:before="120" w:after="120"/>
        <w:rPr>
          <w:lang w:val="en-US"/>
        </w:rPr>
      </w:pPr>
      <w:r>
        <w:rPr>
          <w:lang w:val="en-US"/>
        </w:rPr>
        <w:t>The media landscape for sports has changed dra</w:t>
      </w:r>
      <w:r w:rsidR="008B4DBE">
        <w:rPr>
          <w:lang w:val="en-US"/>
        </w:rPr>
        <w:t>mat</w:t>
      </w:r>
      <w:r>
        <w:rPr>
          <w:lang w:val="en-US"/>
        </w:rPr>
        <w:t xml:space="preserve">ically since the anti-siphoning scheme was introduced. </w:t>
      </w:r>
      <w:r w:rsidR="00E703C9">
        <w:rPr>
          <w:lang w:val="en-US"/>
        </w:rPr>
        <w:t xml:space="preserve">Australian audiences </w:t>
      </w:r>
      <w:r>
        <w:rPr>
          <w:lang w:val="en-US"/>
        </w:rPr>
        <w:t>have more choice from a wider range of providers, including streaming services.</w:t>
      </w:r>
    </w:p>
    <w:p w14:paraId="652ADFAE" w14:textId="67520A7A" w:rsidR="00133585" w:rsidRDefault="00890B83" w:rsidP="009409CA">
      <w:pPr>
        <w:pStyle w:val="Introduction"/>
        <w:spacing w:before="120" w:after="120"/>
        <w:rPr>
          <w:lang w:val="en-US"/>
        </w:rPr>
      </w:pPr>
      <w:r>
        <w:rPr>
          <w:lang w:val="en-US"/>
        </w:rPr>
        <w:t xml:space="preserve">Within Australia, streaming services have begun acquiring rights to sports, but have yet to exclusively acquire </w:t>
      </w:r>
      <w:r w:rsidR="00133585">
        <w:rPr>
          <w:lang w:val="en-US"/>
        </w:rPr>
        <w:t xml:space="preserve">the rights </w:t>
      </w:r>
      <w:r w:rsidR="005F21B3">
        <w:rPr>
          <w:lang w:val="en-US"/>
        </w:rPr>
        <w:t xml:space="preserve">to </w:t>
      </w:r>
      <w:r>
        <w:rPr>
          <w:lang w:val="en-US"/>
        </w:rPr>
        <w:t>any events on the anti-siphoning list.</w:t>
      </w:r>
    </w:p>
    <w:p w14:paraId="7B068E2E" w14:textId="1A7BF1D7" w:rsidR="00890B83" w:rsidRDefault="00890B83" w:rsidP="009409CA">
      <w:pPr>
        <w:pStyle w:val="Introduction"/>
        <w:spacing w:before="120" w:after="120"/>
        <w:rPr>
          <w:lang w:val="en-US"/>
        </w:rPr>
      </w:pPr>
      <w:r>
        <w:rPr>
          <w:lang w:val="en-US"/>
        </w:rPr>
        <w:t xml:space="preserve">Overseas, this trend is more advanced, with streaming services acquiring rights to </w:t>
      </w:r>
      <w:r w:rsidR="006B2445">
        <w:rPr>
          <w:lang w:val="en-US"/>
        </w:rPr>
        <w:t xml:space="preserve">high profile sports such as </w:t>
      </w:r>
      <w:r>
        <w:rPr>
          <w:lang w:val="en-US"/>
        </w:rPr>
        <w:t>the English Premier League</w:t>
      </w:r>
      <w:r w:rsidR="00BE0F2B">
        <w:rPr>
          <w:lang w:val="en-US"/>
        </w:rPr>
        <w:t xml:space="preserve"> (soccer)</w:t>
      </w:r>
      <w:r>
        <w:rPr>
          <w:lang w:val="en-US"/>
        </w:rPr>
        <w:t xml:space="preserve">, the NFL </w:t>
      </w:r>
      <w:r w:rsidR="00BE0F2B">
        <w:rPr>
          <w:lang w:val="en-US"/>
        </w:rPr>
        <w:t>(American football)</w:t>
      </w:r>
      <w:r>
        <w:rPr>
          <w:lang w:val="en-US"/>
        </w:rPr>
        <w:t xml:space="preserve"> and the India</w:t>
      </w:r>
      <w:r w:rsidR="00133585">
        <w:rPr>
          <w:lang w:val="en-US"/>
        </w:rPr>
        <w:t>n</w:t>
      </w:r>
      <w:r>
        <w:rPr>
          <w:lang w:val="en-US"/>
        </w:rPr>
        <w:t xml:space="preserve"> Premier League</w:t>
      </w:r>
      <w:r w:rsidR="00BE0F2B">
        <w:rPr>
          <w:lang w:val="en-US"/>
        </w:rPr>
        <w:t xml:space="preserve"> (cricket)</w:t>
      </w:r>
      <w:r>
        <w:rPr>
          <w:lang w:val="en-US"/>
        </w:rPr>
        <w:t>.</w:t>
      </w:r>
    </w:p>
    <w:p w14:paraId="29AC7B0A" w14:textId="1699C4FC" w:rsidR="005B0B96" w:rsidRPr="0041575F" w:rsidRDefault="00890B83" w:rsidP="009409CA">
      <w:pPr>
        <w:pStyle w:val="Introduction"/>
        <w:spacing w:before="120" w:after="120"/>
        <w:rPr>
          <w:lang w:val="en-US"/>
        </w:rPr>
      </w:pPr>
      <w:r>
        <w:rPr>
          <w:lang w:val="en-US"/>
        </w:rPr>
        <w:t>Sports still attract large audiences for broadcasters</w:t>
      </w:r>
      <w:r w:rsidR="004C5AE8">
        <w:rPr>
          <w:lang w:val="en-US"/>
        </w:rPr>
        <w:t xml:space="preserve"> and </w:t>
      </w:r>
      <w:r w:rsidR="00133585">
        <w:rPr>
          <w:lang w:val="en-US"/>
        </w:rPr>
        <w:t>it</w:t>
      </w:r>
      <w:r>
        <w:rPr>
          <w:lang w:val="en-US"/>
        </w:rPr>
        <w:t xml:space="preserve"> remain</w:t>
      </w:r>
      <w:r w:rsidR="002D2A7A">
        <w:rPr>
          <w:lang w:val="en-US"/>
        </w:rPr>
        <w:t>s</w:t>
      </w:r>
      <w:r>
        <w:rPr>
          <w:lang w:val="en-US"/>
        </w:rPr>
        <w:t xml:space="preserve"> an important </w:t>
      </w:r>
      <w:r w:rsidR="004C5AE8">
        <w:rPr>
          <w:lang w:val="en-US"/>
        </w:rPr>
        <w:t xml:space="preserve">content </w:t>
      </w:r>
      <w:r>
        <w:rPr>
          <w:lang w:val="en-US"/>
        </w:rPr>
        <w:t>genre</w:t>
      </w:r>
      <w:r w:rsidR="004C5AE8">
        <w:rPr>
          <w:lang w:val="en-US"/>
        </w:rPr>
        <w:t>.</w:t>
      </w:r>
    </w:p>
    <w:p w14:paraId="1D3D8106" w14:textId="77777777" w:rsidR="009409CA" w:rsidRDefault="009409CA" w:rsidP="009409CA"/>
    <w:p w14:paraId="006F9A4E" w14:textId="74A94809" w:rsidR="005B0B96" w:rsidRDefault="005B0B96" w:rsidP="00B22819">
      <w:pPr>
        <w:pStyle w:val="Heading2"/>
      </w:pPr>
      <w:bookmarkStart w:id="130" w:name="_Toc112233671"/>
      <w:bookmarkStart w:id="131" w:name="_Toc112326014"/>
      <w:bookmarkStart w:id="132" w:name="_Toc113028184"/>
      <w:bookmarkStart w:id="133" w:name="_Toc113361263"/>
      <w:bookmarkStart w:id="134" w:name="_Toc114476242"/>
      <w:bookmarkStart w:id="135" w:name="_Toc114487289"/>
      <w:bookmarkStart w:id="136" w:name="_Toc116046023"/>
      <w:bookmarkStart w:id="137" w:name="_Toc116061401"/>
      <w:bookmarkStart w:id="138" w:name="_Toc116292940"/>
      <w:r>
        <w:t xml:space="preserve">More </w:t>
      </w:r>
      <w:r w:rsidR="00D5570A">
        <w:t>providers</w:t>
      </w:r>
      <w:r>
        <w:t>, more choice</w:t>
      </w:r>
      <w:bookmarkEnd w:id="130"/>
      <w:bookmarkEnd w:id="131"/>
      <w:bookmarkEnd w:id="132"/>
      <w:bookmarkEnd w:id="133"/>
      <w:bookmarkEnd w:id="134"/>
      <w:bookmarkEnd w:id="135"/>
      <w:bookmarkEnd w:id="136"/>
      <w:bookmarkEnd w:id="137"/>
      <w:bookmarkEnd w:id="138"/>
    </w:p>
    <w:p w14:paraId="5D9AF787" w14:textId="4EE2FACB" w:rsidR="00F57C5E" w:rsidRDefault="004C5AE8" w:rsidP="00F57C5E">
      <w:r>
        <w:t>The</w:t>
      </w:r>
      <w:r w:rsidR="00F57C5E">
        <w:t xml:space="preserve"> media landscape in Australia has changed</w:t>
      </w:r>
      <w:r w:rsidR="00EB5739">
        <w:t xml:space="preserve"> significantly</w:t>
      </w:r>
      <w:r>
        <w:t xml:space="preserve"> i</w:t>
      </w:r>
      <w:r w:rsidR="00F57C5E" w:rsidRPr="00853C92">
        <w:t>n the years since the anti-siphoning scheme was established</w:t>
      </w:r>
      <w:r w:rsidR="00F57C5E">
        <w:t xml:space="preserve">. For </w:t>
      </w:r>
      <w:r w:rsidR="00483630">
        <w:t>Australian audiences</w:t>
      </w:r>
      <w:r w:rsidR="00F57C5E">
        <w:t xml:space="preserve">, the available viewing options have </w:t>
      </w:r>
      <w:r w:rsidR="00BB3CA8">
        <w:t xml:space="preserve">dramatically </w:t>
      </w:r>
      <w:r w:rsidR="007B544D">
        <w:t>expanded</w:t>
      </w:r>
      <w:r w:rsidR="00F57C5E">
        <w:t xml:space="preserve">. In 1995, television consisted of limited channels on analogue systems operated by free-to-air broadcasters and subscription television broadcasters. </w:t>
      </w:r>
      <w:r w:rsidR="0048371E">
        <w:t>Since this time there has been a significant expansion in the range of television and television-like services (Figure 1).</w:t>
      </w:r>
    </w:p>
    <w:p w14:paraId="1D16E803" w14:textId="3F63A6DD" w:rsidR="00F57C5E" w:rsidRPr="00806173" w:rsidRDefault="00F57C5E" w:rsidP="00806173">
      <w:pPr>
        <w:pStyle w:val="Caption"/>
        <w:keepNext/>
      </w:pPr>
      <w:bookmarkStart w:id="139" w:name="_Toc112235045"/>
      <w:bookmarkStart w:id="140" w:name="_Toc114487428"/>
      <w:r w:rsidRPr="00806173">
        <w:t xml:space="preserve">Figure </w:t>
      </w:r>
      <w:r w:rsidR="002C24CD">
        <w:t>1</w:t>
      </w:r>
      <w:r w:rsidRPr="00806173">
        <w:t xml:space="preserve">: Increase in viewing options for </w:t>
      </w:r>
      <w:r w:rsidR="00483630">
        <w:t>Australian</w:t>
      </w:r>
      <w:r w:rsidR="00483630" w:rsidRPr="00806173">
        <w:t xml:space="preserve">s </w:t>
      </w:r>
      <w:r w:rsidRPr="00806173">
        <w:t>– number of providers, 1992</w:t>
      </w:r>
      <w:r w:rsidR="00C80EB9">
        <w:t>–</w:t>
      </w:r>
      <w:r w:rsidRPr="00806173">
        <w:t>2022</w:t>
      </w:r>
      <w:bookmarkEnd w:id="139"/>
      <w:bookmarkEnd w:id="140"/>
    </w:p>
    <w:p w14:paraId="12CF7922" w14:textId="77777777" w:rsidR="00F57C5E" w:rsidRDefault="00F57C5E" w:rsidP="00F57C5E">
      <w:r>
        <w:rPr>
          <w:noProof/>
          <w:lang w:eastAsia="en-AU"/>
        </w:rPr>
        <w:drawing>
          <wp:inline distT="0" distB="0" distL="0" distR="0" wp14:anchorId="0126D907" wp14:editId="5BF1B3B7">
            <wp:extent cx="6248400" cy="2800350"/>
            <wp:effectExtent l="0" t="0" r="0" b="0"/>
            <wp:docPr id="1" name="Chart 1" descr="This is a stacked bar chart showing the increase in television and television like services available in 1992, 2002, 2012 and 2022. In 1992, only 9 free-to-air services were available, in 2022 over 35 options are now available. "/>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04C00BB4" w14:textId="17082F2D" w:rsidR="005D2945" w:rsidRDefault="00F57C5E" w:rsidP="005D2945">
      <w:pPr>
        <w:pStyle w:val="Sourcenotes"/>
      </w:pPr>
      <w:r w:rsidRPr="001509FA">
        <w:t>Source: Departmental assessment of service availability</w:t>
      </w:r>
      <w:r w:rsidR="005D2945">
        <w:br w:type="page"/>
      </w:r>
    </w:p>
    <w:p w14:paraId="24715CA5" w14:textId="247389A8" w:rsidR="00EB5739" w:rsidRDefault="00EB5739" w:rsidP="003A4B36">
      <w:r>
        <w:lastRenderedPageBreak/>
        <w:t xml:space="preserve">While not all services provide sports coverage, many do. </w:t>
      </w:r>
      <w:r w:rsidR="003913BB">
        <w:t xml:space="preserve">The range of services available to </w:t>
      </w:r>
      <w:r w:rsidR="002732AA">
        <w:t xml:space="preserve">most of the Australian public today is far greater than that available in 1992 </w:t>
      </w:r>
      <w:r w:rsidR="005F6764">
        <w:t>and include</w:t>
      </w:r>
      <w:r w:rsidR="00020A61">
        <w:t>s</w:t>
      </w:r>
      <w:r w:rsidR="003913BB">
        <w:t>:</w:t>
      </w:r>
    </w:p>
    <w:p w14:paraId="6CE425F0" w14:textId="1305D419" w:rsidR="00EB5739" w:rsidRPr="00B23E41" w:rsidRDefault="00EB5739" w:rsidP="003A4B36">
      <w:pPr>
        <w:pStyle w:val="ListParagraph"/>
        <w:numPr>
          <w:ilvl w:val="0"/>
          <w:numId w:val="52"/>
        </w:numPr>
        <w:spacing w:after="120" w:line="240" w:lineRule="auto"/>
        <w:ind w:left="357" w:hanging="357"/>
        <w:contextualSpacing w:val="0"/>
      </w:pPr>
      <w:r w:rsidRPr="00B23E41">
        <w:rPr>
          <w:b/>
        </w:rPr>
        <w:t>Free-to-air television</w:t>
      </w:r>
      <w:r w:rsidR="00015472" w:rsidRPr="00B23E41">
        <w:t xml:space="preserve"> including through</w:t>
      </w:r>
      <w:r w:rsidRPr="00B23E41">
        <w:t xml:space="preserve"> </w:t>
      </w:r>
      <w:r w:rsidR="00F54060" w:rsidRPr="00B23E41">
        <w:t xml:space="preserve">more than </w:t>
      </w:r>
      <w:r w:rsidR="009E5910" w:rsidRPr="00B23E41">
        <w:t>20</w:t>
      </w:r>
      <w:r w:rsidR="00F54060" w:rsidRPr="00B23E41">
        <w:t xml:space="preserve"> </w:t>
      </w:r>
      <w:r w:rsidRPr="00B23E41">
        <w:t>multichannels</w:t>
      </w:r>
      <w:r w:rsidR="00B067B5" w:rsidRPr="00B23E41">
        <w:t xml:space="preserve"> broadcast across the </w:t>
      </w:r>
      <w:r w:rsidR="00BA6B0F" w:rsidRPr="00B23E41">
        <w:t xml:space="preserve">major </w:t>
      </w:r>
      <w:r w:rsidR="00BA6B0F">
        <w:t>commercial</w:t>
      </w:r>
      <w:r w:rsidR="00B067B5" w:rsidRPr="00B23E41">
        <w:t xml:space="preserve"> networks</w:t>
      </w:r>
      <w:r w:rsidR="0078106E">
        <w:t xml:space="preserve"> and their affiliates</w:t>
      </w:r>
      <w:r w:rsidR="00015472" w:rsidRPr="00B23E41">
        <w:t>, such as 7Mate and 9Gem</w:t>
      </w:r>
      <w:r w:rsidR="0078106E">
        <w:t>, and the national broadcasters</w:t>
      </w:r>
      <w:r w:rsidR="003021DE" w:rsidRPr="00B23E41">
        <w:t>. Multichannels</w:t>
      </w:r>
      <w:r w:rsidR="00015472" w:rsidRPr="00B23E41">
        <w:t xml:space="preserve"> enabl</w:t>
      </w:r>
      <w:r w:rsidR="003021DE" w:rsidRPr="00B23E41">
        <w:t>e</w:t>
      </w:r>
      <w:r w:rsidR="00015472" w:rsidRPr="00B23E41">
        <w:t xml:space="preserve"> free-to-air broadcasters to show sports at the same time as other high rating content on their broadcast channels</w:t>
      </w:r>
      <w:r w:rsidR="00D30467">
        <w:t>. This</w:t>
      </w:r>
      <w:r w:rsidR="003021DE" w:rsidRPr="00B23E41">
        <w:t xml:space="preserve"> was not possible when the anti-siphoning scheme was first introduced</w:t>
      </w:r>
      <w:r w:rsidR="00015472" w:rsidRPr="00B23E41">
        <w:t>.</w:t>
      </w:r>
    </w:p>
    <w:p w14:paraId="77C43787" w14:textId="460038E6" w:rsidR="00EB5739" w:rsidRPr="00B23E41" w:rsidRDefault="00EB5739" w:rsidP="008D776A">
      <w:pPr>
        <w:pStyle w:val="ListParagraph"/>
        <w:numPr>
          <w:ilvl w:val="0"/>
          <w:numId w:val="52"/>
        </w:numPr>
        <w:spacing w:after="120" w:line="240" w:lineRule="auto"/>
        <w:ind w:left="357" w:hanging="357"/>
        <w:contextualSpacing w:val="0"/>
      </w:pPr>
      <w:r w:rsidRPr="00B23E41">
        <w:rPr>
          <w:b/>
        </w:rPr>
        <w:t>Subscription television channels</w:t>
      </w:r>
      <w:r w:rsidR="00F55CD6" w:rsidRPr="00B23E41">
        <w:t xml:space="preserve"> that have a specific focus on particular sports, such as Fox Footy, </w:t>
      </w:r>
      <w:r w:rsidR="00724D55" w:rsidRPr="00B23E41">
        <w:t>Fox</w:t>
      </w:r>
      <w:r w:rsidR="00724D55">
        <w:t> </w:t>
      </w:r>
      <w:r w:rsidR="00F55CD6" w:rsidRPr="00B23E41">
        <w:t xml:space="preserve">Sports, Sky Racing, are available through the </w:t>
      </w:r>
      <w:r w:rsidR="003021DE" w:rsidRPr="00B23E41">
        <w:t>subscription</w:t>
      </w:r>
      <w:r w:rsidR="00F55CD6" w:rsidRPr="00B23E41">
        <w:t xml:space="preserve"> television broadcast</w:t>
      </w:r>
      <w:r w:rsidR="005F6764">
        <w:t>ing</w:t>
      </w:r>
      <w:r w:rsidR="00F55CD6" w:rsidRPr="00B23E41">
        <w:t xml:space="preserve"> ecosystem.</w:t>
      </w:r>
    </w:p>
    <w:p w14:paraId="59EA57E3" w14:textId="3BEAC578" w:rsidR="00EB5739" w:rsidRPr="00B23E41" w:rsidRDefault="00EB5739" w:rsidP="008D776A">
      <w:pPr>
        <w:pStyle w:val="ListParagraph"/>
        <w:numPr>
          <w:ilvl w:val="0"/>
          <w:numId w:val="52"/>
        </w:numPr>
        <w:spacing w:after="120" w:line="240" w:lineRule="auto"/>
        <w:ind w:left="357" w:hanging="357"/>
        <w:contextualSpacing w:val="0"/>
      </w:pPr>
      <w:r w:rsidRPr="00B23E41">
        <w:rPr>
          <w:b/>
        </w:rPr>
        <w:t xml:space="preserve">Streaming and </w:t>
      </w:r>
      <w:r w:rsidR="003040E8" w:rsidRPr="00B23E41">
        <w:rPr>
          <w:b/>
        </w:rPr>
        <w:t>O</w:t>
      </w:r>
      <w:r w:rsidRPr="00B23E41">
        <w:rPr>
          <w:b/>
        </w:rPr>
        <w:t>TT services</w:t>
      </w:r>
      <w:r w:rsidR="00B067B5" w:rsidRPr="00B23E41">
        <w:t xml:space="preserve"> </w:t>
      </w:r>
      <w:r w:rsidR="005F6764">
        <w:t>include</w:t>
      </w:r>
      <w:r w:rsidR="00B067B5" w:rsidRPr="00B23E41">
        <w:t xml:space="preserve"> streaming services such as </w:t>
      </w:r>
      <w:r w:rsidR="001F3D0F">
        <w:t>Paramount+</w:t>
      </w:r>
      <w:r w:rsidR="001F3D0F" w:rsidRPr="00B23E41">
        <w:t xml:space="preserve"> </w:t>
      </w:r>
      <w:r w:rsidR="00B067B5" w:rsidRPr="00B23E41">
        <w:t xml:space="preserve">and </w:t>
      </w:r>
      <w:r w:rsidR="00BA5E90" w:rsidRPr="00B23E41">
        <w:t xml:space="preserve">Amazon </w:t>
      </w:r>
      <w:r w:rsidR="00B067B5" w:rsidRPr="00B23E41">
        <w:t>Prime</w:t>
      </w:r>
      <w:r w:rsidR="001F3D0F">
        <w:t xml:space="preserve"> Video</w:t>
      </w:r>
      <w:r w:rsidR="00BA5E90" w:rsidRPr="00B23E41">
        <w:t xml:space="preserve"> </w:t>
      </w:r>
      <w:r w:rsidR="00707FEB" w:rsidRPr="00B23E41">
        <w:t>and dedicated sports services, like</w:t>
      </w:r>
      <w:r w:rsidR="00BA5E90" w:rsidRPr="00B23E41">
        <w:t xml:space="preserve"> Kayo Sports. </w:t>
      </w:r>
      <w:r w:rsidR="003040E8" w:rsidRPr="00B23E41">
        <w:t>Separate to multichannels, free-to-air broadcasters are also using their BVODs</w:t>
      </w:r>
      <w:r w:rsidR="00A23430" w:rsidRPr="00B23E41">
        <w:t xml:space="preserve">, such as </w:t>
      </w:r>
      <w:r w:rsidR="00707FEB" w:rsidRPr="00B23E41">
        <w:t>SBS on Demand</w:t>
      </w:r>
      <w:r w:rsidR="00A23430" w:rsidRPr="00B23E41">
        <w:t xml:space="preserve"> and 9Now,</w:t>
      </w:r>
      <w:r w:rsidR="003040E8" w:rsidRPr="00B23E41">
        <w:t xml:space="preserve"> to provide </w:t>
      </w:r>
      <w:r w:rsidR="00A23430" w:rsidRPr="00B23E41">
        <w:t>access to sport events not broadcast on their mu</w:t>
      </w:r>
      <w:r w:rsidR="00DC719B" w:rsidRPr="00B23E41">
        <w:t>l</w:t>
      </w:r>
      <w:r w:rsidR="00A23430" w:rsidRPr="00B23E41">
        <w:t xml:space="preserve">tichannels and </w:t>
      </w:r>
      <w:r w:rsidR="003040E8" w:rsidRPr="00B23E41">
        <w:t>more specialised sports content and commentary.</w:t>
      </w:r>
      <w:r w:rsidR="00CC5EBE">
        <w:t xml:space="preserve"> Some sports bodies also provide </w:t>
      </w:r>
      <w:r w:rsidR="00D522D5">
        <w:t>direct streaming options, such as TennisTV</w:t>
      </w:r>
      <w:r w:rsidR="001154EF">
        <w:t>,</w:t>
      </w:r>
      <w:r w:rsidR="00D522D5">
        <w:t xml:space="preserve"> the live video streaming service of the ATP Tour.</w:t>
      </w:r>
    </w:p>
    <w:p w14:paraId="41111027" w14:textId="4A3610E7" w:rsidR="00EB5739" w:rsidRPr="00B23E41" w:rsidRDefault="00EB5739" w:rsidP="008D776A">
      <w:pPr>
        <w:pStyle w:val="ListParagraph"/>
        <w:numPr>
          <w:ilvl w:val="0"/>
          <w:numId w:val="52"/>
        </w:numPr>
        <w:spacing w:after="120" w:line="240" w:lineRule="auto"/>
        <w:ind w:left="357" w:hanging="357"/>
        <w:contextualSpacing w:val="0"/>
      </w:pPr>
      <w:r w:rsidRPr="00B23E41">
        <w:rPr>
          <w:b/>
        </w:rPr>
        <w:t>Mobile services</w:t>
      </w:r>
      <w:r w:rsidR="00707FEB" w:rsidRPr="00B23E41">
        <w:t xml:space="preserve"> that are accessed through </w:t>
      </w:r>
      <w:r w:rsidR="00425C23" w:rsidRPr="00B23E41">
        <w:t xml:space="preserve">apps on </w:t>
      </w:r>
      <w:r w:rsidR="00707FEB" w:rsidRPr="00B23E41">
        <w:t>portable devices</w:t>
      </w:r>
      <w:r w:rsidR="00425C23" w:rsidRPr="00B23E41">
        <w:t>, such as phones and tablets, can include free-to-air BVOD services as well as subscription streaming services, or may have direct links to</w:t>
      </w:r>
      <w:r w:rsidR="00586FDA" w:rsidRPr="00B23E41">
        <w:t xml:space="preserve"> the provision of</w:t>
      </w:r>
      <w:r w:rsidR="00425C23" w:rsidRPr="00B23E41">
        <w:t xml:space="preserve"> internet or phone services, such as Optus Sport.</w:t>
      </w:r>
    </w:p>
    <w:p w14:paraId="522AC8C5" w14:textId="6192B77E" w:rsidR="00EB5739" w:rsidRPr="00B23E41" w:rsidRDefault="00EB5739" w:rsidP="008D776A">
      <w:pPr>
        <w:pStyle w:val="ListParagraph"/>
        <w:numPr>
          <w:ilvl w:val="0"/>
          <w:numId w:val="52"/>
        </w:numPr>
        <w:spacing w:after="120" w:line="240" w:lineRule="auto"/>
        <w:ind w:left="357" w:hanging="357"/>
        <w:contextualSpacing w:val="0"/>
      </w:pPr>
      <w:r w:rsidRPr="00B23E41">
        <w:rPr>
          <w:b/>
        </w:rPr>
        <w:t>Digital platforms</w:t>
      </w:r>
      <w:r w:rsidR="0050086D" w:rsidRPr="00B23E41">
        <w:t xml:space="preserve">, such as YouTube, </w:t>
      </w:r>
      <w:r w:rsidR="00DD26E8" w:rsidRPr="00B23E41">
        <w:t>make exponential</w:t>
      </w:r>
      <w:r w:rsidR="00B06388" w:rsidRPr="00B23E41">
        <w:t>ly large</w:t>
      </w:r>
      <w:r w:rsidR="00DD26E8" w:rsidRPr="00B23E41">
        <w:t xml:space="preserve"> amounts of content available daily in comparison to the </w:t>
      </w:r>
      <w:r w:rsidR="00B06388" w:rsidRPr="00B23E41">
        <w:t xml:space="preserve">hundreds of hours from </w:t>
      </w:r>
      <w:r w:rsidR="00DD26E8" w:rsidRPr="00B23E41">
        <w:t>free-to-air broadcasters</w:t>
      </w:r>
      <w:r w:rsidR="00B3647A" w:rsidRPr="00B23E41">
        <w:rPr>
          <w:i/>
        </w:rPr>
        <w:t>.</w:t>
      </w:r>
      <w:r w:rsidR="00B3647A" w:rsidRPr="00B23E41">
        <w:rPr>
          <w:vertAlign w:val="superscript"/>
        </w:rPr>
        <w:footnoteReference w:id="29"/>
      </w:r>
      <w:r w:rsidR="00B3647A" w:rsidRPr="00B23E41">
        <w:rPr>
          <w:i/>
          <w:vertAlign w:val="superscript"/>
        </w:rPr>
        <w:t xml:space="preserve"> </w:t>
      </w:r>
      <w:r w:rsidR="00DD26E8" w:rsidRPr="00B23E41">
        <w:t>While most of this content is not sports related, it demonstrates the potential for digital platforms to impact the market for sports rights and audience attention.</w:t>
      </w:r>
    </w:p>
    <w:p w14:paraId="7DFC05A9" w14:textId="5BD00C37" w:rsidR="00AB2AB2" w:rsidRDefault="00EB5739" w:rsidP="008D776A">
      <w:pPr>
        <w:pStyle w:val="ListParagraph"/>
        <w:numPr>
          <w:ilvl w:val="0"/>
          <w:numId w:val="52"/>
        </w:numPr>
        <w:spacing w:line="240" w:lineRule="auto"/>
      </w:pPr>
      <w:r w:rsidRPr="00B23E41">
        <w:rPr>
          <w:b/>
        </w:rPr>
        <w:t>Gambling apps and platforms</w:t>
      </w:r>
      <w:r w:rsidR="00B06388" w:rsidRPr="00B23E41">
        <w:t xml:space="preserve">, such as Bet365, also provide limited access to live streaming of sports for their users. Although these activities can be limited </w:t>
      </w:r>
      <w:r w:rsidR="00BB3CA8">
        <w:t>as a result of</w:t>
      </w:r>
      <w:r w:rsidR="00B06388" w:rsidRPr="00B23E41">
        <w:t xml:space="preserve"> the digital rights held by other media entities, it </w:t>
      </w:r>
      <w:r w:rsidR="008E6D68">
        <w:t>has</w:t>
      </w:r>
      <w:r w:rsidR="00B06388" w:rsidRPr="00B23E41">
        <w:t xml:space="preserve"> a g</w:t>
      </w:r>
      <w:r w:rsidR="009062B0">
        <w:t>r</w:t>
      </w:r>
      <w:r w:rsidR="00B06388" w:rsidRPr="00B23E41">
        <w:t>o</w:t>
      </w:r>
      <w:r w:rsidR="009062B0">
        <w:t>w</w:t>
      </w:r>
      <w:r w:rsidR="00B06388" w:rsidRPr="00B23E41">
        <w:t>ing market and audience.</w:t>
      </w:r>
    </w:p>
    <w:p w14:paraId="7C798755" w14:textId="3AF5C641" w:rsidR="00305312" w:rsidRDefault="00305312" w:rsidP="00012BC1"/>
    <w:p w14:paraId="3B06602D" w14:textId="3513AD95" w:rsidR="005F5576" w:rsidRDefault="002E1B66" w:rsidP="00B22819">
      <w:pPr>
        <w:pStyle w:val="Heading2"/>
      </w:pPr>
      <w:bookmarkStart w:id="141" w:name="_Toc112233672"/>
      <w:bookmarkStart w:id="142" w:name="_Toc112326015"/>
      <w:bookmarkStart w:id="143" w:name="_Toc113028185"/>
      <w:bookmarkStart w:id="144" w:name="_Toc113361264"/>
      <w:bookmarkStart w:id="145" w:name="_Toc114476243"/>
      <w:bookmarkStart w:id="146" w:name="_Toc114487290"/>
      <w:bookmarkStart w:id="147" w:name="_Toc116046024"/>
      <w:bookmarkStart w:id="148" w:name="_Toc116061402"/>
      <w:bookmarkStart w:id="149" w:name="_Toc116292941"/>
      <w:r>
        <w:t>A large number of</w:t>
      </w:r>
      <w:r w:rsidR="00596C05">
        <w:t xml:space="preserve"> Australians watch sport</w:t>
      </w:r>
      <w:bookmarkEnd w:id="141"/>
      <w:bookmarkEnd w:id="142"/>
      <w:bookmarkEnd w:id="143"/>
      <w:bookmarkEnd w:id="144"/>
      <w:bookmarkEnd w:id="145"/>
      <w:bookmarkEnd w:id="146"/>
      <w:bookmarkEnd w:id="147"/>
      <w:bookmarkEnd w:id="148"/>
      <w:bookmarkEnd w:id="149"/>
    </w:p>
    <w:p w14:paraId="36921422" w14:textId="560A5366" w:rsidR="00C67413" w:rsidRDefault="00C67413" w:rsidP="00012BC1">
      <w:pPr>
        <w:rPr>
          <w:iCs/>
        </w:rPr>
      </w:pPr>
      <w:r>
        <w:rPr>
          <w:iCs/>
        </w:rPr>
        <w:t>Televised sports can attract large audiences for broadcasters. The popular</w:t>
      </w:r>
      <w:r w:rsidR="0078106E">
        <w:rPr>
          <w:iCs/>
        </w:rPr>
        <w:t>ity</w:t>
      </w:r>
      <w:r>
        <w:rPr>
          <w:iCs/>
        </w:rPr>
        <w:t xml:space="preserve"> and </w:t>
      </w:r>
      <w:r w:rsidR="0078106E">
        <w:rPr>
          <w:iCs/>
        </w:rPr>
        <w:t>immediacy</w:t>
      </w:r>
      <w:r>
        <w:rPr>
          <w:iCs/>
        </w:rPr>
        <w:t xml:space="preserve"> of sport (watching </w:t>
      </w:r>
      <w:r w:rsidR="0078106E">
        <w:rPr>
          <w:iCs/>
        </w:rPr>
        <w:t xml:space="preserve">it </w:t>
      </w:r>
      <w:r>
        <w:rPr>
          <w:iCs/>
        </w:rPr>
        <w:t xml:space="preserve">unfold </w:t>
      </w:r>
      <w:r w:rsidR="0078106E">
        <w:rPr>
          <w:iCs/>
        </w:rPr>
        <w:t>live rather</w:t>
      </w:r>
      <w:r>
        <w:rPr>
          <w:iCs/>
        </w:rPr>
        <w:t xml:space="preserve"> than </w:t>
      </w:r>
      <w:r w:rsidR="0078106E">
        <w:rPr>
          <w:iCs/>
        </w:rPr>
        <w:t>on delay</w:t>
      </w:r>
      <w:r>
        <w:rPr>
          <w:iCs/>
        </w:rPr>
        <w:t>) make it an attractive proposition for live broadcasting.</w:t>
      </w:r>
    </w:p>
    <w:p w14:paraId="528925A8" w14:textId="06EED1C1" w:rsidR="00DC2212" w:rsidRDefault="00384288" w:rsidP="00DC2212">
      <w:pPr>
        <w:shd w:val="clear" w:color="auto" w:fill="FFFFFF"/>
        <w:textAlignment w:val="baseline"/>
        <w:rPr>
          <w:rFonts w:cs="Times New Roman"/>
          <w:szCs w:val="24"/>
        </w:rPr>
      </w:pPr>
      <w:r>
        <w:rPr>
          <w:iCs/>
        </w:rPr>
        <w:t xml:space="preserve">Australians watch sport on a regular basis. </w:t>
      </w:r>
      <w:r w:rsidR="00DC2212">
        <w:rPr>
          <w:rFonts w:cs="Times New Roman"/>
          <w:szCs w:val="24"/>
        </w:rPr>
        <w:t>A report commissioned by Free TV and prepared by Deloitte Access Economics found that in 2021, 55 per cent of Australians watched sport at least weekly on commercial television.</w:t>
      </w:r>
      <w:r w:rsidR="00DC2212">
        <w:rPr>
          <w:rStyle w:val="FootnoteReference"/>
          <w:rFonts w:cs="Times New Roman"/>
          <w:szCs w:val="24"/>
        </w:rPr>
        <w:footnoteReference w:id="30"/>
      </w:r>
    </w:p>
    <w:p w14:paraId="3EC94965" w14:textId="01E72AD9" w:rsidR="00F25077" w:rsidRPr="00093D27" w:rsidRDefault="001A3182" w:rsidP="00D10B9A">
      <w:pPr>
        <w:shd w:val="clear" w:color="auto" w:fill="FFFFFF"/>
        <w:textAlignment w:val="baseline"/>
        <w:rPr>
          <w:rFonts w:cs="Times New Roman"/>
          <w:szCs w:val="24"/>
        </w:rPr>
      </w:pPr>
      <w:r>
        <w:rPr>
          <w:rFonts w:cs="Times New Roman"/>
          <w:szCs w:val="24"/>
        </w:rPr>
        <w:t xml:space="preserve">Audiences for the major football codes are also significant. As highlighted in Figure 2, the </w:t>
      </w:r>
      <w:r w:rsidR="00703347">
        <w:rPr>
          <w:iCs/>
        </w:rPr>
        <w:t xml:space="preserve">free-to-air (broadcast) </w:t>
      </w:r>
      <w:r w:rsidR="00D517D0">
        <w:rPr>
          <w:iCs/>
        </w:rPr>
        <w:t xml:space="preserve">viewing figures for </w:t>
      </w:r>
      <w:r w:rsidR="009277D1">
        <w:rPr>
          <w:iCs/>
        </w:rPr>
        <w:t xml:space="preserve">the ‘prime time’ Friday night game for AFL </w:t>
      </w:r>
      <w:r w:rsidR="00703347">
        <w:rPr>
          <w:iCs/>
        </w:rPr>
        <w:t>have increased from a high base in the past year. Similarly, the NRL’s Friday night game continues to rate strongly.</w:t>
      </w:r>
      <w:r w:rsidR="00F25077">
        <w:rPr>
          <w:iCs/>
        </w:rPr>
        <w:br w:type="page"/>
      </w:r>
    </w:p>
    <w:p w14:paraId="34226F39" w14:textId="50591C15" w:rsidR="00C67413" w:rsidRDefault="00C67413">
      <w:pPr>
        <w:pStyle w:val="Caption"/>
        <w:rPr>
          <w:rFonts w:cs="Times New Roman"/>
          <w:szCs w:val="24"/>
        </w:rPr>
      </w:pPr>
      <w:bookmarkStart w:id="150" w:name="_Toc112235046"/>
      <w:bookmarkStart w:id="151" w:name="_Toc114487429"/>
      <w:r>
        <w:rPr>
          <w:rFonts w:cs="Times New Roman"/>
          <w:szCs w:val="24"/>
        </w:rPr>
        <w:lastRenderedPageBreak/>
        <w:t xml:space="preserve">Figure </w:t>
      </w:r>
      <w:r w:rsidR="007651B6">
        <w:rPr>
          <w:rFonts w:cs="Times New Roman"/>
          <w:szCs w:val="24"/>
        </w:rPr>
        <w:t>2</w:t>
      </w:r>
      <w:r w:rsidR="00424EC3">
        <w:rPr>
          <w:rFonts w:cs="Times New Roman"/>
          <w:szCs w:val="24"/>
        </w:rPr>
        <w:t xml:space="preserve">: Friday night sport continues to </w:t>
      </w:r>
      <w:r w:rsidR="006B2445">
        <w:rPr>
          <w:rFonts w:cs="Times New Roman"/>
          <w:szCs w:val="24"/>
        </w:rPr>
        <w:t>attract</w:t>
      </w:r>
      <w:r w:rsidR="00424EC3">
        <w:rPr>
          <w:rFonts w:cs="Times New Roman"/>
          <w:szCs w:val="24"/>
        </w:rPr>
        <w:t xml:space="preserve"> audiences to free-to-air channels</w:t>
      </w:r>
      <w:bookmarkEnd w:id="150"/>
      <w:bookmarkEnd w:id="151"/>
    </w:p>
    <w:p w14:paraId="42D259E0" w14:textId="1C1CE290" w:rsidR="00BA53FF" w:rsidRDefault="00BA53FF" w:rsidP="00C67413">
      <w:pPr>
        <w:shd w:val="clear" w:color="auto" w:fill="FFFFFF"/>
        <w:spacing w:after="0"/>
        <w:textAlignment w:val="baseline"/>
        <w:rPr>
          <w:rFonts w:cs="Times New Roman"/>
          <w:szCs w:val="24"/>
        </w:rPr>
      </w:pPr>
      <w:r>
        <w:rPr>
          <w:noProof/>
          <w:lang w:eastAsia="en-AU"/>
        </w:rPr>
        <w:drawing>
          <wp:inline distT="0" distB="0" distL="0" distR="0" wp14:anchorId="1B2C6EAE" wp14:editId="35DDA971">
            <wp:extent cx="6228000" cy="2858400"/>
            <wp:effectExtent l="0" t="0" r="1905" b="0"/>
            <wp:docPr id="10" name="Chart 10" descr="This is a line chart showing Friday night Metro average audience of regular season NRL and AFL games from 2017 to 2021. Combined AFL and NRL viewership in 2017 was 1,075,000 and in 2021 was 905,000.">
              <a:extLst xmlns:a="http://schemas.openxmlformats.org/drawingml/2006/main">
                <a:ext uri="{FF2B5EF4-FFF2-40B4-BE49-F238E27FC236}">
                  <a16:creationId xmlns:a16="http://schemas.microsoft.com/office/drawing/2014/main" id="{D7B53C39-6E73-43AA-82A0-D27240DACA0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30E9F847" w14:textId="57F987F1" w:rsidR="00BA53FF" w:rsidRDefault="00BA53FF" w:rsidP="00BA53FF">
      <w:pPr>
        <w:pStyle w:val="Sourcenotes"/>
        <w:rPr>
          <w:rFonts w:cs="Times New Roman"/>
          <w:szCs w:val="24"/>
        </w:rPr>
      </w:pPr>
      <w:r w:rsidRPr="00BA53FF">
        <w:rPr>
          <w:rFonts w:cs="Times New Roman"/>
          <w:szCs w:val="24"/>
        </w:rPr>
        <w:t>Source: OzTAM 5 City Metro I Consolidated 7 I Average audience measures by match I Includes main and multi-channels. Note that this graph reflects terrestrial free-to-air broadcast in mainland state capital cities only; regional markets and online streaming are not included. Data copyright © OzTAM 2022 The data may not be reproduced, published or communicated (electronically or in hard copy) in whole or in part, without prior written consent of OzTAM.</w:t>
      </w:r>
    </w:p>
    <w:p w14:paraId="64498DA7" w14:textId="12710EB3" w:rsidR="009E2F8B" w:rsidRDefault="00812EAA" w:rsidP="003A4B36">
      <w:pPr>
        <w:rPr>
          <w:iCs/>
        </w:rPr>
      </w:pPr>
      <w:r>
        <w:rPr>
          <w:iCs/>
        </w:rPr>
        <w:t>Beyond the regular competitions, m</w:t>
      </w:r>
      <w:r w:rsidR="008A3ED5">
        <w:rPr>
          <w:iCs/>
        </w:rPr>
        <w:t>ajor sporting events</w:t>
      </w:r>
      <w:r w:rsidR="005B46D5">
        <w:rPr>
          <w:iCs/>
        </w:rPr>
        <w:t xml:space="preserve"> – marquee events that occupy a distinct position on the Australian sporting calendar </w:t>
      </w:r>
      <w:r w:rsidR="008A3ED5">
        <w:rPr>
          <w:iCs/>
        </w:rPr>
        <w:t>– also continue to generate significant peak audiences</w:t>
      </w:r>
      <w:r w:rsidR="001A0D56">
        <w:rPr>
          <w:iCs/>
        </w:rPr>
        <w:t xml:space="preserve"> (</w:t>
      </w:r>
      <w:r w:rsidR="009C7190">
        <w:rPr>
          <w:iCs/>
        </w:rPr>
        <w:t xml:space="preserve">Figure </w:t>
      </w:r>
      <w:r w:rsidR="00330EF6">
        <w:rPr>
          <w:iCs/>
        </w:rPr>
        <w:t>3</w:t>
      </w:r>
      <w:r w:rsidR="001A0D56">
        <w:rPr>
          <w:iCs/>
        </w:rPr>
        <w:t>)</w:t>
      </w:r>
      <w:r w:rsidR="003A4705">
        <w:rPr>
          <w:iCs/>
        </w:rPr>
        <w:t>:</w:t>
      </w:r>
    </w:p>
    <w:p w14:paraId="712B4393" w14:textId="7D930E83" w:rsidR="009E2F8B" w:rsidRDefault="0078106E" w:rsidP="008D776A">
      <w:pPr>
        <w:pStyle w:val="ListParagraph"/>
        <w:numPr>
          <w:ilvl w:val="0"/>
          <w:numId w:val="53"/>
        </w:numPr>
        <w:shd w:val="clear" w:color="auto" w:fill="FFFFFF"/>
        <w:spacing w:after="120" w:line="240" w:lineRule="auto"/>
        <w:ind w:left="357" w:hanging="357"/>
        <w:contextualSpacing w:val="0"/>
        <w:textAlignment w:val="baseline"/>
        <w:rPr>
          <w:rFonts w:cs="Times New Roman"/>
          <w:szCs w:val="24"/>
        </w:rPr>
      </w:pPr>
      <w:r>
        <w:rPr>
          <w:rFonts w:cs="Times New Roman"/>
          <w:szCs w:val="24"/>
        </w:rPr>
        <w:t>For</w:t>
      </w:r>
      <w:r w:rsidR="001A0D56" w:rsidRPr="00494B99">
        <w:rPr>
          <w:rFonts w:cs="Times New Roman"/>
          <w:szCs w:val="24"/>
        </w:rPr>
        <w:t xml:space="preserve"> AFL, t</w:t>
      </w:r>
      <w:r w:rsidR="009E2F8B" w:rsidRPr="00494B99">
        <w:rPr>
          <w:rFonts w:cs="Times New Roman"/>
          <w:szCs w:val="24"/>
        </w:rPr>
        <w:t>he</w:t>
      </w:r>
      <w:r w:rsidR="009E2F8B" w:rsidRPr="00CD622B">
        <w:rPr>
          <w:rFonts w:cs="Times New Roman"/>
          <w:szCs w:val="24"/>
        </w:rPr>
        <w:t xml:space="preserve"> 2021 Grand Final between Melbourne and Western Bulldogs attracted a national average audience of 4.1 million, the highest watched program in 2021.</w:t>
      </w:r>
    </w:p>
    <w:p w14:paraId="4A21F980" w14:textId="5201BA43" w:rsidR="009E2F8B" w:rsidRPr="000E1293" w:rsidRDefault="0078106E" w:rsidP="003A4B36">
      <w:pPr>
        <w:pStyle w:val="ListParagraph"/>
        <w:numPr>
          <w:ilvl w:val="0"/>
          <w:numId w:val="53"/>
        </w:numPr>
        <w:shd w:val="clear" w:color="auto" w:fill="FFFFFF"/>
        <w:spacing w:after="120" w:line="240" w:lineRule="auto"/>
        <w:ind w:left="357" w:hanging="357"/>
        <w:contextualSpacing w:val="0"/>
        <w:textAlignment w:val="baseline"/>
        <w:rPr>
          <w:rFonts w:cs="Times New Roman"/>
          <w:szCs w:val="24"/>
        </w:rPr>
      </w:pPr>
      <w:r>
        <w:rPr>
          <w:rFonts w:cs="Times New Roman"/>
          <w:szCs w:val="24"/>
        </w:rPr>
        <w:t>For</w:t>
      </w:r>
      <w:r w:rsidR="001A0D56" w:rsidRPr="00494B99">
        <w:rPr>
          <w:rFonts w:cs="Times New Roman"/>
          <w:szCs w:val="24"/>
        </w:rPr>
        <w:t xml:space="preserve"> NRL, </w:t>
      </w:r>
      <w:r w:rsidR="001A0D56" w:rsidRPr="00330EF6">
        <w:rPr>
          <w:rFonts w:cs="Times New Roman"/>
          <w:szCs w:val="24"/>
        </w:rPr>
        <w:t>t</w:t>
      </w:r>
      <w:r w:rsidR="009E2F8B" w:rsidRPr="00330EF6">
        <w:rPr>
          <w:rFonts w:cs="Times New Roman"/>
          <w:szCs w:val="24"/>
        </w:rPr>
        <w:t>he</w:t>
      </w:r>
      <w:r w:rsidR="009E2F8B" w:rsidRPr="00CD622B">
        <w:rPr>
          <w:rFonts w:cs="Times New Roman"/>
          <w:szCs w:val="24"/>
        </w:rPr>
        <w:t xml:space="preserve"> second State of Origin </w:t>
      </w:r>
      <w:r w:rsidR="009E2F8B">
        <w:rPr>
          <w:rFonts w:cs="Times New Roman"/>
          <w:szCs w:val="24"/>
        </w:rPr>
        <w:t xml:space="preserve">fixture in 2021 </w:t>
      </w:r>
      <w:r w:rsidR="009E2F8B" w:rsidRPr="00CD622B">
        <w:rPr>
          <w:rFonts w:cs="Times New Roman"/>
          <w:szCs w:val="24"/>
        </w:rPr>
        <w:t>attracted a national overall audience of close to 3</w:t>
      </w:r>
      <w:r w:rsidR="00F02F90">
        <w:rPr>
          <w:rFonts w:cs="Times New Roman"/>
          <w:szCs w:val="24"/>
        </w:rPr>
        <w:t> </w:t>
      </w:r>
      <w:r w:rsidR="009E2F8B" w:rsidRPr="00CD622B">
        <w:rPr>
          <w:rFonts w:cs="Times New Roman"/>
          <w:szCs w:val="24"/>
        </w:rPr>
        <w:t xml:space="preserve">million viewers, an increase on both the 2019 and 2020 iterations of this fixture. </w:t>
      </w:r>
      <w:r w:rsidR="003A4705">
        <w:rPr>
          <w:rFonts w:cs="Times New Roman"/>
          <w:szCs w:val="24"/>
        </w:rPr>
        <w:t>This figure grew to just over 3 million viewers in</w:t>
      </w:r>
      <w:r w:rsidR="001A0D56">
        <w:rPr>
          <w:rFonts w:cs="Times New Roman"/>
          <w:szCs w:val="24"/>
        </w:rPr>
        <w:t xml:space="preserve"> 2022, </w:t>
      </w:r>
      <w:r w:rsidR="003A4705">
        <w:rPr>
          <w:rFonts w:cs="Times New Roman"/>
          <w:szCs w:val="24"/>
        </w:rPr>
        <w:t>with the second match that year also attracting the second highest BVOD audience of all time of 394,000, behind only the previous game in the series.</w:t>
      </w:r>
      <w:r w:rsidR="003A4705" w:rsidRPr="00F26D25">
        <w:rPr>
          <w:vertAlign w:val="superscript"/>
        </w:rPr>
        <w:footnoteReference w:id="31"/>
      </w:r>
    </w:p>
    <w:p w14:paraId="45148B0E" w14:textId="6A7C802F" w:rsidR="003A4705" w:rsidRDefault="003A4705" w:rsidP="008D776A">
      <w:pPr>
        <w:pStyle w:val="ListParagraph"/>
        <w:numPr>
          <w:ilvl w:val="0"/>
          <w:numId w:val="53"/>
        </w:numPr>
        <w:shd w:val="clear" w:color="auto" w:fill="FFFFFF"/>
        <w:spacing w:after="120" w:line="240" w:lineRule="auto"/>
        <w:ind w:left="357" w:hanging="357"/>
        <w:contextualSpacing w:val="0"/>
        <w:textAlignment w:val="baseline"/>
        <w:rPr>
          <w:rFonts w:cs="Times New Roman"/>
          <w:szCs w:val="24"/>
        </w:rPr>
      </w:pPr>
      <w:r>
        <w:rPr>
          <w:rFonts w:cs="Times New Roman"/>
          <w:szCs w:val="24"/>
        </w:rPr>
        <w:t>The Australian Open tennis</w:t>
      </w:r>
      <w:r w:rsidR="00136E0E">
        <w:rPr>
          <w:rFonts w:cs="Times New Roman"/>
          <w:szCs w:val="24"/>
        </w:rPr>
        <w:t xml:space="preserve"> tournament</w:t>
      </w:r>
      <w:r>
        <w:rPr>
          <w:rFonts w:cs="Times New Roman"/>
          <w:szCs w:val="24"/>
        </w:rPr>
        <w:t xml:space="preserve"> </w:t>
      </w:r>
      <w:r w:rsidR="0078106E">
        <w:rPr>
          <w:rFonts w:cs="Times New Roman"/>
          <w:szCs w:val="24"/>
        </w:rPr>
        <w:t>f</w:t>
      </w:r>
      <w:r>
        <w:rPr>
          <w:rFonts w:cs="Times New Roman"/>
          <w:szCs w:val="24"/>
        </w:rPr>
        <w:t xml:space="preserve">inals </w:t>
      </w:r>
      <w:r w:rsidR="0078106E">
        <w:rPr>
          <w:rFonts w:cs="Times New Roman"/>
          <w:szCs w:val="24"/>
        </w:rPr>
        <w:t>(men’s</w:t>
      </w:r>
      <w:r>
        <w:rPr>
          <w:rFonts w:cs="Times New Roman"/>
          <w:szCs w:val="24"/>
        </w:rPr>
        <w:t xml:space="preserve"> and </w:t>
      </w:r>
      <w:r w:rsidR="0078106E">
        <w:rPr>
          <w:rFonts w:cs="Times New Roman"/>
          <w:szCs w:val="24"/>
        </w:rPr>
        <w:t>women’s)</w:t>
      </w:r>
      <w:r>
        <w:rPr>
          <w:rFonts w:cs="Times New Roman"/>
          <w:szCs w:val="24"/>
        </w:rPr>
        <w:t xml:space="preserve"> also draw significant viewership. Audiences can be attracted to matches featuring particular players. For example, </w:t>
      </w:r>
      <w:r w:rsidR="00494B99">
        <w:rPr>
          <w:rFonts w:cs="Times New Roman"/>
          <w:szCs w:val="24"/>
        </w:rPr>
        <w:t>when Ash Barty</w:t>
      </w:r>
      <w:r w:rsidR="0078106E">
        <w:rPr>
          <w:rFonts w:cs="Times New Roman"/>
          <w:szCs w:val="24"/>
        </w:rPr>
        <w:t xml:space="preserve"> – at</w:t>
      </w:r>
      <w:r w:rsidR="00494B99">
        <w:rPr>
          <w:rFonts w:cs="Times New Roman"/>
          <w:szCs w:val="24"/>
        </w:rPr>
        <w:t xml:space="preserve"> the </w:t>
      </w:r>
      <w:r w:rsidR="0078106E">
        <w:rPr>
          <w:rFonts w:cs="Times New Roman"/>
          <w:szCs w:val="24"/>
        </w:rPr>
        <w:t>time</w:t>
      </w:r>
      <w:r w:rsidR="007864C3">
        <w:rPr>
          <w:rFonts w:cs="Times New Roman"/>
          <w:szCs w:val="24"/>
        </w:rPr>
        <w:t>,</w:t>
      </w:r>
      <w:r w:rsidR="0078106E">
        <w:rPr>
          <w:rFonts w:cs="Times New Roman"/>
          <w:szCs w:val="24"/>
        </w:rPr>
        <w:t xml:space="preserve"> the </w:t>
      </w:r>
      <w:r w:rsidR="00494B99">
        <w:rPr>
          <w:rFonts w:cs="Times New Roman"/>
          <w:szCs w:val="24"/>
        </w:rPr>
        <w:t xml:space="preserve">number </w:t>
      </w:r>
      <w:r w:rsidR="0078106E">
        <w:rPr>
          <w:rFonts w:cs="Times New Roman"/>
          <w:szCs w:val="24"/>
        </w:rPr>
        <w:t>1</w:t>
      </w:r>
      <w:r w:rsidR="00494B99">
        <w:rPr>
          <w:rFonts w:cs="Times New Roman"/>
          <w:szCs w:val="24"/>
        </w:rPr>
        <w:t xml:space="preserve"> ranked </w:t>
      </w:r>
      <w:r w:rsidR="0078106E">
        <w:rPr>
          <w:rFonts w:cs="Times New Roman"/>
          <w:szCs w:val="24"/>
        </w:rPr>
        <w:t>female</w:t>
      </w:r>
      <w:r w:rsidR="00494B99">
        <w:rPr>
          <w:rFonts w:cs="Times New Roman"/>
          <w:szCs w:val="24"/>
        </w:rPr>
        <w:t xml:space="preserve"> player </w:t>
      </w:r>
      <w:r w:rsidR="00F02F90">
        <w:rPr>
          <w:rFonts w:cs="Times New Roman"/>
          <w:szCs w:val="24"/>
        </w:rPr>
        <w:t xml:space="preserve">and an Australian </w:t>
      </w:r>
      <w:r w:rsidR="0078106E">
        <w:rPr>
          <w:rFonts w:cs="Times New Roman"/>
          <w:szCs w:val="24"/>
        </w:rPr>
        <w:t xml:space="preserve">– </w:t>
      </w:r>
      <w:r w:rsidR="00494B99">
        <w:rPr>
          <w:rFonts w:cs="Times New Roman"/>
          <w:szCs w:val="24"/>
        </w:rPr>
        <w:t xml:space="preserve">competed in the </w:t>
      </w:r>
      <w:r w:rsidR="0078106E">
        <w:rPr>
          <w:rFonts w:cs="Times New Roman"/>
          <w:szCs w:val="24"/>
        </w:rPr>
        <w:t>w</w:t>
      </w:r>
      <w:r w:rsidR="00494B99" w:rsidRPr="0078106E">
        <w:rPr>
          <w:rFonts w:cs="Times New Roman"/>
          <w:szCs w:val="24"/>
        </w:rPr>
        <w:t>omen’s</w:t>
      </w:r>
      <w:r w:rsidR="00494B99">
        <w:rPr>
          <w:rFonts w:cs="Times New Roman"/>
          <w:szCs w:val="24"/>
        </w:rPr>
        <w:t xml:space="preserve"> final in 2022, </w:t>
      </w:r>
      <w:r>
        <w:rPr>
          <w:rFonts w:cs="Times New Roman"/>
          <w:szCs w:val="24"/>
        </w:rPr>
        <w:t>the combined viewership for</w:t>
      </w:r>
      <w:r w:rsidR="00494B99">
        <w:rPr>
          <w:rFonts w:cs="Times New Roman"/>
          <w:szCs w:val="24"/>
        </w:rPr>
        <w:t xml:space="preserve"> both </w:t>
      </w:r>
      <w:r>
        <w:rPr>
          <w:rFonts w:cs="Times New Roman"/>
          <w:szCs w:val="24"/>
        </w:rPr>
        <w:t xml:space="preserve">the </w:t>
      </w:r>
      <w:r w:rsidR="0078106E">
        <w:rPr>
          <w:rFonts w:cs="Times New Roman"/>
          <w:szCs w:val="24"/>
        </w:rPr>
        <w:t>m</w:t>
      </w:r>
      <w:r w:rsidRPr="0078106E">
        <w:rPr>
          <w:rFonts w:cs="Times New Roman"/>
          <w:szCs w:val="24"/>
        </w:rPr>
        <w:t>en’s</w:t>
      </w:r>
      <w:r>
        <w:rPr>
          <w:rFonts w:cs="Times New Roman"/>
          <w:szCs w:val="24"/>
        </w:rPr>
        <w:t xml:space="preserve"> and </w:t>
      </w:r>
      <w:r w:rsidR="0078106E">
        <w:rPr>
          <w:rFonts w:cs="Times New Roman"/>
          <w:szCs w:val="24"/>
        </w:rPr>
        <w:t>w</w:t>
      </w:r>
      <w:r w:rsidRPr="0078106E">
        <w:rPr>
          <w:rFonts w:cs="Times New Roman"/>
          <w:szCs w:val="24"/>
        </w:rPr>
        <w:t>omen’s</w:t>
      </w:r>
      <w:r>
        <w:rPr>
          <w:rFonts w:cs="Times New Roman"/>
          <w:szCs w:val="24"/>
        </w:rPr>
        <w:t xml:space="preserve"> finals </w:t>
      </w:r>
      <w:r w:rsidR="00494B99">
        <w:rPr>
          <w:rFonts w:cs="Times New Roman"/>
          <w:szCs w:val="24"/>
        </w:rPr>
        <w:t>jumped to</w:t>
      </w:r>
      <w:r>
        <w:rPr>
          <w:rFonts w:cs="Times New Roman"/>
          <w:szCs w:val="24"/>
        </w:rPr>
        <w:t xml:space="preserve"> </w:t>
      </w:r>
      <w:r w:rsidR="00494B99">
        <w:rPr>
          <w:rFonts w:cs="Times New Roman"/>
          <w:szCs w:val="24"/>
        </w:rPr>
        <w:t>over 4 million.</w:t>
      </w:r>
    </w:p>
    <w:p w14:paraId="2C880BB9" w14:textId="1179DFAE" w:rsidR="00F25077" w:rsidRPr="00F25077" w:rsidRDefault="0078106E" w:rsidP="00177865">
      <w:pPr>
        <w:pStyle w:val="ListParagraph"/>
        <w:numPr>
          <w:ilvl w:val="0"/>
          <w:numId w:val="53"/>
        </w:numPr>
        <w:shd w:val="clear" w:color="auto" w:fill="FFFFFF"/>
        <w:spacing w:after="120" w:line="240" w:lineRule="auto"/>
        <w:ind w:left="357" w:hanging="357"/>
        <w:contextualSpacing w:val="0"/>
        <w:textAlignment w:val="baseline"/>
        <w:rPr>
          <w:rFonts w:cs="Times New Roman"/>
          <w:szCs w:val="24"/>
        </w:rPr>
      </w:pPr>
      <w:r w:rsidRPr="00F25077">
        <w:rPr>
          <w:rFonts w:cs="Times New Roman"/>
          <w:szCs w:val="24"/>
        </w:rPr>
        <w:t>Although viewership of</w:t>
      </w:r>
      <w:r w:rsidR="00494B99" w:rsidRPr="00F25077">
        <w:rPr>
          <w:rFonts w:cs="Times New Roman"/>
          <w:szCs w:val="24"/>
        </w:rPr>
        <w:t xml:space="preserve"> the Melbourne Cup has been in decline for the past decade, it still attracted 1.2</w:t>
      </w:r>
      <w:r w:rsidR="00F02F90" w:rsidRPr="00F25077">
        <w:rPr>
          <w:rFonts w:cs="Times New Roman"/>
          <w:szCs w:val="24"/>
        </w:rPr>
        <w:t> </w:t>
      </w:r>
      <w:r w:rsidR="00494B99" w:rsidRPr="00F25077">
        <w:rPr>
          <w:rFonts w:cs="Times New Roman"/>
          <w:szCs w:val="24"/>
        </w:rPr>
        <w:t xml:space="preserve">million viewers in </w:t>
      </w:r>
      <w:r w:rsidR="003C1774" w:rsidRPr="00F25077">
        <w:rPr>
          <w:rFonts w:cs="Times New Roman"/>
          <w:szCs w:val="24"/>
        </w:rPr>
        <w:t>2021</w:t>
      </w:r>
      <w:r w:rsidR="00494B99" w:rsidRPr="00F25077">
        <w:rPr>
          <w:rFonts w:cs="Times New Roman"/>
          <w:szCs w:val="24"/>
        </w:rPr>
        <w:t>.</w:t>
      </w:r>
      <w:r w:rsidR="00F25077" w:rsidRPr="00F25077">
        <w:rPr>
          <w:rFonts w:cs="Times New Roman"/>
          <w:szCs w:val="24"/>
        </w:rPr>
        <w:br w:type="page"/>
      </w:r>
    </w:p>
    <w:p w14:paraId="3999CFBE" w14:textId="705F2FE1" w:rsidR="003A4705" w:rsidRDefault="003A4705" w:rsidP="00B4684C">
      <w:pPr>
        <w:pStyle w:val="Caption"/>
        <w:rPr>
          <w:rFonts w:cs="Times New Roman"/>
          <w:szCs w:val="24"/>
        </w:rPr>
      </w:pPr>
      <w:bookmarkStart w:id="152" w:name="_Toc112235047"/>
      <w:bookmarkStart w:id="153" w:name="_Toc114487430"/>
      <w:r>
        <w:rPr>
          <w:rFonts w:cs="Times New Roman"/>
          <w:szCs w:val="24"/>
        </w:rPr>
        <w:lastRenderedPageBreak/>
        <w:t xml:space="preserve">Figure </w:t>
      </w:r>
      <w:r w:rsidR="007651B6">
        <w:rPr>
          <w:rFonts w:cs="Times New Roman"/>
          <w:szCs w:val="24"/>
        </w:rPr>
        <w:t>3</w:t>
      </w:r>
      <w:r>
        <w:rPr>
          <w:rFonts w:cs="Times New Roman"/>
          <w:szCs w:val="24"/>
        </w:rPr>
        <w:t xml:space="preserve">: </w:t>
      </w:r>
      <w:r w:rsidR="005B46D5">
        <w:rPr>
          <w:rFonts w:cs="Times New Roman"/>
          <w:szCs w:val="24"/>
        </w:rPr>
        <w:t>Marquee</w:t>
      </w:r>
      <w:r>
        <w:rPr>
          <w:rFonts w:cs="Times New Roman"/>
          <w:szCs w:val="24"/>
        </w:rPr>
        <w:t xml:space="preserve"> events continue to draw large viewership</w:t>
      </w:r>
      <w:bookmarkEnd w:id="152"/>
      <w:bookmarkEnd w:id="153"/>
    </w:p>
    <w:p w14:paraId="64E54C12" w14:textId="654C2B27" w:rsidR="008E4178" w:rsidRDefault="008E4178" w:rsidP="00B4684C">
      <w:pPr>
        <w:shd w:val="clear" w:color="auto" w:fill="FFFFFF"/>
        <w:spacing w:after="0"/>
        <w:textAlignment w:val="baseline"/>
        <w:rPr>
          <w:rFonts w:cs="Times New Roman"/>
          <w:szCs w:val="24"/>
        </w:rPr>
      </w:pPr>
      <w:r>
        <w:rPr>
          <w:noProof/>
          <w:lang w:eastAsia="en-AU"/>
        </w:rPr>
        <w:drawing>
          <wp:inline distT="0" distB="0" distL="0" distR="0" wp14:anchorId="362052A8" wp14:editId="49C1725A">
            <wp:extent cx="6141600" cy="3348000"/>
            <wp:effectExtent l="0" t="0" r="0" b="5080"/>
            <wp:docPr id="13" name="Chart 13" descr="This is a line chart showing marquee event viewership. It tracks the total metro audience of the Australian Open (Men's and Women's finals), AFL Grand Final, NRL Grand Final, Melbourne Cup and game 2 of the State of Origin from 2009 to 2022.">
              <a:extLst xmlns:a="http://schemas.openxmlformats.org/drawingml/2006/main">
                <a:ext uri="{FF2B5EF4-FFF2-40B4-BE49-F238E27FC236}">
                  <a16:creationId xmlns:a16="http://schemas.microsoft.com/office/drawing/2014/main" id="{460ABD76-DDC5-46DE-90C6-3E2858557B3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5F672961" w14:textId="4A5A8127" w:rsidR="008E4178" w:rsidRPr="00494B99" w:rsidRDefault="008E4178" w:rsidP="008E4178">
      <w:pPr>
        <w:pStyle w:val="Sourcenotes"/>
        <w:rPr>
          <w:rFonts w:cs="Times New Roman"/>
          <w:szCs w:val="24"/>
        </w:rPr>
      </w:pPr>
      <w:r w:rsidRPr="008E4178">
        <w:rPr>
          <w:rFonts w:cs="Times New Roman"/>
          <w:szCs w:val="24"/>
        </w:rPr>
        <w:t>Source: OzTAM 5 City Metro I Consolidated 7 I Average audience measures by match I Includes main and multi-channels. Note that this graph reflects terrestrial free-to-air broadcast in mainland state capital cities only; regional markets and online streaming are not included. Data copyright © OzTAM 2022 The data may not be reproduced, published or communicated (electronically or in hard copy) in whole or in part, without prior written consent of OzTAM.</w:t>
      </w:r>
    </w:p>
    <w:p w14:paraId="45C27B84" w14:textId="652AF0F5" w:rsidR="00507936" w:rsidRDefault="00494B99" w:rsidP="002F6EA4">
      <w:pPr>
        <w:rPr>
          <w:rFonts w:cs="Times New Roman"/>
          <w:color w:val="auto"/>
          <w:szCs w:val="24"/>
        </w:rPr>
      </w:pPr>
      <w:r>
        <w:rPr>
          <w:rFonts w:cs="Times New Roman"/>
          <w:szCs w:val="24"/>
        </w:rPr>
        <w:t xml:space="preserve">Less regular events also draw significant audiences. For example, the Summer Olympics Opening Ceremony draws a large free-to-air audience. This is most pronounced when the event aligns well with Australian time zones. </w:t>
      </w:r>
      <w:r w:rsidR="0078106E">
        <w:rPr>
          <w:rFonts w:cs="Times New Roman"/>
          <w:szCs w:val="24"/>
        </w:rPr>
        <w:t>For this reason, the Opening Ceremonies for</w:t>
      </w:r>
      <w:r>
        <w:rPr>
          <w:rFonts w:cs="Times New Roman"/>
          <w:szCs w:val="24"/>
        </w:rPr>
        <w:t xml:space="preserve"> 2008 Beijing and 2020 Tokyo Olympics had live viewership of over 2.8 and 2.6 million respectively. </w:t>
      </w:r>
      <w:r w:rsidR="0078106E">
        <w:rPr>
          <w:rFonts w:cs="Times New Roman"/>
          <w:szCs w:val="24"/>
        </w:rPr>
        <w:t>For</w:t>
      </w:r>
      <w:r>
        <w:rPr>
          <w:rFonts w:cs="Times New Roman"/>
          <w:szCs w:val="24"/>
        </w:rPr>
        <w:t xml:space="preserve"> London 2012 and Rio de Janeiro 2016, in less convenient time zones for Australian audiences, </w:t>
      </w:r>
      <w:r w:rsidR="0078106E">
        <w:rPr>
          <w:rFonts w:cs="Times New Roman"/>
          <w:szCs w:val="24"/>
        </w:rPr>
        <w:t>the Opening Ceremonies received</w:t>
      </w:r>
      <w:r>
        <w:rPr>
          <w:rFonts w:cs="Times New Roman"/>
          <w:szCs w:val="24"/>
        </w:rPr>
        <w:t xml:space="preserve"> 1.8 and 1.6 million live viewers respectively.</w:t>
      </w:r>
    </w:p>
    <w:p w14:paraId="3295C89B" w14:textId="39A8F096" w:rsidR="00507936" w:rsidRPr="00494B99" w:rsidRDefault="00507936" w:rsidP="002F6EA4">
      <w:pPr>
        <w:rPr>
          <w:rFonts w:cs="Times New Roman"/>
          <w:szCs w:val="24"/>
        </w:rPr>
      </w:pPr>
      <w:r>
        <w:rPr>
          <w:rFonts w:cs="Times New Roman"/>
          <w:szCs w:val="24"/>
        </w:rPr>
        <w:t>Taking into account time-shift and BVOD viewer</w:t>
      </w:r>
      <w:r w:rsidR="00167BF8">
        <w:rPr>
          <w:rFonts w:cs="Times New Roman"/>
          <w:szCs w:val="24"/>
        </w:rPr>
        <w:t>s</w:t>
      </w:r>
      <w:r>
        <w:rPr>
          <w:rFonts w:cs="Times New Roman"/>
          <w:szCs w:val="24"/>
        </w:rPr>
        <w:t>, the Tokyo</w:t>
      </w:r>
      <w:r w:rsidR="00524233">
        <w:rPr>
          <w:rFonts w:cs="Times New Roman"/>
          <w:szCs w:val="24"/>
        </w:rPr>
        <w:t xml:space="preserve"> 2020</w:t>
      </w:r>
      <w:r>
        <w:rPr>
          <w:rFonts w:cs="Times New Roman"/>
          <w:szCs w:val="24"/>
        </w:rPr>
        <w:t xml:space="preserve"> Opening Ceremony drew a total audience of 3.85 million viewers. It marked a step change in BVOD viewing habits, recording the biggest ever day in Australian BVOD streaming at 376 million minutes, four and a half times the previous record (set only 10 days earlier by </w:t>
      </w:r>
      <w:r w:rsidR="00D8401A">
        <w:rPr>
          <w:rFonts w:cs="Times New Roman"/>
          <w:szCs w:val="24"/>
        </w:rPr>
        <w:t xml:space="preserve">the </w:t>
      </w:r>
      <w:r>
        <w:rPr>
          <w:rFonts w:cs="Times New Roman"/>
          <w:szCs w:val="24"/>
        </w:rPr>
        <w:t>Nine</w:t>
      </w:r>
      <w:r w:rsidR="00D8401A">
        <w:rPr>
          <w:rFonts w:cs="Times New Roman"/>
          <w:szCs w:val="24"/>
        </w:rPr>
        <w:t xml:space="preserve"> Net</w:t>
      </w:r>
      <w:r w:rsidR="00C02EBE">
        <w:rPr>
          <w:rFonts w:cs="Times New Roman"/>
          <w:szCs w:val="24"/>
        </w:rPr>
        <w:t>work</w:t>
      </w:r>
      <w:r>
        <w:rPr>
          <w:rFonts w:cs="Times New Roman"/>
          <w:szCs w:val="24"/>
        </w:rPr>
        <w:t>’s State of Origin coverage).</w:t>
      </w:r>
      <w:r>
        <w:rPr>
          <w:rStyle w:val="FootnoteReference"/>
          <w:rFonts w:cs="Times New Roman"/>
          <w:szCs w:val="24"/>
        </w:rPr>
        <w:footnoteReference w:id="32"/>
      </w:r>
    </w:p>
    <w:p w14:paraId="0D36F0C0" w14:textId="37A59DA8" w:rsidR="00B3647A" w:rsidRDefault="00B3647A" w:rsidP="007864C3">
      <w:pPr>
        <w:shd w:val="clear" w:color="auto" w:fill="FFFFFF"/>
        <w:textAlignment w:val="baseline"/>
        <w:rPr>
          <w:rFonts w:cs="Times New Roman"/>
          <w:szCs w:val="24"/>
        </w:rPr>
      </w:pPr>
      <w:r>
        <w:rPr>
          <w:rFonts w:cs="Times New Roman"/>
          <w:szCs w:val="24"/>
        </w:rPr>
        <w:t xml:space="preserve">Although audience numbers are significant, </w:t>
      </w:r>
      <w:r w:rsidR="00FB124E">
        <w:rPr>
          <w:rFonts w:cs="Times New Roman"/>
          <w:szCs w:val="24"/>
        </w:rPr>
        <w:t xml:space="preserve">not </w:t>
      </w:r>
      <w:r>
        <w:rPr>
          <w:rFonts w:cs="Times New Roman"/>
          <w:szCs w:val="24"/>
        </w:rPr>
        <w:t xml:space="preserve">all Australians </w:t>
      </w:r>
      <w:r w:rsidR="008714E0">
        <w:rPr>
          <w:rFonts w:cs="Times New Roman"/>
          <w:szCs w:val="24"/>
        </w:rPr>
        <w:t xml:space="preserve">watch </w:t>
      </w:r>
      <w:r>
        <w:rPr>
          <w:rFonts w:cs="Times New Roman"/>
          <w:szCs w:val="24"/>
        </w:rPr>
        <w:t>sports content</w:t>
      </w:r>
      <w:r w:rsidR="00DC2212">
        <w:rPr>
          <w:rFonts w:cs="Times New Roman"/>
          <w:szCs w:val="24"/>
        </w:rPr>
        <w:t xml:space="preserve"> on a weekly basis</w:t>
      </w:r>
      <w:r w:rsidR="00F647C3">
        <w:rPr>
          <w:rFonts w:cs="Times New Roman"/>
          <w:szCs w:val="24"/>
        </w:rPr>
        <w:t xml:space="preserve">. </w:t>
      </w:r>
      <w:r w:rsidR="00DC2212">
        <w:rPr>
          <w:rFonts w:cs="Times New Roman"/>
          <w:szCs w:val="24"/>
        </w:rPr>
        <w:t>A</w:t>
      </w:r>
      <w:r w:rsidR="009B37B8">
        <w:rPr>
          <w:rFonts w:cs="Times New Roman"/>
          <w:szCs w:val="24"/>
        </w:rPr>
        <w:t xml:space="preserve"> survey </w:t>
      </w:r>
      <w:r w:rsidR="0078106E">
        <w:t>commissioned by the d</w:t>
      </w:r>
      <w:r w:rsidR="007651B6" w:rsidRPr="009E2A7B">
        <w:t>epartment</w:t>
      </w:r>
      <w:r w:rsidR="009B37B8">
        <w:t xml:space="preserve"> </w:t>
      </w:r>
      <w:r w:rsidR="007651B6" w:rsidRPr="00F647C3">
        <w:rPr>
          <w:rFonts w:cs="Times New Roman"/>
          <w:szCs w:val="24"/>
        </w:rPr>
        <w:t>i</w:t>
      </w:r>
      <w:r w:rsidRPr="00F647C3">
        <w:rPr>
          <w:rFonts w:cs="Times New Roman"/>
          <w:szCs w:val="24"/>
        </w:rPr>
        <w:t>n 202</w:t>
      </w:r>
      <w:r w:rsidR="00FB124E">
        <w:rPr>
          <w:rFonts w:cs="Times New Roman"/>
          <w:szCs w:val="24"/>
        </w:rPr>
        <w:t>1</w:t>
      </w:r>
      <w:r w:rsidR="00DC2212">
        <w:rPr>
          <w:rFonts w:cs="Times New Roman"/>
          <w:szCs w:val="24"/>
        </w:rPr>
        <w:t xml:space="preserve"> found that </w:t>
      </w:r>
      <w:r w:rsidR="00C76C79">
        <w:t>44 per cent</w:t>
      </w:r>
      <w:r w:rsidRPr="00E67073">
        <w:t xml:space="preserve"> of Australian adults consumed sports content in the seven days prior to the survey</w:t>
      </w:r>
      <w:r>
        <w:t xml:space="preserve">, a </w:t>
      </w:r>
      <w:r w:rsidRPr="00E67073">
        <w:t xml:space="preserve">similar proportion </w:t>
      </w:r>
      <w:r>
        <w:t>to</w:t>
      </w:r>
      <w:r w:rsidRPr="00E67073">
        <w:t xml:space="preserve"> 2020.</w:t>
      </w:r>
      <w:r w:rsidR="007651B6" w:rsidRPr="005C24A7">
        <w:rPr>
          <w:rFonts w:cs="Times New Roman"/>
          <w:szCs w:val="24"/>
          <w:vertAlign w:val="superscript"/>
        </w:rPr>
        <w:footnoteReference w:id="33"/>
      </w:r>
      <w:r w:rsidR="00C76C79">
        <w:t xml:space="preserve"> </w:t>
      </w:r>
      <w:r w:rsidRPr="00D3584B">
        <w:rPr>
          <w:rFonts w:cs="Times New Roman"/>
          <w:szCs w:val="24"/>
        </w:rPr>
        <w:t>In comparison, 95</w:t>
      </w:r>
      <w:r w:rsidR="002F573A" w:rsidRPr="00D3584B">
        <w:rPr>
          <w:rFonts w:cs="Times New Roman"/>
          <w:szCs w:val="24"/>
        </w:rPr>
        <w:t xml:space="preserve"> per cent</w:t>
      </w:r>
      <w:r w:rsidRPr="00D3584B">
        <w:rPr>
          <w:rFonts w:cs="Times New Roman"/>
          <w:szCs w:val="24"/>
        </w:rPr>
        <w:t xml:space="preserve"> of Australian adu</w:t>
      </w:r>
      <w:r w:rsidRPr="004A3B4A">
        <w:rPr>
          <w:rFonts w:cs="Times New Roman"/>
          <w:szCs w:val="24"/>
        </w:rPr>
        <w:t>lts consume news at least once per week</w:t>
      </w:r>
      <w:r w:rsidR="009E5BB9" w:rsidRPr="004A3B4A">
        <w:rPr>
          <w:rFonts w:cs="Times New Roman"/>
          <w:szCs w:val="24"/>
        </w:rPr>
        <w:t>.</w:t>
      </w:r>
      <w:r w:rsidR="009E5BB9" w:rsidRPr="005C24A7">
        <w:rPr>
          <w:vertAlign w:val="superscript"/>
        </w:rPr>
        <w:footnoteReference w:id="34"/>
      </w:r>
      <w:r w:rsidR="009E5BB9" w:rsidRPr="00D3584B">
        <w:rPr>
          <w:rFonts w:cs="Times New Roman"/>
          <w:szCs w:val="24"/>
        </w:rPr>
        <w:t xml:space="preserve"> </w:t>
      </w:r>
      <w:r w:rsidR="009E5BB9" w:rsidRPr="004A3B4A">
        <w:rPr>
          <w:rFonts w:cs="Times New Roman"/>
          <w:szCs w:val="24"/>
        </w:rPr>
        <w:t>While 42</w:t>
      </w:r>
      <w:r w:rsidR="005C24A7" w:rsidRPr="004A3B4A">
        <w:rPr>
          <w:rFonts w:cs="Times New Roman"/>
          <w:szCs w:val="24"/>
        </w:rPr>
        <w:t xml:space="preserve"> per cent</w:t>
      </w:r>
      <w:r w:rsidR="009E5BB9" w:rsidRPr="00FF3BFF">
        <w:rPr>
          <w:rFonts w:cs="Times New Roman"/>
          <w:szCs w:val="24"/>
        </w:rPr>
        <w:t xml:space="preserve"> of viewers stated they typically watch </w:t>
      </w:r>
      <w:r w:rsidR="0078106E" w:rsidRPr="00FF3BFF">
        <w:rPr>
          <w:rFonts w:cs="Times New Roman"/>
          <w:szCs w:val="24"/>
        </w:rPr>
        <w:t>n</w:t>
      </w:r>
      <w:r w:rsidR="009E5BB9" w:rsidRPr="00FF3BFF">
        <w:rPr>
          <w:rFonts w:cs="Times New Roman"/>
          <w:szCs w:val="24"/>
        </w:rPr>
        <w:t xml:space="preserve">ews and </w:t>
      </w:r>
      <w:r w:rsidR="0078106E" w:rsidRPr="00FF3BFF">
        <w:rPr>
          <w:rFonts w:cs="Times New Roman"/>
          <w:szCs w:val="24"/>
        </w:rPr>
        <w:t>c</w:t>
      </w:r>
      <w:r w:rsidR="009E5BB9" w:rsidRPr="00FF3BFF">
        <w:rPr>
          <w:rFonts w:cs="Times New Roman"/>
          <w:szCs w:val="24"/>
        </w:rPr>
        <w:t xml:space="preserve">urrent </w:t>
      </w:r>
      <w:r w:rsidR="0078106E" w:rsidRPr="00FF3BFF">
        <w:rPr>
          <w:rFonts w:cs="Times New Roman"/>
          <w:szCs w:val="24"/>
        </w:rPr>
        <w:t>a</w:t>
      </w:r>
      <w:r w:rsidR="009E5BB9" w:rsidRPr="00FF3BFF">
        <w:rPr>
          <w:rFonts w:cs="Times New Roman"/>
          <w:szCs w:val="24"/>
        </w:rPr>
        <w:t xml:space="preserve">ffairs on commercial free-to-air </w:t>
      </w:r>
      <w:r w:rsidR="0078106E" w:rsidRPr="00CD2011">
        <w:rPr>
          <w:rFonts w:cs="Times New Roman"/>
          <w:szCs w:val="24"/>
        </w:rPr>
        <w:t>television</w:t>
      </w:r>
      <w:r w:rsidR="009E5BB9" w:rsidRPr="00FA37BC">
        <w:rPr>
          <w:rFonts w:cs="Times New Roman"/>
          <w:szCs w:val="24"/>
        </w:rPr>
        <w:t>, only 2</w:t>
      </w:r>
      <w:r w:rsidR="00D16804" w:rsidRPr="00FA37BC">
        <w:rPr>
          <w:rFonts w:cs="Times New Roman"/>
          <w:szCs w:val="24"/>
        </w:rPr>
        <w:t>3</w:t>
      </w:r>
      <w:r w:rsidR="005C24A7" w:rsidRPr="00A519AC">
        <w:rPr>
          <w:rFonts w:cs="Times New Roman"/>
          <w:szCs w:val="24"/>
        </w:rPr>
        <w:t xml:space="preserve"> per cent</w:t>
      </w:r>
      <w:r w:rsidR="00D16804" w:rsidRPr="00A519AC">
        <w:rPr>
          <w:rFonts w:cs="Times New Roman"/>
          <w:szCs w:val="24"/>
        </w:rPr>
        <w:t xml:space="preserve"> said they typically watch </w:t>
      </w:r>
      <w:r w:rsidR="0078106E" w:rsidRPr="00A519AC">
        <w:rPr>
          <w:rFonts w:cs="Times New Roman"/>
          <w:szCs w:val="24"/>
        </w:rPr>
        <w:t>s</w:t>
      </w:r>
      <w:r w:rsidR="00D16804" w:rsidRPr="00A519AC">
        <w:rPr>
          <w:rFonts w:cs="Times New Roman"/>
          <w:szCs w:val="24"/>
        </w:rPr>
        <w:t>port.</w:t>
      </w:r>
      <w:r w:rsidR="00D16804" w:rsidRPr="005C24A7">
        <w:rPr>
          <w:vertAlign w:val="superscript"/>
        </w:rPr>
        <w:footnoteReference w:id="35"/>
      </w:r>
    </w:p>
    <w:p w14:paraId="679E023B" w14:textId="77777777" w:rsidR="00866791" w:rsidRDefault="00866791" w:rsidP="007864C3">
      <w:pPr>
        <w:shd w:val="clear" w:color="auto" w:fill="FFFFFF"/>
        <w:textAlignment w:val="baseline"/>
        <w:rPr>
          <w:rFonts w:cs="Times New Roman"/>
          <w:szCs w:val="24"/>
        </w:rPr>
      </w:pPr>
    </w:p>
    <w:p w14:paraId="48D4C07B" w14:textId="78D117AF" w:rsidR="00305312" w:rsidRPr="00CD622B" w:rsidRDefault="00B3647A" w:rsidP="00B22819">
      <w:pPr>
        <w:pStyle w:val="Heading2"/>
      </w:pPr>
      <w:bookmarkStart w:id="155" w:name="_Toc112233674"/>
      <w:bookmarkStart w:id="156" w:name="_Toc112326017"/>
      <w:bookmarkStart w:id="157" w:name="_Toc113028186"/>
      <w:bookmarkStart w:id="158" w:name="_Toc113361265"/>
      <w:bookmarkStart w:id="159" w:name="_Toc114476244"/>
      <w:bookmarkStart w:id="160" w:name="_Toc114487291"/>
      <w:bookmarkStart w:id="161" w:name="_Toc116046025"/>
      <w:bookmarkStart w:id="162" w:name="_Toc116061403"/>
      <w:bookmarkStart w:id="163" w:name="_Toc116292942"/>
      <w:r>
        <w:lastRenderedPageBreak/>
        <w:t xml:space="preserve">Sport </w:t>
      </w:r>
      <w:r w:rsidR="002F573A">
        <w:t>remains an</w:t>
      </w:r>
      <w:r>
        <w:t xml:space="preserve"> important genre for broadcasters</w:t>
      </w:r>
      <w:bookmarkEnd w:id="155"/>
      <w:bookmarkEnd w:id="156"/>
      <w:bookmarkEnd w:id="157"/>
      <w:bookmarkEnd w:id="158"/>
      <w:bookmarkEnd w:id="159"/>
      <w:bookmarkEnd w:id="160"/>
      <w:bookmarkEnd w:id="161"/>
      <w:bookmarkEnd w:id="162"/>
      <w:bookmarkEnd w:id="163"/>
    </w:p>
    <w:p w14:paraId="586B772F" w14:textId="17A689D8" w:rsidR="003A4041" w:rsidRPr="00D462A8" w:rsidRDefault="008A3ED5" w:rsidP="005C24A7">
      <w:pPr>
        <w:rPr>
          <w:rFonts w:cs="Times New Roman"/>
          <w:szCs w:val="24"/>
        </w:rPr>
      </w:pPr>
      <w:r>
        <w:rPr>
          <w:iCs/>
        </w:rPr>
        <w:t xml:space="preserve">As noted above, </w:t>
      </w:r>
      <w:r>
        <w:rPr>
          <w:rFonts w:cs="Times New Roman"/>
          <w:szCs w:val="24"/>
        </w:rPr>
        <w:t>s</w:t>
      </w:r>
      <w:r w:rsidR="00F444C9" w:rsidRPr="00D462A8">
        <w:rPr>
          <w:rFonts w:cs="Times New Roman"/>
          <w:szCs w:val="24"/>
        </w:rPr>
        <w:t>port</w:t>
      </w:r>
      <w:r w:rsidR="003A4041">
        <w:rPr>
          <w:rFonts w:cs="Times New Roman"/>
          <w:szCs w:val="24"/>
        </w:rPr>
        <w:t xml:space="preserve"> is </w:t>
      </w:r>
      <w:r w:rsidR="00F444C9" w:rsidRPr="00D462A8">
        <w:rPr>
          <w:rFonts w:cs="Times New Roman"/>
          <w:szCs w:val="24"/>
        </w:rPr>
        <w:t xml:space="preserve">one of the few remaining genres of programming </w:t>
      </w:r>
      <w:r w:rsidR="00F444C9" w:rsidRPr="00215A13">
        <w:rPr>
          <w:rFonts w:cs="Times New Roman"/>
          <w:szCs w:val="24"/>
        </w:rPr>
        <w:t xml:space="preserve">where broadcasters </w:t>
      </w:r>
      <w:r w:rsidR="005F5576">
        <w:rPr>
          <w:rFonts w:cs="Times New Roman"/>
          <w:szCs w:val="24"/>
        </w:rPr>
        <w:t>ha</w:t>
      </w:r>
      <w:r w:rsidR="007D4417">
        <w:rPr>
          <w:rFonts w:cs="Times New Roman"/>
          <w:szCs w:val="24"/>
        </w:rPr>
        <w:t>ve</w:t>
      </w:r>
      <w:r w:rsidR="005F5576">
        <w:rPr>
          <w:rFonts w:cs="Times New Roman"/>
          <w:szCs w:val="24"/>
        </w:rPr>
        <w:t xml:space="preserve"> been able to maintain and (in some cases) grow their audiences. </w:t>
      </w:r>
      <w:r w:rsidR="00F444C9">
        <w:rPr>
          <w:rFonts w:cs="Times New Roman"/>
          <w:szCs w:val="24"/>
        </w:rPr>
        <w:t>Sport accounted for t</w:t>
      </w:r>
      <w:r w:rsidR="00F444C9" w:rsidRPr="00D462A8">
        <w:rPr>
          <w:rFonts w:cs="Times New Roman"/>
          <w:szCs w:val="24"/>
        </w:rPr>
        <w:t xml:space="preserve">wo thirds of the top 50 rating programs on free-to-air television in 2021, and </w:t>
      </w:r>
      <w:r w:rsidR="00E73B13">
        <w:rPr>
          <w:rFonts w:cs="Times New Roman"/>
          <w:szCs w:val="24"/>
        </w:rPr>
        <w:t xml:space="preserve">all but one of the top ten programs in the same year, as set out in </w:t>
      </w:r>
      <w:r w:rsidR="003A4041">
        <w:rPr>
          <w:rFonts w:cs="Times New Roman"/>
          <w:szCs w:val="24"/>
        </w:rPr>
        <w:t xml:space="preserve">Table </w:t>
      </w:r>
      <w:r w:rsidR="002C24CD">
        <w:rPr>
          <w:rFonts w:cs="Times New Roman"/>
          <w:szCs w:val="24"/>
        </w:rPr>
        <w:t>2</w:t>
      </w:r>
      <w:r w:rsidR="003A4041">
        <w:rPr>
          <w:rFonts w:cs="Times New Roman"/>
          <w:szCs w:val="24"/>
        </w:rPr>
        <w:t>.</w:t>
      </w:r>
    </w:p>
    <w:p w14:paraId="36416797" w14:textId="6FE6DA44" w:rsidR="00F444C9" w:rsidRDefault="00F444C9" w:rsidP="00721D6F">
      <w:pPr>
        <w:pStyle w:val="Caption"/>
        <w:spacing w:before="120"/>
      </w:pPr>
      <w:bookmarkStart w:id="164" w:name="_Toc112235048"/>
      <w:bookmarkStart w:id="165" w:name="_Toc114487431"/>
      <w:r w:rsidRPr="00DA3D36">
        <w:t xml:space="preserve">Table </w:t>
      </w:r>
      <w:r w:rsidR="002C24CD">
        <w:t>2</w:t>
      </w:r>
      <w:r w:rsidRPr="00DA3D36">
        <w:t>: 10 most popular programs on free-to-air television in 20</w:t>
      </w:r>
      <w:r>
        <w:t>21 (metro areas)</w:t>
      </w:r>
      <w:bookmarkEnd w:id="164"/>
      <w:bookmarkEnd w:id="165"/>
    </w:p>
    <w:tbl>
      <w:tblPr>
        <w:tblStyle w:val="DefaultTable1"/>
        <w:tblW w:w="10016" w:type="dxa"/>
        <w:tblLook w:val="04E0" w:firstRow="1" w:lastRow="1" w:firstColumn="1" w:lastColumn="0" w:noHBand="0" w:noVBand="1"/>
        <w:tblCaption w:val="Sample table"/>
        <w:tblDescription w:val="Sample table"/>
      </w:tblPr>
      <w:tblGrid>
        <w:gridCol w:w="1418"/>
        <w:gridCol w:w="6520"/>
        <w:gridCol w:w="2078"/>
      </w:tblGrid>
      <w:tr w:rsidR="00953482" w14:paraId="30A8233A" w14:textId="77777777" w:rsidTr="00A03D2F">
        <w:trPr>
          <w:cnfStyle w:val="100000000000" w:firstRow="1" w:lastRow="0" w:firstColumn="0" w:lastColumn="0" w:oddVBand="0" w:evenVBand="0" w:oddHBand="0"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1418" w:type="dxa"/>
          </w:tcPr>
          <w:p w14:paraId="55CF5B03" w14:textId="58892537" w:rsidR="00953482" w:rsidRDefault="00953482" w:rsidP="009D46D2">
            <w:r>
              <w:t>Rank</w:t>
            </w:r>
          </w:p>
        </w:tc>
        <w:tc>
          <w:tcPr>
            <w:tcW w:w="6520" w:type="dxa"/>
          </w:tcPr>
          <w:p w14:paraId="0EE3721C" w14:textId="79DB0B3F" w:rsidR="00953482" w:rsidRDefault="00953482" w:rsidP="009D46D2">
            <w:pPr>
              <w:cnfStyle w:val="100000000000" w:firstRow="1" w:lastRow="0" w:firstColumn="0" w:lastColumn="0" w:oddVBand="0" w:evenVBand="0" w:oddHBand="0" w:evenHBand="0" w:firstRowFirstColumn="0" w:firstRowLastColumn="0" w:lastRowFirstColumn="0" w:lastRowLastColumn="0"/>
            </w:pPr>
            <w:r>
              <w:t>Program</w:t>
            </w:r>
          </w:p>
        </w:tc>
        <w:tc>
          <w:tcPr>
            <w:tcW w:w="2078" w:type="dxa"/>
          </w:tcPr>
          <w:p w14:paraId="469D64DA" w14:textId="3F704DE6" w:rsidR="00953482" w:rsidRDefault="00953482" w:rsidP="009D46D2">
            <w:pPr>
              <w:cnfStyle w:val="100000000000" w:firstRow="1" w:lastRow="0" w:firstColumn="0" w:lastColumn="0" w:oddVBand="0" w:evenVBand="0" w:oddHBand="0" w:evenHBand="0" w:firstRowFirstColumn="0" w:firstRowLastColumn="0" w:lastRowFirstColumn="0" w:lastRowLastColumn="0"/>
            </w:pPr>
            <w:r>
              <w:t>Audience (</w:t>
            </w:r>
            <w:r w:rsidR="008B4E39">
              <w:t xml:space="preserve">thousand </w:t>
            </w:r>
            <w:r>
              <w:t>viewers)</w:t>
            </w:r>
          </w:p>
        </w:tc>
      </w:tr>
      <w:tr w:rsidR="00953482" w14:paraId="1B3C162E" w14:textId="77777777" w:rsidTr="00A03D2F">
        <w:trPr>
          <w:trHeight w:val="448"/>
        </w:trPr>
        <w:tc>
          <w:tcPr>
            <w:cnfStyle w:val="001000000000" w:firstRow="0" w:lastRow="0" w:firstColumn="1" w:lastColumn="0" w:oddVBand="0" w:evenVBand="0" w:oddHBand="0" w:evenHBand="0" w:firstRowFirstColumn="0" w:firstRowLastColumn="0" w:lastRowFirstColumn="0" w:lastRowLastColumn="0"/>
            <w:tcW w:w="1418" w:type="dxa"/>
          </w:tcPr>
          <w:p w14:paraId="3D5C34B9" w14:textId="31893840" w:rsidR="00953482" w:rsidRDefault="00953482" w:rsidP="009409CA">
            <w:pPr>
              <w:spacing w:before="60" w:after="60"/>
            </w:pPr>
            <w:r>
              <w:t>1</w:t>
            </w:r>
          </w:p>
        </w:tc>
        <w:tc>
          <w:tcPr>
            <w:tcW w:w="6520" w:type="dxa"/>
          </w:tcPr>
          <w:p w14:paraId="155F7015" w14:textId="77BC8C9A" w:rsidR="00953482" w:rsidRDefault="00953482" w:rsidP="009409CA">
            <w:pPr>
              <w:spacing w:before="60" w:after="60"/>
              <w:cnfStyle w:val="000000000000" w:firstRow="0" w:lastRow="0" w:firstColumn="0" w:lastColumn="0" w:oddVBand="0" w:evenVBand="0" w:oddHBand="0" w:evenHBand="0" w:firstRowFirstColumn="0" w:firstRowLastColumn="0" w:lastRowFirstColumn="0" w:lastRowLastColumn="0"/>
            </w:pPr>
            <w:r w:rsidRPr="00953482">
              <w:t>S</w:t>
            </w:r>
            <w:r w:rsidR="005A56D8">
              <w:t xml:space="preserve">even’s </w:t>
            </w:r>
            <w:r w:rsidRPr="00953482">
              <w:t>AFL: G</w:t>
            </w:r>
            <w:r w:rsidR="005A56D8">
              <w:t>rand Final: Melbourne V Western Bulldogs</w:t>
            </w:r>
          </w:p>
        </w:tc>
        <w:tc>
          <w:tcPr>
            <w:tcW w:w="2078" w:type="dxa"/>
            <w:vAlign w:val="center"/>
          </w:tcPr>
          <w:p w14:paraId="095B8510" w14:textId="087574D7" w:rsidR="00953482" w:rsidRDefault="00953482" w:rsidP="009409CA">
            <w:pPr>
              <w:spacing w:before="60" w:after="60"/>
              <w:cnfStyle w:val="000000000000" w:firstRow="0" w:lastRow="0" w:firstColumn="0" w:lastColumn="0" w:oddVBand="0" w:evenVBand="0" w:oddHBand="0" w:evenHBand="0" w:firstRowFirstColumn="0" w:firstRowLastColumn="0" w:lastRowFirstColumn="0" w:lastRowLastColumn="0"/>
            </w:pPr>
            <w:r w:rsidRPr="00953482">
              <w:t>3,042</w:t>
            </w:r>
          </w:p>
        </w:tc>
      </w:tr>
      <w:tr w:rsidR="00953482" w14:paraId="44442D30" w14:textId="77777777" w:rsidTr="00A03D2F">
        <w:trPr>
          <w:cnfStyle w:val="000000010000" w:firstRow="0" w:lastRow="0" w:firstColumn="0" w:lastColumn="0" w:oddVBand="0" w:evenVBand="0" w:oddHBand="0" w:evenHBand="1" w:firstRowFirstColumn="0" w:firstRowLastColumn="0" w:lastRowFirstColumn="0" w:lastRowLastColumn="0"/>
          <w:trHeight w:val="433"/>
        </w:trPr>
        <w:tc>
          <w:tcPr>
            <w:cnfStyle w:val="001000000000" w:firstRow="0" w:lastRow="0" w:firstColumn="1" w:lastColumn="0" w:oddVBand="0" w:evenVBand="0" w:oddHBand="0" w:evenHBand="0" w:firstRowFirstColumn="0" w:firstRowLastColumn="0" w:lastRowFirstColumn="0" w:lastRowLastColumn="0"/>
            <w:tcW w:w="1418" w:type="dxa"/>
          </w:tcPr>
          <w:p w14:paraId="6B2BACD0" w14:textId="65FE526C" w:rsidR="00953482" w:rsidRDefault="00953482" w:rsidP="009409CA">
            <w:pPr>
              <w:spacing w:before="60" w:after="60"/>
            </w:pPr>
            <w:r>
              <w:t>2</w:t>
            </w:r>
          </w:p>
        </w:tc>
        <w:tc>
          <w:tcPr>
            <w:tcW w:w="6520" w:type="dxa"/>
          </w:tcPr>
          <w:p w14:paraId="05919A0F" w14:textId="2A339FDD" w:rsidR="00953482" w:rsidRDefault="00953482" w:rsidP="009409CA">
            <w:pPr>
              <w:spacing w:before="60" w:after="60"/>
              <w:cnfStyle w:val="000000010000" w:firstRow="0" w:lastRow="0" w:firstColumn="0" w:lastColumn="0" w:oddVBand="0" w:evenVBand="0" w:oddHBand="0" w:evenHBand="1" w:firstRowFirstColumn="0" w:firstRowLastColumn="0" w:lastRowFirstColumn="0" w:lastRowLastColumn="0"/>
            </w:pPr>
            <w:r w:rsidRPr="00953482">
              <w:t>S</w:t>
            </w:r>
            <w:r w:rsidR="005A56D8">
              <w:t>even’s</w:t>
            </w:r>
            <w:r w:rsidRPr="00953482">
              <w:t xml:space="preserve"> AFL: G</w:t>
            </w:r>
            <w:r w:rsidR="005A56D8">
              <w:t>rand Final</w:t>
            </w:r>
            <w:r w:rsidRPr="00953482">
              <w:t>: P</w:t>
            </w:r>
            <w:r w:rsidR="005A56D8">
              <w:t>resentations</w:t>
            </w:r>
          </w:p>
        </w:tc>
        <w:tc>
          <w:tcPr>
            <w:tcW w:w="2078" w:type="dxa"/>
            <w:vAlign w:val="center"/>
          </w:tcPr>
          <w:p w14:paraId="3DCFD38B" w14:textId="543A6D94" w:rsidR="00953482" w:rsidRDefault="00953482" w:rsidP="009409CA">
            <w:pPr>
              <w:spacing w:before="60" w:after="60"/>
              <w:cnfStyle w:val="000000010000" w:firstRow="0" w:lastRow="0" w:firstColumn="0" w:lastColumn="0" w:oddVBand="0" w:evenVBand="0" w:oddHBand="0" w:evenHBand="1" w:firstRowFirstColumn="0" w:firstRowLastColumn="0" w:lastRowFirstColumn="0" w:lastRowLastColumn="0"/>
            </w:pPr>
            <w:r w:rsidRPr="00953482">
              <w:t>2,711</w:t>
            </w:r>
          </w:p>
        </w:tc>
      </w:tr>
      <w:tr w:rsidR="00953482" w14:paraId="0891EFFF" w14:textId="77777777" w:rsidTr="00A03D2F">
        <w:trPr>
          <w:trHeight w:val="433"/>
        </w:trPr>
        <w:tc>
          <w:tcPr>
            <w:cnfStyle w:val="001000000000" w:firstRow="0" w:lastRow="0" w:firstColumn="1" w:lastColumn="0" w:oddVBand="0" w:evenVBand="0" w:oddHBand="0" w:evenHBand="0" w:firstRowFirstColumn="0" w:firstRowLastColumn="0" w:lastRowFirstColumn="0" w:lastRowLastColumn="0"/>
            <w:tcW w:w="1418" w:type="dxa"/>
          </w:tcPr>
          <w:p w14:paraId="06866195" w14:textId="510D22F4" w:rsidR="00953482" w:rsidRDefault="00953482" w:rsidP="009409CA">
            <w:pPr>
              <w:spacing w:before="60" w:after="60"/>
            </w:pPr>
            <w:r>
              <w:t>3</w:t>
            </w:r>
          </w:p>
        </w:tc>
        <w:tc>
          <w:tcPr>
            <w:tcW w:w="6520" w:type="dxa"/>
            <w:vAlign w:val="center"/>
          </w:tcPr>
          <w:p w14:paraId="6C5A4E1E" w14:textId="40191A3B" w:rsidR="00953482" w:rsidRDefault="00953482" w:rsidP="009409CA">
            <w:pPr>
              <w:spacing w:before="60" w:after="60"/>
              <w:cnfStyle w:val="000000000000" w:firstRow="0" w:lastRow="0" w:firstColumn="0" w:lastColumn="0" w:oddVBand="0" w:evenVBand="0" w:oddHBand="0" w:evenHBand="0" w:firstRowFirstColumn="0" w:firstRowLastColumn="0" w:lastRowFirstColumn="0" w:lastRowLastColumn="0"/>
            </w:pPr>
            <w:r w:rsidRPr="00953482">
              <w:t>T</w:t>
            </w:r>
            <w:r w:rsidR="005A56D8">
              <w:t>okyo</w:t>
            </w:r>
            <w:r w:rsidRPr="00953482">
              <w:t xml:space="preserve"> 2020 O</w:t>
            </w:r>
            <w:r w:rsidR="005A56D8">
              <w:t>lympic</w:t>
            </w:r>
            <w:r w:rsidRPr="00953482">
              <w:t xml:space="preserve"> G</w:t>
            </w:r>
            <w:r w:rsidR="005A56D8">
              <w:t>ames</w:t>
            </w:r>
            <w:r w:rsidRPr="00953482">
              <w:t>: O</w:t>
            </w:r>
            <w:r w:rsidR="005A56D8">
              <w:t>pening Ceremony</w:t>
            </w:r>
          </w:p>
        </w:tc>
        <w:tc>
          <w:tcPr>
            <w:tcW w:w="2078" w:type="dxa"/>
            <w:vAlign w:val="center"/>
          </w:tcPr>
          <w:p w14:paraId="5F73CF8E" w14:textId="484832AD" w:rsidR="00953482" w:rsidRDefault="00953482" w:rsidP="009409CA">
            <w:pPr>
              <w:spacing w:before="60" w:after="60"/>
              <w:cnfStyle w:val="000000000000" w:firstRow="0" w:lastRow="0" w:firstColumn="0" w:lastColumn="0" w:oddVBand="0" w:evenVBand="0" w:oddHBand="0" w:evenHBand="0" w:firstRowFirstColumn="0" w:firstRowLastColumn="0" w:lastRowFirstColumn="0" w:lastRowLastColumn="0"/>
            </w:pPr>
            <w:r w:rsidRPr="00953482">
              <w:t>2,654</w:t>
            </w:r>
          </w:p>
        </w:tc>
      </w:tr>
      <w:tr w:rsidR="00953482" w14:paraId="059477C3" w14:textId="77777777" w:rsidTr="00A03D2F">
        <w:trPr>
          <w:cnfStyle w:val="000000010000" w:firstRow="0" w:lastRow="0" w:firstColumn="0" w:lastColumn="0" w:oddVBand="0" w:evenVBand="0" w:oddHBand="0" w:evenHBand="1" w:firstRowFirstColumn="0" w:firstRowLastColumn="0" w:lastRowFirstColumn="0" w:lastRowLastColumn="0"/>
          <w:trHeight w:val="433"/>
        </w:trPr>
        <w:tc>
          <w:tcPr>
            <w:cnfStyle w:val="001000000000" w:firstRow="0" w:lastRow="0" w:firstColumn="1" w:lastColumn="0" w:oddVBand="0" w:evenVBand="0" w:oddHBand="0" w:evenHBand="0" w:firstRowFirstColumn="0" w:firstRowLastColumn="0" w:lastRowFirstColumn="0" w:lastRowLastColumn="0"/>
            <w:tcW w:w="1418" w:type="dxa"/>
          </w:tcPr>
          <w:p w14:paraId="3BFE4FF7" w14:textId="421FCBCF" w:rsidR="00953482" w:rsidRDefault="00953482" w:rsidP="009409CA">
            <w:pPr>
              <w:spacing w:before="60" w:after="60"/>
            </w:pPr>
            <w:r>
              <w:t>4</w:t>
            </w:r>
          </w:p>
        </w:tc>
        <w:tc>
          <w:tcPr>
            <w:tcW w:w="6520" w:type="dxa"/>
          </w:tcPr>
          <w:p w14:paraId="264E91C5" w14:textId="06684C56" w:rsidR="00953482" w:rsidRDefault="00953482" w:rsidP="009409CA">
            <w:pPr>
              <w:spacing w:before="60" w:after="60"/>
              <w:cnfStyle w:val="000000010000" w:firstRow="0" w:lastRow="0" w:firstColumn="0" w:lastColumn="0" w:oddVBand="0" w:evenVBand="0" w:oddHBand="0" w:evenHBand="1" w:firstRowFirstColumn="0" w:firstRowLastColumn="0" w:lastRowFirstColumn="0" w:lastRowLastColumn="0"/>
            </w:pPr>
            <w:r w:rsidRPr="00953482">
              <w:t>S</w:t>
            </w:r>
            <w:r w:rsidR="005A56D8">
              <w:t>even’s</w:t>
            </w:r>
            <w:r w:rsidRPr="00953482">
              <w:t xml:space="preserve"> AFL: G</w:t>
            </w:r>
            <w:r w:rsidR="005A56D8">
              <w:t>rand Final</w:t>
            </w:r>
            <w:r w:rsidRPr="00953482">
              <w:t>: O</w:t>
            </w:r>
            <w:r w:rsidR="005A56D8">
              <w:t>n</w:t>
            </w:r>
            <w:r w:rsidRPr="00953482">
              <w:t xml:space="preserve"> T</w:t>
            </w:r>
            <w:r w:rsidR="005A56D8">
              <w:t>he</w:t>
            </w:r>
            <w:r w:rsidRPr="00953482">
              <w:t xml:space="preserve"> G</w:t>
            </w:r>
            <w:r w:rsidR="005A56D8">
              <w:t>round</w:t>
            </w:r>
          </w:p>
        </w:tc>
        <w:tc>
          <w:tcPr>
            <w:tcW w:w="2078" w:type="dxa"/>
            <w:vAlign w:val="center"/>
          </w:tcPr>
          <w:p w14:paraId="2F3B00A5" w14:textId="3E8A2E18" w:rsidR="00953482" w:rsidRDefault="00953482" w:rsidP="009409CA">
            <w:pPr>
              <w:spacing w:before="60" w:after="60"/>
              <w:cnfStyle w:val="000000010000" w:firstRow="0" w:lastRow="0" w:firstColumn="0" w:lastColumn="0" w:oddVBand="0" w:evenVBand="0" w:oddHBand="0" w:evenHBand="1" w:firstRowFirstColumn="0" w:firstRowLastColumn="0" w:lastRowFirstColumn="0" w:lastRowLastColumn="0"/>
            </w:pPr>
            <w:r w:rsidRPr="00953482">
              <w:t>2,278</w:t>
            </w:r>
          </w:p>
        </w:tc>
      </w:tr>
      <w:tr w:rsidR="00953482" w14:paraId="2290113C" w14:textId="77777777" w:rsidTr="00A03D2F">
        <w:trPr>
          <w:trHeight w:val="433"/>
        </w:trPr>
        <w:tc>
          <w:tcPr>
            <w:cnfStyle w:val="001000000000" w:firstRow="0" w:lastRow="0" w:firstColumn="1" w:lastColumn="0" w:oddVBand="0" w:evenVBand="0" w:oddHBand="0" w:evenHBand="0" w:firstRowFirstColumn="0" w:firstRowLastColumn="0" w:lastRowFirstColumn="0" w:lastRowLastColumn="0"/>
            <w:tcW w:w="1418" w:type="dxa"/>
          </w:tcPr>
          <w:p w14:paraId="514EE220" w14:textId="7A3A5206" w:rsidR="00953482" w:rsidRDefault="00953482" w:rsidP="009409CA">
            <w:pPr>
              <w:spacing w:before="60" w:after="60"/>
            </w:pPr>
            <w:r>
              <w:t>5</w:t>
            </w:r>
          </w:p>
        </w:tc>
        <w:tc>
          <w:tcPr>
            <w:tcW w:w="6520" w:type="dxa"/>
          </w:tcPr>
          <w:p w14:paraId="5A45C5AF" w14:textId="429028D5" w:rsidR="00953482" w:rsidRDefault="00953482" w:rsidP="009409CA">
            <w:pPr>
              <w:spacing w:before="60" w:after="60"/>
              <w:cnfStyle w:val="000000000000" w:firstRow="0" w:lastRow="0" w:firstColumn="0" w:lastColumn="0" w:oddVBand="0" w:evenVBand="0" w:oddHBand="0" w:evenHBand="0" w:firstRowFirstColumn="0" w:firstRowLastColumn="0" w:lastRowFirstColumn="0" w:lastRowLastColumn="0"/>
            </w:pPr>
            <w:r w:rsidRPr="00953482">
              <w:t>NRL G</w:t>
            </w:r>
            <w:r w:rsidR="005A56D8">
              <w:t>rand Final Day</w:t>
            </w:r>
            <w:r w:rsidR="00C566DA">
              <w:t>:</w:t>
            </w:r>
            <w:r w:rsidR="005A56D8">
              <w:t xml:space="preserve"> Match</w:t>
            </w:r>
          </w:p>
        </w:tc>
        <w:tc>
          <w:tcPr>
            <w:tcW w:w="2078" w:type="dxa"/>
            <w:vAlign w:val="center"/>
          </w:tcPr>
          <w:p w14:paraId="41BD9F2B" w14:textId="33CECA8F" w:rsidR="00953482" w:rsidRDefault="00953482" w:rsidP="009409CA">
            <w:pPr>
              <w:spacing w:before="60" w:after="60"/>
              <w:cnfStyle w:val="000000000000" w:firstRow="0" w:lastRow="0" w:firstColumn="0" w:lastColumn="0" w:oddVBand="0" w:evenVBand="0" w:oddHBand="0" w:evenHBand="0" w:firstRowFirstColumn="0" w:firstRowLastColumn="0" w:lastRowFirstColumn="0" w:lastRowLastColumn="0"/>
            </w:pPr>
            <w:r w:rsidRPr="00953482">
              <w:t>2,206</w:t>
            </w:r>
          </w:p>
        </w:tc>
      </w:tr>
      <w:tr w:rsidR="00953482" w14:paraId="646E3636" w14:textId="77777777" w:rsidTr="00A03D2F">
        <w:trPr>
          <w:cnfStyle w:val="000000010000" w:firstRow="0" w:lastRow="0" w:firstColumn="0" w:lastColumn="0" w:oddVBand="0" w:evenVBand="0" w:oddHBand="0" w:evenHBand="1" w:firstRowFirstColumn="0" w:firstRowLastColumn="0" w:lastRowFirstColumn="0" w:lastRowLastColumn="0"/>
          <w:trHeight w:val="433"/>
        </w:trPr>
        <w:tc>
          <w:tcPr>
            <w:cnfStyle w:val="001000000000" w:firstRow="0" w:lastRow="0" w:firstColumn="1" w:lastColumn="0" w:oddVBand="0" w:evenVBand="0" w:oddHBand="0" w:evenHBand="0" w:firstRowFirstColumn="0" w:firstRowLastColumn="0" w:lastRowFirstColumn="0" w:lastRowLastColumn="0"/>
            <w:tcW w:w="1418" w:type="dxa"/>
          </w:tcPr>
          <w:p w14:paraId="21014D74" w14:textId="52D963F7" w:rsidR="00953482" w:rsidRDefault="00953482" w:rsidP="009409CA">
            <w:pPr>
              <w:spacing w:before="60" w:after="60"/>
            </w:pPr>
            <w:r>
              <w:t>6</w:t>
            </w:r>
          </w:p>
        </w:tc>
        <w:tc>
          <w:tcPr>
            <w:tcW w:w="6520" w:type="dxa"/>
            <w:vAlign w:val="center"/>
          </w:tcPr>
          <w:p w14:paraId="4A0515F6" w14:textId="68A1E057" w:rsidR="00953482" w:rsidRDefault="00953482" w:rsidP="009409CA">
            <w:pPr>
              <w:spacing w:before="60" w:after="60"/>
              <w:cnfStyle w:val="000000010000" w:firstRow="0" w:lastRow="0" w:firstColumn="0" w:lastColumn="0" w:oddVBand="0" w:evenVBand="0" w:oddHBand="0" w:evenHBand="1" w:firstRowFirstColumn="0" w:firstRowLastColumn="0" w:lastRowFirstColumn="0" w:lastRowLastColumn="0"/>
            </w:pPr>
            <w:r w:rsidRPr="00953482">
              <w:t>T</w:t>
            </w:r>
            <w:r w:rsidR="005A56D8">
              <w:t xml:space="preserve">okyo </w:t>
            </w:r>
            <w:r w:rsidRPr="00953482">
              <w:t>2020 O</w:t>
            </w:r>
            <w:r w:rsidR="005A56D8">
              <w:t>lympic Games</w:t>
            </w:r>
            <w:r w:rsidRPr="00953482">
              <w:t>: D</w:t>
            </w:r>
            <w:r w:rsidR="005A56D8">
              <w:t>ay</w:t>
            </w:r>
            <w:r w:rsidRPr="00953482">
              <w:t xml:space="preserve"> 9 - N</w:t>
            </w:r>
            <w:r w:rsidR="005A56D8">
              <w:t>ight</w:t>
            </w:r>
          </w:p>
        </w:tc>
        <w:tc>
          <w:tcPr>
            <w:tcW w:w="2078" w:type="dxa"/>
            <w:vAlign w:val="center"/>
          </w:tcPr>
          <w:p w14:paraId="40284866" w14:textId="0345EAEA" w:rsidR="00953482" w:rsidRDefault="00953482" w:rsidP="009409CA">
            <w:pPr>
              <w:spacing w:before="60" w:after="60"/>
              <w:cnfStyle w:val="000000010000" w:firstRow="0" w:lastRow="0" w:firstColumn="0" w:lastColumn="0" w:oddVBand="0" w:evenVBand="0" w:oddHBand="0" w:evenHBand="1" w:firstRowFirstColumn="0" w:firstRowLastColumn="0" w:lastRowFirstColumn="0" w:lastRowLastColumn="0"/>
            </w:pPr>
            <w:r w:rsidRPr="00953482">
              <w:t>2,077</w:t>
            </w:r>
          </w:p>
        </w:tc>
      </w:tr>
      <w:tr w:rsidR="00953482" w14:paraId="45491760" w14:textId="77777777" w:rsidTr="00A03D2F">
        <w:trPr>
          <w:trHeight w:val="433"/>
        </w:trPr>
        <w:tc>
          <w:tcPr>
            <w:cnfStyle w:val="001000000000" w:firstRow="0" w:lastRow="0" w:firstColumn="1" w:lastColumn="0" w:oddVBand="0" w:evenVBand="0" w:oddHBand="0" w:evenHBand="0" w:firstRowFirstColumn="0" w:firstRowLastColumn="0" w:lastRowFirstColumn="0" w:lastRowLastColumn="0"/>
            <w:tcW w:w="1418" w:type="dxa"/>
          </w:tcPr>
          <w:p w14:paraId="3037BD84" w14:textId="22C97FAF" w:rsidR="00953482" w:rsidRDefault="00953482" w:rsidP="009409CA">
            <w:pPr>
              <w:spacing w:before="60" w:after="60"/>
            </w:pPr>
            <w:r>
              <w:t>7</w:t>
            </w:r>
          </w:p>
        </w:tc>
        <w:tc>
          <w:tcPr>
            <w:tcW w:w="6520" w:type="dxa"/>
            <w:vAlign w:val="center"/>
          </w:tcPr>
          <w:p w14:paraId="656E336A" w14:textId="5FEF3AE9" w:rsidR="00953482" w:rsidRDefault="00953482" w:rsidP="009409CA">
            <w:pPr>
              <w:spacing w:before="60" w:after="60"/>
              <w:cnfStyle w:val="000000000000" w:firstRow="0" w:lastRow="0" w:firstColumn="0" w:lastColumn="0" w:oddVBand="0" w:evenVBand="0" w:oddHBand="0" w:evenHBand="0" w:firstRowFirstColumn="0" w:firstRowLastColumn="0" w:lastRowFirstColumn="0" w:lastRowLastColumn="0"/>
            </w:pPr>
            <w:r w:rsidRPr="00953482">
              <w:t>S</w:t>
            </w:r>
            <w:r w:rsidR="005A56D8">
              <w:t>tate of Origin Rugby League</w:t>
            </w:r>
            <w:r w:rsidR="00C566DA">
              <w:t>:</w:t>
            </w:r>
            <w:r w:rsidR="005A56D8">
              <w:t xml:space="preserve"> Queensland V New South Wales – first match</w:t>
            </w:r>
          </w:p>
        </w:tc>
        <w:tc>
          <w:tcPr>
            <w:tcW w:w="2078" w:type="dxa"/>
            <w:vAlign w:val="center"/>
          </w:tcPr>
          <w:p w14:paraId="4FB747C4" w14:textId="01B3C2FA" w:rsidR="00953482" w:rsidRDefault="00953482" w:rsidP="009409CA">
            <w:pPr>
              <w:spacing w:before="60" w:after="60"/>
              <w:cnfStyle w:val="000000000000" w:firstRow="0" w:lastRow="0" w:firstColumn="0" w:lastColumn="0" w:oddVBand="0" w:evenVBand="0" w:oddHBand="0" w:evenHBand="0" w:firstRowFirstColumn="0" w:firstRowLastColumn="0" w:lastRowFirstColumn="0" w:lastRowLastColumn="0"/>
            </w:pPr>
            <w:r w:rsidRPr="00953482">
              <w:t>1,927</w:t>
            </w:r>
          </w:p>
        </w:tc>
      </w:tr>
      <w:tr w:rsidR="00953482" w14:paraId="2E773BD5" w14:textId="77777777" w:rsidTr="00A03D2F">
        <w:trPr>
          <w:cnfStyle w:val="000000010000" w:firstRow="0" w:lastRow="0" w:firstColumn="0" w:lastColumn="0" w:oddVBand="0" w:evenVBand="0" w:oddHBand="0" w:evenHBand="1" w:firstRowFirstColumn="0" w:firstRowLastColumn="0" w:lastRowFirstColumn="0" w:lastRowLastColumn="0"/>
          <w:trHeight w:val="433"/>
        </w:trPr>
        <w:tc>
          <w:tcPr>
            <w:cnfStyle w:val="001000000000" w:firstRow="0" w:lastRow="0" w:firstColumn="1" w:lastColumn="0" w:oddVBand="0" w:evenVBand="0" w:oddHBand="0" w:evenHBand="0" w:firstRowFirstColumn="0" w:firstRowLastColumn="0" w:lastRowFirstColumn="0" w:lastRowLastColumn="0"/>
            <w:tcW w:w="1418" w:type="dxa"/>
          </w:tcPr>
          <w:p w14:paraId="56F4F5B4" w14:textId="0FA0CCDC" w:rsidR="00953482" w:rsidRDefault="00953482" w:rsidP="009409CA">
            <w:pPr>
              <w:spacing w:before="60" w:after="60"/>
            </w:pPr>
            <w:r>
              <w:t>8</w:t>
            </w:r>
          </w:p>
        </w:tc>
        <w:tc>
          <w:tcPr>
            <w:tcW w:w="6520" w:type="dxa"/>
            <w:vAlign w:val="center"/>
          </w:tcPr>
          <w:p w14:paraId="0E82E0D2" w14:textId="6C368492" w:rsidR="00953482" w:rsidRDefault="00953482" w:rsidP="009409CA">
            <w:pPr>
              <w:spacing w:before="60" w:after="60"/>
              <w:cnfStyle w:val="000000010000" w:firstRow="0" w:lastRow="0" w:firstColumn="0" w:lastColumn="0" w:oddVBand="0" w:evenVBand="0" w:oddHBand="0" w:evenHBand="1" w:firstRowFirstColumn="0" w:firstRowLastColumn="0" w:lastRowFirstColumn="0" w:lastRowLastColumn="0"/>
            </w:pPr>
            <w:r w:rsidRPr="00953482">
              <w:t>T</w:t>
            </w:r>
            <w:r w:rsidR="005A56D8">
              <w:t>he</w:t>
            </w:r>
            <w:r w:rsidRPr="00953482">
              <w:t xml:space="preserve"> B</w:t>
            </w:r>
            <w:r w:rsidR="005A56D8">
              <w:t>lock</w:t>
            </w:r>
            <w:r w:rsidR="00C566DA">
              <w:t xml:space="preserve">: </w:t>
            </w:r>
            <w:r w:rsidRPr="00953482">
              <w:t>W</w:t>
            </w:r>
            <w:r w:rsidR="005A56D8">
              <w:t xml:space="preserve">inner </w:t>
            </w:r>
            <w:r w:rsidRPr="00953482">
              <w:t>A</w:t>
            </w:r>
            <w:r w:rsidR="005A56D8">
              <w:t>nnounced</w:t>
            </w:r>
          </w:p>
        </w:tc>
        <w:tc>
          <w:tcPr>
            <w:tcW w:w="2078" w:type="dxa"/>
            <w:vAlign w:val="center"/>
          </w:tcPr>
          <w:p w14:paraId="4DF79761" w14:textId="431826E6" w:rsidR="00953482" w:rsidRDefault="00953482" w:rsidP="009409CA">
            <w:pPr>
              <w:spacing w:before="60" w:after="60"/>
              <w:cnfStyle w:val="000000010000" w:firstRow="0" w:lastRow="0" w:firstColumn="0" w:lastColumn="0" w:oddVBand="0" w:evenVBand="0" w:oddHBand="0" w:evenHBand="1" w:firstRowFirstColumn="0" w:firstRowLastColumn="0" w:lastRowFirstColumn="0" w:lastRowLastColumn="0"/>
            </w:pPr>
            <w:r w:rsidRPr="00953482">
              <w:t>1,907</w:t>
            </w:r>
          </w:p>
        </w:tc>
      </w:tr>
      <w:tr w:rsidR="00953482" w14:paraId="590CDFF8" w14:textId="77777777" w:rsidTr="00A03D2F">
        <w:trPr>
          <w:trHeight w:val="433"/>
        </w:trPr>
        <w:tc>
          <w:tcPr>
            <w:cnfStyle w:val="001000000000" w:firstRow="0" w:lastRow="0" w:firstColumn="1" w:lastColumn="0" w:oddVBand="0" w:evenVBand="0" w:oddHBand="0" w:evenHBand="0" w:firstRowFirstColumn="0" w:firstRowLastColumn="0" w:lastRowFirstColumn="0" w:lastRowLastColumn="0"/>
            <w:tcW w:w="1418" w:type="dxa"/>
          </w:tcPr>
          <w:p w14:paraId="61B0CDE5" w14:textId="4F0F4DEE" w:rsidR="00953482" w:rsidRDefault="00953482" w:rsidP="009409CA">
            <w:pPr>
              <w:spacing w:before="60" w:after="60"/>
            </w:pPr>
            <w:r>
              <w:t>9</w:t>
            </w:r>
          </w:p>
        </w:tc>
        <w:tc>
          <w:tcPr>
            <w:tcW w:w="6520" w:type="dxa"/>
            <w:vAlign w:val="center"/>
          </w:tcPr>
          <w:p w14:paraId="56D7B63D" w14:textId="04147D24" w:rsidR="00953482" w:rsidRDefault="005A56D8" w:rsidP="009409CA">
            <w:pPr>
              <w:spacing w:before="60" w:after="60"/>
              <w:cnfStyle w:val="000000000000" w:firstRow="0" w:lastRow="0" w:firstColumn="0" w:lastColumn="0" w:oddVBand="0" w:evenVBand="0" w:oddHBand="0" w:evenHBand="0" w:firstRowFirstColumn="0" w:firstRowLastColumn="0" w:lastRowFirstColumn="0" w:lastRowLastColumn="0"/>
            </w:pPr>
            <w:r w:rsidRPr="00953482">
              <w:t>S</w:t>
            </w:r>
            <w:r>
              <w:t>tate of Origin Rugby League</w:t>
            </w:r>
            <w:r w:rsidR="00C566DA">
              <w:t>:</w:t>
            </w:r>
            <w:r>
              <w:t xml:space="preserve"> Queensland V New South Wales – second match</w:t>
            </w:r>
          </w:p>
        </w:tc>
        <w:tc>
          <w:tcPr>
            <w:tcW w:w="2078" w:type="dxa"/>
            <w:vAlign w:val="center"/>
          </w:tcPr>
          <w:p w14:paraId="2C771927" w14:textId="3CB186E3" w:rsidR="00953482" w:rsidRDefault="00953482" w:rsidP="009409CA">
            <w:pPr>
              <w:spacing w:before="60" w:after="60"/>
              <w:cnfStyle w:val="000000000000" w:firstRow="0" w:lastRow="0" w:firstColumn="0" w:lastColumn="0" w:oddVBand="0" w:evenVBand="0" w:oddHBand="0" w:evenHBand="0" w:firstRowFirstColumn="0" w:firstRowLastColumn="0" w:lastRowFirstColumn="0" w:lastRowLastColumn="0"/>
            </w:pPr>
            <w:r w:rsidRPr="00953482">
              <w:t>1,873</w:t>
            </w:r>
          </w:p>
        </w:tc>
      </w:tr>
      <w:tr w:rsidR="00953482" w14:paraId="11275DC1" w14:textId="77777777" w:rsidTr="00A03D2F">
        <w:trPr>
          <w:cnfStyle w:val="010000000000" w:firstRow="0" w:lastRow="1" w:firstColumn="0" w:lastColumn="0" w:oddVBand="0" w:evenVBand="0" w:oddHBand="0" w:evenHBand="0" w:firstRowFirstColumn="0" w:firstRowLastColumn="0" w:lastRowFirstColumn="0" w:lastRowLastColumn="0"/>
          <w:trHeight w:val="433"/>
        </w:trPr>
        <w:tc>
          <w:tcPr>
            <w:cnfStyle w:val="001000000000" w:firstRow="0" w:lastRow="0" w:firstColumn="1" w:lastColumn="0" w:oddVBand="0" w:evenVBand="0" w:oddHBand="0" w:evenHBand="0" w:firstRowFirstColumn="0" w:firstRowLastColumn="0" w:lastRowFirstColumn="0" w:lastRowLastColumn="0"/>
            <w:tcW w:w="1418" w:type="dxa"/>
            <w:shd w:val="clear" w:color="auto" w:fill="F2F2F2" w:themeFill="background1" w:themeFillShade="F2"/>
          </w:tcPr>
          <w:p w14:paraId="58A39994" w14:textId="16CF0795" w:rsidR="00953482" w:rsidRDefault="00953482" w:rsidP="009409CA">
            <w:pPr>
              <w:spacing w:before="60" w:after="60"/>
            </w:pPr>
            <w:r>
              <w:t>10</w:t>
            </w:r>
          </w:p>
        </w:tc>
        <w:tc>
          <w:tcPr>
            <w:tcW w:w="6520" w:type="dxa"/>
            <w:shd w:val="clear" w:color="auto" w:fill="F2F2F2" w:themeFill="background1" w:themeFillShade="F2"/>
            <w:vAlign w:val="center"/>
          </w:tcPr>
          <w:p w14:paraId="1747A8D2" w14:textId="330BC2B4" w:rsidR="00953482" w:rsidRPr="00953482" w:rsidRDefault="00953482" w:rsidP="009409CA">
            <w:pPr>
              <w:spacing w:before="60" w:after="60"/>
              <w:cnfStyle w:val="010000000000" w:firstRow="0" w:lastRow="1" w:firstColumn="0" w:lastColumn="0" w:oddVBand="0" w:evenVBand="0" w:oddHBand="0" w:evenHBand="0" w:firstRowFirstColumn="0" w:firstRowLastColumn="0" w:lastRowFirstColumn="0" w:lastRowLastColumn="0"/>
              <w:rPr>
                <w:b w:val="0"/>
              </w:rPr>
            </w:pPr>
            <w:r w:rsidRPr="00953482">
              <w:rPr>
                <w:b w:val="0"/>
              </w:rPr>
              <w:t>T</w:t>
            </w:r>
            <w:r w:rsidR="005A56D8">
              <w:rPr>
                <w:b w:val="0"/>
              </w:rPr>
              <w:t>okyo</w:t>
            </w:r>
            <w:r w:rsidRPr="00953482">
              <w:rPr>
                <w:b w:val="0"/>
              </w:rPr>
              <w:t xml:space="preserve"> 2020 O</w:t>
            </w:r>
            <w:r w:rsidR="005A56D8">
              <w:rPr>
                <w:b w:val="0"/>
              </w:rPr>
              <w:t xml:space="preserve">lympic </w:t>
            </w:r>
            <w:r w:rsidRPr="00953482">
              <w:rPr>
                <w:b w:val="0"/>
              </w:rPr>
              <w:t>G</w:t>
            </w:r>
            <w:r w:rsidR="005A56D8">
              <w:rPr>
                <w:b w:val="0"/>
              </w:rPr>
              <w:t>ames</w:t>
            </w:r>
            <w:r w:rsidRPr="00953482">
              <w:rPr>
                <w:b w:val="0"/>
              </w:rPr>
              <w:t>: O</w:t>
            </w:r>
            <w:r w:rsidR="005A56D8">
              <w:rPr>
                <w:b w:val="0"/>
              </w:rPr>
              <w:t>pening Ceremony - late</w:t>
            </w:r>
          </w:p>
        </w:tc>
        <w:tc>
          <w:tcPr>
            <w:tcW w:w="2078" w:type="dxa"/>
            <w:shd w:val="clear" w:color="auto" w:fill="F2F2F2" w:themeFill="background1" w:themeFillShade="F2"/>
            <w:vAlign w:val="center"/>
          </w:tcPr>
          <w:p w14:paraId="332442E7" w14:textId="54A72218" w:rsidR="00953482" w:rsidRPr="00953482" w:rsidRDefault="00953482" w:rsidP="009409CA">
            <w:pPr>
              <w:spacing w:before="60" w:after="60"/>
              <w:cnfStyle w:val="010000000000" w:firstRow="0" w:lastRow="1" w:firstColumn="0" w:lastColumn="0" w:oddVBand="0" w:evenVBand="0" w:oddHBand="0" w:evenHBand="0" w:firstRowFirstColumn="0" w:firstRowLastColumn="0" w:lastRowFirstColumn="0" w:lastRowLastColumn="0"/>
              <w:rPr>
                <w:b w:val="0"/>
              </w:rPr>
            </w:pPr>
            <w:r w:rsidRPr="00953482">
              <w:rPr>
                <w:b w:val="0"/>
              </w:rPr>
              <w:t>1,814</w:t>
            </w:r>
          </w:p>
        </w:tc>
      </w:tr>
    </w:tbl>
    <w:p w14:paraId="2B0E43C0" w14:textId="6BF9279A" w:rsidR="00F444C9" w:rsidRPr="0017086B" w:rsidRDefault="00F444C9" w:rsidP="00DA3E51">
      <w:pPr>
        <w:pStyle w:val="Sourcenotes"/>
        <w:rPr>
          <w:rFonts w:cs="Times New Roman"/>
          <w:szCs w:val="24"/>
        </w:rPr>
      </w:pPr>
      <w:r w:rsidRPr="00DA3D36">
        <w:t>Source: OzTAM</w:t>
      </w:r>
      <w:r w:rsidR="0017086B">
        <w:rPr>
          <w:lang w:val="en-US"/>
        </w:rPr>
        <w:t xml:space="preserve"> 5 City Metro |</w:t>
      </w:r>
      <w:r w:rsidRPr="00DA3D36">
        <w:t xml:space="preserve"> </w:t>
      </w:r>
      <w:r w:rsidR="0017086B">
        <w:rPr>
          <w:lang w:val="en-US"/>
        </w:rPr>
        <w:t xml:space="preserve">Consolidated 7 | Total Audience | 2021. </w:t>
      </w:r>
      <w:r w:rsidR="0017086B" w:rsidRPr="00BE64CF">
        <w:rPr>
          <w:rFonts w:cs="Times New Roman"/>
          <w:szCs w:val="24"/>
        </w:rPr>
        <w:t xml:space="preserve">Data copyright </w:t>
      </w:r>
      <w:r w:rsidR="005715B9">
        <w:rPr>
          <w:rFonts w:cstheme="minorHAnsi"/>
          <w:szCs w:val="24"/>
        </w:rPr>
        <w:t>©</w:t>
      </w:r>
      <w:r w:rsidR="0017086B" w:rsidRPr="00BE64CF">
        <w:rPr>
          <w:rFonts w:cs="Times New Roman"/>
          <w:szCs w:val="24"/>
        </w:rPr>
        <w:t xml:space="preserve"> OzTAM 2022</w:t>
      </w:r>
      <w:r w:rsidR="00777898">
        <w:rPr>
          <w:rFonts w:cs="Times New Roman"/>
          <w:szCs w:val="24"/>
          <w:lang w:val="en-US"/>
        </w:rPr>
        <w:t xml:space="preserve"> The data may not be reproduced, published or communicated (electronically or in hard copy) in whole or in part, without prior written consent of OzTAM</w:t>
      </w:r>
      <w:r w:rsidR="0017086B">
        <w:rPr>
          <w:rFonts w:cs="Times New Roman"/>
          <w:szCs w:val="24"/>
        </w:rPr>
        <w:t>.</w:t>
      </w:r>
    </w:p>
    <w:p w14:paraId="5D49DA31" w14:textId="157C5F8E" w:rsidR="00F444C9" w:rsidRPr="00953482" w:rsidRDefault="00F444C9" w:rsidP="00F444C9">
      <w:pPr>
        <w:spacing w:after="240"/>
        <w:rPr>
          <w:rFonts w:cs="Times New Roman"/>
          <w:szCs w:val="24"/>
        </w:rPr>
      </w:pPr>
      <w:r w:rsidRPr="00953482">
        <w:rPr>
          <w:rFonts w:cs="Times New Roman"/>
          <w:szCs w:val="24"/>
        </w:rPr>
        <w:t xml:space="preserve">Sports coverage on </w:t>
      </w:r>
      <w:r w:rsidR="00E1618B">
        <w:rPr>
          <w:rFonts w:cs="Times New Roman"/>
          <w:szCs w:val="24"/>
        </w:rPr>
        <w:t xml:space="preserve">subscription </w:t>
      </w:r>
      <w:r w:rsidRPr="00953482">
        <w:rPr>
          <w:rFonts w:cs="Times New Roman"/>
          <w:szCs w:val="24"/>
        </w:rPr>
        <w:t xml:space="preserve">television is also very popular among Australian audiences and, hence, a major subscription driver. Table </w:t>
      </w:r>
      <w:r w:rsidR="002C24CD">
        <w:rPr>
          <w:rFonts w:cs="Times New Roman"/>
          <w:szCs w:val="24"/>
        </w:rPr>
        <w:t>3</w:t>
      </w:r>
      <w:r w:rsidRPr="00953482">
        <w:rPr>
          <w:rFonts w:cs="Times New Roman"/>
          <w:szCs w:val="24"/>
        </w:rPr>
        <w:t xml:space="preserve"> shows the 10 most popular programs on pay television in 2021 were all sports-related.</w:t>
      </w:r>
    </w:p>
    <w:p w14:paraId="7544618A" w14:textId="3F78FF4E" w:rsidR="00F444C9" w:rsidRDefault="00F444C9" w:rsidP="00721D6F">
      <w:pPr>
        <w:pStyle w:val="Caption"/>
      </w:pPr>
      <w:bookmarkStart w:id="166" w:name="_Toc112235049"/>
      <w:bookmarkStart w:id="167" w:name="_Toc114487432"/>
      <w:r w:rsidRPr="00DA3D36">
        <w:t xml:space="preserve">Table </w:t>
      </w:r>
      <w:r w:rsidR="002C24CD">
        <w:t>3</w:t>
      </w:r>
      <w:r w:rsidRPr="00DA3D36">
        <w:t xml:space="preserve">: 10 most popular programs on </w:t>
      </w:r>
      <w:r w:rsidR="002C6F43">
        <w:t>subscription</w:t>
      </w:r>
      <w:r w:rsidRPr="00DA3D36">
        <w:t xml:space="preserve"> television in 20</w:t>
      </w:r>
      <w:r>
        <w:t>21</w:t>
      </w:r>
      <w:bookmarkEnd w:id="166"/>
      <w:bookmarkEnd w:id="167"/>
    </w:p>
    <w:tbl>
      <w:tblPr>
        <w:tblStyle w:val="DefaultTable1"/>
        <w:tblW w:w="10093" w:type="dxa"/>
        <w:tblLook w:val="04E0" w:firstRow="1" w:lastRow="1" w:firstColumn="1" w:lastColumn="0" w:noHBand="0" w:noVBand="1"/>
        <w:tblCaption w:val="Sample table"/>
        <w:tblDescription w:val="Sample table"/>
      </w:tblPr>
      <w:tblGrid>
        <w:gridCol w:w="1418"/>
        <w:gridCol w:w="6662"/>
        <w:gridCol w:w="2013"/>
      </w:tblGrid>
      <w:tr w:rsidR="0057041A" w14:paraId="46276898" w14:textId="77777777" w:rsidTr="00A03D2F">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418" w:type="dxa"/>
          </w:tcPr>
          <w:p w14:paraId="71CC5F25" w14:textId="258A7473" w:rsidR="0057041A" w:rsidRDefault="0057041A" w:rsidP="009D46D2">
            <w:r>
              <w:t>Rank</w:t>
            </w:r>
          </w:p>
        </w:tc>
        <w:tc>
          <w:tcPr>
            <w:tcW w:w="6662" w:type="dxa"/>
          </w:tcPr>
          <w:p w14:paraId="486AFE3C" w14:textId="1E3BE7D5" w:rsidR="0057041A" w:rsidRDefault="0057041A" w:rsidP="009D46D2">
            <w:pPr>
              <w:cnfStyle w:val="100000000000" w:firstRow="1" w:lastRow="0" w:firstColumn="0" w:lastColumn="0" w:oddVBand="0" w:evenVBand="0" w:oddHBand="0" w:evenHBand="0" w:firstRowFirstColumn="0" w:firstRowLastColumn="0" w:lastRowFirstColumn="0" w:lastRowLastColumn="0"/>
            </w:pPr>
            <w:r>
              <w:t>Program</w:t>
            </w:r>
          </w:p>
        </w:tc>
        <w:tc>
          <w:tcPr>
            <w:tcW w:w="2013" w:type="dxa"/>
          </w:tcPr>
          <w:p w14:paraId="4BA81DEF" w14:textId="29461B9B" w:rsidR="0057041A" w:rsidRDefault="0057041A" w:rsidP="009D46D2">
            <w:pPr>
              <w:cnfStyle w:val="100000000000" w:firstRow="1" w:lastRow="0" w:firstColumn="0" w:lastColumn="0" w:oddVBand="0" w:evenVBand="0" w:oddHBand="0" w:evenHBand="0" w:firstRowFirstColumn="0" w:firstRowLastColumn="0" w:lastRowFirstColumn="0" w:lastRowLastColumn="0"/>
            </w:pPr>
            <w:r>
              <w:t>Audience (thousand viewers)</w:t>
            </w:r>
          </w:p>
        </w:tc>
      </w:tr>
      <w:tr w:rsidR="0057041A" w14:paraId="52166792" w14:textId="77777777" w:rsidTr="00A03D2F">
        <w:trPr>
          <w:trHeight w:val="417"/>
        </w:trPr>
        <w:tc>
          <w:tcPr>
            <w:cnfStyle w:val="001000000000" w:firstRow="0" w:lastRow="0" w:firstColumn="1" w:lastColumn="0" w:oddVBand="0" w:evenVBand="0" w:oddHBand="0" w:evenHBand="0" w:firstRowFirstColumn="0" w:firstRowLastColumn="0" w:lastRowFirstColumn="0" w:lastRowLastColumn="0"/>
            <w:tcW w:w="1418" w:type="dxa"/>
          </w:tcPr>
          <w:p w14:paraId="70E4733F" w14:textId="08DC8F6D" w:rsidR="0057041A" w:rsidRDefault="0057041A" w:rsidP="0057041A">
            <w:r>
              <w:t>1</w:t>
            </w:r>
          </w:p>
        </w:tc>
        <w:tc>
          <w:tcPr>
            <w:tcW w:w="6662" w:type="dxa"/>
          </w:tcPr>
          <w:p w14:paraId="07262489" w14:textId="0132A1C1" w:rsidR="0057041A" w:rsidRPr="0057041A" w:rsidRDefault="0057041A" w:rsidP="00904AB6">
            <w:pPr>
              <w:pStyle w:val="Normaldisclaimerpage"/>
              <w:cnfStyle w:val="000000000000" w:firstRow="0" w:lastRow="0" w:firstColumn="0" w:lastColumn="0" w:oddVBand="0" w:evenVBand="0" w:oddHBand="0" w:evenHBand="0" w:firstRowFirstColumn="0" w:firstRowLastColumn="0" w:lastRowFirstColumn="0" w:lastRowLastColumn="0"/>
            </w:pPr>
            <w:r w:rsidRPr="0057041A">
              <w:t xml:space="preserve">NRL: </w:t>
            </w:r>
            <w:r w:rsidR="00904AB6">
              <w:t xml:space="preserve">Preliminary Final: </w:t>
            </w:r>
            <w:r w:rsidRPr="0057041A">
              <w:t>Storm v Panthers</w:t>
            </w:r>
          </w:p>
        </w:tc>
        <w:tc>
          <w:tcPr>
            <w:tcW w:w="2013" w:type="dxa"/>
          </w:tcPr>
          <w:p w14:paraId="5D545DEE" w14:textId="64907519" w:rsidR="0057041A" w:rsidRDefault="0057041A" w:rsidP="0057041A">
            <w:pPr>
              <w:cnfStyle w:val="000000000000" w:firstRow="0" w:lastRow="0" w:firstColumn="0" w:lastColumn="0" w:oddVBand="0" w:evenVBand="0" w:oddHBand="0" w:evenHBand="0" w:firstRowFirstColumn="0" w:firstRowLastColumn="0" w:lastRowFirstColumn="0" w:lastRowLastColumn="0"/>
            </w:pPr>
            <w:r w:rsidRPr="0057041A">
              <w:t>471</w:t>
            </w:r>
          </w:p>
        </w:tc>
      </w:tr>
      <w:tr w:rsidR="0057041A" w14:paraId="0FDA6583" w14:textId="77777777" w:rsidTr="00A03D2F">
        <w:trPr>
          <w:cnfStyle w:val="000000010000" w:firstRow="0" w:lastRow="0" w:firstColumn="0" w:lastColumn="0" w:oddVBand="0" w:evenVBand="0" w:oddHBand="0" w:evenHBand="1"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1418" w:type="dxa"/>
          </w:tcPr>
          <w:p w14:paraId="40903E74" w14:textId="0AF7DE0A" w:rsidR="0057041A" w:rsidRDefault="0057041A" w:rsidP="0057041A">
            <w:r>
              <w:t>2</w:t>
            </w:r>
          </w:p>
        </w:tc>
        <w:tc>
          <w:tcPr>
            <w:tcW w:w="6662" w:type="dxa"/>
          </w:tcPr>
          <w:p w14:paraId="78B8CFFD" w14:textId="44C552F9" w:rsidR="0057041A" w:rsidRPr="0057041A" w:rsidRDefault="0057041A" w:rsidP="00904AB6">
            <w:pPr>
              <w:pStyle w:val="Normaldisclaimerpage"/>
              <w:cnfStyle w:val="000000010000" w:firstRow="0" w:lastRow="0" w:firstColumn="0" w:lastColumn="0" w:oddVBand="0" w:evenVBand="0" w:oddHBand="0" w:evenHBand="1" w:firstRowFirstColumn="0" w:firstRowLastColumn="0" w:lastRowFirstColumn="0" w:lastRowLastColumn="0"/>
            </w:pPr>
            <w:r w:rsidRPr="0057041A">
              <w:t xml:space="preserve">NRL: </w:t>
            </w:r>
            <w:r w:rsidR="00904AB6">
              <w:t xml:space="preserve">Preliminary Final: </w:t>
            </w:r>
            <w:r w:rsidRPr="0057041A">
              <w:t>Rabbitohs v Sea Eagles</w:t>
            </w:r>
          </w:p>
        </w:tc>
        <w:tc>
          <w:tcPr>
            <w:tcW w:w="2013" w:type="dxa"/>
          </w:tcPr>
          <w:p w14:paraId="651013AB" w14:textId="522ECF62" w:rsidR="0057041A" w:rsidRDefault="0057041A" w:rsidP="0057041A">
            <w:pPr>
              <w:cnfStyle w:val="000000010000" w:firstRow="0" w:lastRow="0" w:firstColumn="0" w:lastColumn="0" w:oddVBand="0" w:evenVBand="0" w:oddHBand="0" w:evenHBand="1" w:firstRowFirstColumn="0" w:firstRowLastColumn="0" w:lastRowFirstColumn="0" w:lastRowLastColumn="0"/>
            </w:pPr>
            <w:r w:rsidRPr="0057041A">
              <w:t>452</w:t>
            </w:r>
          </w:p>
        </w:tc>
      </w:tr>
      <w:tr w:rsidR="0057041A" w14:paraId="157305BC" w14:textId="77777777" w:rsidTr="00A03D2F">
        <w:trPr>
          <w:trHeight w:val="417"/>
        </w:trPr>
        <w:tc>
          <w:tcPr>
            <w:cnfStyle w:val="001000000000" w:firstRow="0" w:lastRow="0" w:firstColumn="1" w:lastColumn="0" w:oddVBand="0" w:evenVBand="0" w:oddHBand="0" w:evenHBand="0" w:firstRowFirstColumn="0" w:firstRowLastColumn="0" w:lastRowFirstColumn="0" w:lastRowLastColumn="0"/>
            <w:tcW w:w="1418" w:type="dxa"/>
          </w:tcPr>
          <w:p w14:paraId="48750E15" w14:textId="61AEB6BF" w:rsidR="0057041A" w:rsidRDefault="0057041A" w:rsidP="0057041A">
            <w:r>
              <w:t>3</w:t>
            </w:r>
          </w:p>
        </w:tc>
        <w:tc>
          <w:tcPr>
            <w:tcW w:w="6662" w:type="dxa"/>
          </w:tcPr>
          <w:p w14:paraId="4DAA1E02" w14:textId="5D043702" w:rsidR="0057041A" w:rsidRPr="0057041A" w:rsidRDefault="0057041A" w:rsidP="00904AB6">
            <w:pPr>
              <w:pStyle w:val="Normaldisclaimerpage"/>
              <w:cnfStyle w:val="000000000000" w:firstRow="0" w:lastRow="0" w:firstColumn="0" w:lastColumn="0" w:oddVBand="0" w:evenVBand="0" w:oddHBand="0" w:evenHBand="0" w:firstRowFirstColumn="0" w:firstRowLastColumn="0" w:lastRowFirstColumn="0" w:lastRowLastColumn="0"/>
            </w:pPr>
            <w:r w:rsidRPr="0057041A">
              <w:t>NRL:</w:t>
            </w:r>
            <w:r w:rsidR="006F333B">
              <w:t xml:space="preserve"> </w:t>
            </w:r>
            <w:r w:rsidR="00904AB6">
              <w:t xml:space="preserve">Semi-Final: </w:t>
            </w:r>
            <w:r w:rsidRPr="0057041A">
              <w:t>Panthers v Eels</w:t>
            </w:r>
          </w:p>
        </w:tc>
        <w:tc>
          <w:tcPr>
            <w:tcW w:w="2013" w:type="dxa"/>
          </w:tcPr>
          <w:p w14:paraId="124E1F87" w14:textId="10B79059" w:rsidR="0057041A" w:rsidRDefault="0057041A" w:rsidP="0057041A">
            <w:pPr>
              <w:cnfStyle w:val="000000000000" w:firstRow="0" w:lastRow="0" w:firstColumn="0" w:lastColumn="0" w:oddVBand="0" w:evenVBand="0" w:oddHBand="0" w:evenHBand="0" w:firstRowFirstColumn="0" w:firstRowLastColumn="0" w:lastRowFirstColumn="0" w:lastRowLastColumn="0"/>
            </w:pPr>
            <w:r w:rsidRPr="0057041A">
              <w:t>447</w:t>
            </w:r>
          </w:p>
        </w:tc>
      </w:tr>
      <w:tr w:rsidR="0057041A" w14:paraId="2F71A9D5" w14:textId="77777777" w:rsidTr="00A03D2F">
        <w:trPr>
          <w:cnfStyle w:val="000000010000" w:firstRow="0" w:lastRow="0" w:firstColumn="0" w:lastColumn="0" w:oddVBand="0" w:evenVBand="0" w:oddHBand="0" w:evenHBand="1"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1418" w:type="dxa"/>
          </w:tcPr>
          <w:p w14:paraId="32F2756F" w14:textId="6D23C000" w:rsidR="0057041A" w:rsidRDefault="0057041A" w:rsidP="0057041A">
            <w:r>
              <w:t>4</w:t>
            </w:r>
          </w:p>
        </w:tc>
        <w:tc>
          <w:tcPr>
            <w:tcW w:w="6662" w:type="dxa"/>
          </w:tcPr>
          <w:p w14:paraId="1A8FF2E7" w14:textId="1C5E1DAE" w:rsidR="0057041A" w:rsidRPr="0057041A" w:rsidRDefault="0057041A" w:rsidP="00904AB6">
            <w:pPr>
              <w:pStyle w:val="Normaldisclaimerpage"/>
              <w:cnfStyle w:val="000000010000" w:firstRow="0" w:lastRow="0" w:firstColumn="0" w:lastColumn="0" w:oddVBand="0" w:evenVBand="0" w:oddHBand="0" w:evenHBand="1" w:firstRowFirstColumn="0" w:firstRowLastColumn="0" w:lastRowFirstColumn="0" w:lastRowLastColumn="0"/>
            </w:pPr>
            <w:r w:rsidRPr="0057041A">
              <w:t>AFL:</w:t>
            </w:r>
            <w:r w:rsidR="00397558">
              <w:t xml:space="preserve"> </w:t>
            </w:r>
            <w:r w:rsidR="00904AB6">
              <w:t xml:space="preserve">Semi-Final </w:t>
            </w:r>
            <w:r w:rsidRPr="0057041A">
              <w:t>#1</w:t>
            </w:r>
            <w:r w:rsidR="00904AB6">
              <w:t>:</w:t>
            </w:r>
            <w:r w:rsidRPr="0057041A">
              <w:t xml:space="preserve"> Brisbane v Western Bulldogs</w:t>
            </w:r>
          </w:p>
        </w:tc>
        <w:tc>
          <w:tcPr>
            <w:tcW w:w="2013" w:type="dxa"/>
          </w:tcPr>
          <w:p w14:paraId="1F6637A6" w14:textId="6D2959A8" w:rsidR="0057041A" w:rsidRDefault="0057041A" w:rsidP="0057041A">
            <w:pPr>
              <w:cnfStyle w:val="000000010000" w:firstRow="0" w:lastRow="0" w:firstColumn="0" w:lastColumn="0" w:oddVBand="0" w:evenVBand="0" w:oddHBand="0" w:evenHBand="1" w:firstRowFirstColumn="0" w:firstRowLastColumn="0" w:lastRowFirstColumn="0" w:lastRowLastColumn="0"/>
            </w:pPr>
            <w:r w:rsidRPr="0057041A">
              <w:t>439</w:t>
            </w:r>
          </w:p>
        </w:tc>
      </w:tr>
      <w:tr w:rsidR="0057041A" w14:paraId="7886AF88" w14:textId="77777777" w:rsidTr="00A03D2F">
        <w:trPr>
          <w:trHeight w:val="417"/>
        </w:trPr>
        <w:tc>
          <w:tcPr>
            <w:cnfStyle w:val="001000000000" w:firstRow="0" w:lastRow="0" w:firstColumn="1" w:lastColumn="0" w:oddVBand="0" w:evenVBand="0" w:oddHBand="0" w:evenHBand="0" w:firstRowFirstColumn="0" w:firstRowLastColumn="0" w:lastRowFirstColumn="0" w:lastRowLastColumn="0"/>
            <w:tcW w:w="1418" w:type="dxa"/>
          </w:tcPr>
          <w:p w14:paraId="5C38038D" w14:textId="31251FE1" w:rsidR="0057041A" w:rsidRDefault="0057041A" w:rsidP="0057041A">
            <w:r>
              <w:t>5</w:t>
            </w:r>
          </w:p>
        </w:tc>
        <w:tc>
          <w:tcPr>
            <w:tcW w:w="6662" w:type="dxa"/>
          </w:tcPr>
          <w:p w14:paraId="6BED211F" w14:textId="6C7B93C0" w:rsidR="0057041A" w:rsidRPr="0057041A" w:rsidRDefault="0057041A" w:rsidP="00904AB6">
            <w:pPr>
              <w:pStyle w:val="Normaldisclaimerpage"/>
              <w:cnfStyle w:val="000000000000" w:firstRow="0" w:lastRow="0" w:firstColumn="0" w:lastColumn="0" w:oddVBand="0" w:evenVBand="0" w:oddHBand="0" w:evenHBand="0" w:firstRowFirstColumn="0" w:firstRowLastColumn="0" w:lastRowFirstColumn="0" w:lastRowLastColumn="0"/>
            </w:pPr>
            <w:r w:rsidRPr="0057041A">
              <w:t xml:space="preserve">AFL: </w:t>
            </w:r>
            <w:r w:rsidR="00904AB6">
              <w:t xml:space="preserve">Preliminary Final </w:t>
            </w:r>
            <w:r w:rsidRPr="0057041A">
              <w:t>#1</w:t>
            </w:r>
            <w:r w:rsidR="00904AB6">
              <w:t>:</w:t>
            </w:r>
            <w:r w:rsidRPr="0057041A">
              <w:t xml:space="preserve"> Melbourne v Geelong</w:t>
            </w:r>
          </w:p>
        </w:tc>
        <w:tc>
          <w:tcPr>
            <w:tcW w:w="2013" w:type="dxa"/>
          </w:tcPr>
          <w:p w14:paraId="031C877E" w14:textId="66616C21" w:rsidR="0057041A" w:rsidRDefault="0057041A" w:rsidP="0057041A">
            <w:pPr>
              <w:cnfStyle w:val="000000000000" w:firstRow="0" w:lastRow="0" w:firstColumn="0" w:lastColumn="0" w:oddVBand="0" w:evenVBand="0" w:oddHBand="0" w:evenHBand="0" w:firstRowFirstColumn="0" w:firstRowLastColumn="0" w:lastRowFirstColumn="0" w:lastRowLastColumn="0"/>
            </w:pPr>
            <w:r w:rsidRPr="0057041A">
              <w:t>431</w:t>
            </w:r>
          </w:p>
        </w:tc>
      </w:tr>
      <w:tr w:rsidR="0057041A" w14:paraId="3D4C263F" w14:textId="77777777" w:rsidTr="00A03D2F">
        <w:trPr>
          <w:cnfStyle w:val="000000010000" w:firstRow="0" w:lastRow="0" w:firstColumn="0" w:lastColumn="0" w:oddVBand="0" w:evenVBand="0" w:oddHBand="0" w:evenHBand="1"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1418" w:type="dxa"/>
          </w:tcPr>
          <w:p w14:paraId="5F90E6D1" w14:textId="0A7F5308" w:rsidR="0057041A" w:rsidRDefault="0057041A" w:rsidP="0057041A">
            <w:r>
              <w:t>6</w:t>
            </w:r>
          </w:p>
        </w:tc>
        <w:tc>
          <w:tcPr>
            <w:tcW w:w="6662" w:type="dxa"/>
          </w:tcPr>
          <w:p w14:paraId="54F3B6B1" w14:textId="6BECE240" w:rsidR="0057041A" w:rsidRPr="0057041A" w:rsidRDefault="0057041A" w:rsidP="00904AB6">
            <w:pPr>
              <w:pStyle w:val="Normaldisclaimerpage"/>
              <w:cnfStyle w:val="000000010000" w:firstRow="0" w:lastRow="0" w:firstColumn="0" w:lastColumn="0" w:oddVBand="0" w:evenVBand="0" w:oddHBand="0" w:evenHBand="1" w:firstRowFirstColumn="0" w:firstRowLastColumn="0" w:lastRowFirstColumn="0" w:lastRowLastColumn="0"/>
            </w:pPr>
            <w:r w:rsidRPr="0057041A">
              <w:t>Cricket: The Ashes – 3rd Test Day 2</w:t>
            </w:r>
          </w:p>
        </w:tc>
        <w:tc>
          <w:tcPr>
            <w:tcW w:w="2013" w:type="dxa"/>
          </w:tcPr>
          <w:p w14:paraId="24B48B2E" w14:textId="427E0F9F" w:rsidR="0057041A" w:rsidRDefault="0057041A" w:rsidP="0057041A">
            <w:pPr>
              <w:cnfStyle w:val="000000010000" w:firstRow="0" w:lastRow="0" w:firstColumn="0" w:lastColumn="0" w:oddVBand="0" w:evenVBand="0" w:oddHBand="0" w:evenHBand="1" w:firstRowFirstColumn="0" w:firstRowLastColumn="0" w:lastRowFirstColumn="0" w:lastRowLastColumn="0"/>
            </w:pPr>
            <w:r w:rsidRPr="0057041A">
              <w:t>429</w:t>
            </w:r>
          </w:p>
        </w:tc>
      </w:tr>
      <w:tr w:rsidR="0057041A" w14:paraId="446E8AC4" w14:textId="77777777" w:rsidTr="00A03D2F">
        <w:trPr>
          <w:trHeight w:val="417"/>
        </w:trPr>
        <w:tc>
          <w:tcPr>
            <w:cnfStyle w:val="001000000000" w:firstRow="0" w:lastRow="0" w:firstColumn="1" w:lastColumn="0" w:oddVBand="0" w:evenVBand="0" w:oddHBand="0" w:evenHBand="0" w:firstRowFirstColumn="0" w:firstRowLastColumn="0" w:lastRowFirstColumn="0" w:lastRowLastColumn="0"/>
            <w:tcW w:w="1418" w:type="dxa"/>
          </w:tcPr>
          <w:p w14:paraId="2404FA96" w14:textId="6EA961E9" w:rsidR="0057041A" w:rsidRDefault="0057041A" w:rsidP="0057041A">
            <w:r>
              <w:t>7</w:t>
            </w:r>
          </w:p>
        </w:tc>
        <w:tc>
          <w:tcPr>
            <w:tcW w:w="6662" w:type="dxa"/>
          </w:tcPr>
          <w:p w14:paraId="6E0E24E8" w14:textId="79B0AA7B" w:rsidR="0057041A" w:rsidRPr="0057041A" w:rsidRDefault="0057041A" w:rsidP="00904AB6">
            <w:pPr>
              <w:pStyle w:val="Normaldisclaimerpage"/>
              <w:cnfStyle w:val="000000000000" w:firstRow="0" w:lastRow="0" w:firstColumn="0" w:lastColumn="0" w:oddVBand="0" w:evenVBand="0" w:oddHBand="0" w:evenHBand="0" w:firstRowFirstColumn="0" w:firstRowLastColumn="0" w:lastRowFirstColumn="0" w:lastRowLastColumn="0"/>
            </w:pPr>
            <w:r w:rsidRPr="0057041A">
              <w:t>Cricket: The Ashes – 2nd Test Day 2</w:t>
            </w:r>
          </w:p>
        </w:tc>
        <w:tc>
          <w:tcPr>
            <w:tcW w:w="2013" w:type="dxa"/>
          </w:tcPr>
          <w:p w14:paraId="2FAABF02" w14:textId="792A143C" w:rsidR="0057041A" w:rsidRDefault="0057041A" w:rsidP="0057041A">
            <w:pPr>
              <w:cnfStyle w:val="000000000000" w:firstRow="0" w:lastRow="0" w:firstColumn="0" w:lastColumn="0" w:oddVBand="0" w:evenVBand="0" w:oddHBand="0" w:evenHBand="0" w:firstRowFirstColumn="0" w:firstRowLastColumn="0" w:lastRowFirstColumn="0" w:lastRowLastColumn="0"/>
            </w:pPr>
            <w:r w:rsidRPr="0057041A">
              <w:t>399</w:t>
            </w:r>
          </w:p>
        </w:tc>
      </w:tr>
      <w:tr w:rsidR="0057041A" w14:paraId="1E0A3A20" w14:textId="77777777" w:rsidTr="00A03D2F">
        <w:trPr>
          <w:cnfStyle w:val="000000010000" w:firstRow="0" w:lastRow="0" w:firstColumn="0" w:lastColumn="0" w:oddVBand="0" w:evenVBand="0" w:oddHBand="0" w:evenHBand="1"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1418" w:type="dxa"/>
          </w:tcPr>
          <w:p w14:paraId="753D8CCC" w14:textId="13B94CD5" w:rsidR="0057041A" w:rsidRDefault="0057041A" w:rsidP="0057041A">
            <w:r>
              <w:lastRenderedPageBreak/>
              <w:t>8</w:t>
            </w:r>
          </w:p>
        </w:tc>
        <w:tc>
          <w:tcPr>
            <w:tcW w:w="6662" w:type="dxa"/>
          </w:tcPr>
          <w:p w14:paraId="554F7368" w14:textId="0B907633" w:rsidR="0057041A" w:rsidRPr="0057041A" w:rsidRDefault="0057041A" w:rsidP="00904AB6">
            <w:pPr>
              <w:pStyle w:val="Normaldisclaimerpage"/>
              <w:cnfStyle w:val="000000010000" w:firstRow="0" w:lastRow="0" w:firstColumn="0" w:lastColumn="0" w:oddVBand="0" w:evenVBand="0" w:oddHBand="0" w:evenHBand="1" w:firstRowFirstColumn="0" w:firstRowLastColumn="0" w:lastRowFirstColumn="0" w:lastRowLastColumn="0"/>
            </w:pPr>
            <w:r w:rsidRPr="0057041A">
              <w:t xml:space="preserve">NRL: </w:t>
            </w:r>
            <w:r w:rsidR="00904AB6">
              <w:t xml:space="preserve">Qualifiers: </w:t>
            </w:r>
            <w:r w:rsidRPr="0057041A">
              <w:t>Panthers v Rabbitohs</w:t>
            </w:r>
          </w:p>
        </w:tc>
        <w:tc>
          <w:tcPr>
            <w:tcW w:w="2013" w:type="dxa"/>
          </w:tcPr>
          <w:p w14:paraId="640B3C03" w14:textId="5E573AF4" w:rsidR="0057041A" w:rsidRDefault="0057041A" w:rsidP="0057041A">
            <w:pPr>
              <w:cnfStyle w:val="000000010000" w:firstRow="0" w:lastRow="0" w:firstColumn="0" w:lastColumn="0" w:oddVBand="0" w:evenVBand="0" w:oddHBand="0" w:evenHBand="1" w:firstRowFirstColumn="0" w:firstRowLastColumn="0" w:lastRowFirstColumn="0" w:lastRowLastColumn="0"/>
            </w:pPr>
            <w:r w:rsidRPr="0057041A">
              <w:t>394</w:t>
            </w:r>
          </w:p>
        </w:tc>
      </w:tr>
      <w:tr w:rsidR="0057041A" w14:paraId="2485A246" w14:textId="77777777" w:rsidTr="00A03D2F">
        <w:trPr>
          <w:trHeight w:val="417"/>
        </w:trPr>
        <w:tc>
          <w:tcPr>
            <w:cnfStyle w:val="001000000000" w:firstRow="0" w:lastRow="0" w:firstColumn="1" w:lastColumn="0" w:oddVBand="0" w:evenVBand="0" w:oddHBand="0" w:evenHBand="0" w:firstRowFirstColumn="0" w:firstRowLastColumn="0" w:lastRowFirstColumn="0" w:lastRowLastColumn="0"/>
            <w:tcW w:w="1418" w:type="dxa"/>
          </w:tcPr>
          <w:p w14:paraId="5A92E609" w14:textId="1A97EBF9" w:rsidR="0057041A" w:rsidRDefault="0057041A" w:rsidP="0057041A">
            <w:r>
              <w:t>9</w:t>
            </w:r>
          </w:p>
        </w:tc>
        <w:tc>
          <w:tcPr>
            <w:tcW w:w="6662" w:type="dxa"/>
          </w:tcPr>
          <w:p w14:paraId="508FD2A4" w14:textId="6E8FCCEF" w:rsidR="0057041A" w:rsidRPr="0057041A" w:rsidRDefault="0057041A" w:rsidP="00904AB6">
            <w:pPr>
              <w:pStyle w:val="Normaldisclaimerpage"/>
              <w:cnfStyle w:val="000000000000" w:firstRow="0" w:lastRow="0" w:firstColumn="0" w:lastColumn="0" w:oddVBand="0" w:evenVBand="0" w:oddHBand="0" w:evenHBand="0" w:firstRowFirstColumn="0" w:firstRowLastColumn="0" w:lastRowFirstColumn="0" w:lastRowLastColumn="0"/>
            </w:pPr>
            <w:r w:rsidRPr="0057041A">
              <w:t>Cricket: The Ashes 2nd Test Day 5</w:t>
            </w:r>
          </w:p>
        </w:tc>
        <w:tc>
          <w:tcPr>
            <w:tcW w:w="2013" w:type="dxa"/>
          </w:tcPr>
          <w:p w14:paraId="3890C295" w14:textId="537D97E7" w:rsidR="0057041A" w:rsidRDefault="0057041A" w:rsidP="0057041A">
            <w:pPr>
              <w:cnfStyle w:val="000000000000" w:firstRow="0" w:lastRow="0" w:firstColumn="0" w:lastColumn="0" w:oddVBand="0" w:evenVBand="0" w:oddHBand="0" w:evenHBand="0" w:firstRowFirstColumn="0" w:firstRowLastColumn="0" w:lastRowFirstColumn="0" w:lastRowLastColumn="0"/>
            </w:pPr>
            <w:r w:rsidRPr="0057041A">
              <w:t>394</w:t>
            </w:r>
          </w:p>
        </w:tc>
      </w:tr>
      <w:tr w:rsidR="0057041A" w14:paraId="2930F3F6" w14:textId="77777777" w:rsidTr="00A03D2F">
        <w:trPr>
          <w:cnfStyle w:val="010000000000" w:firstRow="0" w:lastRow="1" w:firstColumn="0" w:lastColumn="0" w:oddVBand="0" w:evenVBand="0" w:oddHBand="0"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1418" w:type="dxa"/>
            <w:shd w:val="clear" w:color="auto" w:fill="F2F2F2" w:themeFill="background1" w:themeFillShade="F2"/>
          </w:tcPr>
          <w:p w14:paraId="78AFC06E" w14:textId="2A50699D" w:rsidR="0057041A" w:rsidRDefault="0057041A" w:rsidP="0057041A">
            <w:r>
              <w:t>10</w:t>
            </w:r>
          </w:p>
        </w:tc>
        <w:tc>
          <w:tcPr>
            <w:tcW w:w="6662" w:type="dxa"/>
            <w:shd w:val="clear" w:color="auto" w:fill="F2F2F2" w:themeFill="background1" w:themeFillShade="F2"/>
          </w:tcPr>
          <w:p w14:paraId="09763293" w14:textId="32661BC3" w:rsidR="0057041A" w:rsidRPr="0057041A" w:rsidRDefault="0057041A" w:rsidP="00904AB6">
            <w:pPr>
              <w:pStyle w:val="Normaldisclaimerpage"/>
              <w:cnfStyle w:val="010000000000" w:firstRow="0" w:lastRow="1" w:firstColumn="0" w:lastColumn="0" w:oddVBand="0" w:evenVBand="0" w:oddHBand="0" w:evenHBand="0" w:firstRowFirstColumn="0" w:firstRowLastColumn="0" w:lastRowFirstColumn="0" w:lastRowLastColumn="0"/>
            </w:pPr>
            <w:r w:rsidRPr="00C566DA">
              <w:rPr>
                <w:b w:val="0"/>
              </w:rPr>
              <w:t>AFL:</w:t>
            </w:r>
            <w:r w:rsidRPr="0057041A">
              <w:t xml:space="preserve"> </w:t>
            </w:r>
            <w:r w:rsidR="00904AB6">
              <w:rPr>
                <w:b w:val="0"/>
              </w:rPr>
              <w:t xml:space="preserve">Preliminary Final </w:t>
            </w:r>
            <w:r w:rsidRPr="00904AB6">
              <w:rPr>
                <w:b w:val="0"/>
              </w:rPr>
              <w:t>#2</w:t>
            </w:r>
            <w:r w:rsidR="00904AB6">
              <w:rPr>
                <w:b w:val="0"/>
              </w:rPr>
              <w:t>:</w:t>
            </w:r>
            <w:r w:rsidRPr="00904AB6">
              <w:rPr>
                <w:b w:val="0"/>
              </w:rPr>
              <w:t xml:space="preserve"> Port Adelaide v Western Bulldogs</w:t>
            </w:r>
          </w:p>
        </w:tc>
        <w:tc>
          <w:tcPr>
            <w:tcW w:w="2013" w:type="dxa"/>
            <w:shd w:val="clear" w:color="auto" w:fill="F2F2F2" w:themeFill="background1" w:themeFillShade="F2"/>
          </w:tcPr>
          <w:p w14:paraId="167EF990" w14:textId="77B27C6D" w:rsidR="0057041A" w:rsidRPr="0057041A" w:rsidRDefault="0057041A" w:rsidP="0057041A">
            <w:pPr>
              <w:cnfStyle w:val="010000000000" w:firstRow="0" w:lastRow="1" w:firstColumn="0" w:lastColumn="0" w:oddVBand="0" w:evenVBand="0" w:oddHBand="0" w:evenHBand="0" w:firstRowFirstColumn="0" w:firstRowLastColumn="0" w:lastRowFirstColumn="0" w:lastRowLastColumn="0"/>
              <w:rPr>
                <w:b w:val="0"/>
              </w:rPr>
            </w:pPr>
            <w:r w:rsidRPr="0057041A">
              <w:rPr>
                <w:b w:val="0"/>
              </w:rPr>
              <w:t>389</w:t>
            </w:r>
          </w:p>
        </w:tc>
      </w:tr>
    </w:tbl>
    <w:p w14:paraId="3F94A4AE" w14:textId="1F59BCEE" w:rsidR="00F444C9" w:rsidRPr="004F70AB" w:rsidRDefault="00F444C9" w:rsidP="00DA3E51">
      <w:pPr>
        <w:pStyle w:val="Sourcenotes"/>
        <w:rPr>
          <w:rFonts w:ascii="Arial" w:hAnsi="Arial" w:cs="Arial"/>
          <w:szCs w:val="16"/>
          <w:lang w:val="en-US"/>
        </w:rPr>
      </w:pPr>
      <w:r w:rsidRPr="00DA3D36">
        <w:t xml:space="preserve">Source: OzTAM </w:t>
      </w:r>
      <w:r w:rsidR="005715B9">
        <w:rPr>
          <w:lang w:val="en-US"/>
        </w:rPr>
        <w:t xml:space="preserve">National STV | Consolidated 7 | Total Audience | 2021. Data copyright </w:t>
      </w:r>
      <w:r w:rsidR="005715B9">
        <w:rPr>
          <w:rFonts w:cstheme="minorHAnsi"/>
          <w:lang w:val="en-US"/>
        </w:rPr>
        <w:t>©</w:t>
      </w:r>
      <w:r w:rsidR="005715B9">
        <w:rPr>
          <w:lang w:val="en-US"/>
        </w:rPr>
        <w:t xml:space="preserve"> OzTAM 2022</w:t>
      </w:r>
      <w:r w:rsidR="00777898">
        <w:rPr>
          <w:lang w:val="en-US"/>
        </w:rPr>
        <w:t xml:space="preserve"> </w:t>
      </w:r>
      <w:r w:rsidR="00777898">
        <w:rPr>
          <w:rFonts w:cs="Times New Roman"/>
          <w:szCs w:val="24"/>
          <w:lang w:val="en-US"/>
        </w:rPr>
        <w:t>The data may not be reproduced, published or communicated (electronically or in hard copy) in whole or in part, without prior written consent of OzTAM</w:t>
      </w:r>
      <w:r w:rsidR="005715B9">
        <w:rPr>
          <w:lang w:val="en-US"/>
        </w:rPr>
        <w:t xml:space="preserve">. </w:t>
      </w:r>
    </w:p>
    <w:p w14:paraId="16099299" w14:textId="5B882B9D" w:rsidR="001D6ABE" w:rsidRDefault="00FF3BFF" w:rsidP="00F444C9">
      <w:r>
        <w:t>Notwithstanding the changes that are taking place in media markets, there remains a proportion of Australians who rely on free-to-air television for news, information and entertainment as lack of internet services in their local area, or internet plan data caps, prevent or deter the use of video on demand and streaming services.</w:t>
      </w:r>
      <w:r>
        <w:rPr>
          <w:rStyle w:val="FootnoteReference"/>
        </w:rPr>
        <w:footnoteReference w:id="36"/>
      </w:r>
    </w:p>
    <w:p w14:paraId="1BA4E938" w14:textId="17372163" w:rsidR="00F061A0" w:rsidRDefault="00F061A0" w:rsidP="00F444C9">
      <w:r>
        <w:t>Broadcasters have previously commented on the importance of sports to their business model:</w:t>
      </w:r>
    </w:p>
    <w:p w14:paraId="546BD83A" w14:textId="77777777" w:rsidR="00F061A0" w:rsidRDefault="00F061A0" w:rsidP="00F061A0">
      <w:pPr>
        <w:pStyle w:val="Quote"/>
      </w:pPr>
      <w:r>
        <w:t>When a sports fan wants to catch their team’s blockbuster game, their predominant choice is commercial television.</w:t>
      </w:r>
    </w:p>
    <w:p w14:paraId="4852FFC3" w14:textId="7FC510E4" w:rsidR="00F061A0" w:rsidRDefault="00F061A0" w:rsidP="00F061A0">
      <w:pPr>
        <w:pStyle w:val="Quote"/>
      </w:pPr>
      <w:r>
        <w:t>When a sports organisation wants to reach their audience, they turn to commercial free-to-air television.</w:t>
      </w:r>
    </w:p>
    <w:p w14:paraId="332ABBC0" w14:textId="77777777" w:rsidR="00F061A0" w:rsidRPr="00AD7703" w:rsidRDefault="00F061A0" w:rsidP="00F061A0">
      <w:pPr>
        <w:pStyle w:val="Quote"/>
      </w:pPr>
      <w:r>
        <w:t xml:space="preserve">That dominance of both audiences and advertisers is what keeps commercial television relevant and profitable. </w:t>
      </w:r>
      <w:r>
        <w:rPr>
          <w:b w:val="0"/>
        </w:rPr>
        <w:br/>
        <w:t>James Warburton, Managing Director and CEO Seven West Media</w:t>
      </w:r>
      <w:r>
        <w:rPr>
          <w:rStyle w:val="FootnoteReference"/>
          <w:b w:val="0"/>
        </w:rPr>
        <w:footnoteReference w:id="37"/>
      </w:r>
    </w:p>
    <w:p w14:paraId="52D610A6" w14:textId="77777777" w:rsidR="000A7BBF" w:rsidRDefault="000A7BBF" w:rsidP="00825E73">
      <w:pPr>
        <w:spacing w:before="240" w:after="240"/>
      </w:pPr>
    </w:p>
    <w:p w14:paraId="06ED29AE" w14:textId="7F827CE4" w:rsidR="00F061A0" w:rsidRDefault="00A63F99" w:rsidP="00825E73">
      <w:pPr>
        <w:spacing w:before="240" w:after="240"/>
      </w:pPr>
      <w:r>
        <w:t>While</w:t>
      </w:r>
      <w:r w:rsidR="00F061A0">
        <w:t xml:space="preserve"> sporting organisations find the arrangements st</w:t>
      </w:r>
      <w:r>
        <w:t>r</w:t>
      </w:r>
      <w:r w:rsidR="00F061A0">
        <w:t>uck with broadcasters to be equally important:</w:t>
      </w:r>
    </w:p>
    <w:p w14:paraId="362D3634" w14:textId="57355522" w:rsidR="00632855" w:rsidRPr="00AD7703" w:rsidRDefault="00632855" w:rsidP="00632855">
      <w:pPr>
        <w:pStyle w:val="Quote"/>
      </w:pPr>
      <w:r>
        <w:t>Broadcast deals generate the largest revenue for our game and having all three broadcasters committed until 2027, at a record level for the game, provides long-term financial certainty to invest and plan for the game’s future and the futures of our clubs</w:t>
      </w:r>
      <w:r w:rsidRPr="00AD7703">
        <w:t>.</w:t>
      </w:r>
      <w:r>
        <w:rPr>
          <w:b w:val="0"/>
        </w:rPr>
        <w:br/>
        <w:t>Peter V’Landy</w:t>
      </w:r>
      <w:r w:rsidR="00524233">
        <w:rPr>
          <w:b w:val="0"/>
        </w:rPr>
        <w:t>s</w:t>
      </w:r>
      <w:r w:rsidR="00730048">
        <w:rPr>
          <w:b w:val="0"/>
        </w:rPr>
        <w:t>,</w:t>
      </w:r>
      <w:r>
        <w:rPr>
          <w:b w:val="0"/>
        </w:rPr>
        <w:t xml:space="preserve"> A</w:t>
      </w:r>
      <w:r w:rsidR="00730048">
        <w:rPr>
          <w:b w:val="0"/>
        </w:rPr>
        <w:t xml:space="preserve">ustralian </w:t>
      </w:r>
      <w:r>
        <w:rPr>
          <w:b w:val="0"/>
        </w:rPr>
        <w:t>R</w:t>
      </w:r>
      <w:r w:rsidR="00730048">
        <w:rPr>
          <w:b w:val="0"/>
        </w:rPr>
        <w:t xml:space="preserve">ugby </w:t>
      </w:r>
      <w:r>
        <w:rPr>
          <w:b w:val="0"/>
        </w:rPr>
        <w:t>L</w:t>
      </w:r>
      <w:r w:rsidR="00730048">
        <w:rPr>
          <w:b w:val="0"/>
        </w:rPr>
        <w:t xml:space="preserve">eague </w:t>
      </w:r>
      <w:r>
        <w:rPr>
          <w:b w:val="0"/>
        </w:rPr>
        <w:t>C</w:t>
      </w:r>
      <w:r w:rsidR="00730048">
        <w:rPr>
          <w:b w:val="0"/>
        </w:rPr>
        <w:t>ommission</w:t>
      </w:r>
      <w:r>
        <w:rPr>
          <w:b w:val="0"/>
        </w:rPr>
        <w:t xml:space="preserve"> chairman</w:t>
      </w:r>
      <w:r>
        <w:rPr>
          <w:rStyle w:val="FootnoteReference"/>
          <w:b w:val="0"/>
        </w:rPr>
        <w:footnoteReference w:id="38"/>
      </w:r>
    </w:p>
    <w:p w14:paraId="64439A6B" w14:textId="08DB865A" w:rsidR="00777898" w:rsidRDefault="00777898" w:rsidP="002D2A7A">
      <w:bookmarkStart w:id="168" w:name="_Hlk111736343"/>
      <w:r>
        <w:br w:type="page"/>
      </w:r>
    </w:p>
    <w:p w14:paraId="697CA30A" w14:textId="456A7CE3" w:rsidR="00721D6F" w:rsidRPr="00CD622B" w:rsidRDefault="00721D6F" w:rsidP="00B22819">
      <w:pPr>
        <w:pStyle w:val="Heading2"/>
      </w:pPr>
      <w:bookmarkStart w:id="169" w:name="_Toc112233675"/>
      <w:bookmarkStart w:id="170" w:name="_Toc112326018"/>
      <w:bookmarkStart w:id="171" w:name="_Toc113028187"/>
      <w:bookmarkStart w:id="172" w:name="_Toc113361266"/>
      <w:bookmarkStart w:id="173" w:name="_Toc114476245"/>
      <w:bookmarkStart w:id="174" w:name="_Toc114487292"/>
      <w:bookmarkStart w:id="175" w:name="_Toc116046026"/>
      <w:bookmarkStart w:id="176" w:name="_Toc116061404"/>
      <w:bookmarkStart w:id="177" w:name="_Toc116292943"/>
      <w:r>
        <w:lastRenderedPageBreak/>
        <w:t>The value of sports rights continues to grow</w:t>
      </w:r>
      <w:bookmarkEnd w:id="169"/>
      <w:bookmarkEnd w:id="170"/>
      <w:bookmarkEnd w:id="171"/>
      <w:bookmarkEnd w:id="172"/>
      <w:bookmarkEnd w:id="173"/>
      <w:bookmarkEnd w:id="174"/>
      <w:bookmarkEnd w:id="175"/>
      <w:bookmarkEnd w:id="176"/>
      <w:bookmarkEnd w:id="177"/>
    </w:p>
    <w:bookmarkEnd w:id="168"/>
    <w:p w14:paraId="76E88C37" w14:textId="16FA090D" w:rsidR="000D7601" w:rsidRDefault="00721D6F" w:rsidP="00DD6784">
      <w:r w:rsidRPr="00435014">
        <w:t xml:space="preserve">The acquisition of </w:t>
      </w:r>
      <w:r w:rsidR="004A3B4A">
        <w:t>media</w:t>
      </w:r>
      <w:r w:rsidR="004A3B4A" w:rsidRPr="00435014">
        <w:t xml:space="preserve"> </w:t>
      </w:r>
      <w:r w:rsidRPr="00435014">
        <w:t xml:space="preserve">rights to </w:t>
      </w:r>
      <w:r w:rsidR="004A3B4A">
        <w:t xml:space="preserve">sporting </w:t>
      </w:r>
      <w:r w:rsidRPr="00435014">
        <w:t xml:space="preserve">events has long been </w:t>
      </w:r>
      <w:r w:rsidR="00D3584B">
        <w:t>critical to broadcasters to attract audiences</w:t>
      </w:r>
      <w:r w:rsidR="004A3B4A">
        <w:t>,</w:t>
      </w:r>
      <w:r w:rsidR="00D3584B">
        <w:t xml:space="preserve"> and </w:t>
      </w:r>
      <w:r w:rsidR="004A3B4A">
        <w:t>the willingness of broadcasters to invest significant sums to secure these rights has been increasing.</w:t>
      </w:r>
      <w:r w:rsidR="000D7601">
        <w:t xml:space="preserve"> Although the </w:t>
      </w:r>
      <w:r w:rsidR="0042078D">
        <w:t xml:space="preserve">full </w:t>
      </w:r>
      <w:r w:rsidR="000D7601">
        <w:t xml:space="preserve">details of these rights deals are not always </w:t>
      </w:r>
      <w:r w:rsidR="00493428">
        <w:t>public</w:t>
      </w:r>
      <w:r w:rsidR="000D7601">
        <w:t xml:space="preserve">, given the commercial nature of the information, the available data suggests that this value is continuing to grow. </w:t>
      </w:r>
      <w:r w:rsidR="004A3B4A">
        <w:t xml:space="preserve"> </w:t>
      </w:r>
    </w:p>
    <w:p w14:paraId="128CFD9A" w14:textId="3D9E7518" w:rsidR="004A3B4A" w:rsidRDefault="004A3B4A" w:rsidP="00DD6784">
      <w:r>
        <w:t xml:space="preserve">The recent announcement of the media rights arrangements for the AFL for the </w:t>
      </w:r>
      <w:r w:rsidR="00D3584B">
        <w:t xml:space="preserve">period </w:t>
      </w:r>
      <w:r w:rsidR="00606ED2">
        <w:t xml:space="preserve">2025 </w:t>
      </w:r>
      <w:r w:rsidR="00D3584B">
        <w:t xml:space="preserve">to </w:t>
      </w:r>
      <w:r w:rsidR="004D420F">
        <w:t>2031</w:t>
      </w:r>
      <w:r>
        <w:t xml:space="preserve"> represents a high point in sports contracts in Australia, with a total value of </w:t>
      </w:r>
      <w:r w:rsidR="004D420F">
        <w:t xml:space="preserve">$4.5 billion </w:t>
      </w:r>
      <w:r w:rsidR="00D3584B">
        <w:t>or</w:t>
      </w:r>
      <w:r w:rsidR="004D420F">
        <w:t xml:space="preserve"> $64</w:t>
      </w:r>
      <w:r w:rsidR="00EB42C5">
        <w:t>3</w:t>
      </w:r>
      <w:r w:rsidR="004D420F">
        <w:t xml:space="preserve"> million per </w:t>
      </w:r>
      <w:r>
        <w:t>year over the life of the agreement.</w:t>
      </w:r>
      <w:r w:rsidR="00DF70F5">
        <w:rPr>
          <w:rStyle w:val="FootnoteReference"/>
        </w:rPr>
        <w:footnoteReference w:id="39"/>
      </w:r>
      <w:r w:rsidR="009249C6">
        <w:t xml:space="preserve"> L</w:t>
      </w:r>
      <w:r>
        <w:t>onger</w:t>
      </w:r>
      <w:r w:rsidR="00FA7C30">
        <w:t>-</w:t>
      </w:r>
      <w:r>
        <w:t>term trend</w:t>
      </w:r>
      <w:r w:rsidR="000D7601">
        <w:t xml:space="preserve">s in the </w:t>
      </w:r>
      <w:r>
        <w:t>value of</w:t>
      </w:r>
      <w:r w:rsidR="000D7601">
        <w:t xml:space="preserve"> Australian</w:t>
      </w:r>
      <w:r>
        <w:t xml:space="preserve"> media rights</w:t>
      </w:r>
      <w:r w:rsidR="000D7601">
        <w:t xml:space="preserve"> are depicted in </w:t>
      </w:r>
      <w:r w:rsidR="00D3584B">
        <w:t>Figure</w:t>
      </w:r>
      <w:r w:rsidR="000D7601">
        <w:t> </w:t>
      </w:r>
      <w:r w:rsidR="00D3584B">
        <w:t>4.</w:t>
      </w:r>
    </w:p>
    <w:p w14:paraId="070E68FE" w14:textId="0803CE92" w:rsidR="00721D6F" w:rsidRDefault="00721D6F" w:rsidP="00DD6784"/>
    <w:p w14:paraId="52B28F00" w14:textId="2C181BD5" w:rsidR="003E049C" w:rsidRDefault="003E049C" w:rsidP="003E049C">
      <w:pPr>
        <w:pStyle w:val="Caption"/>
      </w:pPr>
      <w:bookmarkStart w:id="178" w:name="_Toc112235050"/>
      <w:bookmarkStart w:id="179" w:name="_Toc114487433"/>
      <w:r>
        <w:t>Figure 4: Value of select sports broadcasting rights in the Australian market</w:t>
      </w:r>
      <w:bookmarkEnd w:id="178"/>
      <w:bookmarkEnd w:id="179"/>
    </w:p>
    <w:p w14:paraId="04749F75" w14:textId="416D00B5" w:rsidR="00D00B77" w:rsidRDefault="00C54613" w:rsidP="00DD6784">
      <w:r>
        <w:rPr>
          <w:noProof/>
          <w:lang w:eastAsia="en-AU"/>
        </w:rPr>
        <w:drawing>
          <wp:inline distT="0" distB="0" distL="0" distR="0" wp14:anchorId="3CB44DE5" wp14:editId="477AD31E">
            <wp:extent cx="6263640" cy="3966210"/>
            <wp:effectExtent l="0" t="0" r="3810" b="0"/>
            <wp:docPr id="230" name="Chart 230" descr="This is a stacked area chart showing the value of selected sports broadcasting rights in Australia. The chart contains AFL, NRL, Formula 1, Cricket (Australian international team), Super Rugby, A-League, English Premier League, V8 Supercars and the Olympics. In 2001, the value of sports rights was approximately $300 million and has increased steadily to a peak of $1.4 billion in 2020.">
              <a:extLst xmlns:a="http://schemas.openxmlformats.org/drawingml/2006/main">
                <a:ext uri="{FF2B5EF4-FFF2-40B4-BE49-F238E27FC236}">
                  <a16:creationId xmlns:a16="http://schemas.microsoft.com/office/drawing/2014/main" id="{FD8CCED8-8714-46B4-AE0D-B4B56D6AA4F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3BB5F849" w14:textId="4ADD7393" w:rsidR="003E049C" w:rsidRDefault="003E049C" w:rsidP="003E049C">
      <w:pPr>
        <w:pStyle w:val="Sourcenotes"/>
        <w:rPr>
          <w:lang w:val="en-US"/>
        </w:rPr>
      </w:pPr>
      <w:r>
        <w:t xml:space="preserve">Source: SportBusiness </w:t>
      </w:r>
      <w:r w:rsidR="00CC3461">
        <w:rPr>
          <w:lang w:val="en-US"/>
        </w:rPr>
        <w:t xml:space="preserve">Rights Tracker. Includes </w:t>
      </w:r>
      <w:r w:rsidR="00774575">
        <w:rPr>
          <w:lang w:val="en-US"/>
        </w:rPr>
        <w:t>available values of sports</w:t>
      </w:r>
      <w:r w:rsidR="00CC3461">
        <w:rPr>
          <w:lang w:val="en-US"/>
        </w:rPr>
        <w:t xml:space="preserve"> rights</w:t>
      </w:r>
      <w:r w:rsidR="0009405B">
        <w:rPr>
          <w:lang w:val="en-US"/>
        </w:rPr>
        <w:t xml:space="preserve"> contracts</w:t>
      </w:r>
      <w:r w:rsidR="00CC3461">
        <w:rPr>
          <w:lang w:val="en-US"/>
        </w:rPr>
        <w:t xml:space="preserve"> for live and delayed free-to-air broadcast, pay</w:t>
      </w:r>
      <w:r w:rsidR="004A3B4A">
        <w:rPr>
          <w:lang w:val="en-US"/>
        </w:rPr>
        <w:t xml:space="preserve"> </w:t>
      </w:r>
      <w:r w:rsidR="00CC3461">
        <w:rPr>
          <w:lang w:val="en-US"/>
        </w:rPr>
        <w:t>TV, online/streaming, mobile, exclusive and non-exclusive. Available values of sports rights contracts have been annualised and summed by event. Converted from USD to AUD using average annual exchange rate, and indexed to 2022 dollars with CPI.</w:t>
      </w:r>
    </w:p>
    <w:p w14:paraId="2AB04E4A" w14:textId="6352FC4D" w:rsidR="004735C1" w:rsidRPr="009409CA" w:rsidRDefault="004735C1" w:rsidP="003E049C">
      <w:pPr>
        <w:pStyle w:val="Sourcenotes"/>
        <w:rPr>
          <w:lang w:val="en-US"/>
        </w:rPr>
      </w:pPr>
      <w:r>
        <w:rPr>
          <w:lang w:val="en-US"/>
        </w:rPr>
        <w:t>Notes: the reduction in value for sports rights in 2020 and 2021 reflects adjustments to contracting and other arrangements stemming from COVID-19.</w:t>
      </w:r>
    </w:p>
    <w:p w14:paraId="308325AA" w14:textId="324FEB56" w:rsidR="003E049C" w:rsidRPr="00FA7C30" w:rsidRDefault="003E049C" w:rsidP="00FA7C30">
      <w:pPr>
        <w:pStyle w:val="Sourcenotes"/>
        <w:rPr>
          <w:sz w:val="22"/>
        </w:rPr>
      </w:pPr>
    </w:p>
    <w:p w14:paraId="358EA1A9" w14:textId="4285CABB" w:rsidR="00721D6F" w:rsidRPr="004A49DE" w:rsidRDefault="00721D6F" w:rsidP="00FA7C30">
      <w:pPr>
        <w:pStyle w:val="ListParagraph"/>
        <w:numPr>
          <w:ilvl w:val="0"/>
          <w:numId w:val="53"/>
        </w:numPr>
        <w:shd w:val="clear" w:color="auto" w:fill="FFFFFF"/>
        <w:spacing w:after="120" w:line="240" w:lineRule="auto"/>
        <w:ind w:left="357" w:hanging="357"/>
        <w:contextualSpacing w:val="0"/>
        <w:textAlignment w:val="baseline"/>
      </w:pPr>
      <w:r w:rsidRPr="004A49DE">
        <w:t>The 2017 AFL rights deal saw the broadcast rights exceed $2.5 billion over six years (around $400 million per year). In 2022, an extension of this deal to 2024 was signed for $946 million.</w:t>
      </w:r>
      <w:r w:rsidR="00EB42C5">
        <w:rPr>
          <w:rStyle w:val="FootnoteReference"/>
        </w:rPr>
        <w:footnoteReference w:id="40"/>
      </w:r>
      <w:r w:rsidRPr="004A49DE">
        <w:t xml:space="preserve"> In contrast, in 1992, the AFL broadcast rights were purchased for $100 million (around $17 million per year over six years).</w:t>
      </w:r>
      <w:r w:rsidR="00EB42C5">
        <w:rPr>
          <w:rStyle w:val="FootnoteReference"/>
        </w:rPr>
        <w:footnoteReference w:id="41"/>
      </w:r>
      <w:r w:rsidR="007C715C">
        <w:t xml:space="preserve"> </w:t>
      </w:r>
      <w:r w:rsidR="004A3B4A">
        <w:t xml:space="preserve">As </w:t>
      </w:r>
      <w:r w:rsidR="004A3B4A">
        <w:lastRenderedPageBreak/>
        <w:t>noted above, the most recent rights deal – covering the period 2025 to 2031 – eclipsed</w:t>
      </w:r>
      <w:r w:rsidR="00FA7C30">
        <w:t xml:space="preserve"> these</w:t>
      </w:r>
      <w:r w:rsidR="004A3B4A">
        <w:t xml:space="preserve"> previous deals and represented an increase of close to 50 per cent on a per annum basis compared with the arrangements in place for the period 2017 to 2024.</w:t>
      </w:r>
    </w:p>
    <w:p w14:paraId="572E33C2" w14:textId="3B182CBA" w:rsidR="00DA5485" w:rsidRPr="004A49DE" w:rsidRDefault="00DA5485" w:rsidP="00FA7C30">
      <w:pPr>
        <w:pStyle w:val="ListParagraph"/>
        <w:numPr>
          <w:ilvl w:val="0"/>
          <w:numId w:val="53"/>
        </w:numPr>
        <w:shd w:val="clear" w:color="auto" w:fill="FFFFFF"/>
        <w:spacing w:after="120" w:line="240" w:lineRule="auto"/>
        <w:ind w:left="357" w:hanging="357"/>
        <w:contextualSpacing w:val="0"/>
        <w:textAlignment w:val="baseline"/>
      </w:pPr>
      <w:r w:rsidRPr="004A49DE">
        <w:t xml:space="preserve">In 2015, the NRL secured a $1.8 billion rights deal spanning </w:t>
      </w:r>
      <w:r w:rsidR="00FA7C30">
        <w:t>five</w:t>
      </w:r>
      <w:r w:rsidRPr="004A49DE">
        <w:t xml:space="preserve"> years </w:t>
      </w:r>
      <w:r w:rsidR="00FA7C30">
        <w:t>from</w:t>
      </w:r>
      <w:r w:rsidRPr="004A49DE">
        <w:t xml:space="preserve"> 2018</w:t>
      </w:r>
      <w:r w:rsidR="00FA7C30">
        <w:t xml:space="preserve"> to </w:t>
      </w:r>
      <w:r w:rsidRPr="004A49DE">
        <w:t xml:space="preserve">2022, with the partnership consisting of the ARL Commission, </w:t>
      </w:r>
      <w:r w:rsidR="002E3510">
        <w:t xml:space="preserve">the </w:t>
      </w:r>
      <w:r w:rsidRPr="004A49DE">
        <w:t>Nine Network (commercial rights), News Corp (</w:t>
      </w:r>
      <w:r w:rsidR="00C37B1D" w:rsidRPr="004A49DE">
        <w:t>Fox</w:t>
      </w:r>
      <w:r w:rsidR="00C37B1D">
        <w:t> </w:t>
      </w:r>
      <w:r w:rsidRPr="004A49DE">
        <w:t>Sports) (subscription rights) and Telstra (digital rights). This deal was 70 per cent higher than the previous deal, which came in at $500 million over 6 years. The new 2023-2027 deal is valued at $2 billion, or $400</w:t>
      </w:r>
      <w:r w:rsidR="00FA7C30">
        <w:t> </w:t>
      </w:r>
      <w:r w:rsidRPr="004A49DE">
        <w:t>million per annum, an increase of $40 million per annum from the previous deal.</w:t>
      </w:r>
      <w:r w:rsidRPr="004A49DE">
        <w:rPr>
          <w:vertAlign w:val="superscript"/>
        </w:rPr>
        <w:footnoteReference w:id="42"/>
      </w:r>
    </w:p>
    <w:p w14:paraId="50F2BECC" w14:textId="0DF1EB6D" w:rsidR="00721D6F" w:rsidRDefault="00721D6F" w:rsidP="00FA7C30">
      <w:pPr>
        <w:pStyle w:val="ListParagraph"/>
        <w:numPr>
          <w:ilvl w:val="0"/>
          <w:numId w:val="53"/>
        </w:numPr>
        <w:shd w:val="clear" w:color="auto" w:fill="FFFFFF"/>
        <w:spacing w:after="120" w:line="240" w:lineRule="auto"/>
        <w:ind w:left="357" w:hanging="357"/>
        <w:contextualSpacing w:val="0"/>
        <w:textAlignment w:val="baseline"/>
      </w:pPr>
      <w:r w:rsidRPr="004A49DE">
        <w:t xml:space="preserve">In 2018, the broadcast rights to the Australian Open </w:t>
      </w:r>
      <w:r w:rsidR="00A570B2">
        <w:t>tennis tournament</w:t>
      </w:r>
      <w:r w:rsidRPr="004A49DE">
        <w:t xml:space="preserve"> (and lead-up tournaments in Sydney, Brisbane and Hobart) were sold to </w:t>
      </w:r>
      <w:r w:rsidR="005C745F">
        <w:t xml:space="preserve">the Nine Network </w:t>
      </w:r>
      <w:r w:rsidRPr="004A49DE">
        <w:t>for $300 million over five years starting in 2020</w:t>
      </w:r>
      <w:r w:rsidR="00DA5485" w:rsidRPr="004A49DE">
        <w:t xml:space="preserve"> (</w:t>
      </w:r>
      <w:r w:rsidR="00D134DE">
        <w:t>equating to</w:t>
      </w:r>
      <w:r w:rsidR="00DA5485" w:rsidRPr="004A49DE">
        <w:t xml:space="preserve"> $60 million per annum)</w:t>
      </w:r>
      <w:r w:rsidRPr="004A49DE">
        <w:t>.</w:t>
      </w:r>
      <w:r w:rsidR="008A5023">
        <w:rPr>
          <w:rStyle w:val="FootnoteReference"/>
        </w:rPr>
        <w:footnoteReference w:id="43"/>
      </w:r>
      <w:r w:rsidRPr="004A49DE">
        <w:t xml:space="preserve"> This deal was almost double the previous deal with </w:t>
      </w:r>
      <w:r w:rsidR="005C745F">
        <w:t xml:space="preserve">the </w:t>
      </w:r>
      <w:r w:rsidR="00FF3BFF">
        <w:t>Seven Network</w:t>
      </w:r>
      <w:r w:rsidRPr="004A49DE">
        <w:t>, believed to be around $35 million per annum.</w:t>
      </w:r>
      <w:r w:rsidR="008A5023">
        <w:rPr>
          <w:rStyle w:val="FootnoteReference"/>
        </w:rPr>
        <w:footnoteReference w:id="44"/>
      </w:r>
    </w:p>
    <w:p w14:paraId="37D4E4C0" w14:textId="497209C2" w:rsidR="00CB5269" w:rsidRPr="004A49DE" w:rsidRDefault="00CB5269" w:rsidP="00FA7C30">
      <w:pPr>
        <w:pStyle w:val="ListParagraph"/>
        <w:numPr>
          <w:ilvl w:val="0"/>
          <w:numId w:val="53"/>
        </w:numPr>
        <w:shd w:val="clear" w:color="auto" w:fill="FFFFFF"/>
        <w:spacing w:after="120" w:line="240" w:lineRule="auto"/>
        <w:ind w:left="357" w:hanging="357"/>
        <w:contextualSpacing w:val="0"/>
        <w:textAlignment w:val="baseline"/>
      </w:pPr>
      <w:r w:rsidRPr="004A49DE">
        <w:t>The Melbourne Cup broadcast rights were secured by Channel Ten in 2018 for $100 million over five years from 2019.</w:t>
      </w:r>
      <w:r w:rsidR="003C44BD">
        <w:rPr>
          <w:rStyle w:val="FootnoteReference"/>
        </w:rPr>
        <w:footnoteReference w:id="45"/>
      </w:r>
      <w:r w:rsidRPr="004A49DE">
        <w:t xml:space="preserve"> This is the </w:t>
      </w:r>
      <w:r w:rsidR="005A6937">
        <w:t xml:space="preserve">biggest broadcasting deal </w:t>
      </w:r>
      <w:r w:rsidRPr="004A49DE">
        <w:t>in the history of Australian racing</w:t>
      </w:r>
      <w:r w:rsidR="001B4142">
        <w:t xml:space="preserve"> </w:t>
      </w:r>
      <w:r w:rsidR="005A6937">
        <w:t xml:space="preserve">and includes </w:t>
      </w:r>
      <w:r w:rsidR="001B4142">
        <w:t xml:space="preserve">the </w:t>
      </w:r>
      <w:r w:rsidR="005A6937">
        <w:t>rights to cover the whole of the race day program</w:t>
      </w:r>
      <w:r w:rsidRPr="004A49DE">
        <w:t>.</w:t>
      </w:r>
    </w:p>
    <w:p w14:paraId="4365EFE7" w14:textId="4E591A86" w:rsidR="00CB5269" w:rsidRPr="004A49DE" w:rsidRDefault="00CB5269" w:rsidP="00FA7C30">
      <w:pPr>
        <w:pStyle w:val="ListParagraph"/>
        <w:numPr>
          <w:ilvl w:val="0"/>
          <w:numId w:val="53"/>
        </w:numPr>
        <w:shd w:val="clear" w:color="auto" w:fill="FFFFFF"/>
        <w:spacing w:after="120" w:line="240" w:lineRule="auto"/>
        <w:ind w:left="357" w:hanging="357"/>
        <w:contextualSpacing w:val="0"/>
        <w:textAlignment w:val="baseline"/>
      </w:pPr>
      <w:r w:rsidRPr="004A49DE">
        <w:t>In 2018</w:t>
      </w:r>
      <w:r w:rsidR="00904AB6">
        <w:t>,</w:t>
      </w:r>
      <w:r w:rsidRPr="004A49DE">
        <w:t xml:space="preserve"> Cricket Australia announced a six-year broadcast deal with the Seven Network and Fox Sports, worth $1.</w:t>
      </w:r>
      <w:r w:rsidR="00904AB6">
        <w:t>2</w:t>
      </w:r>
      <w:r w:rsidRPr="004A49DE">
        <w:t xml:space="preserve"> billion.</w:t>
      </w:r>
      <w:r w:rsidR="00EB34E6" w:rsidRPr="004A49DE">
        <w:rPr>
          <w:vertAlign w:val="superscript"/>
        </w:rPr>
        <w:footnoteReference w:id="46"/>
      </w:r>
      <w:r w:rsidRPr="004A49DE">
        <w:t xml:space="preserve"> This deal doubled the value of the previous five-year deal with </w:t>
      </w:r>
      <w:r w:rsidR="005C745F">
        <w:t>the Nine Network</w:t>
      </w:r>
      <w:r w:rsidR="00597DC5" w:rsidRPr="004A49DE">
        <w:t xml:space="preserve"> and </w:t>
      </w:r>
      <w:r w:rsidR="005C745F">
        <w:t>Network</w:t>
      </w:r>
      <w:r w:rsidR="005C745F" w:rsidRPr="004A49DE">
        <w:t xml:space="preserve"> </w:t>
      </w:r>
      <w:r w:rsidR="005C745F">
        <w:t>10</w:t>
      </w:r>
      <w:r w:rsidR="00FA7C30">
        <w:t>,</w:t>
      </w:r>
      <w:r w:rsidR="005C745F" w:rsidRPr="004A49DE">
        <w:t xml:space="preserve"> </w:t>
      </w:r>
      <w:r w:rsidR="00597DC5" w:rsidRPr="004A49DE">
        <w:t>worth $590 million</w:t>
      </w:r>
      <w:r w:rsidRPr="004A49DE">
        <w:t>.</w:t>
      </w:r>
      <w:r w:rsidR="006A6C12">
        <w:rPr>
          <w:rStyle w:val="FootnoteReference"/>
        </w:rPr>
        <w:footnoteReference w:id="47"/>
      </w:r>
    </w:p>
    <w:p w14:paraId="6EFC35D7" w14:textId="7E8E4C98" w:rsidR="00A060E9" w:rsidRPr="004A49DE" w:rsidRDefault="00A060E9" w:rsidP="00FA7C30">
      <w:pPr>
        <w:pStyle w:val="ListParagraph"/>
        <w:numPr>
          <w:ilvl w:val="0"/>
          <w:numId w:val="53"/>
        </w:numPr>
        <w:shd w:val="clear" w:color="auto" w:fill="FFFFFF"/>
        <w:spacing w:after="120" w:line="240" w:lineRule="auto"/>
        <w:ind w:left="357" w:hanging="357"/>
        <w:contextualSpacing w:val="0"/>
        <w:textAlignment w:val="baseline"/>
      </w:pPr>
      <w:r w:rsidRPr="004A49DE">
        <w:t xml:space="preserve">In 2014, </w:t>
      </w:r>
      <w:r w:rsidR="002E3510">
        <w:t xml:space="preserve">the </w:t>
      </w:r>
      <w:r w:rsidR="00FF3BFF">
        <w:t>Seven Network</w:t>
      </w:r>
      <w:r w:rsidR="00DC5A71" w:rsidRPr="004A49DE">
        <w:t xml:space="preserve"> paid $170</w:t>
      </w:r>
      <w:r w:rsidR="00DF77C3" w:rsidRPr="004A49DE">
        <w:t xml:space="preserve"> </w:t>
      </w:r>
      <w:r w:rsidR="00DC5A71" w:rsidRPr="004A49DE">
        <w:t xml:space="preserve">million for Olympic Games broadcasting rights </w:t>
      </w:r>
      <w:r w:rsidR="00DF77C3" w:rsidRPr="004A49DE">
        <w:t>starting with the 2016</w:t>
      </w:r>
      <w:r w:rsidR="00904AB6">
        <w:t> </w:t>
      </w:r>
      <w:r w:rsidR="00DF77C3" w:rsidRPr="004A49DE">
        <w:t>Rio Summer Olympics and</w:t>
      </w:r>
      <w:r w:rsidR="00DC5A71" w:rsidRPr="004A49DE">
        <w:t xml:space="preserve"> ending with the 2022 Beijing Winter Olympics</w:t>
      </w:r>
      <w:r w:rsidR="003C6CB5" w:rsidRPr="004A49DE">
        <w:t xml:space="preserve">, </w:t>
      </w:r>
      <w:r w:rsidR="00DF77C3" w:rsidRPr="004A49DE">
        <w:t>amounting</w:t>
      </w:r>
      <w:r w:rsidR="003C6CB5" w:rsidRPr="004A49DE">
        <w:t xml:space="preserve"> to</w:t>
      </w:r>
      <w:r w:rsidR="00DF77C3" w:rsidRPr="004A49DE">
        <w:t xml:space="preserve"> $42.5</w:t>
      </w:r>
      <w:r w:rsidR="00904AB6">
        <w:t> </w:t>
      </w:r>
      <w:r w:rsidR="00DF77C3" w:rsidRPr="004A49DE">
        <w:t xml:space="preserve">million per </w:t>
      </w:r>
      <w:r w:rsidR="00FA7C30">
        <w:t>G</w:t>
      </w:r>
      <w:r w:rsidR="00DF77C3" w:rsidRPr="004A49DE">
        <w:t>ame</w:t>
      </w:r>
      <w:r w:rsidR="00DA5485" w:rsidRPr="004A49DE">
        <w:t>s</w:t>
      </w:r>
      <w:r w:rsidR="00DC5A71" w:rsidRPr="004A49DE">
        <w:t>.</w:t>
      </w:r>
      <w:r w:rsidR="00F72EE8">
        <w:rPr>
          <w:rStyle w:val="FootnoteReference"/>
        </w:rPr>
        <w:footnoteReference w:id="48"/>
      </w:r>
      <w:r w:rsidR="00DF77C3" w:rsidRPr="004A49DE">
        <w:t xml:space="preserve"> This </w:t>
      </w:r>
      <w:r w:rsidR="00E73B13">
        <w:t>was</w:t>
      </w:r>
      <w:r w:rsidR="00DF77C3" w:rsidRPr="004A49DE">
        <w:t xml:space="preserve"> an increase of over 100</w:t>
      </w:r>
      <w:r w:rsidR="00EE501D">
        <w:t xml:space="preserve"> per cent</w:t>
      </w:r>
      <w:r w:rsidR="00DF77C3" w:rsidRPr="004A49DE">
        <w:t xml:space="preserve"> from the broadcasting rights to the 2014</w:t>
      </w:r>
      <w:r w:rsidR="00904AB6">
        <w:t> </w:t>
      </w:r>
      <w:r w:rsidR="00DF77C3" w:rsidRPr="004A49DE">
        <w:t>Sochi Winter Olympics, which Channel Ten paid $20 million for.</w:t>
      </w:r>
      <w:r w:rsidR="00DF77C3" w:rsidRPr="004A49DE">
        <w:rPr>
          <w:vertAlign w:val="superscript"/>
        </w:rPr>
        <w:footnoteReference w:id="49"/>
      </w:r>
      <w:r w:rsidR="00DC5A71" w:rsidRPr="004A49DE">
        <w:t xml:space="preserve"> If </w:t>
      </w:r>
      <w:r w:rsidR="002E3510">
        <w:t xml:space="preserve">the </w:t>
      </w:r>
      <w:r w:rsidR="00FF3BFF">
        <w:t>Seven Network</w:t>
      </w:r>
      <w:r w:rsidR="00DC5A71" w:rsidRPr="004A49DE">
        <w:t xml:space="preserve"> chooses not to extend the agreement to include the 2024 Paris Summer Olympics, </w:t>
      </w:r>
      <w:r w:rsidR="00DF77C3" w:rsidRPr="004A49DE">
        <w:t>then</w:t>
      </w:r>
      <w:r w:rsidR="00DC5A71" w:rsidRPr="004A49DE">
        <w:t xml:space="preserve"> </w:t>
      </w:r>
      <w:r w:rsidR="005C745F">
        <w:t>the Nine Network</w:t>
      </w:r>
      <w:r w:rsidR="00DC5A71" w:rsidRPr="004A49DE">
        <w:t>, Amazon Prime, Stan</w:t>
      </w:r>
      <w:r w:rsidR="00FA7C30">
        <w:t> </w:t>
      </w:r>
      <w:r w:rsidR="00DC5A71" w:rsidRPr="004A49DE">
        <w:t xml:space="preserve">Sport, and Foxtel’s Kayo are </w:t>
      </w:r>
      <w:r w:rsidR="00E73B13">
        <w:t>reported</w:t>
      </w:r>
      <w:r w:rsidR="00E73B13" w:rsidRPr="004A49DE">
        <w:t xml:space="preserve"> </w:t>
      </w:r>
      <w:r w:rsidR="00DC5A71" w:rsidRPr="004A49DE">
        <w:t>to be involved in future negotiations for rights with the International Olympic Committee.</w:t>
      </w:r>
      <w:r w:rsidR="00DC5A71" w:rsidRPr="004A49DE">
        <w:rPr>
          <w:vertAlign w:val="superscript"/>
        </w:rPr>
        <w:footnoteReference w:id="50"/>
      </w:r>
    </w:p>
    <w:p w14:paraId="7AB08419" w14:textId="576F5B70" w:rsidR="00173FA6" w:rsidRDefault="00173FA6" w:rsidP="00C5504A">
      <w:pPr>
        <w:pStyle w:val="ListParagraph"/>
        <w:numPr>
          <w:ilvl w:val="0"/>
          <w:numId w:val="53"/>
        </w:numPr>
        <w:shd w:val="clear" w:color="auto" w:fill="FFFFFF"/>
        <w:spacing w:after="120" w:line="240" w:lineRule="auto"/>
        <w:ind w:left="357" w:hanging="357"/>
        <w:contextualSpacing w:val="0"/>
        <w:textAlignment w:val="baseline"/>
      </w:pPr>
      <w:r>
        <w:t xml:space="preserve">In 2021, Nine Entertainment </w:t>
      </w:r>
      <w:r w:rsidR="000348B4">
        <w:t>Co</w:t>
      </w:r>
      <w:r w:rsidR="003E3B44" w:rsidRPr="0054282A">
        <w:rPr>
          <w:rStyle w:val="FootnoteReference"/>
        </w:rPr>
        <w:footnoteReference w:id="51"/>
      </w:r>
      <w:r>
        <w:t>, Seven West Media</w:t>
      </w:r>
      <w:r w:rsidR="003E3B44" w:rsidRPr="0054282A">
        <w:rPr>
          <w:rStyle w:val="FootnoteReference"/>
        </w:rPr>
        <w:footnoteReference w:id="52"/>
      </w:r>
      <w:r>
        <w:t>, and News Corp (Foxtel)</w:t>
      </w:r>
      <w:r w:rsidR="003E3B44" w:rsidRPr="005C38F3">
        <w:rPr>
          <w:rStyle w:val="FootnoteReference"/>
        </w:rPr>
        <w:footnoteReference w:id="53"/>
      </w:r>
      <w:r>
        <w:t xml:space="preserve"> collectively spent $1.2</w:t>
      </w:r>
      <w:r w:rsidR="00665D0D">
        <w:t> </w:t>
      </w:r>
      <w:r>
        <w:t>billion on media programming rights</w:t>
      </w:r>
      <w:r w:rsidR="00363F69">
        <w:t xml:space="preserve"> in Australia</w:t>
      </w:r>
      <w:r>
        <w:t>, and Paramount Global (Channel 10</w:t>
      </w:r>
      <w:r w:rsidR="00363F69">
        <w:t xml:space="preserve"> is a subsidiary</w:t>
      </w:r>
      <w:r>
        <w:t>) spent US$12.6</w:t>
      </w:r>
      <w:r w:rsidR="00FA7C30">
        <w:t> </w:t>
      </w:r>
      <w:r>
        <w:t>billion on media programming rights worldwide. Foxtel committed $402 million for sports rights broadcasting in 2021</w:t>
      </w:r>
      <w:r w:rsidR="00C80EB9">
        <w:t>–</w:t>
      </w:r>
      <w:r>
        <w:t>22 and over $2 billion in total commitments over the period of 2021</w:t>
      </w:r>
      <w:r w:rsidR="00C80EB9">
        <w:t>–</w:t>
      </w:r>
      <w:r>
        <w:t xml:space="preserve">22 to </w:t>
      </w:r>
      <w:r w:rsidR="00302A03">
        <w:t>2027</w:t>
      </w:r>
      <w:r w:rsidR="00C80EB9">
        <w:rPr>
          <w:rFonts w:cstheme="minorHAnsi"/>
        </w:rPr>
        <w:t>–</w:t>
      </w:r>
      <w:r w:rsidR="00302A03">
        <w:t>28.</w:t>
      </w:r>
      <w:r w:rsidR="00DC5A71" w:rsidRPr="005C38F3">
        <w:rPr>
          <w:rStyle w:val="FootnoteReference"/>
        </w:rPr>
        <w:footnoteReference w:id="54"/>
      </w:r>
      <w:r w:rsidR="00302A03">
        <w:t xml:space="preserve"> </w:t>
      </w:r>
      <w:r w:rsidR="00363F69">
        <w:t xml:space="preserve">In comparison, </w:t>
      </w:r>
      <w:r w:rsidR="00A060E9">
        <w:t xml:space="preserve">Paramount Global committed US$28.4 billion in </w:t>
      </w:r>
      <w:r w:rsidR="00363F69">
        <w:t xml:space="preserve">global </w:t>
      </w:r>
      <w:r w:rsidR="00A060E9">
        <w:t>sports rights broadcasting from 2021</w:t>
      </w:r>
      <w:r w:rsidR="00C80EB9">
        <w:rPr>
          <w:rFonts w:cstheme="minorHAnsi"/>
        </w:rPr>
        <w:t>–</w:t>
      </w:r>
      <w:r w:rsidR="00A060E9">
        <w:t xml:space="preserve">22 until at least 2026-27, including </w:t>
      </w:r>
      <w:r w:rsidR="00363F69">
        <w:t xml:space="preserve">Australian </w:t>
      </w:r>
      <w:r w:rsidR="00A060E9">
        <w:t>broadcasting right</w:t>
      </w:r>
      <w:r w:rsidR="00DA5485">
        <w:t>s</w:t>
      </w:r>
      <w:r w:rsidR="00A060E9">
        <w:t xml:space="preserve"> to the A-League </w:t>
      </w:r>
      <w:r w:rsidR="00363F69">
        <w:t>and W</w:t>
      </w:r>
      <w:r w:rsidR="00A03D2F">
        <w:noBreakHyphen/>
      </w:r>
      <w:r w:rsidR="00363F69">
        <w:t xml:space="preserve">League </w:t>
      </w:r>
      <w:r w:rsidR="00A060E9">
        <w:t>soccer.</w:t>
      </w:r>
      <w:r w:rsidR="00DC5A71" w:rsidRPr="005C38F3">
        <w:rPr>
          <w:rStyle w:val="FootnoteReference"/>
        </w:rPr>
        <w:footnoteReference w:id="55"/>
      </w:r>
    </w:p>
    <w:p w14:paraId="1A86B93D" w14:textId="306BEA95" w:rsidR="002F573A" w:rsidRDefault="007D4417" w:rsidP="00DB7A68">
      <w:pPr>
        <w:rPr>
          <w:rFonts w:cs="Times New Roman"/>
          <w:szCs w:val="24"/>
        </w:rPr>
      </w:pPr>
      <w:r w:rsidRPr="00E1618B">
        <w:rPr>
          <w:rFonts w:cs="Times New Roman"/>
          <w:szCs w:val="24"/>
        </w:rPr>
        <w:t>Media rights are also critical to the sporting bodies and codes themselves, often constituting their single biggest source of revenue</w:t>
      </w:r>
      <w:r w:rsidR="00DA5485">
        <w:rPr>
          <w:rFonts w:cs="Times New Roman"/>
          <w:szCs w:val="24"/>
        </w:rPr>
        <w:t>. For example, i</w:t>
      </w:r>
      <w:r w:rsidRPr="000E1293">
        <w:rPr>
          <w:rFonts w:cs="Times New Roman"/>
          <w:szCs w:val="24"/>
        </w:rPr>
        <w:t xml:space="preserve">n </w:t>
      </w:r>
      <w:r w:rsidR="00AB67B9" w:rsidRPr="000E1293">
        <w:rPr>
          <w:rFonts w:cs="Times New Roman"/>
          <w:szCs w:val="24"/>
        </w:rPr>
        <w:t>20</w:t>
      </w:r>
      <w:r w:rsidR="00AB67B9">
        <w:rPr>
          <w:rFonts w:cs="Times New Roman"/>
          <w:szCs w:val="24"/>
        </w:rPr>
        <w:t xml:space="preserve">21 </w:t>
      </w:r>
      <w:r w:rsidRPr="000E1293">
        <w:rPr>
          <w:rFonts w:cs="Times New Roman"/>
          <w:szCs w:val="24"/>
        </w:rPr>
        <w:t>over half of the AFL’s total revenue of $</w:t>
      </w:r>
      <w:r w:rsidR="00AB67B9">
        <w:rPr>
          <w:rFonts w:cs="Times New Roman"/>
          <w:szCs w:val="24"/>
        </w:rPr>
        <w:t>738</w:t>
      </w:r>
      <w:r w:rsidRPr="0035568A">
        <w:rPr>
          <w:rFonts w:cs="Times New Roman"/>
          <w:szCs w:val="24"/>
        </w:rPr>
        <w:t>.</w:t>
      </w:r>
      <w:r w:rsidR="00E33F19">
        <w:rPr>
          <w:rFonts w:cs="Times New Roman"/>
          <w:szCs w:val="24"/>
        </w:rPr>
        <w:t>1</w:t>
      </w:r>
      <w:r w:rsidRPr="000E1293">
        <w:rPr>
          <w:rFonts w:cs="Times New Roman"/>
          <w:szCs w:val="24"/>
        </w:rPr>
        <w:t xml:space="preserve"> million was </w:t>
      </w:r>
      <w:r w:rsidRPr="000E1293">
        <w:rPr>
          <w:rFonts w:cs="Times New Roman"/>
          <w:szCs w:val="24"/>
        </w:rPr>
        <w:lastRenderedPageBreak/>
        <w:t xml:space="preserve">sourced from </w:t>
      </w:r>
      <w:r w:rsidR="00AB67B9">
        <w:rPr>
          <w:rFonts w:cs="Times New Roman"/>
          <w:szCs w:val="24"/>
        </w:rPr>
        <w:t>broadcasting and media agreements</w:t>
      </w:r>
      <w:r w:rsidR="002F573A">
        <w:rPr>
          <w:rFonts w:cs="Times New Roman"/>
          <w:szCs w:val="24"/>
        </w:rPr>
        <w:t>.</w:t>
      </w:r>
      <w:r w:rsidR="00AB67B9">
        <w:rPr>
          <w:rStyle w:val="FootnoteReference"/>
          <w:rFonts w:cs="Times New Roman"/>
          <w:szCs w:val="24"/>
        </w:rPr>
        <w:footnoteReference w:id="56"/>
      </w:r>
      <w:r w:rsidR="002F573A">
        <w:rPr>
          <w:rFonts w:cs="Times New Roman"/>
          <w:szCs w:val="24"/>
        </w:rPr>
        <w:t xml:space="preserve"> </w:t>
      </w:r>
      <w:r w:rsidR="00DA5485">
        <w:rPr>
          <w:rFonts w:cs="Times New Roman"/>
          <w:szCs w:val="24"/>
        </w:rPr>
        <w:t>In the same year, the broadcasting rights deal for the NRL accounted for almost two-thirds of its total revenue.</w:t>
      </w:r>
      <w:r w:rsidR="00DA5485">
        <w:rPr>
          <w:rStyle w:val="FootnoteReference"/>
          <w:rFonts w:cs="Times New Roman"/>
          <w:szCs w:val="24"/>
        </w:rPr>
        <w:footnoteReference w:id="57"/>
      </w:r>
    </w:p>
    <w:p w14:paraId="26501DBC" w14:textId="0EC394B6" w:rsidR="007D4417" w:rsidRDefault="007D4417" w:rsidP="00DB7A68">
      <w:pPr>
        <w:rPr>
          <w:rFonts w:cs="Times New Roman"/>
          <w:szCs w:val="24"/>
        </w:rPr>
      </w:pPr>
      <w:r w:rsidRPr="000E1293">
        <w:rPr>
          <w:rFonts w:cs="Times New Roman"/>
          <w:szCs w:val="24"/>
        </w:rPr>
        <w:t>Free-to-air coverage is still the way many sports reach their fans, and why sporting bodies may choose t</w:t>
      </w:r>
      <w:r w:rsidRPr="00DD6E6C">
        <w:rPr>
          <w:rFonts w:cs="Times New Roman"/>
          <w:szCs w:val="24"/>
        </w:rPr>
        <w:t xml:space="preserve">o include a free-to-air component in their media rights arrangements. Even Super Rugby – a competition </w:t>
      </w:r>
      <w:r w:rsidR="009C1214">
        <w:rPr>
          <w:rFonts w:cs="Times New Roman"/>
          <w:szCs w:val="24"/>
        </w:rPr>
        <w:t>d</w:t>
      </w:r>
      <w:r w:rsidRPr="00DD6E6C">
        <w:rPr>
          <w:rFonts w:cs="Times New Roman"/>
          <w:szCs w:val="24"/>
        </w:rPr>
        <w:t xml:space="preserve">esigned and established for subscription television </w:t>
      </w:r>
      <w:r w:rsidR="00834D34">
        <w:rPr>
          <w:rFonts w:cs="Times New Roman"/>
          <w:szCs w:val="24"/>
        </w:rPr>
        <w:t xml:space="preserve">and not on the anti-siphoning list </w:t>
      </w:r>
      <w:r w:rsidRPr="00DD6E6C">
        <w:rPr>
          <w:rFonts w:cs="Times New Roman"/>
          <w:szCs w:val="24"/>
        </w:rPr>
        <w:t>–</w:t>
      </w:r>
      <w:r w:rsidR="00890B83">
        <w:rPr>
          <w:rFonts w:cs="Times New Roman"/>
          <w:szCs w:val="24"/>
        </w:rPr>
        <w:t xml:space="preserve"> </w:t>
      </w:r>
      <w:r w:rsidRPr="00A713E0">
        <w:rPr>
          <w:rFonts w:cs="Times New Roman"/>
          <w:szCs w:val="24"/>
        </w:rPr>
        <w:t>recently incorporated coverage of a Saturday night match on the Nine Network.</w:t>
      </w:r>
    </w:p>
    <w:p w14:paraId="0624274F" w14:textId="59767904" w:rsidR="00CB5269" w:rsidRPr="000E1293" w:rsidRDefault="00952216" w:rsidP="00B22819">
      <w:pPr>
        <w:pStyle w:val="Heading2"/>
      </w:pPr>
      <w:bookmarkStart w:id="180" w:name="_Toc112233676"/>
      <w:bookmarkStart w:id="181" w:name="_Toc112326019"/>
      <w:bookmarkStart w:id="182" w:name="_Toc113028188"/>
      <w:bookmarkStart w:id="183" w:name="_Toc113361267"/>
      <w:bookmarkStart w:id="184" w:name="_Toc114476246"/>
      <w:bookmarkStart w:id="185" w:name="_Toc114487293"/>
      <w:bookmarkStart w:id="186" w:name="_Toc116046027"/>
      <w:bookmarkStart w:id="187" w:name="_Toc116061405"/>
      <w:bookmarkStart w:id="188" w:name="_Toc116292944"/>
      <w:r>
        <w:t xml:space="preserve">Online </w:t>
      </w:r>
      <w:r w:rsidR="00CB5269" w:rsidRPr="00CD622B">
        <w:t xml:space="preserve">services are </w:t>
      </w:r>
      <w:r w:rsidR="00965E11">
        <w:t>playing</w:t>
      </w:r>
      <w:r w:rsidR="00CB5269" w:rsidRPr="00CD622B">
        <w:t xml:space="preserve"> a greater role</w:t>
      </w:r>
      <w:bookmarkEnd w:id="180"/>
      <w:bookmarkEnd w:id="181"/>
      <w:bookmarkEnd w:id="182"/>
      <w:bookmarkEnd w:id="183"/>
      <w:bookmarkEnd w:id="184"/>
      <w:bookmarkEnd w:id="185"/>
      <w:bookmarkEnd w:id="186"/>
      <w:bookmarkEnd w:id="187"/>
      <w:bookmarkEnd w:id="188"/>
    </w:p>
    <w:p w14:paraId="6EA630B3" w14:textId="339628D6" w:rsidR="007C6D95" w:rsidRDefault="007C6D95" w:rsidP="007C6D95">
      <w:pPr>
        <w:rPr>
          <w:rFonts w:cs="Times New Roman"/>
          <w:szCs w:val="24"/>
        </w:rPr>
      </w:pPr>
      <w:r w:rsidRPr="00BF6AC6">
        <w:t xml:space="preserve">The content consumption habits of Australians are changing. Audiences, particularly </w:t>
      </w:r>
      <w:r>
        <w:t>those that have always known the internet</w:t>
      </w:r>
      <w:r w:rsidRPr="00BF6AC6">
        <w:t>, are migrating from traditional broadcasts</w:t>
      </w:r>
      <w:r>
        <w:t xml:space="preserve"> on television and radio</w:t>
      </w:r>
      <w:r w:rsidR="004735C1">
        <w:t xml:space="preserve"> to online services</w:t>
      </w:r>
      <w:r w:rsidRPr="00BF6AC6">
        <w:t>.</w:t>
      </w:r>
    </w:p>
    <w:p w14:paraId="623B0FDC" w14:textId="1037883F" w:rsidR="008679EC" w:rsidRPr="00DD6E6C" w:rsidRDefault="008679EC" w:rsidP="000C5D39">
      <w:pPr>
        <w:pStyle w:val="Heading3"/>
      </w:pPr>
      <w:bookmarkStart w:id="189" w:name="_Toc111752592"/>
      <w:bookmarkStart w:id="190" w:name="_Toc111795279"/>
      <w:bookmarkStart w:id="191" w:name="_Toc111800695"/>
      <w:bookmarkStart w:id="192" w:name="_Toc111803391"/>
      <w:bookmarkStart w:id="193" w:name="_Toc111813802"/>
      <w:bookmarkStart w:id="194" w:name="_Toc112320984"/>
      <w:bookmarkStart w:id="195" w:name="_Toc113361268"/>
      <w:bookmarkStart w:id="196" w:name="_Toc113361776"/>
      <w:bookmarkStart w:id="197" w:name="_Toc114487382"/>
      <w:bookmarkStart w:id="198" w:name="_Toc116044848"/>
      <w:bookmarkStart w:id="199" w:name="_Toc116061406"/>
      <w:r w:rsidRPr="000C5D39">
        <w:t>Broadcast video on demand (BVOD)</w:t>
      </w:r>
      <w:bookmarkEnd w:id="189"/>
      <w:bookmarkEnd w:id="190"/>
      <w:bookmarkEnd w:id="191"/>
      <w:bookmarkEnd w:id="192"/>
      <w:bookmarkEnd w:id="193"/>
      <w:bookmarkEnd w:id="194"/>
      <w:bookmarkEnd w:id="195"/>
      <w:bookmarkEnd w:id="196"/>
      <w:bookmarkEnd w:id="197"/>
      <w:bookmarkEnd w:id="198"/>
      <w:bookmarkEnd w:id="199"/>
    </w:p>
    <w:p w14:paraId="0EDC5E2A" w14:textId="3EAADC3F" w:rsidR="008679EC" w:rsidRDefault="008679EC" w:rsidP="008679EC">
      <w:r w:rsidRPr="00853C92">
        <w:t xml:space="preserve">Commercial </w:t>
      </w:r>
      <w:r>
        <w:t xml:space="preserve">free-to-air </w:t>
      </w:r>
      <w:r w:rsidRPr="00853C92">
        <w:t xml:space="preserve">television </w:t>
      </w:r>
      <w:r>
        <w:t>broadcasters</w:t>
      </w:r>
      <w:r w:rsidRPr="00853C92">
        <w:t xml:space="preserve"> are embracing the transition to digital platforms to transmit sporting content</w:t>
      </w:r>
      <w:r>
        <w:t xml:space="preserve"> on BVODs</w:t>
      </w:r>
      <w:r w:rsidRPr="00853C92">
        <w:t xml:space="preserve">, sometimes alongside their </w:t>
      </w:r>
      <w:r w:rsidRPr="00AA33C6">
        <w:t>linear broadcasting</w:t>
      </w:r>
      <w:r w:rsidRPr="00853C92">
        <w:t xml:space="preserve">. </w:t>
      </w:r>
      <w:r>
        <w:t xml:space="preserve">While </w:t>
      </w:r>
      <w:r w:rsidR="00BC1B05">
        <w:t>typically</w:t>
      </w:r>
      <w:r>
        <w:t xml:space="preserve"> hav</w:t>
      </w:r>
      <w:r w:rsidR="00FA7C30">
        <w:t>ing</w:t>
      </w:r>
      <w:r>
        <w:t xml:space="preserve"> to sign up to an account for these services, the service itself operate</w:t>
      </w:r>
      <w:r w:rsidR="00BC1B05">
        <w:t>s</w:t>
      </w:r>
      <w:r>
        <w:t xml:space="preserve"> on a free</w:t>
      </w:r>
      <w:r w:rsidR="00FA7C30">
        <w:t>-</w:t>
      </w:r>
      <w:r>
        <w:t>to</w:t>
      </w:r>
      <w:r w:rsidR="00FA7C30">
        <w:t>-</w:t>
      </w:r>
      <w:r>
        <w:t>access ad</w:t>
      </w:r>
      <w:r w:rsidR="00BC1B05">
        <w:t>-</w:t>
      </w:r>
      <w:r>
        <w:t>supported model.</w:t>
      </w:r>
    </w:p>
    <w:p w14:paraId="371532AC" w14:textId="0D90C3C2" w:rsidR="008679EC" w:rsidRPr="00FD7109" w:rsidRDefault="008679EC" w:rsidP="008679EC">
      <w:pPr>
        <w:spacing w:before="0" w:after="0"/>
        <w:rPr>
          <w:rFonts w:cstheme="minorHAnsi"/>
          <w:sz w:val="16"/>
          <w:szCs w:val="16"/>
        </w:rPr>
      </w:pPr>
    </w:p>
    <w:tbl>
      <w:tblPr>
        <w:tblStyle w:val="IconBoxTable"/>
        <w:tblW w:w="0" w:type="auto"/>
        <w:tblLook w:val="06A0" w:firstRow="1" w:lastRow="0" w:firstColumn="1" w:lastColumn="0" w:noHBand="1" w:noVBand="1"/>
        <w:tblCaption w:val="Icon box table"/>
        <w:tblDescription w:val="Icon box table"/>
      </w:tblPr>
      <w:tblGrid>
        <w:gridCol w:w="1030"/>
        <w:gridCol w:w="8834"/>
      </w:tblGrid>
      <w:tr w:rsidR="008679EC" w14:paraId="30FDA3A7" w14:textId="77777777" w:rsidTr="004039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6" w:type="dxa"/>
          </w:tcPr>
          <w:p w14:paraId="4345B9EA" w14:textId="7C739CEE" w:rsidR="008679EC" w:rsidRDefault="0057138F" w:rsidP="00403939">
            <w:pPr>
              <w:rPr>
                <w:lang w:val="x-none"/>
              </w:rPr>
            </w:pPr>
            <w:r>
              <w:rPr>
                <w:noProof/>
                <w:lang w:eastAsia="en-AU"/>
              </w:rPr>
              <w:drawing>
                <wp:inline distT="0" distB="0" distL="0" distR="0" wp14:anchorId="61FB0147" wp14:editId="335DA3D5">
                  <wp:extent cx="542290" cy="536575"/>
                  <wp:effectExtent l="0" t="0" r="0" b="0"/>
                  <wp:docPr id="24" name="Picture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42290" cy="536575"/>
                          </a:xfrm>
                          <a:prstGeom prst="rect">
                            <a:avLst/>
                          </a:prstGeom>
                          <a:noFill/>
                        </pic:spPr>
                      </pic:pic>
                    </a:graphicData>
                  </a:graphic>
                </wp:inline>
              </w:drawing>
            </w:r>
          </w:p>
        </w:tc>
        <w:tc>
          <w:tcPr>
            <w:tcW w:w="8838" w:type="dxa"/>
            <w:tcMar>
              <w:left w:w="0" w:type="nil"/>
              <w:right w:w="170" w:type="dxa"/>
            </w:tcMar>
          </w:tcPr>
          <w:p w14:paraId="64FA2025" w14:textId="4320A239" w:rsidR="008679EC" w:rsidRDefault="002E3510" w:rsidP="00403939">
            <w:pPr>
              <w:cnfStyle w:val="100000000000" w:firstRow="1" w:lastRow="0" w:firstColumn="0" w:lastColumn="0" w:oddVBand="0" w:evenVBand="0" w:oddHBand="0" w:evenHBand="0" w:firstRowFirstColumn="0" w:firstRowLastColumn="0" w:lastRowFirstColumn="0" w:lastRowLastColumn="0"/>
            </w:pPr>
            <w:r>
              <w:t xml:space="preserve">The </w:t>
            </w:r>
            <w:r w:rsidR="00FF3BFF">
              <w:t>Seven Network</w:t>
            </w:r>
            <w:r w:rsidR="008679EC" w:rsidRPr="00853C92">
              <w:t xml:space="preserve"> obtained the broadcast rights to the 2020 Tokyo Olympic Games, as well as the rights to stream the Games. </w:t>
            </w:r>
            <w:r w:rsidR="008679EC">
              <w:t>A</w:t>
            </w:r>
            <w:r w:rsidR="008679EC" w:rsidRPr="00853C92">
              <w:t xml:space="preserve">udiences were able to access events </w:t>
            </w:r>
            <w:r w:rsidR="00244CE4">
              <w:t xml:space="preserve">that </w:t>
            </w:r>
            <w:r w:rsidR="008679EC" w:rsidRPr="00853C92">
              <w:t xml:space="preserve">Seven </w:t>
            </w:r>
            <w:r w:rsidR="008679EC">
              <w:t>did</w:t>
            </w:r>
            <w:r w:rsidR="008679EC" w:rsidRPr="00853C92">
              <w:t xml:space="preserve"> not broadcast on its commercial network channels through its 7</w:t>
            </w:r>
            <w:r w:rsidR="00EF1421">
              <w:t>plus</w:t>
            </w:r>
            <w:r w:rsidR="008679EC" w:rsidRPr="00853C92">
              <w:t xml:space="preserve"> app, as well as simulcasts of events broadcast on the Seven’s commercial television service.</w:t>
            </w:r>
          </w:p>
          <w:p w14:paraId="6AB018FC" w14:textId="58E30646" w:rsidR="008679EC" w:rsidRPr="00393B3D" w:rsidRDefault="008679EC" w:rsidP="00403939">
            <w:pPr>
              <w:pStyle w:val="Bullet1"/>
              <w:cnfStyle w:val="100000000000" w:firstRow="1" w:lastRow="0" w:firstColumn="0" w:lastColumn="0" w:oddVBand="0" w:evenVBand="0" w:oddHBand="0" w:evenHBand="0" w:firstRowFirstColumn="0" w:firstRowLastColumn="0" w:lastRowFirstColumn="0" w:lastRowLastColumn="0"/>
            </w:pPr>
            <w:r w:rsidRPr="00393B3D">
              <w:rPr>
                <w:lang w:val="en-US"/>
              </w:rPr>
              <w:t>This coverage was reportedly instrumental in 7</w:t>
            </w:r>
            <w:r w:rsidR="00EF1421">
              <w:rPr>
                <w:lang w:val="en-US"/>
              </w:rPr>
              <w:t>plus</w:t>
            </w:r>
            <w:r w:rsidR="00EC66AD">
              <w:rPr>
                <w:lang w:val="en-US"/>
              </w:rPr>
              <w:t xml:space="preserve"> </w:t>
            </w:r>
            <w:r w:rsidRPr="00393B3D">
              <w:rPr>
                <w:lang w:val="en-US"/>
              </w:rPr>
              <w:t>capturing 45</w:t>
            </w:r>
            <w:r w:rsidR="009B511E">
              <w:rPr>
                <w:lang w:val="en-US"/>
              </w:rPr>
              <w:t xml:space="preserve"> per cent</w:t>
            </w:r>
            <w:r w:rsidRPr="00393B3D">
              <w:rPr>
                <w:lang w:val="en-US"/>
              </w:rPr>
              <w:t xml:space="preserve"> of the commercial streaming minutes across free-to-air networks in 2021, and experiencing 57</w:t>
            </w:r>
            <w:r w:rsidR="009B511E">
              <w:rPr>
                <w:lang w:val="en-US"/>
              </w:rPr>
              <w:t xml:space="preserve"> per cent</w:t>
            </w:r>
            <w:r w:rsidRPr="00393B3D">
              <w:rPr>
                <w:lang w:val="en-US"/>
              </w:rPr>
              <w:t xml:space="preserve"> year-on</w:t>
            </w:r>
            <w:r w:rsidR="00FA7C30">
              <w:rPr>
                <w:lang w:val="en-US"/>
              </w:rPr>
              <w:noBreakHyphen/>
            </w:r>
            <w:r w:rsidRPr="00393B3D">
              <w:rPr>
                <w:lang w:val="en-US"/>
              </w:rPr>
              <w:t>year growth.</w:t>
            </w:r>
          </w:p>
          <w:p w14:paraId="00BB6AD2" w14:textId="0453D3F7" w:rsidR="008679EC" w:rsidRDefault="008679EC" w:rsidP="00403939">
            <w:pPr>
              <w:pStyle w:val="Bullet1"/>
              <w:cnfStyle w:val="100000000000" w:firstRow="1" w:lastRow="0" w:firstColumn="0" w:lastColumn="0" w:oddVBand="0" w:evenVBand="0" w:oddHBand="0" w:evenHBand="0" w:firstRowFirstColumn="0" w:firstRowLastColumn="0" w:lastRowFirstColumn="0" w:lastRowLastColumn="0"/>
            </w:pPr>
            <w:r w:rsidRPr="00393B3D">
              <w:rPr>
                <w:lang w:val="en-US"/>
              </w:rPr>
              <w:t xml:space="preserve">Seven had similar rights to the previous Olympic Games in Rio de Janeiro </w:t>
            </w:r>
            <w:r w:rsidR="00904AB6">
              <w:rPr>
                <w:lang w:val="en-US"/>
              </w:rPr>
              <w:t xml:space="preserve">in </w:t>
            </w:r>
            <w:r w:rsidRPr="00393B3D">
              <w:rPr>
                <w:lang w:val="en-US"/>
              </w:rPr>
              <w:t>2016 and PyeongChang in 2018.</w:t>
            </w:r>
          </w:p>
        </w:tc>
      </w:tr>
    </w:tbl>
    <w:p w14:paraId="6865E406" w14:textId="77777777" w:rsidR="008679EC" w:rsidRPr="003F5FF5" w:rsidRDefault="008679EC" w:rsidP="008679EC">
      <w:pPr>
        <w:spacing w:before="0" w:after="0"/>
        <w:rPr>
          <w:rFonts w:cstheme="minorHAnsi"/>
          <w:sz w:val="16"/>
          <w:szCs w:val="16"/>
        </w:rPr>
      </w:pPr>
    </w:p>
    <w:tbl>
      <w:tblPr>
        <w:tblStyle w:val="IconBoxTable"/>
        <w:tblW w:w="0" w:type="auto"/>
        <w:tblLook w:val="06A0" w:firstRow="1" w:lastRow="0" w:firstColumn="1" w:lastColumn="0" w:noHBand="1" w:noVBand="1"/>
        <w:tblCaption w:val="Icon box table"/>
        <w:tblDescription w:val="Icon box table"/>
      </w:tblPr>
      <w:tblGrid>
        <w:gridCol w:w="1026"/>
        <w:gridCol w:w="8838"/>
      </w:tblGrid>
      <w:tr w:rsidR="008679EC" w14:paraId="0312001C" w14:textId="77777777" w:rsidTr="004039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6" w:type="dxa"/>
          </w:tcPr>
          <w:p w14:paraId="27E9B134" w14:textId="0013F04E" w:rsidR="008679EC" w:rsidRDefault="005151FA" w:rsidP="00403939">
            <w:pPr>
              <w:rPr>
                <w:lang w:val="x-none"/>
              </w:rPr>
            </w:pPr>
            <w:r>
              <w:rPr>
                <w:noProof/>
                <w:lang w:eastAsia="en-AU"/>
              </w:rPr>
              <w:drawing>
                <wp:inline distT="0" distB="0" distL="0" distR="0" wp14:anchorId="70DB3376" wp14:editId="67579DF4">
                  <wp:extent cx="536575" cy="542290"/>
                  <wp:effectExtent l="0" t="0" r="0" b="0"/>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6575" cy="542290"/>
                          </a:xfrm>
                          <a:prstGeom prst="rect">
                            <a:avLst/>
                          </a:prstGeom>
                          <a:noFill/>
                        </pic:spPr>
                      </pic:pic>
                    </a:graphicData>
                  </a:graphic>
                </wp:inline>
              </w:drawing>
            </w:r>
          </w:p>
        </w:tc>
        <w:tc>
          <w:tcPr>
            <w:tcW w:w="8838" w:type="dxa"/>
            <w:tcMar>
              <w:left w:w="0" w:type="nil"/>
              <w:right w:w="170" w:type="dxa"/>
            </w:tcMar>
          </w:tcPr>
          <w:p w14:paraId="4B3FF327" w14:textId="495DED67" w:rsidR="008679EC" w:rsidRPr="00B65B62" w:rsidRDefault="005C745F" w:rsidP="00403939">
            <w:pPr>
              <w:cnfStyle w:val="100000000000" w:firstRow="1" w:lastRow="0" w:firstColumn="0" w:lastColumn="0" w:oddVBand="0" w:evenVBand="0" w:oddHBand="0" w:evenHBand="0" w:firstRowFirstColumn="0" w:firstRowLastColumn="0" w:lastRowFirstColumn="0" w:lastRowLastColumn="0"/>
            </w:pPr>
            <w:r>
              <w:t xml:space="preserve">Nine Entertainment Co </w:t>
            </w:r>
            <w:r w:rsidR="008679EC" w:rsidRPr="00853C92">
              <w:t xml:space="preserve">uses its BVOD platform 9Now to simulcast </w:t>
            </w:r>
            <w:r w:rsidR="00B147D1">
              <w:t xml:space="preserve">the </w:t>
            </w:r>
            <w:r w:rsidR="008679EC" w:rsidRPr="00853C92">
              <w:t>events it has the</w:t>
            </w:r>
            <w:r w:rsidR="008679EC">
              <w:t xml:space="preserve"> media</w:t>
            </w:r>
            <w:r w:rsidR="008679EC" w:rsidRPr="00853C92">
              <w:t xml:space="preserve"> rights to, such as</w:t>
            </w:r>
            <w:r w:rsidR="00BC1B05">
              <w:t>:</w:t>
            </w:r>
          </w:p>
          <w:p w14:paraId="6F600225" w14:textId="30F1D843" w:rsidR="008679EC" w:rsidRPr="002B3569" w:rsidRDefault="008679EC" w:rsidP="00665D0D">
            <w:pPr>
              <w:pStyle w:val="Bullet1"/>
              <w:numPr>
                <w:ilvl w:val="0"/>
                <w:numId w:val="84"/>
              </w:numPr>
              <w:spacing w:before="0" w:after="120"/>
              <w:ind w:left="357" w:hanging="357"/>
              <w:cnfStyle w:val="100000000000" w:firstRow="1" w:lastRow="0" w:firstColumn="0" w:lastColumn="0" w:oddVBand="0" w:evenVBand="0" w:oddHBand="0" w:evenHBand="0" w:firstRowFirstColumn="0" w:firstRowLastColumn="0" w:lastRowFirstColumn="0" w:lastRowLastColumn="0"/>
            </w:pPr>
            <w:r w:rsidRPr="0068364A">
              <w:rPr>
                <w:lang w:val="en-US"/>
              </w:rPr>
              <w:t>NRL matches</w:t>
            </w:r>
            <w:r w:rsidRPr="002E7AFB">
              <w:rPr>
                <w:lang w:val="en-US"/>
              </w:rPr>
              <w:t xml:space="preserve"> that are shown on its broadcast platform, including State of Origin</w:t>
            </w:r>
            <w:r w:rsidR="00244CE4">
              <w:rPr>
                <w:lang w:val="en-US"/>
              </w:rPr>
              <w:t>; and</w:t>
            </w:r>
          </w:p>
          <w:p w14:paraId="513F439F" w14:textId="5526ECFA" w:rsidR="008679EC" w:rsidRDefault="008679EC" w:rsidP="00665D0D">
            <w:pPr>
              <w:pStyle w:val="Bullet1"/>
              <w:numPr>
                <w:ilvl w:val="0"/>
                <w:numId w:val="84"/>
              </w:numPr>
              <w:spacing w:before="0" w:after="120"/>
              <w:ind w:left="357" w:hanging="357"/>
              <w:cnfStyle w:val="100000000000" w:firstRow="1" w:lastRow="0" w:firstColumn="0" w:lastColumn="0" w:oddVBand="0" w:evenVBand="0" w:oddHBand="0" w:evenHBand="0" w:firstRowFirstColumn="0" w:firstRowLastColumn="0" w:lastRowFirstColumn="0" w:lastRowLastColumn="0"/>
            </w:pPr>
            <w:r>
              <w:rPr>
                <w:lang w:val="en-US"/>
              </w:rPr>
              <w:t>Australian Open tennis matches, including simulcasts of matches shown on its broadcast channels and additional matches it chooses not to broadcast.</w:t>
            </w:r>
          </w:p>
        </w:tc>
      </w:tr>
    </w:tbl>
    <w:p w14:paraId="649AE160" w14:textId="63782FB9" w:rsidR="008679EC" w:rsidRDefault="00740038" w:rsidP="008679EC">
      <w:r>
        <w:rPr>
          <w:rFonts w:cstheme="minorHAnsi"/>
        </w:rPr>
        <w:t>T</w:t>
      </w:r>
      <w:r w:rsidR="008679EC" w:rsidRPr="004332FA">
        <w:rPr>
          <w:rFonts w:cstheme="minorHAnsi"/>
        </w:rPr>
        <w:t>elevision broadcasters are offering BVOD services</w:t>
      </w:r>
      <w:r>
        <w:rPr>
          <w:rFonts w:cstheme="minorHAnsi"/>
        </w:rPr>
        <w:t xml:space="preserve"> and revenue from these services is growing rapidly. In the 12 months to June 2022, BVOD revenue was $426.3 million, an increase of 53.3 per cent from the previous corresponding period</w:t>
      </w:r>
      <w:r w:rsidR="006001ED" w:rsidRPr="004332FA">
        <w:t>.</w:t>
      </w:r>
      <w:r w:rsidR="006001ED" w:rsidRPr="004332FA">
        <w:rPr>
          <w:rStyle w:val="FootnoteReference"/>
          <w:rFonts w:cstheme="minorHAnsi"/>
        </w:rPr>
        <w:footnoteReference w:id="58"/>
      </w:r>
      <w:r w:rsidR="006001ED">
        <w:rPr>
          <w:rFonts w:cstheme="minorHAnsi"/>
        </w:rPr>
        <w:t xml:space="preserve"> </w:t>
      </w:r>
      <w:r>
        <w:rPr>
          <w:rFonts w:cstheme="minorHAnsi"/>
        </w:rPr>
        <w:t xml:space="preserve">However, BVOD revenue is still a small portion of overall revenue for these providers. </w:t>
      </w:r>
      <w:r w:rsidR="006001ED">
        <w:rPr>
          <w:rFonts w:cstheme="minorHAnsi"/>
        </w:rPr>
        <w:t>Total television revenue (excluding SBS) was $4</w:t>
      </w:r>
      <w:r w:rsidR="00904AB6">
        <w:rPr>
          <w:rFonts w:cstheme="minorHAnsi"/>
        </w:rPr>
        <w:t>.3 billion</w:t>
      </w:r>
      <w:r w:rsidR="006001ED">
        <w:rPr>
          <w:rFonts w:cstheme="minorHAnsi"/>
        </w:rPr>
        <w:t xml:space="preserve"> in the 12 months to 30 June 2022 (a 10.8</w:t>
      </w:r>
      <w:r w:rsidR="00904AB6">
        <w:rPr>
          <w:rFonts w:cstheme="minorHAnsi"/>
        </w:rPr>
        <w:t> </w:t>
      </w:r>
      <w:r w:rsidR="006001ED">
        <w:rPr>
          <w:rFonts w:cstheme="minorHAnsi"/>
        </w:rPr>
        <w:t>per</w:t>
      </w:r>
      <w:r w:rsidR="00904AB6">
        <w:rPr>
          <w:rFonts w:cstheme="minorHAnsi"/>
        </w:rPr>
        <w:t> </w:t>
      </w:r>
      <w:r w:rsidR="006001ED">
        <w:rPr>
          <w:rFonts w:cstheme="minorHAnsi"/>
        </w:rPr>
        <w:t>cent increase on the previous corresponding period), meaning that BVOD revenue for that year comprised around 10 per cent of total revenue.</w:t>
      </w:r>
      <w:r w:rsidR="006001ED">
        <w:rPr>
          <w:rStyle w:val="FootnoteReference"/>
          <w:rFonts w:cstheme="minorHAnsi"/>
        </w:rPr>
        <w:footnoteReference w:id="59"/>
      </w:r>
    </w:p>
    <w:p w14:paraId="5341B45F" w14:textId="784B49D0" w:rsidR="008B2D5F" w:rsidRPr="00DD6E6C" w:rsidRDefault="008B2D5F" w:rsidP="000C5D39">
      <w:pPr>
        <w:pStyle w:val="Heading3"/>
      </w:pPr>
      <w:bookmarkStart w:id="200" w:name="_Toc111752593"/>
      <w:bookmarkStart w:id="201" w:name="_Toc111795280"/>
      <w:bookmarkStart w:id="202" w:name="_Toc111800696"/>
      <w:bookmarkStart w:id="203" w:name="_Toc111803392"/>
      <w:bookmarkStart w:id="204" w:name="_Toc111813803"/>
      <w:bookmarkStart w:id="205" w:name="_Toc112320985"/>
      <w:bookmarkStart w:id="206" w:name="_Toc113361269"/>
      <w:bookmarkStart w:id="207" w:name="_Toc113361777"/>
      <w:bookmarkStart w:id="208" w:name="_Toc114487383"/>
      <w:bookmarkStart w:id="209" w:name="_Toc116044849"/>
      <w:bookmarkStart w:id="210" w:name="_Toc116061407"/>
      <w:r w:rsidRPr="000841A2">
        <w:lastRenderedPageBreak/>
        <w:t>Streaming services</w:t>
      </w:r>
      <w:bookmarkEnd w:id="200"/>
      <w:bookmarkEnd w:id="201"/>
      <w:bookmarkEnd w:id="202"/>
      <w:bookmarkEnd w:id="203"/>
      <w:bookmarkEnd w:id="204"/>
      <w:bookmarkEnd w:id="205"/>
      <w:bookmarkEnd w:id="206"/>
      <w:bookmarkEnd w:id="207"/>
      <w:bookmarkEnd w:id="208"/>
      <w:bookmarkEnd w:id="209"/>
      <w:bookmarkEnd w:id="210"/>
    </w:p>
    <w:p w14:paraId="1AB176FB" w14:textId="476D94BB" w:rsidR="008B2D5F" w:rsidRPr="00373B72" w:rsidRDefault="008B2D5F" w:rsidP="008B2D5F">
      <w:r w:rsidRPr="00853C92">
        <w:t xml:space="preserve">Streaming services have </w:t>
      </w:r>
      <w:r w:rsidR="00BC1B05">
        <w:t>significantly affected th</w:t>
      </w:r>
      <w:r w:rsidRPr="00853C92">
        <w:t>e television market</w:t>
      </w:r>
      <w:r>
        <w:t xml:space="preserve">. </w:t>
      </w:r>
      <w:r w:rsidRPr="00BF6AC6">
        <w:t xml:space="preserve">Australians’ willingness to pay for premium content is also growing. </w:t>
      </w:r>
      <w:r>
        <w:t>Telsyte’s 2019</w:t>
      </w:r>
      <w:r w:rsidRPr="00BF6AC6">
        <w:t xml:space="preserve"> </w:t>
      </w:r>
      <w:r>
        <w:t xml:space="preserve">research </w:t>
      </w:r>
      <w:r w:rsidRPr="00BF6AC6">
        <w:t xml:space="preserve">found that more than half of Australian households had a </w:t>
      </w:r>
      <w:r w:rsidR="00647765">
        <w:t>subscription video on demand (</w:t>
      </w:r>
      <w:r w:rsidRPr="00BF6AC6">
        <w:t>SVOD</w:t>
      </w:r>
      <w:r w:rsidR="00647765">
        <w:t>)</w:t>
      </w:r>
      <w:r w:rsidRPr="00BF6AC6">
        <w:t xml:space="preserve"> service at the end of June 2019 (a total of 12.3 million subscriptions), 43 per cent of households had multiple subscriptions</w:t>
      </w:r>
      <w:r w:rsidR="00647765">
        <w:t>,</w:t>
      </w:r>
      <w:r w:rsidRPr="00BF6AC6">
        <w:t xml:space="preserve"> and one in three Australians had no set limit on how many subscriptions they would take out.</w:t>
      </w:r>
      <w:r w:rsidRPr="00A932E5">
        <w:rPr>
          <w:vertAlign w:val="superscript"/>
        </w:rPr>
        <w:t xml:space="preserve"> </w:t>
      </w:r>
      <w:r w:rsidRPr="00BA0887">
        <w:rPr>
          <w:vertAlign w:val="superscript"/>
        </w:rPr>
        <w:footnoteReference w:id="60"/>
      </w:r>
      <w:r w:rsidRPr="00BF6AC6">
        <w:t xml:space="preserve"> It </w:t>
      </w:r>
      <w:r>
        <w:t>found</w:t>
      </w:r>
      <w:r w:rsidRPr="00BF6AC6">
        <w:t xml:space="preserve"> that those willing to pay for </w:t>
      </w:r>
      <w:r>
        <w:t>SVOD</w:t>
      </w:r>
      <w:r w:rsidRPr="00BF6AC6">
        <w:t xml:space="preserve"> services have an average monthly budget of around $30 to spend</w:t>
      </w:r>
      <w:r w:rsidR="00D9253E">
        <w:t xml:space="preserve">, </w:t>
      </w:r>
      <w:r w:rsidRPr="00BF6AC6">
        <w:t>while one in three Australians have no set budget</w:t>
      </w:r>
      <w:r w:rsidRPr="00373B72">
        <w:t>.</w:t>
      </w:r>
    </w:p>
    <w:p w14:paraId="252E4630" w14:textId="3CE27FB0" w:rsidR="008B2D5F" w:rsidRDefault="008B2D5F" w:rsidP="008B2D5F">
      <w:r w:rsidRPr="00373B72">
        <w:t>Australian</w:t>
      </w:r>
      <w:r>
        <w:t xml:space="preserve"> households have continued to take up SVOD subscriptions, with </w:t>
      </w:r>
      <w:r w:rsidRPr="00373B72">
        <w:t xml:space="preserve">19.1 million SVOD subscriptions </w:t>
      </w:r>
      <w:r>
        <w:t xml:space="preserve">held </w:t>
      </w:r>
      <w:r w:rsidRPr="00373B72">
        <w:t>at the end of 2021, up 2.6 million from 2020.</w:t>
      </w:r>
      <w:r w:rsidRPr="00373B72">
        <w:rPr>
          <w:rStyle w:val="FootnoteReference"/>
        </w:rPr>
        <w:footnoteReference w:id="61"/>
      </w:r>
      <w:r w:rsidRPr="00373B72">
        <w:t xml:space="preserve"> Telyste’s 2021 study found </w:t>
      </w:r>
      <w:r w:rsidR="00AA33C6">
        <w:t>the</w:t>
      </w:r>
      <w:r w:rsidRPr="00373B72">
        <w:t xml:space="preserve"> </w:t>
      </w:r>
      <w:r>
        <w:t xml:space="preserve">top five SVOD services at the end of June 2021 to be </w:t>
      </w:r>
      <w:r w:rsidRPr="00373B72">
        <w:t>Netflix (6 million)</w:t>
      </w:r>
      <w:r>
        <w:t xml:space="preserve">, </w:t>
      </w:r>
      <w:r w:rsidRPr="00373B72">
        <w:t>Amazon Prime Video (2.9 million), Disney+ (2.6 million), Stan</w:t>
      </w:r>
      <w:r w:rsidR="00B147D1">
        <w:t> </w:t>
      </w:r>
      <w:r w:rsidRPr="00373B72">
        <w:t>(2.4 million) and Kayo Sports (1.1 million</w:t>
      </w:r>
      <w:r w:rsidRPr="00736355">
        <w:t xml:space="preserve">). While numbers of subscriptions held by Australian households are not directly translatable to audience numbers for particular events, they are useful in demonstrating </w:t>
      </w:r>
      <w:r w:rsidR="00483630">
        <w:t>us</w:t>
      </w:r>
      <w:r w:rsidR="00483630" w:rsidRPr="00736355">
        <w:t xml:space="preserve">er </w:t>
      </w:r>
      <w:r w:rsidRPr="00736355">
        <w:t>trends.</w:t>
      </w:r>
    </w:p>
    <w:p w14:paraId="7B477274" w14:textId="08633255" w:rsidR="008B2D5F" w:rsidRDefault="00F35D73" w:rsidP="00282076">
      <w:r>
        <w:t>If</w:t>
      </w:r>
      <w:r w:rsidRPr="00736355">
        <w:t xml:space="preserve"> </w:t>
      </w:r>
      <w:r w:rsidR="008B2D5F" w:rsidRPr="00736355">
        <w:t>television broadcast audiences decline, sports bodies will likely look to distribution arrangements that increase their ability to reach audiences</w:t>
      </w:r>
      <w:r w:rsidR="008B2D5F">
        <w:t xml:space="preserve">. This change in distribution arrangements </w:t>
      </w:r>
      <w:r>
        <w:t>could</w:t>
      </w:r>
      <w:r w:rsidR="008B2D5F">
        <w:t xml:space="preserve"> </w:t>
      </w:r>
      <w:r w:rsidR="008B2D5F" w:rsidRPr="00736355">
        <w:t>includ</w:t>
      </w:r>
      <w:r w:rsidR="008B2D5F">
        <w:t>e</w:t>
      </w:r>
      <w:r w:rsidR="008B2D5F" w:rsidRPr="00736355">
        <w:t xml:space="preserve"> an increasing proportion of digital rights that may be offered to </w:t>
      </w:r>
      <w:r w:rsidR="006001ED">
        <w:t xml:space="preserve">streaming </w:t>
      </w:r>
      <w:r w:rsidR="008B2D5F" w:rsidRPr="00736355">
        <w:t>platforms on an exclusive or non-exclusive arrangement.</w:t>
      </w:r>
    </w:p>
    <w:p w14:paraId="7EFED63B" w14:textId="75C60665" w:rsidR="008B2D5F" w:rsidRDefault="008B2D5F" w:rsidP="008B2D5F">
      <w:pPr>
        <w:rPr>
          <w:iCs/>
        </w:rPr>
      </w:pPr>
      <w:r w:rsidRPr="00783A97">
        <w:t xml:space="preserve">While digital rights have been offered to, and acquired by, </w:t>
      </w:r>
      <w:r>
        <w:t xml:space="preserve">online </w:t>
      </w:r>
      <w:r w:rsidRPr="00783A97">
        <w:t>content providers for many years, such as Telstra’s acquisition of digital rights to the NRL from 2015, digital rights deals have generally been complementary to traditional television broadcast rights arrangements.</w:t>
      </w:r>
      <w:r>
        <w:t xml:space="preserve"> However, t</w:t>
      </w:r>
      <w:r w:rsidRPr="00783A97">
        <w:rPr>
          <w:iCs/>
        </w:rPr>
        <w:t>here is the risk that new players</w:t>
      </w:r>
      <w:r>
        <w:rPr>
          <w:iCs/>
        </w:rPr>
        <w:t xml:space="preserve"> in the sports distribution market</w:t>
      </w:r>
      <w:r w:rsidR="00AA33C6">
        <w:rPr>
          <w:iCs/>
        </w:rPr>
        <w:t xml:space="preserve"> who</w:t>
      </w:r>
      <w:r w:rsidRPr="00783A97">
        <w:rPr>
          <w:iCs/>
        </w:rPr>
        <w:t xml:space="preserve"> </w:t>
      </w:r>
      <w:r w:rsidR="00AA33C6">
        <w:rPr>
          <w:iCs/>
        </w:rPr>
        <w:t>are</w:t>
      </w:r>
      <w:r w:rsidRPr="00783A97">
        <w:rPr>
          <w:iCs/>
        </w:rPr>
        <w:t xml:space="preserve"> not captured by </w:t>
      </w:r>
      <w:r w:rsidR="00F35D73">
        <w:rPr>
          <w:iCs/>
        </w:rPr>
        <w:t xml:space="preserve">the </w:t>
      </w:r>
      <w:r w:rsidRPr="00783A97">
        <w:rPr>
          <w:iCs/>
        </w:rPr>
        <w:t xml:space="preserve">anti-siphoning </w:t>
      </w:r>
      <w:r w:rsidR="00F35D73">
        <w:rPr>
          <w:iCs/>
        </w:rPr>
        <w:t>scheme</w:t>
      </w:r>
      <w:r w:rsidRPr="00783A97">
        <w:rPr>
          <w:iCs/>
        </w:rPr>
        <w:t xml:space="preserve"> will obtain exclusive media rights to events on the anti-siphoning list</w:t>
      </w:r>
      <w:r w:rsidR="00F35D73">
        <w:rPr>
          <w:iCs/>
        </w:rPr>
        <w:t>.</w:t>
      </w:r>
    </w:p>
    <w:p w14:paraId="48F04189" w14:textId="77777777" w:rsidR="0023335C" w:rsidRDefault="0023335C" w:rsidP="008B2D5F">
      <w:pPr>
        <w:rPr>
          <w:iCs/>
        </w:rPr>
      </w:pPr>
    </w:p>
    <w:p w14:paraId="27DFF411" w14:textId="116D227B" w:rsidR="00694A8A" w:rsidRPr="00694A8A" w:rsidRDefault="00597606" w:rsidP="00694A8A">
      <w:pPr>
        <w:pStyle w:val="Box1Heading"/>
        <w:rPr>
          <w:lang w:val="en-US"/>
        </w:rPr>
      </w:pPr>
      <w:r>
        <w:rPr>
          <w:lang w:val="en-US"/>
        </w:rPr>
        <w:t>M</w:t>
      </w:r>
      <w:r w:rsidR="00694A8A">
        <w:rPr>
          <w:lang w:val="en-US"/>
        </w:rPr>
        <w:t>ore sporting content has moved across to digital platforms, including some exclusive content</w:t>
      </w:r>
    </w:p>
    <w:p w14:paraId="55A303B8" w14:textId="5C9838D9" w:rsidR="00694A8A" w:rsidRPr="00B147D1" w:rsidRDefault="00694A8A" w:rsidP="00694A8A">
      <w:pPr>
        <w:pStyle w:val="Box1Text"/>
        <w:rPr>
          <w:u w:val="single"/>
          <w:lang w:val="en-US"/>
        </w:rPr>
      </w:pPr>
      <w:r w:rsidRPr="00B147D1">
        <w:rPr>
          <w:u w:val="single"/>
          <w:lang w:val="en-US"/>
        </w:rPr>
        <w:t>Non-exclusive content – streaming partnerships and BVOD use</w:t>
      </w:r>
    </w:p>
    <w:p w14:paraId="3C87B9BF" w14:textId="2EA87A26" w:rsidR="00694A8A" w:rsidRPr="00B147D1" w:rsidRDefault="00694A8A" w:rsidP="00665D0D">
      <w:pPr>
        <w:pStyle w:val="Box1Bullet1"/>
        <w:spacing w:before="0" w:after="120"/>
        <w:ind w:left="568" w:hanging="284"/>
        <w:rPr>
          <w:sz w:val="22"/>
          <w:szCs w:val="22"/>
        </w:rPr>
      </w:pPr>
      <w:r w:rsidRPr="00B147D1">
        <w:rPr>
          <w:sz w:val="22"/>
          <w:szCs w:val="22"/>
          <w:lang w:val="en-US"/>
        </w:rPr>
        <w:t>In November 2020, Rugby Australia announced that Nine Entertainment Co. had acquired the media rights to Australian rugby union. As part of the deal, Nine created Stan Sport which</w:t>
      </w:r>
      <w:r w:rsidR="00B147D1">
        <w:rPr>
          <w:sz w:val="22"/>
          <w:szCs w:val="22"/>
          <w:lang w:val="en-US"/>
        </w:rPr>
        <w:t>,</w:t>
      </w:r>
      <w:r w:rsidRPr="00B147D1">
        <w:rPr>
          <w:sz w:val="22"/>
          <w:szCs w:val="22"/>
          <w:lang w:val="en-US"/>
        </w:rPr>
        <w:t xml:space="preserve"> under the rights deal</w:t>
      </w:r>
      <w:r w:rsidR="00B147D1">
        <w:rPr>
          <w:sz w:val="22"/>
          <w:szCs w:val="22"/>
          <w:lang w:val="en-US"/>
        </w:rPr>
        <w:t>,</w:t>
      </w:r>
      <w:r w:rsidRPr="00B147D1">
        <w:rPr>
          <w:sz w:val="22"/>
          <w:szCs w:val="22"/>
          <w:lang w:val="en-US"/>
        </w:rPr>
        <w:t xml:space="preserve"> will stream rugby union in Australia. Events on the anti</w:t>
      </w:r>
      <w:r w:rsidRPr="00B147D1">
        <w:rPr>
          <w:sz w:val="22"/>
          <w:szCs w:val="22"/>
          <w:lang w:val="en-US"/>
        </w:rPr>
        <w:noBreakHyphen/>
        <w:t>siphoning list will be simulcast on Channel Nine.</w:t>
      </w:r>
      <w:r w:rsidR="00797849">
        <w:rPr>
          <w:rStyle w:val="FootnoteReference"/>
          <w:sz w:val="22"/>
          <w:szCs w:val="22"/>
          <w:lang w:val="en-US"/>
        </w:rPr>
        <w:footnoteReference w:id="62"/>
      </w:r>
    </w:p>
    <w:p w14:paraId="1DE68768" w14:textId="2FFC7426" w:rsidR="00BA6794" w:rsidRPr="00B147D1" w:rsidRDefault="00936F28" w:rsidP="00665D0D">
      <w:pPr>
        <w:pStyle w:val="Box1Bullet1"/>
        <w:spacing w:before="0" w:after="120"/>
        <w:ind w:left="568" w:hanging="284"/>
        <w:rPr>
          <w:sz w:val="22"/>
          <w:szCs w:val="22"/>
        </w:rPr>
      </w:pPr>
      <w:r w:rsidRPr="00B147D1">
        <w:rPr>
          <w:sz w:val="22"/>
          <w:szCs w:val="22"/>
        </w:rPr>
        <w:t>NRL</w:t>
      </w:r>
      <w:r w:rsidRPr="00B147D1">
        <w:rPr>
          <w:sz w:val="22"/>
          <w:szCs w:val="22"/>
          <w:lang w:val="en-US"/>
        </w:rPr>
        <w:t xml:space="preserve"> has split rights, with three</w:t>
      </w:r>
      <w:r w:rsidRPr="00B147D1">
        <w:rPr>
          <w:sz w:val="22"/>
          <w:szCs w:val="22"/>
        </w:rPr>
        <w:t xml:space="preserve"> NRL </w:t>
      </w:r>
      <w:r w:rsidR="00524233" w:rsidRPr="00B147D1">
        <w:rPr>
          <w:sz w:val="22"/>
          <w:szCs w:val="22"/>
          <w:lang w:val="en-US"/>
        </w:rPr>
        <w:t>regular season</w:t>
      </w:r>
      <w:r w:rsidR="00524233" w:rsidRPr="00B147D1">
        <w:rPr>
          <w:sz w:val="22"/>
          <w:szCs w:val="22"/>
        </w:rPr>
        <w:t xml:space="preserve"> </w:t>
      </w:r>
      <w:r w:rsidRPr="00B147D1">
        <w:rPr>
          <w:sz w:val="22"/>
          <w:szCs w:val="22"/>
        </w:rPr>
        <w:t xml:space="preserve">round matches </w:t>
      </w:r>
      <w:r w:rsidR="00BC1B05" w:rsidRPr="00B147D1">
        <w:rPr>
          <w:sz w:val="22"/>
          <w:szCs w:val="22"/>
          <w:lang w:val="en-AU"/>
        </w:rPr>
        <w:t xml:space="preserve">generally televised </w:t>
      </w:r>
      <w:r w:rsidRPr="00B147D1">
        <w:rPr>
          <w:sz w:val="22"/>
          <w:szCs w:val="22"/>
        </w:rPr>
        <w:t xml:space="preserve">on Nine and </w:t>
      </w:r>
      <w:r w:rsidRPr="00B147D1">
        <w:rPr>
          <w:sz w:val="22"/>
          <w:szCs w:val="22"/>
          <w:lang w:val="en-US"/>
        </w:rPr>
        <w:t xml:space="preserve">on </w:t>
      </w:r>
      <w:r w:rsidRPr="00B147D1">
        <w:rPr>
          <w:sz w:val="22"/>
          <w:szCs w:val="22"/>
        </w:rPr>
        <w:t>Foxtel. The remaining rights (subscription and streaming) are acquired on an exclusive basis (</w:t>
      </w:r>
      <w:r w:rsidR="00BC1B05" w:rsidRPr="00B147D1">
        <w:rPr>
          <w:sz w:val="22"/>
          <w:szCs w:val="22"/>
          <w:lang w:val="en-AU"/>
        </w:rPr>
        <w:t xml:space="preserve">typically </w:t>
      </w:r>
      <w:r w:rsidRPr="00B147D1">
        <w:rPr>
          <w:sz w:val="22"/>
          <w:szCs w:val="22"/>
          <w:lang w:val="en-US"/>
        </w:rPr>
        <w:t>five</w:t>
      </w:r>
      <w:r w:rsidRPr="00B147D1">
        <w:rPr>
          <w:sz w:val="22"/>
          <w:szCs w:val="22"/>
        </w:rPr>
        <w:t xml:space="preserve"> NRL </w:t>
      </w:r>
      <w:r w:rsidR="00524233" w:rsidRPr="00B147D1">
        <w:rPr>
          <w:sz w:val="22"/>
          <w:szCs w:val="22"/>
          <w:lang w:val="en-US"/>
        </w:rPr>
        <w:t>regular season</w:t>
      </w:r>
      <w:r w:rsidR="00524233" w:rsidRPr="00B147D1">
        <w:rPr>
          <w:sz w:val="22"/>
          <w:szCs w:val="22"/>
        </w:rPr>
        <w:t xml:space="preserve"> </w:t>
      </w:r>
      <w:r w:rsidRPr="00B147D1">
        <w:rPr>
          <w:sz w:val="22"/>
          <w:szCs w:val="22"/>
        </w:rPr>
        <w:t xml:space="preserve">round matches for Foxtel and Kayo). The </w:t>
      </w:r>
      <w:r w:rsidR="00103510" w:rsidRPr="00B147D1">
        <w:rPr>
          <w:sz w:val="22"/>
          <w:szCs w:val="22"/>
          <w:lang w:val="en-US"/>
        </w:rPr>
        <w:t>Grand F</w:t>
      </w:r>
      <w:r w:rsidRPr="00B147D1">
        <w:rPr>
          <w:sz w:val="22"/>
          <w:szCs w:val="22"/>
        </w:rPr>
        <w:t>inal</w:t>
      </w:r>
      <w:r w:rsidR="00103510" w:rsidRPr="00B147D1">
        <w:rPr>
          <w:sz w:val="22"/>
          <w:szCs w:val="22"/>
          <w:lang w:val="en-US"/>
        </w:rPr>
        <w:t xml:space="preserve"> i</w:t>
      </w:r>
      <w:r w:rsidRPr="00B147D1">
        <w:rPr>
          <w:sz w:val="22"/>
          <w:szCs w:val="22"/>
        </w:rPr>
        <w:t>s exclusively broadcast on Nine.</w:t>
      </w:r>
      <w:r w:rsidR="00AA33C6" w:rsidRPr="00B147D1">
        <w:rPr>
          <w:sz w:val="22"/>
          <w:szCs w:val="22"/>
          <w:lang w:val="en-US"/>
        </w:rPr>
        <w:t xml:space="preserve"> Nine also increases its free-to-air showing of games in the lead up to the finals, shifting to four matches per round.</w:t>
      </w:r>
    </w:p>
    <w:p w14:paraId="65DC6059" w14:textId="2EB29A56" w:rsidR="00694A8A" w:rsidRPr="00B147D1" w:rsidRDefault="00936F28" w:rsidP="00665D0D">
      <w:pPr>
        <w:pStyle w:val="Box1Bullet1"/>
        <w:spacing w:before="0" w:after="120"/>
        <w:ind w:left="567"/>
        <w:rPr>
          <w:sz w:val="22"/>
          <w:szCs w:val="22"/>
        </w:rPr>
      </w:pPr>
      <w:r w:rsidRPr="00B147D1">
        <w:rPr>
          <w:sz w:val="22"/>
          <w:szCs w:val="22"/>
        </w:rPr>
        <w:t xml:space="preserve">AFL games </w:t>
      </w:r>
      <w:r w:rsidRPr="00B147D1">
        <w:rPr>
          <w:sz w:val="22"/>
          <w:szCs w:val="22"/>
          <w:lang w:val="en-US"/>
        </w:rPr>
        <w:t xml:space="preserve">are </w:t>
      </w:r>
      <w:r w:rsidRPr="00B147D1">
        <w:rPr>
          <w:sz w:val="22"/>
          <w:szCs w:val="22"/>
        </w:rPr>
        <w:t>shown on</w:t>
      </w:r>
      <w:r w:rsidRPr="00B147D1">
        <w:rPr>
          <w:sz w:val="22"/>
          <w:szCs w:val="22"/>
          <w:lang w:val="en-AU"/>
        </w:rPr>
        <w:t xml:space="preserve"> </w:t>
      </w:r>
      <w:r w:rsidR="002E3510" w:rsidRPr="00B147D1">
        <w:rPr>
          <w:sz w:val="22"/>
          <w:szCs w:val="22"/>
          <w:lang w:val="en-AU"/>
        </w:rPr>
        <w:t>the</w:t>
      </w:r>
      <w:r w:rsidRPr="00B147D1">
        <w:rPr>
          <w:sz w:val="22"/>
          <w:szCs w:val="22"/>
        </w:rPr>
        <w:t xml:space="preserve"> </w:t>
      </w:r>
      <w:r w:rsidR="00FF3BFF" w:rsidRPr="00B147D1">
        <w:rPr>
          <w:sz w:val="22"/>
          <w:szCs w:val="22"/>
          <w:lang w:val="en-AU"/>
        </w:rPr>
        <w:t>Seven Network</w:t>
      </w:r>
      <w:r w:rsidRPr="00B147D1">
        <w:rPr>
          <w:sz w:val="22"/>
          <w:szCs w:val="22"/>
        </w:rPr>
        <w:t>, Foxtel</w:t>
      </w:r>
      <w:r w:rsidR="00AA0C3C" w:rsidRPr="00B147D1">
        <w:rPr>
          <w:sz w:val="22"/>
          <w:szCs w:val="22"/>
          <w:lang w:val="en-US"/>
        </w:rPr>
        <w:t>,</w:t>
      </w:r>
      <w:r w:rsidRPr="00B147D1">
        <w:rPr>
          <w:sz w:val="22"/>
          <w:szCs w:val="22"/>
        </w:rPr>
        <w:t xml:space="preserve"> and Kayo. Under </w:t>
      </w:r>
      <w:r w:rsidR="00006349" w:rsidRPr="00B147D1">
        <w:rPr>
          <w:sz w:val="22"/>
          <w:szCs w:val="22"/>
          <w:lang w:val="en-US"/>
        </w:rPr>
        <w:t>the 2017</w:t>
      </w:r>
      <w:r w:rsidRPr="00B147D1">
        <w:rPr>
          <w:sz w:val="22"/>
          <w:szCs w:val="22"/>
          <w:lang w:val="en-US"/>
        </w:rPr>
        <w:t xml:space="preserve"> </w:t>
      </w:r>
      <w:r w:rsidRPr="00B147D1">
        <w:rPr>
          <w:sz w:val="22"/>
          <w:szCs w:val="22"/>
        </w:rPr>
        <w:t xml:space="preserve">agreement, Seven </w:t>
      </w:r>
      <w:r w:rsidR="002E3510" w:rsidRPr="00B147D1">
        <w:rPr>
          <w:sz w:val="22"/>
          <w:szCs w:val="22"/>
          <w:lang w:val="en-AU"/>
        </w:rPr>
        <w:t>broadcasts</w:t>
      </w:r>
      <w:r w:rsidR="002E3510" w:rsidRPr="00B147D1">
        <w:rPr>
          <w:sz w:val="22"/>
          <w:szCs w:val="22"/>
        </w:rPr>
        <w:t xml:space="preserve"> </w:t>
      </w:r>
      <w:r w:rsidRPr="00B147D1">
        <w:rPr>
          <w:sz w:val="22"/>
          <w:szCs w:val="22"/>
        </w:rPr>
        <w:t>up to five matches per week live, with Fox</w:t>
      </w:r>
      <w:r w:rsidR="002E3510" w:rsidRPr="00B147D1">
        <w:rPr>
          <w:sz w:val="22"/>
          <w:szCs w:val="22"/>
          <w:lang w:val="en-AU"/>
        </w:rPr>
        <w:t>tel</w:t>
      </w:r>
      <w:r w:rsidRPr="00B147D1">
        <w:rPr>
          <w:sz w:val="22"/>
          <w:szCs w:val="22"/>
        </w:rPr>
        <w:t xml:space="preserve"> broadcasting each and every game on </w:t>
      </w:r>
      <w:r w:rsidRPr="00B147D1">
        <w:rPr>
          <w:sz w:val="22"/>
          <w:szCs w:val="22"/>
          <w:lang w:val="en-US"/>
        </w:rPr>
        <w:t>its Footy channels</w:t>
      </w:r>
      <w:r w:rsidRPr="00B147D1">
        <w:rPr>
          <w:sz w:val="22"/>
          <w:szCs w:val="22"/>
        </w:rPr>
        <w:t xml:space="preserve">. </w:t>
      </w:r>
      <w:r w:rsidRPr="00B147D1">
        <w:rPr>
          <w:sz w:val="22"/>
          <w:szCs w:val="22"/>
          <w:lang w:val="en-US"/>
        </w:rPr>
        <w:t>A</w:t>
      </w:r>
      <w:r w:rsidRPr="00B147D1">
        <w:rPr>
          <w:sz w:val="22"/>
          <w:szCs w:val="22"/>
        </w:rPr>
        <w:t>ll matches featuring a non-Victorian team are broadcast live in that team’s state</w:t>
      </w:r>
      <w:r w:rsidR="00B147D1">
        <w:rPr>
          <w:sz w:val="22"/>
          <w:szCs w:val="22"/>
          <w:lang w:val="en-US"/>
        </w:rPr>
        <w:t>,</w:t>
      </w:r>
      <w:r w:rsidRPr="00B147D1">
        <w:rPr>
          <w:sz w:val="22"/>
          <w:szCs w:val="22"/>
        </w:rPr>
        <w:t xml:space="preserve"> </w:t>
      </w:r>
      <w:r w:rsidRPr="00B147D1">
        <w:rPr>
          <w:sz w:val="22"/>
          <w:szCs w:val="22"/>
          <w:lang w:val="en-US"/>
        </w:rPr>
        <w:t xml:space="preserve">with </w:t>
      </w:r>
      <w:r w:rsidRPr="00B147D1">
        <w:rPr>
          <w:sz w:val="22"/>
          <w:szCs w:val="22"/>
        </w:rPr>
        <w:t xml:space="preserve">Seven simulcasting Foxtel’s coverage on </w:t>
      </w:r>
      <w:r w:rsidR="00D9253E" w:rsidRPr="00B147D1">
        <w:rPr>
          <w:sz w:val="22"/>
          <w:szCs w:val="22"/>
          <w:lang w:val="en-US"/>
        </w:rPr>
        <w:t>its</w:t>
      </w:r>
      <w:r w:rsidRPr="00B147D1">
        <w:rPr>
          <w:sz w:val="22"/>
          <w:szCs w:val="22"/>
        </w:rPr>
        <w:t xml:space="preserve"> network if it</w:t>
      </w:r>
      <w:r w:rsidR="009D1E5C">
        <w:rPr>
          <w:sz w:val="22"/>
          <w:szCs w:val="22"/>
          <w:lang w:val="en-US"/>
        </w:rPr>
        <w:t xml:space="preserve"> i</w:t>
      </w:r>
      <w:r w:rsidRPr="00B147D1">
        <w:rPr>
          <w:sz w:val="22"/>
          <w:szCs w:val="22"/>
        </w:rPr>
        <w:t xml:space="preserve">s not a match </w:t>
      </w:r>
      <w:r w:rsidR="00B147D1">
        <w:rPr>
          <w:sz w:val="22"/>
          <w:szCs w:val="22"/>
          <w:lang w:val="en-US"/>
        </w:rPr>
        <w:t>it</w:t>
      </w:r>
      <w:r w:rsidRPr="00B147D1">
        <w:rPr>
          <w:sz w:val="22"/>
          <w:szCs w:val="22"/>
        </w:rPr>
        <w:t xml:space="preserve"> would otherwise cover. All games, with the exception of the </w:t>
      </w:r>
      <w:r w:rsidRPr="00B147D1">
        <w:rPr>
          <w:sz w:val="22"/>
          <w:szCs w:val="22"/>
          <w:lang w:val="en-US"/>
        </w:rPr>
        <w:t>G</w:t>
      </w:r>
      <w:r w:rsidRPr="00B147D1">
        <w:rPr>
          <w:sz w:val="22"/>
          <w:szCs w:val="22"/>
        </w:rPr>
        <w:t xml:space="preserve">rand </w:t>
      </w:r>
      <w:r w:rsidRPr="00B147D1">
        <w:rPr>
          <w:sz w:val="22"/>
          <w:szCs w:val="22"/>
          <w:lang w:val="en-US"/>
        </w:rPr>
        <w:t>F</w:t>
      </w:r>
      <w:r w:rsidRPr="00B147D1">
        <w:rPr>
          <w:sz w:val="22"/>
          <w:szCs w:val="22"/>
        </w:rPr>
        <w:t xml:space="preserve">inal, </w:t>
      </w:r>
      <w:r w:rsidR="00BC1B05" w:rsidRPr="00B147D1">
        <w:rPr>
          <w:sz w:val="22"/>
          <w:szCs w:val="22"/>
          <w:lang w:val="en-AU"/>
        </w:rPr>
        <w:t>are</w:t>
      </w:r>
      <w:r w:rsidRPr="00B147D1">
        <w:rPr>
          <w:sz w:val="22"/>
          <w:szCs w:val="22"/>
        </w:rPr>
        <w:t xml:space="preserve"> live streamed on either Kayo Sports or Foxtel </w:t>
      </w:r>
      <w:r w:rsidRPr="00B147D1">
        <w:rPr>
          <w:sz w:val="22"/>
          <w:szCs w:val="22"/>
        </w:rPr>
        <w:lastRenderedPageBreak/>
        <w:t xml:space="preserve">Now. </w:t>
      </w:r>
      <w:hyperlink r:id="rId40" w:history="1">
        <w:r w:rsidRPr="00B147D1">
          <w:rPr>
            <w:rStyle w:val="Hyperlink"/>
            <w:color w:val="auto"/>
            <w:sz w:val="22"/>
            <w:szCs w:val="22"/>
            <w:u w:val="none"/>
          </w:rPr>
          <w:t xml:space="preserve">AFL </w:t>
        </w:r>
        <w:r w:rsidR="00524233" w:rsidRPr="00B147D1">
          <w:rPr>
            <w:rStyle w:val="Hyperlink"/>
            <w:color w:val="auto"/>
            <w:sz w:val="22"/>
            <w:szCs w:val="22"/>
            <w:u w:val="none"/>
            <w:lang w:val="en-US"/>
          </w:rPr>
          <w:t>G</w:t>
        </w:r>
        <w:r w:rsidRPr="00B147D1">
          <w:rPr>
            <w:rStyle w:val="Hyperlink"/>
            <w:color w:val="auto"/>
            <w:sz w:val="22"/>
            <w:szCs w:val="22"/>
            <w:u w:val="none"/>
          </w:rPr>
          <w:t xml:space="preserve">rand </w:t>
        </w:r>
        <w:r w:rsidR="00524233" w:rsidRPr="00B147D1">
          <w:rPr>
            <w:rStyle w:val="Hyperlink"/>
            <w:color w:val="auto"/>
            <w:sz w:val="22"/>
            <w:szCs w:val="22"/>
            <w:u w:val="none"/>
            <w:lang w:val="en-US"/>
          </w:rPr>
          <w:t>F</w:t>
        </w:r>
        <w:r w:rsidRPr="00B147D1">
          <w:rPr>
            <w:rStyle w:val="Hyperlink"/>
            <w:color w:val="auto"/>
            <w:sz w:val="22"/>
            <w:szCs w:val="22"/>
            <w:u w:val="none"/>
          </w:rPr>
          <w:t>inal</w:t>
        </w:r>
      </w:hyperlink>
      <w:r w:rsidRPr="00B147D1">
        <w:rPr>
          <w:sz w:val="22"/>
          <w:szCs w:val="22"/>
        </w:rPr>
        <w:t> </w:t>
      </w:r>
      <w:r w:rsidRPr="00B147D1">
        <w:rPr>
          <w:sz w:val="22"/>
          <w:szCs w:val="22"/>
          <w:lang w:val="en-US"/>
        </w:rPr>
        <w:t xml:space="preserve">coverage </w:t>
      </w:r>
      <w:r w:rsidRPr="00B147D1">
        <w:rPr>
          <w:sz w:val="22"/>
          <w:szCs w:val="22"/>
        </w:rPr>
        <w:t>is confined to the free-to-air channel.</w:t>
      </w:r>
      <w:r w:rsidR="00006349" w:rsidRPr="00B147D1">
        <w:rPr>
          <w:sz w:val="22"/>
          <w:szCs w:val="22"/>
          <w:lang w:val="en-US"/>
        </w:rPr>
        <w:t xml:space="preserve"> From the 202</w:t>
      </w:r>
      <w:r w:rsidR="00FF3BFF" w:rsidRPr="00B147D1">
        <w:rPr>
          <w:sz w:val="22"/>
          <w:szCs w:val="22"/>
          <w:lang w:val="en-US"/>
        </w:rPr>
        <w:t>5</w:t>
      </w:r>
      <w:r w:rsidR="00006349" w:rsidRPr="00B147D1">
        <w:rPr>
          <w:sz w:val="22"/>
          <w:szCs w:val="22"/>
          <w:lang w:val="en-US"/>
        </w:rPr>
        <w:t xml:space="preserve"> season there will </w:t>
      </w:r>
      <w:r w:rsidR="004120B8">
        <w:rPr>
          <w:sz w:val="22"/>
          <w:szCs w:val="22"/>
          <w:lang w:val="en-US"/>
        </w:rPr>
        <w:t xml:space="preserve">be </w:t>
      </w:r>
      <w:r w:rsidR="00006349" w:rsidRPr="00B147D1">
        <w:rPr>
          <w:sz w:val="22"/>
          <w:szCs w:val="22"/>
          <w:lang w:val="en-US"/>
        </w:rPr>
        <w:t>changes to the</w:t>
      </w:r>
      <w:r w:rsidR="00FF3BFF" w:rsidRPr="00B147D1">
        <w:rPr>
          <w:sz w:val="22"/>
          <w:szCs w:val="22"/>
          <w:lang w:val="en-US"/>
        </w:rPr>
        <w:t xml:space="preserve"> arrangements for </w:t>
      </w:r>
      <w:r w:rsidR="00006349" w:rsidRPr="00B147D1">
        <w:rPr>
          <w:sz w:val="22"/>
          <w:szCs w:val="22"/>
          <w:lang w:val="en-US"/>
        </w:rPr>
        <w:t>online streaming</w:t>
      </w:r>
      <w:r w:rsidR="00FF3BFF" w:rsidRPr="00B147D1">
        <w:rPr>
          <w:sz w:val="22"/>
          <w:szCs w:val="22"/>
          <w:lang w:val="en-US"/>
        </w:rPr>
        <w:t>,</w:t>
      </w:r>
      <w:r w:rsidR="00006349" w:rsidRPr="00B147D1">
        <w:rPr>
          <w:sz w:val="22"/>
          <w:szCs w:val="22"/>
          <w:lang w:val="en-US"/>
        </w:rPr>
        <w:t xml:space="preserve"> with</w:t>
      </w:r>
      <w:r w:rsidR="0056061B" w:rsidRPr="00B147D1">
        <w:rPr>
          <w:sz w:val="22"/>
          <w:szCs w:val="22"/>
          <w:lang w:val="en-US"/>
        </w:rPr>
        <w:t xml:space="preserve"> all free-to-air games also being available on</w:t>
      </w:r>
      <w:r w:rsidR="00006349" w:rsidRPr="00B147D1">
        <w:rPr>
          <w:sz w:val="22"/>
          <w:szCs w:val="22"/>
          <w:lang w:val="en-US"/>
        </w:rPr>
        <w:t xml:space="preserve"> 7</w:t>
      </w:r>
      <w:r w:rsidR="00EF1421" w:rsidRPr="00B147D1">
        <w:rPr>
          <w:sz w:val="22"/>
          <w:szCs w:val="22"/>
          <w:lang w:val="en-US"/>
        </w:rPr>
        <w:t>plus</w:t>
      </w:r>
      <w:r w:rsidR="0056061B" w:rsidRPr="00B147D1">
        <w:rPr>
          <w:sz w:val="22"/>
          <w:szCs w:val="22"/>
          <w:lang w:val="en-US"/>
        </w:rPr>
        <w:t>.</w:t>
      </w:r>
    </w:p>
    <w:p w14:paraId="5E2FC2AB" w14:textId="77777777" w:rsidR="0023335C" w:rsidRDefault="0023335C" w:rsidP="00665D0D">
      <w:pPr>
        <w:pStyle w:val="Box1Text"/>
        <w:spacing w:before="0" w:after="120"/>
        <w:rPr>
          <w:u w:val="single"/>
          <w:lang w:val="en-US"/>
        </w:rPr>
      </w:pPr>
    </w:p>
    <w:p w14:paraId="6A45317D" w14:textId="17100F83" w:rsidR="00694A8A" w:rsidRPr="00B147D1" w:rsidRDefault="00694A8A" w:rsidP="00665D0D">
      <w:pPr>
        <w:pStyle w:val="Box1Text"/>
        <w:spacing w:before="0" w:after="120"/>
        <w:rPr>
          <w:u w:val="single"/>
          <w:lang w:val="en-US"/>
        </w:rPr>
      </w:pPr>
      <w:r w:rsidRPr="00B147D1">
        <w:rPr>
          <w:u w:val="single"/>
          <w:lang w:val="en-US"/>
        </w:rPr>
        <w:t>Exclusive content</w:t>
      </w:r>
    </w:p>
    <w:p w14:paraId="02411E61" w14:textId="74537C1D" w:rsidR="00694A8A" w:rsidRPr="00B147D1" w:rsidRDefault="00694A8A" w:rsidP="00665D0D">
      <w:pPr>
        <w:pStyle w:val="Box1Bullet1"/>
        <w:spacing w:before="0" w:after="120"/>
        <w:ind w:left="568" w:hanging="284"/>
        <w:rPr>
          <w:sz w:val="22"/>
          <w:szCs w:val="22"/>
        </w:rPr>
      </w:pPr>
      <w:r w:rsidRPr="00B147D1">
        <w:rPr>
          <w:sz w:val="22"/>
          <w:szCs w:val="22"/>
          <w:lang w:val="en-US"/>
        </w:rPr>
        <w:t>Optus Sport obtained exclusive rights to the English Premier League (prior to sub-</w:t>
      </w:r>
      <w:r w:rsidR="00DF48A3" w:rsidRPr="00B147D1">
        <w:rPr>
          <w:sz w:val="22"/>
          <w:szCs w:val="22"/>
          <w:lang w:val="en-US"/>
        </w:rPr>
        <w:t>licensing</w:t>
      </w:r>
      <w:r w:rsidRPr="00B147D1">
        <w:rPr>
          <w:sz w:val="22"/>
          <w:szCs w:val="22"/>
          <w:lang w:val="en-US"/>
        </w:rPr>
        <w:t xml:space="preserve"> one match per game week to SBS).</w:t>
      </w:r>
      <w:r w:rsidR="008B13AA">
        <w:rPr>
          <w:rStyle w:val="FootnoteReference"/>
          <w:sz w:val="22"/>
          <w:szCs w:val="22"/>
          <w:lang w:val="en-US"/>
        </w:rPr>
        <w:footnoteReference w:id="63"/>
      </w:r>
    </w:p>
    <w:p w14:paraId="429B92AD" w14:textId="6CF542CE" w:rsidR="00694A8A" w:rsidRPr="00B147D1" w:rsidRDefault="00694A8A" w:rsidP="00665D0D">
      <w:pPr>
        <w:pStyle w:val="Box1Bullet1"/>
        <w:spacing w:before="0" w:after="120"/>
        <w:ind w:left="568" w:hanging="284"/>
        <w:rPr>
          <w:sz w:val="22"/>
          <w:szCs w:val="22"/>
        </w:rPr>
      </w:pPr>
      <w:r w:rsidRPr="00B147D1">
        <w:rPr>
          <w:sz w:val="22"/>
          <w:szCs w:val="22"/>
          <w:lang w:val="en-US"/>
        </w:rPr>
        <w:t>In February 2021, Netball Australia announced that it had secured a five-year deal with Foxtel to stream Super Netball premiership matches and international matches involving the Australian national team on Kayo for five years. The deal does not include any of the netball events on the anti</w:t>
      </w:r>
      <w:r w:rsidR="004120B8">
        <w:rPr>
          <w:sz w:val="22"/>
          <w:szCs w:val="22"/>
          <w:lang w:val="en-US"/>
        </w:rPr>
        <w:noBreakHyphen/>
      </w:r>
      <w:r w:rsidRPr="00B147D1">
        <w:rPr>
          <w:sz w:val="22"/>
          <w:szCs w:val="22"/>
          <w:lang w:val="en-US"/>
        </w:rPr>
        <w:t>siphoning list</w:t>
      </w:r>
      <w:r w:rsidR="00AA590A" w:rsidRPr="00B147D1">
        <w:rPr>
          <w:sz w:val="22"/>
          <w:szCs w:val="22"/>
          <w:lang w:val="en-US"/>
        </w:rPr>
        <w:t>.</w:t>
      </w:r>
      <w:r w:rsidR="008B13AA">
        <w:rPr>
          <w:rStyle w:val="FootnoteReference"/>
          <w:sz w:val="22"/>
          <w:szCs w:val="22"/>
          <w:lang w:val="en-US"/>
        </w:rPr>
        <w:footnoteReference w:id="64"/>
      </w:r>
    </w:p>
    <w:p w14:paraId="7195DD62" w14:textId="357F564B" w:rsidR="00694A8A" w:rsidRPr="00B147D1" w:rsidRDefault="00694A8A" w:rsidP="00665D0D">
      <w:pPr>
        <w:pStyle w:val="Box1Bullet1"/>
        <w:spacing w:before="0" w:after="120"/>
        <w:ind w:left="567"/>
        <w:rPr>
          <w:sz w:val="22"/>
          <w:szCs w:val="22"/>
        </w:rPr>
      </w:pPr>
      <w:r w:rsidRPr="00B147D1">
        <w:rPr>
          <w:sz w:val="22"/>
          <w:szCs w:val="22"/>
          <w:lang w:val="en-US"/>
        </w:rPr>
        <w:t>In February 2021, Amazon Prime secured a two-year exclusive agreement with Swimming Australia for the rights to stream several Australian swimming events that are not on the anti-siphoning list.</w:t>
      </w:r>
      <w:r w:rsidR="008B13AA">
        <w:rPr>
          <w:rStyle w:val="FootnoteReference"/>
          <w:sz w:val="22"/>
          <w:szCs w:val="22"/>
          <w:lang w:val="en-US"/>
        </w:rPr>
        <w:footnoteReference w:id="65"/>
      </w:r>
      <w:r w:rsidRPr="00B147D1">
        <w:rPr>
          <w:sz w:val="22"/>
          <w:szCs w:val="22"/>
          <w:lang w:val="en-US"/>
        </w:rPr>
        <w:t xml:space="preserve"> This included the Australian Swimming Trials in the lead up to the </w:t>
      </w:r>
      <w:r w:rsidR="00524233" w:rsidRPr="00B147D1">
        <w:rPr>
          <w:sz w:val="22"/>
          <w:szCs w:val="22"/>
          <w:lang w:val="en-US"/>
        </w:rPr>
        <w:t xml:space="preserve">2020 </w:t>
      </w:r>
      <w:r w:rsidRPr="00B147D1">
        <w:rPr>
          <w:sz w:val="22"/>
          <w:szCs w:val="22"/>
          <w:lang w:val="en-US"/>
        </w:rPr>
        <w:t>Tokyo Olympic and Paralympic Games, the qualifying events for the 2022 FINA World Swimming Championships and the 2022 Birmingham Commonwealth Games</w:t>
      </w:r>
      <w:r w:rsidR="00AA590A" w:rsidRPr="00B147D1">
        <w:rPr>
          <w:sz w:val="22"/>
          <w:szCs w:val="22"/>
          <w:lang w:val="en-US"/>
        </w:rPr>
        <w:t>.</w:t>
      </w:r>
    </w:p>
    <w:p w14:paraId="58D310F7" w14:textId="0D831ABF" w:rsidR="002F573A" w:rsidRPr="00CD622B" w:rsidRDefault="002F573A" w:rsidP="00B22819">
      <w:pPr>
        <w:pStyle w:val="Heading2"/>
      </w:pPr>
      <w:bookmarkStart w:id="211" w:name="_Toc111752594"/>
      <w:bookmarkStart w:id="212" w:name="_Toc112233677"/>
      <w:bookmarkStart w:id="213" w:name="_Toc112326020"/>
      <w:bookmarkStart w:id="214" w:name="_Toc113028189"/>
      <w:bookmarkStart w:id="215" w:name="_Toc113361270"/>
      <w:bookmarkStart w:id="216" w:name="_Toc114476247"/>
      <w:bookmarkStart w:id="217" w:name="_Toc114487294"/>
      <w:bookmarkStart w:id="218" w:name="_Toc116046028"/>
      <w:bookmarkStart w:id="219" w:name="_Toc116061408"/>
      <w:bookmarkStart w:id="220" w:name="_Toc116292945"/>
      <w:r w:rsidRPr="00CD622B">
        <w:t xml:space="preserve">International trends </w:t>
      </w:r>
      <w:r w:rsidR="00231B2B">
        <w:t>highlight the growth in online coverage</w:t>
      </w:r>
      <w:bookmarkEnd w:id="211"/>
      <w:bookmarkEnd w:id="212"/>
      <w:bookmarkEnd w:id="213"/>
      <w:bookmarkEnd w:id="214"/>
      <w:bookmarkEnd w:id="215"/>
      <w:bookmarkEnd w:id="216"/>
      <w:bookmarkEnd w:id="217"/>
      <w:bookmarkEnd w:id="218"/>
      <w:bookmarkEnd w:id="219"/>
      <w:bookmarkEnd w:id="220"/>
    </w:p>
    <w:p w14:paraId="54AC6E96" w14:textId="05EBA89C" w:rsidR="00A07552" w:rsidRDefault="00590503" w:rsidP="003164F9">
      <w:pPr>
        <w:rPr>
          <w:rFonts w:cs="Times New Roman"/>
          <w:szCs w:val="24"/>
        </w:rPr>
      </w:pPr>
      <w:r w:rsidRPr="00D64EFE">
        <w:rPr>
          <w:rFonts w:cs="Times New Roman"/>
          <w:szCs w:val="24"/>
        </w:rPr>
        <w:t xml:space="preserve">Internationally, </w:t>
      </w:r>
      <w:r>
        <w:rPr>
          <w:rFonts w:cs="Times New Roman"/>
          <w:szCs w:val="24"/>
        </w:rPr>
        <w:t xml:space="preserve">there </w:t>
      </w:r>
      <w:r w:rsidR="00A07552">
        <w:rPr>
          <w:rFonts w:cs="Times New Roman"/>
          <w:szCs w:val="24"/>
        </w:rPr>
        <w:t>has been a</w:t>
      </w:r>
      <w:r>
        <w:rPr>
          <w:rFonts w:cs="Times New Roman"/>
          <w:szCs w:val="24"/>
        </w:rPr>
        <w:t xml:space="preserve"> trend towards greater online and OTT coverage of </w:t>
      </w:r>
      <w:r w:rsidR="008166A5">
        <w:rPr>
          <w:rFonts w:cs="Times New Roman"/>
          <w:szCs w:val="24"/>
        </w:rPr>
        <w:t xml:space="preserve">live </w:t>
      </w:r>
      <w:r>
        <w:rPr>
          <w:rFonts w:cs="Times New Roman"/>
          <w:szCs w:val="24"/>
        </w:rPr>
        <w:t>sports</w:t>
      </w:r>
      <w:r w:rsidR="00B177A5">
        <w:rPr>
          <w:rFonts w:cs="Times New Roman"/>
          <w:szCs w:val="24"/>
        </w:rPr>
        <w:t xml:space="preserve">, reflecting changes in </w:t>
      </w:r>
      <w:r w:rsidR="00483630">
        <w:rPr>
          <w:rFonts w:cs="Times New Roman"/>
          <w:szCs w:val="24"/>
        </w:rPr>
        <w:t xml:space="preserve">viewer </w:t>
      </w:r>
      <w:r w:rsidR="00B177A5">
        <w:rPr>
          <w:rFonts w:cs="Times New Roman"/>
          <w:szCs w:val="24"/>
        </w:rPr>
        <w:t>preferences</w:t>
      </w:r>
      <w:r w:rsidR="00342267">
        <w:rPr>
          <w:rFonts w:cs="Times New Roman"/>
          <w:szCs w:val="24"/>
        </w:rPr>
        <w:t>, as well as adjustments in the business strategies of streaming services</w:t>
      </w:r>
      <w:r>
        <w:rPr>
          <w:rFonts w:cs="Times New Roman"/>
          <w:szCs w:val="24"/>
        </w:rPr>
        <w:t xml:space="preserve">. </w:t>
      </w:r>
      <w:r w:rsidR="00D9253E">
        <w:rPr>
          <w:rFonts w:cs="Times New Roman"/>
          <w:szCs w:val="24"/>
        </w:rPr>
        <w:t>Forty </w:t>
      </w:r>
      <w:r w:rsidR="00A07552">
        <w:rPr>
          <w:rFonts w:cs="Times New Roman"/>
          <w:szCs w:val="24"/>
        </w:rPr>
        <w:t>per</w:t>
      </w:r>
      <w:r w:rsidR="00D9253E">
        <w:rPr>
          <w:rFonts w:cs="Times New Roman"/>
          <w:szCs w:val="24"/>
        </w:rPr>
        <w:t> </w:t>
      </w:r>
      <w:r w:rsidR="00A07552">
        <w:rPr>
          <w:rFonts w:cs="Times New Roman"/>
          <w:szCs w:val="24"/>
        </w:rPr>
        <w:t>cent of global fans now opt to stream live sports events through digital platforms.</w:t>
      </w:r>
      <w:r w:rsidR="00A07552">
        <w:rPr>
          <w:rStyle w:val="FootnoteReference"/>
          <w:rFonts w:cs="Times New Roman"/>
          <w:szCs w:val="24"/>
        </w:rPr>
        <w:footnoteReference w:id="66"/>
      </w:r>
    </w:p>
    <w:p w14:paraId="480BEF15" w14:textId="12C81B71" w:rsidR="00237162" w:rsidRDefault="008166A5" w:rsidP="003164F9">
      <w:r>
        <w:rPr>
          <w:rFonts w:cs="Times New Roman"/>
          <w:szCs w:val="24"/>
        </w:rPr>
        <w:t>In the UK, t</w:t>
      </w:r>
      <w:r>
        <w:t xml:space="preserve">he sports broadcasting sector has been affected by the same behavioural and technological shifts that have </w:t>
      </w:r>
      <w:r w:rsidR="00122A79">
        <w:t xml:space="preserve">impacted </w:t>
      </w:r>
      <w:r>
        <w:t>the wider media sector</w:t>
      </w:r>
      <w:r w:rsidR="00122A79">
        <w:t>.</w:t>
      </w:r>
      <w:r>
        <w:t xml:space="preserve"> Linear</w:t>
      </w:r>
      <w:r w:rsidR="00122A79">
        <w:t xml:space="preserve"> TV</w:t>
      </w:r>
      <w:r>
        <w:t xml:space="preserve"> viewing </w:t>
      </w:r>
      <w:r w:rsidR="00951F40">
        <w:t>is declining</w:t>
      </w:r>
      <w:r>
        <w:t xml:space="preserve"> among younger audiences, who are more likely to prefer to watch sports on OTT services.</w:t>
      </w:r>
      <w:r w:rsidR="00122A79" w:rsidRPr="00122A79">
        <w:rPr>
          <w:rStyle w:val="FootnoteReference"/>
        </w:rPr>
        <w:t xml:space="preserve"> </w:t>
      </w:r>
      <w:r w:rsidR="00122A79">
        <w:rPr>
          <w:rStyle w:val="FootnoteReference"/>
        </w:rPr>
        <w:footnoteReference w:id="67"/>
      </w:r>
      <w:r w:rsidR="00122A79">
        <w:t xml:space="preserve"> </w:t>
      </w:r>
    </w:p>
    <w:p w14:paraId="276E3D56" w14:textId="00280555" w:rsidR="008166A5" w:rsidRDefault="00F012A1" w:rsidP="003164F9">
      <w:r>
        <w:t xml:space="preserve">Across </w:t>
      </w:r>
      <w:r w:rsidR="00237162">
        <w:t>different countries</w:t>
      </w:r>
      <w:r>
        <w:t xml:space="preserve">, the penetration of OTT services in the sports market varies widely. For example, in </w:t>
      </w:r>
      <w:r w:rsidR="00237162">
        <w:t xml:space="preserve">2021, </w:t>
      </w:r>
      <w:r>
        <w:t xml:space="preserve">only 2 per cent of annual spend on sports TV rights </w:t>
      </w:r>
      <w:r w:rsidR="00237162">
        <w:t>in the UK was</w:t>
      </w:r>
      <w:r>
        <w:t xml:space="preserve"> derived from streaming</w:t>
      </w:r>
      <w:r w:rsidR="00237162">
        <w:t xml:space="preserve"> subscription services, while this sat at nearly 25 per cent in Germany and nearly 35 per cent in Italy. </w:t>
      </w:r>
      <w:r w:rsidR="00DE6FC4">
        <w:t>T</w:t>
      </w:r>
      <w:r w:rsidR="00237162">
        <w:t xml:space="preserve">his number was estimated </w:t>
      </w:r>
      <w:r w:rsidR="00DE6FC4">
        <w:t>to</w:t>
      </w:r>
      <w:r w:rsidR="00237162">
        <w:t xml:space="preserve"> rise to 53 per cent for the Italian sports market in 2022.</w:t>
      </w:r>
      <w:r w:rsidR="00237162" w:rsidRPr="007B6F63">
        <w:rPr>
          <w:vertAlign w:val="superscript"/>
        </w:rPr>
        <w:footnoteReference w:id="68"/>
      </w:r>
    </w:p>
    <w:p w14:paraId="4DD0335E" w14:textId="76E13CC6" w:rsidR="00590503" w:rsidRDefault="00AE7AF2" w:rsidP="003164F9">
      <w:pPr>
        <w:rPr>
          <w:rFonts w:cs="Times New Roman"/>
          <w:szCs w:val="24"/>
        </w:rPr>
      </w:pPr>
      <w:r>
        <w:t>The</w:t>
      </w:r>
      <w:r w:rsidR="00093D27">
        <w:t xml:space="preserve"> impact of online coverage of sporting events in terms of interest and participation in sport</w:t>
      </w:r>
      <w:r w:rsidR="00234EB1">
        <w:t xml:space="preserve"> is difficult to ascertain, given the relative recency of the trend and the lack of publicly available research and data. </w:t>
      </w:r>
      <w:r w:rsidR="00093D27">
        <w:t xml:space="preserve">However, </w:t>
      </w:r>
      <w:r w:rsidR="00234EB1">
        <w:t>this</w:t>
      </w:r>
      <w:r w:rsidR="00093D27">
        <w:t xml:space="preserve"> is expected to evolve over the coming years as sporting codes look to capitalise on </w:t>
      </w:r>
      <w:r w:rsidR="00A07552">
        <w:rPr>
          <w:rFonts w:cs="Times New Roman"/>
          <w:szCs w:val="24"/>
        </w:rPr>
        <w:t>the</w:t>
      </w:r>
      <w:r w:rsidR="00D10B9A">
        <w:rPr>
          <w:rFonts w:cs="Times New Roman"/>
          <w:szCs w:val="24"/>
        </w:rPr>
        <w:t xml:space="preserve"> </w:t>
      </w:r>
      <w:r w:rsidR="00A07552">
        <w:rPr>
          <w:rFonts w:cs="Times New Roman"/>
          <w:szCs w:val="24"/>
        </w:rPr>
        <w:t>opportunities presented by online streaming services.</w:t>
      </w:r>
    </w:p>
    <w:p w14:paraId="057E9BE3" w14:textId="652F3D39" w:rsidR="00E103CD" w:rsidRPr="00AA33C6" w:rsidRDefault="00A06731" w:rsidP="000C5D39">
      <w:pPr>
        <w:pStyle w:val="Heading3"/>
      </w:pPr>
      <w:bookmarkStart w:id="221" w:name="_Toc111752595"/>
      <w:bookmarkStart w:id="222" w:name="_Toc111795282"/>
      <w:bookmarkStart w:id="223" w:name="_Toc111800698"/>
      <w:bookmarkStart w:id="224" w:name="_Toc111803394"/>
      <w:bookmarkStart w:id="225" w:name="_Toc111813805"/>
      <w:bookmarkStart w:id="226" w:name="_Toc113361271"/>
      <w:bookmarkStart w:id="227" w:name="_Toc113361779"/>
      <w:bookmarkStart w:id="228" w:name="_Toc112320987"/>
      <w:bookmarkStart w:id="229" w:name="_Toc114487385"/>
      <w:bookmarkStart w:id="230" w:name="_Toc116044851"/>
      <w:bookmarkStart w:id="231" w:name="_Toc116061409"/>
      <w:r w:rsidRPr="00D64EFE">
        <w:t>Amazon</w:t>
      </w:r>
      <w:r w:rsidR="00450260" w:rsidRPr="00AA33C6">
        <w:t xml:space="preserve"> in the UK</w:t>
      </w:r>
      <w:bookmarkEnd w:id="221"/>
      <w:bookmarkEnd w:id="222"/>
      <w:bookmarkEnd w:id="223"/>
      <w:bookmarkEnd w:id="224"/>
      <w:bookmarkEnd w:id="225"/>
      <w:bookmarkEnd w:id="226"/>
      <w:bookmarkEnd w:id="227"/>
      <w:bookmarkEnd w:id="228"/>
      <w:bookmarkEnd w:id="229"/>
      <w:bookmarkEnd w:id="230"/>
      <w:bookmarkEnd w:id="231"/>
    </w:p>
    <w:p w14:paraId="2AE0D6C5" w14:textId="75BD254B" w:rsidR="00A06731" w:rsidRDefault="00282076" w:rsidP="003164F9">
      <w:pPr>
        <w:rPr>
          <w:rFonts w:cs="Times New Roman"/>
          <w:szCs w:val="24"/>
        </w:rPr>
      </w:pPr>
      <w:r>
        <w:rPr>
          <w:rFonts w:cs="Times New Roman"/>
          <w:szCs w:val="24"/>
        </w:rPr>
        <w:t>In</w:t>
      </w:r>
      <w:r w:rsidR="00E103CD">
        <w:rPr>
          <w:rFonts w:cs="Times New Roman"/>
          <w:szCs w:val="24"/>
        </w:rPr>
        <w:t xml:space="preserve"> 2018, Amazon acquired exclusive rights </w:t>
      </w:r>
      <w:r w:rsidR="007B6F63">
        <w:rPr>
          <w:rFonts w:cs="Times New Roman"/>
          <w:szCs w:val="24"/>
        </w:rPr>
        <w:t xml:space="preserve">in the UK </w:t>
      </w:r>
      <w:r w:rsidR="00E103CD">
        <w:rPr>
          <w:rFonts w:cs="Times New Roman"/>
          <w:szCs w:val="24"/>
        </w:rPr>
        <w:t xml:space="preserve">to broadcast 20 English Premier League (EPL) games </w:t>
      </w:r>
      <w:r w:rsidR="005E20BC">
        <w:rPr>
          <w:rFonts w:cs="Times New Roman"/>
          <w:szCs w:val="24"/>
        </w:rPr>
        <w:t>per season across three years, starting in</w:t>
      </w:r>
      <w:r w:rsidR="00E103CD">
        <w:rPr>
          <w:rFonts w:cs="Times New Roman"/>
          <w:szCs w:val="24"/>
        </w:rPr>
        <w:t xml:space="preserve"> 201</w:t>
      </w:r>
      <w:r w:rsidR="005E20BC">
        <w:rPr>
          <w:rFonts w:cs="Times New Roman"/>
          <w:szCs w:val="24"/>
        </w:rPr>
        <w:t>9</w:t>
      </w:r>
      <w:r w:rsidR="00E103CD">
        <w:rPr>
          <w:rFonts w:cs="Times New Roman"/>
          <w:szCs w:val="24"/>
        </w:rPr>
        <w:t>.</w:t>
      </w:r>
      <w:r w:rsidR="005E20BC">
        <w:rPr>
          <w:rFonts w:cs="Times New Roman"/>
          <w:szCs w:val="24"/>
        </w:rPr>
        <w:t xml:space="preserve"> Amazon shared the rights with two major pay TV broadcaster</w:t>
      </w:r>
      <w:r w:rsidR="00D9253E">
        <w:rPr>
          <w:rFonts w:cs="Times New Roman"/>
          <w:szCs w:val="24"/>
        </w:rPr>
        <w:t>s</w:t>
      </w:r>
      <w:r w:rsidR="005E20BC">
        <w:rPr>
          <w:rFonts w:cs="Times New Roman"/>
          <w:szCs w:val="24"/>
        </w:rPr>
        <w:t xml:space="preserve"> – Sky Sports and BT Sport. </w:t>
      </w:r>
      <w:r w:rsidR="000741C8">
        <w:rPr>
          <w:rFonts w:cs="Times New Roman"/>
          <w:szCs w:val="24"/>
        </w:rPr>
        <w:t xml:space="preserve">While Amazon did not disclose how much it paid for the rights, Sky is reported to </w:t>
      </w:r>
      <w:r w:rsidR="000741C8">
        <w:rPr>
          <w:rFonts w:cs="Times New Roman"/>
          <w:szCs w:val="24"/>
        </w:rPr>
        <w:lastRenderedPageBreak/>
        <w:t>have paid around AUD$6 billion, while BT Sports reportedly paid AUD$1.5 billion.</w:t>
      </w:r>
      <w:r w:rsidR="000741C8">
        <w:rPr>
          <w:rStyle w:val="FootnoteReference"/>
          <w:rFonts w:cs="Times New Roman"/>
          <w:szCs w:val="24"/>
        </w:rPr>
        <w:footnoteReference w:id="69"/>
      </w:r>
      <w:r w:rsidR="000741C8">
        <w:rPr>
          <w:rFonts w:cs="Times New Roman"/>
          <w:szCs w:val="24"/>
        </w:rPr>
        <w:t xml:space="preserve"> </w:t>
      </w:r>
      <w:r w:rsidR="005E20BC">
        <w:rPr>
          <w:rFonts w:cs="Times New Roman"/>
          <w:szCs w:val="24"/>
        </w:rPr>
        <w:t>The deal was renewed in 202</w:t>
      </w:r>
      <w:r w:rsidR="00BC1B05">
        <w:rPr>
          <w:rFonts w:cs="Times New Roman"/>
          <w:szCs w:val="24"/>
        </w:rPr>
        <w:t>1</w:t>
      </w:r>
      <w:r w:rsidR="005E20BC">
        <w:rPr>
          <w:rFonts w:cs="Times New Roman"/>
          <w:szCs w:val="24"/>
        </w:rPr>
        <w:t xml:space="preserve"> to span the 2022 to 2025 seasons.</w:t>
      </w:r>
      <w:r w:rsidR="0037222C">
        <w:rPr>
          <w:rStyle w:val="FootnoteReference"/>
          <w:rFonts w:cs="Times New Roman"/>
          <w:szCs w:val="24"/>
        </w:rPr>
        <w:footnoteReference w:id="70"/>
      </w:r>
    </w:p>
    <w:p w14:paraId="069D4D73" w14:textId="24EABE35" w:rsidR="00A06731" w:rsidRDefault="00A06731" w:rsidP="003164F9">
      <w:pPr>
        <w:rPr>
          <w:rFonts w:cs="Times New Roman"/>
          <w:szCs w:val="24"/>
        </w:rPr>
      </w:pPr>
      <w:r>
        <w:rPr>
          <w:rFonts w:cs="Times New Roman"/>
          <w:szCs w:val="24"/>
        </w:rPr>
        <w:t>In July 2022, Amazon announced a similar three-year deal to stream European Champions League matches in the UK beginning in 2024.</w:t>
      </w:r>
      <w:r w:rsidR="0037222C">
        <w:rPr>
          <w:rStyle w:val="FootnoteReference"/>
          <w:rFonts w:cs="Times New Roman"/>
          <w:szCs w:val="24"/>
        </w:rPr>
        <w:footnoteReference w:id="71"/>
      </w:r>
      <w:r>
        <w:rPr>
          <w:rFonts w:cs="Times New Roman"/>
          <w:szCs w:val="24"/>
        </w:rPr>
        <w:t xml:space="preserve"> BT Sport, which has had exclusive UK rights to broadcast the Champions League since 2015, will continue to carry the majority of matches. Amazon already broadcasts a number of Champions League matches in Germany and Italy.</w:t>
      </w:r>
    </w:p>
    <w:p w14:paraId="4530F6FD" w14:textId="26435797" w:rsidR="00077E44" w:rsidRDefault="00F440C3" w:rsidP="003164F9">
      <w:pPr>
        <w:rPr>
          <w:rFonts w:cs="Times New Roman"/>
          <w:szCs w:val="24"/>
        </w:rPr>
      </w:pPr>
      <w:r>
        <w:rPr>
          <w:rFonts w:cs="Times New Roman"/>
          <w:szCs w:val="24"/>
        </w:rPr>
        <w:t>Amazon has also invested significantly in tennis in the UK</w:t>
      </w:r>
      <w:r w:rsidR="006F4444">
        <w:rPr>
          <w:rFonts w:cs="Times New Roman"/>
          <w:szCs w:val="24"/>
        </w:rPr>
        <w:t>.</w:t>
      </w:r>
      <w:r>
        <w:rPr>
          <w:rFonts w:cs="Times New Roman"/>
          <w:szCs w:val="24"/>
        </w:rPr>
        <w:t xml:space="preserve"> </w:t>
      </w:r>
      <w:r w:rsidR="006F4444">
        <w:rPr>
          <w:rFonts w:cs="Times New Roman"/>
          <w:szCs w:val="24"/>
        </w:rPr>
        <w:t>In 2018,</w:t>
      </w:r>
      <w:r>
        <w:rPr>
          <w:rFonts w:cs="Times New Roman"/>
          <w:szCs w:val="24"/>
        </w:rPr>
        <w:t xml:space="preserve"> it acquired rights to broadcast </w:t>
      </w:r>
      <w:r w:rsidR="00757004">
        <w:rPr>
          <w:rFonts w:cs="Times New Roman"/>
          <w:szCs w:val="24"/>
        </w:rPr>
        <w:t>ATP</w:t>
      </w:r>
      <w:r>
        <w:rPr>
          <w:rFonts w:cs="Times New Roman"/>
          <w:szCs w:val="24"/>
        </w:rPr>
        <w:t xml:space="preserve"> World Tour events through to 2023</w:t>
      </w:r>
      <w:r w:rsidR="006F4444">
        <w:rPr>
          <w:rFonts w:cs="Times New Roman"/>
          <w:szCs w:val="24"/>
        </w:rPr>
        <w:t xml:space="preserve">. It </w:t>
      </w:r>
      <w:r w:rsidR="00757004">
        <w:rPr>
          <w:rFonts w:cs="Times New Roman"/>
          <w:szCs w:val="24"/>
        </w:rPr>
        <w:t xml:space="preserve">also </w:t>
      </w:r>
      <w:r w:rsidR="006F4444">
        <w:rPr>
          <w:rFonts w:cs="Times New Roman"/>
          <w:szCs w:val="24"/>
        </w:rPr>
        <w:t>acquired exclusive UK TV rights to the US Open tennis tournament</w:t>
      </w:r>
      <w:r w:rsidR="00757004">
        <w:rPr>
          <w:rFonts w:cs="Times New Roman"/>
          <w:szCs w:val="24"/>
        </w:rPr>
        <w:t xml:space="preserve"> for five years</w:t>
      </w:r>
      <w:r w:rsidR="006F4444">
        <w:rPr>
          <w:rFonts w:cs="Times New Roman"/>
          <w:szCs w:val="24"/>
        </w:rPr>
        <w:t>.</w:t>
      </w:r>
      <w:r w:rsidR="00077E44">
        <w:rPr>
          <w:rStyle w:val="FootnoteReference"/>
          <w:rFonts w:cs="Times New Roman"/>
          <w:szCs w:val="24"/>
        </w:rPr>
        <w:footnoteReference w:id="72"/>
      </w:r>
      <w:r w:rsidR="006F4444">
        <w:rPr>
          <w:rFonts w:cs="Times New Roman"/>
          <w:szCs w:val="24"/>
        </w:rPr>
        <w:t xml:space="preserve"> </w:t>
      </w:r>
      <w:r w:rsidR="00077E44">
        <w:rPr>
          <w:rFonts w:cs="Times New Roman"/>
          <w:szCs w:val="24"/>
        </w:rPr>
        <w:t xml:space="preserve">However, Amazon </w:t>
      </w:r>
      <w:r w:rsidR="00EF5FBA">
        <w:rPr>
          <w:rFonts w:cs="Times New Roman"/>
          <w:szCs w:val="24"/>
        </w:rPr>
        <w:t>did not</w:t>
      </w:r>
      <w:r w:rsidR="00077E44">
        <w:rPr>
          <w:rFonts w:cs="Times New Roman"/>
          <w:szCs w:val="24"/>
        </w:rPr>
        <w:t xml:space="preserve"> </w:t>
      </w:r>
      <w:r w:rsidR="006114A4">
        <w:rPr>
          <w:rFonts w:cs="Times New Roman"/>
          <w:szCs w:val="24"/>
        </w:rPr>
        <w:t>secure the</w:t>
      </w:r>
      <w:r w:rsidR="00077E44">
        <w:rPr>
          <w:rFonts w:cs="Times New Roman"/>
          <w:szCs w:val="24"/>
        </w:rPr>
        <w:t xml:space="preserve"> US Open UK rights contract from 2023, with Sky Sports outbidding the streaming company.</w:t>
      </w:r>
      <w:r w:rsidR="00077E44">
        <w:rPr>
          <w:rStyle w:val="FootnoteReference"/>
          <w:rFonts w:cs="Times New Roman"/>
          <w:szCs w:val="24"/>
        </w:rPr>
        <w:footnoteReference w:id="73"/>
      </w:r>
    </w:p>
    <w:p w14:paraId="6A53A400" w14:textId="6019E0E7" w:rsidR="00F440C3" w:rsidRDefault="00757004" w:rsidP="003164F9">
      <w:pPr>
        <w:rPr>
          <w:rFonts w:cs="Times New Roman"/>
          <w:szCs w:val="24"/>
        </w:rPr>
      </w:pPr>
      <w:r>
        <w:rPr>
          <w:rFonts w:cs="Times New Roman"/>
          <w:szCs w:val="24"/>
        </w:rPr>
        <w:t xml:space="preserve">In 2020, Amazon </w:t>
      </w:r>
      <w:r w:rsidR="00BC2494">
        <w:rPr>
          <w:rFonts w:cs="Times New Roman"/>
          <w:szCs w:val="24"/>
        </w:rPr>
        <w:t>entered into</w:t>
      </w:r>
      <w:r>
        <w:rPr>
          <w:rFonts w:cs="Times New Roman"/>
          <w:szCs w:val="24"/>
        </w:rPr>
        <w:t xml:space="preserve"> an exclusive four-year rights agreement with the Women’s Tennis Association to add live and on-demand coverage in the UK and Ireland.</w:t>
      </w:r>
      <w:r w:rsidR="00077E44">
        <w:rPr>
          <w:rStyle w:val="FootnoteReference"/>
          <w:rFonts w:cs="Times New Roman"/>
          <w:szCs w:val="24"/>
        </w:rPr>
        <w:footnoteReference w:id="74"/>
      </w:r>
    </w:p>
    <w:p w14:paraId="76AA78BE" w14:textId="1F43FD39" w:rsidR="00B147D1" w:rsidRPr="00AA33C6" w:rsidRDefault="00450260" w:rsidP="00B147D1">
      <w:pPr>
        <w:pStyle w:val="Heading3"/>
      </w:pPr>
      <w:bookmarkStart w:id="232" w:name="_Toc111752596"/>
      <w:bookmarkStart w:id="233" w:name="_Toc111795283"/>
      <w:bookmarkStart w:id="234" w:name="_Toc111800699"/>
      <w:bookmarkStart w:id="235" w:name="_Toc111803395"/>
      <w:bookmarkStart w:id="236" w:name="_Toc111813806"/>
      <w:bookmarkStart w:id="237" w:name="_Toc112320988"/>
      <w:bookmarkStart w:id="238" w:name="_Toc113361272"/>
      <w:bookmarkStart w:id="239" w:name="_Toc113361780"/>
      <w:bookmarkStart w:id="240" w:name="_Toc114487386"/>
      <w:bookmarkStart w:id="241" w:name="_Toc116044852"/>
      <w:bookmarkStart w:id="242" w:name="_Toc116061410"/>
      <w:r w:rsidRPr="00D64EFE">
        <w:t>USA National Football League</w:t>
      </w:r>
      <w:bookmarkEnd w:id="232"/>
      <w:bookmarkEnd w:id="233"/>
      <w:bookmarkEnd w:id="234"/>
      <w:bookmarkEnd w:id="235"/>
      <w:bookmarkEnd w:id="236"/>
      <w:bookmarkEnd w:id="237"/>
      <w:bookmarkEnd w:id="238"/>
      <w:bookmarkEnd w:id="239"/>
      <w:bookmarkEnd w:id="240"/>
      <w:bookmarkEnd w:id="241"/>
      <w:bookmarkEnd w:id="242"/>
    </w:p>
    <w:p w14:paraId="77D064BD" w14:textId="24E4F0F3" w:rsidR="00450260" w:rsidRDefault="00450260" w:rsidP="00B147D1">
      <w:pPr>
        <w:rPr>
          <w:rFonts w:cs="Times New Roman"/>
          <w:szCs w:val="24"/>
        </w:rPr>
      </w:pPr>
      <w:r>
        <w:rPr>
          <w:rFonts w:cs="Times New Roman"/>
          <w:szCs w:val="24"/>
        </w:rPr>
        <w:t>In March 2021, an 11-year deal, valued at over US$100 billion, was agreed between all rights partners across digital and broadcast platforms.</w:t>
      </w:r>
      <w:r w:rsidR="00B34366">
        <w:rPr>
          <w:rStyle w:val="FootnoteReference"/>
          <w:rFonts w:cs="Times New Roman"/>
          <w:szCs w:val="24"/>
        </w:rPr>
        <w:footnoteReference w:id="75"/>
      </w:r>
      <w:r w:rsidR="00217BCE">
        <w:rPr>
          <w:rFonts w:cs="Times New Roman"/>
          <w:szCs w:val="24"/>
        </w:rPr>
        <w:t xml:space="preserve"> The arrangement commences in 2023. </w:t>
      </w:r>
      <w:r w:rsidR="00B34366">
        <w:rPr>
          <w:rFonts w:cs="Times New Roman"/>
          <w:szCs w:val="24"/>
        </w:rPr>
        <w:t xml:space="preserve">However, </w:t>
      </w:r>
      <w:r w:rsidR="00217BCE">
        <w:rPr>
          <w:rFonts w:cs="Times New Roman"/>
          <w:szCs w:val="24"/>
        </w:rPr>
        <w:t xml:space="preserve">Amazon Prime will be the exclusive partner for the NFL’s Thursday night package, and </w:t>
      </w:r>
      <w:r w:rsidR="00B34366">
        <w:rPr>
          <w:rFonts w:cs="Times New Roman"/>
          <w:szCs w:val="24"/>
        </w:rPr>
        <w:t>the two entities agreed to commence from the 2022 season.</w:t>
      </w:r>
      <w:r w:rsidR="00B34366">
        <w:rPr>
          <w:rStyle w:val="FootnoteReference"/>
          <w:rFonts w:cs="Times New Roman"/>
          <w:szCs w:val="24"/>
        </w:rPr>
        <w:footnoteReference w:id="76"/>
      </w:r>
      <w:r w:rsidR="00B34366">
        <w:rPr>
          <w:rFonts w:cs="Times New Roman"/>
          <w:szCs w:val="24"/>
        </w:rPr>
        <w:t xml:space="preserve"> Amazon</w:t>
      </w:r>
      <w:r w:rsidR="00217BCE">
        <w:rPr>
          <w:rFonts w:cs="Times New Roman"/>
          <w:szCs w:val="24"/>
        </w:rPr>
        <w:t xml:space="preserve"> is reported to be paying around US$1 billion per year</w:t>
      </w:r>
      <w:r w:rsidR="00B34366">
        <w:rPr>
          <w:rFonts w:cs="Times New Roman"/>
          <w:szCs w:val="24"/>
        </w:rPr>
        <w:t xml:space="preserve"> for the package</w:t>
      </w:r>
      <w:r w:rsidR="00217BCE">
        <w:rPr>
          <w:rFonts w:cs="Times New Roman"/>
          <w:szCs w:val="24"/>
        </w:rPr>
        <w:t>.</w:t>
      </w:r>
      <w:r w:rsidR="00B34366">
        <w:rPr>
          <w:rStyle w:val="FootnoteReference"/>
          <w:rFonts w:cs="Times New Roman"/>
          <w:szCs w:val="24"/>
        </w:rPr>
        <w:footnoteReference w:id="77"/>
      </w:r>
      <w:r w:rsidR="00217BCE">
        <w:rPr>
          <w:rFonts w:cs="Times New Roman"/>
          <w:szCs w:val="24"/>
        </w:rPr>
        <w:t xml:space="preserve"> </w:t>
      </w:r>
      <w:r w:rsidR="00B34366">
        <w:rPr>
          <w:rFonts w:cs="Times New Roman"/>
          <w:szCs w:val="24"/>
        </w:rPr>
        <w:t>It</w:t>
      </w:r>
      <w:r w:rsidR="00217BCE">
        <w:rPr>
          <w:rFonts w:cs="Times New Roman"/>
          <w:szCs w:val="24"/>
        </w:rPr>
        <w:t xml:space="preserve"> represents the first time a streaming service will carry a full package of NFL games exclusively</w:t>
      </w:r>
      <w:r w:rsidR="00B34366">
        <w:rPr>
          <w:rFonts w:cs="Times New Roman"/>
          <w:szCs w:val="24"/>
        </w:rPr>
        <w:t>, and will see around 15 games in 2022 airing exclusively to Amazon Prime customers</w:t>
      </w:r>
      <w:r w:rsidR="00217BCE">
        <w:rPr>
          <w:rFonts w:cs="Times New Roman"/>
          <w:szCs w:val="24"/>
        </w:rPr>
        <w:t>.</w:t>
      </w:r>
    </w:p>
    <w:p w14:paraId="6FF2ACA4" w14:textId="4EB228E3" w:rsidR="00217BCE" w:rsidRDefault="00217BCE" w:rsidP="00B147D1">
      <w:pPr>
        <w:rPr>
          <w:rFonts w:cs="Times New Roman"/>
          <w:szCs w:val="24"/>
        </w:rPr>
      </w:pPr>
      <w:r>
        <w:rPr>
          <w:rFonts w:cs="Times New Roman"/>
          <w:szCs w:val="24"/>
        </w:rPr>
        <w:t>In addition, CBS will stream games it broadcasts on Paramount+; N</w:t>
      </w:r>
      <w:r w:rsidR="00AA0C3C">
        <w:rPr>
          <w:rFonts w:cs="Times New Roman"/>
          <w:szCs w:val="24"/>
        </w:rPr>
        <w:t>BC</w:t>
      </w:r>
      <w:r>
        <w:rPr>
          <w:rFonts w:cs="Times New Roman"/>
          <w:szCs w:val="24"/>
        </w:rPr>
        <w:t>Universal will stream at least the games it broadcasts on the NBC Sports app; and Disney can stream all games that air on ABC and ESPN on ESPN+.</w:t>
      </w:r>
      <w:r w:rsidR="00901643">
        <w:rPr>
          <w:rStyle w:val="FootnoteReference"/>
          <w:rFonts w:cs="Times New Roman"/>
          <w:szCs w:val="24"/>
        </w:rPr>
        <w:footnoteReference w:id="78"/>
      </w:r>
    </w:p>
    <w:p w14:paraId="5E723BA7" w14:textId="33F1631E" w:rsidR="00901643" w:rsidRDefault="00901643" w:rsidP="00B147D1">
      <w:pPr>
        <w:rPr>
          <w:rFonts w:cs="Times New Roman"/>
          <w:szCs w:val="24"/>
        </w:rPr>
      </w:pPr>
      <w:r>
        <w:rPr>
          <w:rFonts w:cs="Times New Roman"/>
          <w:szCs w:val="24"/>
        </w:rPr>
        <w:t>ViacomCBS, Fox</w:t>
      </w:r>
      <w:r w:rsidR="00AA0C3C">
        <w:rPr>
          <w:rFonts w:cs="Times New Roman"/>
          <w:szCs w:val="24"/>
        </w:rPr>
        <w:t>,</w:t>
      </w:r>
      <w:r>
        <w:rPr>
          <w:rFonts w:cs="Times New Roman"/>
          <w:szCs w:val="24"/>
        </w:rPr>
        <w:t xml:space="preserve"> and Comcast (which owns NBCUniversal) will reportedly pay over US$2 billion per year for their respective packages, while Disney will pay around US$2.7 billion annually.</w:t>
      </w:r>
      <w:r>
        <w:rPr>
          <w:rStyle w:val="FootnoteReference"/>
          <w:rFonts w:cs="Times New Roman"/>
          <w:szCs w:val="24"/>
        </w:rPr>
        <w:footnoteReference w:id="79"/>
      </w:r>
    </w:p>
    <w:p w14:paraId="5D354B5A" w14:textId="57DC3F01" w:rsidR="005A1BC2" w:rsidRDefault="00A47560" w:rsidP="00B147D1">
      <w:pPr>
        <w:rPr>
          <w:rFonts w:cs="Times New Roman"/>
          <w:szCs w:val="24"/>
        </w:rPr>
      </w:pPr>
      <w:r w:rsidRPr="001A59B0">
        <w:rPr>
          <w:rFonts w:cs="Times New Roman"/>
          <w:szCs w:val="24"/>
        </w:rPr>
        <w:t>The NFL</w:t>
      </w:r>
      <w:r w:rsidRPr="001A59B0">
        <w:t xml:space="preserve"> also provides</w:t>
      </w:r>
      <w:r w:rsidR="001A59B0">
        <w:t xml:space="preserve"> a</w:t>
      </w:r>
      <w:r>
        <w:t xml:space="preserve"> direct streaming option</w:t>
      </w:r>
      <w:r w:rsidR="00BC1B05">
        <w:t xml:space="preserve"> via</w:t>
      </w:r>
      <w:r>
        <w:t xml:space="preserve"> </w:t>
      </w:r>
      <w:r w:rsidR="001A59B0">
        <w:t>NFL.com</w:t>
      </w:r>
      <w:r>
        <w:t xml:space="preserve">, </w:t>
      </w:r>
      <w:r w:rsidR="001A59B0">
        <w:t xml:space="preserve">including </w:t>
      </w:r>
      <w:r>
        <w:t>live video streaming</w:t>
      </w:r>
      <w:r w:rsidR="001A59B0">
        <w:t xml:space="preserve"> and other OTT </w:t>
      </w:r>
      <w:r>
        <w:t>service</w:t>
      </w:r>
      <w:r w:rsidR="001A59B0">
        <w:t>s. Through this direct service the NFL is able to manage global distribution of its events not already covered by other rights deals.</w:t>
      </w:r>
    </w:p>
    <w:p w14:paraId="50E497C0" w14:textId="5D9CC31C" w:rsidR="00B147D1" w:rsidRPr="00AA33C6" w:rsidRDefault="00217BCE" w:rsidP="00B147D1">
      <w:pPr>
        <w:pStyle w:val="Heading3"/>
      </w:pPr>
      <w:bookmarkStart w:id="243" w:name="_Toc111752597"/>
      <w:bookmarkStart w:id="244" w:name="_Toc111795284"/>
      <w:bookmarkStart w:id="245" w:name="_Toc111800700"/>
      <w:bookmarkStart w:id="246" w:name="_Toc111803396"/>
      <w:bookmarkStart w:id="247" w:name="_Toc111813807"/>
      <w:bookmarkStart w:id="248" w:name="_Toc112320989"/>
      <w:bookmarkStart w:id="249" w:name="_Toc113361273"/>
      <w:bookmarkStart w:id="250" w:name="_Toc113361781"/>
      <w:bookmarkStart w:id="251" w:name="_Toc114487387"/>
      <w:bookmarkStart w:id="252" w:name="_Toc116044853"/>
      <w:bookmarkStart w:id="253" w:name="_Toc116061411"/>
      <w:r w:rsidRPr="00D64EFE">
        <w:t>Indian</w:t>
      </w:r>
      <w:r w:rsidRPr="00616096">
        <w:t xml:space="preserve"> Premier League</w:t>
      </w:r>
      <w:bookmarkEnd w:id="243"/>
      <w:bookmarkEnd w:id="244"/>
      <w:bookmarkEnd w:id="245"/>
      <w:bookmarkEnd w:id="246"/>
      <w:bookmarkEnd w:id="247"/>
      <w:bookmarkEnd w:id="248"/>
      <w:bookmarkEnd w:id="249"/>
      <w:bookmarkEnd w:id="250"/>
      <w:bookmarkEnd w:id="251"/>
      <w:bookmarkEnd w:id="252"/>
      <w:bookmarkEnd w:id="253"/>
    </w:p>
    <w:p w14:paraId="666CD190" w14:textId="280A51EC" w:rsidR="00CD622B" w:rsidRPr="00BD3579" w:rsidRDefault="009C1C32" w:rsidP="00B65B62">
      <w:pPr>
        <w:rPr>
          <w:rFonts w:asciiTheme="majorHAnsi" w:eastAsiaTheme="majorEastAsia" w:hAnsiTheme="majorHAnsi" w:cstheme="majorBidi"/>
          <w:color w:val="081E3E" w:themeColor="text2"/>
          <w:sz w:val="44"/>
          <w:szCs w:val="32"/>
        </w:rPr>
      </w:pPr>
      <w:r>
        <w:rPr>
          <w:rFonts w:cs="Times New Roman"/>
          <w:szCs w:val="24"/>
        </w:rPr>
        <w:t xml:space="preserve">In 2017, Disney-owned Star India acquired worldwide television and </w:t>
      </w:r>
      <w:r w:rsidR="00996A65">
        <w:rPr>
          <w:rFonts w:cs="Times New Roman"/>
          <w:szCs w:val="24"/>
        </w:rPr>
        <w:t>streaming</w:t>
      </w:r>
      <w:r>
        <w:rPr>
          <w:rFonts w:cs="Times New Roman"/>
          <w:szCs w:val="24"/>
        </w:rPr>
        <w:t xml:space="preserve"> rights to the I</w:t>
      </w:r>
      <w:r w:rsidR="00200C66">
        <w:rPr>
          <w:rFonts w:cs="Times New Roman"/>
          <w:szCs w:val="24"/>
        </w:rPr>
        <w:t>ndian Premier League cricket tournament</w:t>
      </w:r>
      <w:r>
        <w:rPr>
          <w:rFonts w:cs="Times New Roman"/>
          <w:szCs w:val="24"/>
        </w:rPr>
        <w:t xml:space="preserve"> for five years, for a reported AUD$3.2 billion.</w:t>
      </w:r>
      <w:r w:rsidR="00F81F16">
        <w:rPr>
          <w:rStyle w:val="FootnoteReference"/>
          <w:rFonts w:cs="Times New Roman"/>
          <w:szCs w:val="24"/>
        </w:rPr>
        <w:footnoteReference w:id="80"/>
      </w:r>
      <w:r>
        <w:rPr>
          <w:rFonts w:cs="Times New Roman"/>
          <w:szCs w:val="24"/>
        </w:rPr>
        <w:t xml:space="preserve"> In 2022, streaming rights for the forthcoming five years were secured by Viacom18 </w:t>
      </w:r>
      <w:r w:rsidR="00996A65">
        <w:rPr>
          <w:rFonts w:cs="Times New Roman"/>
          <w:szCs w:val="24"/>
        </w:rPr>
        <w:t>for over AUD$4.3 billion, while Star India retained the TV rights for around AUD$4.3 billion.</w:t>
      </w:r>
      <w:r w:rsidR="00F81F16">
        <w:rPr>
          <w:rStyle w:val="FootnoteReference"/>
          <w:rFonts w:cs="Times New Roman"/>
          <w:szCs w:val="24"/>
        </w:rPr>
        <w:footnoteReference w:id="81"/>
      </w:r>
      <w:r w:rsidR="00CD622B">
        <w:br w:type="page"/>
      </w:r>
    </w:p>
    <w:p w14:paraId="5354737A" w14:textId="469A8E4B" w:rsidR="008F4184" w:rsidRPr="00647CA6" w:rsidRDefault="00B00BF1" w:rsidP="00B00BF1">
      <w:pPr>
        <w:pStyle w:val="Heading1"/>
        <w:jc w:val="center"/>
        <w:rPr>
          <w:szCs w:val="44"/>
        </w:rPr>
      </w:pPr>
      <w:bookmarkStart w:id="254" w:name="_Toc113361274"/>
      <w:bookmarkStart w:id="255" w:name="_Toc116061412"/>
      <w:r>
        <w:lastRenderedPageBreak/>
        <w:t xml:space="preserve">PART 2: </w:t>
      </w:r>
      <w:r w:rsidR="008F4184" w:rsidRPr="00647CA6">
        <w:t>Issues</w:t>
      </w:r>
      <w:r w:rsidR="00F7423C" w:rsidRPr="00647CA6">
        <w:rPr>
          <w:szCs w:val="44"/>
        </w:rPr>
        <w:t xml:space="preserve"> for consultation</w:t>
      </w:r>
      <w:bookmarkEnd w:id="254"/>
      <w:bookmarkEnd w:id="255"/>
    </w:p>
    <w:p w14:paraId="18ED6B98" w14:textId="23C425D5" w:rsidR="00965E11" w:rsidRPr="008019D4" w:rsidRDefault="00D766F9" w:rsidP="008019D4">
      <w:pPr>
        <w:pStyle w:val="Introduction"/>
      </w:pPr>
      <w:r w:rsidRPr="008019D4">
        <w:t xml:space="preserve">The review will </w:t>
      </w:r>
      <w:r w:rsidR="004366EB" w:rsidRPr="008019D4">
        <w:t>examine issues associated with the anti-siphoning scheme and list and the regulation of television coverage of key sporting events more broadly.</w:t>
      </w:r>
      <w:r w:rsidR="00965E11" w:rsidRPr="008019D4">
        <w:t xml:space="preserve"> The following </w:t>
      </w:r>
      <w:r w:rsidR="001E1F88">
        <w:rPr>
          <w:lang w:val="en-US"/>
        </w:rPr>
        <w:t>chapters</w:t>
      </w:r>
      <w:r w:rsidR="00965E11" w:rsidRPr="008019D4">
        <w:t xml:space="preserve"> outline these issues and pose questions for consideration by interested parties.</w:t>
      </w:r>
    </w:p>
    <w:p w14:paraId="3E2A4FE0" w14:textId="4CF53871" w:rsidR="00A25C72" w:rsidRPr="008019D4" w:rsidRDefault="0022502A" w:rsidP="008019D4">
      <w:pPr>
        <w:pStyle w:val="Introduction"/>
      </w:pPr>
      <w:r w:rsidRPr="0022502A">
        <w:rPr>
          <w:noProof/>
          <w:lang w:val="en-AU" w:eastAsia="en-AU"/>
        </w:rPr>
        <w:drawing>
          <wp:inline distT="0" distB="0" distL="0" distR="0" wp14:anchorId="768313B3" wp14:editId="18E4FCBE">
            <wp:extent cx="6253480" cy="3884666"/>
            <wp:effectExtent l="0" t="0" r="33020" b="20955"/>
            <wp:docPr id="6" name="Diagram 6" descr="Inverted pyramid diagram setting out three policy issues covered in Part 2 of the paper. ">
              <a:extLst xmlns:a="http://schemas.openxmlformats.org/drawingml/2006/main">
                <a:ext uri="{FF2B5EF4-FFF2-40B4-BE49-F238E27FC236}">
                  <a16:creationId xmlns:a16="http://schemas.microsoft.com/office/drawing/2014/main" id="{12011069-E9B5-417D-969C-B52B7CC13D60}"/>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1" r:lo="rId42" r:qs="rId43" r:cs="rId44"/>
              </a:graphicData>
            </a:graphic>
          </wp:inline>
        </w:drawing>
      </w:r>
    </w:p>
    <w:p w14:paraId="0F176522" w14:textId="6254F735" w:rsidR="00831234" w:rsidRDefault="00965E11" w:rsidP="00B65B62">
      <w:pPr>
        <w:rPr>
          <w:rFonts w:asciiTheme="majorHAnsi" w:eastAsiaTheme="majorEastAsia" w:hAnsiTheme="majorHAnsi" w:cstheme="majorBidi"/>
          <w:color w:val="081E3E" w:themeColor="text2"/>
          <w:sz w:val="44"/>
          <w:szCs w:val="32"/>
        </w:rPr>
      </w:pPr>
      <w:r>
        <w:rPr>
          <w:lang w:val="en-US"/>
        </w:rPr>
        <w:t xml:space="preserve">The issues </w:t>
      </w:r>
      <w:r w:rsidR="0090495A">
        <w:rPr>
          <w:lang w:val="en-US"/>
        </w:rPr>
        <w:t xml:space="preserve">are not intended to be </w:t>
      </w:r>
      <w:r>
        <w:rPr>
          <w:lang w:val="en-US"/>
        </w:rPr>
        <w:t xml:space="preserve">exhaustive </w:t>
      </w:r>
      <w:r w:rsidR="003E6C5B">
        <w:rPr>
          <w:lang w:val="en-US"/>
        </w:rPr>
        <w:t>or mutually exclusiv</w:t>
      </w:r>
      <w:r w:rsidR="0090495A">
        <w:rPr>
          <w:lang w:val="en-US"/>
        </w:rPr>
        <w:t>e, and it is recogni</w:t>
      </w:r>
      <w:r w:rsidR="0014618B">
        <w:rPr>
          <w:lang w:val="en-US"/>
        </w:rPr>
        <w:t>s</w:t>
      </w:r>
      <w:r w:rsidR="0090495A">
        <w:rPr>
          <w:lang w:val="en-US"/>
        </w:rPr>
        <w:t>ed that there are interdependencies between the various categories (for example, a view on the objective of the regulation of sports broadcasting will be relevant to consideration of whether there should be an anti-siphoning scheme in place). Submitters should consider these issues to be illustrative</w:t>
      </w:r>
      <w:r w:rsidR="00E864DF">
        <w:rPr>
          <w:lang w:val="en-US"/>
        </w:rPr>
        <w:t xml:space="preserve"> </w:t>
      </w:r>
      <w:r w:rsidR="00831234">
        <w:rPr>
          <w:lang w:val="en-US"/>
        </w:rPr>
        <w:t xml:space="preserve">and </w:t>
      </w:r>
      <w:r w:rsidR="00D40451">
        <w:rPr>
          <w:lang w:val="en-US"/>
        </w:rPr>
        <w:t xml:space="preserve">should </w:t>
      </w:r>
      <w:r w:rsidR="00831234">
        <w:rPr>
          <w:lang w:val="en-US"/>
        </w:rPr>
        <w:t>provide comment on the anti</w:t>
      </w:r>
      <w:r w:rsidR="00D91501">
        <w:rPr>
          <w:lang w:val="en-US"/>
        </w:rPr>
        <w:noBreakHyphen/>
      </w:r>
      <w:r w:rsidR="00831234">
        <w:rPr>
          <w:lang w:val="en-US"/>
        </w:rPr>
        <w:t xml:space="preserve">siphoning scheme and </w:t>
      </w:r>
      <w:r w:rsidR="008F0370">
        <w:rPr>
          <w:lang w:val="en-US"/>
        </w:rPr>
        <w:t xml:space="preserve">anti-siphoning </w:t>
      </w:r>
      <w:r w:rsidR="00831234">
        <w:rPr>
          <w:lang w:val="en-US"/>
        </w:rPr>
        <w:t xml:space="preserve">list </w:t>
      </w:r>
      <w:r w:rsidR="00D40451">
        <w:rPr>
          <w:lang w:val="en-US"/>
        </w:rPr>
        <w:t>(</w:t>
      </w:r>
      <w:r w:rsidR="00831234">
        <w:rPr>
          <w:lang w:val="en-US"/>
        </w:rPr>
        <w:t>and sports broadcasting policy</w:t>
      </w:r>
      <w:r w:rsidR="00D40451">
        <w:rPr>
          <w:lang w:val="en-US"/>
        </w:rPr>
        <w:t>)</w:t>
      </w:r>
      <w:r w:rsidR="00D9253E">
        <w:rPr>
          <w:lang w:val="en-US"/>
        </w:rPr>
        <w:t>,</w:t>
      </w:r>
      <w:r w:rsidR="00831234">
        <w:rPr>
          <w:lang w:val="en-US"/>
        </w:rPr>
        <w:t xml:space="preserve"> as </w:t>
      </w:r>
      <w:r w:rsidR="00D9253E">
        <w:rPr>
          <w:lang w:val="en-US"/>
        </w:rPr>
        <w:t>appropriate</w:t>
      </w:r>
      <w:r w:rsidR="00831234">
        <w:rPr>
          <w:lang w:val="en-US"/>
        </w:rPr>
        <w:t>.</w:t>
      </w:r>
      <w:r w:rsidR="00831234">
        <w:br w:type="page"/>
      </w:r>
    </w:p>
    <w:p w14:paraId="40CBCCD8" w14:textId="2E1BA81B" w:rsidR="00565B34" w:rsidRPr="0014618B" w:rsidRDefault="003949EA" w:rsidP="0014618B">
      <w:pPr>
        <w:pStyle w:val="Heading1"/>
      </w:pPr>
      <w:bookmarkStart w:id="256" w:name="_Toc113361275"/>
      <w:bookmarkStart w:id="257" w:name="_Toc116061413"/>
      <w:r>
        <w:lastRenderedPageBreak/>
        <w:t xml:space="preserve">Chapter 4: </w:t>
      </w:r>
      <w:r w:rsidR="00565B34" w:rsidRPr="0014618B">
        <w:t>Policy settings</w:t>
      </w:r>
      <w:r w:rsidR="003E6C5B">
        <w:t xml:space="preserve"> and considerations</w:t>
      </w:r>
      <w:bookmarkEnd w:id="256"/>
      <w:bookmarkEnd w:id="257"/>
    </w:p>
    <w:p w14:paraId="3616ACAA" w14:textId="6982EC7F" w:rsidR="00571EE4" w:rsidRDefault="00571EE4" w:rsidP="009409CA">
      <w:pPr>
        <w:pStyle w:val="Introduction"/>
        <w:spacing w:before="120" w:after="120"/>
      </w:pPr>
      <w:r w:rsidRPr="0014618B">
        <w:t xml:space="preserve">This </w:t>
      </w:r>
      <w:r w:rsidR="001E1F88">
        <w:rPr>
          <w:lang w:val="en-US"/>
        </w:rPr>
        <w:t>chapter</w:t>
      </w:r>
      <w:r w:rsidRPr="0014618B">
        <w:t xml:space="preserve"> describes two threshold issues associated with the regulation of sports broadcasting:</w:t>
      </w:r>
    </w:p>
    <w:p w14:paraId="22F8E3C6" w14:textId="326A1297" w:rsidR="00571EE4" w:rsidRDefault="00D94FF8" w:rsidP="009409CA">
      <w:pPr>
        <w:pStyle w:val="Introduction"/>
        <w:numPr>
          <w:ilvl w:val="0"/>
          <w:numId w:val="54"/>
        </w:numPr>
        <w:spacing w:before="120" w:after="120"/>
      </w:pPr>
      <w:r>
        <w:rPr>
          <w:lang w:val="en-AU"/>
        </w:rPr>
        <w:t xml:space="preserve">the </w:t>
      </w:r>
      <w:r w:rsidR="00571EE4" w:rsidRPr="0014618B">
        <w:rPr>
          <w:i/>
        </w:rPr>
        <w:t>policy objective</w:t>
      </w:r>
      <w:r w:rsidR="00571EE4">
        <w:rPr>
          <w:lang w:val="en-AU"/>
        </w:rPr>
        <w:t xml:space="preserve"> </w:t>
      </w:r>
      <w:r w:rsidR="00571EE4" w:rsidRPr="0014618B">
        <w:t>– the outcome being sought by the anti-siphoning scheme; and</w:t>
      </w:r>
    </w:p>
    <w:p w14:paraId="2FA903C4" w14:textId="3404A851" w:rsidR="00571EE4" w:rsidRDefault="00F7423C" w:rsidP="009409CA">
      <w:pPr>
        <w:pStyle w:val="Introduction"/>
        <w:numPr>
          <w:ilvl w:val="0"/>
          <w:numId w:val="54"/>
        </w:numPr>
        <w:spacing w:before="120" w:after="120"/>
      </w:pPr>
      <w:r>
        <w:rPr>
          <w:lang w:val="en-US"/>
        </w:rPr>
        <w:t xml:space="preserve">the </w:t>
      </w:r>
      <w:r w:rsidR="00571EE4" w:rsidRPr="0014618B">
        <w:rPr>
          <w:i/>
        </w:rPr>
        <w:t>policy mechanism</w:t>
      </w:r>
      <w:r w:rsidR="00571EE4" w:rsidRPr="0014618B">
        <w:t xml:space="preserve"> – whether the anti-siphoning scheme is the right intervention to achieve this outcome in a contemporary media environment.</w:t>
      </w:r>
    </w:p>
    <w:p w14:paraId="7CABD182" w14:textId="37662BBC" w:rsidR="00565B34" w:rsidRPr="00282076" w:rsidRDefault="00565B34" w:rsidP="00B22819">
      <w:pPr>
        <w:pStyle w:val="Heading2"/>
      </w:pPr>
      <w:bookmarkStart w:id="258" w:name="_Toc113361276"/>
      <w:bookmarkStart w:id="259" w:name="_Toc114476248"/>
      <w:bookmarkStart w:id="260" w:name="_Toc116061414"/>
      <w:bookmarkStart w:id="261" w:name="_Toc116292946"/>
      <w:r w:rsidRPr="00282076">
        <w:t>Policy objective</w:t>
      </w:r>
      <w:bookmarkEnd w:id="258"/>
      <w:bookmarkEnd w:id="259"/>
      <w:bookmarkEnd w:id="260"/>
      <w:bookmarkEnd w:id="261"/>
    </w:p>
    <w:p w14:paraId="53BA0CF9" w14:textId="530FDDC6" w:rsidR="00831234" w:rsidRPr="00A2524F" w:rsidRDefault="00831234" w:rsidP="00A2524F">
      <w:pPr>
        <w:pStyle w:val="Heading3"/>
      </w:pPr>
      <w:bookmarkStart w:id="262" w:name="_Toc111752601"/>
      <w:bookmarkStart w:id="263" w:name="_Toc111795288"/>
      <w:bookmarkStart w:id="264" w:name="_Toc111800704"/>
      <w:bookmarkStart w:id="265" w:name="_Toc111803399"/>
      <w:bookmarkStart w:id="266" w:name="_Toc111813811"/>
      <w:bookmarkStart w:id="267" w:name="_Toc112320993"/>
      <w:bookmarkStart w:id="268" w:name="_Toc113361277"/>
      <w:bookmarkStart w:id="269" w:name="_Toc113361785"/>
      <w:bookmarkStart w:id="270" w:name="_Toc114487391"/>
      <w:bookmarkStart w:id="271" w:name="_Toc116044857"/>
      <w:bookmarkStart w:id="272" w:name="_Toc116061415"/>
      <w:r w:rsidRPr="00A2524F">
        <w:t>Status</w:t>
      </w:r>
      <w:bookmarkEnd w:id="262"/>
      <w:bookmarkEnd w:id="263"/>
      <w:bookmarkEnd w:id="264"/>
      <w:bookmarkEnd w:id="265"/>
      <w:bookmarkEnd w:id="266"/>
      <w:bookmarkEnd w:id="267"/>
      <w:bookmarkEnd w:id="268"/>
      <w:bookmarkEnd w:id="269"/>
      <w:bookmarkEnd w:id="270"/>
      <w:bookmarkEnd w:id="271"/>
      <w:bookmarkEnd w:id="272"/>
    </w:p>
    <w:p w14:paraId="0E84CCC2" w14:textId="62433D0B" w:rsidR="003947A7" w:rsidRDefault="003947A7" w:rsidP="00D91501">
      <w:pPr>
        <w:rPr>
          <w:lang w:val="en-US"/>
        </w:rPr>
      </w:pPr>
      <w:r>
        <w:rPr>
          <w:lang w:val="en-US"/>
        </w:rPr>
        <w:t xml:space="preserve">As outlined in the Explanatory Memorandum to the </w:t>
      </w:r>
      <w:r w:rsidR="007C2A5B">
        <w:rPr>
          <w:lang w:val="en-US"/>
        </w:rPr>
        <w:t>Broadcasting Services</w:t>
      </w:r>
      <w:r>
        <w:rPr>
          <w:lang w:val="en-US"/>
        </w:rPr>
        <w:t xml:space="preserve"> </w:t>
      </w:r>
      <w:r w:rsidR="007C2A5B" w:rsidRPr="00E737AC">
        <w:rPr>
          <w:lang w:val="en-US"/>
        </w:rPr>
        <w:t>B</w:t>
      </w:r>
      <w:r w:rsidR="00E737AC">
        <w:rPr>
          <w:lang w:val="en-US"/>
        </w:rPr>
        <w:t>ill 1992</w:t>
      </w:r>
      <w:r w:rsidR="007C4EFD">
        <w:rPr>
          <w:lang w:val="en-US"/>
        </w:rPr>
        <w:t xml:space="preserve">, the scheme was introduced to address concerns regarding the siphoning of </w:t>
      </w:r>
      <w:r w:rsidR="00EE2804">
        <w:rPr>
          <w:lang w:val="en-US"/>
        </w:rPr>
        <w:t>“</w:t>
      </w:r>
      <w:r w:rsidR="00EE2804" w:rsidRPr="00440FD2">
        <w:rPr>
          <w:i/>
          <w:lang w:val="en-US"/>
        </w:rPr>
        <w:t>events of national importance and cultural significance</w:t>
      </w:r>
      <w:r w:rsidR="00EE2804" w:rsidRPr="007C4EFD">
        <w:rPr>
          <w:lang w:val="en-US"/>
        </w:rPr>
        <w:t>”</w:t>
      </w:r>
      <w:r w:rsidR="00EE2804">
        <w:rPr>
          <w:lang w:val="en-US"/>
        </w:rPr>
        <w:t xml:space="preserve"> by subscription television broadcasting licensees.</w:t>
      </w:r>
      <w:r w:rsidR="00EE2804">
        <w:rPr>
          <w:rStyle w:val="FootnoteReference"/>
          <w:lang w:val="en-US"/>
        </w:rPr>
        <w:footnoteReference w:id="82"/>
      </w:r>
      <w:r w:rsidR="00EE2804">
        <w:rPr>
          <w:lang w:val="en-US"/>
        </w:rPr>
        <w:t xml:space="preserve"> As such the</w:t>
      </w:r>
      <w:r>
        <w:rPr>
          <w:lang w:val="en-US"/>
        </w:rPr>
        <w:t xml:space="preserve"> objective of the scheme was to ensure that:</w:t>
      </w:r>
    </w:p>
    <w:p w14:paraId="17AFF762" w14:textId="0BB9CBE3" w:rsidR="003947A7" w:rsidRDefault="003947A7" w:rsidP="00282076">
      <w:pPr>
        <w:spacing w:before="0" w:after="0"/>
        <w:ind w:left="567" w:right="792"/>
        <w:rPr>
          <w:lang w:val="en-US"/>
        </w:rPr>
      </w:pPr>
      <w:r>
        <w:rPr>
          <w:lang w:val="en-US"/>
        </w:rPr>
        <w:t>“</w:t>
      </w:r>
      <w:r w:rsidR="00BA7798">
        <w:rPr>
          <w:i/>
          <w:lang w:val="en-US"/>
        </w:rPr>
        <w:t>…</w:t>
      </w:r>
      <w:r w:rsidRPr="00282076">
        <w:rPr>
          <w:i/>
          <w:lang w:val="en-US"/>
        </w:rPr>
        <w:t>on equity grounds, that Australians will continue to have free access to important events. It will, however, also allow subscription television broadcasters to negotiate subsequent rights to complementary, or more detailed, coverage of events</w:t>
      </w:r>
      <w:r>
        <w:rPr>
          <w:lang w:val="en-US"/>
        </w:rPr>
        <w:t>.”</w:t>
      </w:r>
      <w:r w:rsidR="00EE2804">
        <w:rPr>
          <w:rStyle w:val="FootnoteReference"/>
          <w:lang w:val="en-US"/>
        </w:rPr>
        <w:footnoteReference w:id="83"/>
      </w:r>
    </w:p>
    <w:p w14:paraId="1CF88B11" w14:textId="40BAF36F" w:rsidR="00A91B75" w:rsidRDefault="00616EF0" w:rsidP="00D91501">
      <w:pPr>
        <w:rPr>
          <w:lang w:val="en-US"/>
        </w:rPr>
      </w:pPr>
      <w:r>
        <w:rPr>
          <w:color w:val="auto"/>
          <w:lang w:val="en-US"/>
        </w:rPr>
        <w:t>In effect,</w:t>
      </w:r>
      <w:r w:rsidR="00F81636">
        <w:rPr>
          <w:color w:val="auto"/>
          <w:lang w:val="en-US"/>
        </w:rPr>
        <w:t xml:space="preserve"> the </w:t>
      </w:r>
      <w:r>
        <w:rPr>
          <w:color w:val="auto"/>
          <w:lang w:val="en-US"/>
        </w:rPr>
        <w:t>scheme’s aim</w:t>
      </w:r>
      <w:r w:rsidR="00F81636">
        <w:rPr>
          <w:color w:val="auto"/>
          <w:lang w:val="en-US"/>
        </w:rPr>
        <w:t xml:space="preserve"> is to </w:t>
      </w:r>
      <w:r w:rsidR="00F81636" w:rsidRPr="00282076">
        <w:rPr>
          <w:lang w:val="en-US"/>
        </w:rPr>
        <w:t>increase the likelihood of</w:t>
      </w:r>
      <w:r w:rsidR="00F81636">
        <w:rPr>
          <w:lang w:val="en-US"/>
        </w:rPr>
        <w:t xml:space="preserve"> free televised coverage of iconic and nationally important events. </w:t>
      </w:r>
      <w:r w:rsidR="003822DC">
        <w:rPr>
          <w:lang w:val="en-US"/>
        </w:rPr>
        <w:t>It does</w:t>
      </w:r>
      <w:r w:rsidR="00603A56">
        <w:rPr>
          <w:lang w:val="en-US"/>
        </w:rPr>
        <w:t xml:space="preserve"> not</w:t>
      </w:r>
      <w:r w:rsidR="003822DC">
        <w:rPr>
          <w:lang w:val="en-US"/>
        </w:rPr>
        <w:t xml:space="preserve"> guarantee this outcome, but seeks to support its achievement. </w:t>
      </w:r>
      <w:r w:rsidR="00227A02">
        <w:rPr>
          <w:lang w:val="en-US"/>
        </w:rPr>
        <w:t xml:space="preserve">When the first </w:t>
      </w:r>
      <w:r w:rsidR="00A91B75">
        <w:rPr>
          <w:lang w:val="en-US"/>
        </w:rPr>
        <w:t>anti-siphoning list was made in 1994, the then Minister for Communications and the Arts, the Hon</w:t>
      </w:r>
      <w:r w:rsidR="00D91501">
        <w:rPr>
          <w:lang w:val="en-US"/>
        </w:rPr>
        <w:t> </w:t>
      </w:r>
      <w:r w:rsidR="00A91B75">
        <w:rPr>
          <w:lang w:val="en-US"/>
        </w:rPr>
        <w:t>Michael</w:t>
      </w:r>
      <w:r w:rsidR="00D91501">
        <w:rPr>
          <w:lang w:val="en-US"/>
        </w:rPr>
        <w:t> </w:t>
      </w:r>
      <w:r w:rsidR="00A91B75">
        <w:rPr>
          <w:lang w:val="en-US"/>
        </w:rPr>
        <w:t xml:space="preserve">Lee, </w:t>
      </w:r>
      <w:r w:rsidR="009441B3">
        <w:rPr>
          <w:lang w:val="en-US"/>
        </w:rPr>
        <w:t xml:space="preserve">re-iterated the objective of the scheme in </w:t>
      </w:r>
      <w:r w:rsidR="005A3F75">
        <w:rPr>
          <w:lang w:val="en-US"/>
        </w:rPr>
        <w:t>a press release</w:t>
      </w:r>
      <w:r w:rsidR="009441B3">
        <w:rPr>
          <w:lang w:val="en-US"/>
        </w:rPr>
        <w:t xml:space="preserve"> announcing the making of the list</w:t>
      </w:r>
      <w:r w:rsidR="001564C9">
        <w:rPr>
          <w:lang w:val="en-US"/>
        </w:rPr>
        <w:t>:</w:t>
      </w:r>
    </w:p>
    <w:p w14:paraId="277F3EF9" w14:textId="0042BACE" w:rsidR="00616EF0" w:rsidRDefault="00A91B75" w:rsidP="00AC7115">
      <w:pPr>
        <w:ind w:left="567" w:right="794"/>
        <w:rPr>
          <w:color w:val="auto"/>
          <w:lang w:val="en-US"/>
        </w:rPr>
      </w:pPr>
      <w:r>
        <w:rPr>
          <w:lang w:val="en-US"/>
        </w:rPr>
        <w:t>‘….</w:t>
      </w:r>
      <w:r w:rsidRPr="005A3F75">
        <w:rPr>
          <w:i/>
          <w:lang w:val="en-US"/>
        </w:rPr>
        <w:t>the “anti-siphoning” list would ensure that viewers would not be forced to pay for major sporting programs which they now received free of charge…This is not a list of events that are reserved solely for free-to-air television. Rather it is a list of events for which Pay TV licensees cannot acquire exclusive rights…expect that Pay TV will complement and expand the coverage of sport p</w:t>
      </w:r>
      <w:r w:rsidR="005A3F75" w:rsidRPr="005A3F75">
        <w:rPr>
          <w:i/>
          <w:lang w:val="en-US"/>
        </w:rPr>
        <w:t>r</w:t>
      </w:r>
      <w:r w:rsidRPr="005A3F75">
        <w:rPr>
          <w:i/>
          <w:lang w:val="en-US"/>
        </w:rPr>
        <w:t>ovi</w:t>
      </w:r>
      <w:r w:rsidR="005A3F75" w:rsidRPr="005A3F75">
        <w:rPr>
          <w:i/>
          <w:lang w:val="en-US"/>
        </w:rPr>
        <w:t>d</w:t>
      </w:r>
      <w:r w:rsidRPr="005A3F75">
        <w:rPr>
          <w:i/>
          <w:lang w:val="en-US"/>
        </w:rPr>
        <w:t>ed by free</w:t>
      </w:r>
      <w:r w:rsidR="005A3F75" w:rsidRPr="005A3F75">
        <w:rPr>
          <w:i/>
          <w:lang w:val="en-US"/>
        </w:rPr>
        <w:t>-</w:t>
      </w:r>
      <w:r w:rsidRPr="005A3F75">
        <w:rPr>
          <w:i/>
          <w:lang w:val="en-US"/>
        </w:rPr>
        <w:t>to</w:t>
      </w:r>
      <w:r w:rsidR="005A3F75" w:rsidRPr="005A3F75">
        <w:rPr>
          <w:i/>
          <w:lang w:val="en-US"/>
        </w:rPr>
        <w:t>-</w:t>
      </w:r>
      <w:r w:rsidRPr="005A3F75">
        <w:rPr>
          <w:i/>
          <w:lang w:val="en-US"/>
        </w:rPr>
        <w:t>air t</w:t>
      </w:r>
      <w:r w:rsidR="005A3F75" w:rsidRPr="005A3F75">
        <w:rPr>
          <w:i/>
          <w:lang w:val="en-US"/>
        </w:rPr>
        <w:t>e</w:t>
      </w:r>
      <w:r w:rsidRPr="005A3F75">
        <w:rPr>
          <w:i/>
          <w:lang w:val="en-US"/>
        </w:rPr>
        <w:t>le</w:t>
      </w:r>
      <w:r w:rsidR="005A3F75" w:rsidRPr="005A3F75">
        <w:rPr>
          <w:i/>
          <w:lang w:val="en-US"/>
        </w:rPr>
        <w:t>vision…It will ensure that viewers continue to see the most popular sporting events free of charge, while having the option of a broader selection of programs on subscription channels</w:t>
      </w:r>
      <w:r w:rsidR="005A3F75">
        <w:rPr>
          <w:lang w:val="en-US"/>
        </w:rPr>
        <w:t>.’</w:t>
      </w:r>
      <w:r w:rsidR="005A3F75">
        <w:rPr>
          <w:rStyle w:val="FootnoteReference"/>
          <w:lang w:val="en-US"/>
        </w:rPr>
        <w:footnoteReference w:id="84"/>
      </w:r>
    </w:p>
    <w:p w14:paraId="54778491" w14:textId="0379F06C" w:rsidR="00831234" w:rsidRPr="00A2524F" w:rsidRDefault="00831234" w:rsidP="00A2524F">
      <w:pPr>
        <w:pStyle w:val="Heading3"/>
      </w:pPr>
      <w:bookmarkStart w:id="273" w:name="_Toc111752602"/>
      <w:bookmarkStart w:id="274" w:name="_Toc111795289"/>
      <w:bookmarkStart w:id="275" w:name="_Toc111800705"/>
      <w:bookmarkStart w:id="276" w:name="_Toc111803400"/>
      <w:bookmarkStart w:id="277" w:name="_Toc111813812"/>
      <w:bookmarkStart w:id="278" w:name="_Toc112320994"/>
      <w:bookmarkStart w:id="279" w:name="_Toc113361278"/>
      <w:bookmarkStart w:id="280" w:name="_Toc113361786"/>
      <w:bookmarkStart w:id="281" w:name="_Toc114487392"/>
      <w:bookmarkStart w:id="282" w:name="_Toc116044858"/>
      <w:bookmarkStart w:id="283" w:name="_Toc116061416"/>
      <w:r w:rsidRPr="00A2524F">
        <w:t>Discussion</w:t>
      </w:r>
      <w:bookmarkEnd w:id="273"/>
      <w:bookmarkEnd w:id="274"/>
      <w:bookmarkEnd w:id="275"/>
      <w:bookmarkEnd w:id="276"/>
      <w:bookmarkEnd w:id="277"/>
      <w:bookmarkEnd w:id="278"/>
      <w:bookmarkEnd w:id="279"/>
      <w:bookmarkEnd w:id="280"/>
      <w:bookmarkEnd w:id="281"/>
      <w:bookmarkEnd w:id="282"/>
      <w:bookmarkEnd w:id="283"/>
    </w:p>
    <w:p w14:paraId="5ACF89FC" w14:textId="6CB44A39" w:rsidR="00ED751C" w:rsidRDefault="0013523B" w:rsidP="00D91501">
      <w:r>
        <w:t>T</w:t>
      </w:r>
      <w:r w:rsidR="00616EF0">
        <w:t>he</w:t>
      </w:r>
      <w:r w:rsidR="00F81636">
        <w:t xml:space="preserve"> review </w:t>
      </w:r>
      <w:r>
        <w:t xml:space="preserve">will consider whether </w:t>
      </w:r>
      <w:r w:rsidR="00F81636">
        <w:t>this objective remains relevant and appropriate in a contemporary digital media environment.</w:t>
      </w:r>
      <w:r>
        <w:t xml:space="preserve"> </w:t>
      </w:r>
      <w:r w:rsidR="00ED751C">
        <w:t xml:space="preserve">Most Australians hold the view that access to sport is an important public policy goal. </w:t>
      </w:r>
      <w:r w:rsidR="00ED751C" w:rsidRPr="008035E5">
        <w:t xml:space="preserve">A </w:t>
      </w:r>
      <w:r w:rsidR="00D91501">
        <w:t xml:space="preserve">survey commissioned by </w:t>
      </w:r>
      <w:r w:rsidR="00ED751C" w:rsidRPr="008035E5">
        <w:t>Free TV in 2021 found that 69 per cent of respondents agreed that giving all Australians access to major sporting events is in the public interest</w:t>
      </w:r>
      <w:r w:rsidR="00ED751C" w:rsidRPr="00B66EBA">
        <w:t>.</w:t>
      </w:r>
      <w:r w:rsidR="002D1097">
        <w:rPr>
          <w:rStyle w:val="FootnoteReference"/>
        </w:rPr>
        <w:footnoteReference w:id="85"/>
      </w:r>
      <w:r w:rsidR="00ED751C">
        <w:t xml:space="preserve"> A key consideration is the</w:t>
      </w:r>
      <w:r w:rsidR="00616EF0">
        <w:t xml:space="preserve"> form that this</w:t>
      </w:r>
      <w:r w:rsidR="00ED751C">
        <w:t xml:space="preserve"> access </w:t>
      </w:r>
      <w:r w:rsidR="00C6410A">
        <w:t xml:space="preserve">should </w:t>
      </w:r>
      <w:r w:rsidR="00616EF0">
        <w:t>take.</w:t>
      </w:r>
    </w:p>
    <w:p w14:paraId="39B22F42" w14:textId="4F0E32C4" w:rsidR="00616EF0" w:rsidRDefault="0013523B" w:rsidP="00282076">
      <w:r>
        <w:t xml:space="preserve">As noted in </w:t>
      </w:r>
      <w:r w:rsidR="001E1F88">
        <w:t xml:space="preserve">Chapter 3, </w:t>
      </w:r>
      <w:r>
        <w:t>Australians now consume media content – including sports – through a wide variety of services and platforms. Some of these are supported</w:t>
      </w:r>
      <w:r w:rsidR="001348C5">
        <w:t xml:space="preserve"> </w:t>
      </w:r>
      <w:r w:rsidR="00393364">
        <w:t xml:space="preserve">by advertising </w:t>
      </w:r>
      <w:r w:rsidR="001348C5">
        <w:t>(</w:t>
      </w:r>
      <w:r>
        <w:t xml:space="preserve">and </w:t>
      </w:r>
      <w:r w:rsidR="001564C9">
        <w:t xml:space="preserve">are </w:t>
      </w:r>
      <w:r>
        <w:t xml:space="preserve">free in the sense of no explicit payment by </w:t>
      </w:r>
      <w:r w:rsidR="001348C5">
        <w:t>viewers)</w:t>
      </w:r>
      <w:r w:rsidR="00616EF0">
        <w:t>,</w:t>
      </w:r>
      <w:r w:rsidR="001348C5">
        <w:t xml:space="preserve"> </w:t>
      </w:r>
      <w:r>
        <w:t>but many ar</w:t>
      </w:r>
      <w:r w:rsidR="00616EF0">
        <w:t xml:space="preserve">e based on subscription models, and these services have been embraced by </w:t>
      </w:r>
      <w:r w:rsidR="00616EF0">
        <w:lastRenderedPageBreak/>
        <w:t>Australians. B</w:t>
      </w:r>
      <w:r w:rsidR="00616EF0" w:rsidRPr="00030AC6">
        <w:t>etween 2019 and 2021, the number of Australian subscribers to SVOD services jumped from 12.3 million to 19.1 million.</w:t>
      </w:r>
      <w:r w:rsidR="00616EF0" w:rsidRPr="00030AC6">
        <w:rPr>
          <w:rStyle w:val="FootnoteReference"/>
          <w:rFonts w:cs="Segoe UI"/>
          <w:szCs w:val="21"/>
        </w:rPr>
        <w:footnoteReference w:id="86"/>
      </w:r>
      <w:r w:rsidR="00393364">
        <w:t xml:space="preserve"> </w:t>
      </w:r>
      <w:r w:rsidR="00616EF0" w:rsidRPr="00030AC6">
        <w:t>The growth of new services has not been l</w:t>
      </w:r>
      <w:r w:rsidR="00616EF0">
        <w:t>imited to audio-visual content, with 6</w:t>
      </w:r>
      <w:r w:rsidR="00616EF0" w:rsidRPr="00030AC6">
        <w:t>7</w:t>
      </w:r>
      <w:r w:rsidR="00393364">
        <w:t> </w:t>
      </w:r>
      <w:r w:rsidR="00616EF0" w:rsidRPr="00030AC6">
        <w:t>per</w:t>
      </w:r>
      <w:r w:rsidR="00393364">
        <w:t> </w:t>
      </w:r>
      <w:r w:rsidR="00616EF0" w:rsidRPr="00030AC6">
        <w:t>cent of Australian adult</w:t>
      </w:r>
      <w:r w:rsidR="00616EF0">
        <w:t>s listening to at</w:t>
      </w:r>
      <w:r w:rsidR="00616EF0" w:rsidRPr="00030AC6">
        <w:t xml:space="preserve"> least one music streaming service in the prev</w:t>
      </w:r>
      <w:r w:rsidR="00616EF0">
        <w:t>ious seven days</w:t>
      </w:r>
      <w:r w:rsidR="00393364">
        <w:t xml:space="preserve"> in 2021</w:t>
      </w:r>
      <w:r w:rsidR="00616EF0">
        <w:t xml:space="preserve">, up from 37 per </w:t>
      </w:r>
      <w:r w:rsidR="00616EF0" w:rsidRPr="00030AC6">
        <w:t>cent in 2017.</w:t>
      </w:r>
      <w:r w:rsidR="00616EF0" w:rsidRPr="00030AC6">
        <w:rPr>
          <w:rStyle w:val="FootnoteReference"/>
          <w:rFonts w:cs="Segoe UI"/>
          <w:szCs w:val="21"/>
        </w:rPr>
        <w:footnoteReference w:id="87"/>
      </w:r>
    </w:p>
    <w:p w14:paraId="70156BBD" w14:textId="246BFFCE" w:rsidR="003822DC" w:rsidRDefault="003822DC" w:rsidP="00282076">
      <w:r>
        <w:t>The appetite for online media content has grown in step with</w:t>
      </w:r>
      <w:r w:rsidR="00393364">
        <w:t xml:space="preserve"> an</w:t>
      </w:r>
      <w:r>
        <w:t xml:space="preserve"> increasing consumption</w:t>
      </w:r>
      <w:r w:rsidR="00393364">
        <w:t xml:space="preserve"> of</w:t>
      </w:r>
      <w:r>
        <w:t xml:space="preserve"> internet data, as shown in Figure </w:t>
      </w:r>
      <w:r w:rsidR="00DC703C" w:rsidRPr="00537149">
        <w:t>5</w:t>
      </w:r>
      <w:r>
        <w:t>.</w:t>
      </w:r>
    </w:p>
    <w:p w14:paraId="788D32AE" w14:textId="3D0ACF39" w:rsidR="003822DC" w:rsidRPr="00030AC6" w:rsidRDefault="003822DC" w:rsidP="00282076">
      <w:pPr>
        <w:pStyle w:val="Caption"/>
      </w:pPr>
      <w:bookmarkStart w:id="284" w:name="_Toc112235051"/>
      <w:bookmarkStart w:id="285" w:name="_Toc114487434"/>
      <w:r w:rsidRPr="00030AC6">
        <w:t xml:space="preserve">Figure </w:t>
      </w:r>
      <w:r w:rsidR="00DC703C">
        <w:t xml:space="preserve">5: </w:t>
      </w:r>
      <w:r w:rsidRPr="00030AC6">
        <w:t>Change in online media consumption over the past decade (2010–2020)</w:t>
      </w:r>
      <w:bookmarkEnd w:id="284"/>
      <w:bookmarkEnd w:id="285"/>
    </w:p>
    <w:p w14:paraId="5BDE3146" w14:textId="7DBA8C35" w:rsidR="003822DC" w:rsidRPr="00030AC6" w:rsidRDefault="003822DC" w:rsidP="003822DC">
      <w:pPr>
        <w:spacing w:after="0"/>
      </w:pPr>
      <w:r w:rsidRPr="00030AC6">
        <w:rPr>
          <w:noProof/>
          <w:lang w:eastAsia="en-AU"/>
        </w:rPr>
        <w:drawing>
          <wp:inline distT="0" distB="0" distL="0" distR="0" wp14:anchorId="2633E4AF" wp14:editId="22D1EE4C">
            <wp:extent cx="6019800" cy="3141171"/>
            <wp:effectExtent l="0" t="0" r="0" b="2540"/>
            <wp:docPr id="31" name="Picture 31" descr="This chart is a combination chart featuring a line graph of survey data relating to internet activities and an area graph of volume of data downloaded over the period 2010-2020. The chart shows that the volume of data downloaded increases exponentially. At the same time, the percentage of Australians over the age of 14 watching or listening to content online increases linearl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6034469" cy="3148825"/>
                    </a:xfrm>
                    <a:prstGeom prst="rect">
                      <a:avLst/>
                    </a:prstGeom>
                    <a:noFill/>
                  </pic:spPr>
                </pic:pic>
              </a:graphicData>
            </a:graphic>
          </wp:inline>
        </w:drawing>
      </w:r>
    </w:p>
    <w:p w14:paraId="76153234" w14:textId="14D7ACFC" w:rsidR="003822DC" w:rsidRPr="00B50D1F" w:rsidRDefault="003822DC" w:rsidP="0062391D">
      <w:pPr>
        <w:pStyle w:val="Sourcenotes"/>
      </w:pPr>
      <w:r w:rsidRPr="00B50D1F">
        <w:t xml:space="preserve">Source: Roy Morgan Single Source, Australians aged 14+, 2010–2020 (financial years); Australian Bureau of Statistics (ABS), Internet Activity, Australia 2010–2018; Australian Competition and Consumer Commission (ACCC), Internet Activity Report, 2018–2020. Quarterly data has been imputed based on biannual reports. Note that Internet volume data is indicative only and there are limitations in comparing the ABS and ACCC data, as outlined in the first </w:t>
      </w:r>
      <w:hyperlink r:id="rId47" w:history="1">
        <w:r w:rsidRPr="00D6066F">
          <w:t>Internet Activity Report (December 2018)</w:t>
        </w:r>
      </w:hyperlink>
      <w:r w:rsidRPr="00D6066F">
        <w:t>.</w:t>
      </w:r>
    </w:p>
    <w:p w14:paraId="49E9693E" w14:textId="04184D89" w:rsidR="004F42F8" w:rsidRDefault="00DC17BB" w:rsidP="00AE2FE6">
      <w:r>
        <w:t xml:space="preserve">This </w:t>
      </w:r>
      <w:r w:rsidR="003822DC">
        <w:t>is a marked change</w:t>
      </w:r>
      <w:r>
        <w:t xml:space="preserve"> from the environment in </w:t>
      </w:r>
      <w:r w:rsidR="00C6410A">
        <w:t>place when</w:t>
      </w:r>
      <w:r>
        <w:t xml:space="preserve"> the anti-siphoning scheme was originally introduced. At that time, the</w:t>
      </w:r>
      <w:r w:rsidR="001348C5">
        <w:t>re was a concern – reflected</w:t>
      </w:r>
      <w:r w:rsidR="00F7060B">
        <w:t xml:space="preserve"> in</w:t>
      </w:r>
      <w:r w:rsidR="001348C5">
        <w:t xml:space="preserve"> the Explanatory </w:t>
      </w:r>
      <w:r w:rsidR="00092B5A" w:rsidRPr="00092B5A">
        <w:t>Memorandum</w:t>
      </w:r>
      <w:r w:rsidR="00092B5A">
        <w:t xml:space="preserve"> </w:t>
      </w:r>
      <w:r w:rsidR="001348C5">
        <w:t>to the Bill that introduced the scheme – that iconic sporting events would be siphoned behind the paywalls of services that most Australians d</w:t>
      </w:r>
      <w:r w:rsidR="00393364">
        <w:t>idn’t</w:t>
      </w:r>
      <w:r w:rsidR="001348C5">
        <w:t xml:space="preserve"> have access to. </w:t>
      </w:r>
      <w:r w:rsidR="00616EF0">
        <w:t>I</w:t>
      </w:r>
      <w:r w:rsidR="00F80506">
        <w:t xml:space="preserve">nternet services were </w:t>
      </w:r>
      <w:r w:rsidR="00CC4366">
        <w:t xml:space="preserve">also </w:t>
      </w:r>
      <w:r w:rsidR="00F80506">
        <w:t xml:space="preserve">non-existent. </w:t>
      </w:r>
      <w:r w:rsidR="00BA76A3">
        <w:t xml:space="preserve">It is </w:t>
      </w:r>
      <w:r w:rsidR="007D52E3">
        <w:t>relevant to consider</w:t>
      </w:r>
      <w:r w:rsidR="00BA76A3">
        <w:t xml:space="preserve"> whether the </w:t>
      </w:r>
      <w:r w:rsidR="007D52E3">
        <w:t>policy</w:t>
      </w:r>
      <w:r w:rsidR="00BA76A3">
        <w:t xml:space="preserve"> objective </w:t>
      </w:r>
      <w:r w:rsidR="00616EF0">
        <w:t xml:space="preserve">for sports coverage </w:t>
      </w:r>
      <w:r w:rsidR="00BA76A3">
        <w:t>should be adjusted to reflect changes in</w:t>
      </w:r>
      <w:r w:rsidR="0033314B">
        <w:t xml:space="preserve"> the way audiences access media content and if so, in what way.</w:t>
      </w:r>
    </w:p>
    <w:p w14:paraId="5D3335B3" w14:textId="31577ADA" w:rsidR="001477C1" w:rsidRDefault="0007090E" w:rsidP="001477C1">
      <w:r>
        <w:t xml:space="preserve">The current objective </w:t>
      </w:r>
      <w:r w:rsidR="00393364">
        <w:t>of</w:t>
      </w:r>
      <w:r>
        <w:t xml:space="preserve"> the scheme is </w:t>
      </w:r>
      <w:r w:rsidR="005E361D">
        <w:t xml:space="preserve">also </w:t>
      </w:r>
      <w:r>
        <w:t>framed in terms of ‘events’</w:t>
      </w:r>
      <w:r w:rsidR="005E361D">
        <w:t xml:space="preserve"> and is not </w:t>
      </w:r>
      <w:r>
        <w:t>specifically focused on sport</w:t>
      </w:r>
      <w:r w:rsidR="005E361D">
        <w:t>s.</w:t>
      </w:r>
      <w:r w:rsidR="007D52E3">
        <w:t xml:space="preserve"> While the anti-siphoning list</w:t>
      </w:r>
      <w:r w:rsidR="003C177B">
        <w:t>,</w:t>
      </w:r>
      <w:r w:rsidR="003C177B" w:rsidRPr="003C177B">
        <w:t xml:space="preserve"> </w:t>
      </w:r>
      <w:r w:rsidR="003C177B">
        <w:t>to date,</w:t>
      </w:r>
      <w:r w:rsidR="007D52E3">
        <w:t xml:space="preserve"> has not included non-sporting events, </w:t>
      </w:r>
      <w:r w:rsidR="0059378B">
        <w:t xml:space="preserve">such as the Anzac Day </w:t>
      </w:r>
      <w:r w:rsidR="0027052C">
        <w:t>commemorations</w:t>
      </w:r>
      <w:r w:rsidR="001D48F7">
        <w:t>, the broadcast and media rights</w:t>
      </w:r>
      <w:r w:rsidR="0059378B">
        <w:t xml:space="preserve"> </w:t>
      </w:r>
      <w:r w:rsidR="001D48F7">
        <w:t xml:space="preserve">for </w:t>
      </w:r>
      <w:r w:rsidR="0059378B">
        <w:t xml:space="preserve">these events are typically not made available or traded on an exclusive basis. </w:t>
      </w:r>
      <w:r w:rsidR="0027052C">
        <w:t>B</w:t>
      </w:r>
      <w:r w:rsidR="0059378B">
        <w:t>roadcasters can cho</w:t>
      </w:r>
      <w:r w:rsidR="00AE2FE6">
        <w:t>o</w:t>
      </w:r>
      <w:r w:rsidR="0059378B">
        <w:t>se to provide coverage of such events, and hence the</w:t>
      </w:r>
      <w:r w:rsidR="001D48F7">
        <w:t xml:space="preserve">re is a lower </w:t>
      </w:r>
      <w:r w:rsidR="0059378B">
        <w:t>risk of such events being siphoned behind a paywall com</w:t>
      </w:r>
      <w:r w:rsidR="001D48F7">
        <w:t>p</w:t>
      </w:r>
      <w:r w:rsidR="0059378B">
        <w:t>ared with sporting events.</w:t>
      </w:r>
      <w:r w:rsidR="001477C1">
        <w:br w:type="page"/>
      </w:r>
    </w:p>
    <w:p w14:paraId="37FA6D51" w14:textId="77777777" w:rsidR="004C1E8A" w:rsidRPr="00D91501" w:rsidRDefault="004C1E8A" w:rsidP="004C1E8A">
      <w:pPr>
        <w:pStyle w:val="Box2Heading"/>
      </w:pPr>
      <w:r w:rsidRPr="00D91501">
        <w:lastRenderedPageBreak/>
        <w:t>Questions:</w:t>
      </w:r>
    </w:p>
    <w:p w14:paraId="1D409525" w14:textId="565F98D0" w:rsidR="004C1E8A" w:rsidRPr="00D91501" w:rsidRDefault="004C1E8A" w:rsidP="00D91501">
      <w:pPr>
        <w:pStyle w:val="Box2Bullet1"/>
        <w:ind w:left="681" w:hanging="397"/>
        <w:rPr>
          <w:sz w:val="22"/>
          <w:szCs w:val="22"/>
        </w:rPr>
      </w:pPr>
      <w:bookmarkStart w:id="286" w:name="_Toc114476249"/>
      <w:bookmarkStart w:id="287" w:name="_Toc116292947"/>
      <w:r w:rsidRPr="00D91501">
        <w:rPr>
          <w:sz w:val="22"/>
          <w:szCs w:val="22"/>
          <w:lang w:val="en-US"/>
        </w:rPr>
        <w:t xml:space="preserve">Is the objective of ensuring that Australians continue to have free access to </w:t>
      </w:r>
      <w:r w:rsidR="00CA0FE5" w:rsidRPr="00D91501">
        <w:rPr>
          <w:sz w:val="22"/>
          <w:szCs w:val="22"/>
          <w:lang w:val="en-US"/>
        </w:rPr>
        <w:t xml:space="preserve">nationally important and culturally significant events </w:t>
      </w:r>
      <w:r w:rsidRPr="00D91501">
        <w:rPr>
          <w:sz w:val="22"/>
          <w:szCs w:val="22"/>
          <w:lang w:val="en-US"/>
        </w:rPr>
        <w:t>still relevant and appropriate? What changes to this objective, if any, would you propose?</w:t>
      </w:r>
      <w:bookmarkEnd w:id="286"/>
      <w:bookmarkEnd w:id="287"/>
    </w:p>
    <w:p w14:paraId="062245D0" w14:textId="438D0A42" w:rsidR="00FB08AE" w:rsidRPr="00D91501" w:rsidRDefault="00FB08AE" w:rsidP="00D91501">
      <w:pPr>
        <w:pStyle w:val="Box2Checklist"/>
        <w:spacing w:before="80"/>
        <w:ind w:left="851" w:hanging="567"/>
        <w:rPr>
          <w:sz w:val="22"/>
          <w:szCs w:val="22"/>
        </w:rPr>
      </w:pPr>
      <w:bookmarkStart w:id="288" w:name="_Toc114476250"/>
      <w:bookmarkStart w:id="289" w:name="_Toc116292948"/>
      <w:r w:rsidRPr="00D91501">
        <w:rPr>
          <w:sz w:val="22"/>
          <w:szCs w:val="22"/>
          <w:lang w:val="en-US"/>
        </w:rPr>
        <w:t>Should the scheme seek to define what constitutes ‘nationally important and culturally significant</w:t>
      </w:r>
      <w:r w:rsidR="00547CB4">
        <w:rPr>
          <w:sz w:val="22"/>
          <w:szCs w:val="22"/>
          <w:lang w:val="en-US"/>
        </w:rPr>
        <w:t>’</w:t>
      </w:r>
      <w:r w:rsidRPr="00D91501">
        <w:rPr>
          <w:sz w:val="22"/>
          <w:szCs w:val="22"/>
          <w:lang w:val="en-US"/>
        </w:rPr>
        <w:t>? Is so, in what way? Is popularity a proxy for importance and significance, or are other inputs or variables relevant?</w:t>
      </w:r>
      <w:bookmarkEnd w:id="288"/>
      <w:bookmarkEnd w:id="289"/>
    </w:p>
    <w:p w14:paraId="2AF2B35F" w14:textId="11C6BF07" w:rsidR="00767952" w:rsidRPr="00D91501" w:rsidRDefault="00FB08AE" w:rsidP="00D91501">
      <w:pPr>
        <w:pStyle w:val="Box2Checklist"/>
        <w:spacing w:before="80" w:after="160"/>
        <w:ind w:left="851" w:hanging="567"/>
        <w:rPr>
          <w:sz w:val="22"/>
          <w:szCs w:val="22"/>
        </w:rPr>
      </w:pPr>
      <w:bookmarkStart w:id="290" w:name="_Toc114476251"/>
      <w:bookmarkStart w:id="291" w:name="_Toc116292949"/>
      <w:r w:rsidRPr="00D91501">
        <w:rPr>
          <w:sz w:val="22"/>
          <w:szCs w:val="22"/>
          <w:lang w:val="en-US"/>
        </w:rPr>
        <w:t>Should other factors, in addition to free access to events, be considered for the objective?</w:t>
      </w:r>
      <w:bookmarkEnd w:id="290"/>
      <w:bookmarkEnd w:id="291"/>
    </w:p>
    <w:p w14:paraId="1FB86C51" w14:textId="2AEADE0E" w:rsidR="004C1E8A" w:rsidRPr="00D91501" w:rsidRDefault="004C1E8A" w:rsidP="00D91501">
      <w:pPr>
        <w:pStyle w:val="Box2Bullet1"/>
        <w:ind w:left="681" w:hanging="397"/>
        <w:rPr>
          <w:sz w:val="22"/>
          <w:szCs w:val="22"/>
        </w:rPr>
      </w:pPr>
      <w:bookmarkStart w:id="292" w:name="_Toc112233683"/>
      <w:bookmarkStart w:id="293" w:name="_Toc114476252"/>
      <w:bookmarkStart w:id="294" w:name="_Toc116292950"/>
      <w:bookmarkEnd w:id="292"/>
      <w:r w:rsidRPr="00D91501">
        <w:rPr>
          <w:sz w:val="22"/>
          <w:szCs w:val="22"/>
          <w:lang w:val="en-US"/>
        </w:rPr>
        <w:t>What does, or should</w:t>
      </w:r>
      <w:r w:rsidR="00EE5E1C" w:rsidRPr="00D91501">
        <w:rPr>
          <w:sz w:val="22"/>
          <w:szCs w:val="22"/>
          <w:lang w:val="en-US"/>
        </w:rPr>
        <w:t>,</w:t>
      </w:r>
      <w:r w:rsidRPr="00D91501">
        <w:rPr>
          <w:sz w:val="22"/>
          <w:szCs w:val="22"/>
          <w:lang w:val="en-US"/>
        </w:rPr>
        <w:t xml:space="preserve"> ‘free access’ to events mean?</w:t>
      </w:r>
      <w:bookmarkEnd w:id="293"/>
      <w:bookmarkEnd w:id="294"/>
    </w:p>
    <w:p w14:paraId="0F5584FF" w14:textId="6F26B573" w:rsidR="005C21FC" w:rsidRPr="00D91501" w:rsidRDefault="005C21FC" w:rsidP="00D91501">
      <w:pPr>
        <w:pStyle w:val="Box2Checklist"/>
        <w:spacing w:before="80"/>
        <w:ind w:left="851" w:hanging="567"/>
        <w:rPr>
          <w:sz w:val="22"/>
          <w:szCs w:val="22"/>
        </w:rPr>
      </w:pPr>
      <w:bookmarkStart w:id="295" w:name="_Toc114476253"/>
      <w:bookmarkStart w:id="296" w:name="_Toc116292951"/>
      <w:r w:rsidRPr="00D91501">
        <w:rPr>
          <w:sz w:val="22"/>
          <w:szCs w:val="22"/>
          <w:lang w:val="en-US"/>
        </w:rPr>
        <w:t>Is an event ‘free’ only if it is shown on free-to-air television, or could availability via an online service without a direct access fee (such as a BVOD or streaming service) also satisfy this criterion</w:t>
      </w:r>
      <w:r w:rsidR="004B61E7" w:rsidRPr="00D91501">
        <w:rPr>
          <w:sz w:val="22"/>
          <w:szCs w:val="22"/>
          <w:lang w:val="en-US"/>
        </w:rPr>
        <w:t>?</w:t>
      </w:r>
      <w:bookmarkEnd w:id="295"/>
      <w:bookmarkEnd w:id="296"/>
    </w:p>
    <w:p w14:paraId="3B0C0273" w14:textId="0F5CED30" w:rsidR="004B61E7" w:rsidRPr="00D91501" w:rsidRDefault="004B61E7" w:rsidP="00D91501">
      <w:pPr>
        <w:pStyle w:val="Box2Checklist"/>
        <w:spacing w:before="80"/>
        <w:ind w:left="851" w:hanging="567"/>
        <w:rPr>
          <w:sz w:val="22"/>
          <w:szCs w:val="22"/>
        </w:rPr>
      </w:pPr>
      <w:bookmarkStart w:id="297" w:name="_Toc114476254"/>
      <w:bookmarkStart w:id="298" w:name="_Toc116292952"/>
      <w:r w:rsidRPr="00D91501">
        <w:rPr>
          <w:sz w:val="22"/>
          <w:szCs w:val="22"/>
          <w:lang w:val="en-US"/>
        </w:rPr>
        <w:t>Does having to pay for internet access alter your perspective on whether these events are ‘free’ to access?</w:t>
      </w:r>
      <w:bookmarkEnd w:id="297"/>
      <w:bookmarkEnd w:id="298"/>
    </w:p>
    <w:p w14:paraId="771687E7" w14:textId="68F65EA8" w:rsidR="004C1E8A" w:rsidRPr="00D91501" w:rsidRDefault="004C1E8A" w:rsidP="00D91501">
      <w:pPr>
        <w:pStyle w:val="Box2Bullet1"/>
        <w:ind w:left="681" w:hanging="397"/>
        <w:rPr>
          <w:sz w:val="22"/>
          <w:szCs w:val="22"/>
        </w:rPr>
      </w:pPr>
      <w:bookmarkStart w:id="299" w:name="_Toc114476255"/>
      <w:bookmarkStart w:id="300" w:name="_Toc116292953"/>
      <w:r w:rsidRPr="00D91501">
        <w:rPr>
          <w:sz w:val="22"/>
          <w:szCs w:val="22"/>
          <w:lang w:val="en-US"/>
        </w:rPr>
        <w:t xml:space="preserve">Should the policy objective be rationalised to focus on sporting events (which, </w:t>
      </w:r>
      <w:r w:rsidR="00E157E1" w:rsidRPr="00D91501">
        <w:rPr>
          <w:sz w:val="22"/>
          <w:szCs w:val="22"/>
          <w:lang w:val="en-US"/>
        </w:rPr>
        <w:t>in practical terms, is where the anti-siphoning scheme operat</w:t>
      </w:r>
      <w:r w:rsidR="00595CF1" w:rsidRPr="00D91501">
        <w:rPr>
          <w:sz w:val="22"/>
          <w:szCs w:val="22"/>
          <w:lang w:val="en-US"/>
        </w:rPr>
        <w:t>es today</w:t>
      </w:r>
      <w:r w:rsidR="00E157E1" w:rsidRPr="00D91501">
        <w:rPr>
          <w:sz w:val="22"/>
          <w:szCs w:val="22"/>
          <w:lang w:val="en-US"/>
        </w:rPr>
        <w:t>), or remain broadly cast to include any events?</w:t>
      </w:r>
      <w:bookmarkEnd w:id="299"/>
      <w:bookmarkEnd w:id="300"/>
    </w:p>
    <w:p w14:paraId="362903BF" w14:textId="77777777" w:rsidR="00D630EF" w:rsidRDefault="00D630EF" w:rsidP="00D630EF"/>
    <w:p w14:paraId="4A43EDF3" w14:textId="67829559" w:rsidR="00565B34" w:rsidRPr="00BD3236" w:rsidRDefault="00565B34" w:rsidP="00B22819">
      <w:pPr>
        <w:pStyle w:val="Heading2"/>
      </w:pPr>
      <w:bookmarkStart w:id="301" w:name="_Toc113361279"/>
      <w:bookmarkStart w:id="302" w:name="_Toc114476256"/>
      <w:bookmarkStart w:id="303" w:name="_Toc116061417"/>
      <w:bookmarkStart w:id="304" w:name="_Toc116292954"/>
      <w:r w:rsidRPr="00BD3236">
        <w:t>Policy mechanism</w:t>
      </w:r>
      <w:bookmarkEnd w:id="301"/>
      <w:bookmarkEnd w:id="302"/>
      <w:bookmarkEnd w:id="303"/>
      <w:bookmarkEnd w:id="304"/>
    </w:p>
    <w:p w14:paraId="08A243C7" w14:textId="6D8B2B48" w:rsidR="000915D3" w:rsidRPr="00DE5F3B" w:rsidRDefault="000915D3" w:rsidP="00DE5F3B">
      <w:pPr>
        <w:pStyle w:val="Heading3"/>
      </w:pPr>
      <w:bookmarkStart w:id="305" w:name="_Toc111752604"/>
      <w:bookmarkStart w:id="306" w:name="_Toc111795291"/>
      <w:bookmarkStart w:id="307" w:name="_Toc111800707"/>
      <w:bookmarkStart w:id="308" w:name="_Toc111803402"/>
      <w:bookmarkStart w:id="309" w:name="_Toc111813814"/>
      <w:bookmarkStart w:id="310" w:name="_Toc112320996"/>
      <w:bookmarkStart w:id="311" w:name="_Toc113361280"/>
      <w:bookmarkStart w:id="312" w:name="_Toc113361788"/>
      <w:bookmarkStart w:id="313" w:name="_Toc114487394"/>
      <w:bookmarkStart w:id="314" w:name="_Toc116044860"/>
      <w:bookmarkStart w:id="315" w:name="_Toc116061418"/>
      <w:r w:rsidRPr="00DE5F3B">
        <w:t>Status</w:t>
      </w:r>
      <w:bookmarkEnd w:id="305"/>
      <w:bookmarkEnd w:id="306"/>
      <w:bookmarkEnd w:id="307"/>
      <w:bookmarkEnd w:id="308"/>
      <w:bookmarkEnd w:id="309"/>
      <w:bookmarkEnd w:id="310"/>
      <w:bookmarkEnd w:id="311"/>
      <w:bookmarkEnd w:id="312"/>
      <w:bookmarkEnd w:id="313"/>
      <w:bookmarkEnd w:id="314"/>
      <w:bookmarkEnd w:id="315"/>
    </w:p>
    <w:p w14:paraId="244A88D8" w14:textId="47E14F91" w:rsidR="00E20956" w:rsidRDefault="00EF3B04" w:rsidP="00D91501">
      <w:pPr>
        <w:rPr>
          <w:lang w:val="en-US"/>
        </w:rPr>
      </w:pPr>
      <w:r w:rsidRPr="00BD3236">
        <w:rPr>
          <w:lang w:val="en-US"/>
        </w:rPr>
        <w:t xml:space="preserve">The </w:t>
      </w:r>
      <w:r w:rsidR="003822DC">
        <w:rPr>
          <w:lang w:val="en-US"/>
        </w:rPr>
        <w:t xml:space="preserve">objective of the </w:t>
      </w:r>
      <w:r w:rsidRPr="00BD3236">
        <w:rPr>
          <w:lang w:val="en-US"/>
        </w:rPr>
        <w:t xml:space="preserve">anti-siphoning scheme </w:t>
      </w:r>
      <w:r w:rsidR="003822DC">
        <w:rPr>
          <w:lang w:val="en-US"/>
        </w:rPr>
        <w:t>is</w:t>
      </w:r>
      <w:r w:rsidR="00E65BAA" w:rsidRPr="00362D88">
        <w:rPr>
          <w:lang w:val="en-US"/>
        </w:rPr>
        <w:t xml:space="preserve"> to </w:t>
      </w:r>
      <w:r w:rsidR="004B6C2C">
        <w:rPr>
          <w:lang w:val="en-US"/>
        </w:rPr>
        <w:t>ensur</w:t>
      </w:r>
      <w:r w:rsidR="0007090E">
        <w:rPr>
          <w:lang w:val="en-US"/>
        </w:rPr>
        <w:t>e</w:t>
      </w:r>
      <w:r w:rsidR="004B6C2C">
        <w:rPr>
          <w:lang w:val="en-US"/>
        </w:rPr>
        <w:t xml:space="preserve"> that </w:t>
      </w:r>
      <w:r w:rsidR="004B6C2C" w:rsidRPr="00B1015D">
        <w:rPr>
          <w:lang w:val="en-US"/>
        </w:rPr>
        <w:t xml:space="preserve">Australians continue to have free access to </w:t>
      </w:r>
      <w:r w:rsidR="0007090E">
        <w:rPr>
          <w:lang w:val="en-US"/>
        </w:rPr>
        <w:t xml:space="preserve">television coverage of </w:t>
      </w:r>
      <w:r w:rsidR="004B6C2C" w:rsidRPr="00B1015D">
        <w:rPr>
          <w:lang w:val="en-US"/>
        </w:rPr>
        <w:t>important events</w:t>
      </w:r>
      <w:r w:rsidR="004B6C2C">
        <w:rPr>
          <w:lang w:val="en-US"/>
        </w:rPr>
        <w:t xml:space="preserve">. </w:t>
      </w:r>
      <w:r w:rsidR="00D94FF8">
        <w:rPr>
          <w:lang w:val="en-US"/>
        </w:rPr>
        <w:t>The scheme</w:t>
      </w:r>
      <w:r w:rsidR="004B6C2C">
        <w:rPr>
          <w:lang w:val="en-US"/>
        </w:rPr>
        <w:t xml:space="preserve"> is </w:t>
      </w:r>
      <w:r w:rsidR="0007090E">
        <w:rPr>
          <w:lang w:val="en-US"/>
        </w:rPr>
        <w:t>not</w:t>
      </w:r>
      <w:r w:rsidR="004B6C2C">
        <w:rPr>
          <w:lang w:val="en-US"/>
        </w:rPr>
        <w:t xml:space="preserve"> the only </w:t>
      </w:r>
      <w:r w:rsidR="00B07567">
        <w:rPr>
          <w:lang w:val="en-US"/>
        </w:rPr>
        <w:t xml:space="preserve">mechanism used </w:t>
      </w:r>
      <w:r w:rsidR="004B6C2C">
        <w:rPr>
          <w:lang w:val="en-US"/>
        </w:rPr>
        <w:t xml:space="preserve">to promote </w:t>
      </w:r>
      <w:r w:rsidR="00B07567">
        <w:rPr>
          <w:lang w:val="en-US"/>
        </w:rPr>
        <w:t>access to</w:t>
      </w:r>
      <w:r w:rsidR="004B6C2C">
        <w:rPr>
          <w:lang w:val="en-US"/>
        </w:rPr>
        <w:t xml:space="preserve"> sport.</w:t>
      </w:r>
      <w:r w:rsidR="00B07567">
        <w:rPr>
          <w:lang w:val="en-US"/>
        </w:rPr>
        <w:t xml:space="preserve"> </w:t>
      </w:r>
      <w:r w:rsidR="004B6C2C">
        <w:rPr>
          <w:lang w:val="en-US"/>
        </w:rPr>
        <w:t xml:space="preserve">However, </w:t>
      </w:r>
      <w:r w:rsidR="0007090E">
        <w:rPr>
          <w:lang w:val="en-US"/>
        </w:rPr>
        <w:t>it</w:t>
      </w:r>
      <w:r w:rsidR="004B6C2C">
        <w:rPr>
          <w:lang w:val="en-US"/>
        </w:rPr>
        <w:t xml:space="preserve"> is the only regulatory </w:t>
      </w:r>
      <w:r w:rsidR="001D48F7">
        <w:rPr>
          <w:lang w:val="en-US"/>
        </w:rPr>
        <w:t xml:space="preserve">intervention </w:t>
      </w:r>
      <w:r w:rsidR="004B6C2C">
        <w:rPr>
          <w:lang w:val="en-US"/>
        </w:rPr>
        <w:t xml:space="preserve">that targets </w:t>
      </w:r>
      <w:r w:rsidR="00B07567">
        <w:rPr>
          <w:lang w:val="en-US"/>
        </w:rPr>
        <w:t>the right to televis</w:t>
      </w:r>
      <w:r w:rsidR="0007090E">
        <w:rPr>
          <w:lang w:val="en-US"/>
        </w:rPr>
        <w:t>e</w:t>
      </w:r>
      <w:r w:rsidR="00B07567">
        <w:rPr>
          <w:lang w:val="en-US"/>
        </w:rPr>
        <w:t xml:space="preserve"> </w:t>
      </w:r>
      <w:r w:rsidR="003822DC">
        <w:rPr>
          <w:lang w:val="en-US"/>
        </w:rPr>
        <w:t xml:space="preserve">iconic and nationally </w:t>
      </w:r>
      <w:r w:rsidR="00B07567">
        <w:rPr>
          <w:lang w:val="en-US"/>
        </w:rPr>
        <w:t>important events.</w:t>
      </w:r>
    </w:p>
    <w:p w14:paraId="58BCE417" w14:textId="2B9FB15A" w:rsidR="000915D3" w:rsidRPr="00DE5F3B" w:rsidRDefault="000915D3" w:rsidP="00DE5F3B">
      <w:pPr>
        <w:pStyle w:val="Heading3"/>
      </w:pPr>
      <w:bookmarkStart w:id="316" w:name="_Toc111752605"/>
      <w:bookmarkStart w:id="317" w:name="_Toc111795292"/>
      <w:bookmarkStart w:id="318" w:name="_Toc111800708"/>
      <w:bookmarkStart w:id="319" w:name="_Toc111803403"/>
      <w:bookmarkStart w:id="320" w:name="_Toc111813815"/>
      <w:bookmarkStart w:id="321" w:name="_Toc112320997"/>
      <w:bookmarkStart w:id="322" w:name="_Toc113361281"/>
      <w:bookmarkStart w:id="323" w:name="_Toc113361789"/>
      <w:bookmarkStart w:id="324" w:name="_Toc114487395"/>
      <w:bookmarkStart w:id="325" w:name="_Toc116044861"/>
      <w:bookmarkStart w:id="326" w:name="_Toc116061419"/>
      <w:r w:rsidRPr="00DE5F3B">
        <w:t>Discussion</w:t>
      </w:r>
      <w:bookmarkEnd w:id="316"/>
      <w:bookmarkEnd w:id="317"/>
      <w:bookmarkEnd w:id="318"/>
      <w:bookmarkEnd w:id="319"/>
      <w:bookmarkEnd w:id="320"/>
      <w:bookmarkEnd w:id="321"/>
      <w:bookmarkEnd w:id="322"/>
      <w:bookmarkEnd w:id="323"/>
      <w:bookmarkEnd w:id="324"/>
      <w:bookmarkEnd w:id="325"/>
      <w:bookmarkEnd w:id="326"/>
    </w:p>
    <w:p w14:paraId="64024742" w14:textId="54AB10FA" w:rsidR="001D48F7" w:rsidRDefault="00E20956" w:rsidP="003A5FD2">
      <w:pPr>
        <w:rPr>
          <w:lang w:val="en-US"/>
        </w:rPr>
      </w:pPr>
      <w:r>
        <w:rPr>
          <w:lang w:val="en-US"/>
        </w:rPr>
        <w:t>Numerous reviews have examined the role and impact of the anti-siphoning scheme. Although the impacts</w:t>
      </w:r>
      <w:r w:rsidR="001D48F7">
        <w:rPr>
          <w:lang w:val="en-US"/>
        </w:rPr>
        <w:t xml:space="preserve"> of the scheme</w:t>
      </w:r>
      <w:r>
        <w:rPr>
          <w:lang w:val="en-US"/>
        </w:rPr>
        <w:t xml:space="preserve"> are very difficult to quantify, these reviews </w:t>
      </w:r>
      <w:r w:rsidR="001D48F7">
        <w:rPr>
          <w:lang w:val="en-US"/>
        </w:rPr>
        <w:t xml:space="preserve">have acknowledged </w:t>
      </w:r>
      <w:r w:rsidR="00C6410A">
        <w:rPr>
          <w:lang w:val="en-US"/>
        </w:rPr>
        <w:t xml:space="preserve">that </w:t>
      </w:r>
      <w:r w:rsidR="001D48F7">
        <w:rPr>
          <w:lang w:val="en-US"/>
        </w:rPr>
        <w:t>it</w:t>
      </w:r>
      <w:r>
        <w:rPr>
          <w:lang w:val="en-US"/>
        </w:rPr>
        <w:t xml:space="preserve"> </w:t>
      </w:r>
      <w:r w:rsidR="001D48F7">
        <w:rPr>
          <w:lang w:val="en-US"/>
        </w:rPr>
        <w:t xml:space="preserve">constrains the ability of sports bodies to </w:t>
      </w:r>
      <w:r>
        <w:rPr>
          <w:lang w:val="en-US"/>
        </w:rPr>
        <w:t>freely market their content</w:t>
      </w:r>
      <w:r w:rsidR="001D48F7">
        <w:rPr>
          <w:lang w:val="en-US"/>
        </w:rPr>
        <w:t>,</w:t>
      </w:r>
      <w:r>
        <w:rPr>
          <w:lang w:val="en-US"/>
        </w:rPr>
        <w:t xml:space="preserve"> and </w:t>
      </w:r>
      <w:r w:rsidR="001D48F7">
        <w:rPr>
          <w:lang w:val="en-US"/>
        </w:rPr>
        <w:t>impairs the capacity of subscription television broadcasting licensees to bid for such rights.</w:t>
      </w:r>
    </w:p>
    <w:p w14:paraId="6CBD74DE" w14:textId="2FC54CC6" w:rsidR="000B5054" w:rsidRDefault="00393364" w:rsidP="00DA3EDB">
      <w:pPr>
        <w:rPr>
          <w:lang w:val="en-US"/>
        </w:rPr>
      </w:pPr>
      <w:r>
        <w:rPr>
          <w:lang w:val="en-US"/>
        </w:rPr>
        <w:t>T</w:t>
      </w:r>
      <w:r w:rsidR="007005CD">
        <w:rPr>
          <w:lang w:val="en-US"/>
        </w:rPr>
        <w:t xml:space="preserve">he </w:t>
      </w:r>
      <w:r w:rsidR="007005CD" w:rsidRPr="00535FFA">
        <w:rPr>
          <w:lang w:val="en-US"/>
        </w:rPr>
        <w:t>Productivity Commission</w:t>
      </w:r>
      <w:r>
        <w:rPr>
          <w:lang w:val="en-US"/>
        </w:rPr>
        <w:t>, in its</w:t>
      </w:r>
      <w:r w:rsidR="007005CD" w:rsidRPr="00535FFA">
        <w:rPr>
          <w:lang w:val="en-US"/>
        </w:rPr>
        <w:t xml:space="preserve"> </w:t>
      </w:r>
      <w:r w:rsidR="007005CD" w:rsidRPr="00535FFA">
        <w:rPr>
          <w:i/>
          <w:lang w:val="en-US"/>
        </w:rPr>
        <w:t>Annual Review of Regulatory Burdens on Business: Social and Economic Infrastructure Services</w:t>
      </w:r>
      <w:r w:rsidR="007005CD">
        <w:rPr>
          <w:lang w:val="en-US"/>
        </w:rPr>
        <w:t>, concluded that the s</w:t>
      </w:r>
      <w:r w:rsidR="000B5054">
        <w:rPr>
          <w:lang w:val="en-US"/>
        </w:rPr>
        <w:t>cheme had substantial negative impacts:</w:t>
      </w:r>
    </w:p>
    <w:p w14:paraId="68AC25BC" w14:textId="40BAAAEB" w:rsidR="000B5054" w:rsidRDefault="000B5054" w:rsidP="0090050B">
      <w:pPr>
        <w:pStyle w:val="Quote"/>
      </w:pPr>
      <w:r>
        <w:t>The anti-siphoning list appears to be unnecessary to meet the objectives of wide consumer access to sports broadcasts (it may actually reduce consumer access to sports broadcasts). Further, it imposes substantial regulatory burdens and competitive disadvantages on subscription television networks. The option to abolish the anti-siphoning regime should be explored.</w:t>
      </w:r>
    </w:p>
    <w:p w14:paraId="1899FB46" w14:textId="2E7CF7CE" w:rsidR="007B3CBC" w:rsidRPr="00AD7703" w:rsidRDefault="007B3CBC" w:rsidP="007B3CBC">
      <w:pPr>
        <w:pStyle w:val="Quote"/>
      </w:pPr>
      <w:r>
        <w:lastRenderedPageBreak/>
        <w:t>As an interim measure, the burden imposed by the regime should be alleviated by substantially shortening the list and simplifying the process for enabling access by subscription broadcasters to events not broadcast by free-to-air networks</w:t>
      </w:r>
      <w:r w:rsidRPr="00AD7703">
        <w:t>.</w:t>
      </w:r>
      <w:r w:rsidRPr="007B3CBC">
        <w:rPr>
          <w:b w:val="0"/>
          <w:vertAlign w:val="superscript"/>
        </w:rPr>
        <w:footnoteReference w:id="88"/>
      </w:r>
    </w:p>
    <w:p w14:paraId="1581B5B7" w14:textId="7DC14EE9" w:rsidR="00121A55" w:rsidRDefault="001D48F7" w:rsidP="001B1FE3">
      <w:pPr>
        <w:spacing w:before="360"/>
        <w:rPr>
          <w:lang w:val="en-US"/>
        </w:rPr>
      </w:pPr>
      <w:r>
        <w:rPr>
          <w:lang w:val="en-US"/>
        </w:rPr>
        <w:t>The counterbalance to these detrimental impacts is the benefit the scheme provides for the viewers of sports</w:t>
      </w:r>
      <w:r w:rsidR="00121A55">
        <w:rPr>
          <w:lang w:val="en-US"/>
        </w:rPr>
        <w:t xml:space="preserve"> and for the Australian community </w:t>
      </w:r>
      <w:r w:rsidR="00CC4366">
        <w:rPr>
          <w:lang w:val="en-US"/>
        </w:rPr>
        <w:t>at large</w:t>
      </w:r>
      <w:r>
        <w:rPr>
          <w:lang w:val="en-US"/>
        </w:rPr>
        <w:t xml:space="preserve">. </w:t>
      </w:r>
      <w:r w:rsidR="00B6385E">
        <w:rPr>
          <w:lang w:val="en-US"/>
        </w:rPr>
        <w:t>Equity of acc</w:t>
      </w:r>
      <w:r w:rsidR="00121A55">
        <w:rPr>
          <w:lang w:val="en-US"/>
        </w:rPr>
        <w:t>ess is a key consideration here.</w:t>
      </w:r>
    </w:p>
    <w:p w14:paraId="1D5CABE3" w14:textId="3603D9B2" w:rsidR="00121A55" w:rsidRDefault="00121A55" w:rsidP="00D91501">
      <w:pPr>
        <w:rPr>
          <w:lang w:val="en-US"/>
        </w:rPr>
      </w:pPr>
      <w:r w:rsidRPr="006A570F">
        <w:t>Due to the tyranny of distance, cost of attendance and</w:t>
      </w:r>
      <w:r w:rsidR="00393364">
        <w:t>,</w:t>
      </w:r>
      <w:r w:rsidRPr="006A570F">
        <w:t xml:space="preserve"> in some cases</w:t>
      </w:r>
      <w:r w:rsidR="00393364">
        <w:t>,</w:t>
      </w:r>
      <w:r w:rsidRPr="006A570F">
        <w:t xml:space="preserve"> sell-out crowds, television is the only way for many Australians to see key sporting events.</w:t>
      </w:r>
      <w:r>
        <w:t xml:space="preserve"> Access to </w:t>
      </w:r>
      <w:r w:rsidR="00F80506">
        <w:t>these</w:t>
      </w:r>
      <w:r>
        <w:t xml:space="preserve"> sporting events</w:t>
      </w:r>
      <w:r w:rsidR="00C77E71">
        <w:t xml:space="preserve"> </w:t>
      </w:r>
      <w:r w:rsidR="008332A5">
        <w:rPr>
          <w:rFonts w:cstheme="minorHAnsi"/>
        </w:rPr>
        <w:t>—</w:t>
      </w:r>
      <w:r w:rsidR="00C77E71">
        <w:rPr>
          <w:rFonts w:cstheme="minorHAnsi"/>
        </w:rPr>
        <w:t xml:space="preserve"> </w:t>
      </w:r>
      <w:r>
        <w:t>which the scheme seeks to ensure</w:t>
      </w:r>
      <w:r w:rsidR="00C77E71">
        <w:t xml:space="preserve"> </w:t>
      </w:r>
      <w:r w:rsidR="008332A5">
        <w:rPr>
          <w:rFonts w:cstheme="minorHAnsi"/>
        </w:rPr>
        <w:t>—</w:t>
      </w:r>
      <w:r w:rsidR="00C77E71">
        <w:rPr>
          <w:rFonts w:cstheme="minorHAnsi"/>
        </w:rPr>
        <w:t xml:space="preserve"> </w:t>
      </w:r>
      <w:r>
        <w:t xml:space="preserve">benefits the community in terms of providing </w:t>
      </w:r>
      <w:r>
        <w:rPr>
          <w:lang w:val="en-US"/>
        </w:rPr>
        <w:t>r</w:t>
      </w:r>
      <w:r w:rsidRPr="008332A5">
        <w:rPr>
          <w:lang w:val="en-US"/>
        </w:rPr>
        <w:t xml:space="preserve">ole models, </w:t>
      </w:r>
      <w:r>
        <w:rPr>
          <w:lang w:val="en-US"/>
        </w:rPr>
        <w:t xml:space="preserve">instilling a sense of </w:t>
      </w:r>
      <w:r w:rsidRPr="008332A5">
        <w:rPr>
          <w:lang w:val="en-US"/>
        </w:rPr>
        <w:t xml:space="preserve">national pride and </w:t>
      </w:r>
      <w:r>
        <w:rPr>
          <w:lang w:val="en-US"/>
        </w:rPr>
        <w:t xml:space="preserve">fostering </w:t>
      </w:r>
      <w:r w:rsidRPr="008332A5">
        <w:rPr>
          <w:lang w:val="en-US"/>
        </w:rPr>
        <w:t>social cohesion</w:t>
      </w:r>
      <w:r>
        <w:rPr>
          <w:lang w:val="en-US"/>
        </w:rPr>
        <w:t>.</w:t>
      </w:r>
    </w:p>
    <w:p w14:paraId="6B85ADDF" w14:textId="0BE11276" w:rsidR="00121A55" w:rsidRDefault="00121A55" w:rsidP="008332A5">
      <w:pPr>
        <w:rPr>
          <w:lang w:val="en-US"/>
        </w:rPr>
      </w:pPr>
      <w:r>
        <w:rPr>
          <w:lang w:val="en-US"/>
        </w:rPr>
        <w:t>A threshold issue for this review is whether the anti-siphoning scheme remains the right mechanism to achieve the stated policy objective of ensuring access to coverage of nationally important and culturally significant events.</w:t>
      </w:r>
    </w:p>
    <w:p w14:paraId="77DC0BC3" w14:textId="77777777" w:rsidR="008332A5" w:rsidRPr="00CF21AA" w:rsidRDefault="008332A5" w:rsidP="008332A5">
      <w:pPr>
        <w:pStyle w:val="Box2Heading"/>
      </w:pPr>
      <w:r>
        <w:t>Questions:</w:t>
      </w:r>
    </w:p>
    <w:p w14:paraId="4FBC2C81" w14:textId="6A419E41" w:rsidR="008332A5" w:rsidRPr="00CC569C" w:rsidRDefault="008332A5" w:rsidP="00CC569C">
      <w:pPr>
        <w:pStyle w:val="Box2Bullet1"/>
        <w:ind w:left="681" w:hanging="397"/>
        <w:rPr>
          <w:sz w:val="22"/>
          <w:szCs w:val="22"/>
        </w:rPr>
      </w:pPr>
      <w:bookmarkStart w:id="327" w:name="_Toc114476257"/>
      <w:bookmarkStart w:id="328" w:name="_Toc116292955"/>
      <w:r w:rsidRPr="00CC569C">
        <w:rPr>
          <w:sz w:val="22"/>
          <w:szCs w:val="22"/>
          <w:lang w:val="en-US"/>
        </w:rPr>
        <w:t>Is the anti-siphoning scheme the right mechanism to support the achievement of the stated policy objective of ensuring access to important sporting events?</w:t>
      </w:r>
      <w:bookmarkEnd w:id="327"/>
      <w:bookmarkEnd w:id="328"/>
    </w:p>
    <w:p w14:paraId="48EE2BF8" w14:textId="54EA5807" w:rsidR="008332A5" w:rsidRPr="00CC569C" w:rsidRDefault="008332A5" w:rsidP="008332A5">
      <w:pPr>
        <w:pStyle w:val="Box2Bullet1"/>
        <w:ind w:left="681" w:hanging="397"/>
        <w:rPr>
          <w:sz w:val="22"/>
          <w:szCs w:val="22"/>
        </w:rPr>
      </w:pPr>
      <w:bookmarkStart w:id="329" w:name="_Toc114476258"/>
      <w:bookmarkStart w:id="330" w:name="_Toc116292956"/>
      <w:r w:rsidRPr="00CC569C">
        <w:rPr>
          <w:sz w:val="22"/>
          <w:szCs w:val="22"/>
          <w:lang w:val="en-US"/>
        </w:rPr>
        <w:t>To what exten</w:t>
      </w:r>
      <w:r w:rsidR="00AA6221" w:rsidRPr="00CC569C">
        <w:rPr>
          <w:sz w:val="22"/>
          <w:szCs w:val="22"/>
          <w:lang w:val="en-US"/>
        </w:rPr>
        <w:t>t</w:t>
      </w:r>
      <w:r w:rsidRPr="00CC569C">
        <w:rPr>
          <w:sz w:val="22"/>
          <w:szCs w:val="22"/>
          <w:lang w:val="en-US"/>
        </w:rPr>
        <w:t xml:space="preserve"> does the anti-siphoning scheme deliver on its stated objective, particularly for </w:t>
      </w:r>
      <w:r w:rsidR="00483630" w:rsidRPr="00CC569C">
        <w:rPr>
          <w:sz w:val="22"/>
          <w:szCs w:val="22"/>
          <w:lang w:val="en-US"/>
        </w:rPr>
        <w:t>audiences</w:t>
      </w:r>
      <w:r w:rsidRPr="00CC569C">
        <w:rPr>
          <w:sz w:val="22"/>
          <w:szCs w:val="22"/>
          <w:lang w:val="en-US"/>
        </w:rPr>
        <w:t>?</w:t>
      </w:r>
      <w:bookmarkEnd w:id="329"/>
      <w:bookmarkEnd w:id="330"/>
    </w:p>
    <w:p w14:paraId="010423AA" w14:textId="0637C833" w:rsidR="008332A5" w:rsidRPr="00CC569C" w:rsidRDefault="008332A5" w:rsidP="008332A5">
      <w:pPr>
        <w:pStyle w:val="Box2Bullet1"/>
        <w:ind w:left="681" w:hanging="397"/>
        <w:rPr>
          <w:sz w:val="22"/>
          <w:szCs w:val="22"/>
        </w:rPr>
      </w:pPr>
      <w:bookmarkStart w:id="331" w:name="_Toc114476259"/>
      <w:bookmarkStart w:id="332" w:name="_Toc116292957"/>
      <w:r w:rsidRPr="00CC569C">
        <w:rPr>
          <w:sz w:val="22"/>
          <w:szCs w:val="22"/>
          <w:lang w:val="en-US"/>
        </w:rPr>
        <w:t>How does the anti-siphoning scheme alter decisions made in your industry regarding media rights to sporting events, both listed and unlisted? Does it make it easier or harder to sell and acquire such rights?</w:t>
      </w:r>
      <w:bookmarkEnd w:id="331"/>
      <w:bookmarkEnd w:id="332"/>
    </w:p>
    <w:p w14:paraId="08F54990" w14:textId="78A0C988" w:rsidR="008332A5" w:rsidRPr="00CC569C" w:rsidRDefault="008332A5" w:rsidP="008332A5">
      <w:pPr>
        <w:pStyle w:val="Box2Bullet1"/>
        <w:ind w:left="681" w:hanging="397"/>
        <w:rPr>
          <w:sz w:val="22"/>
          <w:szCs w:val="22"/>
        </w:rPr>
      </w:pPr>
      <w:bookmarkStart w:id="333" w:name="_Toc114476260"/>
      <w:bookmarkStart w:id="334" w:name="_Toc116292958"/>
      <w:r w:rsidRPr="00CC569C">
        <w:rPr>
          <w:sz w:val="22"/>
          <w:szCs w:val="22"/>
          <w:lang w:val="en-US"/>
        </w:rPr>
        <w:t xml:space="preserve">Does the anti-siphoning scheme impose compliance cost on industry? Is it possible to quantify </w:t>
      </w:r>
      <w:r w:rsidR="00595CF1" w:rsidRPr="00CC569C">
        <w:rPr>
          <w:sz w:val="22"/>
          <w:szCs w:val="22"/>
          <w:lang w:val="en-US"/>
        </w:rPr>
        <w:t xml:space="preserve">or estimate </w:t>
      </w:r>
      <w:r w:rsidRPr="00CC569C">
        <w:rPr>
          <w:sz w:val="22"/>
          <w:szCs w:val="22"/>
          <w:lang w:val="en-US"/>
        </w:rPr>
        <w:t xml:space="preserve">these costs? </w:t>
      </w:r>
      <w:r w:rsidR="00595CF1" w:rsidRPr="00CC569C">
        <w:rPr>
          <w:sz w:val="22"/>
          <w:szCs w:val="22"/>
          <w:lang w:val="en-US"/>
        </w:rPr>
        <w:t>Would any changes to the operation of the scheme potentially alter these compliance costs?</w:t>
      </w:r>
      <w:bookmarkEnd w:id="333"/>
      <w:bookmarkEnd w:id="334"/>
    </w:p>
    <w:p w14:paraId="5CA58DF4" w14:textId="77777777" w:rsidR="00662843" w:rsidRDefault="00662843">
      <w:pPr>
        <w:suppressAutoHyphens w:val="0"/>
        <w:rPr>
          <w:rFonts w:asciiTheme="majorHAnsi" w:eastAsiaTheme="majorEastAsia" w:hAnsiTheme="majorHAnsi" w:cstheme="majorBidi"/>
          <w:color w:val="081E3E" w:themeColor="text2"/>
          <w:sz w:val="44"/>
          <w:szCs w:val="32"/>
        </w:rPr>
      </w:pPr>
      <w:r>
        <w:br w:type="page"/>
      </w:r>
    </w:p>
    <w:p w14:paraId="36A8CCAA" w14:textId="2E3B873B" w:rsidR="00D80993" w:rsidRPr="00613650" w:rsidRDefault="003949EA" w:rsidP="009E5EB6">
      <w:pPr>
        <w:pStyle w:val="Heading1"/>
      </w:pPr>
      <w:bookmarkStart w:id="335" w:name="_Toc113361282"/>
      <w:bookmarkStart w:id="336" w:name="_Toc116061420"/>
      <w:r>
        <w:lastRenderedPageBreak/>
        <w:t xml:space="preserve">Chapter 5: </w:t>
      </w:r>
      <w:r w:rsidR="007B544D">
        <w:t>The operation of the scheme</w:t>
      </w:r>
      <w:bookmarkEnd w:id="335"/>
      <w:bookmarkEnd w:id="336"/>
    </w:p>
    <w:p w14:paraId="2B5546C4" w14:textId="2A6AF33B" w:rsidR="00B777E5" w:rsidRPr="009E5EB6" w:rsidRDefault="00B777E5" w:rsidP="00B22819">
      <w:pPr>
        <w:pStyle w:val="Heading2"/>
      </w:pPr>
      <w:bookmarkStart w:id="337" w:name="_Toc113361283"/>
      <w:bookmarkStart w:id="338" w:name="_Toc114476261"/>
      <w:bookmarkStart w:id="339" w:name="_Toc116061421"/>
      <w:bookmarkStart w:id="340" w:name="_Toc116292959"/>
      <w:r w:rsidRPr="009E5EB6">
        <w:t xml:space="preserve">Application </w:t>
      </w:r>
      <w:r w:rsidR="006E49CC">
        <w:t xml:space="preserve">of the scheme </w:t>
      </w:r>
      <w:r w:rsidRPr="009E5EB6">
        <w:t>to new media</w:t>
      </w:r>
      <w:bookmarkEnd w:id="337"/>
      <w:bookmarkEnd w:id="338"/>
      <w:bookmarkEnd w:id="339"/>
      <w:bookmarkEnd w:id="340"/>
    </w:p>
    <w:p w14:paraId="791725ED" w14:textId="253FDC25" w:rsidR="00B777E5" w:rsidRPr="00DE5F3B" w:rsidRDefault="00B777E5" w:rsidP="00DE5F3B">
      <w:pPr>
        <w:pStyle w:val="Heading3"/>
      </w:pPr>
      <w:bookmarkStart w:id="341" w:name="_Toc111752608"/>
      <w:bookmarkStart w:id="342" w:name="_Toc111795295"/>
      <w:bookmarkStart w:id="343" w:name="_Toc111800711"/>
      <w:bookmarkStart w:id="344" w:name="_Toc111803406"/>
      <w:bookmarkStart w:id="345" w:name="_Toc111813818"/>
      <w:bookmarkStart w:id="346" w:name="_Toc112321000"/>
      <w:bookmarkStart w:id="347" w:name="_Toc113361284"/>
      <w:bookmarkStart w:id="348" w:name="_Toc113361792"/>
      <w:bookmarkStart w:id="349" w:name="_Toc114487398"/>
      <w:bookmarkStart w:id="350" w:name="_Toc116044864"/>
      <w:bookmarkStart w:id="351" w:name="_Toc116061422"/>
      <w:r w:rsidRPr="00DE5F3B">
        <w:t>Status</w:t>
      </w:r>
      <w:bookmarkEnd w:id="341"/>
      <w:bookmarkEnd w:id="342"/>
      <w:bookmarkEnd w:id="343"/>
      <w:bookmarkEnd w:id="344"/>
      <w:bookmarkEnd w:id="345"/>
      <w:bookmarkEnd w:id="346"/>
      <w:bookmarkEnd w:id="347"/>
      <w:bookmarkEnd w:id="348"/>
      <w:bookmarkEnd w:id="349"/>
      <w:bookmarkEnd w:id="350"/>
      <w:bookmarkEnd w:id="351"/>
    </w:p>
    <w:p w14:paraId="1E9FD3E0" w14:textId="7F285F03" w:rsidR="00C712B8" w:rsidRDefault="00C712B8" w:rsidP="009E5EB6">
      <w:r w:rsidRPr="00904944">
        <w:t xml:space="preserve">The </w:t>
      </w:r>
      <w:r>
        <w:t xml:space="preserve">anti-siphoning scheme regulates the </w:t>
      </w:r>
      <w:r w:rsidRPr="00904944">
        <w:t xml:space="preserve">acquisition of </w:t>
      </w:r>
      <w:r>
        <w:t xml:space="preserve">broadcast rights by subscription television broadcasting licensees. It does not affect </w:t>
      </w:r>
      <w:r w:rsidR="00662843">
        <w:t>the acquisition of media rights for anti-siphoning listed events</w:t>
      </w:r>
      <w:r>
        <w:t xml:space="preserve"> on any other media platform, including online.</w:t>
      </w:r>
    </w:p>
    <w:p w14:paraId="5C4FDD43" w14:textId="61CD2F40" w:rsidR="00B777E5" w:rsidRPr="00DE5F3B" w:rsidRDefault="00B777E5" w:rsidP="00DE5F3B">
      <w:pPr>
        <w:pStyle w:val="Heading3"/>
      </w:pPr>
      <w:bookmarkStart w:id="352" w:name="_Toc111752609"/>
      <w:bookmarkStart w:id="353" w:name="_Toc111795296"/>
      <w:bookmarkStart w:id="354" w:name="_Toc111800712"/>
      <w:bookmarkStart w:id="355" w:name="_Toc111803407"/>
      <w:bookmarkStart w:id="356" w:name="_Toc111813819"/>
      <w:bookmarkStart w:id="357" w:name="_Toc112321001"/>
      <w:bookmarkStart w:id="358" w:name="_Toc113361285"/>
      <w:bookmarkStart w:id="359" w:name="_Toc113361793"/>
      <w:bookmarkStart w:id="360" w:name="_Toc114487399"/>
      <w:bookmarkStart w:id="361" w:name="_Toc116044865"/>
      <w:bookmarkStart w:id="362" w:name="_Toc116061423"/>
      <w:r w:rsidRPr="00DE5F3B">
        <w:t>Discussion</w:t>
      </w:r>
      <w:bookmarkEnd w:id="352"/>
      <w:bookmarkEnd w:id="353"/>
      <w:bookmarkEnd w:id="354"/>
      <w:bookmarkEnd w:id="355"/>
      <w:bookmarkEnd w:id="356"/>
      <w:bookmarkEnd w:id="357"/>
      <w:bookmarkEnd w:id="358"/>
      <w:bookmarkEnd w:id="359"/>
      <w:bookmarkEnd w:id="360"/>
      <w:bookmarkEnd w:id="361"/>
      <w:bookmarkEnd w:id="362"/>
    </w:p>
    <w:p w14:paraId="772FC04B" w14:textId="42D09ED2" w:rsidR="003A05B1" w:rsidRDefault="003222C5" w:rsidP="00692288">
      <w:pPr>
        <w:rPr>
          <w:lang w:val="en-US"/>
        </w:rPr>
      </w:pPr>
      <w:r>
        <w:rPr>
          <w:lang w:val="en-US"/>
        </w:rPr>
        <w:t xml:space="preserve">The review will consider the case for </w:t>
      </w:r>
      <w:r w:rsidR="00662843">
        <w:rPr>
          <w:lang w:val="en-US"/>
        </w:rPr>
        <w:t>extending</w:t>
      </w:r>
      <w:r>
        <w:rPr>
          <w:lang w:val="en-US"/>
        </w:rPr>
        <w:t xml:space="preserve"> the scope of the anti-siphoning scheme to include </w:t>
      </w:r>
      <w:r w:rsidR="00662843">
        <w:rPr>
          <w:lang w:val="en-US"/>
        </w:rPr>
        <w:t xml:space="preserve">online media services. </w:t>
      </w:r>
      <w:r w:rsidR="003A05B1">
        <w:rPr>
          <w:lang w:val="en-US"/>
        </w:rPr>
        <w:t>A</w:t>
      </w:r>
      <w:r w:rsidR="003A05B1">
        <w:rPr>
          <w:rFonts w:cs="Segoe UI"/>
          <w:szCs w:val="21"/>
        </w:rPr>
        <w:t xml:space="preserve"> key consideration will </w:t>
      </w:r>
      <w:r w:rsidR="003C177B">
        <w:rPr>
          <w:rFonts w:cs="Segoe UI"/>
          <w:szCs w:val="21"/>
        </w:rPr>
        <w:t xml:space="preserve">include </w:t>
      </w:r>
      <w:r w:rsidR="003A05B1">
        <w:rPr>
          <w:rFonts w:cs="Segoe UI"/>
          <w:szCs w:val="21"/>
        </w:rPr>
        <w:t xml:space="preserve">the risk of </w:t>
      </w:r>
      <w:r w:rsidR="003A05B1">
        <w:rPr>
          <w:lang w:val="en-US"/>
        </w:rPr>
        <w:t xml:space="preserve">iconic and nationally important events migrating </w:t>
      </w:r>
      <w:r w:rsidR="003A05B1" w:rsidRPr="00B6507E">
        <w:rPr>
          <w:u w:val="single"/>
          <w:lang w:val="en-US"/>
        </w:rPr>
        <w:t>exclusively</w:t>
      </w:r>
      <w:r w:rsidR="003A05B1">
        <w:rPr>
          <w:lang w:val="en-US"/>
        </w:rPr>
        <w:t xml:space="preserve"> to paywalled online services.</w:t>
      </w:r>
    </w:p>
    <w:p w14:paraId="21DDF454" w14:textId="5A53D16B" w:rsidR="00697B84" w:rsidRDefault="002D1133" w:rsidP="00B65CCD">
      <w:pPr>
        <w:rPr>
          <w:lang w:val="en-US"/>
        </w:rPr>
      </w:pPr>
      <w:r>
        <w:rPr>
          <w:lang w:val="en-US"/>
        </w:rPr>
        <w:t>Historically</w:t>
      </w:r>
      <w:r w:rsidR="00B6507E">
        <w:rPr>
          <w:lang w:val="en-US"/>
        </w:rPr>
        <w:t xml:space="preserve">, media rights deals for </w:t>
      </w:r>
      <w:r>
        <w:rPr>
          <w:lang w:val="en-US"/>
        </w:rPr>
        <w:t xml:space="preserve">major sporting </w:t>
      </w:r>
      <w:r w:rsidR="00B6507E">
        <w:rPr>
          <w:lang w:val="en-US"/>
        </w:rPr>
        <w:t xml:space="preserve">events have </w:t>
      </w:r>
      <w:r w:rsidR="00370C1A">
        <w:rPr>
          <w:lang w:val="en-US"/>
        </w:rPr>
        <w:t>included</w:t>
      </w:r>
      <w:r w:rsidR="00B6507E">
        <w:rPr>
          <w:lang w:val="en-US"/>
        </w:rPr>
        <w:t xml:space="preserve"> o</w:t>
      </w:r>
      <w:r w:rsidR="00697B84">
        <w:rPr>
          <w:lang w:val="en-US"/>
        </w:rPr>
        <w:t xml:space="preserve">nline and mobile coverage of sporting events </w:t>
      </w:r>
      <w:r w:rsidR="00B6507E">
        <w:rPr>
          <w:lang w:val="en-US"/>
        </w:rPr>
        <w:t>as</w:t>
      </w:r>
      <w:r w:rsidR="00697B84">
        <w:rPr>
          <w:lang w:val="en-US"/>
        </w:rPr>
        <w:t xml:space="preserve"> </w:t>
      </w:r>
      <w:r w:rsidR="00697B84" w:rsidRPr="006E49CC">
        <w:rPr>
          <w:u w:val="single"/>
          <w:lang w:val="en-US"/>
        </w:rPr>
        <w:t>supplementary</w:t>
      </w:r>
      <w:r w:rsidR="00697B84">
        <w:rPr>
          <w:lang w:val="en-US"/>
        </w:rPr>
        <w:t xml:space="preserve"> to broadcast coverage. </w:t>
      </w:r>
      <w:r w:rsidR="00B6507E">
        <w:rPr>
          <w:lang w:val="en-US"/>
        </w:rPr>
        <w:t>With some exception</w:t>
      </w:r>
      <w:r w:rsidR="00B65CCD">
        <w:rPr>
          <w:lang w:val="en-US"/>
        </w:rPr>
        <w:t>s</w:t>
      </w:r>
      <w:r w:rsidR="00B6507E">
        <w:rPr>
          <w:lang w:val="en-US"/>
        </w:rPr>
        <w:t>, v</w:t>
      </w:r>
      <w:r w:rsidR="00697B84">
        <w:rPr>
          <w:lang w:val="en-US"/>
        </w:rPr>
        <w:t xml:space="preserve">iewers </w:t>
      </w:r>
      <w:r w:rsidR="008F44F2">
        <w:rPr>
          <w:lang w:val="en-US"/>
        </w:rPr>
        <w:t xml:space="preserve">have been </w:t>
      </w:r>
      <w:r w:rsidR="00B6507E">
        <w:rPr>
          <w:lang w:val="en-US"/>
        </w:rPr>
        <w:t xml:space="preserve">able to </w:t>
      </w:r>
      <w:r w:rsidR="006E49CC">
        <w:rPr>
          <w:lang w:val="en-US"/>
        </w:rPr>
        <w:t>access</w:t>
      </w:r>
      <w:r w:rsidR="00B6507E">
        <w:rPr>
          <w:lang w:val="en-US"/>
        </w:rPr>
        <w:t xml:space="preserve"> live </w:t>
      </w:r>
      <w:r w:rsidR="00697B84">
        <w:rPr>
          <w:lang w:val="en-US"/>
        </w:rPr>
        <w:t xml:space="preserve">coverage </w:t>
      </w:r>
      <w:r w:rsidR="00B6507E">
        <w:rPr>
          <w:lang w:val="en-US"/>
        </w:rPr>
        <w:t>of the events</w:t>
      </w:r>
      <w:r w:rsidR="00697B84">
        <w:rPr>
          <w:lang w:val="en-US"/>
        </w:rPr>
        <w:t xml:space="preserve"> via free-to-air </w:t>
      </w:r>
      <w:r w:rsidR="00833DE7">
        <w:rPr>
          <w:lang w:val="en-US"/>
        </w:rPr>
        <w:t>and</w:t>
      </w:r>
      <w:r w:rsidR="00697B84">
        <w:rPr>
          <w:lang w:val="en-US"/>
        </w:rPr>
        <w:t xml:space="preserve"> subscription television services</w:t>
      </w:r>
      <w:r w:rsidR="006E49CC">
        <w:rPr>
          <w:lang w:val="en-US"/>
        </w:rPr>
        <w:t>, with highlights and in</w:t>
      </w:r>
      <w:r w:rsidR="00692288">
        <w:rPr>
          <w:lang w:val="en-US"/>
        </w:rPr>
        <w:noBreakHyphen/>
      </w:r>
      <w:r w:rsidR="006E49CC">
        <w:rPr>
          <w:lang w:val="en-US"/>
        </w:rPr>
        <w:t>depth content available online</w:t>
      </w:r>
      <w:r w:rsidR="00697B84">
        <w:rPr>
          <w:lang w:val="en-US"/>
        </w:rPr>
        <w:t xml:space="preserve">. </w:t>
      </w:r>
      <w:r w:rsidR="00B6507E">
        <w:rPr>
          <w:lang w:val="en-US"/>
        </w:rPr>
        <w:t>This is beginning to change.</w:t>
      </w:r>
    </w:p>
    <w:p w14:paraId="0558D521" w14:textId="5CF18CA3" w:rsidR="004E545E" w:rsidRDefault="00AB1374" w:rsidP="00B65CCD">
      <w:pPr>
        <w:rPr>
          <w:lang w:val="en-US"/>
        </w:rPr>
      </w:pPr>
      <w:r>
        <w:rPr>
          <w:lang w:val="en-US"/>
        </w:rPr>
        <w:t>Over recent years, f</w:t>
      </w:r>
      <w:r w:rsidR="004E545E">
        <w:rPr>
          <w:lang w:val="en-US"/>
        </w:rPr>
        <w:t>ree-to-air broadcasters have moved to acquire exclusive media rights to certain events and to provide multi-platform coverage</w:t>
      </w:r>
      <w:r>
        <w:rPr>
          <w:lang w:val="en-US"/>
        </w:rPr>
        <w:t>.</w:t>
      </w:r>
      <w:r w:rsidR="004E545E">
        <w:rPr>
          <w:lang w:val="en-US"/>
        </w:rPr>
        <w:t xml:space="preserve"> </w:t>
      </w:r>
      <w:r w:rsidR="002E3510">
        <w:rPr>
          <w:lang w:val="en-US"/>
        </w:rPr>
        <w:t xml:space="preserve">The </w:t>
      </w:r>
      <w:r w:rsidR="004E545E">
        <w:rPr>
          <w:lang w:val="en-US"/>
        </w:rPr>
        <w:t xml:space="preserve">Seven </w:t>
      </w:r>
      <w:r w:rsidR="002E3510">
        <w:rPr>
          <w:lang w:val="en-US"/>
        </w:rPr>
        <w:t>Network’s</w:t>
      </w:r>
      <w:r w:rsidR="004E545E">
        <w:rPr>
          <w:lang w:val="en-US"/>
        </w:rPr>
        <w:t xml:space="preserve"> coverage of the 2016 and 2020 Olympic Games and Nine Entertainment Co’s coverage of the Australian Open tennis</w:t>
      </w:r>
      <w:r w:rsidR="006E49CC">
        <w:rPr>
          <w:lang w:val="en-US"/>
        </w:rPr>
        <w:t xml:space="preserve"> are examples of this development</w:t>
      </w:r>
      <w:r w:rsidR="004E545E">
        <w:rPr>
          <w:lang w:val="en-US"/>
        </w:rPr>
        <w:t>. Th</w:t>
      </w:r>
      <w:r w:rsidR="003C633C">
        <w:rPr>
          <w:lang w:val="en-US"/>
        </w:rPr>
        <w:t xml:space="preserve">ese </w:t>
      </w:r>
      <w:r w:rsidR="006E49CC">
        <w:rPr>
          <w:lang w:val="en-US"/>
        </w:rPr>
        <w:t xml:space="preserve">arrangements </w:t>
      </w:r>
      <w:r w:rsidR="003C633C">
        <w:rPr>
          <w:lang w:val="en-US"/>
        </w:rPr>
        <w:t>have</w:t>
      </w:r>
      <w:r w:rsidR="004E545E">
        <w:rPr>
          <w:lang w:val="en-US"/>
        </w:rPr>
        <w:t xml:space="preserve"> typically involved extensive coverage of events on relevant BVOD platforms, with audiences able to </w:t>
      </w:r>
      <w:r w:rsidR="006E49CC">
        <w:rPr>
          <w:lang w:val="en-US"/>
        </w:rPr>
        <w:t xml:space="preserve">access additional content that is </w:t>
      </w:r>
      <w:r w:rsidR="004E545E">
        <w:rPr>
          <w:lang w:val="en-US"/>
        </w:rPr>
        <w:t xml:space="preserve">not provided on the broadcast platform </w:t>
      </w:r>
      <w:r w:rsidR="00692288">
        <w:rPr>
          <w:lang w:val="en-US"/>
        </w:rPr>
        <w:t xml:space="preserve">via </w:t>
      </w:r>
      <w:r w:rsidR="006E49CC">
        <w:rPr>
          <w:lang w:val="en-US"/>
        </w:rPr>
        <w:t>both live streams and on-demand.</w:t>
      </w:r>
    </w:p>
    <w:p w14:paraId="3BF51946" w14:textId="03D9B0F1" w:rsidR="004E545E" w:rsidRDefault="004E545E" w:rsidP="00DE5F3B">
      <w:pPr>
        <w:rPr>
          <w:lang w:val="en-US"/>
        </w:rPr>
      </w:pPr>
      <w:r>
        <w:rPr>
          <w:lang w:val="en-US"/>
        </w:rPr>
        <w:t>Subscription broadcasters have also adopted a multi-platform model in recent years. Foxtel and its OTT subsidiary service</w:t>
      </w:r>
      <w:r w:rsidR="00393364">
        <w:rPr>
          <w:lang w:val="en-US"/>
        </w:rPr>
        <w:t>,</w:t>
      </w:r>
      <w:r>
        <w:rPr>
          <w:lang w:val="en-US"/>
        </w:rPr>
        <w:t xml:space="preserve"> Kayo</w:t>
      </w:r>
      <w:r w:rsidR="00393364">
        <w:rPr>
          <w:lang w:val="en-US"/>
        </w:rPr>
        <w:t>,</w:t>
      </w:r>
      <w:r>
        <w:rPr>
          <w:lang w:val="en-US"/>
        </w:rPr>
        <w:t xml:space="preserve"> provide exclusive coverage of </w:t>
      </w:r>
      <w:r w:rsidR="008F44F2">
        <w:rPr>
          <w:lang w:val="en-US"/>
        </w:rPr>
        <w:t xml:space="preserve">a number of </w:t>
      </w:r>
      <w:r>
        <w:rPr>
          <w:lang w:val="en-US"/>
        </w:rPr>
        <w:t>home and away matches of the AFL Premiership</w:t>
      </w:r>
      <w:r w:rsidR="008F44F2">
        <w:rPr>
          <w:lang w:val="en-US"/>
        </w:rPr>
        <w:t xml:space="preserve"> and </w:t>
      </w:r>
      <w:r>
        <w:rPr>
          <w:lang w:val="en-US"/>
        </w:rPr>
        <w:t>the NRL Premiership. Under the same rights deals, free-to-air broadcasters televise the remaining fixtures in the home and away rounds for each premiership on a non-exclusive basis.</w:t>
      </w:r>
    </w:p>
    <w:p w14:paraId="6DCDF815" w14:textId="66393B21" w:rsidR="00CA4012" w:rsidRDefault="004E545E" w:rsidP="00DE5F3B">
      <w:pPr>
        <w:rPr>
          <w:lang w:val="en-US"/>
        </w:rPr>
      </w:pPr>
      <w:r>
        <w:rPr>
          <w:lang w:val="en-US"/>
        </w:rPr>
        <w:t xml:space="preserve">There are also examples of exclusive rights being acquired by subscription-based online services. </w:t>
      </w:r>
      <w:r w:rsidRPr="00AB1374">
        <w:rPr>
          <w:lang w:val="en-US"/>
        </w:rPr>
        <w:t xml:space="preserve">This includes Amazon Prime Video’s acquisition of the rights to </w:t>
      </w:r>
      <w:r w:rsidDel="00CA4012">
        <w:rPr>
          <w:lang w:val="en-US"/>
        </w:rPr>
        <w:t xml:space="preserve">the </w:t>
      </w:r>
      <w:r w:rsidRPr="00AB1374">
        <w:rPr>
          <w:lang w:val="en-US"/>
        </w:rPr>
        <w:t xml:space="preserve">Australian Swimming </w:t>
      </w:r>
      <w:r w:rsidR="00CA4012" w:rsidRPr="00AB1374">
        <w:rPr>
          <w:lang w:val="en-US"/>
        </w:rPr>
        <w:t xml:space="preserve">Trials and </w:t>
      </w:r>
      <w:r w:rsidR="00AB1374">
        <w:rPr>
          <w:lang w:val="en-US"/>
        </w:rPr>
        <w:t>the</w:t>
      </w:r>
      <w:r w:rsidR="00CA4012" w:rsidRPr="00AB1374">
        <w:rPr>
          <w:lang w:val="en-US"/>
        </w:rPr>
        <w:t xml:space="preserve"> </w:t>
      </w:r>
      <w:r w:rsidR="00AB1374" w:rsidRPr="00AB1374">
        <w:rPr>
          <w:lang w:val="en-US"/>
        </w:rPr>
        <w:t>Australian Swimming</w:t>
      </w:r>
      <w:r w:rsidR="00CA4012" w:rsidRPr="00AB1374">
        <w:rPr>
          <w:lang w:val="en-US"/>
        </w:rPr>
        <w:t xml:space="preserve"> </w:t>
      </w:r>
      <w:r w:rsidRPr="00AB1374">
        <w:rPr>
          <w:lang w:val="en-US"/>
        </w:rPr>
        <w:t>Championships</w:t>
      </w:r>
      <w:r w:rsidR="00AB1374" w:rsidRPr="00AB1374">
        <w:rPr>
          <w:lang w:val="en-US"/>
        </w:rPr>
        <w:t>,</w:t>
      </w:r>
      <w:r w:rsidRPr="00AB1374">
        <w:rPr>
          <w:lang w:val="en-US"/>
        </w:rPr>
        <w:t xml:space="preserve"> and Kayo’s acquisition of exclusive rights to </w:t>
      </w:r>
      <w:r w:rsidR="00CA4012" w:rsidRPr="00AB1374">
        <w:rPr>
          <w:lang w:val="en-US"/>
        </w:rPr>
        <w:t xml:space="preserve">some </w:t>
      </w:r>
      <w:r w:rsidRPr="00AB1374">
        <w:rPr>
          <w:lang w:val="en-US"/>
        </w:rPr>
        <w:t>Netball</w:t>
      </w:r>
      <w:r w:rsidR="00CA4012" w:rsidRPr="00AB1374">
        <w:rPr>
          <w:lang w:val="en-US"/>
        </w:rPr>
        <w:t xml:space="preserve"> events</w:t>
      </w:r>
      <w:r w:rsidRPr="00AB1374">
        <w:rPr>
          <w:lang w:val="en-US"/>
        </w:rPr>
        <w:t>.</w:t>
      </w:r>
      <w:r w:rsidR="00CA4012" w:rsidRPr="00AB1374">
        <w:rPr>
          <w:lang w:val="en-US"/>
        </w:rPr>
        <w:t xml:space="preserve"> In both</w:t>
      </w:r>
      <w:r w:rsidR="008F44F2">
        <w:rPr>
          <w:lang w:val="en-US"/>
        </w:rPr>
        <w:t xml:space="preserve"> of</w:t>
      </w:r>
      <w:r w:rsidR="00CA4012" w:rsidRPr="00AB1374">
        <w:rPr>
          <w:lang w:val="en-US"/>
        </w:rPr>
        <w:t xml:space="preserve"> these cases</w:t>
      </w:r>
      <w:r w:rsidR="00393364">
        <w:rPr>
          <w:lang w:val="en-US"/>
        </w:rPr>
        <w:t>,</w:t>
      </w:r>
      <w:r w:rsidR="00CA4012" w:rsidRPr="00AB1374">
        <w:rPr>
          <w:lang w:val="en-US"/>
        </w:rPr>
        <w:t xml:space="preserve"> the</w:t>
      </w:r>
      <w:r w:rsidR="00393364">
        <w:rPr>
          <w:lang w:val="en-US"/>
        </w:rPr>
        <w:t>se</w:t>
      </w:r>
      <w:r w:rsidR="00CA4012" w:rsidRPr="00AB1374">
        <w:rPr>
          <w:lang w:val="en-US"/>
        </w:rPr>
        <w:t xml:space="preserve"> events are not on the anti-siphoning list.</w:t>
      </w:r>
    </w:p>
    <w:p w14:paraId="21C59E66" w14:textId="6907DD44" w:rsidR="00A960E9" w:rsidRPr="00B65CCD" w:rsidRDefault="004E545E" w:rsidP="00B65CCD">
      <w:pPr>
        <w:rPr>
          <w:lang w:val="en-US"/>
        </w:rPr>
      </w:pPr>
      <w:r>
        <w:rPr>
          <w:lang w:val="en-US"/>
        </w:rPr>
        <w:t>At this point, a number of trends</w:t>
      </w:r>
      <w:r w:rsidR="00AB1374">
        <w:rPr>
          <w:lang w:val="en-US"/>
        </w:rPr>
        <w:t xml:space="preserve"> can be identified</w:t>
      </w:r>
      <w:r>
        <w:rPr>
          <w:lang w:val="en-US"/>
        </w:rPr>
        <w:t>:</w:t>
      </w:r>
    </w:p>
    <w:p w14:paraId="6817EEB0" w14:textId="025D8C95" w:rsidR="004E545E" w:rsidRPr="00B65CCD" w:rsidRDefault="004E545E" w:rsidP="00692288">
      <w:pPr>
        <w:pStyle w:val="ListParagraph"/>
        <w:keepNext/>
        <w:numPr>
          <w:ilvl w:val="0"/>
          <w:numId w:val="54"/>
        </w:numPr>
        <w:spacing w:after="120" w:line="240" w:lineRule="auto"/>
        <w:ind w:left="357" w:hanging="357"/>
        <w:contextualSpacing w:val="0"/>
      </w:pPr>
      <w:r w:rsidRPr="00B65CCD">
        <w:t>Greater utili</w:t>
      </w:r>
      <w:r w:rsidR="00767952">
        <w:t>s</w:t>
      </w:r>
      <w:r w:rsidRPr="00B65CCD">
        <w:t>ation of online platforms – by free-to-air broadcasters (</w:t>
      </w:r>
      <w:r w:rsidR="00B12BAD">
        <w:t>such as</w:t>
      </w:r>
      <w:r w:rsidR="00A81CF3">
        <w:t xml:space="preserve"> </w:t>
      </w:r>
      <w:r w:rsidR="002E3510">
        <w:t xml:space="preserve">the </w:t>
      </w:r>
      <w:r w:rsidR="00A81CF3">
        <w:t xml:space="preserve">Seven </w:t>
      </w:r>
      <w:r w:rsidR="002E3510">
        <w:t>Network</w:t>
      </w:r>
      <w:r w:rsidR="00A81CF3">
        <w:t xml:space="preserve"> with its Olympics coverage</w:t>
      </w:r>
      <w:r w:rsidRPr="00B65CCD">
        <w:t>)</w:t>
      </w:r>
      <w:r w:rsidR="00824E1D">
        <w:t>;</w:t>
      </w:r>
      <w:r w:rsidR="00767952">
        <w:t xml:space="preserve"> </w:t>
      </w:r>
      <w:r w:rsidRPr="00B65CCD">
        <w:t xml:space="preserve">by entities that </w:t>
      </w:r>
      <w:r w:rsidR="00A81CF3">
        <w:t xml:space="preserve">are </w:t>
      </w:r>
      <w:r w:rsidRPr="00B65CCD">
        <w:t>controlled by free-to-air or subscription broadcasters (</w:t>
      </w:r>
      <w:r w:rsidR="00A81CF3">
        <w:t xml:space="preserve">such as Stan and </w:t>
      </w:r>
      <w:r w:rsidR="00C02EBE">
        <w:t xml:space="preserve">the </w:t>
      </w:r>
      <w:r w:rsidR="00A81CF3">
        <w:t>Nine</w:t>
      </w:r>
      <w:r w:rsidR="00C02EBE">
        <w:t xml:space="preserve"> Network</w:t>
      </w:r>
      <w:r w:rsidR="00A81CF3">
        <w:t>’s Rugby Union coverage</w:t>
      </w:r>
      <w:r w:rsidRPr="00B65CCD">
        <w:t>)</w:t>
      </w:r>
      <w:r w:rsidR="00824E1D">
        <w:t>;</w:t>
      </w:r>
      <w:r w:rsidRPr="00B65CCD">
        <w:t xml:space="preserve"> and (more recently) </w:t>
      </w:r>
      <w:r w:rsidR="00824E1D">
        <w:t xml:space="preserve">by </w:t>
      </w:r>
      <w:r w:rsidRPr="00B65CCD">
        <w:t>non-broadcasting entities (</w:t>
      </w:r>
      <w:r w:rsidR="00A81CF3">
        <w:t>such as</w:t>
      </w:r>
      <w:r w:rsidRPr="001B1FE3">
        <w:t xml:space="preserve"> Amazon Prime Video</w:t>
      </w:r>
      <w:r w:rsidR="00824E1D">
        <w:t xml:space="preserve">’s </w:t>
      </w:r>
      <w:r w:rsidR="00AB1374">
        <w:t>acquisition of</w:t>
      </w:r>
      <w:r w:rsidR="00A81CF3" w:rsidRPr="001B1FE3">
        <w:t xml:space="preserve"> non-listed swimming events</w:t>
      </w:r>
      <w:r w:rsidRPr="00B65CCD">
        <w:t>).</w:t>
      </w:r>
      <w:r w:rsidR="00824E1D">
        <w:t xml:space="preserve"> This responds to growing audience demand for online and mobile viewing options.</w:t>
      </w:r>
    </w:p>
    <w:p w14:paraId="44E6F9DE" w14:textId="5E9BB4CC" w:rsidR="004E545E" w:rsidRPr="00B65CCD" w:rsidRDefault="004E545E" w:rsidP="00692288">
      <w:pPr>
        <w:pStyle w:val="ListParagraph"/>
        <w:keepNext/>
        <w:numPr>
          <w:ilvl w:val="0"/>
          <w:numId w:val="54"/>
        </w:numPr>
        <w:spacing w:after="120" w:line="240" w:lineRule="auto"/>
        <w:ind w:left="357" w:hanging="357"/>
        <w:contextualSpacing w:val="0"/>
      </w:pPr>
      <w:r w:rsidRPr="00B65CCD">
        <w:t xml:space="preserve">Greater willingness of sports bodies to strike deals that </w:t>
      </w:r>
      <w:r w:rsidR="006E49CC">
        <w:t xml:space="preserve">incorporate </w:t>
      </w:r>
      <w:r w:rsidRPr="00B65CCD">
        <w:t>extensive online coverage of events.</w:t>
      </w:r>
    </w:p>
    <w:p w14:paraId="6C0C8C97" w14:textId="0263E904" w:rsidR="004E545E" w:rsidRPr="00B65CCD" w:rsidRDefault="00314B4B" w:rsidP="003A4B36">
      <w:pPr>
        <w:pStyle w:val="ListParagraph"/>
        <w:keepNext/>
        <w:numPr>
          <w:ilvl w:val="0"/>
          <w:numId w:val="54"/>
        </w:numPr>
        <w:spacing w:after="120" w:line="240" w:lineRule="auto"/>
        <w:ind w:left="357" w:hanging="357"/>
        <w:contextualSpacing w:val="0"/>
      </w:pPr>
      <w:r>
        <w:t>The emergence</w:t>
      </w:r>
      <w:r w:rsidR="006E49CC">
        <w:t xml:space="preserve"> (although relatively </w:t>
      </w:r>
      <w:r w:rsidR="009249C6">
        <w:t xml:space="preserve">modest </w:t>
      </w:r>
      <w:r w:rsidR="006E49CC">
        <w:t>in Australia</w:t>
      </w:r>
      <w:r w:rsidR="009249C6">
        <w:t xml:space="preserve"> to date</w:t>
      </w:r>
      <w:r w:rsidR="006E49CC">
        <w:t>)</w:t>
      </w:r>
      <w:r>
        <w:t xml:space="preserve"> of e</w:t>
      </w:r>
      <w:r w:rsidR="004E545E" w:rsidRPr="00B65CCD">
        <w:t xml:space="preserve">xclusive rights </w:t>
      </w:r>
      <w:r>
        <w:t xml:space="preserve">arrangements with </w:t>
      </w:r>
      <w:r w:rsidR="004E545E" w:rsidRPr="00B65CCD">
        <w:t>subscription-based online services (</w:t>
      </w:r>
      <w:r w:rsidR="00A81CF3">
        <w:t>such as Kayo Sports and Optus Sports</w:t>
      </w:r>
      <w:r w:rsidR="004E545E" w:rsidRPr="00B65CCD">
        <w:t>), particularly for sports that command lower audience</w:t>
      </w:r>
      <w:r w:rsidR="001C75FE">
        <w:t xml:space="preserve"> numbers</w:t>
      </w:r>
      <w:r w:rsidR="004E545E" w:rsidRPr="00B65CCD">
        <w:t>.</w:t>
      </w:r>
    </w:p>
    <w:p w14:paraId="73BD5FD7" w14:textId="3BDD27CD" w:rsidR="004E545E" w:rsidRDefault="004E545E" w:rsidP="003A4B36">
      <w:pPr>
        <w:rPr>
          <w:lang w:val="en-US"/>
        </w:rPr>
      </w:pPr>
      <w:r>
        <w:rPr>
          <w:lang w:val="en-US"/>
        </w:rPr>
        <w:t>Against this domestic backdrop are the trends evident in overseas markets</w:t>
      </w:r>
      <w:r w:rsidR="00AB1374">
        <w:rPr>
          <w:lang w:val="en-US"/>
        </w:rPr>
        <w:t xml:space="preserve"> described in Chapter 3</w:t>
      </w:r>
      <w:r>
        <w:rPr>
          <w:lang w:val="en-US"/>
        </w:rPr>
        <w:t xml:space="preserve">. </w:t>
      </w:r>
      <w:r w:rsidR="00343283">
        <w:rPr>
          <w:lang w:val="en-US"/>
        </w:rPr>
        <w:t xml:space="preserve">Globally, </w:t>
      </w:r>
      <w:r w:rsidR="00177474">
        <w:rPr>
          <w:lang w:val="en-US"/>
        </w:rPr>
        <w:t xml:space="preserve">more </w:t>
      </w:r>
      <w:r w:rsidR="00483630">
        <w:rPr>
          <w:lang w:val="en-US"/>
        </w:rPr>
        <w:t xml:space="preserve">viewers </w:t>
      </w:r>
      <w:r w:rsidR="00343283">
        <w:rPr>
          <w:lang w:val="en-US"/>
        </w:rPr>
        <w:t xml:space="preserve">are opting to </w:t>
      </w:r>
      <w:r w:rsidR="00177474">
        <w:rPr>
          <w:lang w:val="en-US"/>
        </w:rPr>
        <w:t xml:space="preserve">watch sports via online platforms. This is being reflected in acquisitions by major </w:t>
      </w:r>
      <w:r w:rsidR="00177474">
        <w:rPr>
          <w:lang w:val="en-US"/>
        </w:rPr>
        <w:lastRenderedPageBreak/>
        <w:t xml:space="preserve">streaming players, as well as increased appetite from </w:t>
      </w:r>
      <w:r w:rsidR="00D56A1F">
        <w:rPr>
          <w:lang w:val="en-US"/>
        </w:rPr>
        <w:t xml:space="preserve">international </w:t>
      </w:r>
      <w:r w:rsidR="00177474">
        <w:rPr>
          <w:lang w:val="en-US"/>
        </w:rPr>
        <w:t>sporting codes to provide exclusive rights packages to online streaming services.</w:t>
      </w:r>
    </w:p>
    <w:p w14:paraId="262EEC55" w14:textId="77777777" w:rsidR="00B65CCD" w:rsidRPr="00CF21AA" w:rsidRDefault="00B65CCD" w:rsidP="00B65CCD">
      <w:pPr>
        <w:pStyle w:val="Box2Heading"/>
      </w:pPr>
      <w:r>
        <w:t>Questions:</w:t>
      </w:r>
    </w:p>
    <w:p w14:paraId="712D3040" w14:textId="235596F6" w:rsidR="00B65CCD" w:rsidRPr="00692288" w:rsidRDefault="00B65CCD" w:rsidP="00692288">
      <w:pPr>
        <w:pStyle w:val="Box2Bullet1"/>
        <w:ind w:left="681" w:hanging="397"/>
        <w:rPr>
          <w:sz w:val="22"/>
          <w:szCs w:val="22"/>
        </w:rPr>
      </w:pPr>
      <w:bookmarkStart w:id="363" w:name="_Toc114476262"/>
      <w:bookmarkStart w:id="364" w:name="_Toc116292960"/>
      <w:r w:rsidRPr="00692288">
        <w:rPr>
          <w:sz w:val="22"/>
          <w:szCs w:val="22"/>
          <w:lang w:val="en-US"/>
        </w:rPr>
        <w:t xml:space="preserve">Is the trend of exclusive rights acquisition by </w:t>
      </w:r>
      <w:r w:rsidRPr="00692288">
        <w:rPr>
          <w:sz w:val="22"/>
          <w:szCs w:val="22"/>
        </w:rPr>
        <w:t>subscription-based online services evident in overseas markets likely to be replicated in Australia? If so, under what timeframes and circumstances</w:t>
      </w:r>
      <w:r w:rsidRPr="00692288">
        <w:rPr>
          <w:sz w:val="22"/>
          <w:szCs w:val="22"/>
          <w:lang w:val="en-US"/>
        </w:rPr>
        <w:t>?</w:t>
      </w:r>
      <w:bookmarkEnd w:id="363"/>
      <w:bookmarkEnd w:id="364"/>
    </w:p>
    <w:p w14:paraId="6DA0EA01" w14:textId="09090238" w:rsidR="00B65CCD" w:rsidRPr="00692288" w:rsidRDefault="00B65CCD" w:rsidP="00B65CCD">
      <w:pPr>
        <w:pStyle w:val="Box2Bullet1"/>
        <w:ind w:left="681" w:hanging="397"/>
        <w:rPr>
          <w:sz w:val="22"/>
          <w:szCs w:val="22"/>
        </w:rPr>
      </w:pPr>
      <w:bookmarkStart w:id="365" w:name="_Toc114476263"/>
      <w:bookmarkStart w:id="366" w:name="_Toc116292961"/>
      <w:r w:rsidRPr="00692288">
        <w:rPr>
          <w:sz w:val="22"/>
          <w:szCs w:val="22"/>
        </w:rPr>
        <w:t>Should the anti-siphoning scheme be extended to cover online services and digital platforms and services?</w:t>
      </w:r>
      <w:r w:rsidRPr="00692288">
        <w:rPr>
          <w:sz w:val="22"/>
          <w:szCs w:val="22"/>
          <w:lang w:val="en-US"/>
        </w:rPr>
        <w:t xml:space="preserve"> </w:t>
      </w:r>
      <w:r w:rsidRPr="00692288">
        <w:rPr>
          <w:sz w:val="22"/>
          <w:szCs w:val="22"/>
          <w:lang w:val="en-AU"/>
        </w:rPr>
        <w:t xml:space="preserve">If so, should </w:t>
      </w:r>
      <w:r w:rsidRPr="00692288">
        <w:rPr>
          <w:sz w:val="22"/>
          <w:szCs w:val="22"/>
        </w:rPr>
        <w:t xml:space="preserve">broadcasting and digital rights be treated in the same manner under the scheme (homogenous regulation), or should different restrictions and obligations apply </w:t>
      </w:r>
      <w:r w:rsidR="001B6E26" w:rsidRPr="00692288">
        <w:rPr>
          <w:sz w:val="22"/>
          <w:szCs w:val="22"/>
          <w:lang w:val="en-US"/>
        </w:rPr>
        <w:t xml:space="preserve">to </w:t>
      </w:r>
      <w:r w:rsidRPr="00692288">
        <w:rPr>
          <w:sz w:val="22"/>
          <w:szCs w:val="22"/>
        </w:rPr>
        <w:t>each</w:t>
      </w:r>
      <w:r w:rsidRPr="00692288">
        <w:rPr>
          <w:sz w:val="22"/>
          <w:szCs w:val="22"/>
          <w:lang w:val="en-US"/>
        </w:rPr>
        <w:t>?</w:t>
      </w:r>
      <w:bookmarkEnd w:id="365"/>
      <w:bookmarkEnd w:id="366"/>
    </w:p>
    <w:p w14:paraId="513E11C9" w14:textId="5077E0A3" w:rsidR="00B65CCD" w:rsidRPr="00692288" w:rsidRDefault="00B65CCD" w:rsidP="00B65CCD">
      <w:pPr>
        <w:pStyle w:val="Box2Bullet1"/>
        <w:ind w:left="681" w:hanging="397"/>
        <w:rPr>
          <w:sz w:val="22"/>
          <w:szCs w:val="22"/>
        </w:rPr>
      </w:pPr>
      <w:bookmarkStart w:id="367" w:name="_Toc114476264"/>
      <w:bookmarkStart w:id="368" w:name="_Toc116292962"/>
      <w:r w:rsidRPr="00692288">
        <w:rPr>
          <w:sz w:val="22"/>
          <w:szCs w:val="22"/>
        </w:rPr>
        <w:t xml:space="preserve">What impact would the potential extension of the scheme to online services have on industry? Is this </w:t>
      </w:r>
      <w:r w:rsidR="00595CF1" w:rsidRPr="00692288">
        <w:rPr>
          <w:sz w:val="22"/>
          <w:szCs w:val="22"/>
          <w:lang w:val="en-US"/>
        </w:rPr>
        <w:t xml:space="preserve">potential impact </w:t>
      </w:r>
      <w:r w:rsidRPr="00692288">
        <w:rPr>
          <w:sz w:val="22"/>
          <w:szCs w:val="22"/>
        </w:rPr>
        <w:t>able to be quantified or estimated</w:t>
      </w:r>
      <w:r w:rsidRPr="00692288">
        <w:rPr>
          <w:sz w:val="22"/>
          <w:szCs w:val="22"/>
          <w:lang w:val="en-US"/>
        </w:rPr>
        <w:t>?</w:t>
      </w:r>
      <w:bookmarkEnd w:id="367"/>
      <w:bookmarkEnd w:id="368"/>
    </w:p>
    <w:p w14:paraId="760DC0C8" w14:textId="3ADC8698" w:rsidR="00B65CCD" w:rsidRPr="00692288" w:rsidRDefault="00B65CCD" w:rsidP="00B65CCD">
      <w:pPr>
        <w:pStyle w:val="Box2Bullet1"/>
        <w:ind w:left="681" w:hanging="397"/>
        <w:rPr>
          <w:sz w:val="22"/>
          <w:szCs w:val="22"/>
        </w:rPr>
      </w:pPr>
      <w:bookmarkStart w:id="369" w:name="_Toc114476265"/>
      <w:bookmarkStart w:id="370" w:name="_Toc116292963"/>
      <w:r w:rsidRPr="00692288">
        <w:rPr>
          <w:sz w:val="22"/>
          <w:szCs w:val="22"/>
          <w:lang w:val="en-US"/>
        </w:rPr>
        <w:t xml:space="preserve">What are the potential positive and negative impacts of extending the scheme to online services for </w:t>
      </w:r>
      <w:r w:rsidR="00483630" w:rsidRPr="00692288">
        <w:rPr>
          <w:sz w:val="22"/>
          <w:szCs w:val="22"/>
          <w:lang w:val="en-US"/>
        </w:rPr>
        <w:t>Australian viewers</w:t>
      </w:r>
      <w:r w:rsidRPr="00692288">
        <w:rPr>
          <w:sz w:val="22"/>
          <w:szCs w:val="22"/>
          <w:lang w:val="en-US"/>
        </w:rPr>
        <w:t>?</w:t>
      </w:r>
      <w:r w:rsidR="0072126E" w:rsidRPr="00692288">
        <w:rPr>
          <w:sz w:val="22"/>
          <w:szCs w:val="22"/>
          <w:lang w:val="en-US"/>
        </w:rPr>
        <w:t xml:space="preserve"> Is this potential impact able to be quantified or estimated?</w:t>
      </w:r>
      <w:bookmarkEnd w:id="369"/>
      <w:bookmarkEnd w:id="370"/>
    </w:p>
    <w:p w14:paraId="4B182BD9" w14:textId="77777777" w:rsidR="00460C83" w:rsidRDefault="00460C83" w:rsidP="00362A8D"/>
    <w:p w14:paraId="309F5BD3" w14:textId="35F34537" w:rsidR="000064C4" w:rsidRPr="00B322F7" w:rsidRDefault="000064C4" w:rsidP="00B22819">
      <w:pPr>
        <w:pStyle w:val="Heading2"/>
      </w:pPr>
      <w:bookmarkStart w:id="371" w:name="_Toc113361286"/>
      <w:bookmarkStart w:id="372" w:name="_Toc114476266"/>
      <w:bookmarkStart w:id="373" w:name="_Toc116061424"/>
      <w:bookmarkStart w:id="374" w:name="_Toc116292964"/>
      <w:r w:rsidRPr="00B322F7" w:rsidDel="00595CF1">
        <w:t>Regulat</w:t>
      </w:r>
      <w:r w:rsidR="0073542B" w:rsidRPr="00B322F7" w:rsidDel="00595CF1">
        <w:t xml:space="preserve">ory </w:t>
      </w:r>
      <w:r w:rsidR="00801256">
        <w:t xml:space="preserve">rule: </w:t>
      </w:r>
      <w:r w:rsidRPr="00B322F7">
        <w:t>acquisition, conferral or offer</w:t>
      </w:r>
      <w:r w:rsidR="001B6E26">
        <w:t>?</w:t>
      </w:r>
      <w:bookmarkEnd w:id="371"/>
      <w:bookmarkEnd w:id="372"/>
      <w:bookmarkEnd w:id="373"/>
      <w:bookmarkEnd w:id="374"/>
    </w:p>
    <w:p w14:paraId="6C9288B0" w14:textId="232AC07C" w:rsidR="000064C4" w:rsidRPr="00B1015D" w:rsidRDefault="000064C4" w:rsidP="001736DF">
      <w:pPr>
        <w:pStyle w:val="Heading3"/>
        <w:rPr>
          <w:b w:val="0"/>
          <w:lang w:val="en-US"/>
        </w:rPr>
      </w:pPr>
      <w:bookmarkStart w:id="375" w:name="_Toc111752611"/>
      <w:bookmarkStart w:id="376" w:name="_Toc111795298"/>
      <w:bookmarkStart w:id="377" w:name="_Toc111800714"/>
      <w:bookmarkStart w:id="378" w:name="_Toc111803409"/>
      <w:bookmarkStart w:id="379" w:name="_Toc111813821"/>
      <w:bookmarkStart w:id="380" w:name="_Toc112321003"/>
      <w:bookmarkStart w:id="381" w:name="_Toc113361287"/>
      <w:bookmarkStart w:id="382" w:name="_Toc113361795"/>
      <w:bookmarkStart w:id="383" w:name="_Toc114487401"/>
      <w:bookmarkStart w:id="384" w:name="_Toc116044867"/>
      <w:bookmarkStart w:id="385" w:name="_Toc116061425"/>
      <w:r w:rsidRPr="00B1015D">
        <w:rPr>
          <w:lang w:val="en-US"/>
        </w:rPr>
        <w:t>Status</w:t>
      </w:r>
      <w:bookmarkEnd w:id="375"/>
      <w:bookmarkEnd w:id="376"/>
      <w:bookmarkEnd w:id="377"/>
      <w:bookmarkEnd w:id="378"/>
      <w:bookmarkEnd w:id="379"/>
      <w:bookmarkEnd w:id="380"/>
      <w:bookmarkEnd w:id="381"/>
      <w:bookmarkEnd w:id="382"/>
      <w:bookmarkEnd w:id="383"/>
      <w:bookmarkEnd w:id="384"/>
      <w:bookmarkEnd w:id="385"/>
    </w:p>
    <w:p w14:paraId="3FF0FD9D" w14:textId="53798072" w:rsidR="005571DF" w:rsidRDefault="000064C4" w:rsidP="003A4B36">
      <w:r>
        <w:t xml:space="preserve">The </w:t>
      </w:r>
      <w:r w:rsidR="00322785">
        <w:t>anti-siphoning scheme current</w:t>
      </w:r>
      <w:r w:rsidR="005571DF">
        <w:t>ly</w:t>
      </w:r>
      <w:r w:rsidR="00322785">
        <w:t xml:space="preserve"> regulates the </w:t>
      </w:r>
      <w:r w:rsidR="00322785" w:rsidRPr="006E49CC">
        <w:rPr>
          <w:u w:val="single"/>
        </w:rPr>
        <w:t>acquisition</w:t>
      </w:r>
      <w:r w:rsidR="00322785">
        <w:t xml:space="preserve"> of the right to televis</w:t>
      </w:r>
      <w:r w:rsidR="0073542B">
        <w:t>e</w:t>
      </w:r>
      <w:r w:rsidR="00322785">
        <w:t xml:space="preserve"> an event on the anti</w:t>
      </w:r>
      <w:r w:rsidR="00393364">
        <w:noBreakHyphen/>
      </w:r>
      <w:r w:rsidR="00322785">
        <w:t>siphoning list</w:t>
      </w:r>
      <w:r w:rsidR="0073542B">
        <w:t>, effectively prohibiting</w:t>
      </w:r>
      <w:r w:rsidR="005571DF">
        <w:t xml:space="preserve"> subscription television broadcasting licensees </w:t>
      </w:r>
      <w:r w:rsidR="0073542B">
        <w:t xml:space="preserve">from acquiring a right </w:t>
      </w:r>
      <w:r w:rsidR="00A35EE1">
        <w:t xml:space="preserve">to televise </w:t>
      </w:r>
      <w:r w:rsidR="006E49CC">
        <w:t>the</w:t>
      </w:r>
      <w:r w:rsidR="00A35EE1">
        <w:t xml:space="preserve"> event </w:t>
      </w:r>
      <w:r w:rsidR="0073542B">
        <w:t>until a free-to-air broadcaster has a right</w:t>
      </w:r>
      <w:r w:rsidR="005571DF">
        <w:t>.</w:t>
      </w:r>
    </w:p>
    <w:p w14:paraId="34519334" w14:textId="2F426FA9" w:rsidR="000064C4" w:rsidRPr="00B1015D" w:rsidRDefault="000064C4" w:rsidP="00152C11">
      <w:pPr>
        <w:pStyle w:val="Heading3"/>
        <w:rPr>
          <w:b w:val="0"/>
          <w:lang w:val="en-US"/>
        </w:rPr>
      </w:pPr>
      <w:bookmarkStart w:id="386" w:name="_Toc111752612"/>
      <w:bookmarkStart w:id="387" w:name="_Toc111795299"/>
      <w:bookmarkStart w:id="388" w:name="_Toc111800715"/>
      <w:bookmarkStart w:id="389" w:name="_Toc111803410"/>
      <w:bookmarkStart w:id="390" w:name="_Toc111813822"/>
      <w:bookmarkStart w:id="391" w:name="_Toc112321004"/>
      <w:bookmarkStart w:id="392" w:name="_Toc113361288"/>
      <w:bookmarkStart w:id="393" w:name="_Toc113361796"/>
      <w:bookmarkStart w:id="394" w:name="_Toc114487402"/>
      <w:bookmarkStart w:id="395" w:name="_Toc116044868"/>
      <w:bookmarkStart w:id="396" w:name="_Toc116061426"/>
      <w:r w:rsidRPr="00B1015D">
        <w:rPr>
          <w:lang w:val="en-US"/>
        </w:rPr>
        <w:t>Discussion</w:t>
      </w:r>
      <w:bookmarkEnd w:id="386"/>
      <w:bookmarkEnd w:id="387"/>
      <w:bookmarkEnd w:id="388"/>
      <w:bookmarkEnd w:id="389"/>
      <w:bookmarkEnd w:id="390"/>
      <w:bookmarkEnd w:id="391"/>
      <w:bookmarkEnd w:id="392"/>
      <w:bookmarkEnd w:id="393"/>
      <w:bookmarkEnd w:id="394"/>
      <w:bookmarkEnd w:id="395"/>
      <w:bookmarkEnd w:id="396"/>
    </w:p>
    <w:p w14:paraId="150F6976" w14:textId="4A85F095" w:rsidR="000F05A1" w:rsidRDefault="005571DF" w:rsidP="00DE5F3B">
      <w:pPr>
        <w:rPr>
          <w:lang w:val="en-US"/>
        </w:rPr>
      </w:pPr>
      <w:r>
        <w:rPr>
          <w:lang w:val="en-US"/>
        </w:rPr>
        <w:t xml:space="preserve">Regulating acquisition is not the only way in which the </w:t>
      </w:r>
      <w:r w:rsidR="0073542B">
        <w:rPr>
          <w:lang w:val="en-US"/>
        </w:rPr>
        <w:t xml:space="preserve">anti-siphoning </w:t>
      </w:r>
      <w:r>
        <w:rPr>
          <w:lang w:val="en-US"/>
        </w:rPr>
        <w:t xml:space="preserve">scheme could </w:t>
      </w:r>
      <w:r w:rsidR="002A21E3">
        <w:rPr>
          <w:lang w:val="en-US"/>
        </w:rPr>
        <w:t>operate</w:t>
      </w:r>
      <w:r>
        <w:rPr>
          <w:lang w:val="en-US"/>
        </w:rPr>
        <w:t xml:space="preserve">. </w:t>
      </w:r>
      <w:r w:rsidR="002A21E3">
        <w:rPr>
          <w:lang w:val="en-US"/>
        </w:rPr>
        <w:t>The alternatives to an acquisition-based rule would include</w:t>
      </w:r>
      <w:r w:rsidR="00A35EE1">
        <w:rPr>
          <w:lang w:val="en-US"/>
        </w:rPr>
        <w:t xml:space="preserve"> </w:t>
      </w:r>
      <w:r w:rsidR="000F05A1">
        <w:rPr>
          <w:lang w:val="en-US"/>
        </w:rPr>
        <w:t>a conferral-based rule and an offer-based rule.</w:t>
      </w:r>
    </w:p>
    <w:p w14:paraId="714BE9E6" w14:textId="71C5C3EC" w:rsidR="00A35EE1" w:rsidRPr="00A35EE1" w:rsidRDefault="00A35EE1" w:rsidP="009713D2">
      <w:pPr>
        <w:pStyle w:val="Heading4"/>
        <w:rPr>
          <w:lang w:val="en-US"/>
        </w:rPr>
      </w:pPr>
      <w:r>
        <w:rPr>
          <w:lang w:val="en-US"/>
        </w:rPr>
        <w:t>Conferral</w:t>
      </w:r>
      <w:r w:rsidR="0067602D">
        <w:rPr>
          <w:lang w:val="en-US"/>
        </w:rPr>
        <w:t>-based rule</w:t>
      </w:r>
    </w:p>
    <w:p w14:paraId="0A1B1970" w14:textId="56648009" w:rsidR="008D2437" w:rsidRDefault="00A35EE1" w:rsidP="00DE5F3B">
      <w:pPr>
        <w:rPr>
          <w:lang w:val="en-US"/>
        </w:rPr>
      </w:pPr>
      <w:r>
        <w:rPr>
          <w:lang w:val="en-US"/>
        </w:rPr>
        <w:t xml:space="preserve">Under this approach, the scheme would </w:t>
      </w:r>
      <w:r w:rsidR="0067602D">
        <w:rPr>
          <w:lang w:val="en-US"/>
        </w:rPr>
        <w:t>be amended to restrict</w:t>
      </w:r>
      <w:r w:rsidR="00B638DF">
        <w:rPr>
          <w:lang w:val="en-US"/>
        </w:rPr>
        <w:t xml:space="preserve"> a party from conferring </w:t>
      </w:r>
      <w:r w:rsidR="00B53B1A">
        <w:rPr>
          <w:lang w:val="en-US"/>
        </w:rPr>
        <w:t>a</w:t>
      </w:r>
      <w:r w:rsidR="00B638DF">
        <w:rPr>
          <w:lang w:val="en-US"/>
        </w:rPr>
        <w:t xml:space="preserve"> right to televise an event on the anti-siphoning list until a </w:t>
      </w:r>
      <w:r w:rsidR="006E49CC">
        <w:rPr>
          <w:lang w:val="en-US"/>
        </w:rPr>
        <w:t xml:space="preserve">right had been conferred to a </w:t>
      </w:r>
      <w:r w:rsidR="00B638DF">
        <w:rPr>
          <w:lang w:val="en-US"/>
        </w:rPr>
        <w:t xml:space="preserve">free-to-air broadcaster. </w:t>
      </w:r>
      <w:r w:rsidR="0067602D">
        <w:rPr>
          <w:lang w:val="en-US"/>
        </w:rPr>
        <w:t>This would</w:t>
      </w:r>
      <w:r w:rsidR="006E49CC">
        <w:rPr>
          <w:lang w:val="en-US"/>
        </w:rPr>
        <w:t xml:space="preserve">, in some respects, be similar to the current acquisition-based rule, but </w:t>
      </w:r>
      <w:r w:rsidR="0067602D">
        <w:rPr>
          <w:lang w:val="en-US"/>
        </w:rPr>
        <w:t xml:space="preserve">would shift the regulatory obligation </w:t>
      </w:r>
      <w:r w:rsidR="006E49CC">
        <w:rPr>
          <w:lang w:val="en-US"/>
        </w:rPr>
        <w:t>from the party acquiring a right (a subscription television broadcasting licensee) to the party conferring the right (</w:t>
      </w:r>
      <w:r w:rsidR="008D2437">
        <w:rPr>
          <w:lang w:val="en-US"/>
        </w:rPr>
        <w:t>the party holding the rights that would, at least initially, be the sports body).</w:t>
      </w:r>
    </w:p>
    <w:p w14:paraId="56CD1411" w14:textId="30B3E4E8" w:rsidR="0067602D" w:rsidRPr="0067602D" w:rsidRDefault="0067602D" w:rsidP="009713D2">
      <w:pPr>
        <w:pStyle w:val="Heading4"/>
        <w:rPr>
          <w:lang w:val="en-US"/>
        </w:rPr>
      </w:pPr>
      <w:r w:rsidRPr="0067602D">
        <w:rPr>
          <w:lang w:val="en-US"/>
        </w:rPr>
        <w:t>Offer-based rule</w:t>
      </w:r>
    </w:p>
    <w:p w14:paraId="18327C7D" w14:textId="62D3C1B0" w:rsidR="00B55A60" w:rsidRDefault="0067602D" w:rsidP="00692288">
      <w:pPr>
        <w:rPr>
          <w:lang w:val="en-US"/>
        </w:rPr>
      </w:pPr>
      <w:r>
        <w:rPr>
          <w:lang w:val="en-US"/>
        </w:rPr>
        <w:t xml:space="preserve">Under this approach, the scheme would be amended to restrict a party from </w:t>
      </w:r>
      <w:r w:rsidR="008D2437" w:rsidRPr="00B55A60">
        <w:rPr>
          <w:u w:val="single"/>
          <w:lang w:val="en-US"/>
        </w:rPr>
        <w:t>offering</w:t>
      </w:r>
      <w:r w:rsidR="008D2437">
        <w:rPr>
          <w:lang w:val="en-US"/>
        </w:rPr>
        <w:t xml:space="preserve"> </w:t>
      </w:r>
      <w:r w:rsidR="00B55A60">
        <w:rPr>
          <w:lang w:val="en-US"/>
        </w:rPr>
        <w:t>a</w:t>
      </w:r>
      <w:r w:rsidR="008D2437">
        <w:rPr>
          <w:lang w:val="en-US"/>
        </w:rPr>
        <w:t xml:space="preserve"> </w:t>
      </w:r>
      <w:r>
        <w:rPr>
          <w:lang w:val="en-US"/>
        </w:rPr>
        <w:t xml:space="preserve">right to televise an event on the anti-siphoning list until </w:t>
      </w:r>
      <w:r w:rsidR="008D2437">
        <w:rPr>
          <w:lang w:val="en-US"/>
        </w:rPr>
        <w:t xml:space="preserve">an offer had been made to a </w:t>
      </w:r>
      <w:r>
        <w:rPr>
          <w:lang w:val="en-US"/>
        </w:rPr>
        <w:t>free-to-air broadcaster</w:t>
      </w:r>
      <w:r w:rsidR="008D2437">
        <w:rPr>
          <w:lang w:val="en-US"/>
        </w:rPr>
        <w:t>. This</w:t>
      </w:r>
      <w:r w:rsidR="00B13282">
        <w:rPr>
          <w:lang w:val="en-US"/>
        </w:rPr>
        <w:t xml:space="preserve"> type of rule would most likely be coupled with stipulations regarding the offer: its duration</w:t>
      </w:r>
      <w:r w:rsidR="00E50109">
        <w:rPr>
          <w:lang w:val="en-US"/>
        </w:rPr>
        <w:t>;</w:t>
      </w:r>
      <w:r w:rsidR="00B13282">
        <w:rPr>
          <w:lang w:val="en-US"/>
        </w:rPr>
        <w:t xml:space="preserve"> the type of rights being offered</w:t>
      </w:r>
      <w:r w:rsidR="00E50109">
        <w:rPr>
          <w:lang w:val="en-US"/>
        </w:rPr>
        <w:t>;</w:t>
      </w:r>
      <w:r w:rsidR="00B13282">
        <w:rPr>
          <w:lang w:val="en-US"/>
        </w:rPr>
        <w:t xml:space="preserve"> and any other </w:t>
      </w:r>
      <w:r w:rsidR="00B55A60">
        <w:rPr>
          <w:lang w:val="en-US"/>
        </w:rPr>
        <w:t>matters</w:t>
      </w:r>
      <w:r w:rsidR="00B13282">
        <w:rPr>
          <w:lang w:val="en-US"/>
        </w:rPr>
        <w:t xml:space="preserve"> that may relevant to the objective of ensuring free coverage of listed events.</w:t>
      </w:r>
      <w:r w:rsidR="00824E1D">
        <w:rPr>
          <w:lang w:val="en-US"/>
        </w:rPr>
        <w:t xml:space="preserve"> These stipulations may also seek to address the extent to which the offer is reasonable.</w:t>
      </w:r>
    </w:p>
    <w:p w14:paraId="270D06BA" w14:textId="5202A9B9" w:rsidR="00B55A60" w:rsidRDefault="00B13282" w:rsidP="00DE5F3B">
      <w:pPr>
        <w:rPr>
          <w:lang w:val="en-US"/>
        </w:rPr>
      </w:pPr>
      <w:r>
        <w:rPr>
          <w:lang w:val="en-US"/>
        </w:rPr>
        <w:t>As with a conferral-based rule, this approach would shift the regulatory obligation to the party offering the right</w:t>
      </w:r>
      <w:r w:rsidR="00B55A60">
        <w:rPr>
          <w:lang w:val="en-US"/>
        </w:rPr>
        <w:t xml:space="preserve"> (most likely a sports body or other right-holding intermediary)</w:t>
      </w:r>
      <w:r>
        <w:rPr>
          <w:lang w:val="en-US"/>
        </w:rPr>
        <w:t>. However, it would</w:t>
      </w:r>
      <w:r w:rsidR="00F72AFA">
        <w:rPr>
          <w:lang w:val="en-US"/>
        </w:rPr>
        <w:t xml:space="preserve"> not</w:t>
      </w:r>
      <w:r>
        <w:rPr>
          <w:lang w:val="en-US"/>
        </w:rPr>
        <w:t xml:space="preserve"> require the right to actually be conferred to a free-to-air broadcaster. Rather, th</w:t>
      </w:r>
      <w:r w:rsidR="00E50109">
        <w:rPr>
          <w:lang w:val="en-US"/>
        </w:rPr>
        <w:t xml:space="preserve">e right </w:t>
      </w:r>
      <w:r>
        <w:rPr>
          <w:lang w:val="en-US"/>
        </w:rPr>
        <w:t>would need to be offered</w:t>
      </w:r>
      <w:r w:rsidR="00E50109">
        <w:rPr>
          <w:lang w:val="en-US"/>
        </w:rPr>
        <w:t>, and</w:t>
      </w:r>
      <w:r w:rsidR="005473D6">
        <w:rPr>
          <w:lang w:val="en-US"/>
        </w:rPr>
        <w:t xml:space="preserve"> free-to-air broadcasters </w:t>
      </w:r>
      <w:r w:rsidR="00E50109">
        <w:rPr>
          <w:lang w:val="en-US"/>
        </w:rPr>
        <w:t>would be</w:t>
      </w:r>
      <w:r w:rsidR="00B55A60">
        <w:rPr>
          <w:lang w:val="en-US"/>
        </w:rPr>
        <w:t xml:space="preserve"> provided with </w:t>
      </w:r>
      <w:r w:rsidR="00E50109">
        <w:rPr>
          <w:lang w:val="en-US"/>
        </w:rPr>
        <w:t xml:space="preserve">a </w:t>
      </w:r>
      <w:r w:rsidR="005473D6">
        <w:rPr>
          <w:lang w:val="en-US"/>
        </w:rPr>
        <w:t>‘first-right-of-refusal’</w:t>
      </w:r>
      <w:r w:rsidR="00E50109">
        <w:rPr>
          <w:lang w:val="en-US"/>
        </w:rPr>
        <w:t>.</w:t>
      </w:r>
    </w:p>
    <w:p w14:paraId="59B5C0AB" w14:textId="549DE61B" w:rsidR="008D2437" w:rsidRDefault="00E50109" w:rsidP="00DE5F3B">
      <w:pPr>
        <w:rPr>
          <w:lang w:val="en-US"/>
        </w:rPr>
      </w:pPr>
      <w:r>
        <w:rPr>
          <w:lang w:val="en-US"/>
        </w:rPr>
        <w:t>An</w:t>
      </w:r>
      <w:r w:rsidR="00B36FA5">
        <w:rPr>
          <w:lang w:val="en-US"/>
        </w:rPr>
        <w:t xml:space="preserve"> offer</w:t>
      </w:r>
      <w:r>
        <w:rPr>
          <w:lang w:val="en-US"/>
        </w:rPr>
        <w:t>-</w:t>
      </w:r>
      <w:r w:rsidR="00B36FA5">
        <w:rPr>
          <w:lang w:val="en-US"/>
        </w:rPr>
        <w:t>based approach has been used internationally</w:t>
      </w:r>
      <w:r w:rsidR="005A3387">
        <w:rPr>
          <w:lang w:val="en-US"/>
        </w:rPr>
        <w:t>, most notably by the UK</w:t>
      </w:r>
      <w:r w:rsidR="00B55A60">
        <w:rPr>
          <w:lang w:val="en-US"/>
        </w:rPr>
        <w:t>.</w:t>
      </w:r>
    </w:p>
    <w:p w14:paraId="1C0A7B51" w14:textId="77777777" w:rsidR="00695626" w:rsidRPr="005F0A3B" w:rsidRDefault="00695626" w:rsidP="00695626">
      <w:pPr>
        <w:pStyle w:val="Box1Heading"/>
        <w:rPr>
          <w:lang w:val="en-US"/>
        </w:rPr>
      </w:pPr>
      <w:r>
        <w:rPr>
          <w:lang w:val="en-US"/>
        </w:rPr>
        <w:lastRenderedPageBreak/>
        <w:t>UK approach to anti-siphoning</w:t>
      </w:r>
    </w:p>
    <w:p w14:paraId="592988D3" w14:textId="435BA21A" w:rsidR="00695626" w:rsidRDefault="00695626" w:rsidP="00692288">
      <w:pPr>
        <w:pStyle w:val="Box1Text"/>
        <w:rPr>
          <w:lang w:val="en-US"/>
        </w:rPr>
      </w:pPr>
      <w:r>
        <w:rPr>
          <w:lang w:val="en-US"/>
        </w:rPr>
        <w:t>The listed events regime works by prohibiting the broadcast of exclusive rights of an event on the list without prior consent from the UK regulatory body, Ofcom. The current list is divided into two categories (Group A and Group B)</w:t>
      </w:r>
      <w:r w:rsidR="00E50109">
        <w:rPr>
          <w:lang w:val="en-US"/>
        </w:rPr>
        <w:t>. W</w:t>
      </w:r>
      <w:r>
        <w:rPr>
          <w:lang w:val="en-US"/>
        </w:rPr>
        <w:t>here rights holders make an event available, full live coverage must be offered for purchase first to free-to-air channels for events in Group A. Group B events may have live coverage on subscription television provided that secondary coverage or highlights are offered for purchase first to free-to-air broadcasters. However, no rights holder can be compelled to sell its rights, and no free-to-air broadcaster can be compelled to acquire rights.</w:t>
      </w:r>
    </w:p>
    <w:p w14:paraId="369E8905" w14:textId="438DA778" w:rsidR="00695626" w:rsidRPr="002B3569" w:rsidRDefault="00695626" w:rsidP="00692288">
      <w:pPr>
        <w:pStyle w:val="Box1Text"/>
      </w:pPr>
      <w:r>
        <w:rPr>
          <w:lang w:val="en-US"/>
        </w:rPr>
        <w:t>As outlined in the UK</w:t>
      </w:r>
      <w:r w:rsidR="00E50109">
        <w:rPr>
          <w:lang w:val="en-US"/>
        </w:rPr>
        <w:t xml:space="preserve">’s </w:t>
      </w:r>
      <w:r w:rsidR="00E50109" w:rsidRPr="00E50109">
        <w:rPr>
          <w:i/>
          <w:lang w:val="en-US"/>
        </w:rPr>
        <w:t>Broadcasting</w:t>
      </w:r>
      <w:r w:rsidRPr="00E50109">
        <w:rPr>
          <w:i/>
          <w:lang w:val="en-US"/>
        </w:rPr>
        <w:t xml:space="preserve"> White Paper</w:t>
      </w:r>
      <w:r>
        <w:rPr>
          <w:lang w:val="en-US"/>
        </w:rPr>
        <w:t xml:space="preserve"> in 2022, the UK </w:t>
      </w:r>
      <w:r w:rsidR="00541A8F">
        <w:rPr>
          <w:lang w:val="en-US"/>
        </w:rPr>
        <w:t>G</w:t>
      </w:r>
      <w:r>
        <w:rPr>
          <w:lang w:val="en-US"/>
        </w:rPr>
        <w:t>overnment wants to ensure that as viewing habits change and technology evolves</w:t>
      </w:r>
      <w:r w:rsidR="00E50109">
        <w:rPr>
          <w:lang w:val="en-US"/>
        </w:rPr>
        <w:t>,</w:t>
      </w:r>
      <w:r>
        <w:rPr>
          <w:lang w:val="en-US"/>
        </w:rPr>
        <w:t xml:space="preserve"> the regulatory framework remains fit for purpose. The UK government intends to undertake a review to </w:t>
      </w:r>
      <w:r w:rsidR="00E50109">
        <w:rPr>
          <w:lang w:val="en-US"/>
        </w:rPr>
        <w:t>examine</w:t>
      </w:r>
      <w:r>
        <w:rPr>
          <w:lang w:val="en-US"/>
        </w:rPr>
        <w:t xml:space="preserve"> whether the scope of the listed events regime should be extended to include digital rights.</w:t>
      </w:r>
    </w:p>
    <w:p w14:paraId="0B006AAC" w14:textId="7D6A0245" w:rsidR="00B55A60" w:rsidRDefault="00B55A60" w:rsidP="00242EA2">
      <w:pPr>
        <w:rPr>
          <w:lang w:val="en-US"/>
        </w:rPr>
      </w:pPr>
      <w:r w:rsidRPr="007F233D">
        <w:rPr>
          <w:lang w:val="en-US"/>
        </w:rPr>
        <w:t>The</w:t>
      </w:r>
      <w:r>
        <w:rPr>
          <w:lang w:val="en-US"/>
        </w:rPr>
        <w:t xml:space="preserve"> merits of either a conferral- or offer-based rule for the anti-siphoning scheme </w:t>
      </w:r>
      <w:r w:rsidR="00E50109">
        <w:rPr>
          <w:lang w:val="en-US"/>
        </w:rPr>
        <w:t xml:space="preserve">in Australia </w:t>
      </w:r>
      <w:r>
        <w:rPr>
          <w:lang w:val="en-US"/>
        </w:rPr>
        <w:t>will depend on choices made with respect to other aspects of the scheme. Key amongst these is the question of whether to extend the scope of the scheme to online services.</w:t>
      </w:r>
    </w:p>
    <w:p w14:paraId="2D6B5EC6" w14:textId="58A789C7" w:rsidR="00B55A60" w:rsidRDefault="00B55A60" w:rsidP="00242EA2">
      <w:pPr>
        <w:rPr>
          <w:lang w:val="en-US"/>
        </w:rPr>
      </w:pPr>
      <w:r>
        <w:rPr>
          <w:lang w:val="en-US"/>
        </w:rPr>
        <w:t>If the scheme is extended to capture subscription-based services operating online (in other words, entities that do</w:t>
      </w:r>
      <w:r w:rsidR="007372A8">
        <w:rPr>
          <w:lang w:val="en-US"/>
        </w:rPr>
        <w:t xml:space="preserve"> not </w:t>
      </w:r>
      <w:r>
        <w:rPr>
          <w:lang w:val="en-US"/>
        </w:rPr>
        <w:t>operate under a subscription television broadcasting licence), then there may be advantages in moving to a conferral- or offer-based rule. This is because such entities do not, at present, operate under the authority of a broadcasting licence and are not considered to be broadcasting services.</w:t>
      </w:r>
      <w:r w:rsidR="007F233D">
        <w:rPr>
          <w:lang w:val="en-US"/>
        </w:rPr>
        <w:t xml:space="preserve"> It may </w:t>
      </w:r>
      <w:r w:rsidR="00E50109">
        <w:rPr>
          <w:lang w:val="en-US"/>
        </w:rPr>
        <w:t>therefore</w:t>
      </w:r>
      <w:r w:rsidR="007F233D">
        <w:rPr>
          <w:lang w:val="en-US"/>
        </w:rPr>
        <w:t xml:space="preserve"> be simpler and more </w:t>
      </w:r>
      <w:r w:rsidR="00E50109">
        <w:rPr>
          <w:lang w:val="en-US"/>
        </w:rPr>
        <w:t>effective</w:t>
      </w:r>
      <w:r w:rsidR="007F233D">
        <w:rPr>
          <w:lang w:val="en-US"/>
        </w:rPr>
        <w:t xml:space="preserve"> to deal with the conferral or offer of rights, rather than acquisition, where entities are not otherwise licen</w:t>
      </w:r>
      <w:r w:rsidR="00997034">
        <w:rPr>
          <w:lang w:val="en-US"/>
        </w:rPr>
        <w:t>s</w:t>
      </w:r>
      <w:r w:rsidR="0094286A">
        <w:rPr>
          <w:lang w:val="en-US"/>
        </w:rPr>
        <w:t>ed</w:t>
      </w:r>
      <w:r w:rsidR="007F233D">
        <w:rPr>
          <w:lang w:val="en-US"/>
        </w:rPr>
        <w:t xml:space="preserve"> under the BSA.</w:t>
      </w:r>
    </w:p>
    <w:p w14:paraId="3798FD82" w14:textId="77777777" w:rsidR="00242EA2" w:rsidRPr="00CF21AA" w:rsidRDefault="00242EA2" w:rsidP="00242EA2">
      <w:pPr>
        <w:pStyle w:val="Box2Heading"/>
      </w:pPr>
      <w:r>
        <w:t>Questions:</w:t>
      </w:r>
    </w:p>
    <w:p w14:paraId="034227D1" w14:textId="2791F05E" w:rsidR="00242EA2" w:rsidRPr="00692288" w:rsidRDefault="00242EA2" w:rsidP="00242EA2">
      <w:pPr>
        <w:pStyle w:val="Box2Bullet1"/>
        <w:ind w:left="681" w:hanging="397"/>
        <w:rPr>
          <w:sz w:val="22"/>
          <w:szCs w:val="22"/>
        </w:rPr>
      </w:pPr>
      <w:bookmarkStart w:id="397" w:name="_Toc114476267"/>
      <w:bookmarkStart w:id="398" w:name="_Toc116292965"/>
      <w:r w:rsidRPr="00692288">
        <w:rPr>
          <w:sz w:val="22"/>
          <w:szCs w:val="22"/>
          <w:lang w:val="en-US"/>
        </w:rPr>
        <w:t>Do you consider that an offer- or conferral-based rule for the anti-siphoning scheme should be considered?</w:t>
      </w:r>
      <w:bookmarkEnd w:id="397"/>
      <w:bookmarkEnd w:id="398"/>
    </w:p>
    <w:p w14:paraId="1BFE2A43" w14:textId="150F2718" w:rsidR="00242EA2" w:rsidRPr="00692288" w:rsidRDefault="00242EA2" w:rsidP="00692288">
      <w:pPr>
        <w:pStyle w:val="Box2Checklist"/>
        <w:spacing w:before="80"/>
        <w:ind w:left="851" w:hanging="567"/>
        <w:rPr>
          <w:sz w:val="22"/>
          <w:szCs w:val="22"/>
        </w:rPr>
      </w:pPr>
      <w:bookmarkStart w:id="399" w:name="_Toc114476268"/>
      <w:bookmarkStart w:id="400" w:name="_Toc116292966"/>
      <w:r w:rsidRPr="00692288">
        <w:rPr>
          <w:sz w:val="22"/>
          <w:szCs w:val="22"/>
        </w:rPr>
        <w:t xml:space="preserve">If so, under what circumstances would either one or both of these alternatives </w:t>
      </w:r>
      <w:r w:rsidR="00687526" w:rsidRPr="00692288">
        <w:rPr>
          <w:sz w:val="22"/>
          <w:szCs w:val="22"/>
          <w:lang w:val="en-AU"/>
        </w:rPr>
        <w:t>provide</w:t>
      </w:r>
      <w:r w:rsidR="00687526" w:rsidRPr="00692288">
        <w:rPr>
          <w:sz w:val="22"/>
          <w:szCs w:val="22"/>
        </w:rPr>
        <w:t xml:space="preserve"> </w:t>
      </w:r>
      <w:r w:rsidRPr="00692288">
        <w:rPr>
          <w:sz w:val="22"/>
          <w:szCs w:val="22"/>
        </w:rPr>
        <w:t>advantages over an acquisition-based rule?</w:t>
      </w:r>
      <w:bookmarkEnd w:id="399"/>
      <w:bookmarkEnd w:id="400"/>
    </w:p>
    <w:p w14:paraId="3D2CB151" w14:textId="47933377" w:rsidR="00687526" w:rsidRPr="00692288" w:rsidRDefault="00687526" w:rsidP="00692288">
      <w:pPr>
        <w:pStyle w:val="Box2Checklist"/>
        <w:spacing w:before="80" w:after="160"/>
        <w:ind w:left="851" w:hanging="567"/>
        <w:rPr>
          <w:sz w:val="22"/>
          <w:szCs w:val="22"/>
        </w:rPr>
      </w:pPr>
      <w:bookmarkStart w:id="401" w:name="_Toc114476269"/>
      <w:bookmarkStart w:id="402" w:name="_Toc116292967"/>
      <w:r w:rsidRPr="00692288">
        <w:rPr>
          <w:sz w:val="22"/>
          <w:szCs w:val="22"/>
          <w:lang w:val="en-AU"/>
        </w:rPr>
        <w:t>Should these alternatives seek to ensure that the offer or conferral has been made on reasonable terms? How would this be achieved?</w:t>
      </w:r>
      <w:bookmarkEnd w:id="401"/>
      <w:bookmarkEnd w:id="402"/>
      <w:r w:rsidRPr="00692288">
        <w:rPr>
          <w:sz w:val="22"/>
          <w:szCs w:val="22"/>
          <w:lang w:val="en-AU"/>
        </w:rPr>
        <w:t xml:space="preserve"> </w:t>
      </w:r>
    </w:p>
    <w:p w14:paraId="00A7FBB3" w14:textId="424F8BC1" w:rsidR="00242EA2" w:rsidRPr="00C77E71" w:rsidRDefault="00242EA2" w:rsidP="00242EA2">
      <w:pPr>
        <w:pStyle w:val="Box2Bullet1"/>
        <w:ind w:left="681" w:hanging="397"/>
        <w:rPr>
          <w:sz w:val="22"/>
          <w:szCs w:val="22"/>
        </w:rPr>
      </w:pPr>
      <w:bookmarkStart w:id="403" w:name="_Toc114476270"/>
      <w:bookmarkStart w:id="404" w:name="_Toc116292968"/>
      <w:r w:rsidRPr="00692288">
        <w:rPr>
          <w:sz w:val="22"/>
          <w:szCs w:val="22"/>
        </w:rPr>
        <w:t xml:space="preserve">What impact </w:t>
      </w:r>
      <w:r w:rsidRPr="00692288">
        <w:rPr>
          <w:sz w:val="22"/>
          <w:szCs w:val="22"/>
          <w:lang w:val="en-US"/>
        </w:rPr>
        <w:t xml:space="preserve">on business would the move to an offer or conferral-based rule have? Are these </w:t>
      </w:r>
      <w:r w:rsidRPr="00C77E71">
        <w:rPr>
          <w:sz w:val="22"/>
          <w:szCs w:val="22"/>
          <w:lang w:val="en-US"/>
        </w:rPr>
        <w:t>potential impacts able to be quantified or estimated?</w:t>
      </w:r>
      <w:bookmarkEnd w:id="403"/>
      <w:bookmarkEnd w:id="404"/>
    </w:p>
    <w:p w14:paraId="476FC4B7" w14:textId="2735A4A4" w:rsidR="00242EA2" w:rsidRPr="00C77E71" w:rsidRDefault="00242EA2" w:rsidP="00242EA2">
      <w:pPr>
        <w:pStyle w:val="Box2Bullet1"/>
        <w:ind w:left="681" w:hanging="397"/>
        <w:rPr>
          <w:sz w:val="22"/>
          <w:szCs w:val="22"/>
        </w:rPr>
      </w:pPr>
      <w:bookmarkStart w:id="405" w:name="_Toc114476271"/>
      <w:bookmarkStart w:id="406" w:name="_Toc116292969"/>
      <w:r w:rsidRPr="00C77E71">
        <w:rPr>
          <w:sz w:val="22"/>
          <w:szCs w:val="22"/>
          <w:lang w:val="en-US"/>
        </w:rPr>
        <w:t xml:space="preserve">What impact would the adoption of an offer- or conferral-based rule have for Australian </w:t>
      </w:r>
      <w:r w:rsidR="00483630" w:rsidRPr="00C77E71">
        <w:rPr>
          <w:sz w:val="22"/>
          <w:szCs w:val="22"/>
          <w:lang w:val="en-US"/>
        </w:rPr>
        <w:t>viewers</w:t>
      </w:r>
      <w:r w:rsidRPr="00C77E71">
        <w:rPr>
          <w:sz w:val="22"/>
          <w:szCs w:val="22"/>
          <w:lang w:val="en-US"/>
        </w:rPr>
        <w:t>? Are these potential impacts able to be quantified or estimated?</w:t>
      </w:r>
      <w:bookmarkEnd w:id="405"/>
      <w:bookmarkEnd w:id="406"/>
    </w:p>
    <w:p w14:paraId="6A86D348" w14:textId="60CFE5C8" w:rsidR="0023335C" w:rsidRDefault="0023335C">
      <w:pPr>
        <w:suppressAutoHyphens w:val="0"/>
      </w:pPr>
      <w:r>
        <w:br w:type="page"/>
      </w:r>
    </w:p>
    <w:p w14:paraId="0AF9B11A" w14:textId="460A51C4" w:rsidR="00B45FC6" w:rsidRDefault="00B45FC6" w:rsidP="00B22819">
      <w:pPr>
        <w:pStyle w:val="Heading2"/>
      </w:pPr>
      <w:bookmarkStart w:id="407" w:name="_Toc113361289"/>
      <w:bookmarkStart w:id="408" w:name="_Toc114476272"/>
      <w:bookmarkStart w:id="409" w:name="_Toc116061427"/>
      <w:bookmarkStart w:id="410" w:name="_Toc116292970"/>
      <w:r>
        <w:lastRenderedPageBreak/>
        <w:t>Use and disposal of a right to televise an event</w:t>
      </w:r>
      <w:bookmarkEnd w:id="407"/>
      <w:bookmarkEnd w:id="408"/>
      <w:bookmarkEnd w:id="409"/>
      <w:bookmarkEnd w:id="410"/>
    </w:p>
    <w:p w14:paraId="280BE001" w14:textId="3F58C247" w:rsidR="00B45FC6" w:rsidRPr="00B1015D" w:rsidRDefault="00B45FC6" w:rsidP="00F578AD">
      <w:pPr>
        <w:pStyle w:val="Heading3"/>
      </w:pPr>
      <w:bookmarkStart w:id="411" w:name="_Toc111752614"/>
      <w:bookmarkStart w:id="412" w:name="_Toc111795301"/>
      <w:bookmarkStart w:id="413" w:name="_Toc111800717"/>
      <w:bookmarkStart w:id="414" w:name="_Toc111803412"/>
      <w:bookmarkStart w:id="415" w:name="_Toc111813824"/>
      <w:bookmarkStart w:id="416" w:name="_Toc112321006"/>
      <w:bookmarkStart w:id="417" w:name="_Toc113361290"/>
      <w:bookmarkStart w:id="418" w:name="_Toc113361798"/>
      <w:bookmarkStart w:id="419" w:name="_Toc114487404"/>
      <w:bookmarkStart w:id="420" w:name="_Toc116044870"/>
      <w:bookmarkStart w:id="421" w:name="_Toc116061428"/>
      <w:r w:rsidRPr="00B1015D">
        <w:t>Status</w:t>
      </w:r>
      <w:bookmarkEnd w:id="411"/>
      <w:bookmarkEnd w:id="412"/>
      <w:bookmarkEnd w:id="413"/>
      <w:bookmarkEnd w:id="414"/>
      <w:bookmarkEnd w:id="415"/>
      <w:bookmarkEnd w:id="416"/>
      <w:bookmarkEnd w:id="417"/>
      <w:bookmarkEnd w:id="418"/>
      <w:bookmarkEnd w:id="419"/>
      <w:bookmarkEnd w:id="420"/>
      <w:bookmarkEnd w:id="421"/>
    </w:p>
    <w:p w14:paraId="0B632924" w14:textId="154484FF" w:rsidR="00967909" w:rsidRDefault="008400B1" w:rsidP="001A44E4">
      <w:r>
        <w:t xml:space="preserve">The anti-siphoning scheme does not require free-to-air broadcasters to acquire the right to televise events on the anti-siphoning list, or stipulate what a free-to-air broadcaster may do with any such rights. Free-to-air broadcasters are </w:t>
      </w:r>
      <w:r w:rsidR="000A74DE">
        <w:t>able</w:t>
      </w:r>
      <w:r>
        <w:t xml:space="preserve"> to utilise the rights they acquire in the manner they see fit, and to dispose of</w:t>
      </w:r>
      <w:r w:rsidR="006807F1">
        <w:t>,</w:t>
      </w:r>
      <w:r>
        <w:t xml:space="preserve"> or otherwise sell</w:t>
      </w:r>
      <w:r w:rsidR="006807F1">
        <w:t>,</w:t>
      </w:r>
      <w:r>
        <w:t xml:space="preserve"> rights to another party.</w:t>
      </w:r>
    </w:p>
    <w:p w14:paraId="6A9D4A9F" w14:textId="330A0478" w:rsidR="00B45FC6" w:rsidRDefault="008400B1" w:rsidP="008E1BDE">
      <w:r>
        <w:t xml:space="preserve">The anti-hoarding rules – </w:t>
      </w:r>
      <w:r w:rsidR="008D1F25">
        <w:t xml:space="preserve">outlined in </w:t>
      </w:r>
      <w:r w:rsidR="0066269A">
        <w:t>Chapter</w:t>
      </w:r>
      <w:r w:rsidR="008D1F25">
        <w:t xml:space="preserve"> 2</w:t>
      </w:r>
      <w:r>
        <w:t xml:space="preserve"> – were established with the intent of maximising free-to-air television coverage of listed sports</w:t>
      </w:r>
      <w:r w:rsidR="004F7A2F">
        <w:t>, although there has been very limited use of these rules since their inception in 1999.</w:t>
      </w:r>
      <w:r w:rsidR="00480A4D">
        <w:rPr>
          <w:rStyle w:val="FootnoteReference"/>
        </w:rPr>
        <w:footnoteReference w:id="89"/>
      </w:r>
    </w:p>
    <w:p w14:paraId="2F44A1CF" w14:textId="77777777" w:rsidR="00B45FC6" w:rsidRPr="00B1015D" w:rsidRDefault="00B45FC6" w:rsidP="008E1BDE">
      <w:pPr>
        <w:pStyle w:val="Heading3"/>
        <w:rPr>
          <w:b w:val="0"/>
        </w:rPr>
      </w:pPr>
      <w:bookmarkStart w:id="422" w:name="_Toc111752615"/>
      <w:bookmarkStart w:id="423" w:name="_Toc111795302"/>
      <w:bookmarkStart w:id="424" w:name="_Toc111800718"/>
      <w:bookmarkStart w:id="425" w:name="_Toc111803413"/>
      <w:bookmarkStart w:id="426" w:name="_Toc111813825"/>
      <w:bookmarkStart w:id="427" w:name="_Toc112321007"/>
      <w:bookmarkStart w:id="428" w:name="_Toc113361291"/>
      <w:bookmarkStart w:id="429" w:name="_Toc113361799"/>
      <w:bookmarkStart w:id="430" w:name="_Toc114487405"/>
      <w:bookmarkStart w:id="431" w:name="_Toc116044871"/>
      <w:bookmarkStart w:id="432" w:name="_Toc116061429"/>
      <w:r w:rsidRPr="00B1015D">
        <w:t>Discussion</w:t>
      </w:r>
      <w:bookmarkEnd w:id="422"/>
      <w:bookmarkEnd w:id="423"/>
      <w:bookmarkEnd w:id="424"/>
      <w:bookmarkEnd w:id="425"/>
      <w:bookmarkEnd w:id="426"/>
      <w:bookmarkEnd w:id="427"/>
      <w:bookmarkEnd w:id="428"/>
      <w:bookmarkEnd w:id="429"/>
      <w:bookmarkEnd w:id="430"/>
      <w:bookmarkEnd w:id="431"/>
      <w:bookmarkEnd w:id="432"/>
      <w:r w:rsidRPr="00B1015D">
        <w:t xml:space="preserve"> </w:t>
      </w:r>
    </w:p>
    <w:p w14:paraId="67AAA04B" w14:textId="15736802" w:rsidR="00480A4D" w:rsidRDefault="00480A4D" w:rsidP="00E216D3">
      <w:r>
        <w:t>Over the life of the anti-siphoning scheme</w:t>
      </w:r>
      <w:r w:rsidR="009C015F">
        <w:t>,</w:t>
      </w:r>
      <w:r w:rsidR="000E40AB">
        <w:t xml:space="preserve"> </w:t>
      </w:r>
      <w:r>
        <w:t xml:space="preserve">concerns </w:t>
      </w:r>
      <w:r w:rsidR="009C015F">
        <w:t xml:space="preserve">have been </w:t>
      </w:r>
      <w:r>
        <w:t xml:space="preserve">raised periodically </w:t>
      </w:r>
      <w:r w:rsidR="001D4D98">
        <w:t>about</w:t>
      </w:r>
      <w:r>
        <w:t xml:space="preserve"> free-to-air broadcasters acquiring the right to televise events on the anti-siphoning scheme and not fully utilising these rights. These concerns ha</w:t>
      </w:r>
      <w:r w:rsidR="00B1294B">
        <w:t>ve</w:t>
      </w:r>
      <w:r>
        <w:t xml:space="preserve"> been </w:t>
      </w:r>
      <w:r w:rsidR="00B1294B">
        <w:t>aired</w:t>
      </w:r>
      <w:r>
        <w:t xml:space="preserve"> in previous reviews o</w:t>
      </w:r>
      <w:r w:rsidR="00B1294B">
        <w:t>f</w:t>
      </w:r>
      <w:r>
        <w:t xml:space="preserve"> the scheme</w:t>
      </w:r>
      <w:r w:rsidR="001D4D98">
        <w:t xml:space="preserve"> </w:t>
      </w:r>
      <w:r w:rsidR="00A01C0A">
        <w:t xml:space="preserve">and </w:t>
      </w:r>
      <w:r w:rsidR="001D4D98">
        <w:t xml:space="preserve">in the context of </w:t>
      </w:r>
      <w:r w:rsidR="001C2349">
        <w:t xml:space="preserve">complaints to the </w:t>
      </w:r>
      <w:r w:rsidR="001D4D98">
        <w:t>ACMA</w:t>
      </w:r>
      <w:r w:rsidR="00DF6165">
        <w:t>, where information may be gathered by the A</w:t>
      </w:r>
      <w:r w:rsidR="00824E1D">
        <w:t>CMA</w:t>
      </w:r>
      <w:r w:rsidR="00DF6165">
        <w:t xml:space="preserve"> but not lead to an </w:t>
      </w:r>
      <w:r w:rsidR="001D4D98">
        <w:t>investigation</w:t>
      </w:r>
      <w:r>
        <w:t>.</w:t>
      </w:r>
    </w:p>
    <w:p w14:paraId="5EF3B834" w14:textId="726BE188" w:rsidR="00EA7407" w:rsidRDefault="00F2758F" w:rsidP="00BC19A7">
      <w:r>
        <w:t xml:space="preserve">The capacity of broadcasters to provide coverage of events and fully exploit the rights they acquire has changed substantially over the past decade and particularly since the anti-hoarding rules were </w:t>
      </w:r>
      <w:r w:rsidR="0066269A">
        <w:t xml:space="preserve">first </w:t>
      </w:r>
      <w:r>
        <w:t>introduced</w:t>
      </w:r>
      <w:r w:rsidR="00E50DE9">
        <w:t>.</w:t>
      </w:r>
    </w:p>
    <w:p w14:paraId="2C6D8264" w14:textId="0BACE858" w:rsidR="00EA7407" w:rsidRDefault="007C7D30" w:rsidP="00C77E71">
      <w:pPr>
        <w:pStyle w:val="ListParagraph"/>
        <w:keepNext/>
        <w:numPr>
          <w:ilvl w:val="0"/>
          <w:numId w:val="54"/>
        </w:numPr>
        <w:spacing w:after="120" w:line="240" w:lineRule="auto"/>
        <w:ind w:left="357" w:hanging="357"/>
        <w:contextualSpacing w:val="0"/>
      </w:pPr>
      <w:r>
        <w:t xml:space="preserve">Free-to-air broadcasters operate at </w:t>
      </w:r>
      <w:r w:rsidRPr="00C737D9">
        <w:t>least</w:t>
      </w:r>
      <w:r>
        <w:t xml:space="preserve"> three digital multichannels (in addition to their main channels)</w:t>
      </w:r>
      <w:r w:rsidR="00EA7407">
        <w:t>.</w:t>
      </w:r>
    </w:p>
    <w:p w14:paraId="3192AF31" w14:textId="6DEC2FC0" w:rsidR="00EA7407" w:rsidRDefault="00EA7407" w:rsidP="00692288">
      <w:pPr>
        <w:pStyle w:val="ListParagraph"/>
        <w:keepNext/>
        <w:numPr>
          <w:ilvl w:val="0"/>
          <w:numId w:val="54"/>
        </w:numPr>
        <w:spacing w:after="120" w:line="240" w:lineRule="auto"/>
        <w:ind w:left="357" w:hanging="357"/>
        <w:contextualSpacing w:val="0"/>
      </w:pPr>
      <w:r>
        <w:t>I</w:t>
      </w:r>
      <w:r w:rsidR="007C7D30">
        <w:t xml:space="preserve">n the case of </w:t>
      </w:r>
      <w:r>
        <w:t xml:space="preserve">the </w:t>
      </w:r>
      <w:r w:rsidR="007C7D30">
        <w:t>metropolitan commercial broadcasters and the national broadcasters</w:t>
      </w:r>
      <w:r>
        <w:t xml:space="preserve">, </w:t>
      </w:r>
      <w:r w:rsidR="00B1294B">
        <w:t>they</w:t>
      </w:r>
      <w:r w:rsidR="007C7D30">
        <w:t xml:space="preserve"> </w:t>
      </w:r>
      <w:r w:rsidR="00B1294B">
        <w:t>provide</w:t>
      </w:r>
      <w:r w:rsidR="007C7D30">
        <w:t xml:space="preserve"> streaming and on-demand </w:t>
      </w:r>
      <w:r w:rsidR="00B1294B">
        <w:t>opportunities</w:t>
      </w:r>
      <w:r w:rsidR="007C7D30">
        <w:t xml:space="preserve"> through their BVOD offerings.</w:t>
      </w:r>
    </w:p>
    <w:p w14:paraId="714FF82B" w14:textId="2CBD3B32" w:rsidR="00EA7407" w:rsidRDefault="007C7D30" w:rsidP="0074199E">
      <w:r>
        <w:t xml:space="preserve">Broadcasters </w:t>
      </w:r>
      <w:r w:rsidR="00EA7407">
        <w:t xml:space="preserve">therefore have </w:t>
      </w:r>
      <w:r w:rsidR="00B1294B">
        <w:t xml:space="preserve">a greater </w:t>
      </w:r>
      <w:r w:rsidR="00EA7407">
        <w:t>ability to provide coverage of events across multiple platforms compared with the late 1990s and early 2000s.</w:t>
      </w:r>
    </w:p>
    <w:p w14:paraId="6A6C3DD8" w14:textId="34BF3235" w:rsidR="00B7211C" w:rsidRDefault="007C7D30" w:rsidP="0074199E">
      <w:r>
        <w:t xml:space="preserve">Another factor </w:t>
      </w:r>
      <w:r w:rsidR="00EA7407">
        <w:t>relevant to the question of the use of rights concerns the state of media markets in Australia.</w:t>
      </w:r>
    </w:p>
    <w:p w14:paraId="57DE3073" w14:textId="00835FAA" w:rsidR="008B6D9B" w:rsidRDefault="00EA7407" w:rsidP="0074199E">
      <w:r>
        <w:t xml:space="preserve">Free-to-air broadcasters are operating in an increasingly competitive and dynamic environment, with fierce competition for viewers and revenue from streaming services, digital platforms and other online services. </w:t>
      </w:r>
      <w:r w:rsidR="008B6D9B">
        <w:t>There would appear to be little financial incentive for free-to-air broadcasters to pay significant sums for the rights to anti-siphoning list events and not seek to generate revenue from those assets by providing coverage of the events.</w:t>
      </w:r>
    </w:p>
    <w:p w14:paraId="298A9EF1" w14:textId="05BE59EC" w:rsidR="001D7101" w:rsidRDefault="008B6D9B" w:rsidP="0074199E">
      <w:r>
        <w:t>An</w:t>
      </w:r>
      <w:r w:rsidR="00B1294B">
        <w:t xml:space="preserve">other issue associated with the use of rights concerns the ability to on-sell those rights. Concerns have been raised through previous reviews and inquiries that the anti-siphoning scheme contains a ‘loophole’. This ‘loophole’ relates to the ability of an entity (a non-broadcaster) to acquire the right to an anti-siphoning </w:t>
      </w:r>
      <w:r w:rsidR="006B3211">
        <w:t>listed</w:t>
      </w:r>
      <w:r w:rsidR="00B1294B">
        <w:t xml:space="preserve"> event, hold that right until the event </w:t>
      </w:r>
      <w:r w:rsidR="001D7101">
        <w:t>is</w:t>
      </w:r>
      <w:r w:rsidR="00B1294B">
        <w:t xml:space="preserve"> automatically delisted from the list 26 weeks prior to the event under the current scheme</w:t>
      </w:r>
      <w:r w:rsidR="001D7101">
        <w:t>,</w:t>
      </w:r>
      <w:r w:rsidR="00B1294B">
        <w:t xml:space="preserve"> and then on-sell those rights to a subscription television broadcasting licensee.</w:t>
      </w:r>
    </w:p>
    <w:p w14:paraId="66BAD7FA" w14:textId="5BAC259B" w:rsidR="00362A8D" w:rsidRDefault="00462AA6" w:rsidP="003A4B36">
      <w:r>
        <w:t>A subscription broadcaster</w:t>
      </w:r>
      <w:r w:rsidR="00362A8D">
        <w:t xml:space="preserve"> </w:t>
      </w:r>
      <w:r w:rsidR="00CB435C">
        <w:t xml:space="preserve">would not have breached the relevant licence condition in </w:t>
      </w:r>
      <w:r w:rsidR="001D7101">
        <w:t>these circumstances</w:t>
      </w:r>
      <w:r w:rsidR="00CB435C">
        <w:t xml:space="preserve">, as the event was not acquired by a subscription television broadcasting licensee during the period in which they </w:t>
      </w:r>
      <w:r w:rsidR="00CB435C">
        <w:lastRenderedPageBreak/>
        <w:t xml:space="preserve">were prohibited from doing so. An </w:t>
      </w:r>
      <w:r w:rsidR="00362A8D">
        <w:t>example</w:t>
      </w:r>
      <w:r w:rsidR="00CB435C">
        <w:t xml:space="preserve"> of this</w:t>
      </w:r>
      <w:r w:rsidR="00362A8D">
        <w:t xml:space="preserve"> was raised by stakeholders during the 2010 review where Premier Media Group (the </w:t>
      </w:r>
      <w:r w:rsidR="001D7101">
        <w:t xml:space="preserve">then </w:t>
      </w:r>
      <w:r w:rsidR="00362A8D">
        <w:t>owner of Fox Sports) acquired the rights to the 2005 Ashes cricket series prior to a free-to-air broadcaster.</w:t>
      </w:r>
      <w:r w:rsidR="00362A8D">
        <w:rPr>
          <w:rStyle w:val="FootnoteReference"/>
        </w:rPr>
        <w:footnoteReference w:id="90"/>
      </w:r>
    </w:p>
    <w:p w14:paraId="596907EE" w14:textId="7994E2D1" w:rsidR="00ED4E13" w:rsidRDefault="00ED4E13" w:rsidP="00430D0C">
      <w:r>
        <w:t xml:space="preserve">The review will </w:t>
      </w:r>
      <w:r w:rsidR="00462AA6">
        <w:t>assess</w:t>
      </w:r>
      <w:r>
        <w:t xml:space="preserve"> whether this potential sequence of actions by various parties remains a concern in a contemporary media environment. This could include the acquisition of rights by non-broadcasters</w:t>
      </w:r>
      <w:r w:rsidR="001D7101">
        <w:t>,</w:t>
      </w:r>
      <w:r w:rsidR="00462AA6">
        <w:t xml:space="preserve"> a</w:t>
      </w:r>
      <w:r w:rsidR="001D7101">
        <w:t>s well as</w:t>
      </w:r>
      <w:r w:rsidR="00462AA6">
        <w:t xml:space="preserve"> the acquisition of rights by broadcasters wh</w:t>
      </w:r>
      <w:r w:rsidR="001D7101">
        <w:t>o are part of a corporate group that includes a streaming service. If</w:t>
      </w:r>
      <w:r>
        <w:t xml:space="preserve"> part or all</w:t>
      </w:r>
      <w:r w:rsidR="00A1236E">
        <w:t xml:space="preserve"> of </w:t>
      </w:r>
      <w:r>
        <w:t xml:space="preserve">the coverage of an </w:t>
      </w:r>
      <w:r w:rsidR="001D7101">
        <w:t xml:space="preserve">anti-siphoning listed </w:t>
      </w:r>
      <w:r>
        <w:t xml:space="preserve">event </w:t>
      </w:r>
      <w:r w:rsidR="001D7101">
        <w:t xml:space="preserve">were to be provided </w:t>
      </w:r>
      <w:r>
        <w:t xml:space="preserve">on a subscription-based </w:t>
      </w:r>
      <w:r w:rsidR="001D7101">
        <w:t>service, t</w:t>
      </w:r>
      <w:r>
        <w:t>his is likely to give rise to policy considerations given the inten</w:t>
      </w:r>
      <w:r w:rsidR="00A1236E">
        <w:t>t</w:t>
      </w:r>
      <w:r>
        <w:t xml:space="preserve"> of the scheme to support free access to coverage of events by the Australian public.</w:t>
      </w:r>
    </w:p>
    <w:p w14:paraId="5D398F2B" w14:textId="77777777" w:rsidR="00521830" w:rsidRPr="00CF21AA" w:rsidRDefault="00521830" w:rsidP="00521830">
      <w:pPr>
        <w:pStyle w:val="Box2Heading"/>
      </w:pPr>
      <w:r>
        <w:t>Questions:</w:t>
      </w:r>
    </w:p>
    <w:p w14:paraId="176378C2" w14:textId="52C00647" w:rsidR="00521830" w:rsidRPr="00666F79" w:rsidRDefault="00521830" w:rsidP="00521830">
      <w:pPr>
        <w:pStyle w:val="Box2Bullet1"/>
        <w:ind w:left="681" w:hanging="397"/>
        <w:rPr>
          <w:sz w:val="22"/>
          <w:szCs w:val="22"/>
        </w:rPr>
      </w:pPr>
      <w:bookmarkStart w:id="433" w:name="_Toc114476273"/>
      <w:bookmarkStart w:id="434" w:name="_Toc116292971"/>
      <w:r w:rsidRPr="00666F79">
        <w:rPr>
          <w:sz w:val="22"/>
          <w:szCs w:val="22"/>
          <w:lang w:val="en-US"/>
        </w:rPr>
        <w:t xml:space="preserve">Is there </w:t>
      </w:r>
      <w:r w:rsidR="00EF5FBA">
        <w:rPr>
          <w:sz w:val="22"/>
          <w:szCs w:val="22"/>
          <w:lang w:val="en-US"/>
        </w:rPr>
        <w:t>evidence</w:t>
      </w:r>
      <w:r w:rsidR="0072479E">
        <w:rPr>
          <w:sz w:val="22"/>
          <w:szCs w:val="22"/>
          <w:lang w:val="en-US"/>
        </w:rPr>
        <w:t xml:space="preserve"> </w:t>
      </w:r>
      <w:r w:rsidRPr="00666F79">
        <w:rPr>
          <w:sz w:val="22"/>
          <w:szCs w:val="22"/>
          <w:lang w:val="en-US"/>
        </w:rPr>
        <w:t>that the rights to anti-siphoning listed events are being acquired but not used by any party in the contemporary media environment?</w:t>
      </w:r>
      <w:bookmarkEnd w:id="433"/>
      <w:bookmarkEnd w:id="434"/>
    </w:p>
    <w:p w14:paraId="449CD35A" w14:textId="77777777" w:rsidR="00521830" w:rsidRPr="00666F79" w:rsidRDefault="00521830" w:rsidP="00666F79">
      <w:pPr>
        <w:pStyle w:val="Box2Checklist"/>
        <w:spacing w:before="80"/>
        <w:ind w:left="851" w:hanging="567"/>
        <w:rPr>
          <w:sz w:val="22"/>
          <w:szCs w:val="22"/>
        </w:rPr>
      </w:pPr>
      <w:bookmarkStart w:id="435" w:name="_Toc114476274"/>
      <w:bookmarkStart w:id="436" w:name="_Toc116292972"/>
      <w:r w:rsidRPr="00666F79">
        <w:rPr>
          <w:sz w:val="22"/>
          <w:szCs w:val="22"/>
        </w:rPr>
        <w:t>If so, in what circumstances is this taking place?</w:t>
      </w:r>
      <w:bookmarkEnd w:id="435"/>
      <w:bookmarkEnd w:id="436"/>
    </w:p>
    <w:p w14:paraId="04364EE0" w14:textId="1ABA1E1E" w:rsidR="00521830" w:rsidRPr="00666F79" w:rsidRDefault="00521830" w:rsidP="00666F79">
      <w:pPr>
        <w:pStyle w:val="Box2Checklist"/>
        <w:spacing w:before="80" w:after="160"/>
        <w:ind w:left="851" w:hanging="567"/>
        <w:rPr>
          <w:sz w:val="22"/>
          <w:szCs w:val="22"/>
        </w:rPr>
      </w:pPr>
      <w:bookmarkStart w:id="437" w:name="_Toc114476275"/>
      <w:bookmarkStart w:id="438" w:name="_Toc116292973"/>
      <w:r w:rsidRPr="00666F79">
        <w:rPr>
          <w:sz w:val="22"/>
          <w:szCs w:val="22"/>
        </w:rPr>
        <w:t>Is this resulting in a detrimental coverage outcome for Australian audiences?</w:t>
      </w:r>
      <w:bookmarkEnd w:id="437"/>
      <w:bookmarkEnd w:id="438"/>
    </w:p>
    <w:p w14:paraId="36A274C1" w14:textId="464BD243" w:rsidR="00521830" w:rsidRPr="00666F79" w:rsidRDefault="00521830" w:rsidP="00521830">
      <w:pPr>
        <w:pStyle w:val="Box2Bullet1"/>
        <w:ind w:left="681" w:hanging="397"/>
        <w:rPr>
          <w:sz w:val="22"/>
          <w:szCs w:val="22"/>
        </w:rPr>
      </w:pPr>
      <w:bookmarkStart w:id="439" w:name="_Toc114476276"/>
      <w:bookmarkStart w:id="440" w:name="_Toc116292974"/>
      <w:r w:rsidRPr="00666F79">
        <w:rPr>
          <w:sz w:val="22"/>
          <w:szCs w:val="22"/>
          <w:lang w:val="en-US"/>
        </w:rPr>
        <w:t>Is a regulatory mechanism necessary to prevent the hoarding of rights to anti-siphoning listed events?</w:t>
      </w:r>
      <w:bookmarkEnd w:id="439"/>
      <w:bookmarkEnd w:id="440"/>
    </w:p>
    <w:p w14:paraId="3A681A57" w14:textId="68B934F3" w:rsidR="004A70E2" w:rsidRPr="00666F79" w:rsidRDefault="004A70E2" w:rsidP="00666F79">
      <w:pPr>
        <w:pStyle w:val="Box2Checklist"/>
        <w:spacing w:before="80"/>
        <w:ind w:left="851" w:hanging="567"/>
        <w:rPr>
          <w:sz w:val="22"/>
          <w:szCs w:val="22"/>
        </w:rPr>
      </w:pPr>
      <w:bookmarkStart w:id="441" w:name="_Toc114476277"/>
      <w:bookmarkStart w:id="442" w:name="_Toc116292975"/>
      <w:r w:rsidRPr="00666F79">
        <w:rPr>
          <w:sz w:val="22"/>
          <w:szCs w:val="22"/>
        </w:rPr>
        <w:t>If so, should this be the anti-hoarding rule (in its current form), an amended anti-hoarding rule, or a new regulatory mechanism?</w:t>
      </w:r>
      <w:bookmarkEnd w:id="441"/>
      <w:bookmarkEnd w:id="442"/>
    </w:p>
    <w:p w14:paraId="46C74DE0" w14:textId="35A1927C" w:rsidR="004A70E2" w:rsidRPr="00666F79" w:rsidRDefault="004A70E2" w:rsidP="00666F79">
      <w:pPr>
        <w:pStyle w:val="Box2Checklist"/>
        <w:spacing w:before="80"/>
        <w:ind w:left="851" w:hanging="567"/>
        <w:rPr>
          <w:sz w:val="22"/>
          <w:szCs w:val="22"/>
        </w:rPr>
      </w:pPr>
      <w:bookmarkStart w:id="443" w:name="_Toc114476278"/>
      <w:bookmarkStart w:id="444" w:name="_Toc116292976"/>
      <w:r w:rsidRPr="00666F79">
        <w:rPr>
          <w:sz w:val="22"/>
          <w:szCs w:val="22"/>
        </w:rPr>
        <w:t xml:space="preserve">What impact would the mechanism have on free-to-air broadcasters, subscription broadcasters, online service providers, the relevant sports bodies, and audiences? Are you able to quantify or provide an estimate </w:t>
      </w:r>
      <w:r w:rsidR="00D9255D">
        <w:rPr>
          <w:sz w:val="22"/>
          <w:szCs w:val="22"/>
          <w:lang w:val="en-US"/>
        </w:rPr>
        <w:t xml:space="preserve">of </w:t>
      </w:r>
      <w:r w:rsidRPr="00666F79">
        <w:rPr>
          <w:sz w:val="22"/>
          <w:szCs w:val="22"/>
        </w:rPr>
        <w:t>these impacts?</w:t>
      </w:r>
      <w:bookmarkEnd w:id="443"/>
      <w:bookmarkEnd w:id="444"/>
    </w:p>
    <w:p w14:paraId="57A3C763" w14:textId="67037525" w:rsidR="004A70E2" w:rsidRPr="00666F79" w:rsidRDefault="004A70E2" w:rsidP="00666F79">
      <w:pPr>
        <w:pStyle w:val="Box2Checklist"/>
        <w:spacing w:before="80" w:after="160"/>
        <w:ind w:left="851" w:hanging="567"/>
        <w:rPr>
          <w:sz w:val="22"/>
          <w:szCs w:val="22"/>
        </w:rPr>
      </w:pPr>
      <w:bookmarkStart w:id="445" w:name="_Toc114476279"/>
      <w:bookmarkStart w:id="446" w:name="_Toc116292977"/>
      <w:r w:rsidRPr="00666F79">
        <w:rPr>
          <w:sz w:val="22"/>
          <w:szCs w:val="22"/>
        </w:rPr>
        <w:t>How would the anti-hoarding mechanism be integrated with other potential changes to the scheme, including the potential extension to online services?</w:t>
      </w:r>
      <w:bookmarkEnd w:id="445"/>
      <w:bookmarkEnd w:id="446"/>
    </w:p>
    <w:p w14:paraId="573C047F" w14:textId="662E6623" w:rsidR="00E578FF" w:rsidRPr="00666F79" w:rsidRDefault="004A70E2" w:rsidP="004A70E2">
      <w:pPr>
        <w:pStyle w:val="Box2Bullet1"/>
        <w:ind w:left="681" w:hanging="397"/>
        <w:rPr>
          <w:sz w:val="22"/>
          <w:szCs w:val="22"/>
        </w:rPr>
      </w:pPr>
      <w:bookmarkStart w:id="447" w:name="_Toc114476280"/>
      <w:bookmarkStart w:id="448" w:name="_Toc116292978"/>
      <w:r w:rsidRPr="00666F79">
        <w:rPr>
          <w:sz w:val="22"/>
          <w:szCs w:val="22"/>
          <w:lang w:val="en-US"/>
        </w:rPr>
        <w:t>Are there other circumstances where contract</w:t>
      </w:r>
      <w:r w:rsidR="004B7B0E">
        <w:rPr>
          <w:sz w:val="22"/>
          <w:szCs w:val="22"/>
          <w:lang w:val="en-US"/>
        </w:rPr>
        <w:t>ual</w:t>
      </w:r>
      <w:r w:rsidRPr="00666F79">
        <w:rPr>
          <w:sz w:val="22"/>
          <w:szCs w:val="22"/>
          <w:lang w:val="en-US"/>
        </w:rPr>
        <w:t xml:space="preserve"> or other arrangements for the right to televise events on the anti-siphoning list are being </w:t>
      </w:r>
      <w:r w:rsidR="004B7B0E">
        <w:rPr>
          <w:sz w:val="22"/>
          <w:szCs w:val="22"/>
          <w:lang w:val="en-US"/>
        </w:rPr>
        <w:t xml:space="preserve">used </w:t>
      </w:r>
      <w:r w:rsidRPr="00666F79">
        <w:rPr>
          <w:sz w:val="22"/>
          <w:szCs w:val="22"/>
          <w:lang w:val="en-US"/>
        </w:rPr>
        <w:t>to subvert the intent of the scheme? Can you provide examples?</w:t>
      </w:r>
      <w:bookmarkEnd w:id="447"/>
      <w:bookmarkEnd w:id="448"/>
    </w:p>
    <w:p w14:paraId="3B5A9557" w14:textId="082709F7" w:rsidR="00D33051" w:rsidRDefault="00D33051">
      <w:pPr>
        <w:suppressAutoHyphens w:val="0"/>
      </w:pPr>
      <w:r>
        <w:br w:type="page"/>
      </w:r>
    </w:p>
    <w:p w14:paraId="1D366802" w14:textId="77777777" w:rsidR="003C0213" w:rsidRPr="00535B0F" w:rsidRDefault="003C0213" w:rsidP="00B22819">
      <w:pPr>
        <w:pStyle w:val="Heading2"/>
      </w:pPr>
      <w:bookmarkStart w:id="449" w:name="_Toc113361292"/>
      <w:bookmarkStart w:id="450" w:name="_Toc114476281"/>
      <w:bookmarkStart w:id="451" w:name="_Toc116061430"/>
      <w:bookmarkStart w:id="452" w:name="_Toc116292979"/>
      <w:r w:rsidRPr="00535B0F">
        <w:lastRenderedPageBreak/>
        <w:t>Coverage of anti-siphoning listed events</w:t>
      </w:r>
      <w:bookmarkEnd w:id="449"/>
      <w:bookmarkEnd w:id="450"/>
      <w:bookmarkEnd w:id="451"/>
      <w:bookmarkEnd w:id="452"/>
    </w:p>
    <w:p w14:paraId="048DD83C" w14:textId="7FD05777" w:rsidR="00B97132" w:rsidRPr="000F43C6" w:rsidRDefault="00B97132" w:rsidP="000F43C6">
      <w:pPr>
        <w:pStyle w:val="Heading3"/>
      </w:pPr>
      <w:bookmarkStart w:id="453" w:name="_Toc111752617"/>
      <w:bookmarkStart w:id="454" w:name="_Toc111795304"/>
      <w:bookmarkStart w:id="455" w:name="_Toc111800720"/>
      <w:bookmarkStart w:id="456" w:name="_Toc111803415"/>
      <w:bookmarkStart w:id="457" w:name="_Toc111813827"/>
      <w:bookmarkStart w:id="458" w:name="_Toc112321009"/>
      <w:bookmarkStart w:id="459" w:name="_Toc113361293"/>
      <w:bookmarkStart w:id="460" w:name="_Toc113361801"/>
      <w:bookmarkStart w:id="461" w:name="_Toc114487407"/>
      <w:bookmarkStart w:id="462" w:name="_Toc116044873"/>
      <w:bookmarkStart w:id="463" w:name="_Toc116061431"/>
      <w:r w:rsidRPr="000F43C6">
        <w:t>Status</w:t>
      </w:r>
      <w:bookmarkEnd w:id="453"/>
      <w:bookmarkEnd w:id="454"/>
      <w:bookmarkEnd w:id="455"/>
      <w:bookmarkEnd w:id="456"/>
      <w:bookmarkEnd w:id="457"/>
      <w:bookmarkEnd w:id="458"/>
      <w:bookmarkEnd w:id="459"/>
      <w:bookmarkEnd w:id="460"/>
      <w:bookmarkEnd w:id="461"/>
      <w:bookmarkEnd w:id="462"/>
      <w:bookmarkEnd w:id="463"/>
    </w:p>
    <w:p w14:paraId="1D7D2450" w14:textId="07F6A72A" w:rsidR="00D0600B" w:rsidRDefault="00A53E79" w:rsidP="00666F79">
      <w:r>
        <w:t>The anti-siphoning scheme effectively provides free-to-air broadcasters with the opportunity to acquire the right to televis</w:t>
      </w:r>
      <w:r w:rsidR="002238B9">
        <w:t>e</w:t>
      </w:r>
      <w:r>
        <w:t xml:space="preserve"> </w:t>
      </w:r>
      <w:r w:rsidR="00D0600B">
        <w:t>an event on the anti-siphoning list</w:t>
      </w:r>
      <w:r>
        <w:t xml:space="preserve"> ahead of subscription television broadcasting licensees.</w:t>
      </w:r>
    </w:p>
    <w:p w14:paraId="4A1F53FD" w14:textId="0AD3754B" w:rsidR="00B97132" w:rsidRDefault="00A53E79" w:rsidP="00666F79">
      <w:r>
        <w:t xml:space="preserve">However, </w:t>
      </w:r>
      <w:r w:rsidR="00D34608">
        <w:t xml:space="preserve">it does not require </w:t>
      </w:r>
      <w:r w:rsidR="002238B9">
        <w:t xml:space="preserve">free-to-air </w:t>
      </w:r>
      <w:r w:rsidR="00D34608">
        <w:t>broadcasters to provide any particular kind of coverage, whether live or delayed, or require any coverage at all.</w:t>
      </w:r>
    </w:p>
    <w:p w14:paraId="35E407A7" w14:textId="6696FCF5" w:rsidR="00A53E79" w:rsidRPr="000F43C6" w:rsidRDefault="007A4ECA" w:rsidP="000F43C6">
      <w:pPr>
        <w:pStyle w:val="Heading3"/>
      </w:pPr>
      <w:bookmarkStart w:id="464" w:name="_Toc111752618"/>
      <w:bookmarkStart w:id="465" w:name="_Toc111795305"/>
      <w:bookmarkStart w:id="466" w:name="_Toc111800721"/>
      <w:bookmarkStart w:id="467" w:name="_Toc111803416"/>
      <w:bookmarkStart w:id="468" w:name="_Toc111813828"/>
      <w:bookmarkStart w:id="469" w:name="_Toc112321010"/>
      <w:bookmarkStart w:id="470" w:name="_Toc113361294"/>
      <w:bookmarkStart w:id="471" w:name="_Toc113361802"/>
      <w:bookmarkStart w:id="472" w:name="_Toc114487408"/>
      <w:bookmarkStart w:id="473" w:name="_Toc116044874"/>
      <w:bookmarkStart w:id="474" w:name="_Toc116061432"/>
      <w:r w:rsidRPr="000F43C6">
        <w:t>Discussion</w:t>
      </w:r>
      <w:bookmarkEnd w:id="464"/>
      <w:bookmarkEnd w:id="465"/>
      <w:bookmarkEnd w:id="466"/>
      <w:bookmarkEnd w:id="467"/>
      <w:bookmarkEnd w:id="468"/>
      <w:bookmarkEnd w:id="469"/>
      <w:bookmarkEnd w:id="470"/>
      <w:bookmarkEnd w:id="471"/>
      <w:bookmarkEnd w:id="472"/>
      <w:bookmarkEnd w:id="473"/>
      <w:bookmarkEnd w:id="474"/>
    </w:p>
    <w:p w14:paraId="49731E0B" w14:textId="59B6C7FD" w:rsidR="007A4ECA" w:rsidRDefault="007A4ECA" w:rsidP="000F43C6">
      <w:r>
        <w:t xml:space="preserve">The absence of a specific coverage obligation for </w:t>
      </w:r>
      <w:r w:rsidR="00D34608">
        <w:t xml:space="preserve">free-to-air </w:t>
      </w:r>
      <w:r>
        <w:t xml:space="preserve">broadcasters under the scheme has drawn criticism from the public and from sectors of the industry for a number of years. In the context of the </w:t>
      </w:r>
      <w:r w:rsidRPr="002238B9">
        <w:t>2010 review of the scheme</w:t>
      </w:r>
      <w:r w:rsidR="002238B9" w:rsidRPr="002238B9">
        <w:t>,</w:t>
      </w:r>
      <w:r w:rsidR="002238B9" w:rsidRPr="002238B9">
        <w:rPr>
          <w:rStyle w:val="FootnoteReference"/>
        </w:rPr>
        <w:footnoteReference w:id="91"/>
      </w:r>
      <w:r w:rsidR="002238B9">
        <w:t xml:space="preserve"> </w:t>
      </w:r>
      <w:r>
        <w:t>this issue drew the most comment from non-industry submissions to the process.</w:t>
      </w:r>
    </w:p>
    <w:p w14:paraId="3A5A8C11" w14:textId="445D7DC2" w:rsidR="00D0600B" w:rsidRDefault="00D34608" w:rsidP="001A2B9D">
      <w:r>
        <w:t>F</w:t>
      </w:r>
      <w:r w:rsidR="007A4ECA">
        <w:t xml:space="preserve">ree-to-air </w:t>
      </w:r>
      <w:r w:rsidR="002238B9">
        <w:t>television</w:t>
      </w:r>
      <w:r>
        <w:t xml:space="preserve"> </w:t>
      </w:r>
      <w:r w:rsidR="007A4ECA">
        <w:t>coverage of anti-siphoning listed events was subject to a level of oversight</w:t>
      </w:r>
      <w:r>
        <w:t xml:space="preserve"> between </w:t>
      </w:r>
      <w:r w:rsidR="007A4ECA">
        <w:t xml:space="preserve">January 2006 </w:t>
      </w:r>
      <w:r>
        <w:t xml:space="preserve">and </w:t>
      </w:r>
      <w:r w:rsidR="007A4ECA">
        <w:t>September 2008</w:t>
      </w:r>
      <w:r>
        <w:t xml:space="preserve">. The ACMA </w:t>
      </w:r>
      <w:r w:rsidR="007A4ECA">
        <w:t xml:space="preserve">monitored coverage of events on the anti-siphoning list based broadly on the seven criteria of the ‘use-it-or-lose-it’ guidelines introduced by the </w:t>
      </w:r>
      <w:r>
        <w:t>then</w:t>
      </w:r>
      <w:r w:rsidR="007A4ECA">
        <w:t xml:space="preserve"> </w:t>
      </w:r>
      <w:r w:rsidR="00541A8F">
        <w:t>G</w:t>
      </w:r>
      <w:r w:rsidR="007A4ECA">
        <w:t>overnment in January 2007. The guidelines assessed, among a range of matters</w:t>
      </w:r>
      <w:r w:rsidR="00D0600B">
        <w:t>:</w:t>
      </w:r>
    </w:p>
    <w:p w14:paraId="49D6D814" w14:textId="7E984EF0" w:rsidR="00D0600B" w:rsidRDefault="007A4ECA" w:rsidP="00666F79">
      <w:pPr>
        <w:pStyle w:val="ListParagraph"/>
        <w:numPr>
          <w:ilvl w:val="0"/>
          <w:numId w:val="98"/>
        </w:numPr>
        <w:spacing w:after="120" w:line="240" w:lineRule="auto"/>
        <w:ind w:left="357" w:hanging="357"/>
        <w:contextualSpacing w:val="0"/>
      </w:pPr>
      <w:r>
        <w:t>the type of rights acquired by a free-to-air broadcaster</w:t>
      </w:r>
      <w:r w:rsidR="00D0600B">
        <w:t xml:space="preserve"> to a particular event;</w:t>
      </w:r>
    </w:p>
    <w:p w14:paraId="4EDCE376" w14:textId="34193EB4" w:rsidR="00D0600B" w:rsidRDefault="007A4ECA" w:rsidP="00C77E71">
      <w:pPr>
        <w:pStyle w:val="ListParagraph"/>
        <w:numPr>
          <w:ilvl w:val="0"/>
          <w:numId w:val="98"/>
        </w:numPr>
        <w:spacing w:after="120" w:line="240" w:lineRule="auto"/>
        <w:ind w:left="357" w:hanging="357"/>
        <w:contextualSpacing w:val="0"/>
      </w:pPr>
      <w:r>
        <w:t>whether the event had been shown to more than 50 per</w:t>
      </w:r>
      <w:r w:rsidR="000F43C6">
        <w:t xml:space="preserve"> </w:t>
      </w:r>
      <w:r>
        <w:t>cent of the Australian population</w:t>
      </w:r>
      <w:r w:rsidR="00D0600B">
        <w:t>;</w:t>
      </w:r>
    </w:p>
    <w:p w14:paraId="442E4C11" w14:textId="1A631C34" w:rsidR="00D0600B" w:rsidRDefault="007A4ECA" w:rsidP="00666F79">
      <w:pPr>
        <w:pStyle w:val="ListParagraph"/>
        <w:numPr>
          <w:ilvl w:val="0"/>
          <w:numId w:val="98"/>
        </w:numPr>
        <w:spacing w:after="120" w:line="240" w:lineRule="auto"/>
        <w:ind w:left="357" w:hanging="357"/>
        <w:contextualSpacing w:val="0"/>
      </w:pPr>
      <w:r>
        <w:t>whether more than half the event had been broadcast</w:t>
      </w:r>
      <w:r w:rsidR="00D0600B">
        <w:t xml:space="preserve">; </w:t>
      </w:r>
      <w:r>
        <w:t>and</w:t>
      </w:r>
    </w:p>
    <w:p w14:paraId="42C640C5" w14:textId="77777777" w:rsidR="007A4ECA" w:rsidRDefault="007A4ECA" w:rsidP="00666F79">
      <w:pPr>
        <w:pStyle w:val="ListParagraph"/>
        <w:numPr>
          <w:ilvl w:val="0"/>
          <w:numId w:val="98"/>
        </w:numPr>
        <w:spacing w:after="120" w:line="240" w:lineRule="auto"/>
        <w:ind w:left="357" w:hanging="357"/>
        <w:contextualSpacing w:val="0"/>
      </w:pPr>
      <w:r>
        <w:t>whether the event had been show</w:t>
      </w:r>
      <w:r w:rsidR="00D34608">
        <w:t>n</w:t>
      </w:r>
      <w:r>
        <w:t xml:space="preserve"> live or near-live, and whether any delay in coverage was intended to provide greater audience access to the event.</w:t>
      </w:r>
    </w:p>
    <w:p w14:paraId="2FDB6F04" w14:textId="36A3725F" w:rsidR="007A4ECA" w:rsidRDefault="007A4ECA" w:rsidP="001A2B9D">
      <w:r>
        <w:t xml:space="preserve">The guidelines had no statutory force but were intended to assist the </w:t>
      </w:r>
      <w:r w:rsidR="00D34608">
        <w:t>then</w:t>
      </w:r>
      <w:r>
        <w:t xml:space="preserve"> </w:t>
      </w:r>
      <w:r w:rsidR="00541A8F">
        <w:t>G</w:t>
      </w:r>
      <w:r>
        <w:t xml:space="preserve">overnment </w:t>
      </w:r>
      <w:r w:rsidR="002238B9">
        <w:t>to determine</w:t>
      </w:r>
      <w:r>
        <w:t xml:space="preserve"> which events to retain on the anti-siphoning list. The </w:t>
      </w:r>
      <w:r w:rsidR="001A2B9D">
        <w:t xml:space="preserve">ACMA </w:t>
      </w:r>
      <w:r>
        <w:t xml:space="preserve">found that free-to-air broadcasters were generally providing adequate coverage of events to which they had the rights, </w:t>
      </w:r>
      <w:r w:rsidR="005E080A">
        <w:t>considering</w:t>
      </w:r>
      <w:r>
        <w:t xml:space="preserve"> the complexities and difficulties of sports broadcasting. No events were removed from the anti-siphoning list by the </w:t>
      </w:r>
      <w:r w:rsidR="005A11E4">
        <w:t>then</w:t>
      </w:r>
      <w:r>
        <w:t xml:space="preserve"> Minister</w:t>
      </w:r>
      <w:r w:rsidR="004B7B0E">
        <w:t xml:space="preserve"> of Broadband, Communications and the Digital Economy </w:t>
      </w:r>
      <w:r>
        <w:t xml:space="preserve">as a result of the </w:t>
      </w:r>
      <w:r w:rsidR="005A11E4">
        <w:t>ACMA’s</w:t>
      </w:r>
      <w:r>
        <w:t xml:space="preserve"> reporting.</w:t>
      </w:r>
    </w:p>
    <w:p w14:paraId="6361A764" w14:textId="42E7E907" w:rsidR="008F6900" w:rsidRDefault="008F6900" w:rsidP="002238B9">
      <w:r>
        <w:t>In the contemporary environment, a</w:t>
      </w:r>
      <w:r w:rsidR="002238B9">
        <w:t xml:space="preserve"> first </w:t>
      </w:r>
      <w:r>
        <w:t xml:space="preserve">order question is </w:t>
      </w:r>
      <w:r w:rsidR="002238B9">
        <w:t xml:space="preserve">whether </w:t>
      </w:r>
      <w:r>
        <w:t>c</w:t>
      </w:r>
      <w:r w:rsidR="002238B9">
        <w:t>overage obligation</w:t>
      </w:r>
      <w:r>
        <w:t>s</w:t>
      </w:r>
      <w:r w:rsidR="002238B9">
        <w:t xml:space="preserve"> </w:t>
      </w:r>
      <w:r>
        <w:t>are</w:t>
      </w:r>
      <w:r w:rsidR="002238B9">
        <w:t xml:space="preserve"> required. As noted in the discussion of the usage of rights, </w:t>
      </w:r>
      <w:r>
        <w:t xml:space="preserve">over recent years </w:t>
      </w:r>
      <w:r w:rsidR="002238B9">
        <w:t xml:space="preserve">broadcasters have sought to </w:t>
      </w:r>
      <w:r>
        <w:t xml:space="preserve">make greater use of </w:t>
      </w:r>
      <w:r w:rsidR="002238B9">
        <w:t xml:space="preserve">the additional capacity at their disposal to support coverage of events through multichannels and online services. However, this requires the broadcasters </w:t>
      </w:r>
      <w:r>
        <w:t xml:space="preserve">to </w:t>
      </w:r>
      <w:r w:rsidR="002238B9">
        <w:t>acquire both the ‘broadcast’ and ‘digital’ rights to events.</w:t>
      </w:r>
    </w:p>
    <w:p w14:paraId="7DB98B57" w14:textId="240F30D2" w:rsidR="002238B9" w:rsidRDefault="002238B9" w:rsidP="002238B9">
      <w:r>
        <w:t>They also have a strong incentive to provide live coverage to satisfy the demands of audiences and the stipulation</w:t>
      </w:r>
      <w:r w:rsidR="00B7211C">
        <w:t>s</w:t>
      </w:r>
      <w:r>
        <w:t xml:space="preserve"> of sports bodies. Over the past decade, there has been a trend away from delayed coverage of events to full live coverage. This has been evident with both the AFL and NRL Premierships, V8 Supercars and</w:t>
      </w:r>
      <w:r w:rsidR="00AF7CA2" w:rsidRPr="00AF7CA2">
        <w:t xml:space="preserve"> </w:t>
      </w:r>
      <w:r w:rsidR="00AF7CA2">
        <w:t>the Australian Grand Prix</w:t>
      </w:r>
      <w:r>
        <w:t>.</w:t>
      </w:r>
    </w:p>
    <w:p w14:paraId="2655980A" w14:textId="51D7F867" w:rsidR="006319DB" w:rsidRDefault="008F6900" w:rsidP="002238B9">
      <w:r>
        <w:t>In addition to the question of need, t</w:t>
      </w:r>
      <w:r w:rsidR="006319DB">
        <w:t>here are also a range of practical factors that would need to be considered.</w:t>
      </w:r>
    </w:p>
    <w:p w14:paraId="53D116D7" w14:textId="77777777" w:rsidR="007A4ECA" w:rsidRPr="007B0344" w:rsidRDefault="007A4ECA" w:rsidP="001C1C19">
      <w:pPr>
        <w:pStyle w:val="Heading4"/>
      </w:pPr>
      <w:r w:rsidRPr="001C1C19">
        <w:t>Full coverage</w:t>
      </w:r>
    </w:p>
    <w:p w14:paraId="33A30A91" w14:textId="73DEF46A" w:rsidR="006D4ACE" w:rsidRDefault="007A4ECA" w:rsidP="007A4ECA">
      <w:pPr>
        <w:spacing w:after="0"/>
      </w:pPr>
      <w:r>
        <w:t xml:space="preserve">Full and complete coverage is </w:t>
      </w:r>
      <w:r w:rsidR="008F6900">
        <w:t xml:space="preserve">feasible </w:t>
      </w:r>
      <w:r>
        <w:t xml:space="preserve">for many </w:t>
      </w:r>
      <w:r w:rsidR="008F6900">
        <w:t>‘discrete’</w:t>
      </w:r>
      <w:r>
        <w:t xml:space="preserve"> sports on the anti-siphoning list, such as the Melbourne Cup, cricket fixtures and the major domestic football</w:t>
      </w:r>
      <w:r w:rsidR="00B63E65">
        <w:t xml:space="preserve"> code</w:t>
      </w:r>
      <w:r>
        <w:t xml:space="preserve"> premierships. However, it is </w:t>
      </w:r>
      <w:r w:rsidR="008F6900">
        <w:t xml:space="preserve">unlikely to </w:t>
      </w:r>
      <w:r w:rsidR="008F6900">
        <w:lastRenderedPageBreak/>
        <w:t xml:space="preserve">be </w:t>
      </w:r>
      <w:r>
        <w:t xml:space="preserve">feasible for many of the </w:t>
      </w:r>
      <w:r w:rsidR="006D4ACE">
        <w:t xml:space="preserve">competitions that involve </w:t>
      </w:r>
      <w:r>
        <w:t xml:space="preserve">multi-round, simultaneous events. </w:t>
      </w:r>
      <w:r w:rsidR="008F6900">
        <w:t xml:space="preserve">For example, the </w:t>
      </w:r>
      <w:r>
        <w:t>Wimbledon and Australian Open tennis tournaments each involve around 650 matches (singles, doubles and junior titles)</w:t>
      </w:r>
      <w:r w:rsidR="00803B25">
        <w:t>. W</w:t>
      </w:r>
      <w:r w:rsidR="0055400F">
        <w:t xml:space="preserve">hile </w:t>
      </w:r>
      <w:r>
        <w:t xml:space="preserve">a free-to-air broadcaster </w:t>
      </w:r>
      <w:r w:rsidR="0055400F">
        <w:t xml:space="preserve">may technically </w:t>
      </w:r>
      <w:r w:rsidR="005A11E4">
        <w:t xml:space="preserve">be able </w:t>
      </w:r>
      <w:r w:rsidR="001C1C19">
        <w:t xml:space="preserve">to </w:t>
      </w:r>
      <w:r>
        <w:t xml:space="preserve">televise all matches </w:t>
      </w:r>
      <w:r w:rsidR="0055400F">
        <w:t>by</w:t>
      </w:r>
      <w:r w:rsidR="005A11E4">
        <w:t xml:space="preserve"> using </w:t>
      </w:r>
      <w:r w:rsidR="00E578FF">
        <w:t xml:space="preserve">a combination of </w:t>
      </w:r>
      <w:r w:rsidR="005A11E4">
        <w:t>multichannels and online services</w:t>
      </w:r>
      <w:r w:rsidR="00803B25">
        <w:t xml:space="preserve">, it may not be a viable option from a commercial </w:t>
      </w:r>
      <w:r w:rsidR="00E578FF">
        <w:t>or</w:t>
      </w:r>
      <w:r w:rsidR="00803B25">
        <w:t xml:space="preserve"> programming perspective</w:t>
      </w:r>
      <w:r w:rsidR="005A11E4">
        <w:t>.</w:t>
      </w:r>
    </w:p>
    <w:p w14:paraId="30C2C558" w14:textId="325CBC35" w:rsidR="004416C4" w:rsidRDefault="004416C4" w:rsidP="00045591">
      <w:pPr>
        <w:spacing w:after="0"/>
      </w:pPr>
      <w:r>
        <w:t xml:space="preserve">The ability to provide full coverage of an event will </w:t>
      </w:r>
      <w:r w:rsidR="008F6900">
        <w:t xml:space="preserve">also </w:t>
      </w:r>
      <w:r>
        <w:t>depend on whether or not the rights made available to the broadcaster encompass all of the play taking place as part of that event. If not, then there would be no capacity for a broadcaster to acquire the rights to, and broadcast, all play.</w:t>
      </w:r>
    </w:p>
    <w:p w14:paraId="53C3E945" w14:textId="77777777" w:rsidR="007A4ECA" w:rsidRPr="007B0344" w:rsidRDefault="007A4ECA" w:rsidP="00DE7491">
      <w:pPr>
        <w:pStyle w:val="Heading4"/>
      </w:pPr>
      <w:r w:rsidRPr="00DE7491">
        <w:t>Live coverage</w:t>
      </w:r>
    </w:p>
    <w:p w14:paraId="1DD8E50B" w14:textId="34185614" w:rsidR="007A4ECA" w:rsidRDefault="007A4ECA" w:rsidP="00FB4370">
      <w:r>
        <w:t xml:space="preserve">Live coverage of sporting events is </w:t>
      </w:r>
      <w:r w:rsidR="004416C4">
        <w:t xml:space="preserve">complicated </w:t>
      </w:r>
      <w:r>
        <w:t xml:space="preserve">in Australia </w:t>
      </w:r>
      <w:r w:rsidR="004416C4">
        <w:t>by</w:t>
      </w:r>
      <w:r>
        <w:t xml:space="preserve"> time zone differences. </w:t>
      </w:r>
      <w:r w:rsidR="004416C4">
        <w:t xml:space="preserve">For example, live coverage of the Friday night match of the AFL played in Melbourne would start at 5.30pm Australian Western Standard Time (and as early as 4.30pm </w:t>
      </w:r>
      <w:r w:rsidR="006A594E">
        <w:t>during</w:t>
      </w:r>
      <w:r w:rsidR="004416C4">
        <w:t xml:space="preserve"> the early rounds of the season). This push</w:t>
      </w:r>
      <w:r w:rsidR="006A594E">
        <w:t>es</w:t>
      </w:r>
      <w:r w:rsidR="004416C4">
        <w:t xml:space="preserve"> coverage of the event outside prime viewing times in Perth and</w:t>
      </w:r>
      <w:r w:rsidR="006A594E">
        <w:t xml:space="preserve"> the broadcasters and the AFL would need to weigh this against the benefits for audiences of live coverage.</w:t>
      </w:r>
    </w:p>
    <w:p w14:paraId="7EA855F1" w14:textId="2AA091E4" w:rsidR="007A4ECA" w:rsidRDefault="005E080A" w:rsidP="0030218B">
      <w:r>
        <w:t xml:space="preserve">Live coverage of international events, such as the Olympics or </w:t>
      </w:r>
      <w:r w:rsidR="00ED0D9F">
        <w:t xml:space="preserve">the </w:t>
      </w:r>
      <w:r>
        <w:t>world cup</w:t>
      </w:r>
      <w:r w:rsidR="00ED0D9F">
        <w:t xml:space="preserve"> finals </w:t>
      </w:r>
      <w:r w:rsidR="00DD79FF">
        <w:t>of</w:t>
      </w:r>
      <w:r>
        <w:t xml:space="preserve"> various football codes, also presents challenges where live coverage occurs in the late evening or early hours of the morning in Australian time zones. Over recent years broadcasters have </w:t>
      </w:r>
      <w:r w:rsidR="006319DB">
        <w:t>increasingly</w:t>
      </w:r>
      <w:r>
        <w:t xml:space="preserve"> provid</w:t>
      </w:r>
      <w:r w:rsidR="006319DB">
        <w:t>ed</w:t>
      </w:r>
      <w:r>
        <w:t xml:space="preserve"> live coverage of such events irrespective of the local time, with extensive highlights and replays made available the following day.</w:t>
      </w:r>
    </w:p>
    <w:p w14:paraId="6A8F16B2" w14:textId="77777777" w:rsidR="00220F82" w:rsidRPr="00CF21AA" w:rsidRDefault="00220F82" w:rsidP="00220F82">
      <w:pPr>
        <w:pStyle w:val="Box2Heading"/>
      </w:pPr>
      <w:r>
        <w:t>Questions:</w:t>
      </w:r>
    </w:p>
    <w:p w14:paraId="0E6695BD" w14:textId="36BC9F3C" w:rsidR="00220F82" w:rsidRPr="00666F79" w:rsidRDefault="00220F82" w:rsidP="00220F82">
      <w:pPr>
        <w:pStyle w:val="Box2Bullet1"/>
        <w:ind w:left="681" w:hanging="397"/>
        <w:rPr>
          <w:sz w:val="22"/>
          <w:szCs w:val="22"/>
        </w:rPr>
      </w:pPr>
      <w:bookmarkStart w:id="475" w:name="_Toc114476282"/>
      <w:bookmarkStart w:id="476" w:name="_Toc116292980"/>
      <w:r w:rsidRPr="00666F79">
        <w:rPr>
          <w:sz w:val="22"/>
          <w:szCs w:val="22"/>
          <w:lang w:val="en-US"/>
        </w:rPr>
        <w:t>Are you concerned about broadcast coverage of events on the anti-siphoning list? Please provide specific examples</w:t>
      </w:r>
      <w:r w:rsidR="0034498D">
        <w:rPr>
          <w:sz w:val="22"/>
          <w:szCs w:val="22"/>
          <w:lang w:val="en-US"/>
        </w:rPr>
        <w:t>.</w:t>
      </w:r>
      <w:bookmarkEnd w:id="475"/>
      <w:bookmarkEnd w:id="476"/>
    </w:p>
    <w:p w14:paraId="108B3CCB" w14:textId="09B5A8E3" w:rsidR="00220F82" w:rsidRPr="00666F79" w:rsidRDefault="00220F82" w:rsidP="00220F82">
      <w:pPr>
        <w:pStyle w:val="Box2Bullet1"/>
        <w:ind w:left="681" w:hanging="397"/>
        <w:rPr>
          <w:sz w:val="22"/>
          <w:szCs w:val="22"/>
        </w:rPr>
      </w:pPr>
      <w:bookmarkStart w:id="477" w:name="_Toc114476283"/>
      <w:bookmarkStart w:id="478" w:name="_Toc116292981"/>
      <w:r w:rsidRPr="00666F79">
        <w:rPr>
          <w:sz w:val="22"/>
          <w:szCs w:val="22"/>
          <w:lang w:val="en-US"/>
        </w:rPr>
        <w:t>Is there a need for coverage obligations to be introduced for free-to-air broadcasters that acquire the rights to anti-siphoning listed events?</w:t>
      </w:r>
      <w:bookmarkEnd w:id="477"/>
      <w:bookmarkEnd w:id="478"/>
    </w:p>
    <w:p w14:paraId="48A7F603" w14:textId="12311FF0" w:rsidR="00220F82" w:rsidRPr="00666F79" w:rsidRDefault="00220F82" w:rsidP="00666F79">
      <w:pPr>
        <w:pStyle w:val="Box2Checklist"/>
        <w:spacing w:before="80"/>
        <w:ind w:left="851" w:hanging="567"/>
        <w:rPr>
          <w:sz w:val="22"/>
          <w:szCs w:val="22"/>
        </w:rPr>
      </w:pPr>
      <w:bookmarkStart w:id="479" w:name="_Toc114476284"/>
      <w:bookmarkStart w:id="480" w:name="_Toc116292982"/>
      <w:r w:rsidRPr="00666F79">
        <w:rPr>
          <w:sz w:val="22"/>
          <w:szCs w:val="22"/>
        </w:rPr>
        <w:t>If so, what form should those obligations take?</w:t>
      </w:r>
      <w:bookmarkEnd w:id="479"/>
      <w:bookmarkEnd w:id="480"/>
    </w:p>
    <w:p w14:paraId="01A300D9" w14:textId="5F23F30B" w:rsidR="00220F82" w:rsidRPr="00666F79" w:rsidRDefault="00220F82" w:rsidP="00666F79">
      <w:pPr>
        <w:pStyle w:val="Box2Checklist"/>
        <w:spacing w:before="80"/>
        <w:ind w:left="851" w:hanging="567"/>
        <w:rPr>
          <w:sz w:val="22"/>
          <w:szCs w:val="22"/>
        </w:rPr>
      </w:pPr>
      <w:bookmarkStart w:id="481" w:name="_Toc114476285"/>
      <w:bookmarkStart w:id="482" w:name="_Toc116292983"/>
      <w:r w:rsidRPr="00666F79">
        <w:rPr>
          <w:sz w:val="22"/>
          <w:szCs w:val="22"/>
        </w:rPr>
        <w:t xml:space="preserve">Should they be applied to specific events, or all events on the </w:t>
      </w:r>
      <w:r w:rsidR="008F0370">
        <w:rPr>
          <w:sz w:val="22"/>
          <w:szCs w:val="22"/>
          <w:lang w:val="en-US"/>
        </w:rPr>
        <w:t xml:space="preserve">anti-siphoning </w:t>
      </w:r>
      <w:r w:rsidRPr="00666F79">
        <w:rPr>
          <w:sz w:val="22"/>
          <w:szCs w:val="22"/>
        </w:rPr>
        <w:t>list?</w:t>
      </w:r>
      <w:bookmarkEnd w:id="481"/>
      <w:bookmarkEnd w:id="482"/>
    </w:p>
    <w:p w14:paraId="6E95A8C1" w14:textId="4D108A6B" w:rsidR="00220F82" w:rsidRPr="00666F79" w:rsidRDefault="00220F82" w:rsidP="00666F79">
      <w:pPr>
        <w:pStyle w:val="Box2Checklist"/>
        <w:spacing w:before="80" w:after="160"/>
        <w:ind w:left="851" w:hanging="567"/>
        <w:rPr>
          <w:sz w:val="22"/>
          <w:szCs w:val="22"/>
        </w:rPr>
      </w:pPr>
      <w:bookmarkStart w:id="483" w:name="_Toc114476286"/>
      <w:bookmarkStart w:id="484" w:name="_Toc116292984"/>
      <w:r w:rsidRPr="00666F79">
        <w:rPr>
          <w:sz w:val="22"/>
          <w:szCs w:val="22"/>
        </w:rPr>
        <w:t>How should coverage obligations be integrated with other reforms to the anti-siphoning scheme?</w:t>
      </w:r>
      <w:bookmarkEnd w:id="483"/>
      <w:bookmarkEnd w:id="484"/>
    </w:p>
    <w:p w14:paraId="2301E2F7" w14:textId="4A8ACB07" w:rsidR="00D60012" w:rsidRPr="00666F79" w:rsidRDefault="00220F82" w:rsidP="00220F82">
      <w:pPr>
        <w:pStyle w:val="Box2Bullet1"/>
        <w:ind w:left="681" w:hanging="397"/>
        <w:rPr>
          <w:sz w:val="22"/>
          <w:szCs w:val="22"/>
        </w:rPr>
      </w:pPr>
      <w:bookmarkStart w:id="485" w:name="_Toc114476287"/>
      <w:bookmarkStart w:id="486" w:name="_Toc116292985"/>
      <w:r w:rsidRPr="00666F79">
        <w:rPr>
          <w:sz w:val="22"/>
          <w:szCs w:val="22"/>
          <w:lang w:val="en-US"/>
        </w:rPr>
        <w:t>Would the imposition of coverage obligations alter decisions made by industry regarding media rights to sporting events, both listed and unlisted?</w:t>
      </w:r>
      <w:bookmarkEnd w:id="485"/>
      <w:bookmarkEnd w:id="486"/>
    </w:p>
    <w:p w14:paraId="55908EA8" w14:textId="20217687" w:rsidR="00220F82" w:rsidRPr="00666F79" w:rsidRDefault="00220F82" w:rsidP="00666F79">
      <w:pPr>
        <w:pStyle w:val="Box2Checklist"/>
        <w:spacing w:before="80" w:after="160"/>
        <w:ind w:left="851" w:hanging="567"/>
        <w:rPr>
          <w:sz w:val="22"/>
          <w:szCs w:val="22"/>
        </w:rPr>
      </w:pPr>
      <w:bookmarkStart w:id="487" w:name="_Toc114476288"/>
      <w:bookmarkStart w:id="488" w:name="_Toc116292986"/>
      <w:r w:rsidRPr="00666F79">
        <w:rPr>
          <w:sz w:val="22"/>
          <w:szCs w:val="22"/>
        </w:rPr>
        <w:t>Would this make it easier or harder to sell and acquire such rights?</w:t>
      </w:r>
      <w:bookmarkEnd w:id="487"/>
      <w:bookmarkEnd w:id="488"/>
    </w:p>
    <w:p w14:paraId="7E77E1E1" w14:textId="2320D2C4" w:rsidR="00220F82" w:rsidRPr="00666F79" w:rsidRDefault="00220F82" w:rsidP="00220F82">
      <w:pPr>
        <w:pStyle w:val="Box2Bullet1"/>
        <w:ind w:left="681" w:hanging="397"/>
        <w:rPr>
          <w:sz w:val="22"/>
          <w:szCs w:val="22"/>
        </w:rPr>
      </w:pPr>
      <w:bookmarkStart w:id="489" w:name="_Toc114476289"/>
      <w:bookmarkStart w:id="490" w:name="_Toc116292987"/>
      <w:r w:rsidRPr="00666F79">
        <w:rPr>
          <w:sz w:val="22"/>
          <w:szCs w:val="22"/>
          <w:lang w:val="en-US"/>
        </w:rPr>
        <w:t xml:space="preserve">What practical changes would </w:t>
      </w:r>
      <w:r w:rsidR="00483630" w:rsidRPr="00666F79">
        <w:rPr>
          <w:sz w:val="22"/>
          <w:szCs w:val="22"/>
          <w:lang w:val="en-US"/>
        </w:rPr>
        <w:t xml:space="preserve">Australian viewers </w:t>
      </w:r>
      <w:r w:rsidRPr="00666F79">
        <w:rPr>
          <w:sz w:val="22"/>
          <w:szCs w:val="22"/>
          <w:lang w:val="en-US"/>
        </w:rPr>
        <w:t>see from the imposition of coverage obligations?</w:t>
      </w:r>
      <w:bookmarkEnd w:id="489"/>
      <w:bookmarkEnd w:id="490"/>
    </w:p>
    <w:p w14:paraId="758F0F07" w14:textId="10CD1E0B" w:rsidR="00D33051" w:rsidRDefault="00D33051">
      <w:pPr>
        <w:suppressAutoHyphens w:val="0"/>
      </w:pPr>
      <w:r>
        <w:br w:type="page"/>
      </w:r>
    </w:p>
    <w:p w14:paraId="26B2CF70" w14:textId="3D702B7A" w:rsidR="00B66DC3" w:rsidRPr="00F25173" w:rsidRDefault="00C264E1" w:rsidP="00B22819">
      <w:pPr>
        <w:pStyle w:val="Heading2"/>
      </w:pPr>
      <w:bookmarkStart w:id="491" w:name="_Toc113361295"/>
      <w:bookmarkStart w:id="492" w:name="_Toc114476290"/>
      <w:bookmarkStart w:id="493" w:name="_Toc116061433"/>
      <w:bookmarkStart w:id="494" w:name="_Toc116292988"/>
      <w:r w:rsidRPr="00F25173">
        <w:lastRenderedPageBreak/>
        <w:t xml:space="preserve">Transparency: </w:t>
      </w:r>
      <w:r w:rsidR="00300A80" w:rsidRPr="00F25173">
        <w:t>information disclosure and information gathering</w:t>
      </w:r>
      <w:bookmarkEnd w:id="491"/>
      <w:bookmarkEnd w:id="492"/>
      <w:bookmarkEnd w:id="493"/>
      <w:bookmarkEnd w:id="494"/>
    </w:p>
    <w:p w14:paraId="65191242" w14:textId="233ED4A1" w:rsidR="00B66DC3" w:rsidRPr="00F25173" w:rsidRDefault="00B66DC3" w:rsidP="00F25173">
      <w:pPr>
        <w:pStyle w:val="Heading3"/>
      </w:pPr>
      <w:bookmarkStart w:id="495" w:name="_Toc111752620"/>
      <w:bookmarkStart w:id="496" w:name="_Toc111795307"/>
      <w:bookmarkStart w:id="497" w:name="_Toc111800723"/>
      <w:bookmarkStart w:id="498" w:name="_Toc111803418"/>
      <w:bookmarkStart w:id="499" w:name="_Toc111813830"/>
      <w:bookmarkStart w:id="500" w:name="_Toc112321012"/>
      <w:bookmarkStart w:id="501" w:name="_Toc113361296"/>
      <w:bookmarkStart w:id="502" w:name="_Toc113361804"/>
      <w:bookmarkStart w:id="503" w:name="_Toc114487410"/>
      <w:bookmarkStart w:id="504" w:name="_Toc116044876"/>
      <w:bookmarkStart w:id="505" w:name="_Toc116061434"/>
      <w:r w:rsidRPr="00F25173">
        <w:t>Status</w:t>
      </w:r>
      <w:bookmarkEnd w:id="495"/>
      <w:bookmarkEnd w:id="496"/>
      <w:bookmarkEnd w:id="497"/>
      <w:bookmarkEnd w:id="498"/>
      <w:bookmarkEnd w:id="499"/>
      <w:bookmarkEnd w:id="500"/>
      <w:bookmarkEnd w:id="501"/>
      <w:bookmarkEnd w:id="502"/>
      <w:bookmarkEnd w:id="503"/>
      <w:bookmarkEnd w:id="504"/>
      <w:bookmarkEnd w:id="505"/>
    </w:p>
    <w:p w14:paraId="190D77D8" w14:textId="449F7E91" w:rsidR="00596529" w:rsidRDefault="00967909" w:rsidP="00666F79">
      <w:r>
        <w:t>The anti-siphoning scheme</w:t>
      </w:r>
      <w:r w:rsidR="00300A80">
        <w:t xml:space="preserve"> does not require parties subject to the scheme, or any other persons or entities, to disclose information to the ACMA regarding the rights to anti-siphoning listed events, or to the coverage afforded to an anti-siphoning listed event.</w:t>
      </w:r>
    </w:p>
    <w:p w14:paraId="3E093A4D" w14:textId="372C33E1" w:rsidR="00300A80" w:rsidRDefault="00596529" w:rsidP="00F25173">
      <w:r>
        <w:t>T</w:t>
      </w:r>
      <w:r w:rsidR="00300A80">
        <w:t xml:space="preserve">he ACMA </w:t>
      </w:r>
      <w:r w:rsidR="00DD792E">
        <w:t>administered</w:t>
      </w:r>
      <w:r w:rsidR="00300A80">
        <w:t xml:space="preserve"> a non-regulatory monitoring framework relating to the coverage of events on the</w:t>
      </w:r>
      <w:r w:rsidR="008F0370">
        <w:t xml:space="preserve"> anti-siphoning</w:t>
      </w:r>
      <w:r w:rsidR="00300A80">
        <w:t xml:space="preserve"> list between 2006 and 2008.</w:t>
      </w:r>
      <w:r w:rsidR="00266DF5">
        <w:t xml:space="preserve"> This process included requests for coverage information from broadcasters</w:t>
      </w:r>
      <w:r w:rsidR="005B6368">
        <w:t>.</w:t>
      </w:r>
    </w:p>
    <w:p w14:paraId="7ABF45E9" w14:textId="1A85B9E4" w:rsidR="00596529" w:rsidRDefault="00596529" w:rsidP="00596529">
      <w:bookmarkStart w:id="506" w:name="_Toc111752621"/>
      <w:bookmarkStart w:id="507" w:name="_Toc111795308"/>
      <w:r>
        <w:t xml:space="preserve">The ACMA </w:t>
      </w:r>
      <w:r w:rsidR="00DD79FF">
        <w:t xml:space="preserve">has </w:t>
      </w:r>
      <w:r>
        <w:t>a broad range of investigatory powers</w:t>
      </w:r>
      <w:r w:rsidR="00294493">
        <w:t xml:space="preserve"> under the BSA</w:t>
      </w:r>
      <w:r>
        <w:t xml:space="preserve"> and functions under the </w:t>
      </w:r>
      <w:r>
        <w:rPr>
          <w:i/>
        </w:rPr>
        <w:t>Australian Communications and Media Authority Act 2005</w:t>
      </w:r>
      <w:r>
        <w:t>. In particular, the ACMA’s information gathering powers are very broad and extend to persons, bodies and groups other than broadcasters and include the capacity to order a person to produce documents relevant to the subject matter of an investigation.</w:t>
      </w:r>
    </w:p>
    <w:p w14:paraId="57322FD9" w14:textId="3B739EB9" w:rsidR="00B66DC3" w:rsidRPr="00F25173" w:rsidRDefault="00B66DC3" w:rsidP="00F25173">
      <w:pPr>
        <w:pStyle w:val="Heading3"/>
      </w:pPr>
      <w:bookmarkStart w:id="508" w:name="_Toc111800724"/>
      <w:bookmarkStart w:id="509" w:name="_Toc111803419"/>
      <w:bookmarkStart w:id="510" w:name="_Toc111813831"/>
      <w:bookmarkStart w:id="511" w:name="_Toc112321013"/>
      <w:bookmarkStart w:id="512" w:name="_Toc113361297"/>
      <w:bookmarkStart w:id="513" w:name="_Toc113361805"/>
      <w:bookmarkStart w:id="514" w:name="_Toc114487411"/>
      <w:bookmarkStart w:id="515" w:name="_Toc116044877"/>
      <w:bookmarkStart w:id="516" w:name="_Toc116061435"/>
      <w:r w:rsidRPr="00F25173">
        <w:t>Discussion</w:t>
      </w:r>
      <w:bookmarkEnd w:id="506"/>
      <w:bookmarkEnd w:id="507"/>
      <w:bookmarkEnd w:id="508"/>
      <w:bookmarkEnd w:id="509"/>
      <w:bookmarkEnd w:id="510"/>
      <w:bookmarkEnd w:id="511"/>
      <w:bookmarkEnd w:id="512"/>
      <w:bookmarkEnd w:id="513"/>
      <w:bookmarkEnd w:id="514"/>
      <w:bookmarkEnd w:id="515"/>
      <w:bookmarkEnd w:id="516"/>
    </w:p>
    <w:p w14:paraId="22B7A867" w14:textId="0CC2A604" w:rsidR="005B6368" w:rsidRDefault="00BE154A" w:rsidP="008835F5">
      <w:r>
        <w:t>The introduction of a</w:t>
      </w:r>
      <w:r w:rsidR="008C3238">
        <w:t xml:space="preserve"> requirement for entities </w:t>
      </w:r>
      <w:r w:rsidR="008C3238" w:rsidRPr="008C4275">
        <w:t xml:space="preserve">to routinely notify the ACMA of </w:t>
      </w:r>
      <w:r>
        <w:t xml:space="preserve">the </w:t>
      </w:r>
      <w:r w:rsidR="008C3238" w:rsidRPr="00CA36BE">
        <w:rPr>
          <w:u w:val="single"/>
        </w:rPr>
        <w:t>rights</w:t>
      </w:r>
      <w:r w:rsidR="008C3238" w:rsidRPr="008C4275">
        <w:t xml:space="preserve"> held </w:t>
      </w:r>
      <w:r>
        <w:t>to anti</w:t>
      </w:r>
      <w:r w:rsidR="00DD79FF">
        <w:noBreakHyphen/>
      </w:r>
      <w:r>
        <w:t xml:space="preserve">siphoning listed events </w:t>
      </w:r>
      <w:r w:rsidR="005B6368">
        <w:t>may</w:t>
      </w:r>
      <w:r w:rsidR="008C3238">
        <w:t xml:space="preserve"> </w:t>
      </w:r>
      <w:r w:rsidR="008C3238" w:rsidRPr="008C4275">
        <w:t xml:space="preserve">assist the regulator with its oversight of the anti-siphoning scheme. </w:t>
      </w:r>
      <w:r w:rsidR="005B6368">
        <w:t xml:space="preserve">However, any such obligation would impose compliance costs on industry and there are likely to be concerns </w:t>
      </w:r>
      <w:r w:rsidR="00DD79FF">
        <w:t xml:space="preserve">about </w:t>
      </w:r>
      <w:r w:rsidR="005B6368">
        <w:t xml:space="preserve">the commercial sensitivity of some of the information </w:t>
      </w:r>
      <w:r w:rsidR="00333C6C">
        <w:t xml:space="preserve">to be </w:t>
      </w:r>
      <w:r w:rsidR="005B6368">
        <w:t>disclosed</w:t>
      </w:r>
      <w:r w:rsidR="00D000EB">
        <w:t>.</w:t>
      </w:r>
    </w:p>
    <w:p w14:paraId="1F30DB34" w14:textId="67B1D610" w:rsidR="005B6368" w:rsidRDefault="005B6368" w:rsidP="008835F5">
      <w:r>
        <w:t xml:space="preserve">A requirement for broadcasters or other entities to disclose information to the regulator regarding the </w:t>
      </w:r>
      <w:r w:rsidRPr="008835F5">
        <w:rPr>
          <w:u w:val="single"/>
        </w:rPr>
        <w:t>coverage</w:t>
      </w:r>
      <w:r>
        <w:t xml:space="preserve"> of anti-siphoning listed events is likely to enhance transparency</w:t>
      </w:r>
      <w:r w:rsidR="00D000EB">
        <w:t xml:space="preserve"> for government and the public regarding </w:t>
      </w:r>
      <w:r w:rsidR="00596529">
        <w:t>the</w:t>
      </w:r>
      <w:r w:rsidR="00D000EB">
        <w:t xml:space="preserve"> coverage</w:t>
      </w:r>
      <w:r w:rsidR="00596529">
        <w:t xml:space="preserve"> of iconic and important events. </w:t>
      </w:r>
      <w:r>
        <w:t xml:space="preserve">However, as with rights information, </w:t>
      </w:r>
      <w:r w:rsidR="00D000EB">
        <w:t>any such obligation to disclose this type of information would</w:t>
      </w:r>
      <w:r>
        <w:t xml:space="preserve"> impose</w:t>
      </w:r>
      <w:r w:rsidR="00D000EB">
        <w:t xml:space="preserve"> </w:t>
      </w:r>
      <w:r>
        <w:t xml:space="preserve">a compliance burden on the affected parties </w:t>
      </w:r>
      <w:r w:rsidR="00D000EB">
        <w:t>that would need to be considered.</w:t>
      </w:r>
    </w:p>
    <w:p w14:paraId="59F2CF11" w14:textId="7904B03F" w:rsidR="00D000EB" w:rsidRDefault="00D000EB" w:rsidP="008835F5">
      <w:r>
        <w:t>The</w:t>
      </w:r>
      <w:r w:rsidR="00596529">
        <w:t>re is likely to be a stronger c</w:t>
      </w:r>
      <w:r>
        <w:t>ase for disclosure requirements if the anti-siphoning scheme were to operate as (or otherwise include) a</w:t>
      </w:r>
      <w:r w:rsidR="00596529">
        <w:t>n</w:t>
      </w:r>
      <w:r>
        <w:t xml:space="preserve"> </w:t>
      </w:r>
      <w:r w:rsidR="00596529">
        <w:t>‘</w:t>
      </w:r>
      <w:r>
        <w:t>offer-based rule</w:t>
      </w:r>
      <w:r w:rsidR="00596529">
        <w:t>’</w:t>
      </w:r>
      <w:r>
        <w:t xml:space="preserve"> (discussed above). </w:t>
      </w:r>
      <w:r w:rsidR="00596529">
        <w:t>With this type of scheme, t</w:t>
      </w:r>
      <w:r>
        <w:t xml:space="preserve">he ACMA would need accurate and timely information on the </w:t>
      </w:r>
      <w:r w:rsidR="00596529">
        <w:t xml:space="preserve">rights </w:t>
      </w:r>
      <w:r>
        <w:t>offers made to free-to-air broadcasters</w:t>
      </w:r>
      <w:r w:rsidR="00596529">
        <w:t xml:space="preserve">, </w:t>
      </w:r>
      <w:r>
        <w:t>and potentially other parties</w:t>
      </w:r>
      <w:r w:rsidR="00596529">
        <w:t xml:space="preserve">, </w:t>
      </w:r>
      <w:r>
        <w:t>in order to effectively administer the scheme.</w:t>
      </w:r>
    </w:p>
    <w:p w14:paraId="1E9DAC0D" w14:textId="7028755E" w:rsidR="005B6368" w:rsidRDefault="00D000EB" w:rsidP="001743B3">
      <w:pPr>
        <w:spacing w:after="240"/>
      </w:pPr>
      <w:r>
        <w:t>Similarly, if the anti-siphoning scheme were to include a coverage obligation for anti-siphoning listed events, then there would be a case for a disclosure obligation to enable the regulat</w:t>
      </w:r>
      <w:r w:rsidR="00596529">
        <w:t>or</w:t>
      </w:r>
      <w:r>
        <w:t xml:space="preserve"> to oversee and enforce the coverage requirement.</w:t>
      </w:r>
    </w:p>
    <w:p w14:paraId="78F13E97" w14:textId="77777777" w:rsidR="00AB68F9" w:rsidRPr="00CF21AA" w:rsidRDefault="00AB68F9" w:rsidP="00AB68F9">
      <w:pPr>
        <w:pStyle w:val="Box2Heading"/>
        <w:pBdr>
          <w:bottom w:val="single" w:sz="4" w:space="0" w:color="F2F6E8" w:themeColor="accent5" w:themeTint="33"/>
        </w:pBdr>
      </w:pPr>
      <w:r>
        <w:t>Questions:</w:t>
      </w:r>
    </w:p>
    <w:p w14:paraId="281768AF" w14:textId="78A5946E" w:rsidR="00AB68F9" w:rsidRPr="00666F79" w:rsidRDefault="00AB68F9" w:rsidP="00AB68F9">
      <w:pPr>
        <w:pStyle w:val="Box2Bullet1"/>
        <w:pBdr>
          <w:bottom w:val="single" w:sz="4" w:space="0" w:color="F2F6E8" w:themeColor="accent5" w:themeTint="33"/>
        </w:pBdr>
        <w:ind w:left="681" w:hanging="397"/>
        <w:rPr>
          <w:sz w:val="22"/>
          <w:szCs w:val="22"/>
        </w:rPr>
      </w:pPr>
      <w:bookmarkStart w:id="517" w:name="_Toc114476291"/>
      <w:bookmarkStart w:id="518" w:name="_Toc116292989"/>
      <w:r w:rsidRPr="00666F79">
        <w:rPr>
          <w:sz w:val="22"/>
          <w:szCs w:val="22"/>
          <w:lang w:val="en-US"/>
        </w:rPr>
        <w:t xml:space="preserve">Is there a case for the imposition of an information disclosure requirement regarding the </w:t>
      </w:r>
      <w:r w:rsidRPr="00666F79">
        <w:rPr>
          <w:sz w:val="22"/>
          <w:szCs w:val="22"/>
          <w:u w:val="single"/>
          <w:lang w:val="en-US"/>
        </w:rPr>
        <w:t>rights</w:t>
      </w:r>
      <w:r w:rsidRPr="00666F79">
        <w:rPr>
          <w:sz w:val="22"/>
          <w:szCs w:val="22"/>
          <w:lang w:val="en-US"/>
        </w:rPr>
        <w:t xml:space="preserve"> held to anti-siphoning listed events? What are the upfront and ongoing compliance costs for such an obligation likely to be? </w:t>
      </w:r>
      <w:r w:rsidR="00596529" w:rsidRPr="00666F79">
        <w:rPr>
          <w:sz w:val="22"/>
          <w:szCs w:val="22"/>
          <w:lang w:val="en-US"/>
        </w:rPr>
        <w:t>Are you able to quantify or provide estimates of any such costs?</w:t>
      </w:r>
      <w:bookmarkEnd w:id="517"/>
      <w:r w:rsidR="0072479E">
        <w:rPr>
          <w:sz w:val="22"/>
          <w:szCs w:val="22"/>
          <w:lang w:val="en-US"/>
        </w:rPr>
        <w:t xml:space="preserve"> What may be some of the considerations relevant to the kinds of information that would be disclosed regarding these rights (e.g. any commercial sensitivities)?</w:t>
      </w:r>
      <w:bookmarkEnd w:id="518"/>
      <w:r w:rsidR="0072479E">
        <w:rPr>
          <w:sz w:val="22"/>
          <w:szCs w:val="22"/>
          <w:lang w:val="en-US"/>
        </w:rPr>
        <w:t xml:space="preserve"> </w:t>
      </w:r>
    </w:p>
    <w:p w14:paraId="5E9C2E12" w14:textId="51F525F1" w:rsidR="00AB68F9" w:rsidRPr="00666F79" w:rsidRDefault="00AB68F9" w:rsidP="00AB68F9">
      <w:pPr>
        <w:pStyle w:val="Box2Bullet1"/>
        <w:pBdr>
          <w:bottom w:val="single" w:sz="4" w:space="0" w:color="F2F6E8" w:themeColor="accent5" w:themeTint="33"/>
        </w:pBdr>
        <w:ind w:left="681" w:hanging="397"/>
        <w:rPr>
          <w:sz w:val="22"/>
          <w:szCs w:val="22"/>
        </w:rPr>
      </w:pPr>
      <w:bookmarkStart w:id="519" w:name="_Toc114476292"/>
      <w:bookmarkStart w:id="520" w:name="_Toc116292990"/>
      <w:r w:rsidRPr="00666F79">
        <w:rPr>
          <w:sz w:val="22"/>
          <w:szCs w:val="22"/>
          <w:lang w:val="en-US"/>
        </w:rPr>
        <w:t xml:space="preserve">Is there a case for the imposition of an information disclosure requirement regarding the </w:t>
      </w:r>
      <w:r w:rsidRPr="00666F79">
        <w:rPr>
          <w:sz w:val="22"/>
          <w:szCs w:val="22"/>
          <w:u w:val="single"/>
          <w:lang w:val="en-US"/>
        </w:rPr>
        <w:t>coverage</w:t>
      </w:r>
      <w:r w:rsidRPr="00666F79">
        <w:rPr>
          <w:sz w:val="22"/>
          <w:szCs w:val="22"/>
          <w:lang w:val="en-US"/>
        </w:rPr>
        <w:t xml:space="preserve"> of events on the anti-siphoning list? What are the upfront and ongoing compliance costs for such an obligation likely to be?</w:t>
      </w:r>
      <w:r w:rsidR="00596529" w:rsidRPr="00666F79">
        <w:rPr>
          <w:sz w:val="22"/>
          <w:szCs w:val="22"/>
          <w:lang w:val="en-US"/>
        </w:rPr>
        <w:t xml:space="preserve"> Are you able to quantify or provide estimates of any such costs?</w:t>
      </w:r>
      <w:bookmarkEnd w:id="519"/>
      <w:bookmarkEnd w:id="520"/>
    </w:p>
    <w:p w14:paraId="6AC1CAAE" w14:textId="34A801C5" w:rsidR="00596529" w:rsidRPr="00666F79" w:rsidRDefault="00596529" w:rsidP="00AB68F9">
      <w:pPr>
        <w:pStyle w:val="Box2Bullet1"/>
        <w:pBdr>
          <w:bottom w:val="single" w:sz="4" w:space="0" w:color="F2F6E8" w:themeColor="accent5" w:themeTint="33"/>
        </w:pBdr>
        <w:ind w:left="681" w:hanging="397"/>
        <w:rPr>
          <w:sz w:val="22"/>
          <w:szCs w:val="22"/>
        </w:rPr>
      </w:pPr>
      <w:bookmarkStart w:id="521" w:name="_Toc114476293"/>
      <w:bookmarkStart w:id="522" w:name="_Toc116292991"/>
      <w:r w:rsidRPr="00666F79">
        <w:rPr>
          <w:sz w:val="22"/>
          <w:szCs w:val="22"/>
          <w:lang w:val="en-US"/>
        </w:rPr>
        <w:t>How should any information disclosure requirement – whether relating to rights of coverage – integrate with other changes to the scheme?</w:t>
      </w:r>
      <w:bookmarkEnd w:id="521"/>
      <w:bookmarkEnd w:id="522"/>
    </w:p>
    <w:p w14:paraId="4C37173A" w14:textId="5FEF3D30" w:rsidR="000A7BBF" w:rsidRPr="00666F79" w:rsidRDefault="00AB68F9" w:rsidP="00CB7EDC">
      <w:pPr>
        <w:pStyle w:val="Box2Bullet1"/>
        <w:pBdr>
          <w:bottom w:val="single" w:sz="4" w:space="0" w:color="F2F6E8" w:themeColor="accent5" w:themeTint="33"/>
        </w:pBdr>
        <w:spacing w:after="0"/>
        <w:ind w:left="681" w:hanging="397"/>
        <w:rPr>
          <w:sz w:val="22"/>
          <w:szCs w:val="22"/>
        </w:rPr>
      </w:pPr>
      <w:bookmarkStart w:id="523" w:name="_Toc114476294"/>
      <w:bookmarkStart w:id="524" w:name="_Toc116292992"/>
      <w:r w:rsidRPr="00666F79">
        <w:rPr>
          <w:sz w:val="22"/>
          <w:szCs w:val="22"/>
          <w:lang w:val="en-US"/>
        </w:rPr>
        <w:lastRenderedPageBreak/>
        <w:t>Should a rights and / or coverage disclosure obligation be mandatory (enforceable through primary or subordinate legislation), or</w:t>
      </w:r>
      <w:r w:rsidR="003F66C0">
        <w:rPr>
          <w:sz w:val="22"/>
          <w:szCs w:val="22"/>
          <w:lang w:val="en-US"/>
        </w:rPr>
        <w:t xml:space="preserve"> should any disclosure be</w:t>
      </w:r>
      <w:r w:rsidRPr="00666F79">
        <w:rPr>
          <w:sz w:val="22"/>
          <w:szCs w:val="22"/>
          <w:lang w:val="en-US"/>
        </w:rPr>
        <w:t xml:space="preserve"> voluntary?</w:t>
      </w:r>
      <w:bookmarkEnd w:id="523"/>
      <w:bookmarkEnd w:id="524"/>
    </w:p>
    <w:p w14:paraId="348EB6B7" w14:textId="77777777" w:rsidR="00F95F8F" w:rsidRPr="00B0205D" w:rsidRDefault="00F95F8F" w:rsidP="00F95F8F">
      <w:pPr>
        <w:pStyle w:val="Box2Bullet1"/>
        <w:numPr>
          <w:ilvl w:val="0"/>
          <w:numId w:val="0"/>
        </w:numPr>
        <w:pBdr>
          <w:bottom w:val="single" w:sz="4" w:space="0" w:color="F2F6E8" w:themeColor="accent5" w:themeTint="33"/>
        </w:pBdr>
        <w:ind w:left="284"/>
      </w:pPr>
    </w:p>
    <w:p w14:paraId="3EAB5BE3" w14:textId="77777777" w:rsidR="0072479E" w:rsidRDefault="0072479E" w:rsidP="0072479E">
      <w:bookmarkStart w:id="525" w:name="_Toc113361298"/>
    </w:p>
    <w:p w14:paraId="559C3FEE" w14:textId="0DDEFD62" w:rsidR="007B544D" w:rsidRPr="00BC771F" w:rsidRDefault="003949EA" w:rsidP="00BC771F">
      <w:pPr>
        <w:pStyle w:val="Heading1"/>
        <w:spacing w:before="0"/>
      </w:pPr>
      <w:bookmarkStart w:id="526" w:name="_Toc116061436"/>
      <w:r>
        <w:t xml:space="preserve">Chapter 6: </w:t>
      </w:r>
      <w:r w:rsidR="0090495A">
        <w:t>Th</w:t>
      </w:r>
      <w:r w:rsidR="0090495A" w:rsidRPr="00BC771F">
        <w:t>e composition of the</w:t>
      </w:r>
      <w:r w:rsidR="008F0370">
        <w:t xml:space="preserve"> anti-siphoning</w:t>
      </w:r>
      <w:r w:rsidR="0090495A" w:rsidRPr="00BC771F">
        <w:t xml:space="preserve"> list</w:t>
      </w:r>
      <w:bookmarkEnd w:id="525"/>
      <w:bookmarkEnd w:id="526"/>
    </w:p>
    <w:p w14:paraId="7A7E3EB4" w14:textId="28DCC06D" w:rsidR="0090495A" w:rsidRDefault="00CE16D6" w:rsidP="00B22819">
      <w:pPr>
        <w:pStyle w:val="Heading2"/>
      </w:pPr>
      <w:bookmarkStart w:id="527" w:name="_Toc113361299"/>
      <w:bookmarkStart w:id="528" w:name="_Toc114476295"/>
      <w:bookmarkStart w:id="529" w:name="_Toc116061437"/>
      <w:bookmarkStart w:id="530" w:name="_Toc116292993"/>
      <w:r>
        <w:t xml:space="preserve">Sports on the </w:t>
      </w:r>
      <w:r w:rsidR="008F0370">
        <w:t xml:space="preserve">anti-siphoning </w:t>
      </w:r>
      <w:r>
        <w:t>list</w:t>
      </w:r>
      <w:bookmarkEnd w:id="527"/>
      <w:bookmarkEnd w:id="528"/>
      <w:bookmarkEnd w:id="529"/>
      <w:bookmarkEnd w:id="530"/>
    </w:p>
    <w:p w14:paraId="11FA9BC7" w14:textId="542F2687" w:rsidR="00CE16D6" w:rsidRPr="00BC771F" w:rsidRDefault="00CE16D6" w:rsidP="00BC771F">
      <w:pPr>
        <w:pStyle w:val="Heading3"/>
        <w:rPr>
          <w:lang w:val="en-US"/>
        </w:rPr>
      </w:pPr>
      <w:bookmarkStart w:id="531" w:name="_Toc111752624"/>
      <w:bookmarkStart w:id="532" w:name="_Toc111795311"/>
      <w:bookmarkStart w:id="533" w:name="_Toc111800727"/>
      <w:bookmarkStart w:id="534" w:name="_Toc111803422"/>
      <w:bookmarkStart w:id="535" w:name="_Toc111813834"/>
      <w:bookmarkStart w:id="536" w:name="_Toc112321016"/>
      <w:bookmarkStart w:id="537" w:name="_Toc113361300"/>
      <w:bookmarkStart w:id="538" w:name="_Toc113361808"/>
      <w:bookmarkStart w:id="539" w:name="_Toc114487414"/>
      <w:bookmarkStart w:id="540" w:name="_Toc116044880"/>
      <w:bookmarkStart w:id="541" w:name="_Toc116061438"/>
      <w:r w:rsidRPr="00BC771F">
        <w:rPr>
          <w:lang w:val="en-US"/>
        </w:rPr>
        <w:t>Status</w:t>
      </w:r>
      <w:bookmarkEnd w:id="531"/>
      <w:bookmarkEnd w:id="532"/>
      <w:bookmarkEnd w:id="533"/>
      <w:bookmarkEnd w:id="534"/>
      <w:bookmarkEnd w:id="535"/>
      <w:bookmarkEnd w:id="536"/>
      <w:bookmarkEnd w:id="537"/>
      <w:bookmarkEnd w:id="538"/>
      <w:bookmarkEnd w:id="539"/>
      <w:bookmarkEnd w:id="540"/>
      <w:bookmarkEnd w:id="541"/>
    </w:p>
    <w:p w14:paraId="5245CBE5" w14:textId="6399A2F6" w:rsidR="00CE16D6" w:rsidRDefault="00CE16D6" w:rsidP="00C77E71">
      <w:r>
        <w:t>The current anti-siphoning list expires on 1 April 2023. If the scheme is to continue, a new list will need to be made before this time. This presents an opportunity to consider the sports that should be included in a new list.</w:t>
      </w:r>
    </w:p>
    <w:p w14:paraId="2C35DFF4" w14:textId="37DB5125" w:rsidR="00CE16D6" w:rsidRPr="00BC771F" w:rsidRDefault="00CE16D6" w:rsidP="00BC771F">
      <w:pPr>
        <w:pStyle w:val="Heading3"/>
        <w:rPr>
          <w:lang w:val="en-US"/>
        </w:rPr>
      </w:pPr>
      <w:bookmarkStart w:id="542" w:name="_Toc111752625"/>
      <w:bookmarkStart w:id="543" w:name="_Toc111795312"/>
      <w:bookmarkStart w:id="544" w:name="_Toc111800728"/>
      <w:bookmarkStart w:id="545" w:name="_Toc111803423"/>
      <w:bookmarkStart w:id="546" w:name="_Toc111813835"/>
      <w:bookmarkStart w:id="547" w:name="_Toc112321017"/>
      <w:bookmarkStart w:id="548" w:name="_Toc113361301"/>
      <w:bookmarkStart w:id="549" w:name="_Toc113361809"/>
      <w:bookmarkStart w:id="550" w:name="_Toc114487415"/>
      <w:bookmarkStart w:id="551" w:name="_Toc116044881"/>
      <w:bookmarkStart w:id="552" w:name="_Toc116061439"/>
      <w:r w:rsidRPr="00BC771F">
        <w:rPr>
          <w:lang w:val="en-US"/>
        </w:rPr>
        <w:t>Discussion</w:t>
      </w:r>
      <w:bookmarkEnd w:id="542"/>
      <w:bookmarkEnd w:id="543"/>
      <w:bookmarkEnd w:id="544"/>
      <w:bookmarkEnd w:id="545"/>
      <w:bookmarkEnd w:id="546"/>
      <w:bookmarkEnd w:id="547"/>
      <w:bookmarkEnd w:id="548"/>
      <w:bookmarkEnd w:id="549"/>
      <w:bookmarkEnd w:id="550"/>
      <w:bookmarkEnd w:id="551"/>
      <w:bookmarkEnd w:id="552"/>
    </w:p>
    <w:p w14:paraId="41828271" w14:textId="1BAC2BB8" w:rsidR="005B46D5" w:rsidRDefault="00C4566C" w:rsidP="00666F79">
      <w:pPr>
        <w:rPr>
          <w:lang w:val="en-US"/>
        </w:rPr>
      </w:pPr>
      <w:r>
        <w:rPr>
          <w:lang w:val="en-US"/>
        </w:rPr>
        <w:t>As noted above</w:t>
      </w:r>
      <w:r w:rsidR="005B46D5">
        <w:rPr>
          <w:lang w:val="en-US"/>
        </w:rPr>
        <w:t>,</w:t>
      </w:r>
      <w:r>
        <w:rPr>
          <w:lang w:val="en-US"/>
        </w:rPr>
        <w:t xml:space="preserve"> there are currently eleven sports (including the Olympic and Commonwealth Games) on the anti-siphoning list</w:t>
      </w:r>
      <w:r w:rsidR="005B46D5">
        <w:rPr>
          <w:lang w:val="en-US"/>
        </w:rPr>
        <w:t>.</w:t>
      </w:r>
    </w:p>
    <w:p w14:paraId="68E43D49" w14:textId="393A0ADE" w:rsidR="00D75E91" w:rsidRPr="00AB13BA" w:rsidRDefault="00D75E91" w:rsidP="00D75E91">
      <w:pPr>
        <w:pStyle w:val="Caption"/>
        <w:keepNext/>
      </w:pPr>
      <w:bookmarkStart w:id="553" w:name="_Toc112235052"/>
      <w:bookmarkStart w:id="554" w:name="_Toc114487435"/>
      <w:r>
        <w:t xml:space="preserve">Table </w:t>
      </w:r>
      <w:r w:rsidR="00537149" w:rsidRPr="00537149">
        <w:t>4</w:t>
      </w:r>
      <w:r w:rsidRPr="00806173">
        <w:t xml:space="preserve">: Sports currently included </w:t>
      </w:r>
      <w:r w:rsidR="00B07BBC">
        <w:t>on</w:t>
      </w:r>
      <w:r w:rsidRPr="00806173">
        <w:t xml:space="preserve"> the </w:t>
      </w:r>
      <w:r w:rsidR="008F0370">
        <w:t xml:space="preserve">anti-siphoning </w:t>
      </w:r>
      <w:r w:rsidRPr="00806173">
        <w:t>list</w:t>
      </w:r>
      <w:bookmarkEnd w:id="553"/>
      <w:bookmarkEnd w:id="554"/>
    </w:p>
    <w:tbl>
      <w:tblPr>
        <w:tblStyle w:val="DefaultTable11"/>
        <w:tblW w:w="4995" w:type="pct"/>
        <w:tblLook w:val="04E0" w:firstRow="1" w:lastRow="1" w:firstColumn="1" w:lastColumn="0" w:noHBand="0" w:noVBand="1"/>
        <w:tblCaption w:val="Sample table"/>
        <w:tblDescription w:val="Sample table"/>
      </w:tblPr>
      <w:tblGrid>
        <w:gridCol w:w="3286"/>
        <w:gridCol w:w="3285"/>
        <w:gridCol w:w="3283"/>
      </w:tblGrid>
      <w:tr w:rsidR="00482307" w14:paraId="50AA17BC" w14:textId="4B3AA958" w:rsidTr="00482307">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667" w:type="pct"/>
          </w:tcPr>
          <w:p w14:paraId="170FF65C" w14:textId="77777777" w:rsidR="00482307" w:rsidRDefault="00482307" w:rsidP="0058174B">
            <w:r>
              <w:t>Sport</w:t>
            </w:r>
          </w:p>
        </w:tc>
        <w:tc>
          <w:tcPr>
            <w:tcW w:w="1667" w:type="pct"/>
          </w:tcPr>
          <w:p w14:paraId="2B4ECCF5" w14:textId="77777777" w:rsidR="00482307" w:rsidRDefault="00482307" w:rsidP="0058174B">
            <w:pPr>
              <w:cnfStyle w:val="100000000000" w:firstRow="1" w:lastRow="0" w:firstColumn="0" w:lastColumn="0" w:oddVBand="0" w:evenVBand="0" w:oddHBand="0" w:evenHBand="0" w:firstRowFirstColumn="0" w:firstRowLastColumn="0" w:lastRowFirstColumn="0" w:lastRowLastColumn="0"/>
            </w:pPr>
          </w:p>
        </w:tc>
        <w:tc>
          <w:tcPr>
            <w:tcW w:w="1666" w:type="pct"/>
          </w:tcPr>
          <w:p w14:paraId="247F6CF0" w14:textId="77777777" w:rsidR="00482307" w:rsidRDefault="00482307" w:rsidP="0058174B">
            <w:pPr>
              <w:cnfStyle w:val="100000000000" w:firstRow="1" w:lastRow="0" w:firstColumn="0" w:lastColumn="0" w:oddVBand="0" w:evenVBand="0" w:oddHBand="0" w:evenHBand="0" w:firstRowFirstColumn="0" w:firstRowLastColumn="0" w:lastRowFirstColumn="0" w:lastRowLastColumn="0"/>
            </w:pPr>
          </w:p>
        </w:tc>
      </w:tr>
      <w:tr w:rsidR="00482307" w14:paraId="025A4570" w14:textId="51654893" w:rsidTr="00482307">
        <w:trPr>
          <w:trHeight w:val="392"/>
        </w:trPr>
        <w:tc>
          <w:tcPr>
            <w:cnfStyle w:val="001000000000" w:firstRow="0" w:lastRow="0" w:firstColumn="1" w:lastColumn="0" w:oddVBand="0" w:evenVBand="0" w:oddHBand="0" w:evenHBand="0" w:firstRowFirstColumn="0" w:firstRowLastColumn="0" w:lastRowFirstColumn="0" w:lastRowLastColumn="0"/>
            <w:tcW w:w="1667" w:type="pct"/>
          </w:tcPr>
          <w:p w14:paraId="285D6482" w14:textId="1747DE39" w:rsidR="00482307" w:rsidRPr="00482307" w:rsidRDefault="00482307" w:rsidP="0058174B">
            <w:pPr>
              <w:spacing w:before="60" w:after="60"/>
              <w:rPr>
                <w:b w:val="0"/>
              </w:rPr>
            </w:pPr>
            <w:r w:rsidRPr="00482307">
              <w:rPr>
                <w:b w:val="0"/>
              </w:rPr>
              <w:t>Olympic Games</w:t>
            </w:r>
          </w:p>
        </w:tc>
        <w:tc>
          <w:tcPr>
            <w:tcW w:w="1667" w:type="pct"/>
          </w:tcPr>
          <w:p w14:paraId="3F5F8DFE" w14:textId="24124E9D" w:rsidR="00482307" w:rsidRDefault="00482307" w:rsidP="0058174B">
            <w:pPr>
              <w:spacing w:before="60" w:after="60"/>
              <w:cnfStyle w:val="000000000000" w:firstRow="0" w:lastRow="0" w:firstColumn="0" w:lastColumn="0" w:oddVBand="0" w:evenVBand="0" w:oddHBand="0" w:evenHBand="0" w:firstRowFirstColumn="0" w:firstRowLastColumn="0" w:lastRowFirstColumn="0" w:lastRowLastColumn="0"/>
            </w:pPr>
            <w:r>
              <w:t>Commonwealth Games</w:t>
            </w:r>
          </w:p>
        </w:tc>
        <w:tc>
          <w:tcPr>
            <w:tcW w:w="1666" w:type="pct"/>
          </w:tcPr>
          <w:p w14:paraId="359E0678" w14:textId="49670572" w:rsidR="00482307" w:rsidRDefault="00482307" w:rsidP="0058174B">
            <w:pPr>
              <w:spacing w:before="60" w:after="60"/>
              <w:cnfStyle w:val="000000000000" w:firstRow="0" w:lastRow="0" w:firstColumn="0" w:lastColumn="0" w:oddVBand="0" w:evenVBand="0" w:oddHBand="0" w:evenHBand="0" w:firstRowFirstColumn="0" w:firstRowLastColumn="0" w:lastRowFirstColumn="0" w:lastRowLastColumn="0"/>
            </w:pPr>
            <w:r>
              <w:t>Horse racing</w:t>
            </w:r>
          </w:p>
        </w:tc>
      </w:tr>
      <w:tr w:rsidR="00482307" w14:paraId="71E87032" w14:textId="658E424F" w:rsidTr="00482307">
        <w:trPr>
          <w:cnfStyle w:val="000000010000" w:firstRow="0" w:lastRow="0" w:firstColumn="0" w:lastColumn="0" w:oddVBand="0" w:evenVBand="0" w:oddHBand="0" w:evenHBand="1"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1667" w:type="pct"/>
          </w:tcPr>
          <w:p w14:paraId="5C269268" w14:textId="195A99E6" w:rsidR="00482307" w:rsidRPr="00482307" w:rsidRDefault="00482307" w:rsidP="0058174B">
            <w:pPr>
              <w:spacing w:before="60" w:after="60"/>
              <w:rPr>
                <w:b w:val="0"/>
              </w:rPr>
            </w:pPr>
            <w:r w:rsidRPr="00482307">
              <w:rPr>
                <w:b w:val="0"/>
              </w:rPr>
              <w:t>AFL</w:t>
            </w:r>
          </w:p>
        </w:tc>
        <w:tc>
          <w:tcPr>
            <w:tcW w:w="1667" w:type="pct"/>
          </w:tcPr>
          <w:p w14:paraId="458B5A81" w14:textId="547BFA56" w:rsidR="00482307" w:rsidRDefault="00482307" w:rsidP="0058174B">
            <w:pPr>
              <w:spacing w:before="60" w:after="60"/>
              <w:cnfStyle w:val="000000010000" w:firstRow="0" w:lastRow="0" w:firstColumn="0" w:lastColumn="0" w:oddVBand="0" w:evenVBand="0" w:oddHBand="0" w:evenHBand="1" w:firstRowFirstColumn="0" w:firstRowLastColumn="0" w:lastRowFirstColumn="0" w:lastRowLastColumn="0"/>
            </w:pPr>
            <w:r w:rsidRPr="0055699B">
              <w:t>Rugby League</w:t>
            </w:r>
          </w:p>
        </w:tc>
        <w:tc>
          <w:tcPr>
            <w:tcW w:w="1666" w:type="pct"/>
          </w:tcPr>
          <w:p w14:paraId="1D92ABAA" w14:textId="70FD706E" w:rsidR="00482307" w:rsidRDefault="00482307" w:rsidP="0058174B">
            <w:pPr>
              <w:spacing w:before="60" w:after="60"/>
              <w:cnfStyle w:val="000000010000" w:firstRow="0" w:lastRow="0" w:firstColumn="0" w:lastColumn="0" w:oddVBand="0" w:evenVBand="0" w:oddHBand="0" w:evenHBand="1" w:firstRowFirstColumn="0" w:firstRowLastColumn="0" w:lastRowFirstColumn="0" w:lastRowLastColumn="0"/>
            </w:pPr>
            <w:r w:rsidRPr="0055699B">
              <w:t>Rugby Union</w:t>
            </w:r>
          </w:p>
        </w:tc>
      </w:tr>
      <w:tr w:rsidR="00482307" w14:paraId="59C0D688" w14:textId="387D1356" w:rsidTr="00482307">
        <w:trPr>
          <w:trHeight w:val="382"/>
        </w:trPr>
        <w:tc>
          <w:tcPr>
            <w:cnfStyle w:val="001000000000" w:firstRow="0" w:lastRow="0" w:firstColumn="1" w:lastColumn="0" w:oddVBand="0" w:evenVBand="0" w:oddHBand="0" w:evenHBand="0" w:firstRowFirstColumn="0" w:firstRowLastColumn="0" w:lastRowFirstColumn="0" w:lastRowLastColumn="0"/>
            <w:tcW w:w="1667" w:type="pct"/>
          </w:tcPr>
          <w:p w14:paraId="7D2533E8" w14:textId="3C62C337" w:rsidR="00482307" w:rsidRPr="00482307" w:rsidRDefault="00482307" w:rsidP="0058174B">
            <w:pPr>
              <w:spacing w:before="60" w:after="60"/>
              <w:rPr>
                <w:b w:val="0"/>
              </w:rPr>
            </w:pPr>
            <w:r w:rsidRPr="00482307">
              <w:rPr>
                <w:b w:val="0"/>
              </w:rPr>
              <w:t>Cricket</w:t>
            </w:r>
          </w:p>
        </w:tc>
        <w:tc>
          <w:tcPr>
            <w:tcW w:w="1667" w:type="pct"/>
          </w:tcPr>
          <w:p w14:paraId="5FCD0CDD" w14:textId="6B7AB7C6" w:rsidR="00482307" w:rsidRDefault="00482307" w:rsidP="0058174B">
            <w:pPr>
              <w:spacing w:before="60" w:after="60"/>
              <w:cnfStyle w:val="000000000000" w:firstRow="0" w:lastRow="0" w:firstColumn="0" w:lastColumn="0" w:oddVBand="0" w:evenVBand="0" w:oddHBand="0" w:evenHBand="0" w:firstRowFirstColumn="0" w:firstRowLastColumn="0" w:lastRowFirstColumn="0" w:lastRowLastColumn="0"/>
            </w:pPr>
            <w:r w:rsidRPr="0055699B">
              <w:t>Soccer</w:t>
            </w:r>
          </w:p>
        </w:tc>
        <w:tc>
          <w:tcPr>
            <w:tcW w:w="1666" w:type="pct"/>
          </w:tcPr>
          <w:p w14:paraId="315BADE6" w14:textId="224611B3" w:rsidR="00482307" w:rsidRDefault="00482307" w:rsidP="0058174B">
            <w:pPr>
              <w:spacing w:before="60" w:after="60"/>
              <w:cnfStyle w:val="000000000000" w:firstRow="0" w:lastRow="0" w:firstColumn="0" w:lastColumn="0" w:oddVBand="0" w:evenVBand="0" w:oddHBand="0" w:evenHBand="0" w:firstRowFirstColumn="0" w:firstRowLastColumn="0" w:lastRowFirstColumn="0" w:lastRowLastColumn="0"/>
            </w:pPr>
            <w:r w:rsidRPr="0055699B">
              <w:t>Tennis</w:t>
            </w:r>
          </w:p>
        </w:tc>
      </w:tr>
      <w:tr w:rsidR="00482307" w14:paraId="603568AD" w14:textId="4E83E292" w:rsidTr="00482307">
        <w:trPr>
          <w:cnfStyle w:val="010000000000" w:firstRow="0" w:lastRow="1" w:firstColumn="0" w:lastColumn="0" w:oddVBand="0" w:evenVBand="0" w:oddHBand="0"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1667" w:type="pct"/>
            <w:shd w:val="clear" w:color="auto" w:fill="F2F2F2" w:themeFill="background1" w:themeFillShade="F2"/>
          </w:tcPr>
          <w:p w14:paraId="55F30C33" w14:textId="7D419BC4" w:rsidR="00482307" w:rsidRPr="00482307" w:rsidRDefault="00482307" w:rsidP="0058174B">
            <w:pPr>
              <w:spacing w:before="60" w:after="60"/>
              <w:rPr>
                <w:b w:val="0"/>
              </w:rPr>
            </w:pPr>
            <w:r w:rsidRPr="00482307">
              <w:rPr>
                <w:b w:val="0"/>
              </w:rPr>
              <w:t>Netball</w:t>
            </w:r>
          </w:p>
        </w:tc>
        <w:tc>
          <w:tcPr>
            <w:tcW w:w="1667" w:type="pct"/>
            <w:shd w:val="clear" w:color="auto" w:fill="F2F2F2" w:themeFill="background1" w:themeFillShade="F2"/>
          </w:tcPr>
          <w:p w14:paraId="670E5D17" w14:textId="00C7406D" w:rsidR="00482307" w:rsidRPr="00482307" w:rsidRDefault="00482307" w:rsidP="0058174B">
            <w:pPr>
              <w:spacing w:before="60" w:after="60"/>
              <w:cnfStyle w:val="010000000000" w:firstRow="0" w:lastRow="1" w:firstColumn="0" w:lastColumn="0" w:oddVBand="0" w:evenVBand="0" w:oddHBand="0" w:evenHBand="0" w:firstRowFirstColumn="0" w:firstRowLastColumn="0" w:lastRowFirstColumn="0" w:lastRowLastColumn="0"/>
              <w:rPr>
                <w:b w:val="0"/>
              </w:rPr>
            </w:pPr>
            <w:r w:rsidRPr="00482307">
              <w:rPr>
                <w:b w:val="0"/>
              </w:rPr>
              <w:t>Motor Sports</w:t>
            </w:r>
          </w:p>
        </w:tc>
        <w:tc>
          <w:tcPr>
            <w:tcW w:w="1666" w:type="pct"/>
            <w:shd w:val="clear" w:color="auto" w:fill="F2F2F2" w:themeFill="background1" w:themeFillShade="F2"/>
          </w:tcPr>
          <w:p w14:paraId="3497EC2F" w14:textId="77777777" w:rsidR="00482307" w:rsidRPr="00482307" w:rsidRDefault="00482307" w:rsidP="0058174B">
            <w:pPr>
              <w:spacing w:before="60" w:after="60"/>
              <w:cnfStyle w:val="010000000000" w:firstRow="0" w:lastRow="1" w:firstColumn="0" w:lastColumn="0" w:oddVBand="0" w:evenVBand="0" w:oddHBand="0" w:evenHBand="0" w:firstRowFirstColumn="0" w:firstRowLastColumn="0" w:lastRowFirstColumn="0" w:lastRowLastColumn="0"/>
              <w:rPr>
                <w:b w:val="0"/>
              </w:rPr>
            </w:pPr>
          </w:p>
        </w:tc>
      </w:tr>
    </w:tbl>
    <w:p w14:paraId="5E60EA78" w14:textId="29AA7F26" w:rsidR="00CE16D6" w:rsidRDefault="000C2508" w:rsidP="00885CFE">
      <w:pPr>
        <w:rPr>
          <w:lang w:val="en-US"/>
        </w:rPr>
      </w:pPr>
      <w:r>
        <w:rPr>
          <w:lang w:val="en-US"/>
        </w:rPr>
        <w:t xml:space="preserve">The </w:t>
      </w:r>
      <w:r w:rsidR="008F0370">
        <w:rPr>
          <w:lang w:val="en-US"/>
        </w:rPr>
        <w:t xml:space="preserve">anti-siphoning </w:t>
      </w:r>
      <w:r>
        <w:rPr>
          <w:lang w:val="en-US"/>
        </w:rPr>
        <w:t xml:space="preserve">list has been amended a number of times since its introduction. Most recently, in 2017 golf </w:t>
      </w:r>
      <w:r w:rsidR="006A4956">
        <w:rPr>
          <w:lang w:val="en-US"/>
        </w:rPr>
        <w:t>and a number of international events were r</w:t>
      </w:r>
      <w:r>
        <w:rPr>
          <w:lang w:val="en-US"/>
        </w:rPr>
        <w:t>emoved from the list.</w:t>
      </w:r>
    </w:p>
    <w:p w14:paraId="40E1569B" w14:textId="09029D55" w:rsidR="006C2E9B" w:rsidRDefault="00C4566C" w:rsidP="00885CFE">
      <w:pPr>
        <w:rPr>
          <w:lang w:val="en-US"/>
        </w:rPr>
      </w:pPr>
      <w:r>
        <w:rPr>
          <w:lang w:val="en-US"/>
        </w:rPr>
        <w:t>Th</w:t>
      </w:r>
      <w:r w:rsidR="005B46D5">
        <w:rPr>
          <w:lang w:val="en-US"/>
        </w:rPr>
        <w:t xml:space="preserve">e review will consider the composition of </w:t>
      </w:r>
      <w:r w:rsidR="00B07BBC">
        <w:rPr>
          <w:lang w:val="en-US"/>
        </w:rPr>
        <w:t>a new</w:t>
      </w:r>
      <w:r w:rsidR="005B46D5">
        <w:rPr>
          <w:lang w:val="en-US"/>
        </w:rPr>
        <w:t xml:space="preserve"> list, including both the sports </w:t>
      </w:r>
      <w:r w:rsidR="00A80E94">
        <w:rPr>
          <w:lang w:val="en-US"/>
        </w:rPr>
        <w:t>and events</w:t>
      </w:r>
      <w:r w:rsidR="005B46D5">
        <w:rPr>
          <w:lang w:val="en-US"/>
        </w:rPr>
        <w:t xml:space="preserve"> that are represented. </w:t>
      </w:r>
      <w:r w:rsidR="006C2E9B">
        <w:rPr>
          <w:lang w:val="en-US"/>
        </w:rPr>
        <w:t>A</w:t>
      </w:r>
      <w:r w:rsidR="00B07BBC">
        <w:rPr>
          <w:lang w:val="en-US"/>
        </w:rPr>
        <w:t>n important</w:t>
      </w:r>
      <w:r w:rsidR="006C2E9B">
        <w:rPr>
          <w:lang w:val="en-US"/>
        </w:rPr>
        <w:t xml:space="preserve"> question in this regard relates to gender.</w:t>
      </w:r>
    </w:p>
    <w:p w14:paraId="2B7218D0" w14:textId="051A6BF6" w:rsidR="00B07BBC" w:rsidRPr="00F95F8F" w:rsidRDefault="006C2E9B" w:rsidP="00B07BBC">
      <w:pPr>
        <w:rPr>
          <w:lang w:val="en-US"/>
        </w:rPr>
      </w:pPr>
      <w:r>
        <w:rPr>
          <w:lang w:val="en-US"/>
        </w:rPr>
        <w:t xml:space="preserve">At present, </w:t>
      </w:r>
      <w:r w:rsidR="009437D6">
        <w:rPr>
          <w:lang w:val="en-US"/>
        </w:rPr>
        <w:t xml:space="preserve">a number of competitions </w:t>
      </w:r>
      <w:r w:rsidR="00B07BBC">
        <w:rPr>
          <w:lang w:val="en-US"/>
        </w:rPr>
        <w:t xml:space="preserve">represented </w:t>
      </w:r>
      <w:r w:rsidR="009437D6">
        <w:rPr>
          <w:lang w:val="en-US"/>
        </w:rPr>
        <w:t xml:space="preserve">on the </w:t>
      </w:r>
      <w:r w:rsidR="008F0370">
        <w:rPr>
          <w:lang w:val="en-US"/>
        </w:rPr>
        <w:t xml:space="preserve">anti-siphoning </w:t>
      </w:r>
      <w:r w:rsidR="00B07BBC">
        <w:rPr>
          <w:lang w:val="en-US"/>
        </w:rPr>
        <w:t xml:space="preserve">list </w:t>
      </w:r>
      <w:r w:rsidR="00396D87">
        <w:rPr>
          <w:lang w:val="en-US"/>
        </w:rPr>
        <w:t xml:space="preserve">effectively </w:t>
      </w:r>
      <w:r w:rsidR="008607C6">
        <w:rPr>
          <w:lang w:val="en-US"/>
        </w:rPr>
        <w:t xml:space="preserve">refer </w:t>
      </w:r>
      <w:r w:rsidR="00396D87">
        <w:rPr>
          <w:lang w:val="en-US"/>
        </w:rPr>
        <w:t xml:space="preserve">– </w:t>
      </w:r>
      <w:r w:rsidR="00E578FF">
        <w:rPr>
          <w:lang w:val="en-US"/>
        </w:rPr>
        <w:t xml:space="preserve">either by naming convention or by </w:t>
      </w:r>
      <w:r w:rsidR="00396D87">
        <w:rPr>
          <w:lang w:val="en-US"/>
        </w:rPr>
        <w:t xml:space="preserve">the absence of alternative wording – </w:t>
      </w:r>
      <w:r w:rsidR="008607C6">
        <w:rPr>
          <w:lang w:val="en-US"/>
        </w:rPr>
        <w:t xml:space="preserve">to the men’s competition. </w:t>
      </w:r>
      <w:r w:rsidR="00396D87">
        <w:rPr>
          <w:lang w:val="en-US"/>
        </w:rPr>
        <w:t xml:space="preserve">In part, </w:t>
      </w:r>
      <w:r w:rsidR="00396D87">
        <w:t>t</w:t>
      </w:r>
      <w:r w:rsidR="00B07BBC" w:rsidRPr="00106A78">
        <w:t>his reflect</w:t>
      </w:r>
      <w:r w:rsidR="00B07BBC">
        <w:t>s</w:t>
      </w:r>
      <w:r w:rsidR="00B07BBC" w:rsidRPr="00106A78">
        <w:t xml:space="preserve"> the fact that these </w:t>
      </w:r>
      <w:r w:rsidR="00B07BBC">
        <w:t xml:space="preserve">particular </w:t>
      </w:r>
      <w:r w:rsidR="00B07BBC" w:rsidRPr="00106A78">
        <w:t>men’s competitions have a long history</w:t>
      </w:r>
      <w:r w:rsidR="00396D87">
        <w:t xml:space="preserve"> and have traditionally </w:t>
      </w:r>
      <w:r w:rsidR="00B07BBC" w:rsidRPr="00106A78">
        <w:t>receive</w:t>
      </w:r>
      <w:r w:rsidR="00396D87">
        <w:t>d</w:t>
      </w:r>
      <w:r w:rsidR="00B07BBC" w:rsidRPr="00106A78">
        <w:t xml:space="preserve"> extensive free-to-air television coverage and command</w:t>
      </w:r>
      <w:r w:rsidR="00396D87">
        <w:t xml:space="preserve">ed </w:t>
      </w:r>
      <w:r w:rsidR="00B07BBC" w:rsidRPr="00106A78">
        <w:t>significant audiences.</w:t>
      </w:r>
    </w:p>
    <w:p w14:paraId="2BD9FD45" w14:textId="5DC4761A" w:rsidR="006E41EB" w:rsidRDefault="00B07BBC" w:rsidP="00B07BBC">
      <w:r>
        <w:t xml:space="preserve">It is also the case that </w:t>
      </w:r>
      <w:r w:rsidR="00396D87">
        <w:t xml:space="preserve">a number of </w:t>
      </w:r>
      <w:r w:rsidRPr="00106A78">
        <w:t xml:space="preserve">women’s </w:t>
      </w:r>
      <w:r w:rsidR="00396D87">
        <w:t>competitions</w:t>
      </w:r>
      <w:r w:rsidR="00396D87" w:rsidRPr="00106A78">
        <w:t xml:space="preserve"> </w:t>
      </w:r>
      <w:r w:rsidRPr="00106A78">
        <w:t>have</w:t>
      </w:r>
      <w:r>
        <w:t xml:space="preserve"> generally </w:t>
      </w:r>
      <w:r w:rsidR="006E41EB">
        <w:t xml:space="preserve">only come into </w:t>
      </w:r>
      <w:r>
        <w:t xml:space="preserve">existence </w:t>
      </w:r>
      <w:r w:rsidR="006E41EB">
        <w:t xml:space="preserve">relatively recently. </w:t>
      </w:r>
      <w:r>
        <w:t>For example, in AFL, the AFLW’s first game was in February 2017. Similarly, in rugby league, the NRLW’s first season began in September 2018.</w:t>
      </w:r>
    </w:p>
    <w:p w14:paraId="7F6FDE3C" w14:textId="4246958E" w:rsidR="006E41EB" w:rsidRDefault="006E41EB" w:rsidP="00B07BBC">
      <w:r>
        <w:t xml:space="preserve">The review will consider whether it is appropriate for these and other women’s competitions to be added to the </w:t>
      </w:r>
      <w:r w:rsidR="008F0370">
        <w:t xml:space="preserve">anti-siphoning </w:t>
      </w:r>
      <w:r>
        <w:t>list.</w:t>
      </w:r>
    </w:p>
    <w:p w14:paraId="63091C02" w14:textId="4D93750D" w:rsidR="00142F9E" w:rsidRDefault="00396D87" w:rsidP="00D33051">
      <w:r>
        <w:t xml:space="preserve">The </w:t>
      </w:r>
      <w:r w:rsidR="009249C6">
        <w:t>current</w:t>
      </w:r>
      <w:r w:rsidR="008F0370">
        <w:t xml:space="preserve"> anti-siphoning</w:t>
      </w:r>
      <w:r w:rsidR="009249C6">
        <w:t xml:space="preserve"> </w:t>
      </w:r>
      <w:r>
        <w:t xml:space="preserve">list also only includes sports, and does not include </w:t>
      </w:r>
      <w:r w:rsidR="0027052C">
        <w:t>other events that may be of national importance and cultural significance. This might include, for example, the A</w:t>
      </w:r>
      <w:r w:rsidR="002649E4">
        <w:t>NZAC</w:t>
      </w:r>
      <w:r w:rsidR="0027052C">
        <w:t xml:space="preserve"> Day commemorations. However, as noted in Chapter 4, the broadcast and media rights for these non-sporting events are typically not made available or traded on an exclusive basis. Broadcasters can choose to provide </w:t>
      </w:r>
      <w:r w:rsidR="0027052C">
        <w:lastRenderedPageBreak/>
        <w:t>coverage of such events, and hence there is a lower risk of such events being siphoned behind a paywall compared with sporting events.</w:t>
      </w:r>
    </w:p>
    <w:p w14:paraId="589CC192" w14:textId="7E78EAB2" w:rsidR="00D33051" w:rsidRDefault="00D33051" w:rsidP="00D33051"/>
    <w:p w14:paraId="7B3D22DE" w14:textId="77777777" w:rsidR="00F20C7B" w:rsidRPr="00CF21AA" w:rsidRDefault="00F20C7B" w:rsidP="00F20C7B">
      <w:pPr>
        <w:pStyle w:val="Box2Heading"/>
        <w:pBdr>
          <w:bottom w:val="single" w:sz="4" w:space="0" w:color="F2F6E8" w:themeColor="accent5" w:themeTint="33"/>
        </w:pBdr>
      </w:pPr>
      <w:r>
        <w:t>Questions:</w:t>
      </w:r>
    </w:p>
    <w:p w14:paraId="1B816AB4" w14:textId="36D941F7" w:rsidR="00F20C7B" w:rsidRPr="00666F79" w:rsidRDefault="00F20C7B" w:rsidP="00F20C7B">
      <w:pPr>
        <w:pStyle w:val="Box2Bullet1"/>
        <w:pBdr>
          <w:bottom w:val="single" w:sz="4" w:space="0" w:color="F2F6E8" w:themeColor="accent5" w:themeTint="33"/>
        </w:pBdr>
        <w:ind w:left="681" w:hanging="397"/>
        <w:rPr>
          <w:sz w:val="22"/>
          <w:szCs w:val="22"/>
        </w:rPr>
      </w:pPr>
      <w:bookmarkStart w:id="555" w:name="_Toc114476296"/>
      <w:bookmarkStart w:id="556" w:name="_Toc116292994"/>
      <w:r w:rsidRPr="00666F79">
        <w:rPr>
          <w:sz w:val="22"/>
          <w:szCs w:val="22"/>
          <w:lang w:val="en-US"/>
        </w:rPr>
        <w:t>Are any changes warranted to the sports on the anti-siphoning list? Should any sports be added? Should any be removed?</w:t>
      </w:r>
      <w:bookmarkEnd w:id="555"/>
      <w:bookmarkEnd w:id="556"/>
    </w:p>
    <w:p w14:paraId="364B20C9" w14:textId="0563EA0D" w:rsidR="00A23EB9" w:rsidRPr="00666F79" w:rsidRDefault="00A23EB9" w:rsidP="00A23EB9">
      <w:pPr>
        <w:pStyle w:val="Box2Bullet1"/>
        <w:pBdr>
          <w:bottom w:val="single" w:sz="4" w:space="0" w:color="F2F6E8" w:themeColor="accent5" w:themeTint="33"/>
        </w:pBdr>
        <w:ind w:left="681" w:hanging="397"/>
        <w:rPr>
          <w:sz w:val="22"/>
          <w:szCs w:val="22"/>
        </w:rPr>
      </w:pPr>
      <w:bookmarkStart w:id="557" w:name="_Toc114476297"/>
      <w:bookmarkStart w:id="558" w:name="_Toc116292995"/>
      <w:r w:rsidRPr="00666F79">
        <w:rPr>
          <w:sz w:val="22"/>
          <w:szCs w:val="22"/>
          <w:lang w:val="en-US"/>
        </w:rPr>
        <w:t xml:space="preserve">Should the </w:t>
      </w:r>
      <w:r w:rsidR="008F0370">
        <w:rPr>
          <w:sz w:val="22"/>
          <w:szCs w:val="22"/>
          <w:lang w:val="en-US"/>
        </w:rPr>
        <w:t xml:space="preserve">anti-siphoning </w:t>
      </w:r>
      <w:r w:rsidRPr="00666F79">
        <w:rPr>
          <w:sz w:val="22"/>
          <w:szCs w:val="22"/>
          <w:lang w:val="en-US"/>
        </w:rPr>
        <w:t>list include the comparable women’s competitions of the events on the current list that</w:t>
      </w:r>
      <w:r w:rsidR="0027052C" w:rsidRPr="00666F79">
        <w:rPr>
          <w:sz w:val="22"/>
          <w:szCs w:val="22"/>
          <w:lang w:val="en-US"/>
        </w:rPr>
        <w:t xml:space="preserve">, by naming convention or omission, </w:t>
      </w:r>
      <w:r w:rsidRPr="00666F79">
        <w:rPr>
          <w:sz w:val="22"/>
          <w:szCs w:val="22"/>
          <w:lang w:val="en-US"/>
        </w:rPr>
        <w:t>only apply to the men’s competitions?</w:t>
      </w:r>
      <w:bookmarkEnd w:id="557"/>
      <w:bookmarkEnd w:id="558"/>
    </w:p>
    <w:p w14:paraId="7B357FAE" w14:textId="346F078B" w:rsidR="00A23EB9" w:rsidRPr="00666F79" w:rsidRDefault="00A23EB9" w:rsidP="00A23EB9">
      <w:pPr>
        <w:pStyle w:val="Box2Bullet1"/>
        <w:pBdr>
          <w:bottom w:val="single" w:sz="4" w:space="0" w:color="F2F6E8" w:themeColor="accent5" w:themeTint="33"/>
        </w:pBdr>
        <w:ind w:left="681" w:hanging="397"/>
        <w:rPr>
          <w:sz w:val="22"/>
          <w:szCs w:val="22"/>
        </w:rPr>
      </w:pPr>
      <w:bookmarkStart w:id="559" w:name="_Toc114476298"/>
      <w:bookmarkStart w:id="560" w:name="_Toc116292996"/>
      <w:r w:rsidRPr="00666F79">
        <w:rPr>
          <w:sz w:val="22"/>
          <w:szCs w:val="22"/>
          <w:lang w:val="en-US"/>
        </w:rPr>
        <w:t>Are there other women’s events</w:t>
      </w:r>
      <w:r w:rsidR="00C77E71">
        <w:rPr>
          <w:sz w:val="22"/>
          <w:szCs w:val="22"/>
          <w:lang w:val="en-US"/>
        </w:rPr>
        <w:t xml:space="preserve"> </w:t>
      </w:r>
      <w:r w:rsidRPr="00666F79">
        <w:rPr>
          <w:rFonts w:cstheme="minorHAnsi"/>
          <w:sz w:val="22"/>
          <w:szCs w:val="22"/>
          <w:lang w:val="en-US"/>
        </w:rPr>
        <w:t>—</w:t>
      </w:r>
      <w:r w:rsidR="00C77E71">
        <w:rPr>
          <w:rFonts w:cstheme="minorHAnsi"/>
          <w:sz w:val="22"/>
          <w:szCs w:val="22"/>
          <w:lang w:val="en-US"/>
        </w:rPr>
        <w:t xml:space="preserve"> </w:t>
      </w:r>
      <w:r w:rsidRPr="00666F79">
        <w:rPr>
          <w:sz w:val="22"/>
          <w:szCs w:val="22"/>
          <w:lang w:val="en-US"/>
        </w:rPr>
        <w:t>that don’t have a comparable men’s format</w:t>
      </w:r>
      <w:r w:rsidR="00C77E71">
        <w:rPr>
          <w:sz w:val="22"/>
          <w:szCs w:val="22"/>
          <w:lang w:val="en-US"/>
        </w:rPr>
        <w:t xml:space="preserve"> </w:t>
      </w:r>
      <w:r w:rsidRPr="00666F79">
        <w:rPr>
          <w:rFonts w:cstheme="minorHAnsi"/>
          <w:sz w:val="22"/>
          <w:szCs w:val="22"/>
          <w:lang w:val="en-US"/>
        </w:rPr>
        <w:t>—</w:t>
      </w:r>
      <w:r w:rsidR="00C77E71">
        <w:rPr>
          <w:rFonts w:cstheme="minorHAnsi"/>
          <w:sz w:val="22"/>
          <w:szCs w:val="22"/>
          <w:lang w:val="en-US"/>
        </w:rPr>
        <w:t xml:space="preserve"> </w:t>
      </w:r>
      <w:r w:rsidRPr="00666F79">
        <w:rPr>
          <w:sz w:val="22"/>
          <w:szCs w:val="22"/>
          <w:lang w:val="en-US"/>
        </w:rPr>
        <w:t>that should be added?</w:t>
      </w:r>
      <w:bookmarkEnd w:id="559"/>
      <w:bookmarkEnd w:id="560"/>
    </w:p>
    <w:p w14:paraId="4EE7468B" w14:textId="2A91C54F" w:rsidR="00F20C7B" w:rsidRPr="00666F79" w:rsidRDefault="00F20C7B" w:rsidP="00F20C7B">
      <w:pPr>
        <w:pStyle w:val="Box2Bullet1"/>
        <w:pBdr>
          <w:bottom w:val="single" w:sz="4" w:space="0" w:color="F2F6E8" w:themeColor="accent5" w:themeTint="33"/>
        </w:pBdr>
        <w:ind w:left="681" w:hanging="397"/>
        <w:rPr>
          <w:sz w:val="22"/>
          <w:szCs w:val="22"/>
        </w:rPr>
      </w:pPr>
      <w:bookmarkStart w:id="561" w:name="_Toc114476299"/>
      <w:bookmarkStart w:id="562" w:name="_Toc116292997"/>
      <w:r w:rsidRPr="00666F79">
        <w:rPr>
          <w:sz w:val="22"/>
          <w:szCs w:val="22"/>
          <w:lang w:val="en-US"/>
        </w:rPr>
        <w:t xml:space="preserve">What impact would these possible inclusions or exclusions have on free-to-air broadcasters, subscription broadcasters, online service providers, the relevant sports bodies and </w:t>
      </w:r>
      <w:r w:rsidR="00483630" w:rsidRPr="00666F79">
        <w:rPr>
          <w:sz w:val="22"/>
          <w:szCs w:val="22"/>
          <w:lang w:val="en-US"/>
        </w:rPr>
        <w:t>Australian viewers</w:t>
      </w:r>
      <w:r w:rsidRPr="00666F79">
        <w:rPr>
          <w:sz w:val="22"/>
          <w:szCs w:val="22"/>
          <w:lang w:val="en-US"/>
        </w:rPr>
        <w:t xml:space="preserve">? </w:t>
      </w:r>
      <w:r w:rsidR="00A23EB9" w:rsidRPr="00666F79">
        <w:rPr>
          <w:sz w:val="22"/>
          <w:szCs w:val="22"/>
          <w:lang w:val="en-US"/>
        </w:rPr>
        <w:t>Are you able to quantify or estimate these impacts?</w:t>
      </w:r>
      <w:bookmarkEnd w:id="561"/>
      <w:bookmarkEnd w:id="562"/>
    </w:p>
    <w:p w14:paraId="73E5AF7C" w14:textId="3173F63C" w:rsidR="0027052C" w:rsidRPr="00666F79" w:rsidRDefault="0027052C" w:rsidP="00F20C7B">
      <w:pPr>
        <w:pStyle w:val="Box2Bullet1"/>
        <w:pBdr>
          <w:bottom w:val="single" w:sz="4" w:space="0" w:color="F2F6E8" w:themeColor="accent5" w:themeTint="33"/>
        </w:pBdr>
        <w:ind w:left="681" w:hanging="397"/>
        <w:rPr>
          <w:sz w:val="22"/>
          <w:szCs w:val="22"/>
        </w:rPr>
      </w:pPr>
      <w:bookmarkStart w:id="563" w:name="_Toc114476300"/>
      <w:bookmarkStart w:id="564" w:name="_Toc116292998"/>
      <w:r w:rsidRPr="00666F79">
        <w:rPr>
          <w:sz w:val="22"/>
          <w:szCs w:val="22"/>
          <w:lang w:val="en-US"/>
        </w:rPr>
        <w:t xml:space="preserve">Should non-sporting events be included for consideration on the </w:t>
      </w:r>
      <w:r w:rsidR="008F0370">
        <w:rPr>
          <w:sz w:val="22"/>
          <w:szCs w:val="22"/>
          <w:lang w:val="en-US"/>
        </w:rPr>
        <w:t xml:space="preserve">anti-siphoning </w:t>
      </w:r>
      <w:r w:rsidRPr="00666F79">
        <w:rPr>
          <w:sz w:val="22"/>
          <w:szCs w:val="22"/>
          <w:lang w:val="en-US"/>
        </w:rPr>
        <w:t>list? If so, which events? Is television coverage of these events being siphoned behind a paywall and not freely available to Australians, or is there a risk of this occurring?</w:t>
      </w:r>
      <w:bookmarkEnd w:id="563"/>
      <w:bookmarkEnd w:id="564"/>
    </w:p>
    <w:p w14:paraId="198A2375" w14:textId="77777777" w:rsidR="00F20C7B" w:rsidRPr="00B0205D" w:rsidRDefault="00F20C7B" w:rsidP="00F20C7B">
      <w:pPr>
        <w:pStyle w:val="Box2Bullet1"/>
        <w:numPr>
          <w:ilvl w:val="0"/>
          <w:numId w:val="0"/>
        </w:numPr>
        <w:pBdr>
          <w:bottom w:val="single" w:sz="4" w:space="0" w:color="F2F6E8" w:themeColor="accent5" w:themeTint="33"/>
        </w:pBdr>
        <w:ind w:left="284"/>
      </w:pPr>
    </w:p>
    <w:p w14:paraId="0C9239B9" w14:textId="77777777" w:rsidR="00F20C7B" w:rsidRDefault="00F20C7B" w:rsidP="00885CFE">
      <w:pPr>
        <w:rPr>
          <w:lang w:val="en-US"/>
        </w:rPr>
      </w:pPr>
    </w:p>
    <w:p w14:paraId="2E5EC8E1" w14:textId="3743E34F" w:rsidR="00CE16D6" w:rsidRPr="00F20C7B" w:rsidRDefault="00CE16D6" w:rsidP="00B22819">
      <w:pPr>
        <w:pStyle w:val="Heading2"/>
      </w:pPr>
      <w:bookmarkStart w:id="565" w:name="_Toc113361302"/>
      <w:bookmarkStart w:id="566" w:name="_Toc114476301"/>
      <w:bookmarkStart w:id="567" w:name="_Toc116061440"/>
      <w:bookmarkStart w:id="568" w:name="_Toc116292999"/>
      <w:r w:rsidRPr="00F20C7B">
        <w:t xml:space="preserve">Events on the </w:t>
      </w:r>
      <w:r w:rsidR="008F0370">
        <w:t xml:space="preserve">anti-siphoning </w:t>
      </w:r>
      <w:r w:rsidRPr="00F20C7B">
        <w:t>list</w:t>
      </w:r>
      <w:bookmarkEnd w:id="565"/>
      <w:bookmarkEnd w:id="566"/>
      <w:bookmarkEnd w:id="567"/>
      <w:bookmarkEnd w:id="568"/>
    </w:p>
    <w:p w14:paraId="5CEFE85B" w14:textId="1B653538" w:rsidR="00CE16D6" w:rsidRPr="00B1015D" w:rsidRDefault="00CE16D6" w:rsidP="0058174B">
      <w:pPr>
        <w:pStyle w:val="Heading3"/>
        <w:rPr>
          <w:lang w:val="en-US"/>
        </w:rPr>
      </w:pPr>
      <w:bookmarkStart w:id="569" w:name="_Toc111752627"/>
      <w:bookmarkStart w:id="570" w:name="_Toc111795314"/>
      <w:bookmarkStart w:id="571" w:name="_Toc111800730"/>
      <w:bookmarkStart w:id="572" w:name="_Toc111803425"/>
      <w:bookmarkStart w:id="573" w:name="_Toc111813837"/>
      <w:bookmarkStart w:id="574" w:name="_Toc112321019"/>
      <w:bookmarkStart w:id="575" w:name="_Toc113361303"/>
      <w:bookmarkStart w:id="576" w:name="_Toc113361811"/>
      <w:bookmarkStart w:id="577" w:name="_Toc114487417"/>
      <w:bookmarkStart w:id="578" w:name="_Toc116044883"/>
      <w:bookmarkStart w:id="579" w:name="_Toc116061441"/>
      <w:r w:rsidRPr="00B1015D">
        <w:rPr>
          <w:lang w:val="en-US"/>
        </w:rPr>
        <w:t>Status</w:t>
      </w:r>
      <w:bookmarkEnd w:id="569"/>
      <w:bookmarkEnd w:id="570"/>
      <w:bookmarkEnd w:id="571"/>
      <w:bookmarkEnd w:id="572"/>
      <w:bookmarkEnd w:id="573"/>
      <w:bookmarkEnd w:id="574"/>
      <w:bookmarkEnd w:id="575"/>
      <w:bookmarkEnd w:id="576"/>
      <w:bookmarkEnd w:id="577"/>
      <w:bookmarkEnd w:id="578"/>
      <w:bookmarkEnd w:id="579"/>
    </w:p>
    <w:p w14:paraId="28B146D8" w14:textId="334799B7" w:rsidR="00306106" w:rsidRDefault="009F63E6" w:rsidP="00666F79">
      <w:pPr>
        <w:rPr>
          <w:lang w:val="en-US"/>
        </w:rPr>
      </w:pPr>
      <w:r>
        <w:rPr>
          <w:lang w:val="en-US"/>
        </w:rPr>
        <w:t xml:space="preserve">The anti-siphoning list does not apply to every event within a given sport. </w:t>
      </w:r>
      <w:r w:rsidR="005B46D5">
        <w:rPr>
          <w:lang w:val="en-US"/>
        </w:rPr>
        <w:t>Rather</w:t>
      </w:r>
      <w:r>
        <w:rPr>
          <w:lang w:val="en-US"/>
        </w:rPr>
        <w:t>,</w:t>
      </w:r>
      <w:r w:rsidR="00261BD7">
        <w:rPr>
          <w:lang w:val="en-US"/>
        </w:rPr>
        <w:t xml:space="preserve"> the </w:t>
      </w:r>
      <w:r w:rsidR="008F0370">
        <w:rPr>
          <w:lang w:val="en-US"/>
        </w:rPr>
        <w:t xml:space="preserve">anti-siphoning </w:t>
      </w:r>
      <w:r w:rsidR="00261BD7">
        <w:rPr>
          <w:lang w:val="en-US"/>
        </w:rPr>
        <w:t xml:space="preserve">list has </w:t>
      </w:r>
      <w:r w:rsidR="00A23EB9">
        <w:rPr>
          <w:lang w:val="en-US"/>
        </w:rPr>
        <w:t xml:space="preserve">historically </w:t>
      </w:r>
      <w:r w:rsidR="00261BD7">
        <w:rPr>
          <w:lang w:val="en-US"/>
        </w:rPr>
        <w:t>include</w:t>
      </w:r>
      <w:r w:rsidR="00A23EB9">
        <w:rPr>
          <w:lang w:val="en-US"/>
        </w:rPr>
        <w:t>d</w:t>
      </w:r>
      <w:r w:rsidR="00261BD7">
        <w:rPr>
          <w:lang w:val="en-US"/>
        </w:rPr>
        <w:t xml:space="preserve"> the ‘premier’ of highest tier </w:t>
      </w:r>
      <w:r w:rsidR="002074CC">
        <w:rPr>
          <w:lang w:val="en-US"/>
        </w:rPr>
        <w:t xml:space="preserve">domestic </w:t>
      </w:r>
      <w:r w:rsidR="00261BD7">
        <w:rPr>
          <w:lang w:val="en-US"/>
        </w:rPr>
        <w:t>competitions within a given sport</w:t>
      </w:r>
      <w:r w:rsidR="00280E6C">
        <w:rPr>
          <w:lang w:val="en-US"/>
        </w:rPr>
        <w:t xml:space="preserve">, or those aspects of international competitions that </w:t>
      </w:r>
      <w:r w:rsidR="002074CC">
        <w:rPr>
          <w:lang w:val="en-US"/>
        </w:rPr>
        <w:t>involve an Australian connection</w:t>
      </w:r>
      <w:r w:rsidR="00CA650E">
        <w:rPr>
          <w:lang w:val="en-US"/>
        </w:rPr>
        <w:t>.</w:t>
      </w:r>
    </w:p>
    <w:p w14:paraId="12B2E805" w14:textId="605BDAD2" w:rsidR="00CE16D6" w:rsidRPr="00B1015D" w:rsidRDefault="00CE16D6" w:rsidP="0058174B">
      <w:pPr>
        <w:pStyle w:val="Heading3"/>
        <w:rPr>
          <w:lang w:val="en-US"/>
        </w:rPr>
      </w:pPr>
      <w:bookmarkStart w:id="580" w:name="_Toc111752628"/>
      <w:bookmarkStart w:id="581" w:name="_Toc111795315"/>
      <w:bookmarkStart w:id="582" w:name="_Toc111800731"/>
      <w:bookmarkStart w:id="583" w:name="_Toc111803426"/>
      <w:bookmarkStart w:id="584" w:name="_Toc111813838"/>
      <w:bookmarkStart w:id="585" w:name="_Toc112321020"/>
      <w:bookmarkStart w:id="586" w:name="_Toc113361304"/>
      <w:bookmarkStart w:id="587" w:name="_Toc113361812"/>
      <w:bookmarkStart w:id="588" w:name="_Toc114487418"/>
      <w:bookmarkStart w:id="589" w:name="_Toc116044884"/>
      <w:bookmarkStart w:id="590" w:name="_Toc116061442"/>
      <w:r w:rsidRPr="00B1015D">
        <w:rPr>
          <w:lang w:val="en-US"/>
        </w:rPr>
        <w:t>Discussion</w:t>
      </w:r>
      <w:bookmarkEnd w:id="580"/>
      <w:bookmarkEnd w:id="581"/>
      <w:bookmarkEnd w:id="582"/>
      <w:bookmarkEnd w:id="583"/>
      <w:bookmarkEnd w:id="584"/>
      <w:bookmarkEnd w:id="585"/>
      <w:bookmarkEnd w:id="586"/>
      <w:bookmarkEnd w:id="587"/>
      <w:bookmarkEnd w:id="588"/>
      <w:bookmarkEnd w:id="589"/>
      <w:bookmarkEnd w:id="590"/>
    </w:p>
    <w:p w14:paraId="0C64F2C9" w14:textId="268CAE5E" w:rsidR="000D6993" w:rsidRDefault="000C2508" w:rsidP="00914AA1">
      <w:r>
        <w:t xml:space="preserve">As with </w:t>
      </w:r>
      <w:r w:rsidR="00261BD7">
        <w:t xml:space="preserve">the question of which </w:t>
      </w:r>
      <w:r>
        <w:t>sports</w:t>
      </w:r>
      <w:r w:rsidR="00261BD7">
        <w:t xml:space="preserve"> should be included on the </w:t>
      </w:r>
      <w:r w:rsidR="008F0370">
        <w:t xml:space="preserve">anti-siphoning </w:t>
      </w:r>
      <w:r w:rsidR="00261BD7">
        <w:t>list</w:t>
      </w:r>
      <w:r>
        <w:t>, t</w:t>
      </w:r>
      <w:r w:rsidR="00707E7A" w:rsidRPr="00BF571B">
        <w:t>here is no simple or uniform set of rules that enables an unambiguous decision on whether an event should be included on the list.</w:t>
      </w:r>
    </w:p>
    <w:p w14:paraId="65DA8197" w14:textId="79C6F495" w:rsidR="005B46D5" w:rsidRDefault="000D6993" w:rsidP="002A35B2">
      <w:pPr>
        <w:pStyle w:val="ListParagraph"/>
        <w:keepNext/>
        <w:numPr>
          <w:ilvl w:val="0"/>
          <w:numId w:val="54"/>
        </w:numPr>
        <w:spacing w:after="120" w:line="240" w:lineRule="auto"/>
        <w:ind w:left="357" w:hanging="357"/>
        <w:contextualSpacing w:val="0"/>
      </w:pPr>
      <w:r>
        <w:t>Sporting</w:t>
      </w:r>
      <w:r w:rsidR="00707E7A" w:rsidRPr="00BF571B">
        <w:t xml:space="preserve"> competition</w:t>
      </w:r>
      <w:r>
        <w:t xml:space="preserve">s and events are </w:t>
      </w:r>
      <w:r w:rsidR="00707E7A" w:rsidRPr="00BF571B">
        <w:t>generally quite unique</w:t>
      </w:r>
      <w:r>
        <w:t xml:space="preserve"> (even within a particular sport, such as cricket)</w:t>
      </w:r>
      <w:r w:rsidR="00707E7A" w:rsidRPr="00BF571B">
        <w:t xml:space="preserve">, and an assessment of the case for its inclusion on the </w:t>
      </w:r>
      <w:r w:rsidR="00DB49F5">
        <w:t xml:space="preserve">anti-siphoning </w:t>
      </w:r>
      <w:r w:rsidR="00707E7A" w:rsidRPr="00BF571B">
        <w:t>list will require a balancing of factors.</w:t>
      </w:r>
    </w:p>
    <w:p w14:paraId="6A1A78FD" w14:textId="1CEAC2DB" w:rsidR="002074CC" w:rsidRDefault="00707E7A" w:rsidP="00666F79">
      <w:pPr>
        <w:pStyle w:val="ListParagraph"/>
        <w:keepNext/>
        <w:numPr>
          <w:ilvl w:val="0"/>
          <w:numId w:val="54"/>
        </w:numPr>
        <w:spacing w:after="120" w:line="240" w:lineRule="auto"/>
        <w:ind w:left="357" w:hanging="357"/>
        <w:contextualSpacing w:val="0"/>
      </w:pPr>
      <w:r w:rsidRPr="00BF571B">
        <w:t>Audiences for a given sport are an obvious criterion and have the advantage of being quantifiable and independently verifiable.</w:t>
      </w:r>
    </w:p>
    <w:p w14:paraId="33CEF2CF" w14:textId="31B1EF57" w:rsidR="00707E7A" w:rsidRPr="00BF571B" w:rsidRDefault="002074CC" w:rsidP="002A35B2">
      <w:pPr>
        <w:keepNext/>
      </w:pPr>
      <w:r>
        <w:t>Attachment C provides average audience data for free-to-air television coverage of events on the current anti</w:t>
      </w:r>
      <w:r w:rsidR="00DD79FF">
        <w:noBreakHyphen/>
      </w:r>
      <w:r>
        <w:t xml:space="preserve">siphoning list over the past </w:t>
      </w:r>
      <w:r w:rsidR="00DD79FF">
        <w:t>five</w:t>
      </w:r>
      <w:r>
        <w:t xml:space="preserve"> years, along with average audience figures for a range of other sports. Interested parties are encouraged to review this data in considering the question of which events should be included on a future anti-siphoning list.</w:t>
      </w:r>
    </w:p>
    <w:p w14:paraId="7A4963CF" w14:textId="6A570E08" w:rsidR="00D33051" w:rsidRDefault="002074CC" w:rsidP="00D33051">
      <w:r>
        <w:t xml:space="preserve">While audience numbers are a proxy for popularity (and therefore importance), they </w:t>
      </w:r>
      <w:r w:rsidR="00707E7A" w:rsidRPr="00BF571B">
        <w:t xml:space="preserve">need to be considered in context. For example, a sport with an average audience across the five mainland capital cities of less than 200,000 viewers (low) provides a prima facie case for its removal from the </w:t>
      </w:r>
      <w:r w:rsidR="00DB49F5">
        <w:t xml:space="preserve">anti-siphoning </w:t>
      </w:r>
      <w:r w:rsidR="00707E7A" w:rsidRPr="00BF571B">
        <w:t>list. However, this rule can</w:t>
      </w:r>
      <w:r w:rsidR="00BE4D8B">
        <w:t>no</w:t>
      </w:r>
      <w:r w:rsidR="00707E7A" w:rsidRPr="00BF571B">
        <w:t>t be applied to all sports, and other factors may be relevant.</w:t>
      </w:r>
    </w:p>
    <w:p w14:paraId="16DD5ABA" w14:textId="0814DDEE" w:rsidR="00576DA7" w:rsidRPr="00BF571B" w:rsidRDefault="000D6993" w:rsidP="00666F79">
      <w:r>
        <w:lastRenderedPageBreak/>
        <w:t>E</w:t>
      </w:r>
      <w:r w:rsidR="00576DA7" w:rsidRPr="00E41010">
        <w:t>vents on the</w:t>
      </w:r>
      <w:r w:rsidR="00DB49F5">
        <w:t xml:space="preserve"> anti-siphoning</w:t>
      </w:r>
      <w:r w:rsidR="00576DA7" w:rsidRPr="00E41010">
        <w:t xml:space="preserve"> list </w:t>
      </w:r>
      <w:r w:rsidR="00576DA7">
        <w:t xml:space="preserve">were last modified in 2017, when golf, tennis and soccer events were removed. In making these changes, the then </w:t>
      </w:r>
      <w:r w:rsidR="00576DA7" w:rsidRPr="00BF571B">
        <w:t>Government applied the following criteria</w:t>
      </w:r>
      <w:r>
        <w:t xml:space="preserve"> which, in turn, drew on the ‘use-it-or-lose-it’ guidelines issue</w:t>
      </w:r>
      <w:r w:rsidR="00A23EB9">
        <w:t>d</w:t>
      </w:r>
      <w:r>
        <w:t xml:space="preserve"> by the ACMA in 2007</w:t>
      </w:r>
      <w:r w:rsidR="00576DA7" w:rsidRPr="00BF571B">
        <w:t>:</w:t>
      </w:r>
    </w:p>
    <w:p w14:paraId="44EE4AAA" w14:textId="3A4E9063" w:rsidR="00576DA7" w:rsidRPr="00BF571B" w:rsidRDefault="00576DA7" w:rsidP="00C77E71">
      <w:pPr>
        <w:pStyle w:val="ListParagraph"/>
        <w:keepNext/>
        <w:numPr>
          <w:ilvl w:val="0"/>
          <w:numId w:val="54"/>
        </w:numPr>
        <w:spacing w:after="120" w:line="240" w:lineRule="auto"/>
        <w:ind w:left="357" w:hanging="357"/>
        <w:contextualSpacing w:val="0"/>
      </w:pPr>
      <w:r>
        <w:t>w</w:t>
      </w:r>
      <w:r w:rsidRPr="00BF571B">
        <w:t xml:space="preserve">hether there is a history of broadcast rights being acquired by a </w:t>
      </w:r>
      <w:r>
        <w:t>free-to-air</w:t>
      </w:r>
      <w:r w:rsidRPr="00BF571B">
        <w:t xml:space="preserve"> broadcaster</w:t>
      </w:r>
      <w:r>
        <w:t>;</w:t>
      </w:r>
    </w:p>
    <w:p w14:paraId="04B34556" w14:textId="13F439B2" w:rsidR="00576DA7" w:rsidRPr="00BF571B" w:rsidRDefault="00576DA7" w:rsidP="00666F79">
      <w:pPr>
        <w:pStyle w:val="ListParagraph"/>
        <w:keepNext/>
        <w:numPr>
          <w:ilvl w:val="0"/>
          <w:numId w:val="54"/>
        </w:numPr>
        <w:spacing w:after="120" w:line="240" w:lineRule="auto"/>
        <w:ind w:left="357" w:hanging="357"/>
        <w:contextualSpacing w:val="0"/>
      </w:pPr>
      <w:r>
        <w:t>w</w:t>
      </w:r>
      <w:r w:rsidRPr="00BF571B">
        <w:t xml:space="preserve">here the rights have been acquired by a </w:t>
      </w:r>
      <w:r>
        <w:t>free-to-air</w:t>
      </w:r>
      <w:r w:rsidRPr="00BF571B">
        <w:t xml:space="preserve"> broadcaster, the nature and extent of the coverage provided (i.e. whether live or delayed, full or partial)</w:t>
      </w:r>
      <w:r>
        <w:t>;</w:t>
      </w:r>
    </w:p>
    <w:p w14:paraId="6C77A518" w14:textId="7A987AF6" w:rsidR="00576DA7" w:rsidRPr="00BF571B" w:rsidRDefault="00576DA7" w:rsidP="00666F79">
      <w:pPr>
        <w:pStyle w:val="ListParagraph"/>
        <w:keepNext/>
        <w:numPr>
          <w:ilvl w:val="0"/>
          <w:numId w:val="54"/>
        </w:numPr>
        <w:spacing w:after="120" w:line="240" w:lineRule="auto"/>
        <w:ind w:left="357" w:hanging="357"/>
        <w:contextualSpacing w:val="0"/>
      </w:pPr>
      <w:r>
        <w:t>t</w:t>
      </w:r>
      <w:r w:rsidRPr="00BF571B">
        <w:t>he size of the audience where events have been televised by a</w:t>
      </w:r>
      <w:r>
        <w:t xml:space="preserve"> free-to-air</w:t>
      </w:r>
      <w:r w:rsidRPr="00BF571B">
        <w:t xml:space="preserve"> broadcaster</w:t>
      </w:r>
      <w:r>
        <w:t>;</w:t>
      </w:r>
      <w:r w:rsidRPr="00BF571B">
        <w:t xml:space="preserve"> </w:t>
      </w:r>
      <w:r w:rsidR="000D6993" w:rsidRPr="00914AA1">
        <w:t>and</w:t>
      </w:r>
    </w:p>
    <w:p w14:paraId="4505740B" w14:textId="4BEBCFA8" w:rsidR="00576DA7" w:rsidRDefault="00576DA7" w:rsidP="00666F79">
      <w:pPr>
        <w:pStyle w:val="ListParagraph"/>
        <w:keepNext/>
        <w:numPr>
          <w:ilvl w:val="0"/>
          <w:numId w:val="54"/>
        </w:numPr>
        <w:spacing w:after="120" w:line="240" w:lineRule="auto"/>
        <w:ind w:left="357" w:hanging="357"/>
        <w:contextualSpacing w:val="0"/>
      </w:pPr>
      <w:r>
        <w:t>w</w:t>
      </w:r>
      <w:r w:rsidRPr="00BF571B">
        <w:t>hether the event in question would be considered to have some degree of ‘national significance’ (for</w:t>
      </w:r>
      <w:r w:rsidR="00666F79">
        <w:t> </w:t>
      </w:r>
      <w:r w:rsidRPr="00BF571B">
        <w:t>example, where it involves an Australian representative team).</w:t>
      </w:r>
    </w:p>
    <w:p w14:paraId="18B50CBE" w14:textId="67210BE0" w:rsidR="00234EB1" w:rsidRDefault="00234EB1" w:rsidP="004C014F">
      <w:r w:rsidRPr="00DB49F5">
        <w:t xml:space="preserve">The current </w:t>
      </w:r>
      <w:r w:rsidR="00DB49F5" w:rsidRPr="00DB49F5">
        <w:t xml:space="preserve">anti-siphoning </w:t>
      </w:r>
      <w:r w:rsidRPr="00DB49F5">
        <w:t>list includes each event held as part of the Summer and Winter Olympic Games. As part of the review, consideration will be given to the inclusion of events held as part of the Summer and Winter Paralympic Games.</w:t>
      </w:r>
      <w:r>
        <w:t xml:space="preserve">  </w:t>
      </w:r>
    </w:p>
    <w:p w14:paraId="686B670E" w14:textId="77777777" w:rsidR="00122AF3" w:rsidRPr="00CF21AA" w:rsidRDefault="00122AF3" w:rsidP="00122AF3">
      <w:pPr>
        <w:pStyle w:val="Box2Heading"/>
      </w:pPr>
      <w:r>
        <w:t>Questions:</w:t>
      </w:r>
    </w:p>
    <w:p w14:paraId="7B5D81F6" w14:textId="3EAFA787" w:rsidR="00122AF3" w:rsidRPr="00666F79" w:rsidRDefault="00122AF3" w:rsidP="00122AF3">
      <w:pPr>
        <w:pStyle w:val="Box2Bullet1"/>
        <w:ind w:left="681" w:hanging="397"/>
        <w:rPr>
          <w:sz w:val="22"/>
          <w:szCs w:val="22"/>
        </w:rPr>
      </w:pPr>
      <w:bookmarkStart w:id="591" w:name="_Toc114476302"/>
      <w:bookmarkStart w:id="592" w:name="_Toc116293000"/>
      <w:r w:rsidRPr="00666F79">
        <w:rPr>
          <w:sz w:val="22"/>
          <w:szCs w:val="22"/>
          <w:lang w:val="en-US"/>
        </w:rPr>
        <w:t xml:space="preserve">What events should be added to or removed from the </w:t>
      </w:r>
      <w:r w:rsidR="00DB49F5">
        <w:rPr>
          <w:sz w:val="22"/>
          <w:szCs w:val="22"/>
          <w:lang w:val="en-US"/>
        </w:rPr>
        <w:t xml:space="preserve">anti-siphoning </w:t>
      </w:r>
      <w:r w:rsidRPr="00666F79">
        <w:rPr>
          <w:sz w:val="22"/>
          <w:szCs w:val="22"/>
          <w:lang w:val="en-US"/>
        </w:rPr>
        <w:t>list? Please provide specific recommendations</w:t>
      </w:r>
      <w:r w:rsidR="00BE4D8B">
        <w:rPr>
          <w:sz w:val="22"/>
          <w:szCs w:val="22"/>
          <w:lang w:val="en-US"/>
        </w:rPr>
        <w:t>.</w:t>
      </w:r>
      <w:bookmarkEnd w:id="591"/>
      <w:bookmarkEnd w:id="592"/>
    </w:p>
    <w:p w14:paraId="4D4FC090" w14:textId="7F070219" w:rsidR="00122AF3" w:rsidRPr="00666F79" w:rsidRDefault="00122AF3" w:rsidP="00122AF3">
      <w:pPr>
        <w:pStyle w:val="Box2Bullet1"/>
        <w:ind w:left="681" w:hanging="397"/>
        <w:rPr>
          <w:sz w:val="22"/>
          <w:szCs w:val="22"/>
        </w:rPr>
      </w:pPr>
      <w:bookmarkStart w:id="593" w:name="_Toc114476303"/>
      <w:bookmarkStart w:id="594" w:name="_Toc116293001"/>
      <w:r w:rsidRPr="00666F79">
        <w:rPr>
          <w:sz w:val="22"/>
          <w:szCs w:val="22"/>
          <w:lang w:val="en-US"/>
        </w:rPr>
        <w:t xml:space="preserve">What factors or circumstances do you consider to be important in recommending the retention, inclusion or removal of particular events from the </w:t>
      </w:r>
      <w:r w:rsidR="00DB49F5">
        <w:rPr>
          <w:sz w:val="22"/>
          <w:szCs w:val="22"/>
          <w:lang w:val="en-US"/>
        </w:rPr>
        <w:t xml:space="preserve">anti-siphoning </w:t>
      </w:r>
      <w:r w:rsidRPr="00666F79">
        <w:rPr>
          <w:sz w:val="22"/>
          <w:szCs w:val="22"/>
          <w:lang w:val="en-US"/>
        </w:rPr>
        <w:t>list?</w:t>
      </w:r>
      <w:bookmarkEnd w:id="593"/>
      <w:bookmarkEnd w:id="594"/>
    </w:p>
    <w:p w14:paraId="079B3A72" w14:textId="372A1CC3" w:rsidR="00122AF3" w:rsidRPr="00666F79" w:rsidRDefault="00122AF3" w:rsidP="00666F79">
      <w:pPr>
        <w:pStyle w:val="Box2Checklist"/>
        <w:spacing w:before="80" w:after="160"/>
        <w:ind w:left="851" w:hanging="567"/>
        <w:rPr>
          <w:sz w:val="22"/>
          <w:szCs w:val="22"/>
        </w:rPr>
      </w:pPr>
      <w:bookmarkStart w:id="595" w:name="_Toc114476304"/>
      <w:bookmarkStart w:id="596" w:name="_Toc116293002"/>
      <w:r w:rsidRPr="00666F79">
        <w:rPr>
          <w:sz w:val="22"/>
          <w:szCs w:val="22"/>
          <w:lang w:val="en-US"/>
        </w:rPr>
        <w:t>To what extent do average audience numbers influence or inform your recommendation</w:t>
      </w:r>
      <w:r w:rsidRPr="00666F79">
        <w:rPr>
          <w:sz w:val="22"/>
          <w:szCs w:val="22"/>
        </w:rPr>
        <w:t>?</w:t>
      </w:r>
      <w:bookmarkEnd w:id="595"/>
      <w:bookmarkEnd w:id="596"/>
    </w:p>
    <w:p w14:paraId="04EF2FC5" w14:textId="7E052ADA" w:rsidR="00122AF3" w:rsidRPr="00666F79" w:rsidRDefault="00CA7850" w:rsidP="00CA7850">
      <w:pPr>
        <w:pStyle w:val="Box2Bullet1"/>
        <w:ind w:left="681" w:hanging="397"/>
        <w:rPr>
          <w:sz w:val="22"/>
          <w:szCs w:val="22"/>
        </w:rPr>
      </w:pPr>
      <w:bookmarkStart w:id="597" w:name="_Toc114476305"/>
      <w:bookmarkStart w:id="598" w:name="_Toc116293003"/>
      <w:r w:rsidRPr="00666F79">
        <w:rPr>
          <w:sz w:val="22"/>
          <w:szCs w:val="22"/>
          <w:lang w:val="en-US"/>
        </w:rPr>
        <w:t>What impact would these possible inclusions or exclusions have on free-to-air broadcasters, subscription broadcasters, online service providers, sports bodies and Australian viewers? Are you able to quantify or estimate these impacts</w:t>
      </w:r>
      <w:r w:rsidR="00122AF3" w:rsidRPr="00666F79">
        <w:rPr>
          <w:sz w:val="22"/>
          <w:szCs w:val="22"/>
          <w:lang w:val="en-US"/>
        </w:rPr>
        <w:t>?</w:t>
      </w:r>
      <w:bookmarkEnd w:id="597"/>
      <w:bookmarkEnd w:id="598"/>
    </w:p>
    <w:p w14:paraId="0BA6680A" w14:textId="77777777" w:rsidR="00122AF3" w:rsidRDefault="00122AF3" w:rsidP="00122AF3">
      <w:pPr>
        <w:keepNext/>
        <w:spacing w:after="120" w:line="257" w:lineRule="auto"/>
      </w:pPr>
    </w:p>
    <w:p w14:paraId="1FAA8739" w14:textId="41A278A5" w:rsidR="00B66DC3" w:rsidRPr="00DC5D8F" w:rsidRDefault="002854E4" w:rsidP="00B22819">
      <w:pPr>
        <w:pStyle w:val="Heading2"/>
      </w:pPr>
      <w:bookmarkStart w:id="599" w:name="_Toc113361305"/>
      <w:bookmarkStart w:id="600" w:name="_Toc114476306"/>
      <w:bookmarkStart w:id="601" w:name="_Toc116061443"/>
      <w:bookmarkStart w:id="602" w:name="_Toc116293004"/>
      <w:r w:rsidRPr="00DC5D8F">
        <w:t>Differentiated regulation – a two-tier list</w:t>
      </w:r>
      <w:bookmarkEnd w:id="599"/>
      <w:bookmarkEnd w:id="600"/>
      <w:bookmarkEnd w:id="601"/>
      <w:bookmarkEnd w:id="602"/>
    </w:p>
    <w:p w14:paraId="76BDB45B" w14:textId="4C5117E5" w:rsidR="007B3EB4" w:rsidRDefault="007B3EB4" w:rsidP="00DC5D8F">
      <w:pPr>
        <w:pStyle w:val="Heading3"/>
        <w:rPr>
          <w:lang w:val="en-US"/>
        </w:rPr>
      </w:pPr>
      <w:bookmarkStart w:id="603" w:name="_Toc111752630"/>
      <w:bookmarkStart w:id="604" w:name="_Toc111795317"/>
      <w:bookmarkStart w:id="605" w:name="_Toc111800733"/>
      <w:bookmarkStart w:id="606" w:name="_Toc111803428"/>
      <w:bookmarkStart w:id="607" w:name="_Toc111813840"/>
      <w:bookmarkStart w:id="608" w:name="_Toc112321022"/>
      <w:bookmarkStart w:id="609" w:name="_Toc113361306"/>
      <w:bookmarkStart w:id="610" w:name="_Toc113361814"/>
      <w:bookmarkStart w:id="611" w:name="_Toc114487420"/>
      <w:bookmarkStart w:id="612" w:name="_Toc116044886"/>
      <w:bookmarkStart w:id="613" w:name="_Toc116061444"/>
      <w:r w:rsidRPr="00DC5D8F">
        <w:rPr>
          <w:lang w:val="en-US"/>
        </w:rPr>
        <w:t>Status</w:t>
      </w:r>
      <w:bookmarkEnd w:id="603"/>
      <w:bookmarkEnd w:id="604"/>
      <w:bookmarkEnd w:id="605"/>
      <w:bookmarkEnd w:id="606"/>
      <w:bookmarkEnd w:id="607"/>
      <w:bookmarkEnd w:id="608"/>
      <w:bookmarkEnd w:id="609"/>
      <w:bookmarkEnd w:id="610"/>
      <w:bookmarkEnd w:id="611"/>
      <w:bookmarkEnd w:id="612"/>
      <w:bookmarkEnd w:id="613"/>
    </w:p>
    <w:p w14:paraId="33AED7D8" w14:textId="65D1EA83" w:rsidR="00582224" w:rsidRDefault="008252C3" w:rsidP="00666F79">
      <w:r w:rsidRPr="008252C3">
        <w:t xml:space="preserve">All </w:t>
      </w:r>
      <w:r>
        <w:t>events</w:t>
      </w:r>
      <w:r w:rsidRPr="008252C3">
        <w:t xml:space="preserve"> on the anti-siphoning list are subject to the same level of regulation. That is, subscription television broadcasting licensees are prevented from acquiring the right</w:t>
      </w:r>
      <w:r>
        <w:t xml:space="preserve"> to televise </w:t>
      </w:r>
      <w:r w:rsidRPr="008252C3">
        <w:rPr>
          <w:u w:val="single"/>
        </w:rPr>
        <w:t>any</w:t>
      </w:r>
      <w:r w:rsidRPr="008252C3">
        <w:t xml:space="preserve"> event on the</w:t>
      </w:r>
      <w:r w:rsidR="00DB49F5">
        <w:t xml:space="preserve"> anti-siphoning</w:t>
      </w:r>
      <w:r w:rsidRPr="008252C3">
        <w:t xml:space="preserve"> list unless a commercial television broadcasting licensee, or a national broadcaster, has the right to televise the event, or it is less than </w:t>
      </w:r>
      <w:r>
        <w:t>2</w:t>
      </w:r>
      <w:r w:rsidR="00582224">
        <w:t xml:space="preserve">6 </w:t>
      </w:r>
      <w:r>
        <w:t>w</w:t>
      </w:r>
      <w:r w:rsidRPr="008252C3">
        <w:t>eeks until the event’s commencement (in which case it is automatically delisted</w:t>
      </w:r>
      <w:r w:rsidR="00582224">
        <w:t>).</w:t>
      </w:r>
    </w:p>
    <w:p w14:paraId="207F95A8" w14:textId="753E5D9F" w:rsidR="007B3EB4" w:rsidRPr="00DC5D8F" w:rsidRDefault="007B3EB4" w:rsidP="00DC5D8F">
      <w:pPr>
        <w:pStyle w:val="Heading3"/>
        <w:rPr>
          <w:lang w:val="en-US"/>
        </w:rPr>
      </w:pPr>
      <w:bookmarkStart w:id="614" w:name="_Toc111752631"/>
      <w:bookmarkStart w:id="615" w:name="_Toc111795318"/>
      <w:bookmarkStart w:id="616" w:name="_Toc111800734"/>
      <w:bookmarkStart w:id="617" w:name="_Toc111803429"/>
      <w:bookmarkStart w:id="618" w:name="_Toc111813841"/>
      <w:bookmarkStart w:id="619" w:name="_Toc112321023"/>
      <w:bookmarkStart w:id="620" w:name="_Toc113361307"/>
      <w:bookmarkStart w:id="621" w:name="_Toc113361815"/>
      <w:bookmarkStart w:id="622" w:name="_Toc114487421"/>
      <w:bookmarkStart w:id="623" w:name="_Toc116044887"/>
      <w:bookmarkStart w:id="624" w:name="_Toc116061445"/>
      <w:r w:rsidRPr="00DC5D8F">
        <w:rPr>
          <w:lang w:val="en-US"/>
        </w:rPr>
        <w:t>Discussion</w:t>
      </w:r>
      <w:bookmarkEnd w:id="614"/>
      <w:bookmarkEnd w:id="615"/>
      <w:bookmarkEnd w:id="616"/>
      <w:bookmarkEnd w:id="617"/>
      <w:bookmarkEnd w:id="618"/>
      <w:bookmarkEnd w:id="619"/>
      <w:bookmarkEnd w:id="620"/>
      <w:bookmarkEnd w:id="621"/>
      <w:bookmarkEnd w:id="622"/>
      <w:bookmarkEnd w:id="623"/>
      <w:bookmarkEnd w:id="624"/>
    </w:p>
    <w:p w14:paraId="212FD2FD" w14:textId="083757D2" w:rsidR="008252C3" w:rsidRDefault="008252C3" w:rsidP="00DC5D8F">
      <w:r>
        <w:t xml:space="preserve">The current anti-siphoning list contains a diverse range of sporting events. These events differ in terms of format, frequency and duration. Most are discrete and occur in isolation from other events from </w:t>
      </w:r>
      <w:r w:rsidR="00416F4C">
        <w:t>within</w:t>
      </w:r>
      <w:r>
        <w:t xml:space="preserve"> the same competition (</w:t>
      </w:r>
      <w:r w:rsidR="00FD1E7F">
        <w:t xml:space="preserve">such as </w:t>
      </w:r>
      <w:r>
        <w:t xml:space="preserve">V8 Supercars races, </w:t>
      </w:r>
      <w:r w:rsidR="00666F79">
        <w:t>n</w:t>
      </w:r>
      <w:r>
        <w:t xml:space="preserve">etball tests, </w:t>
      </w:r>
      <w:r w:rsidR="00FD1E7F">
        <w:t xml:space="preserve">and </w:t>
      </w:r>
      <w:r>
        <w:t xml:space="preserve">T20 cricket matches). Other events involve simultaneous play </w:t>
      </w:r>
      <w:r w:rsidR="00416F4C">
        <w:t>where there are multiple events taking place at the one time</w:t>
      </w:r>
      <w:r>
        <w:t xml:space="preserve"> (</w:t>
      </w:r>
      <w:r w:rsidR="00FD1E7F">
        <w:t xml:space="preserve">such as the </w:t>
      </w:r>
      <w:r>
        <w:t xml:space="preserve">Australian Open tennis, the Summer and Winter Olympics, </w:t>
      </w:r>
      <w:r w:rsidR="00FD1E7F">
        <w:t xml:space="preserve">and </w:t>
      </w:r>
      <w:r>
        <w:t>the Commonwealth Games).</w:t>
      </w:r>
    </w:p>
    <w:p w14:paraId="7F5D491A" w14:textId="6B5A0502" w:rsidR="008252C3" w:rsidRDefault="008252C3" w:rsidP="00DC5D8F">
      <w:r>
        <w:t xml:space="preserve">There is also a </w:t>
      </w:r>
      <w:r w:rsidR="00416F4C">
        <w:t>‘</w:t>
      </w:r>
      <w:r>
        <w:t>hierarchy</w:t>
      </w:r>
      <w:r w:rsidR="00416F4C">
        <w:t>’</w:t>
      </w:r>
      <w:r>
        <w:t xml:space="preserve"> of events within </w:t>
      </w:r>
      <w:r w:rsidR="00D873DB">
        <w:t>a given</w:t>
      </w:r>
      <w:r>
        <w:t xml:space="preserve"> </w:t>
      </w:r>
      <w:r w:rsidR="00F50651">
        <w:t>sport</w:t>
      </w:r>
      <w:r>
        <w:t>. The AFL Grand Final, the NRL Grand Final, the Melbourne Cup, the Bathur</w:t>
      </w:r>
      <w:r w:rsidR="00DC5D8F">
        <w:t>s</w:t>
      </w:r>
      <w:r>
        <w:t xml:space="preserve">t 1000 and the State of Origin are ‘marquee’ events </w:t>
      </w:r>
      <w:r w:rsidR="00D873DB">
        <w:t>that</w:t>
      </w:r>
      <w:r>
        <w:t xml:space="preserve"> occupy a defined position on the </w:t>
      </w:r>
      <w:r w:rsidR="005B46D5">
        <w:t>Australian</w:t>
      </w:r>
      <w:r>
        <w:t xml:space="preserve"> sporting calendar. Other fixtures in these competition</w:t>
      </w:r>
      <w:r w:rsidR="00B63E65">
        <w:t>s</w:t>
      </w:r>
      <w:r>
        <w:t xml:space="preserve"> (home and away matches for AFL and NRL Premiership, other rounds of the V8 Supercars)</w:t>
      </w:r>
      <w:r w:rsidR="00582224">
        <w:t xml:space="preserve"> –</w:t>
      </w:r>
      <w:r w:rsidR="00D873DB">
        <w:t xml:space="preserve"> while</w:t>
      </w:r>
      <w:r>
        <w:t xml:space="preserve"> popular</w:t>
      </w:r>
      <w:r w:rsidR="00582224">
        <w:t xml:space="preserve"> –</w:t>
      </w:r>
      <w:r>
        <w:t xml:space="preserve"> not do not occupy the same position in the national psyche.</w:t>
      </w:r>
    </w:p>
    <w:p w14:paraId="5872ECF7" w14:textId="5956C6AF" w:rsidR="00416F4C" w:rsidRPr="00416F4C" w:rsidRDefault="00416F4C" w:rsidP="00666F79">
      <w:r w:rsidRPr="00416F4C">
        <w:lastRenderedPageBreak/>
        <w:t>If the current breadth of sports is to be retained on a future anti-siphoning list</w:t>
      </w:r>
      <w:r w:rsidR="00666F79">
        <w:t xml:space="preserve"> –</w:t>
      </w:r>
      <w:r w:rsidR="00666F79">
        <w:rPr>
          <w:rFonts w:cstheme="minorHAnsi"/>
        </w:rPr>
        <w:t xml:space="preserve"> </w:t>
      </w:r>
      <w:r w:rsidRPr="00416F4C">
        <w:t>covering the period from April 2023 onwards</w:t>
      </w:r>
      <w:r w:rsidR="00666F79">
        <w:t xml:space="preserve"> – </w:t>
      </w:r>
      <w:r w:rsidRPr="00416F4C">
        <w:t>there may be merit in considering the application of different levels of regulation to different events, rather than treating all events equally. The objective of such an approach would be to apply the strongest level of regulation to those events that are of clear and demonstrable national significance (tier one of a two-tier model), while allowing for more flexibility and potentially greater access by subscription</w:t>
      </w:r>
      <w:r w:rsidR="00666F79">
        <w:noBreakHyphen/>
      </w:r>
      <w:r w:rsidRPr="00416F4C">
        <w:t xml:space="preserve">based providers to the rights to televise events on a second tier </w:t>
      </w:r>
      <w:bookmarkStart w:id="625" w:name="OLE_LINK8"/>
      <w:bookmarkStart w:id="626" w:name="OLE_LINK7"/>
      <w:r w:rsidRPr="00416F4C">
        <w:t>which do not hold the same national resonance as tier one events.</w:t>
      </w:r>
      <w:bookmarkEnd w:id="625"/>
      <w:bookmarkEnd w:id="626"/>
    </w:p>
    <w:p w14:paraId="5BA1D2C9" w14:textId="502E080C" w:rsidR="00416F4C" w:rsidRDefault="00416F4C" w:rsidP="00831322">
      <w:r w:rsidRPr="00416F4C">
        <w:t>The differ</w:t>
      </w:r>
      <w:r>
        <w:t xml:space="preserve">ences in regulation between the two tiers </w:t>
      </w:r>
      <w:r w:rsidRPr="00416F4C">
        <w:t xml:space="preserve">could be based on a number of factors, and these factors </w:t>
      </w:r>
      <w:r>
        <w:t>will</w:t>
      </w:r>
      <w:r w:rsidRPr="00416F4C">
        <w:t xml:space="preserve"> not necessarily mutually exclusive. </w:t>
      </w:r>
      <w:r>
        <w:t>The following example is provided for illustrative purposes.</w:t>
      </w:r>
    </w:p>
    <w:p w14:paraId="700CE7E1" w14:textId="2904D816" w:rsidR="00831322" w:rsidRPr="00831322" w:rsidRDefault="00831322" w:rsidP="00831322">
      <w:pPr>
        <w:pStyle w:val="Box1Heading"/>
        <w:rPr>
          <w:lang w:val="en-US"/>
        </w:rPr>
      </w:pPr>
      <w:r>
        <w:rPr>
          <w:lang w:val="en-US"/>
        </w:rPr>
        <w:t>Tier 1</w:t>
      </w:r>
    </w:p>
    <w:p w14:paraId="64466847" w14:textId="20605577" w:rsidR="00582224" w:rsidRDefault="00831322" w:rsidP="008D776A">
      <w:pPr>
        <w:pStyle w:val="Box1Text"/>
        <w:rPr>
          <w:lang w:val="en-US"/>
        </w:rPr>
      </w:pPr>
      <w:r>
        <w:rPr>
          <w:lang w:val="en-US"/>
        </w:rPr>
        <w:t>Subscription television broadcasting licensees (and subscription-based media providers if the scheme is extended to online services) would be prohibited from acquiring the right to televise a Tier 1 event until a free-to-air broadcaster acquires a right.</w:t>
      </w:r>
      <w:r w:rsidR="00582224">
        <w:rPr>
          <w:lang w:val="en-US"/>
        </w:rPr>
        <w:t xml:space="preserve"> </w:t>
      </w:r>
      <w:r>
        <w:rPr>
          <w:lang w:val="en-US"/>
        </w:rPr>
        <w:t xml:space="preserve">This would mirror the current scheme, </w:t>
      </w:r>
      <w:r>
        <w:t>including the current 26-week automatic delisting period</w:t>
      </w:r>
      <w:r w:rsidR="00582224">
        <w:rPr>
          <w:lang w:val="en-US"/>
        </w:rPr>
        <w:t>.</w:t>
      </w:r>
    </w:p>
    <w:p w14:paraId="3E9E873A" w14:textId="74947B3A" w:rsidR="00831322" w:rsidRPr="00831322" w:rsidRDefault="00582224" w:rsidP="008D776A">
      <w:pPr>
        <w:pStyle w:val="Box1Text"/>
        <w:rPr>
          <w:lang w:val="en-US"/>
        </w:rPr>
      </w:pPr>
      <w:r>
        <w:rPr>
          <w:lang w:val="en-US"/>
        </w:rPr>
        <w:t>T</w:t>
      </w:r>
      <w:r w:rsidR="00831322">
        <w:t xml:space="preserve">he Minister would have the capacity to retain events on the </w:t>
      </w:r>
      <w:r w:rsidR="00DB49F5">
        <w:rPr>
          <w:lang w:val="en-US"/>
        </w:rPr>
        <w:t xml:space="preserve">anti-siphoning </w:t>
      </w:r>
      <w:r w:rsidR="00831322">
        <w:t>list where a free-to-air broadcaster hadn’t had a reasonable opportunity to acquire the rights</w:t>
      </w:r>
      <w:r>
        <w:rPr>
          <w:lang w:val="en-US"/>
        </w:rPr>
        <w:t>, as with the current scheme.</w:t>
      </w:r>
    </w:p>
    <w:p w14:paraId="624279E1" w14:textId="01565B13" w:rsidR="00831322" w:rsidRPr="00582224" w:rsidRDefault="00582224" w:rsidP="00582224">
      <w:pPr>
        <w:pStyle w:val="Box1Text"/>
        <w:rPr>
          <w:lang w:val="en-US"/>
        </w:rPr>
      </w:pPr>
      <w:r>
        <w:rPr>
          <w:lang w:val="en-US"/>
        </w:rPr>
        <w:t>However, in a departure from current arrangements, T</w:t>
      </w:r>
      <w:r w:rsidR="00831322">
        <w:rPr>
          <w:lang w:val="en-US"/>
        </w:rPr>
        <w:t>ier 1 events would be subject to live coverage obligations</w:t>
      </w:r>
      <w:r>
        <w:rPr>
          <w:lang w:val="en-US"/>
        </w:rPr>
        <w:t xml:space="preserve"> and </w:t>
      </w:r>
      <w:r w:rsidR="00DD79FF">
        <w:rPr>
          <w:lang w:val="en-US"/>
        </w:rPr>
        <w:t xml:space="preserve">the broadcaster </w:t>
      </w:r>
      <w:r>
        <w:rPr>
          <w:lang w:val="en-US"/>
        </w:rPr>
        <w:t xml:space="preserve">would be required to offer any rights </w:t>
      </w:r>
      <w:r w:rsidR="00DD79FF">
        <w:rPr>
          <w:lang w:val="en-US"/>
        </w:rPr>
        <w:t>it</w:t>
      </w:r>
      <w:r>
        <w:rPr>
          <w:lang w:val="en-US"/>
        </w:rPr>
        <w:t xml:space="preserve"> didn’t fully use</w:t>
      </w:r>
      <w:r w:rsidR="00116D9F">
        <w:rPr>
          <w:lang w:val="en-US"/>
        </w:rPr>
        <w:t xml:space="preserve"> to other broadcasters (under the existing anti-hoarding rules, or another form of must-offer requirement)</w:t>
      </w:r>
      <w:r>
        <w:rPr>
          <w:lang w:val="en-US"/>
        </w:rPr>
        <w:t>.</w:t>
      </w:r>
    </w:p>
    <w:p w14:paraId="0BFCBFF4" w14:textId="22F7BFC5" w:rsidR="00831322" w:rsidRPr="00831322" w:rsidRDefault="00831322" w:rsidP="00831322">
      <w:pPr>
        <w:pStyle w:val="Box1Heading"/>
        <w:rPr>
          <w:lang w:val="en-US"/>
        </w:rPr>
      </w:pPr>
      <w:r>
        <w:rPr>
          <w:lang w:val="en-US"/>
        </w:rPr>
        <w:t>Tier 2</w:t>
      </w:r>
    </w:p>
    <w:p w14:paraId="1383202A" w14:textId="38E66FD0" w:rsidR="00831322" w:rsidRDefault="00831322" w:rsidP="00831322">
      <w:pPr>
        <w:pStyle w:val="Box1Text"/>
        <w:rPr>
          <w:lang w:val="en-US"/>
        </w:rPr>
      </w:pPr>
      <w:r>
        <w:t>S</w:t>
      </w:r>
      <w:r w:rsidRPr="00416F4C">
        <w:t xml:space="preserve">ubscription television broadcasting licensees (and subscription-based media providers if the scheme is extended to online services) </w:t>
      </w:r>
      <w:r>
        <w:t xml:space="preserve">prohibited from acquiring the right to televise a Tier 2 </w:t>
      </w:r>
      <w:r w:rsidRPr="00416F4C">
        <w:t>event until a free</w:t>
      </w:r>
      <w:r w:rsidR="008D776A">
        <w:noBreakHyphen/>
      </w:r>
      <w:r w:rsidRPr="00416F4C">
        <w:t>to</w:t>
      </w:r>
      <w:r w:rsidR="008D776A">
        <w:noBreakHyphen/>
      </w:r>
      <w:r w:rsidRPr="00416F4C">
        <w:t>air broadcaster acquires a right</w:t>
      </w:r>
      <w:r>
        <w:rPr>
          <w:lang w:val="en-US"/>
        </w:rPr>
        <w:t>.</w:t>
      </w:r>
      <w:r w:rsidR="00116D9F">
        <w:rPr>
          <w:lang w:val="en-US"/>
        </w:rPr>
        <w:t xml:space="preserve"> This would be as per the current scheme.</w:t>
      </w:r>
    </w:p>
    <w:p w14:paraId="5BAC0595" w14:textId="39C6DDE6" w:rsidR="00582224" w:rsidRDefault="00831322" w:rsidP="00582224">
      <w:pPr>
        <w:pStyle w:val="Box1Text"/>
        <w:rPr>
          <w:lang w:val="en-US"/>
        </w:rPr>
      </w:pPr>
      <w:r>
        <w:t>However, the automatic delisting period would be longer for this Tier (indicatively, 2 years</w:t>
      </w:r>
      <w:r w:rsidR="00116D9F">
        <w:rPr>
          <w:lang w:val="en-US"/>
        </w:rPr>
        <w:t xml:space="preserve"> rather than 26 weeks</w:t>
      </w:r>
      <w:r>
        <w:t>), enhancing the ability of subscription-based media providers to bid to acquire the rights. The Minister would not have the capacity to override the automatic delisting arrangements (unlike Tier 1)</w:t>
      </w:r>
      <w:r>
        <w:rPr>
          <w:lang w:val="en-US"/>
        </w:rPr>
        <w:t>.</w:t>
      </w:r>
    </w:p>
    <w:p w14:paraId="300B5112" w14:textId="4828B5AF" w:rsidR="00831322" w:rsidRPr="00582224" w:rsidRDefault="00582224" w:rsidP="00582224">
      <w:pPr>
        <w:pStyle w:val="Box1Text"/>
        <w:rPr>
          <w:lang w:val="en-US"/>
        </w:rPr>
      </w:pPr>
      <w:r>
        <w:rPr>
          <w:lang w:val="en-US"/>
        </w:rPr>
        <w:t xml:space="preserve">In addition, </w:t>
      </w:r>
      <w:r w:rsidR="00831322">
        <w:rPr>
          <w:lang w:val="en-US"/>
        </w:rPr>
        <w:t xml:space="preserve">Tier 2 events would not be subject to live coverage </w:t>
      </w:r>
      <w:r w:rsidR="00116D9F">
        <w:rPr>
          <w:lang w:val="en-US"/>
        </w:rPr>
        <w:t xml:space="preserve">or must-offer </w:t>
      </w:r>
      <w:r w:rsidR="00831322">
        <w:rPr>
          <w:lang w:val="en-US"/>
        </w:rPr>
        <w:t>obligations, unlike Tier 1</w:t>
      </w:r>
      <w:r>
        <w:rPr>
          <w:lang w:val="en-US"/>
        </w:rPr>
        <w:t>.</w:t>
      </w:r>
    </w:p>
    <w:p w14:paraId="3A2E917B" w14:textId="77777777" w:rsidR="0029729F" w:rsidRPr="00CF21AA" w:rsidRDefault="0029729F" w:rsidP="0029729F">
      <w:pPr>
        <w:pStyle w:val="Box2Heading"/>
      </w:pPr>
      <w:r>
        <w:t>Questions:</w:t>
      </w:r>
    </w:p>
    <w:p w14:paraId="278FED5B" w14:textId="397B7BBC" w:rsidR="0029729F" w:rsidRPr="008D776A" w:rsidRDefault="0029729F" w:rsidP="0029729F">
      <w:pPr>
        <w:pStyle w:val="Box2Bullet1"/>
        <w:ind w:left="681" w:hanging="397"/>
        <w:rPr>
          <w:sz w:val="22"/>
          <w:szCs w:val="22"/>
        </w:rPr>
      </w:pPr>
      <w:bookmarkStart w:id="627" w:name="_Toc114476307"/>
      <w:bookmarkStart w:id="628" w:name="_Toc116293005"/>
      <w:r w:rsidRPr="008D776A">
        <w:rPr>
          <w:sz w:val="22"/>
          <w:szCs w:val="22"/>
        </w:rPr>
        <w:t>Is there merit in considering differentiated regulation for events on the anti-siphoning list, or should regulation remain homogenous for all listed events</w:t>
      </w:r>
      <w:r w:rsidRPr="008D776A">
        <w:rPr>
          <w:sz w:val="22"/>
          <w:szCs w:val="22"/>
          <w:lang w:val="en-US"/>
        </w:rPr>
        <w:t>?</w:t>
      </w:r>
      <w:bookmarkEnd w:id="627"/>
      <w:bookmarkEnd w:id="628"/>
    </w:p>
    <w:p w14:paraId="57919572" w14:textId="5BBBF803" w:rsidR="0029729F" w:rsidRPr="008D776A" w:rsidRDefault="0029729F" w:rsidP="0029729F">
      <w:pPr>
        <w:pStyle w:val="Box2Bullet1"/>
        <w:ind w:left="681" w:hanging="397"/>
        <w:rPr>
          <w:sz w:val="22"/>
          <w:szCs w:val="22"/>
        </w:rPr>
      </w:pPr>
      <w:bookmarkStart w:id="629" w:name="_Toc114476308"/>
      <w:bookmarkStart w:id="630" w:name="_Toc116293006"/>
      <w:r w:rsidRPr="008D776A">
        <w:rPr>
          <w:sz w:val="22"/>
          <w:szCs w:val="22"/>
        </w:rPr>
        <w:t>If differentiated regulation is pursued, what form should this take</w:t>
      </w:r>
      <w:r w:rsidRPr="008D776A">
        <w:rPr>
          <w:sz w:val="22"/>
          <w:szCs w:val="22"/>
          <w:lang w:val="en-US"/>
        </w:rPr>
        <w:t>?</w:t>
      </w:r>
      <w:bookmarkEnd w:id="629"/>
      <w:bookmarkEnd w:id="630"/>
    </w:p>
    <w:p w14:paraId="071F2B02" w14:textId="38FC664A" w:rsidR="0029729F" w:rsidRPr="008D776A" w:rsidRDefault="0029729F" w:rsidP="008D776A">
      <w:pPr>
        <w:pStyle w:val="Box2Checklist"/>
        <w:spacing w:before="80"/>
        <w:ind w:left="851" w:hanging="567"/>
        <w:rPr>
          <w:sz w:val="22"/>
          <w:szCs w:val="22"/>
        </w:rPr>
      </w:pPr>
      <w:bookmarkStart w:id="631" w:name="_Toc114476309"/>
      <w:bookmarkStart w:id="632" w:name="_Toc116293007"/>
      <w:r w:rsidRPr="008D776A">
        <w:rPr>
          <w:sz w:val="22"/>
          <w:szCs w:val="22"/>
        </w:rPr>
        <w:t xml:space="preserve">Two or more tiers, or some other form of differentiating between events on the </w:t>
      </w:r>
      <w:r w:rsidR="00DB49F5">
        <w:rPr>
          <w:sz w:val="22"/>
          <w:szCs w:val="22"/>
          <w:lang w:val="en-US"/>
        </w:rPr>
        <w:t xml:space="preserve">anti-siphoning </w:t>
      </w:r>
      <w:r w:rsidRPr="008D776A">
        <w:rPr>
          <w:sz w:val="22"/>
          <w:szCs w:val="22"/>
        </w:rPr>
        <w:t>list?</w:t>
      </w:r>
      <w:bookmarkEnd w:id="631"/>
      <w:bookmarkEnd w:id="632"/>
    </w:p>
    <w:p w14:paraId="51C1911D" w14:textId="452424AE" w:rsidR="0029729F" w:rsidRPr="008D776A" w:rsidRDefault="0029729F" w:rsidP="008D776A">
      <w:pPr>
        <w:pStyle w:val="Box2Checklist"/>
        <w:spacing w:before="80" w:after="160"/>
        <w:ind w:left="851" w:hanging="567"/>
        <w:rPr>
          <w:sz w:val="22"/>
          <w:szCs w:val="22"/>
        </w:rPr>
      </w:pPr>
      <w:bookmarkStart w:id="633" w:name="_Toc114476310"/>
      <w:bookmarkStart w:id="634" w:name="_Toc116293008"/>
      <w:r w:rsidRPr="008D776A">
        <w:rPr>
          <w:sz w:val="22"/>
          <w:szCs w:val="22"/>
        </w:rPr>
        <w:t>How would this new arrangement be integrated with other amendments to the scheme?</w:t>
      </w:r>
      <w:bookmarkEnd w:id="633"/>
      <w:bookmarkEnd w:id="634"/>
    </w:p>
    <w:p w14:paraId="497A2D42" w14:textId="39AEA27A" w:rsidR="0029729F" w:rsidRPr="008D776A" w:rsidRDefault="0029729F" w:rsidP="0029729F">
      <w:pPr>
        <w:pStyle w:val="Box2Bullet1"/>
        <w:ind w:left="681" w:hanging="397"/>
        <w:rPr>
          <w:sz w:val="22"/>
          <w:szCs w:val="22"/>
        </w:rPr>
      </w:pPr>
      <w:bookmarkStart w:id="635" w:name="_Toc114476311"/>
      <w:bookmarkStart w:id="636" w:name="_Toc116293009"/>
      <w:r w:rsidRPr="008D776A">
        <w:rPr>
          <w:sz w:val="22"/>
          <w:szCs w:val="22"/>
        </w:rPr>
        <w:t xml:space="preserve">What impact would a differentiated regulation have on </w:t>
      </w:r>
      <w:r w:rsidRPr="008D776A">
        <w:rPr>
          <w:sz w:val="22"/>
          <w:szCs w:val="22"/>
          <w:lang w:val="en-US"/>
        </w:rPr>
        <w:t>decisions made by industry regarding media rights to sporting events, both listed and unlisted? Would this make it easier or harder to sell and acquire rights under this general model?</w:t>
      </w:r>
      <w:bookmarkEnd w:id="635"/>
      <w:bookmarkEnd w:id="636"/>
    </w:p>
    <w:p w14:paraId="48D70AC8" w14:textId="1085FBEE" w:rsidR="0029729F" w:rsidRPr="008D776A" w:rsidRDefault="0029729F" w:rsidP="0029729F">
      <w:pPr>
        <w:pStyle w:val="Box2Bullet1"/>
        <w:ind w:left="681" w:hanging="397"/>
        <w:rPr>
          <w:sz w:val="22"/>
          <w:szCs w:val="22"/>
        </w:rPr>
      </w:pPr>
      <w:bookmarkStart w:id="637" w:name="_Toc114476312"/>
      <w:bookmarkStart w:id="638" w:name="_Toc116293010"/>
      <w:r w:rsidRPr="008D776A">
        <w:rPr>
          <w:sz w:val="22"/>
          <w:szCs w:val="22"/>
        </w:rPr>
        <w:t xml:space="preserve">Would a differentiated regulatory framework have a positive or negative impact on </w:t>
      </w:r>
      <w:r w:rsidR="00483630" w:rsidRPr="008D776A">
        <w:rPr>
          <w:sz w:val="22"/>
          <w:szCs w:val="22"/>
          <w:lang w:val="en-US"/>
        </w:rPr>
        <w:t>Australian view</w:t>
      </w:r>
      <w:r w:rsidR="00483630" w:rsidRPr="008D776A">
        <w:rPr>
          <w:sz w:val="22"/>
          <w:szCs w:val="22"/>
        </w:rPr>
        <w:t>ers</w:t>
      </w:r>
      <w:r w:rsidRPr="008D776A">
        <w:rPr>
          <w:sz w:val="22"/>
          <w:szCs w:val="22"/>
          <w:lang w:val="en-US"/>
        </w:rPr>
        <w:t>?</w:t>
      </w:r>
      <w:bookmarkEnd w:id="637"/>
      <w:bookmarkEnd w:id="638"/>
    </w:p>
    <w:p w14:paraId="67AEA794" w14:textId="710FA761" w:rsidR="00D80993" w:rsidRPr="007F2D46" w:rsidRDefault="00E80BDA" w:rsidP="00B22819">
      <w:pPr>
        <w:pStyle w:val="Heading2"/>
        <w:rPr>
          <w:rFonts w:eastAsiaTheme="minorHAnsi"/>
        </w:rPr>
      </w:pPr>
      <w:bookmarkStart w:id="639" w:name="_Toc113361308"/>
      <w:bookmarkStart w:id="640" w:name="_Toc114476313"/>
      <w:bookmarkStart w:id="641" w:name="_Toc116061446"/>
      <w:bookmarkStart w:id="642" w:name="_Toc116293011"/>
      <w:r w:rsidRPr="007F2D46">
        <w:rPr>
          <w:rFonts w:eastAsiaTheme="minorHAnsi"/>
        </w:rPr>
        <w:lastRenderedPageBreak/>
        <w:t>D</w:t>
      </w:r>
      <w:r w:rsidR="00D80993" w:rsidRPr="007F2D46">
        <w:rPr>
          <w:rFonts w:eastAsiaTheme="minorHAnsi"/>
        </w:rPr>
        <w:t>elisting arrangements</w:t>
      </w:r>
      <w:bookmarkEnd w:id="639"/>
      <w:bookmarkEnd w:id="640"/>
      <w:bookmarkEnd w:id="641"/>
      <w:bookmarkEnd w:id="642"/>
    </w:p>
    <w:p w14:paraId="4E1856B5" w14:textId="20D8B834" w:rsidR="00F653CF" w:rsidRPr="00F653CF" w:rsidRDefault="00F653CF" w:rsidP="007F2D46">
      <w:pPr>
        <w:rPr>
          <w:b/>
        </w:rPr>
      </w:pPr>
      <w:r w:rsidRPr="00F653CF">
        <w:rPr>
          <w:b/>
        </w:rPr>
        <w:t>Status</w:t>
      </w:r>
    </w:p>
    <w:p w14:paraId="1E42FE47" w14:textId="79B5B7E8" w:rsidR="000D6FC6" w:rsidRDefault="00F653CF" w:rsidP="008D776A">
      <w:r>
        <w:t xml:space="preserve">Events on the anti-siphoning list are </w:t>
      </w:r>
      <w:r w:rsidR="00B43038">
        <w:t>‘</w:t>
      </w:r>
      <w:r>
        <w:t>automatically delisted</w:t>
      </w:r>
      <w:r w:rsidR="004D41A8">
        <w:t>’</w:t>
      </w:r>
      <w:r>
        <w:t xml:space="preserve"> 26 weeks before their commencement, thus allowing a subscription television broadcasting licensee to acquire the </w:t>
      </w:r>
      <w:r w:rsidR="00B43038">
        <w:t>right to televise an event irrespective of whether a right ha</w:t>
      </w:r>
      <w:r w:rsidR="00705925">
        <w:t xml:space="preserve">s </w:t>
      </w:r>
      <w:r w:rsidR="00B43038">
        <w:t>been acquired by a free-to-air broadcaster. T</w:t>
      </w:r>
      <w:r>
        <w:t>he Minister may override the automatic delisting of an event if he or she believes a free</w:t>
      </w:r>
      <w:r>
        <w:noBreakHyphen/>
        <w:t>to</w:t>
      </w:r>
      <w:r>
        <w:noBreakHyphen/>
        <w:t xml:space="preserve">air broadcaster has not had a ‘reasonable opportunity’ to purchase the rights. </w:t>
      </w:r>
      <w:r w:rsidR="000D6FC6">
        <w:t xml:space="preserve">The Minister can also remove an event from the </w:t>
      </w:r>
      <w:r w:rsidR="00DB49F5">
        <w:t xml:space="preserve">anti-siphoning </w:t>
      </w:r>
      <w:r w:rsidR="000D6FC6">
        <w:t>list, separate from the automatic delisting arrangements.</w:t>
      </w:r>
      <w:r w:rsidR="000D6FC6">
        <w:rPr>
          <w:rStyle w:val="FootnoteReference"/>
        </w:rPr>
        <w:footnoteReference w:id="92"/>
      </w:r>
    </w:p>
    <w:p w14:paraId="72379798" w14:textId="75AEE22C" w:rsidR="00F653CF" w:rsidRPr="00F653CF" w:rsidRDefault="00F653CF" w:rsidP="00F653CF">
      <w:pPr>
        <w:rPr>
          <w:b/>
        </w:rPr>
      </w:pPr>
      <w:r w:rsidRPr="00F653CF">
        <w:rPr>
          <w:b/>
        </w:rPr>
        <w:t>Discussion</w:t>
      </w:r>
    </w:p>
    <w:p w14:paraId="1B351E7F" w14:textId="6867EF47" w:rsidR="00F653CF" w:rsidRDefault="00F653CF" w:rsidP="00F653CF">
      <w:r>
        <w:t xml:space="preserve">The 26-week automatic delisting period was extended from 12 weeks in 2017, providing subscription television broadcasting </w:t>
      </w:r>
      <w:r w:rsidR="000D6FC6">
        <w:t>licensees</w:t>
      </w:r>
      <w:r>
        <w:t xml:space="preserve"> with </w:t>
      </w:r>
      <w:r w:rsidR="000D6FC6">
        <w:t>greater opportunity to acquire rights without restriction under the scheme. The review will consider whether the 26-week period remain</w:t>
      </w:r>
      <w:r w:rsidR="00B43038">
        <w:t>s</w:t>
      </w:r>
      <w:r w:rsidR="000D6FC6">
        <w:t xml:space="preserve"> appropriate in the contemporary media environment, noting that many rights deals are struck well in advance of 26 weeks from the commencement of </w:t>
      </w:r>
      <w:r w:rsidR="00B43038">
        <w:t xml:space="preserve">an </w:t>
      </w:r>
      <w:r w:rsidR="000D6FC6">
        <w:t>event. For example, the rights arrangements for the Olympics and the world cup finals for various sports are typically settle</w:t>
      </w:r>
      <w:r w:rsidR="00B43038">
        <w:t>d</w:t>
      </w:r>
      <w:r w:rsidR="000D6FC6">
        <w:t xml:space="preserve"> many years in advance of the events taking place.</w:t>
      </w:r>
    </w:p>
    <w:p w14:paraId="356EAE01" w14:textId="77777777" w:rsidR="006044C6" w:rsidRPr="00CF21AA" w:rsidRDefault="006044C6" w:rsidP="006044C6">
      <w:pPr>
        <w:pStyle w:val="Box2Heading"/>
      </w:pPr>
      <w:r>
        <w:t>Questions:</w:t>
      </w:r>
    </w:p>
    <w:p w14:paraId="2F1C11F9" w14:textId="3CCEF3A1" w:rsidR="006044C6" w:rsidRPr="008D776A" w:rsidRDefault="006044C6" w:rsidP="006044C6">
      <w:pPr>
        <w:pStyle w:val="Box2Bullet1"/>
        <w:ind w:left="681" w:hanging="397"/>
        <w:rPr>
          <w:sz w:val="22"/>
        </w:rPr>
      </w:pPr>
      <w:bookmarkStart w:id="643" w:name="_Toc114476314"/>
      <w:bookmarkStart w:id="644" w:name="_Toc116293012"/>
      <w:r w:rsidRPr="008D776A">
        <w:rPr>
          <w:sz w:val="22"/>
          <w:lang w:val="en-US"/>
        </w:rPr>
        <w:t>Are the current de-listing provisions appropriate and effective?</w:t>
      </w:r>
      <w:bookmarkEnd w:id="643"/>
      <w:bookmarkEnd w:id="644"/>
    </w:p>
    <w:p w14:paraId="50D0CB0D" w14:textId="430AC8C7" w:rsidR="006044C6" w:rsidRPr="008D776A" w:rsidRDefault="006044C6" w:rsidP="008D776A">
      <w:pPr>
        <w:pStyle w:val="Box2Checklist"/>
        <w:spacing w:before="80"/>
        <w:ind w:left="851" w:hanging="567"/>
        <w:rPr>
          <w:sz w:val="22"/>
        </w:rPr>
      </w:pPr>
      <w:bookmarkStart w:id="645" w:name="_Toc114476315"/>
      <w:bookmarkStart w:id="646" w:name="_Toc116293013"/>
      <w:r w:rsidRPr="008D776A">
        <w:rPr>
          <w:sz w:val="22"/>
        </w:rPr>
        <w:t>If not, what changes would you recommend?</w:t>
      </w:r>
      <w:bookmarkEnd w:id="645"/>
      <w:bookmarkEnd w:id="646"/>
    </w:p>
    <w:p w14:paraId="750A942D" w14:textId="2408F9B2" w:rsidR="006044C6" w:rsidRPr="008D776A" w:rsidRDefault="006044C6" w:rsidP="008D776A">
      <w:pPr>
        <w:pStyle w:val="Box2Checklist"/>
        <w:spacing w:before="80" w:after="160"/>
        <w:ind w:left="851" w:hanging="567"/>
        <w:rPr>
          <w:sz w:val="22"/>
        </w:rPr>
      </w:pPr>
      <w:bookmarkStart w:id="647" w:name="_Toc114476316"/>
      <w:bookmarkStart w:id="648" w:name="_Toc116293014"/>
      <w:r w:rsidRPr="008D776A">
        <w:rPr>
          <w:sz w:val="22"/>
        </w:rPr>
        <w:t>In what way would any such changes be integrated with other amendments to the scheme?</w:t>
      </w:r>
      <w:bookmarkEnd w:id="647"/>
      <w:bookmarkEnd w:id="648"/>
    </w:p>
    <w:p w14:paraId="31E3761D" w14:textId="0D1D3457" w:rsidR="006044C6" w:rsidRPr="008D776A" w:rsidRDefault="006044C6" w:rsidP="006044C6">
      <w:pPr>
        <w:pStyle w:val="Box2Bullet1"/>
        <w:ind w:left="681" w:hanging="397"/>
        <w:rPr>
          <w:sz w:val="22"/>
        </w:rPr>
      </w:pPr>
      <w:bookmarkStart w:id="649" w:name="_Toc114476317"/>
      <w:bookmarkStart w:id="650" w:name="_Toc116293015"/>
      <w:r w:rsidRPr="008D776A">
        <w:rPr>
          <w:sz w:val="22"/>
          <w:lang w:val="en-US"/>
        </w:rPr>
        <w:t>Is the automatic de-listing period of 26 weeks too long, or too short, for rights arrangements to be settled and for relevant parties to effectively promote events to audiences?</w:t>
      </w:r>
      <w:bookmarkEnd w:id="649"/>
      <w:bookmarkEnd w:id="650"/>
    </w:p>
    <w:p w14:paraId="3A5E4B49" w14:textId="77777777" w:rsidR="00257B93" w:rsidDel="00705925" w:rsidRDefault="00B44A80">
      <w:pPr>
        <w:suppressAutoHyphens w:val="0"/>
      </w:pPr>
      <w:bookmarkStart w:id="651" w:name="_Toc6312228"/>
      <w:r>
        <w:br w:type="page"/>
      </w:r>
    </w:p>
    <w:p w14:paraId="3AE94128" w14:textId="337E0BB2" w:rsidR="00257B93" w:rsidRDefault="00363677" w:rsidP="00363677">
      <w:pPr>
        <w:pStyle w:val="Heading1"/>
      </w:pPr>
      <w:bookmarkStart w:id="652" w:name="_Toc113361309"/>
      <w:bookmarkStart w:id="653" w:name="_Toc116061447"/>
      <w:r>
        <w:lastRenderedPageBreak/>
        <w:t xml:space="preserve">Attachment A: </w:t>
      </w:r>
      <w:r w:rsidR="00257B93">
        <w:t>Co</w:t>
      </w:r>
      <w:r>
        <w:t>nsultation questions</w:t>
      </w:r>
      <w:bookmarkEnd w:id="652"/>
      <w:bookmarkEnd w:id="653"/>
    </w:p>
    <w:p w14:paraId="51E16913" w14:textId="77777777" w:rsidR="00985825" w:rsidRDefault="00985825" w:rsidP="00985825">
      <w:pPr>
        <w:pStyle w:val="TOC1"/>
        <w:ind w:left="0" w:firstLine="0"/>
      </w:pPr>
    </w:p>
    <w:p w14:paraId="62890A7A" w14:textId="30F856A6" w:rsidR="009F7F4F" w:rsidRDefault="00BA05A6">
      <w:pPr>
        <w:pStyle w:val="TOC1"/>
        <w:rPr>
          <w:rFonts w:eastAsiaTheme="minorEastAsia"/>
          <w:b w:val="0"/>
          <w:noProof/>
          <w:color w:val="auto"/>
          <w:sz w:val="22"/>
          <w:u w:val="none"/>
          <w:lang w:eastAsia="en-AU"/>
        </w:rPr>
      </w:pPr>
      <w:r>
        <w:fldChar w:fldCharType="begin"/>
      </w:r>
      <w:r>
        <w:instrText xml:space="preserve"> TOC \n \h \z \t "Heading 2,1,Box 2 Bullet 1,2,Box 2 Checklist,3" </w:instrText>
      </w:r>
      <w:r>
        <w:fldChar w:fldCharType="separate"/>
      </w:r>
      <w:hyperlink w:anchor="_Toc116292934" w:history="1">
        <w:r w:rsidR="009F7F4F" w:rsidRPr="00211763">
          <w:rPr>
            <w:rStyle w:val="Hyperlink"/>
            <w:noProof/>
          </w:rPr>
          <w:t>Making a submission</w:t>
        </w:r>
      </w:hyperlink>
    </w:p>
    <w:p w14:paraId="3E63C835" w14:textId="017E476D" w:rsidR="009F7F4F" w:rsidRDefault="009F7F4F">
      <w:pPr>
        <w:pStyle w:val="TOC1"/>
        <w:rPr>
          <w:rFonts w:eastAsiaTheme="minorEastAsia"/>
          <w:b w:val="0"/>
          <w:noProof/>
          <w:color w:val="auto"/>
          <w:sz w:val="22"/>
          <w:u w:val="none"/>
          <w:lang w:eastAsia="en-AU"/>
        </w:rPr>
      </w:pPr>
      <w:hyperlink w:anchor="_Toc116292935" w:history="1">
        <w:r w:rsidRPr="00211763">
          <w:rPr>
            <w:rStyle w:val="Hyperlink"/>
            <w:noProof/>
          </w:rPr>
          <w:t>Publication of submissions and confidentiality</w:t>
        </w:r>
      </w:hyperlink>
    </w:p>
    <w:p w14:paraId="15046396" w14:textId="22381D73" w:rsidR="009F7F4F" w:rsidRDefault="009F7F4F">
      <w:pPr>
        <w:pStyle w:val="TOC1"/>
        <w:rPr>
          <w:rFonts w:eastAsiaTheme="minorEastAsia"/>
          <w:b w:val="0"/>
          <w:noProof/>
          <w:color w:val="auto"/>
          <w:sz w:val="22"/>
          <w:u w:val="none"/>
          <w:lang w:eastAsia="en-AU"/>
        </w:rPr>
      </w:pPr>
      <w:hyperlink w:anchor="_Toc116292936" w:history="1">
        <w:r w:rsidRPr="00211763">
          <w:rPr>
            <w:rStyle w:val="Hyperlink"/>
            <w:noProof/>
          </w:rPr>
          <w:t>The scheme</w:t>
        </w:r>
      </w:hyperlink>
    </w:p>
    <w:p w14:paraId="646D2C29" w14:textId="5896FCDD" w:rsidR="009F7F4F" w:rsidRDefault="009F7F4F">
      <w:pPr>
        <w:pStyle w:val="TOC1"/>
        <w:rPr>
          <w:rFonts w:eastAsiaTheme="minorEastAsia"/>
          <w:b w:val="0"/>
          <w:noProof/>
          <w:color w:val="auto"/>
          <w:sz w:val="22"/>
          <w:u w:val="none"/>
          <w:lang w:eastAsia="en-AU"/>
        </w:rPr>
      </w:pPr>
      <w:hyperlink w:anchor="_Toc116292937" w:history="1">
        <w:r w:rsidRPr="00211763">
          <w:rPr>
            <w:rStyle w:val="Hyperlink"/>
            <w:noProof/>
          </w:rPr>
          <w:t>The anti-siphoning list</w:t>
        </w:r>
      </w:hyperlink>
    </w:p>
    <w:p w14:paraId="4B44035A" w14:textId="5C821F60" w:rsidR="009F7F4F" w:rsidRDefault="009F7F4F">
      <w:pPr>
        <w:pStyle w:val="TOC1"/>
        <w:rPr>
          <w:rFonts w:eastAsiaTheme="minorEastAsia"/>
          <w:b w:val="0"/>
          <w:noProof/>
          <w:color w:val="auto"/>
          <w:sz w:val="22"/>
          <w:u w:val="none"/>
          <w:lang w:eastAsia="en-AU"/>
        </w:rPr>
      </w:pPr>
      <w:hyperlink w:anchor="_Toc116292938" w:history="1">
        <w:r w:rsidRPr="00211763">
          <w:rPr>
            <w:rStyle w:val="Hyperlink"/>
            <w:noProof/>
          </w:rPr>
          <w:t>The anti-hoarding rules</w:t>
        </w:r>
      </w:hyperlink>
    </w:p>
    <w:p w14:paraId="0B41611A" w14:textId="5604BE7E" w:rsidR="009F7F4F" w:rsidRDefault="009F7F4F">
      <w:pPr>
        <w:pStyle w:val="TOC1"/>
        <w:rPr>
          <w:rFonts w:eastAsiaTheme="minorEastAsia"/>
          <w:b w:val="0"/>
          <w:noProof/>
          <w:color w:val="auto"/>
          <w:sz w:val="22"/>
          <w:u w:val="none"/>
          <w:lang w:eastAsia="en-AU"/>
        </w:rPr>
      </w:pPr>
      <w:hyperlink w:anchor="_Toc116292939" w:history="1">
        <w:r w:rsidRPr="00211763">
          <w:rPr>
            <w:rStyle w:val="Hyperlink"/>
            <w:noProof/>
          </w:rPr>
          <w:t>Administration and enforcement</w:t>
        </w:r>
      </w:hyperlink>
    </w:p>
    <w:p w14:paraId="6636C7E8" w14:textId="7891A883" w:rsidR="009F7F4F" w:rsidRDefault="009F7F4F">
      <w:pPr>
        <w:pStyle w:val="TOC1"/>
        <w:rPr>
          <w:rFonts w:eastAsiaTheme="minorEastAsia"/>
          <w:b w:val="0"/>
          <w:noProof/>
          <w:color w:val="auto"/>
          <w:sz w:val="22"/>
          <w:u w:val="none"/>
          <w:lang w:eastAsia="en-AU"/>
        </w:rPr>
      </w:pPr>
      <w:hyperlink w:anchor="_Toc116292940" w:history="1">
        <w:r w:rsidRPr="00211763">
          <w:rPr>
            <w:rStyle w:val="Hyperlink"/>
            <w:noProof/>
          </w:rPr>
          <w:t>More providers, more choice</w:t>
        </w:r>
      </w:hyperlink>
    </w:p>
    <w:p w14:paraId="5EA00897" w14:textId="597EA06C" w:rsidR="009F7F4F" w:rsidRDefault="009F7F4F">
      <w:pPr>
        <w:pStyle w:val="TOC1"/>
        <w:rPr>
          <w:rFonts w:eastAsiaTheme="minorEastAsia"/>
          <w:b w:val="0"/>
          <w:noProof/>
          <w:color w:val="auto"/>
          <w:sz w:val="22"/>
          <w:u w:val="none"/>
          <w:lang w:eastAsia="en-AU"/>
        </w:rPr>
      </w:pPr>
      <w:hyperlink w:anchor="_Toc116292941" w:history="1">
        <w:r w:rsidRPr="00211763">
          <w:rPr>
            <w:rStyle w:val="Hyperlink"/>
            <w:noProof/>
          </w:rPr>
          <w:t>A large number of Australians watch sport</w:t>
        </w:r>
      </w:hyperlink>
    </w:p>
    <w:p w14:paraId="3C76659E" w14:textId="671591B3" w:rsidR="009F7F4F" w:rsidRDefault="009F7F4F">
      <w:pPr>
        <w:pStyle w:val="TOC1"/>
        <w:rPr>
          <w:rFonts w:eastAsiaTheme="minorEastAsia"/>
          <w:b w:val="0"/>
          <w:noProof/>
          <w:color w:val="auto"/>
          <w:sz w:val="22"/>
          <w:u w:val="none"/>
          <w:lang w:eastAsia="en-AU"/>
        </w:rPr>
      </w:pPr>
      <w:hyperlink w:anchor="_Toc116292942" w:history="1">
        <w:r w:rsidRPr="00211763">
          <w:rPr>
            <w:rStyle w:val="Hyperlink"/>
            <w:noProof/>
          </w:rPr>
          <w:t>Sport remains an important genre for broadcasters</w:t>
        </w:r>
      </w:hyperlink>
    </w:p>
    <w:p w14:paraId="2525334B" w14:textId="681B3FCF" w:rsidR="009F7F4F" w:rsidRDefault="009F7F4F">
      <w:pPr>
        <w:pStyle w:val="TOC1"/>
        <w:rPr>
          <w:rFonts w:eastAsiaTheme="minorEastAsia"/>
          <w:b w:val="0"/>
          <w:noProof/>
          <w:color w:val="auto"/>
          <w:sz w:val="22"/>
          <w:u w:val="none"/>
          <w:lang w:eastAsia="en-AU"/>
        </w:rPr>
      </w:pPr>
      <w:hyperlink w:anchor="_Toc116292943" w:history="1">
        <w:r w:rsidRPr="00211763">
          <w:rPr>
            <w:rStyle w:val="Hyperlink"/>
            <w:noProof/>
          </w:rPr>
          <w:t>The value of sports rights continues to grow</w:t>
        </w:r>
      </w:hyperlink>
    </w:p>
    <w:p w14:paraId="1F2D965F" w14:textId="5B754EFB" w:rsidR="009F7F4F" w:rsidRDefault="009F7F4F">
      <w:pPr>
        <w:pStyle w:val="TOC1"/>
        <w:rPr>
          <w:rFonts w:eastAsiaTheme="minorEastAsia"/>
          <w:b w:val="0"/>
          <w:noProof/>
          <w:color w:val="auto"/>
          <w:sz w:val="22"/>
          <w:u w:val="none"/>
          <w:lang w:eastAsia="en-AU"/>
        </w:rPr>
      </w:pPr>
      <w:hyperlink w:anchor="_Toc116292944" w:history="1">
        <w:r w:rsidRPr="00211763">
          <w:rPr>
            <w:rStyle w:val="Hyperlink"/>
            <w:noProof/>
          </w:rPr>
          <w:t>Online services are playing a greater role</w:t>
        </w:r>
      </w:hyperlink>
    </w:p>
    <w:p w14:paraId="32EE70FC" w14:textId="18695213" w:rsidR="009F7F4F" w:rsidRDefault="009F7F4F">
      <w:pPr>
        <w:pStyle w:val="TOC1"/>
        <w:rPr>
          <w:rFonts w:eastAsiaTheme="minorEastAsia"/>
          <w:b w:val="0"/>
          <w:noProof/>
          <w:color w:val="auto"/>
          <w:sz w:val="22"/>
          <w:u w:val="none"/>
          <w:lang w:eastAsia="en-AU"/>
        </w:rPr>
      </w:pPr>
      <w:hyperlink w:anchor="_Toc116292945" w:history="1">
        <w:r w:rsidRPr="00211763">
          <w:rPr>
            <w:rStyle w:val="Hyperlink"/>
            <w:noProof/>
          </w:rPr>
          <w:t>International trends highlight the growth in online coverage</w:t>
        </w:r>
      </w:hyperlink>
    </w:p>
    <w:p w14:paraId="00714F6A" w14:textId="5B317CF9" w:rsidR="009F7F4F" w:rsidRDefault="009F7F4F">
      <w:pPr>
        <w:pStyle w:val="TOC1"/>
        <w:rPr>
          <w:rFonts w:eastAsiaTheme="minorEastAsia"/>
          <w:b w:val="0"/>
          <w:noProof/>
          <w:color w:val="auto"/>
          <w:sz w:val="22"/>
          <w:u w:val="none"/>
          <w:lang w:eastAsia="en-AU"/>
        </w:rPr>
      </w:pPr>
      <w:hyperlink w:anchor="_Toc116292946" w:history="1">
        <w:r w:rsidRPr="00211763">
          <w:rPr>
            <w:rStyle w:val="Hyperlink"/>
            <w:noProof/>
          </w:rPr>
          <w:t>Policy objective</w:t>
        </w:r>
      </w:hyperlink>
    </w:p>
    <w:p w14:paraId="16003D26" w14:textId="19775F4B" w:rsidR="009F7F4F" w:rsidRDefault="009F7F4F">
      <w:pPr>
        <w:pStyle w:val="TOC2"/>
        <w:rPr>
          <w:rFonts w:eastAsiaTheme="minorEastAsia"/>
          <w:noProof/>
          <w:color w:val="auto"/>
          <w:lang w:eastAsia="en-AU"/>
        </w:rPr>
      </w:pPr>
      <w:hyperlink w:anchor="_Toc116292947" w:history="1">
        <w:r w:rsidRPr="00211763">
          <w:rPr>
            <w:rStyle w:val="Hyperlink"/>
            <w:noProof/>
          </w:rPr>
          <w:t>1.</w:t>
        </w:r>
        <w:r>
          <w:rPr>
            <w:rFonts w:eastAsiaTheme="minorEastAsia"/>
            <w:noProof/>
            <w:color w:val="auto"/>
            <w:lang w:eastAsia="en-AU"/>
          </w:rPr>
          <w:tab/>
        </w:r>
        <w:r w:rsidRPr="00211763">
          <w:rPr>
            <w:rStyle w:val="Hyperlink"/>
            <w:noProof/>
            <w:lang w:val="en-US"/>
          </w:rPr>
          <w:t>Is the objective of ensuring that Australians continue to have free access to nationally important and culturally significant events still relevant and appropriate? What changes to this objective, if any, would you propose?</w:t>
        </w:r>
      </w:hyperlink>
    </w:p>
    <w:p w14:paraId="223691A8" w14:textId="05F79C9A" w:rsidR="009F7F4F" w:rsidRDefault="009F7F4F">
      <w:pPr>
        <w:pStyle w:val="TOC3"/>
        <w:rPr>
          <w:rFonts w:eastAsiaTheme="minorEastAsia"/>
          <w:noProof/>
          <w:color w:val="auto"/>
          <w:lang w:eastAsia="en-AU"/>
        </w:rPr>
      </w:pPr>
      <w:hyperlink w:anchor="_Toc116292948" w:history="1">
        <w:r w:rsidRPr="00211763">
          <w:rPr>
            <w:rStyle w:val="Hyperlink"/>
            <w:rFonts w:ascii="Calibri" w:hAnsi="Calibri"/>
            <w:noProof/>
          </w:rPr>
          <w:t>□</w:t>
        </w:r>
        <w:r>
          <w:rPr>
            <w:rFonts w:eastAsiaTheme="minorEastAsia"/>
            <w:noProof/>
            <w:color w:val="auto"/>
            <w:lang w:eastAsia="en-AU"/>
          </w:rPr>
          <w:tab/>
        </w:r>
        <w:r w:rsidRPr="00211763">
          <w:rPr>
            <w:rStyle w:val="Hyperlink"/>
            <w:noProof/>
            <w:lang w:val="en-US"/>
          </w:rPr>
          <w:t>Should the scheme seek to define what constitutes ‘nationally important and culturally significant’? Is so, in what way? Is popularity a proxy for importance and significance, or are other inputs or variables relevant?</w:t>
        </w:r>
      </w:hyperlink>
    </w:p>
    <w:p w14:paraId="227E9783" w14:textId="26AF19C1" w:rsidR="009F7F4F" w:rsidRDefault="009F7F4F">
      <w:pPr>
        <w:pStyle w:val="TOC3"/>
        <w:rPr>
          <w:rFonts w:eastAsiaTheme="minorEastAsia"/>
          <w:noProof/>
          <w:color w:val="auto"/>
          <w:lang w:eastAsia="en-AU"/>
        </w:rPr>
      </w:pPr>
      <w:hyperlink w:anchor="_Toc116292949" w:history="1">
        <w:r w:rsidRPr="00211763">
          <w:rPr>
            <w:rStyle w:val="Hyperlink"/>
            <w:rFonts w:ascii="Calibri" w:hAnsi="Calibri"/>
            <w:noProof/>
          </w:rPr>
          <w:t>□</w:t>
        </w:r>
        <w:r>
          <w:rPr>
            <w:rFonts w:eastAsiaTheme="minorEastAsia"/>
            <w:noProof/>
            <w:color w:val="auto"/>
            <w:lang w:eastAsia="en-AU"/>
          </w:rPr>
          <w:tab/>
        </w:r>
        <w:r w:rsidRPr="00211763">
          <w:rPr>
            <w:rStyle w:val="Hyperlink"/>
            <w:noProof/>
            <w:lang w:val="en-US"/>
          </w:rPr>
          <w:t>Should other factors, in addition to free access to events, be considered for the objective?</w:t>
        </w:r>
      </w:hyperlink>
    </w:p>
    <w:p w14:paraId="6D8744A2" w14:textId="7777A0BA" w:rsidR="009F7F4F" w:rsidRDefault="009F7F4F">
      <w:pPr>
        <w:pStyle w:val="TOC2"/>
        <w:rPr>
          <w:rFonts w:eastAsiaTheme="minorEastAsia"/>
          <w:noProof/>
          <w:color w:val="auto"/>
          <w:lang w:eastAsia="en-AU"/>
        </w:rPr>
      </w:pPr>
      <w:hyperlink w:anchor="_Toc116292950" w:history="1">
        <w:r w:rsidRPr="00211763">
          <w:rPr>
            <w:rStyle w:val="Hyperlink"/>
            <w:noProof/>
          </w:rPr>
          <w:t>2.</w:t>
        </w:r>
        <w:r>
          <w:rPr>
            <w:rFonts w:eastAsiaTheme="minorEastAsia"/>
            <w:noProof/>
            <w:color w:val="auto"/>
            <w:lang w:eastAsia="en-AU"/>
          </w:rPr>
          <w:tab/>
        </w:r>
        <w:r w:rsidRPr="00211763">
          <w:rPr>
            <w:rStyle w:val="Hyperlink"/>
            <w:noProof/>
            <w:lang w:val="en-US"/>
          </w:rPr>
          <w:t>What does, or should, ‘free access’ to events mean?</w:t>
        </w:r>
      </w:hyperlink>
    </w:p>
    <w:p w14:paraId="7960DA58" w14:textId="04250EFB" w:rsidR="009F7F4F" w:rsidRDefault="009F7F4F">
      <w:pPr>
        <w:pStyle w:val="TOC3"/>
        <w:rPr>
          <w:rFonts w:eastAsiaTheme="minorEastAsia"/>
          <w:noProof/>
          <w:color w:val="auto"/>
          <w:lang w:eastAsia="en-AU"/>
        </w:rPr>
      </w:pPr>
      <w:hyperlink w:anchor="_Toc116292951" w:history="1">
        <w:r w:rsidRPr="00211763">
          <w:rPr>
            <w:rStyle w:val="Hyperlink"/>
            <w:rFonts w:ascii="Calibri" w:hAnsi="Calibri"/>
            <w:noProof/>
          </w:rPr>
          <w:t>□</w:t>
        </w:r>
        <w:r>
          <w:rPr>
            <w:rFonts w:eastAsiaTheme="minorEastAsia"/>
            <w:noProof/>
            <w:color w:val="auto"/>
            <w:lang w:eastAsia="en-AU"/>
          </w:rPr>
          <w:tab/>
        </w:r>
        <w:r w:rsidRPr="00211763">
          <w:rPr>
            <w:rStyle w:val="Hyperlink"/>
            <w:noProof/>
            <w:lang w:val="en-US"/>
          </w:rPr>
          <w:t>Is an event ‘free’ only if it is shown on free-to-air television, or could availability via an online service without a direct access fee (such as a BVOD or streaming service) also satisfy this criterion?</w:t>
        </w:r>
      </w:hyperlink>
    </w:p>
    <w:p w14:paraId="13A56253" w14:textId="00962BC6" w:rsidR="009F7F4F" w:rsidRDefault="009F7F4F">
      <w:pPr>
        <w:pStyle w:val="TOC3"/>
        <w:rPr>
          <w:rFonts w:eastAsiaTheme="minorEastAsia"/>
          <w:noProof/>
          <w:color w:val="auto"/>
          <w:lang w:eastAsia="en-AU"/>
        </w:rPr>
      </w:pPr>
      <w:hyperlink w:anchor="_Toc116292952" w:history="1">
        <w:r w:rsidRPr="00211763">
          <w:rPr>
            <w:rStyle w:val="Hyperlink"/>
            <w:rFonts w:ascii="Calibri" w:hAnsi="Calibri"/>
            <w:noProof/>
          </w:rPr>
          <w:t>□</w:t>
        </w:r>
        <w:r>
          <w:rPr>
            <w:rFonts w:eastAsiaTheme="minorEastAsia"/>
            <w:noProof/>
            <w:color w:val="auto"/>
            <w:lang w:eastAsia="en-AU"/>
          </w:rPr>
          <w:tab/>
        </w:r>
        <w:r w:rsidRPr="00211763">
          <w:rPr>
            <w:rStyle w:val="Hyperlink"/>
            <w:noProof/>
            <w:lang w:val="en-US"/>
          </w:rPr>
          <w:t>Does having to pay for internet access alter your perspective on whether these events are ‘free’ to access?</w:t>
        </w:r>
      </w:hyperlink>
    </w:p>
    <w:p w14:paraId="4AB9C379" w14:textId="296A6E2D" w:rsidR="009F7F4F" w:rsidRDefault="009F7F4F">
      <w:pPr>
        <w:pStyle w:val="TOC2"/>
        <w:rPr>
          <w:rFonts w:eastAsiaTheme="minorEastAsia"/>
          <w:noProof/>
          <w:color w:val="auto"/>
          <w:lang w:eastAsia="en-AU"/>
        </w:rPr>
      </w:pPr>
      <w:hyperlink w:anchor="_Toc116292953" w:history="1">
        <w:r w:rsidRPr="00211763">
          <w:rPr>
            <w:rStyle w:val="Hyperlink"/>
            <w:noProof/>
          </w:rPr>
          <w:t>3.</w:t>
        </w:r>
        <w:r>
          <w:rPr>
            <w:rFonts w:eastAsiaTheme="minorEastAsia"/>
            <w:noProof/>
            <w:color w:val="auto"/>
            <w:lang w:eastAsia="en-AU"/>
          </w:rPr>
          <w:tab/>
        </w:r>
        <w:r w:rsidRPr="00211763">
          <w:rPr>
            <w:rStyle w:val="Hyperlink"/>
            <w:noProof/>
            <w:lang w:val="en-US"/>
          </w:rPr>
          <w:t>Should the policy objective be rationalised to focus on sporting events (which, in practical terms, is where the anti-siphoning scheme operates today), or remain broadly cast to include any events?</w:t>
        </w:r>
      </w:hyperlink>
    </w:p>
    <w:p w14:paraId="538CD112" w14:textId="00766C7C" w:rsidR="009F7F4F" w:rsidRDefault="009F7F4F">
      <w:pPr>
        <w:pStyle w:val="TOC1"/>
        <w:rPr>
          <w:rFonts w:eastAsiaTheme="minorEastAsia"/>
          <w:b w:val="0"/>
          <w:noProof/>
          <w:color w:val="auto"/>
          <w:sz w:val="22"/>
          <w:u w:val="none"/>
          <w:lang w:eastAsia="en-AU"/>
        </w:rPr>
      </w:pPr>
      <w:hyperlink w:anchor="_Toc116292954" w:history="1">
        <w:r w:rsidRPr="00211763">
          <w:rPr>
            <w:rStyle w:val="Hyperlink"/>
            <w:noProof/>
          </w:rPr>
          <w:t>Policy mechanism</w:t>
        </w:r>
      </w:hyperlink>
    </w:p>
    <w:p w14:paraId="5C3D90C1" w14:textId="782722E3" w:rsidR="009F7F4F" w:rsidRDefault="009F7F4F">
      <w:pPr>
        <w:pStyle w:val="TOC2"/>
        <w:rPr>
          <w:rFonts w:eastAsiaTheme="minorEastAsia"/>
          <w:noProof/>
          <w:color w:val="auto"/>
          <w:lang w:eastAsia="en-AU"/>
        </w:rPr>
      </w:pPr>
      <w:hyperlink w:anchor="_Toc116292955" w:history="1">
        <w:r w:rsidRPr="00211763">
          <w:rPr>
            <w:rStyle w:val="Hyperlink"/>
            <w:noProof/>
          </w:rPr>
          <w:t>4.</w:t>
        </w:r>
        <w:r>
          <w:rPr>
            <w:rFonts w:eastAsiaTheme="minorEastAsia"/>
            <w:noProof/>
            <w:color w:val="auto"/>
            <w:lang w:eastAsia="en-AU"/>
          </w:rPr>
          <w:tab/>
        </w:r>
        <w:r w:rsidRPr="00211763">
          <w:rPr>
            <w:rStyle w:val="Hyperlink"/>
            <w:noProof/>
            <w:lang w:val="en-US"/>
          </w:rPr>
          <w:t>Is the anti-siphoning scheme the right mechanism to support the achievement of the stated policy objective of ensuring access to important sporting events?</w:t>
        </w:r>
      </w:hyperlink>
    </w:p>
    <w:p w14:paraId="40E72790" w14:textId="0B11A10D" w:rsidR="009F7F4F" w:rsidRDefault="009F7F4F">
      <w:pPr>
        <w:pStyle w:val="TOC2"/>
        <w:rPr>
          <w:rFonts w:eastAsiaTheme="minorEastAsia"/>
          <w:noProof/>
          <w:color w:val="auto"/>
          <w:lang w:eastAsia="en-AU"/>
        </w:rPr>
      </w:pPr>
      <w:hyperlink w:anchor="_Toc116292956" w:history="1">
        <w:r w:rsidRPr="00211763">
          <w:rPr>
            <w:rStyle w:val="Hyperlink"/>
            <w:noProof/>
          </w:rPr>
          <w:t>5.</w:t>
        </w:r>
        <w:r>
          <w:rPr>
            <w:rFonts w:eastAsiaTheme="minorEastAsia"/>
            <w:noProof/>
            <w:color w:val="auto"/>
            <w:lang w:eastAsia="en-AU"/>
          </w:rPr>
          <w:tab/>
        </w:r>
        <w:r w:rsidRPr="00211763">
          <w:rPr>
            <w:rStyle w:val="Hyperlink"/>
            <w:noProof/>
            <w:lang w:val="en-US"/>
          </w:rPr>
          <w:t>To what extent does the anti-siphoning scheme deliver on its stated objective, particularly for audiences?</w:t>
        </w:r>
      </w:hyperlink>
    </w:p>
    <w:p w14:paraId="7EE584EB" w14:textId="7137BC41" w:rsidR="009F7F4F" w:rsidRDefault="009F7F4F">
      <w:pPr>
        <w:pStyle w:val="TOC2"/>
        <w:rPr>
          <w:rFonts w:eastAsiaTheme="minorEastAsia"/>
          <w:noProof/>
          <w:color w:val="auto"/>
          <w:lang w:eastAsia="en-AU"/>
        </w:rPr>
      </w:pPr>
      <w:hyperlink w:anchor="_Toc116292957" w:history="1">
        <w:r w:rsidRPr="00211763">
          <w:rPr>
            <w:rStyle w:val="Hyperlink"/>
            <w:noProof/>
          </w:rPr>
          <w:t>6.</w:t>
        </w:r>
        <w:r>
          <w:rPr>
            <w:rFonts w:eastAsiaTheme="minorEastAsia"/>
            <w:noProof/>
            <w:color w:val="auto"/>
            <w:lang w:eastAsia="en-AU"/>
          </w:rPr>
          <w:tab/>
        </w:r>
        <w:r w:rsidRPr="00211763">
          <w:rPr>
            <w:rStyle w:val="Hyperlink"/>
            <w:noProof/>
            <w:lang w:val="en-US"/>
          </w:rPr>
          <w:t>How does the anti-siphoning scheme alter decisions made in your industry regarding media rights to sporting events, both listed and unlisted? Does it make it easier or harder to sell and acquire such rights?</w:t>
        </w:r>
      </w:hyperlink>
    </w:p>
    <w:p w14:paraId="462921C2" w14:textId="208FCE29" w:rsidR="009F7F4F" w:rsidRDefault="009F7F4F">
      <w:pPr>
        <w:pStyle w:val="TOC2"/>
        <w:rPr>
          <w:rFonts w:eastAsiaTheme="minorEastAsia"/>
          <w:noProof/>
          <w:color w:val="auto"/>
          <w:lang w:eastAsia="en-AU"/>
        </w:rPr>
      </w:pPr>
      <w:hyperlink w:anchor="_Toc116292958" w:history="1">
        <w:r w:rsidRPr="00211763">
          <w:rPr>
            <w:rStyle w:val="Hyperlink"/>
            <w:noProof/>
          </w:rPr>
          <w:t>7.</w:t>
        </w:r>
        <w:r>
          <w:rPr>
            <w:rFonts w:eastAsiaTheme="minorEastAsia"/>
            <w:noProof/>
            <w:color w:val="auto"/>
            <w:lang w:eastAsia="en-AU"/>
          </w:rPr>
          <w:tab/>
        </w:r>
        <w:r w:rsidRPr="00211763">
          <w:rPr>
            <w:rStyle w:val="Hyperlink"/>
            <w:noProof/>
            <w:lang w:val="en-US"/>
          </w:rPr>
          <w:t>Does the anti-siphoning scheme impose compliance cost on industry? Is it possible to quantify or estimate these costs? Would any changes to the operation of the scheme potentially alter these compliance costs?</w:t>
        </w:r>
      </w:hyperlink>
    </w:p>
    <w:p w14:paraId="3300E904" w14:textId="2E8052F8" w:rsidR="009F7F4F" w:rsidRDefault="009F7F4F">
      <w:pPr>
        <w:pStyle w:val="TOC1"/>
        <w:rPr>
          <w:rFonts w:eastAsiaTheme="minorEastAsia"/>
          <w:b w:val="0"/>
          <w:noProof/>
          <w:color w:val="auto"/>
          <w:sz w:val="22"/>
          <w:u w:val="none"/>
          <w:lang w:eastAsia="en-AU"/>
        </w:rPr>
      </w:pPr>
      <w:hyperlink w:anchor="_Toc116292959" w:history="1">
        <w:r w:rsidRPr="00211763">
          <w:rPr>
            <w:rStyle w:val="Hyperlink"/>
            <w:noProof/>
          </w:rPr>
          <w:t>Application of the scheme to new media</w:t>
        </w:r>
      </w:hyperlink>
    </w:p>
    <w:p w14:paraId="44F81A9D" w14:textId="525246F3" w:rsidR="009F7F4F" w:rsidRDefault="009F7F4F">
      <w:pPr>
        <w:pStyle w:val="TOC2"/>
        <w:rPr>
          <w:rFonts w:eastAsiaTheme="minorEastAsia"/>
          <w:noProof/>
          <w:color w:val="auto"/>
          <w:lang w:eastAsia="en-AU"/>
        </w:rPr>
      </w:pPr>
      <w:hyperlink w:anchor="_Toc116292960" w:history="1">
        <w:r w:rsidRPr="00211763">
          <w:rPr>
            <w:rStyle w:val="Hyperlink"/>
            <w:noProof/>
          </w:rPr>
          <w:t>8.</w:t>
        </w:r>
        <w:r>
          <w:rPr>
            <w:rFonts w:eastAsiaTheme="minorEastAsia"/>
            <w:noProof/>
            <w:color w:val="auto"/>
            <w:lang w:eastAsia="en-AU"/>
          </w:rPr>
          <w:tab/>
        </w:r>
        <w:r w:rsidRPr="00211763">
          <w:rPr>
            <w:rStyle w:val="Hyperlink"/>
            <w:noProof/>
            <w:lang w:val="en-US"/>
          </w:rPr>
          <w:t xml:space="preserve">Is the trend of exclusive rights acquisition by </w:t>
        </w:r>
        <w:r w:rsidRPr="00211763">
          <w:rPr>
            <w:rStyle w:val="Hyperlink"/>
            <w:noProof/>
          </w:rPr>
          <w:t>subscription-based online services evident in overseas markets likely to be replicated in Australia? If so, under what timeframes and circumstances</w:t>
        </w:r>
        <w:r w:rsidRPr="00211763">
          <w:rPr>
            <w:rStyle w:val="Hyperlink"/>
            <w:noProof/>
            <w:lang w:val="en-US"/>
          </w:rPr>
          <w:t>?</w:t>
        </w:r>
      </w:hyperlink>
    </w:p>
    <w:p w14:paraId="7D21E2E8" w14:textId="66CEB523" w:rsidR="009F7F4F" w:rsidRDefault="009F7F4F">
      <w:pPr>
        <w:pStyle w:val="TOC2"/>
        <w:rPr>
          <w:rFonts w:eastAsiaTheme="minorEastAsia"/>
          <w:noProof/>
          <w:color w:val="auto"/>
          <w:lang w:eastAsia="en-AU"/>
        </w:rPr>
      </w:pPr>
      <w:hyperlink w:anchor="_Toc116292961" w:history="1">
        <w:r w:rsidRPr="00211763">
          <w:rPr>
            <w:rStyle w:val="Hyperlink"/>
            <w:noProof/>
          </w:rPr>
          <w:t>9.</w:t>
        </w:r>
        <w:r>
          <w:rPr>
            <w:rFonts w:eastAsiaTheme="minorEastAsia"/>
            <w:noProof/>
            <w:color w:val="auto"/>
            <w:lang w:eastAsia="en-AU"/>
          </w:rPr>
          <w:tab/>
        </w:r>
        <w:r w:rsidRPr="00211763">
          <w:rPr>
            <w:rStyle w:val="Hyperlink"/>
            <w:noProof/>
          </w:rPr>
          <w:t>Should the anti-siphoning scheme be extended to cover online services and digital platforms and services?</w:t>
        </w:r>
        <w:r w:rsidRPr="00211763">
          <w:rPr>
            <w:rStyle w:val="Hyperlink"/>
            <w:noProof/>
            <w:lang w:val="en-US"/>
          </w:rPr>
          <w:t xml:space="preserve"> </w:t>
        </w:r>
        <w:r w:rsidRPr="00211763">
          <w:rPr>
            <w:rStyle w:val="Hyperlink"/>
            <w:noProof/>
          </w:rPr>
          <w:t xml:space="preserve">If so, should broadcasting and digital rights be treated in the same manner under the scheme (homogenous regulation), or should different restrictions and obligations apply </w:t>
        </w:r>
        <w:r w:rsidRPr="00211763">
          <w:rPr>
            <w:rStyle w:val="Hyperlink"/>
            <w:noProof/>
            <w:lang w:val="en-US"/>
          </w:rPr>
          <w:t xml:space="preserve">to </w:t>
        </w:r>
        <w:r w:rsidRPr="00211763">
          <w:rPr>
            <w:rStyle w:val="Hyperlink"/>
            <w:noProof/>
          </w:rPr>
          <w:t>each</w:t>
        </w:r>
        <w:r w:rsidRPr="00211763">
          <w:rPr>
            <w:rStyle w:val="Hyperlink"/>
            <w:noProof/>
            <w:lang w:val="en-US"/>
          </w:rPr>
          <w:t>?</w:t>
        </w:r>
      </w:hyperlink>
    </w:p>
    <w:p w14:paraId="180AD160" w14:textId="01EF4EB5" w:rsidR="009F7F4F" w:rsidRDefault="009F7F4F">
      <w:pPr>
        <w:pStyle w:val="TOC2"/>
        <w:rPr>
          <w:rFonts w:eastAsiaTheme="minorEastAsia"/>
          <w:noProof/>
          <w:color w:val="auto"/>
          <w:lang w:eastAsia="en-AU"/>
        </w:rPr>
      </w:pPr>
      <w:hyperlink w:anchor="_Toc116292962" w:history="1">
        <w:r w:rsidRPr="00211763">
          <w:rPr>
            <w:rStyle w:val="Hyperlink"/>
            <w:noProof/>
          </w:rPr>
          <w:t>10.</w:t>
        </w:r>
        <w:r>
          <w:rPr>
            <w:rFonts w:eastAsiaTheme="minorEastAsia"/>
            <w:noProof/>
            <w:color w:val="auto"/>
            <w:lang w:eastAsia="en-AU"/>
          </w:rPr>
          <w:tab/>
        </w:r>
        <w:r w:rsidRPr="00211763">
          <w:rPr>
            <w:rStyle w:val="Hyperlink"/>
            <w:noProof/>
          </w:rPr>
          <w:t xml:space="preserve">What impact would the potential extension of the scheme to online services have on industry? Is this </w:t>
        </w:r>
        <w:r w:rsidRPr="00211763">
          <w:rPr>
            <w:rStyle w:val="Hyperlink"/>
            <w:noProof/>
            <w:lang w:val="en-US"/>
          </w:rPr>
          <w:t xml:space="preserve">potential impact </w:t>
        </w:r>
        <w:r w:rsidRPr="00211763">
          <w:rPr>
            <w:rStyle w:val="Hyperlink"/>
            <w:noProof/>
          </w:rPr>
          <w:t>able to be quantified or estimated</w:t>
        </w:r>
        <w:r w:rsidRPr="00211763">
          <w:rPr>
            <w:rStyle w:val="Hyperlink"/>
            <w:noProof/>
            <w:lang w:val="en-US"/>
          </w:rPr>
          <w:t>?</w:t>
        </w:r>
      </w:hyperlink>
    </w:p>
    <w:p w14:paraId="720F0359" w14:textId="4411DCDA" w:rsidR="009F7F4F" w:rsidRDefault="009F7F4F">
      <w:pPr>
        <w:pStyle w:val="TOC2"/>
        <w:rPr>
          <w:rFonts w:eastAsiaTheme="minorEastAsia"/>
          <w:noProof/>
          <w:color w:val="auto"/>
          <w:lang w:eastAsia="en-AU"/>
        </w:rPr>
      </w:pPr>
      <w:hyperlink w:anchor="_Toc116292963" w:history="1">
        <w:r w:rsidRPr="00211763">
          <w:rPr>
            <w:rStyle w:val="Hyperlink"/>
            <w:noProof/>
          </w:rPr>
          <w:t>11.</w:t>
        </w:r>
        <w:r>
          <w:rPr>
            <w:rFonts w:eastAsiaTheme="minorEastAsia"/>
            <w:noProof/>
            <w:color w:val="auto"/>
            <w:lang w:eastAsia="en-AU"/>
          </w:rPr>
          <w:tab/>
        </w:r>
        <w:r w:rsidRPr="00211763">
          <w:rPr>
            <w:rStyle w:val="Hyperlink"/>
            <w:noProof/>
            <w:lang w:val="en-US"/>
          </w:rPr>
          <w:t>What are the potential positive and negative impacts of extending the scheme to online services for Australian viewers? Is this potential impact able to be quantified or estimated?</w:t>
        </w:r>
      </w:hyperlink>
    </w:p>
    <w:p w14:paraId="4500655E" w14:textId="00D2E2F0" w:rsidR="009F7F4F" w:rsidRDefault="009F7F4F">
      <w:pPr>
        <w:pStyle w:val="TOC1"/>
        <w:rPr>
          <w:rFonts w:eastAsiaTheme="minorEastAsia"/>
          <w:b w:val="0"/>
          <w:noProof/>
          <w:color w:val="auto"/>
          <w:sz w:val="22"/>
          <w:u w:val="none"/>
          <w:lang w:eastAsia="en-AU"/>
        </w:rPr>
      </w:pPr>
      <w:hyperlink w:anchor="_Toc116292964" w:history="1">
        <w:r w:rsidRPr="00211763">
          <w:rPr>
            <w:rStyle w:val="Hyperlink"/>
            <w:noProof/>
          </w:rPr>
          <w:t>Regulatory rule: acquisition, conferral or offer?</w:t>
        </w:r>
      </w:hyperlink>
    </w:p>
    <w:p w14:paraId="3B3DA0B0" w14:textId="2A2FB76A" w:rsidR="009F7F4F" w:rsidRDefault="009F7F4F">
      <w:pPr>
        <w:pStyle w:val="TOC2"/>
        <w:rPr>
          <w:rFonts w:eastAsiaTheme="minorEastAsia"/>
          <w:noProof/>
          <w:color w:val="auto"/>
          <w:lang w:eastAsia="en-AU"/>
        </w:rPr>
      </w:pPr>
      <w:hyperlink w:anchor="_Toc116292965" w:history="1">
        <w:r w:rsidRPr="00211763">
          <w:rPr>
            <w:rStyle w:val="Hyperlink"/>
            <w:noProof/>
          </w:rPr>
          <w:t>12.</w:t>
        </w:r>
        <w:r>
          <w:rPr>
            <w:rFonts w:eastAsiaTheme="minorEastAsia"/>
            <w:noProof/>
            <w:color w:val="auto"/>
            <w:lang w:eastAsia="en-AU"/>
          </w:rPr>
          <w:tab/>
        </w:r>
        <w:r w:rsidRPr="00211763">
          <w:rPr>
            <w:rStyle w:val="Hyperlink"/>
            <w:noProof/>
            <w:lang w:val="en-US"/>
          </w:rPr>
          <w:t>Do you consider that an offer- or conferral-based rule for the anti-siphoning scheme should be considered?</w:t>
        </w:r>
      </w:hyperlink>
    </w:p>
    <w:p w14:paraId="464A5C19" w14:textId="18E08BA5" w:rsidR="009F7F4F" w:rsidRDefault="009F7F4F">
      <w:pPr>
        <w:pStyle w:val="TOC3"/>
        <w:rPr>
          <w:rFonts w:eastAsiaTheme="minorEastAsia"/>
          <w:noProof/>
          <w:color w:val="auto"/>
          <w:lang w:eastAsia="en-AU"/>
        </w:rPr>
      </w:pPr>
      <w:hyperlink w:anchor="_Toc116292966" w:history="1">
        <w:r w:rsidRPr="00211763">
          <w:rPr>
            <w:rStyle w:val="Hyperlink"/>
            <w:rFonts w:ascii="Calibri" w:hAnsi="Calibri"/>
            <w:noProof/>
          </w:rPr>
          <w:t>□</w:t>
        </w:r>
        <w:r>
          <w:rPr>
            <w:rFonts w:eastAsiaTheme="minorEastAsia"/>
            <w:noProof/>
            <w:color w:val="auto"/>
            <w:lang w:eastAsia="en-AU"/>
          </w:rPr>
          <w:tab/>
        </w:r>
        <w:r w:rsidRPr="00211763">
          <w:rPr>
            <w:rStyle w:val="Hyperlink"/>
            <w:noProof/>
          </w:rPr>
          <w:t>If so, under what circumstances would either one or both of these alternatives provide advantages over an acquisition-based rule?</w:t>
        </w:r>
      </w:hyperlink>
    </w:p>
    <w:p w14:paraId="2DBC14F5" w14:textId="098929B7" w:rsidR="009F7F4F" w:rsidRDefault="009F7F4F">
      <w:pPr>
        <w:pStyle w:val="TOC3"/>
        <w:rPr>
          <w:rFonts w:eastAsiaTheme="minorEastAsia"/>
          <w:noProof/>
          <w:color w:val="auto"/>
          <w:lang w:eastAsia="en-AU"/>
        </w:rPr>
      </w:pPr>
      <w:hyperlink w:anchor="_Toc116292967" w:history="1">
        <w:r w:rsidRPr="00211763">
          <w:rPr>
            <w:rStyle w:val="Hyperlink"/>
            <w:rFonts w:ascii="Calibri" w:hAnsi="Calibri"/>
            <w:noProof/>
          </w:rPr>
          <w:t>□</w:t>
        </w:r>
        <w:r>
          <w:rPr>
            <w:rFonts w:eastAsiaTheme="minorEastAsia"/>
            <w:noProof/>
            <w:color w:val="auto"/>
            <w:lang w:eastAsia="en-AU"/>
          </w:rPr>
          <w:tab/>
        </w:r>
        <w:r w:rsidRPr="00211763">
          <w:rPr>
            <w:rStyle w:val="Hyperlink"/>
            <w:noProof/>
          </w:rPr>
          <w:t>Should these alternatives seek to ensure that the offer or conferral has been made on reasonable terms? How would this be achieved?</w:t>
        </w:r>
      </w:hyperlink>
    </w:p>
    <w:p w14:paraId="237CC7BC" w14:textId="450734A8" w:rsidR="009F7F4F" w:rsidRDefault="009F7F4F">
      <w:pPr>
        <w:pStyle w:val="TOC2"/>
        <w:rPr>
          <w:rFonts w:eastAsiaTheme="minorEastAsia"/>
          <w:noProof/>
          <w:color w:val="auto"/>
          <w:lang w:eastAsia="en-AU"/>
        </w:rPr>
      </w:pPr>
      <w:hyperlink w:anchor="_Toc116292968" w:history="1">
        <w:r w:rsidRPr="00211763">
          <w:rPr>
            <w:rStyle w:val="Hyperlink"/>
            <w:noProof/>
          </w:rPr>
          <w:t>13.</w:t>
        </w:r>
        <w:r>
          <w:rPr>
            <w:rFonts w:eastAsiaTheme="minorEastAsia"/>
            <w:noProof/>
            <w:color w:val="auto"/>
            <w:lang w:eastAsia="en-AU"/>
          </w:rPr>
          <w:tab/>
        </w:r>
        <w:r w:rsidRPr="00211763">
          <w:rPr>
            <w:rStyle w:val="Hyperlink"/>
            <w:noProof/>
          </w:rPr>
          <w:t xml:space="preserve">What impact </w:t>
        </w:r>
        <w:r w:rsidRPr="00211763">
          <w:rPr>
            <w:rStyle w:val="Hyperlink"/>
            <w:noProof/>
            <w:lang w:val="en-US"/>
          </w:rPr>
          <w:t>on business would the move to an offer or conferral-based rule have? Are these potential impacts able to be quantified or estimated?</w:t>
        </w:r>
      </w:hyperlink>
    </w:p>
    <w:p w14:paraId="05072AC7" w14:textId="6ED128F4" w:rsidR="009F7F4F" w:rsidRDefault="009F7F4F">
      <w:pPr>
        <w:pStyle w:val="TOC2"/>
        <w:rPr>
          <w:rFonts w:eastAsiaTheme="minorEastAsia"/>
          <w:noProof/>
          <w:color w:val="auto"/>
          <w:lang w:eastAsia="en-AU"/>
        </w:rPr>
      </w:pPr>
      <w:hyperlink w:anchor="_Toc116292969" w:history="1">
        <w:r w:rsidRPr="00211763">
          <w:rPr>
            <w:rStyle w:val="Hyperlink"/>
            <w:noProof/>
          </w:rPr>
          <w:t>14.</w:t>
        </w:r>
        <w:r>
          <w:rPr>
            <w:rFonts w:eastAsiaTheme="minorEastAsia"/>
            <w:noProof/>
            <w:color w:val="auto"/>
            <w:lang w:eastAsia="en-AU"/>
          </w:rPr>
          <w:tab/>
        </w:r>
        <w:r w:rsidRPr="00211763">
          <w:rPr>
            <w:rStyle w:val="Hyperlink"/>
            <w:noProof/>
            <w:lang w:val="en-US"/>
          </w:rPr>
          <w:t>What impact would the adoption of an offer- or conferral-based rule have for Australian viewers? Are these potential impacts able to be quantified or estimated?</w:t>
        </w:r>
      </w:hyperlink>
    </w:p>
    <w:p w14:paraId="7F00BF99" w14:textId="1BF8AC19" w:rsidR="009F7F4F" w:rsidRDefault="009F7F4F">
      <w:pPr>
        <w:pStyle w:val="TOC1"/>
        <w:rPr>
          <w:rFonts w:eastAsiaTheme="minorEastAsia"/>
          <w:b w:val="0"/>
          <w:noProof/>
          <w:color w:val="auto"/>
          <w:sz w:val="22"/>
          <w:u w:val="none"/>
          <w:lang w:eastAsia="en-AU"/>
        </w:rPr>
      </w:pPr>
      <w:hyperlink w:anchor="_Toc116292970" w:history="1">
        <w:r w:rsidRPr="00211763">
          <w:rPr>
            <w:rStyle w:val="Hyperlink"/>
            <w:noProof/>
          </w:rPr>
          <w:t>Use and disposal of a right to televise an event</w:t>
        </w:r>
      </w:hyperlink>
    </w:p>
    <w:p w14:paraId="5AC35055" w14:textId="44847BA0" w:rsidR="009F7F4F" w:rsidRDefault="009F7F4F">
      <w:pPr>
        <w:pStyle w:val="TOC2"/>
        <w:rPr>
          <w:rFonts w:eastAsiaTheme="minorEastAsia"/>
          <w:noProof/>
          <w:color w:val="auto"/>
          <w:lang w:eastAsia="en-AU"/>
        </w:rPr>
      </w:pPr>
      <w:hyperlink w:anchor="_Toc116292971" w:history="1">
        <w:r w:rsidRPr="00211763">
          <w:rPr>
            <w:rStyle w:val="Hyperlink"/>
            <w:noProof/>
          </w:rPr>
          <w:t>15.</w:t>
        </w:r>
        <w:r>
          <w:rPr>
            <w:rFonts w:eastAsiaTheme="minorEastAsia"/>
            <w:noProof/>
            <w:color w:val="auto"/>
            <w:lang w:eastAsia="en-AU"/>
          </w:rPr>
          <w:tab/>
        </w:r>
        <w:r w:rsidRPr="00211763">
          <w:rPr>
            <w:rStyle w:val="Hyperlink"/>
            <w:noProof/>
            <w:lang w:val="en-US"/>
          </w:rPr>
          <w:t>Is there evidence that the rights to anti-siphoning listed events are being acquired but not used by any party in the contemporary media environment?</w:t>
        </w:r>
      </w:hyperlink>
    </w:p>
    <w:p w14:paraId="11EDC18C" w14:textId="50FF9526" w:rsidR="009F7F4F" w:rsidRDefault="009F7F4F">
      <w:pPr>
        <w:pStyle w:val="TOC3"/>
        <w:rPr>
          <w:rFonts w:eastAsiaTheme="minorEastAsia"/>
          <w:noProof/>
          <w:color w:val="auto"/>
          <w:lang w:eastAsia="en-AU"/>
        </w:rPr>
      </w:pPr>
      <w:hyperlink w:anchor="_Toc116292972" w:history="1">
        <w:r w:rsidRPr="00211763">
          <w:rPr>
            <w:rStyle w:val="Hyperlink"/>
            <w:rFonts w:ascii="Calibri" w:hAnsi="Calibri"/>
            <w:noProof/>
          </w:rPr>
          <w:t>□</w:t>
        </w:r>
        <w:r>
          <w:rPr>
            <w:rFonts w:eastAsiaTheme="minorEastAsia"/>
            <w:noProof/>
            <w:color w:val="auto"/>
            <w:lang w:eastAsia="en-AU"/>
          </w:rPr>
          <w:tab/>
        </w:r>
        <w:r w:rsidRPr="00211763">
          <w:rPr>
            <w:rStyle w:val="Hyperlink"/>
            <w:noProof/>
          </w:rPr>
          <w:t>If so, in what circumstances is this taking place?</w:t>
        </w:r>
      </w:hyperlink>
    </w:p>
    <w:p w14:paraId="6926C437" w14:textId="273C5B96" w:rsidR="009F7F4F" w:rsidRDefault="009F7F4F">
      <w:pPr>
        <w:pStyle w:val="TOC3"/>
        <w:rPr>
          <w:rFonts w:eastAsiaTheme="minorEastAsia"/>
          <w:noProof/>
          <w:color w:val="auto"/>
          <w:lang w:eastAsia="en-AU"/>
        </w:rPr>
      </w:pPr>
      <w:hyperlink w:anchor="_Toc116292973" w:history="1">
        <w:r w:rsidRPr="00211763">
          <w:rPr>
            <w:rStyle w:val="Hyperlink"/>
            <w:rFonts w:ascii="Calibri" w:hAnsi="Calibri"/>
            <w:noProof/>
          </w:rPr>
          <w:t>□</w:t>
        </w:r>
        <w:r>
          <w:rPr>
            <w:rFonts w:eastAsiaTheme="minorEastAsia"/>
            <w:noProof/>
            <w:color w:val="auto"/>
            <w:lang w:eastAsia="en-AU"/>
          </w:rPr>
          <w:tab/>
        </w:r>
        <w:r w:rsidRPr="00211763">
          <w:rPr>
            <w:rStyle w:val="Hyperlink"/>
            <w:noProof/>
          </w:rPr>
          <w:t>Is this resulting in a detrimental coverage outcome for Australian audiences?</w:t>
        </w:r>
      </w:hyperlink>
    </w:p>
    <w:p w14:paraId="0F426034" w14:textId="77F9858C" w:rsidR="009F7F4F" w:rsidRDefault="009F7F4F">
      <w:pPr>
        <w:pStyle w:val="TOC2"/>
        <w:rPr>
          <w:rFonts w:eastAsiaTheme="minorEastAsia"/>
          <w:noProof/>
          <w:color w:val="auto"/>
          <w:lang w:eastAsia="en-AU"/>
        </w:rPr>
      </w:pPr>
      <w:hyperlink w:anchor="_Toc116292974" w:history="1">
        <w:r w:rsidRPr="00211763">
          <w:rPr>
            <w:rStyle w:val="Hyperlink"/>
            <w:noProof/>
          </w:rPr>
          <w:t>16.</w:t>
        </w:r>
        <w:r>
          <w:rPr>
            <w:rFonts w:eastAsiaTheme="minorEastAsia"/>
            <w:noProof/>
            <w:color w:val="auto"/>
            <w:lang w:eastAsia="en-AU"/>
          </w:rPr>
          <w:tab/>
        </w:r>
        <w:r w:rsidRPr="00211763">
          <w:rPr>
            <w:rStyle w:val="Hyperlink"/>
            <w:noProof/>
            <w:lang w:val="en-US"/>
          </w:rPr>
          <w:t>Is a regulatory mechanism necessary to prevent the hoarding of rights to anti-siphoning listed events?</w:t>
        </w:r>
      </w:hyperlink>
    </w:p>
    <w:p w14:paraId="007165CA" w14:textId="26B29456" w:rsidR="009F7F4F" w:rsidRDefault="009F7F4F">
      <w:pPr>
        <w:pStyle w:val="TOC3"/>
        <w:rPr>
          <w:rFonts w:eastAsiaTheme="minorEastAsia"/>
          <w:noProof/>
          <w:color w:val="auto"/>
          <w:lang w:eastAsia="en-AU"/>
        </w:rPr>
      </w:pPr>
      <w:hyperlink w:anchor="_Toc116292975" w:history="1">
        <w:r w:rsidRPr="00211763">
          <w:rPr>
            <w:rStyle w:val="Hyperlink"/>
            <w:rFonts w:ascii="Calibri" w:hAnsi="Calibri"/>
            <w:noProof/>
          </w:rPr>
          <w:t>□</w:t>
        </w:r>
        <w:r>
          <w:rPr>
            <w:rFonts w:eastAsiaTheme="minorEastAsia"/>
            <w:noProof/>
            <w:color w:val="auto"/>
            <w:lang w:eastAsia="en-AU"/>
          </w:rPr>
          <w:tab/>
        </w:r>
        <w:r w:rsidRPr="00211763">
          <w:rPr>
            <w:rStyle w:val="Hyperlink"/>
            <w:noProof/>
          </w:rPr>
          <w:t>If so, should this be the anti-hoarding rule (in its current form), an amended anti-hoarding rule, or a new regulatory mechanism?</w:t>
        </w:r>
      </w:hyperlink>
    </w:p>
    <w:p w14:paraId="195AA105" w14:textId="69E0C096" w:rsidR="009F7F4F" w:rsidRDefault="009F7F4F">
      <w:pPr>
        <w:pStyle w:val="TOC3"/>
        <w:rPr>
          <w:rFonts w:eastAsiaTheme="minorEastAsia"/>
          <w:noProof/>
          <w:color w:val="auto"/>
          <w:lang w:eastAsia="en-AU"/>
        </w:rPr>
      </w:pPr>
      <w:hyperlink w:anchor="_Toc116292976" w:history="1">
        <w:r w:rsidRPr="00211763">
          <w:rPr>
            <w:rStyle w:val="Hyperlink"/>
            <w:rFonts w:ascii="Calibri" w:hAnsi="Calibri"/>
            <w:noProof/>
          </w:rPr>
          <w:t>□</w:t>
        </w:r>
        <w:r>
          <w:rPr>
            <w:rFonts w:eastAsiaTheme="minorEastAsia"/>
            <w:noProof/>
            <w:color w:val="auto"/>
            <w:lang w:eastAsia="en-AU"/>
          </w:rPr>
          <w:tab/>
        </w:r>
        <w:r w:rsidRPr="00211763">
          <w:rPr>
            <w:rStyle w:val="Hyperlink"/>
            <w:noProof/>
          </w:rPr>
          <w:t xml:space="preserve">What impact would the mechanism have on free-to-air broadcasters, subscription broadcasters, online service providers, the relevant sports bodies, and audiences? Are you able to quantify or provide an estimate </w:t>
        </w:r>
        <w:r w:rsidRPr="00211763">
          <w:rPr>
            <w:rStyle w:val="Hyperlink"/>
            <w:noProof/>
            <w:lang w:val="en-US"/>
          </w:rPr>
          <w:t xml:space="preserve">of </w:t>
        </w:r>
        <w:r w:rsidRPr="00211763">
          <w:rPr>
            <w:rStyle w:val="Hyperlink"/>
            <w:noProof/>
          </w:rPr>
          <w:t>these impacts?</w:t>
        </w:r>
      </w:hyperlink>
    </w:p>
    <w:p w14:paraId="44DFFDDB" w14:textId="05BA65C0" w:rsidR="009F7F4F" w:rsidRDefault="009F7F4F">
      <w:pPr>
        <w:pStyle w:val="TOC3"/>
        <w:rPr>
          <w:rFonts w:eastAsiaTheme="minorEastAsia"/>
          <w:noProof/>
          <w:color w:val="auto"/>
          <w:lang w:eastAsia="en-AU"/>
        </w:rPr>
      </w:pPr>
      <w:hyperlink w:anchor="_Toc116292977" w:history="1">
        <w:r w:rsidRPr="00211763">
          <w:rPr>
            <w:rStyle w:val="Hyperlink"/>
            <w:rFonts w:ascii="Calibri" w:hAnsi="Calibri"/>
            <w:noProof/>
          </w:rPr>
          <w:t>□</w:t>
        </w:r>
        <w:r>
          <w:rPr>
            <w:rFonts w:eastAsiaTheme="minorEastAsia"/>
            <w:noProof/>
            <w:color w:val="auto"/>
            <w:lang w:eastAsia="en-AU"/>
          </w:rPr>
          <w:tab/>
        </w:r>
        <w:r w:rsidRPr="00211763">
          <w:rPr>
            <w:rStyle w:val="Hyperlink"/>
            <w:noProof/>
          </w:rPr>
          <w:t>How would the anti-hoarding mechanism be integrated with other potential changes to the scheme, including the potential extension to online services?</w:t>
        </w:r>
      </w:hyperlink>
    </w:p>
    <w:p w14:paraId="601A9303" w14:textId="1A11ED35" w:rsidR="009F7F4F" w:rsidRDefault="009F7F4F">
      <w:pPr>
        <w:pStyle w:val="TOC2"/>
        <w:rPr>
          <w:rFonts w:eastAsiaTheme="minorEastAsia"/>
          <w:noProof/>
          <w:color w:val="auto"/>
          <w:lang w:eastAsia="en-AU"/>
        </w:rPr>
      </w:pPr>
      <w:hyperlink w:anchor="_Toc116292978" w:history="1">
        <w:r w:rsidRPr="00211763">
          <w:rPr>
            <w:rStyle w:val="Hyperlink"/>
            <w:noProof/>
          </w:rPr>
          <w:t>17.</w:t>
        </w:r>
        <w:r>
          <w:rPr>
            <w:rFonts w:eastAsiaTheme="minorEastAsia"/>
            <w:noProof/>
            <w:color w:val="auto"/>
            <w:lang w:eastAsia="en-AU"/>
          </w:rPr>
          <w:tab/>
        </w:r>
        <w:r w:rsidRPr="00211763">
          <w:rPr>
            <w:rStyle w:val="Hyperlink"/>
            <w:noProof/>
            <w:lang w:val="en-US"/>
          </w:rPr>
          <w:t>Are there other circumstances where contractual or other arrangements for the right to televise events on the anti-siphoning list are being used to subvert the intent of the scheme? Can you provide examples?</w:t>
        </w:r>
      </w:hyperlink>
    </w:p>
    <w:p w14:paraId="7686B127" w14:textId="0B9063A4" w:rsidR="009F7F4F" w:rsidRDefault="009F7F4F">
      <w:pPr>
        <w:pStyle w:val="TOC1"/>
        <w:rPr>
          <w:rFonts w:eastAsiaTheme="minorEastAsia"/>
          <w:b w:val="0"/>
          <w:noProof/>
          <w:color w:val="auto"/>
          <w:sz w:val="22"/>
          <w:u w:val="none"/>
          <w:lang w:eastAsia="en-AU"/>
        </w:rPr>
      </w:pPr>
      <w:hyperlink w:anchor="_Toc116292979" w:history="1">
        <w:r w:rsidRPr="00211763">
          <w:rPr>
            <w:rStyle w:val="Hyperlink"/>
            <w:noProof/>
          </w:rPr>
          <w:t>Coverage of anti-siphoning listed events</w:t>
        </w:r>
      </w:hyperlink>
    </w:p>
    <w:p w14:paraId="284727EB" w14:textId="0A2B35AD" w:rsidR="009F7F4F" w:rsidRDefault="009F7F4F">
      <w:pPr>
        <w:pStyle w:val="TOC2"/>
        <w:rPr>
          <w:rFonts w:eastAsiaTheme="minorEastAsia"/>
          <w:noProof/>
          <w:color w:val="auto"/>
          <w:lang w:eastAsia="en-AU"/>
        </w:rPr>
      </w:pPr>
      <w:hyperlink w:anchor="_Toc116292980" w:history="1">
        <w:r w:rsidRPr="00211763">
          <w:rPr>
            <w:rStyle w:val="Hyperlink"/>
            <w:noProof/>
          </w:rPr>
          <w:t>18.</w:t>
        </w:r>
        <w:r>
          <w:rPr>
            <w:rFonts w:eastAsiaTheme="minorEastAsia"/>
            <w:noProof/>
            <w:color w:val="auto"/>
            <w:lang w:eastAsia="en-AU"/>
          </w:rPr>
          <w:tab/>
        </w:r>
        <w:r w:rsidRPr="00211763">
          <w:rPr>
            <w:rStyle w:val="Hyperlink"/>
            <w:noProof/>
            <w:lang w:val="en-US"/>
          </w:rPr>
          <w:t>Are you concerned about broadcast coverage of events on the anti-siphoning list? Please provide specific examples.</w:t>
        </w:r>
      </w:hyperlink>
    </w:p>
    <w:p w14:paraId="4CD33ADC" w14:textId="21567A2C" w:rsidR="009F7F4F" w:rsidRDefault="009F7F4F">
      <w:pPr>
        <w:pStyle w:val="TOC2"/>
        <w:rPr>
          <w:rFonts w:eastAsiaTheme="minorEastAsia"/>
          <w:noProof/>
          <w:color w:val="auto"/>
          <w:lang w:eastAsia="en-AU"/>
        </w:rPr>
      </w:pPr>
      <w:hyperlink w:anchor="_Toc116292981" w:history="1">
        <w:r w:rsidRPr="00211763">
          <w:rPr>
            <w:rStyle w:val="Hyperlink"/>
            <w:noProof/>
          </w:rPr>
          <w:t>19.</w:t>
        </w:r>
        <w:r>
          <w:rPr>
            <w:rFonts w:eastAsiaTheme="minorEastAsia"/>
            <w:noProof/>
            <w:color w:val="auto"/>
            <w:lang w:eastAsia="en-AU"/>
          </w:rPr>
          <w:tab/>
        </w:r>
        <w:r w:rsidRPr="00211763">
          <w:rPr>
            <w:rStyle w:val="Hyperlink"/>
            <w:noProof/>
            <w:lang w:val="en-US"/>
          </w:rPr>
          <w:t>Is there a need for coverage obligations to be introduced for free-to-air broadcasters that acquire the rights to anti-siphoning listed events?</w:t>
        </w:r>
      </w:hyperlink>
    </w:p>
    <w:p w14:paraId="5E85F79E" w14:textId="59ECC185" w:rsidR="009F7F4F" w:rsidRDefault="009F7F4F">
      <w:pPr>
        <w:pStyle w:val="TOC3"/>
        <w:rPr>
          <w:rFonts w:eastAsiaTheme="minorEastAsia"/>
          <w:noProof/>
          <w:color w:val="auto"/>
          <w:lang w:eastAsia="en-AU"/>
        </w:rPr>
      </w:pPr>
      <w:hyperlink w:anchor="_Toc116292982" w:history="1">
        <w:r w:rsidRPr="00211763">
          <w:rPr>
            <w:rStyle w:val="Hyperlink"/>
            <w:rFonts w:ascii="Calibri" w:hAnsi="Calibri"/>
            <w:noProof/>
          </w:rPr>
          <w:t>□</w:t>
        </w:r>
        <w:r>
          <w:rPr>
            <w:rFonts w:eastAsiaTheme="minorEastAsia"/>
            <w:noProof/>
            <w:color w:val="auto"/>
            <w:lang w:eastAsia="en-AU"/>
          </w:rPr>
          <w:tab/>
        </w:r>
        <w:r w:rsidRPr="00211763">
          <w:rPr>
            <w:rStyle w:val="Hyperlink"/>
            <w:noProof/>
          </w:rPr>
          <w:t>If so, what form should those obligations take?</w:t>
        </w:r>
      </w:hyperlink>
    </w:p>
    <w:p w14:paraId="54793F3D" w14:textId="39EEEB7A" w:rsidR="009F7F4F" w:rsidRDefault="009F7F4F">
      <w:pPr>
        <w:pStyle w:val="TOC3"/>
        <w:rPr>
          <w:rFonts w:eastAsiaTheme="minorEastAsia"/>
          <w:noProof/>
          <w:color w:val="auto"/>
          <w:lang w:eastAsia="en-AU"/>
        </w:rPr>
      </w:pPr>
      <w:hyperlink w:anchor="_Toc116292983" w:history="1">
        <w:r w:rsidRPr="00211763">
          <w:rPr>
            <w:rStyle w:val="Hyperlink"/>
            <w:rFonts w:ascii="Calibri" w:hAnsi="Calibri"/>
            <w:noProof/>
          </w:rPr>
          <w:t>□</w:t>
        </w:r>
        <w:r>
          <w:rPr>
            <w:rFonts w:eastAsiaTheme="minorEastAsia"/>
            <w:noProof/>
            <w:color w:val="auto"/>
            <w:lang w:eastAsia="en-AU"/>
          </w:rPr>
          <w:tab/>
        </w:r>
        <w:r w:rsidRPr="00211763">
          <w:rPr>
            <w:rStyle w:val="Hyperlink"/>
            <w:noProof/>
          </w:rPr>
          <w:t xml:space="preserve">Should they be applied to specific events, or all events on the </w:t>
        </w:r>
        <w:r w:rsidRPr="00211763">
          <w:rPr>
            <w:rStyle w:val="Hyperlink"/>
            <w:noProof/>
            <w:lang w:val="en-US"/>
          </w:rPr>
          <w:t xml:space="preserve">anti-siphoning </w:t>
        </w:r>
        <w:r w:rsidRPr="00211763">
          <w:rPr>
            <w:rStyle w:val="Hyperlink"/>
            <w:noProof/>
          </w:rPr>
          <w:t>list?</w:t>
        </w:r>
      </w:hyperlink>
    </w:p>
    <w:p w14:paraId="4A7BF501" w14:textId="49335730" w:rsidR="009F7F4F" w:rsidRDefault="009F7F4F">
      <w:pPr>
        <w:pStyle w:val="TOC3"/>
        <w:rPr>
          <w:rFonts w:eastAsiaTheme="minorEastAsia"/>
          <w:noProof/>
          <w:color w:val="auto"/>
          <w:lang w:eastAsia="en-AU"/>
        </w:rPr>
      </w:pPr>
      <w:hyperlink w:anchor="_Toc116292984" w:history="1">
        <w:r w:rsidRPr="00211763">
          <w:rPr>
            <w:rStyle w:val="Hyperlink"/>
            <w:rFonts w:ascii="Calibri" w:hAnsi="Calibri"/>
            <w:noProof/>
          </w:rPr>
          <w:t>□</w:t>
        </w:r>
        <w:r>
          <w:rPr>
            <w:rFonts w:eastAsiaTheme="minorEastAsia"/>
            <w:noProof/>
            <w:color w:val="auto"/>
            <w:lang w:eastAsia="en-AU"/>
          </w:rPr>
          <w:tab/>
        </w:r>
        <w:r w:rsidRPr="00211763">
          <w:rPr>
            <w:rStyle w:val="Hyperlink"/>
            <w:noProof/>
          </w:rPr>
          <w:t>How should coverage obligations be integrated with other reforms to the anti-siphoning scheme?</w:t>
        </w:r>
      </w:hyperlink>
    </w:p>
    <w:p w14:paraId="10730C25" w14:textId="348603B9" w:rsidR="009F7F4F" w:rsidRDefault="009F7F4F">
      <w:pPr>
        <w:pStyle w:val="TOC2"/>
        <w:rPr>
          <w:rFonts w:eastAsiaTheme="minorEastAsia"/>
          <w:noProof/>
          <w:color w:val="auto"/>
          <w:lang w:eastAsia="en-AU"/>
        </w:rPr>
      </w:pPr>
      <w:hyperlink w:anchor="_Toc116292985" w:history="1">
        <w:r w:rsidRPr="00211763">
          <w:rPr>
            <w:rStyle w:val="Hyperlink"/>
            <w:noProof/>
          </w:rPr>
          <w:t>20.</w:t>
        </w:r>
        <w:r>
          <w:rPr>
            <w:rFonts w:eastAsiaTheme="minorEastAsia"/>
            <w:noProof/>
            <w:color w:val="auto"/>
            <w:lang w:eastAsia="en-AU"/>
          </w:rPr>
          <w:tab/>
        </w:r>
        <w:r w:rsidRPr="00211763">
          <w:rPr>
            <w:rStyle w:val="Hyperlink"/>
            <w:noProof/>
            <w:lang w:val="en-US"/>
          </w:rPr>
          <w:t>Would the imposition of coverage obligations alter decisions made by industry regarding media rights to sporting events, both listed and unlisted?</w:t>
        </w:r>
      </w:hyperlink>
    </w:p>
    <w:p w14:paraId="28A5A6AF" w14:textId="6A385294" w:rsidR="009F7F4F" w:rsidRDefault="009F7F4F">
      <w:pPr>
        <w:pStyle w:val="TOC3"/>
        <w:rPr>
          <w:rFonts w:eastAsiaTheme="minorEastAsia"/>
          <w:noProof/>
          <w:color w:val="auto"/>
          <w:lang w:eastAsia="en-AU"/>
        </w:rPr>
      </w:pPr>
      <w:hyperlink w:anchor="_Toc116292986" w:history="1">
        <w:r w:rsidRPr="00211763">
          <w:rPr>
            <w:rStyle w:val="Hyperlink"/>
            <w:rFonts w:ascii="Calibri" w:hAnsi="Calibri"/>
            <w:noProof/>
          </w:rPr>
          <w:t>□</w:t>
        </w:r>
        <w:r>
          <w:rPr>
            <w:rFonts w:eastAsiaTheme="minorEastAsia"/>
            <w:noProof/>
            <w:color w:val="auto"/>
            <w:lang w:eastAsia="en-AU"/>
          </w:rPr>
          <w:tab/>
        </w:r>
        <w:r w:rsidRPr="00211763">
          <w:rPr>
            <w:rStyle w:val="Hyperlink"/>
            <w:noProof/>
          </w:rPr>
          <w:t>Would this make it easier or harder to sell and acquire such rights?</w:t>
        </w:r>
      </w:hyperlink>
    </w:p>
    <w:p w14:paraId="75F846BC" w14:textId="575B82EC" w:rsidR="009F7F4F" w:rsidRDefault="009F7F4F">
      <w:pPr>
        <w:pStyle w:val="TOC2"/>
        <w:rPr>
          <w:rFonts w:eastAsiaTheme="minorEastAsia"/>
          <w:noProof/>
          <w:color w:val="auto"/>
          <w:lang w:eastAsia="en-AU"/>
        </w:rPr>
      </w:pPr>
      <w:hyperlink w:anchor="_Toc116292987" w:history="1">
        <w:r w:rsidRPr="00211763">
          <w:rPr>
            <w:rStyle w:val="Hyperlink"/>
            <w:noProof/>
          </w:rPr>
          <w:t>21.</w:t>
        </w:r>
        <w:r>
          <w:rPr>
            <w:rFonts w:eastAsiaTheme="minorEastAsia"/>
            <w:noProof/>
            <w:color w:val="auto"/>
            <w:lang w:eastAsia="en-AU"/>
          </w:rPr>
          <w:tab/>
        </w:r>
        <w:r w:rsidRPr="00211763">
          <w:rPr>
            <w:rStyle w:val="Hyperlink"/>
            <w:noProof/>
            <w:lang w:val="en-US"/>
          </w:rPr>
          <w:t>What practical changes would Australian viewers see from the imposition of coverage obligations?</w:t>
        </w:r>
      </w:hyperlink>
    </w:p>
    <w:p w14:paraId="50BE9F38" w14:textId="48226062" w:rsidR="009F7F4F" w:rsidRDefault="009F7F4F">
      <w:pPr>
        <w:pStyle w:val="TOC1"/>
        <w:rPr>
          <w:rFonts w:eastAsiaTheme="minorEastAsia"/>
          <w:b w:val="0"/>
          <w:noProof/>
          <w:color w:val="auto"/>
          <w:sz w:val="22"/>
          <w:u w:val="none"/>
          <w:lang w:eastAsia="en-AU"/>
        </w:rPr>
      </w:pPr>
      <w:hyperlink w:anchor="_Toc116292988" w:history="1">
        <w:r w:rsidRPr="00211763">
          <w:rPr>
            <w:rStyle w:val="Hyperlink"/>
            <w:noProof/>
          </w:rPr>
          <w:t>Transparency: information disclosure and information gathering</w:t>
        </w:r>
      </w:hyperlink>
    </w:p>
    <w:p w14:paraId="3BEF0A2D" w14:textId="2FD8D423" w:rsidR="009F7F4F" w:rsidRDefault="009F7F4F">
      <w:pPr>
        <w:pStyle w:val="TOC2"/>
        <w:rPr>
          <w:rFonts w:eastAsiaTheme="minorEastAsia"/>
          <w:noProof/>
          <w:color w:val="auto"/>
          <w:lang w:eastAsia="en-AU"/>
        </w:rPr>
      </w:pPr>
      <w:hyperlink w:anchor="_Toc116292989" w:history="1">
        <w:r w:rsidRPr="00211763">
          <w:rPr>
            <w:rStyle w:val="Hyperlink"/>
            <w:noProof/>
          </w:rPr>
          <w:t>22.</w:t>
        </w:r>
        <w:r>
          <w:rPr>
            <w:rFonts w:eastAsiaTheme="minorEastAsia"/>
            <w:noProof/>
            <w:color w:val="auto"/>
            <w:lang w:eastAsia="en-AU"/>
          </w:rPr>
          <w:tab/>
        </w:r>
        <w:r w:rsidRPr="00211763">
          <w:rPr>
            <w:rStyle w:val="Hyperlink"/>
            <w:noProof/>
            <w:lang w:val="en-US"/>
          </w:rPr>
          <w:t>Is there a case for the imposition of an information disclosure requirement regarding the rights held to anti-siphoning listed events? What are the upfront and ongoing compliance costs for such an obligation likely to be? Are you able to quantify or provide estimates of any such costs? What may be some of the considerations relevant to the kinds of information that would be disclosed regarding these rights (e.g. any commercial sensitivities)?</w:t>
        </w:r>
      </w:hyperlink>
    </w:p>
    <w:p w14:paraId="5C662A3A" w14:textId="6E752E62" w:rsidR="009F7F4F" w:rsidRDefault="009F7F4F">
      <w:pPr>
        <w:pStyle w:val="TOC2"/>
        <w:rPr>
          <w:rFonts w:eastAsiaTheme="minorEastAsia"/>
          <w:noProof/>
          <w:color w:val="auto"/>
          <w:lang w:eastAsia="en-AU"/>
        </w:rPr>
      </w:pPr>
      <w:hyperlink w:anchor="_Toc116292990" w:history="1">
        <w:r w:rsidRPr="00211763">
          <w:rPr>
            <w:rStyle w:val="Hyperlink"/>
            <w:noProof/>
          </w:rPr>
          <w:t>23.</w:t>
        </w:r>
        <w:r>
          <w:rPr>
            <w:rFonts w:eastAsiaTheme="minorEastAsia"/>
            <w:noProof/>
            <w:color w:val="auto"/>
            <w:lang w:eastAsia="en-AU"/>
          </w:rPr>
          <w:tab/>
        </w:r>
        <w:r w:rsidRPr="00211763">
          <w:rPr>
            <w:rStyle w:val="Hyperlink"/>
            <w:noProof/>
            <w:lang w:val="en-US"/>
          </w:rPr>
          <w:t>Is there a case for the imposition of an information disclosure requirement regarding the coverage of events on the anti-siphoning list? What are the upfront and ongoing compliance costs for such an obligation likely to be? Are you able to quantify or provide estimates of any such costs?</w:t>
        </w:r>
      </w:hyperlink>
    </w:p>
    <w:p w14:paraId="566ED0A8" w14:textId="1A4619F9" w:rsidR="009F7F4F" w:rsidRDefault="009F7F4F">
      <w:pPr>
        <w:pStyle w:val="TOC2"/>
        <w:rPr>
          <w:rFonts w:eastAsiaTheme="minorEastAsia"/>
          <w:noProof/>
          <w:color w:val="auto"/>
          <w:lang w:eastAsia="en-AU"/>
        </w:rPr>
      </w:pPr>
      <w:hyperlink w:anchor="_Toc116292991" w:history="1">
        <w:r w:rsidRPr="00211763">
          <w:rPr>
            <w:rStyle w:val="Hyperlink"/>
            <w:noProof/>
          </w:rPr>
          <w:t>24.</w:t>
        </w:r>
        <w:r>
          <w:rPr>
            <w:rFonts w:eastAsiaTheme="minorEastAsia"/>
            <w:noProof/>
            <w:color w:val="auto"/>
            <w:lang w:eastAsia="en-AU"/>
          </w:rPr>
          <w:tab/>
        </w:r>
        <w:r w:rsidRPr="00211763">
          <w:rPr>
            <w:rStyle w:val="Hyperlink"/>
            <w:noProof/>
            <w:lang w:val="en-US"/>
          </w:rPr>
          <w:t>How should any information disclosure requirement – whether relating to rights of coverage – integrate with other changes to the scheme?</w:t>
        </w:r>
      </w:hyperlink>
    </w:p>
    <w:p w14:paraId="744791D9" w14:textId="7154FA1B" w:rsidR="009F7F4F" w:rsidRDefault="009F7F4F">
      <w:pPr>
        <w:pStyle w:val="TOC2"/>
        <w:rPr>
          <w:rFonts w:eastAsiaTheme="minorEastAsia"/>
          <w:noProof/>
          <w:color w:val="auto"/>
          <w:lang w:eastAsia="en-AU"/>
        </w:rPr>
      </w:pPr>
      <w:hyperlink w:anchor="_Toc116292992" w:history="1">
        <w:r w:rsidRPr="00211763">
          <w:rPr>
            <w:rStyle w:val="Hyperlink"/>
            <w:noProof/>
          </w:rPr>
          <w:t>25.</w:t>
        </w:r>
        <w:r>
          <w:rPr>
            <w:rFonts w:eastAsiaTheme="minorEastAsia"/>
            <w:noProof/>
            <w:color w:val="auto"/>
            <w:lang w:eastAsia="en-AU"/>
          </w:rPr>
          <w:tab/>
        </w:r>
        <w:r w:rsidRPr="00211763">
          <w:rPr>
            <w:rStyle w:val="Hyperlink"/>
            <w:noProof/>
            <w:lang w:val="en-US"/>
          </w:rPr>
          <w:t>Should a rights and / or coverage disclosure obligation be mandatory (enforceable through primary or subordinate legislation), or should any disclosure be voluntary?</w:t>
        </w:r>
      </w:hyperlink>
    </w:p>
    <w:p w14:paraId="78B32358" w14:textId="346560E1" w:rsidR="009F7F4F" w:rsidRDefault="009F7F4F">
      <w:pPr>
        <w:pStyle w:val="TOC1"/>
        <w:rPr>
          <w:rFonts w:eastAsiaTheme="minorEastAsia"/>
          <w:b w:val="0"/>
          <w:noProof/>
          <w:color w:val="auto"/>
          <w:sz w:val="22"/>
          <w:u w:val="none"/>
          <w:lang w:eastAsia="en-AU"/>
        </w:rPr>
      </w:pPr>
      <w:hyperlink w:anchor="_Toc116292993" w:history="1">
        <w:r w:rsidRPr="00211763">
          <w:rPr>
            <w:rStyle w:val="Hyperlink"/>
            <w:noProof/>
          </w:rPr>
          <w:t>Sports on the anti-siphoning list</w:t>
        </w:r>
      </w:hyperlink>
    </w:p>
    <w:p w14:paraId="0B5FEE5E" w14:textId="7C5A56FB" w:rsidR="009F7F4F" w:rsidRDefault="009F7F4F">
      <w:pPr>
        <w:pStyle w:val="TOC2"/>
        <w:rPr>
          <w:rFonts w:eastAsiaTheme="minorEastAsia"/>
          <w:noProof/>
          <w:color w:val="auto"/>
          <w:lang w:eastAsia="en-AU"/>
        </w:rPr>
      </w:pPr>
      <w:hyperlink w:anchor="_Toc116292994" w:history="1">
        <w:r w:rsidRPr="00211763">
          <w:rPr>
            <w:rStyle w:val="Hyperlink"/>
            <w:noProof/>
          </w:rPr>
          <w:t>26.</w:t>
        </w:r>
        <w:r>
          <w:rPr>
            <w:rFonts w:eastAsiaTheme="minorEastAsia"/>
            <w:noProof/>
            <w:color w:val="auto"/>
            <w:lang w:eastAsia="en-AU"/>
          </w:rPr>
          <w:tab/>
        </w:r>
        <w:r w:rsidRPr="00211763">
          <w:rPr>
            <w:rStyle w:val="Hyperlink"/>
            <w:noProof/>
            <w:lang w:val="en-US"/>
          </w:rPr>
          <w:t>Are any changes warranted to the sports on the anti-siphoning list? Should any sports be added? Should any be removed?</w:t>
        </w:r>
      </w:hyperlink>
    </w:p>
    <w:p w14:paraId="7A484850" w14:textId="001E00C9" w:rsidR="009F7F4F" w:rsidRDefault="009F7F4F">
      <w:pPr>
        <w:pStyle w:val="TOC2"/>
        <w:rPr>
          <w:rFonts w:eastAsiaTheme="minorEastAsia"/>
          <w:noProof/>
          <w:color w:val="auto"/>
          <w:lang w:eastAsia="en-AU"/>
        </w:rPr>
      </w:pPr>
      <w:hyperlink w:anchor="_Toc116292995" w:history="1">
        <w:r w:rsidRPr="00211763">
          <w:rPr>
            <w:rStyle w:val="Hyperlink"/>
            <w:noProof/>
          </w:rPr>
          <w:t>27.</w:t>
        </w:r>
        <w:r>
          <w:rPr>
            <w:rFonts w:eastAsiaTheme="minorEastAsia"/>
            <w:noProof/>
            <w:color w:val="auto"/>
            <w:lang w:eastAsia="en-AU"/>
          </w:rPr>
          <w:tab/>
        </w:r>
        <w:r w:rsidRPr="00211763">
          <w:rPr>
            <w:rStyle w:val="Hyperlink"/>
            <w:noProof/>
            <w:lang w:val="en-US"/>
          </w:rPr>
          <w:t>Should the anti-siphoning list include the comparable women’s competitions of the events on the current list that, by naming convention or omission, only apply to the men’s competitions?</w:t>
        </w:r>
      </w:hyperlink>
    </w:p>
    <w:p w14:paraId="420B1FCC" w14:textId="1173CECE" w:rsidR="009F7F4F" w:rsidRDefault="009F7F4F">
      <w:pPr>
        <w:pStyle w:val="TOC2"/>
        <w:rPr>
          <w:rFonts w:eastAsiaTheme="minorEastAsia"/>
          <w:noProof/>
          <w:color w:val="auto"/>
          <w:lang w:eastAsia="en-AU"/>
        </w:rPr>
      </w:pPr>
      <w:hyperlink w:anchor="_Toc116292996" w:history="1">
        <w:r w:rsidRPr="00211763">
          <w:rPr>
            <w:rStyle w:val="Hyperlink"/>
            <w:noProof/>
          </w:rPr>
          <w:t>28.</w:t>
        </w:r>
        <w:r>
          <w:rPr>
            <w:rFonts w:eastAsiaTheme="minorEastAsia"/>
            <w:noProof/>
            <w:color w:val="auto"/>
            <w:lang w:eastAsia="en-AU"/>
          </w:rPr>
          <w:tab/>
        </w:r>
        <w:r w:rsidRPr="00211763">
          <w:rPr>
            <w:rStyle w:val="Hyperlink"/>
            <w:noProof/>
            <w:lang w:val="en-US"/>
          </w:rPr>
          <w:t xml:space="preserve">Are there other women’s events </w:t>
        </w:r>
        <w:r w:rsidRPr="00211763">
          <w:rPr>
            <w:rStyle w:val="Hyperlink"/>
            <w:rFonts w:cstheme="minorHAnsi"/>
            <w:noProof/>
            <w:lang w:val="en-US"/>
          </w:rPr>
          <w:t xml:space="preserve">— </w:t>
        </w:r>
        <w:r w:rsidRPr="00211763">
          <w:rPr>
            <w:rStyle w:val="Hyperlink"/>
            <w:noProof/>
            <w:lang w:val="en-US"/>
          </w:rPr>
          <w:t xml:space="preserve">that don’t have a comparable men’s format </w:t>
        </w:r>
        <w:r w:rsidRPr="00211763">
          <w:rPr>
            <w:rStyle w:val="Hyperlink"/>
            <w:rFonts w:cstheme="minorHAnsi"/>
            <w:noProof/>
            <w:lang w:val="en-US"/>
          </w:rPr>
          <w:t xml:space="preserve">— </w:t>
        </w:r>
        <w:r w:rsidRPr="00211763">
          <w:rPr>
            <w:rStyle w:val="Hyperlink"/>
            <w:noProof/>
            <w:lang w:val="en-US"/>
          </w:rPr>
          <w:t>that should be added?</w:t>
        </w:r>
      </w:hyperlink>
    </w:p>
    <w:p w14:paraId="3FCF9CF7" w14:textId="59721E0C" w:rsidR="009F7F4F" w:rsidRDefault="009F7F4F">
      <w:pPr>
        <w:pStyle w:val="TOC2"/>
        <w:rPr>
          <w:rFonts w:eastAsiaTheme="minorEastAsia"/>
          <w:noProof/>
          <w:color w:val="auto"/>
          <w:lang w:eastAsia="en-AU"/>
        </w:rPr>
      </w:pPr>
      <w:hyperlink w:anchor="_Toc116292997" w:history="1">
        <w:r w:rsidRPr="00211763">
          <w:rPr>
            <w:rStyle w:val="Hyperlink"/>
            <w:noProof/>
          </w:rPr>
          <w:t>29.</w:t>
        </w:r>
        <w:r>
          <w:rPr>
            <w:rFonts w:eastAsiaTheme="minorEastAsia"/>
            <w:noProof/>
            <w:color w:val="auto"/>
            <w:lang w:eastAsia="en-AU"/>
          </w:rPr>
          <w:tab/>
        </w:r>
        <w:r w:rsidRPr="00211763">
          <w:rPr>
            <w:rStyle w:val="Hyperlink"/>
            <w:noProof/>
            <w:lang w:val="en-US"/>
          </w:rPr>
          <w:t>What impact would these possible inclusions or exclusions have on free-to-air broadcasters, subscription broadcasters, online service providers, the relevant sports bodies and Australian viewers? Are you able to quantify or estimate these impacts?</w:t>
        </w:r>
      </w:hyperlink>
    </w:p>
    <w:p w14:paraId="1AC590FD" w14:textId="794BAC60" w:rsidR="009F7F4F" w:rsidRDefault="009F7F4F">
      <w:pPr>
        <w:pStyle w:val="TOC2"/>
        <w:rPr>
          <w:rFonts w:eastAsiaTheme="minorEastAsia"/>
          <w:noProof/>
          <w:color w:val="auto"/>
          <w:lang w:eastAsia="en-AU"/>
        </w:rPr>
      </w:pPr>
      <w:hyperlink w:anchor="_Toc116292998" w:history="1">
        <w:r w:rsidRPr="00211763">
          <w:rPr>
            <w:rStyle w:val="Hyperlink"/>
            <w:noProof/>
          </w:rPr>
          <w:t>30.</w:t>
        </w:r>
        <w:r>
          <w:rPr>
            <w:rFonts w:eastAsiaTheme="minorEastAsia"/>
            <w:noProof/>
            <w:color w:val="auto"/>
            <w:lang w:eastAsia="en-AU"/>
          </w:rPr>
          <w:tab/>
        </w:r>
        <w:r w:rsidRPr="00211763">
          <w:rPr>
            <w:rStyle w:val="Hyperlink"/>
            <w:noProof/>
            <w:lang w:val="en-US"/>
          </w:rPr>
          <w:t>Should non-sporting events be included for consideration on the anti-siphoning list? If so, which events? Is television coverage of these events being siphoned behind a paywall and not freely available to Australians, or is there a risk of this occurring?</w:t>
        </w:r>
      </w:hyperlink>
    </w:p>
    <w:p w14:paraId="28580AE9" w14:textId="73FDE9DE" w:rsidR="009F7F4F" w:rsidRDefault="009F7F4F">
      <w:pPr>
        <w:pStyle w:val="TOC1"/>
        <w:rPr>
          <w:rFonts w:eastAsiaTheme="minorEastAsia"/>
          <w:b w:val="0"/>
          <w:noProof/>
          <w:color w:val="auto"/>
          <w:sz w:val="22"/>
          <w:u w:val="none"/>
          <w:lang w:eastAsia="en-AU"/>
        </w:rPr>
      </w:pPr>
      <w:hyperlink w:anchor="_Toc116292999" w:history="1">
        <w:r w:rsidRPr="00211763">
          <w:rPr>
            <w:rStyle w:val="Hyperlink"/>
            <w:noProof/>
          </w:rPr>
          <w:t>Events on the anti-siphoning list</w:t>
        </w:r>
      </w:hyperlink>
    </w:p>
    <w:p w14:paraId="54A74DAE" w14:textId="36AECAF1" w:rsidR="009F7F4F" w:rsidRDefault="009F7F4F">
      <w:pPr>
        <w:pStyle w:val="TOC2"/>
        <w:rPr>
          <w:rFonts w:eastAsiaTheme="minorEastAsia"/>
          <w:noProof/>
          <w:color w:val="auto"/>
          <w:lang w:eastAsia="en-AU"/>
        </w:rPr>
      </w:pPr>
      <w:hyperlink w:anchor="_Toc116293000" w:history="1">
        <w:r w:rsidRPr="00211763">
          <w:rPr>
            <w:rStyle w:val="Hyperlink"/>
            <w:noProof/>
          </w:rPr>
          <w:t>31.</w:t>
        </w:r>
        <w:r>
          <w:rPr>
            <w:rFonts w:eastAsiaTheme="minorEastAsia"/>
            <w:noProof/>
            <w:color w:val="auto"/>
            <w:lang w:eastAsia="en-AU"/>
          </w:rPr>
          <w:tab/>
        </w:r>
        <w:r w:rsidRPr="00211763">
          <w:rPr>
            <w:rStyle w:val="Hyperlink"/>
            <w:noProof/>
            <w:lang w:val="en-US"/>
          </w:rPr>
          <w:t>What events should be added to or removed from the anti-siphoning list? Please provide specific recommendations.</w:t>
        </w:r>
      </w:hyperlink>
    </w:p>
    <w:p w14:paraId="315BFF87" w14:textId="6F953284" w:rsidR="009F7F4F" w:rsidRDefault="009F7F4F">
      <w:pPr>
        <w:pStyle w:val="TOC2"/>
        <w:rPr>
          <w:rFonts w:eastAsiaTheme="minorEastAsia"/>
          <w:noProof/>
          <w:color w:val="auto"/>
          <w:lang w:eastAsia="en-AU"/>
        </w:rPr>
      </w:pPr>
      <w:hyperlink w:anchor="_Toc116293001" w:history="1">
        <w:r w:rsidRPr="00211763">
          <w:rPr>
            <w:rStyle w:val="Hyperlink"/>
            <w:noProof/>
          </w:rPr>
          <w:t>32.</w:t>
        </w:r>
        <w:r>
          <w:rPr>
            <w:rFonts w:eastAsiaTheme="minorEastAsia"/>
            <w:noProof/>
            <w:color w:val="auto"/>
            <w:lang w:eastAsia="en-AU"/>
          </w:rPr>
          <w:tab/>
        </w:r>
        <w:r w:rsidRPr="00211763">
          <w:rPr>
            <w:rStyle w:val="Hyperlink"/>
            <w:noProof/>
            <w:lang w:val="en-US"/>
          </w:rPr>
          <w:t>What factors or circumstances do you consider to be important in recommending the retention, inclusion or removal of particular events from the anti-siphoning list?</w:t>
        </w:r>
      </w:hyperlink>
    </w:p>
    <w:p w14:paraId="3166A66D" w14:textId="6307824B" w:rsidR="009F7F4F" w:rsidRDefault="009F7F4F">
      <w:pPr>
        <w:pStyle w:val="TOC3"/>
        <w:rPr>
          <w:rFonts w:eastAsiaTheme="minorEastAsia"/>
          <w:noProof/>
          <w:color w:val="auto"/>
          <w:lang w:eastAsia="en-AU"/>
        </w:rPr>
      </w:pPr>
      <w:hyperlink w:anchor="_Toc116293002" w:history="1">
        <w:r w:rsidRPr="00211763">
          <w:rPr>
            <w:rStyle w:val="Hyperlink"/>
            <w:rFonts w:ascii="Calibri" w:hAnsi="Calibri"/>
            <w:noProof/>
          </w:rPr>
          <w:t>□</w:t>
        </w:r>
        <w:r>
          <w:rPr>
            <w:rFonts w:eastAsiaTheme="minorEastAsia"/>
            <w:noProof/>
            <w:color w:val="auto"/>
            <w:lang w:eastAsia="en-AU"/>
          </w:rPr>
          <w:tab/>
        </w:r>
        <w:r w:rsidRPr="00211763">
          <w:rPr>
            <w:rStyle w:val="Hyperlink"/>
            <w:noProof/>
            <w:lang w:val="en-US"/>
          </w:rPr>
          <w:t>To what extent do average audience numbers influence or inform your recommendation</w:t>
        </w:r>
        <w:r w:rsidRPr="00211763">
          <w:rPr>
            <w:rStyle w:val="Hyperlink"/>
            <w:noProof/>
          </w:rPr>
          <w:t>?</w:t>
        </w:r>
      </w:hyperlink>
    </w:p>
    <w:p w14:paraId="4A0B68E8" w14:textId="54DF33B3" w:rsidR="009F7F4F" w:rsidRDefault="009F7F4F">
      <w:pPr>
        <w:pStyle w:val="TOC2"/>
        <w:rPr>
          <w:rFonts w:eastAsiaTheme="minorEastAsia"/>
          <w:noProof/>
          <w:color w:val="auto"/>
          <w:lang w:eastAsia="en-AU"/>
        </w:rPr>
      </w:pPr>
      <w:hyperlink w:anchor="_Toc116293003" w:history="1">
        <w:r w:rsidRPr="00211763">
          <w:rPr>
            <w:rStyle w:val="Hyperlink"/>
            <w:noProof/>
          </w:rPr>
          <w:t>33.</w:t>
        </w:r>
        <w:r>
          <w:rPr>
            <w:rFonts w:eastAsiaTheme="minorEastAsia"/>
            <w:noProof/>
            <w:color w:val="auto"/>
            <w:lang w:eastAsia="en-AU"/>
          </w:rPr>
          <w:tab/>
        </w:r>
        <w:r w:rsidRPr="00211763">
          <w:rPr>
            <w:rStyle w:val="Hyperlink"/>
            <w:noProof/>
            <w:lang w:val="en-US"/>
          </w:rPr>
          <w:t>What impact would these possible inclusions or exclusions have on free-to-air broadcasters, subscription broadcasters, online service providers, sports bodies and Australian viewers? Are you able to quantify or estimate these impacts?</w:t>
        </w:r>
      </w:hyperlink>
    </w:p>
    <w:p w14:paraId="32C466CC" w14:textId="56F12734" w:rsidR="009F7F4F" w:rsidRDefault="009F7F4F">
      <w:pPr>
        <w:pStyle w:val="TOC1"/>
        <w:rPr>
          <w:rFonts w:eastAsiaTheme="minorEastAsia"/>
          <w:b w:val="0"/>
          <w:noProof/>
          <w:color w:val="auto"/>
          <w:sz w:val="22"/>
          <w:u w:val="none"/>
          <w:lang w:eastAsia="en-AU"/>
        </w:rPr>
      </w:pPr>
      <w:hyperlink w:anchor="_Toc116293004" w:history="1">
        <w:r w:rsidRPr="00211763">
          <w:rPr>
            <w:rStyle w:val="Hyperlink"/>
            <w:noProof/>
          </w:rPr>
          <w:t>Differentiated regulation – a two-tier list</w:t>
        </w:r>
      </w:hyperlink>
    </w:p>
    <w:p w14:paraId="33A863C5" w14:textId="6BB2419B" w:rsidR="009F7F4F" w:rsidRDefault="009F7F4F">
      <w:pPr>
        <w:pStyle w:val="TOC2"/>
        <w:rPr>
          <w:rFonts w:eastAsiaTheme="minorEastAsia"/>
          <w:noProof/>
          <w:color w:val="auto"/>
          <w:lang w:eastAsia="en-AU"/>
        </w:rPr>
      </w:pPr>
      <w:hyperlink w:anchor="_Toc116293005" w:history="1">
        <w:r w:rsidRPr="00211763">
          <w:rPr>
            <w:rStyle w:val="Hyperlink"/>
            <w:noProof/>
          </w:rPr>
          <w:t>34.</w:t>
        </w:r>
        <w:r>
          <w:rPr>
            <w:rFonts w:eastAsiaTheme="minorEastAsia"/>
            <w:noProof/>
            <w:color w:val="auto"/>
            <w:lang w:eastAsia="en-AU"/>
          </w:rPr>
          <w:tab/>
        </w:r>
        <w:r w:rsidRPr="00211763">
          <w:rPr>
            <w:rStyle w:val="Hyperlink"/>
            <w:noProof/>
          </w:rPr>
          <w:t>Is there merit in considering differentiated regulation for events on the anti-siphoning list, or should regulation remain homogenous for all listed events</w:t>
        </w:r>
        <w:r w:rsidRPr="00211763">
          <w:rPr>
            <w:rStyle w:val="Hyperlink"/>
            <w:noProof/>
            <w:lang w:val="en-US"/>
          </w:rPr>
          <w:t>?</w:t>
        </w:r>
      </w:hyperlink>
    </w:p>
    <w:p w14:paraId="5E08573A" w14:textId="7F7B9279" w:rsidR="009F7F4F" w:rsidRDefault="009F7F4F">
      <w:pPr>
        <w:pStyle w:val="TOC2"/>
        <w:rPr>
          <w:rFonts w:eastAsiaTheme="minorEastAsia"/>
          <w:noProof/>
          <w:color w:val="auto"/>
          <w:lang w:eastAsia="en-AU"/>
        </w:rPr>
      </w:pPr>
      <w:hyperlink w:anchor="_Toc116293006" w:history="1">
        <w:r w:rsidRPr="00211763">
          <w:rPr>
            <w:rStyle w:val="Hyperlink"/>
            <w:noProof/>
          </w:rPr>
          <w:t>35.</w:t>
        </w:r>
        <w:r>
          <w:rPr>
            <w:rFonts w:eastAsiaTheme="minorEastAsia"/>
            <w:noProof/>
            <w:color w:val="auto"/>
            <w:lang w:eastAsia="en-AU"/>
          </w:rPr>
          <w:tab/>
        </w:r>
        <w:r w:rsidRPr="00211763">
          <w:rPr>
            <w:rStyle w:val="Hyperlink"/>
            <w:noProof/>
          </w:rPr>
          <w:t>If differentiated regulation is pursued, what form should this take</w:t>
        </w:r>
        <w:r w:rsidRPr="00211763">
          <w:rPr>
            <w:rStyle w:val="Hyperlink"/>
            <w:noProof/>
            <w:lang w:val="en-US"/>
          </w:rPr>
          <w:t>?</w:t>
        </w:r>
      </w:hyperlink>
    </w:p>
    <w:p w14:paraId="01074409" w14:textId="52FC2CB6" w:rsidR="009F7F4F" w:rsidRDefault="009F7F4F">
      <w:pPr>
        <w:pStyle w:val="TOC3"/>
        <w:rPr>
          <w:rFonts w:eastAsiaTheme="minorEastAsia"/>
          <w:noProof/>
          <w:color w:val="auto"/>
          <w:lang w:eastAsia="en-AU"/>
        </w:rPr>
      </w:pPr>
      <w:hyperlink w:anchor="_Toc116293007" w:history="1">
        <w:r w:rsidRPr="00211763">
          <w:rPr>
            <w:rStyle w:val="Hyperlink"/>
            <w:rFonts w:ascii="Calibri" w:hAnsi="Calibri"/>
            <w:noProof/>
          </w:rPr>
          <w:t>□</w:t>
        </w:r>
        <w:r>
          <w:rPr>
            <w:rFonts w:eastAsiaTheme="minorEastAsia"/>
            <w:noProof/>
            <w:color w:val="auto"/>
            <w:lang w:eastAsia="en-AU"/>
          </w:rPr>
          <w:tab/>
        </w:r>
        <w:r w:rsidRPr="00211763">
          <w:rPr>
            <w:rStyle w:val="Hyperlink"/>
            <w:noProof/>
          </w:rPr>
          <w:t xml:space="preserve">Two or more tiers, or some other form of differentiating between events on the </w:t>
        </w:r>
        <w:r w:rsidRPr="00211763">
          <w:rPr>
            <w:rStyle w:val="Hyperlink"/>
            <w:noProof/>
            <w:lang w:val="en-US"/>
          </w:rPr>
          <w:t xml:space="preserve">anti-siphoning </w:t>
        </w:r>
        <w:r w:rsidRPr="00211763">
          <w:rPr>
            <w:rStyle w:val="Hyperlink"/>
            <w:noProof/>
          </w:rPr>
          <w:t>list?</w:t>
        </w:r>
      </w:hyperlink>
    </w:p>
    <w:p w14:paraId="0EC9B955" w14:textId="1585FB6E" w:rsidR="009F7F4F" w:rsidRDefault="009F7F4F">
      <w:pPr>
        <w:pStyle w:val="TOC3"/>
        <w:rPr>
          <w:rFonts w:eastAsiaTheme="minorEastAsia"/>
          <w:noProof/>
          <w:color w:val="auto"/>
          <w:lang w:eastAsia="en-AU"/>
        </w:rPr>
      </w:pPr>
      <w:hyperlink w:anchor="_Toc116293008" w:history="1">
        <w:r w:rsidRPr="00211763">
          <w:rPr>
            <w:rStyle w:val="Hyperlink"/>
            <w:rFonts w:ascii="Calibri" w:hAnsi="Calibri"/>
            <w:noProof/>
          </w:rPr>
          <w:t>□</w:t>
        </w:r>
        <w:r>
          <w:rPr>
            <w:rFonts w:eastAsiaTheme="minorEastAsia"/>
            <w:noProof/>
            <w:color w:val="auto"/>
            <w:lang w:eastAsia="en-AU"/>
          </w:rPr>
          <w:tab/>
        </w:r>
        <w:r w:rsidRPr="00211763">
          <w:rPr>
            <w:rStyle w:val="Hyperlink"/>
            <w:noProof/>
          </w:rPr>
          <w:t>How would this new arrangement be integrated with other amendments to the scheme?</w:t>
        </w:r>
      </w:hyperlink>
    </w:p>
    <w:p w14:paraId="6BD79DDC" w14:textId="5FCB1981" w:rsidR="009F7F4F" w:rsidRDefault="009F7F4F">
      <w:pPr>
        <w:pStyle w:val="TOC2"/>
        <w:rPr>
          <w:rFonts w:eastAsiaTheme="minorEastAsia"/>
          <w:noProof/>
          <w:color w:val="auto"/>
          <w:lang w:eastAsia="en-AU"/>
        </w:rPr>
      </w:pPr>
      <w:hyperlink w:anchor="_Toc116293009" w:history="1">
        <w:r w:rsidRPr="00211763">
          <w:rPr>
            <w:rStyle w:val="Hyperlink"/>
            <w:noProof/>
          </w:rPr>
          <w:t>36.</w:t>
        </w:r>
        <w:r>
          <w:rPr>
            <w:rFonts w:eastAsiaTheme="minorEastAsia"/>
            <w:noProof/>
            <w:color w:val="auto"/>
            <w:lang w:eastAsia="en-AU"/>
          </w:rPr>
          <w:tab/>
        </w:r>
        <w:r w:rsidRPr="00211763">
          <w:rPr>
            <w:rStyle w:val="Hyperlink"/>
            <w:noProof/>
          </w:rPr>
          <w:t xml:space="preserve">What impact would a differentiated regulation have on </w:t>
        </w:r>
        <w:r w:rsidRPr="00211763">
          <w:rPr>
            <w:rStyle w:val="Hyperlink"/>
            <w:noProof/>
            <w:lang w:val="en-US"/>
          </w:rPr>
          <w:t>decisions made by industry regarding media rights to sporting events, both listed and unlisted? Would this make it easier or harder to sell and acquire rights under this general model?</w:t>
        </w:r>
      </w:hyperlink>
    </w:p>
    <w:p w14:paraId="49CFFE2A" w14:textId="0D4A2E8A" w:rsidR="009F7F4F" w:rsidRDefault="009F7F4F">
      <w:pPr>
        <w:pStyle w:val="TOC2"/>
        <w:rPr>
          <w:rFonts w:eastAsiaTheme="minorEastAsia"/>
          <w:noProof/>
          <w:color w:val="auto"/>
          <w:lang w:eastAsia="en-AU"/>
        </w:rPr>
      </w:pPr>
      <w:hyperlink w:anchor="_Toc116293010" w:history="1">
        <w:r w:rsidRPr="00211763">
          <w:rPr>
            <w:rStyle w:val="Hyperlink"/>
            <w:noProof/>
          </w:rPr>
          <w:t>37.</w:t>
        </w:r>
        <w:r>
          <w:rPr>
            <w:rFonts w:eastAsiaTheme="minorEastAsia"/>
            <w:noProof/>
            <w:color w:val="auto"/>
            <w:lang w:eastAsia="en-AU"/>
          </w:rPr>
          <w:tab/>
        </w:r>
        <w:r w:rsidRPr="00211763">
          <w:rPr>
            <w:rStyle w:val="Hyperlink"/>
            <w:noProof/>
          </w:rPr>
          <w:t xml:space="preserve">Would a differentiated regulatory framework have a positive or negative impact on </w:t>
        </w:r>
        <w:r w:rsidRPr="00211763">
          <w:rPr>
            <w:rStyle w:val="Hyperlink"/>
            <w:noProof/>
            <w:lang w:val="en-US"/>
          </w:rPr>
          <w:t>Australian view</w:t>
        </w:r>
        <w:r w:rsidRPr="00211763">
          <w:rPr>
            <w:rStyle w:val="Hyperlink"/>
            <w:noProof/>
          </w:rPr>
          <w:t>ers</w:t>
        </w:r>
        <w:r w:rsidRPr="00211763">
          <w:rPr>
            <w:rStyle w:val="Hyperlink"/>
            <w:noProof/>
            <w:lang w:val="en-US"/>
          </w:rPr>
          <w:t>?</w:t>
        </w:r>
      </w:hyperlink>
    </w:p>
    <w:p w14:paraId="4B566F71" w14:textId="6E887CBB" w:rsidR="009F7F4F" w:rsidRDefault="009F7F4F">
      <w:pPr>
        <w:pStyle w:val="TOC1"/>
        <w:rPr>
          <w:rFonts w:eastAsiaTheme="minorEastAsia"/>
          <w:b w:val="0"/>
          <w:noProof/>
          <w:color w:val="auto"/>
          <w:sz w:val="22"/>
          <w:u w:val="none"/>
          <w:lang w:eastAsia="en-AU"/>
        </w:rPr>
      </w:pPr>
      <w:hyperlink w:anchor="_Toc116293011" w:history="1">
        <w:r w:rsidRPr="00211763">
          <w:rPr>
            <w:rStyle w:val="Hyperlink"/>
            <w:noProof/>
          </w:rPr>
          <w:t>Delisting arrangements</w:t>
        </w:r>
      </w:hyperlink>
    </w:p>
    <w:p w14:paraId="4DFE2841" w14:textId="1F452977" w:rsidR="009F7F4F" w:rsidRDefault="009F7F4F">
      <w:pPr>
        <w:pStyle w:val="TOC2"/>
        <w:rPr>
          <w:rFonts w:eastAsiaTheme="minorEastAsia"/>
          <w:noProof/>
          <w:color w:val="auto"/>
          <w:lang w:eastAsia="en-AU"/>
        </w:rPr>
      </w:pPr>
      <w:hyperlink w:anchor="_Toc116293012" w:history="1">
        <w:r w:rsidRPr="00211763">
          <w:rPr>
            <w:rStyle w:val="Hyperlink"/>
            <w:noProof/>
          </w:rPr>
          <w:t>38.</w:t>
        </w:r>
        <w:r>
          <w:rPr>
            <w:rFonts w:eastAsiaTheme="minorEastAsia"/>
            <w:noProof/>
            <w:color w:val="auto"/>
            <w:lang w:eastAsia="en-AU"/>
          </w:rPr>
          <w:tab/>
        </w:r>
        <w:r w:rsidRPr="00211763">
          <w:rPr>
            <w:rStyle w:val="Hyperlink"/>
            <w:noProof/>
            <w:lang w:val="en-US"/>
          </w:rPr>
          <w:t>Are the current de-listing provisions appropriate and effective?</w:t>
        </w:r>
      </w:hyperlink>
    </w:p>
    <w:p w14:paraId="2A5B162A" w14:textId="34A200A8" w:rsidR="009F7F4F" w:rsidRDefault="009F7F4F">
      <w:pPr>
        <w:pStyle w:val="TOC3"/>
        <w:rPr>
          <w:rFonts w:eastAsiaTheme="minorEastAsia"/>
          <w:noProof/>
          <w:color w:val="auto"/>
          <w:lang w:eastAsia="en-AU"/>
        </w:rPr>
      </w:pPr>
      <w:hyperlink w:anchor="_Toc116293013" w:history="1">
        <w:r w:rsidRPr="00211763">
          <w:rPr>
            <w:rStyle w:val="Hyperlink"/>
            <w:rFonts w:ascii="Calibri" w:hAnsi="Calibri"/>
            <w:noProof/>
          </w:rPr>
          <w:t>□</w:t>
        </w:r>
        <w:r>
          <w:rPr>
            <w:rFonts w:eastAsiaTheme="minorEastAsia"/>
            <w:noProof/>
            <w:color w:val="auto"/>
            <w:lang w:eastAsia="en-AU"/>
          </w:rPr>
          <w:tab/>
        </w:r>
        <w:r w:rsidRPr="00211763">
          <w:rPr>
            <w:rStyle w:val="Hyperlink"/>
            <w:noProof/>
          </w:rPr>
          <w:t>If not, what changes would you recommend?</w:t>
        </w:r>
      </w:hyperlink>
    </w:p>
    <w:p w14:paraId="036E06DA" w14:textId="0600F9A2" w:rsidR="009F7F4F" w:rsidRDefault="009F7F4F">
      <w:pPr>
        <w:pStyle w:val="TOC3"/>
        <w:rPr>
          <w:rFonts w:eastAsiaTheme="minorEastAsia"/>
          <w:noProof/>
          <w:color w:val="auto"/>
          <w:lang w:eastAsia="en-AU"/>
        </w:rPr>
      </w:pPr>
      <w:hyperlink w:anchor="_Toc116293014" w:history="1">
        <w:r w:rsidRPr="00211763">
          <w:rPr>
            <w:rStyle w:val="Hyperlink"/>
            <w:rFonts w:ascii="Calibri" w:hAnsi="Calibri"/>
            <w:noProof/>
          </w:rPr>
          <w:t>□</w:t>
        </w:r>
        <w:r>
          <w:rPr>
            <w:rFonts w:eastAsiaTheme="minorEastAsia"/>
            <w:noProof/>
            <w:color w:val="auto"/>
            <w:lang w:eastAsia="en-AU"/>
          </w:rPr>
          <w:tab/>
        </w:r>
        <w:r w:rsidRPr="00211763">
          <w:rPr>
            <w:rStyle w:val="Hyperlink"/>
            <w:noProof/>
          </w:rPr>
          <w:t>In what way would any such changes be integrated with other amendments to the scheme?</w:t>
        </w:r>
      </w:hyperlink>
    </w:p>
    <w:p w14:paraId="2F099883" w14:textId="2A22DC5A" w:rsidR="009F7F4F" w:rsidRDefault="009F7F4F">
      <w:pPr>
        <w:pStyle w:val="TOC2"/>
        <w:rPr>
          <w:rFonts w:eastAsiaTheme="minorEastAsia"/>
          <w:noProof/>
          <w:color w:val="auto"/>
          <w:lang w:eastAsia="en-AU"/>
        </w:rPr>
      </w:pPr>
      <w:hyperlink w:anchor="_Toc116293015" w:history="1">
        <w:r w:rsidRPr="00211763">
          <w:rPr>
            <w:rStyle w:val="Hyperlink"/>
            <w:noProof/>
          </w:rPr>
          <w:t>39.</w:t>
        </w:r>
        <w:r>
          <w:rPr>
            <w:rFonts w:eastAsiaTheme="minorEastAsia"/>
            <w:noProof/>
            <w:color w:val="auto"/>
            <w:lang w:eastAsia="en-AU"/>
          </w:rPr>
          <w:tab/>
        </w:r>
        <w:r w:rsidRPr="00211763">
          <w:rPr>
            <w:rStyle w:val="Hyperlink"/>
            <w:noProof/>
            <w:lang w:val="en-US"/>
          </w:rPr>
          <w:t>Is the automatic de-listing period of 26 weeks too long, or too short, for rights arrangements to be settled and for relevant parties to effectively promote events to audiences?</w:t>
        </w:r>
      </w:hyperlink>
    </w:p>
    <w:p w14:paraId="3484269B" w14:textId="78A4BA39" w:rsidR="00B44A80" w:rsidRDefault="00BA05A6">
      <w:pPr>
        <w:suppressAutoHyphens w:val="0"/>
      </w:pPr>
      <w:r>
        <w:fldChar w:fldCharType="end"/>
      </w:r>
      <w:r w:rsidR="00257B93">
        <w:br w:type="page"/>
      </w:r>
    </w:p>
    <w:p w14:paraId="4E419533" w14:textId="6E626C5D" w:rsidR="005F794B" w:rsidRDefault="00363677" w:rsidP="00E16272">
      <w:pPr>
        <w:pStyle w:val="Heading1"/>
      </w:pPr>
      <w:bookmarkStart w:id="654" w:name="_Toc113361310"/>
      <w:bookmarkStart w:id="655" w:name="_Toc116061448"/>
      <w:bookmarkEnd w:id="651"/>
      <w:r>
        <w:lastRenderedPageBreak/>
        <w:t xml:space="preserve">Attachment B: </w:t>
      </w:r>
      <w:r w:rsidR="00141731">
        <w:t xml:space="preserve">Current </w:t>
      </w:r>
      <w:r w:rsidR="009978E4">
        <w:t>a</w:t>
      </w:r>
      <w:r w:rsidR="00F53233">
        <w:t xml:space="preserve">nti-siphoning </w:t>
      </w:r>
      <w:r w:rsidR="009978E4">
        <w:t>l</w:t>
      </w:r>
      <w:r w:rsidR="00F53233">
        <w:t>ist</w:t>
      </w:r>
      <w:bookmarkEnd w:id="654"/>
      <w:bookmarkEnd w:id="655"/>
    </w:p>
    <w:p w14:paraId="3879F6CC" w14:textId="77777777" w:rsidR="00141731" w:rsidRPr="00141731" w:rsidRDefault="00141731" w:rsidP="00141731">
      <w:pPr>
        <w:pStyle w:val="acthead5"/>
        <w:shd w:val="clear" w:color="auto" w:fill="FFFFFF"/>
        <w:spacing w:before="0" w:beforeAutospacing="0" w:after="60" w:afterAutospacing="0"/>
        <w:ind w:left="1134" w:hanging="1134"/>
        <w:rPr>
          <w:rFonts w:asciiTheme="minorHAnsi" w:hAnsiTheme="minorHAnsi" w:cstheme="minorHAnsi"/>
          <w:b/>
          <w:bCs/>
          <w:color w:val="000000"/>
          <w:sz w:val="20"/>
          <w:szCs w:val="20"/>
        </w:rPr>
      </w:pPr>
      <w:bookmarkStart w:id="656" w:name="_Toc479168216"/>
      <w:r w:rsidRPr="00141731">
        <w:rPr>
          <w:rStyle w:val="charsectno"/>
          <w:rFonts w:asciiTheme="minorHAnsi" w:hAnsiTheme="minorHAnsi" w:cstheme="minorHAnsi"/>
          <w:b/>
          <w:bCs/>
          <w:color w:val="000000"/>
          <w:sz w:val="20"/>
          <w:szCs w:val="20"/>
        </w:rPr>
        <w:t>1</w:t>
      </w:r>
      <w:r w:rsidRPr="00141731">
        <w:rPr>
          <w:rFonts w:asciiTheme="minorHAnsi" w:hAnsiTheme="minorHAnsi" w:cstheme="minorHAnsi"/>
          <w:b/>
          <w:bCs/>
          <w:color w:val="000000"/>
          <w:sz w:val="20"/>
          <w:szCs w:val="20"/>
        </w:rPr>
        <w:t>  Name of Notice</w:t>
      </w:r>
      <w:bookmarkEnd w:id="656"/>
    </w:p>
    <w:p w14:paraId="39FDBD96" w14:textId="048A1BCF" w:rsidR="00141731" w:rsidRPr="00141731" w:rsidRDefault="00141731" w:rsidP="00D05218">
      <w:pPr>
        <w:pStyle w:val="subsection"/>
        <w:shd w:val="clear" w:color="auto" w:fill="FFFFFF"/>
        <w:spacing w:before="0" w:beforeAutospacing="0" w:after="60" w:afterAutospacing="0"/>
        <w:ind w:left="2041" w:hanging="1134"/>
        <w:rPr>
          <w:rFonts w:asciiTheme="minorHAnsi" w:hAnsiTheme="minorHAnsi" w:cstheme="minorHAnsi"/>
          <w:color w:val="000000"/>
          <w:sz w:val="20"/>
          <w:szCs w:val="20"/>
        </w:rPr>
      </w:pPr>
      <w:r w:rsidRPr="00141731">
        <w:rPr>
          <w:rFonts w:asciiTheme="minorHAnsi" w:hAnsiTheme="minorHAnsi" w:cstheme="minorHAnsi"/>
          <w:color w:val="000000"/>
          <w:sz w:val="20"/>
          <w:szCs w:val="20"/>
        </w:rPr>
        <w:t>This Notice is the </w:t>
      </w:r>
      <w:r w:rsidRPr="00141731">
        <w:rPr>
          <w:rFonts w:asciiTheme="minorHAnsi" w:hAnsiTheme="minorHAnsi" w:cstheme="minorHAnsi"/>
          <w:i/>
          <w:iCs/>
          <w:color w:val="000000"/>
          <w:sz w:val="20"/>
          <w:szCs w:val="20"/>
        </w:rPr>
        <w:t>Broadcasting Services (Events) Notice (No. 1) 2010</w:t>
      </w:r>
      <w:r w:rsidRPr="00141731">
        <w:rPr>
          <w:rFonts w:asciiTheme="minorHAnsi" w:hAnsiTheme="minorHAnsi" w:cstheme="minorHAnsi"/>
          <w:color w:val="000000"/>
          <w:sz w:val="20"/>
          <w:szCs w:val="20"/>
        </w:rPr>
        <w:t>.</w:t>
      </w:r>
    </w:p>
    <w:p w14:paraId="565EF649" w14:textId="77777777" w:rsidR="00141731" w:rsidRPr="00141731" w:rsidRDefault="00141731" w:rsidP="00141731">
      <w:pPr>
        <w:pStyle w:val="acthead5"/>
        <w:shd w:val="clear" w:color="auto" w:fill="FFFFFF"/>
        <w:spacing w:before="0" w:beforeAutospacing="0" w:after="60" w:afterAutospacing="0"/>
        <w:ind w:left="1134" w:hanging="1134"/>
        <w:rPr>
          <w:rFonts w:asciiTheme="minorHAnsi" w:hAnsiTheme="minorHAnsi" w:cstheme="minorHAnsi"/>
          <w:b/>
          <w:bCs/>
          <w:color w:val="000000"/>
          <w:sz w:val="20"/>
          <w:szCs w:val="20"/>
        </w:rPr>
      </w:pPr>
      <w:bookmarkStart w:id="657" w:name="_Toc479168217"/>
      <w:r w:rsidRPr="00141731">
        <w:rPr>
          <w:rStyle w:val="charsectno"/>
          <w:rFonts w:asciiTheme="minorHAnsi" w:hAnsiTheme="minorHAnsi" w:cstheme="minorHAnsi"/>
          <w:b/>
          <w:bCs/>
          <w:color w:val="000000"/>
          <w:sz w:val="20"/>
          <w:szCs w:val="20"/>
        </w:rPr>
        <w:t>4</w:t>
      </w:r>
      <w:r w:rsidRPr="00141731">
        <w:rPr>
          <w:rFonts w:asciiTheme="minorHAnsi" w:hAnsiTheme="minorHAnsi" w:cstheme="minorHAnsi"/>
          <w:b/>
          <w:bCs/>
          <w:color w:val="000000"/>
          <w:sz w:val="20"/>
          <w:szCs w:val="20"/>
        </w:rPr>
        <w:t>  Events or events of a kind the televising of which should be available free to the general public</w:t>
      </w:r>
      <w:bookmarkEnd w:id="657"/>
    </w:p>
    <w:p w14:paraId="141B43B6" w14:textId="6ABA140F" w:rsidR="00141731" w:rsidRPr="00141731" w:rsidRDefault="00141731" w:rsidP="00D05218">
      <w:pPr>
        <w:pStyle w:val="subsection"/>
        <w:shd w:val="clear" w:color="auto" w:fill="FFFFFF"/>
        <w:spacing w:before="0" w:beforeAutospacing="0" w:after="60" w:afterAutospacing="0"/>
        <w:ind w:left="907"/>
        <w:rPr>
          <w:rFonts w:asciiTheme="minorHAnsi" w:hAnsiTheme="minorHAnsi" w:cstheme="minorHAnsi"/>
          <w:color w:val="000000"/>
          <w:sz w:val="20"/>
          <w:szCs w:val="20"/>
        </w:rPr>
      </w:pPr>
      <w:r w:rsidRPr="00141731">
        <w:rPr>
          <w:rFonts w:asciiTheme="minorHAnsi" w:hAnsiTheme="minorHAnsi" w:cstheme="minorHAnsi"/>
          <w:color w:val="000000"/>
          <w:sz w:val="20"/>
          <w:szCs w:val="20"/>
        </w:rPr>
        <w:t>The events specified in the Schedule are events, or events of a kind, the televising of which should, in my opinion, be available free to the general public.</w:t>
      </w:r>
    </w:p>
    <w:p w14:paraId="750153E3" w14:textId="77777777" w:rsidR="00141731" w:rsidRPr="00F052B5" w:rsidRDefault="00141731" w:rsidP="00F052B5">
      <w:pPr>
        <w:spacing w:before="0" w:after="0"/>
        <w:rPr>
          <w:rFonts w:cstheme="minorHAnsi"/>
          <w:sz w:val="16"/>
          <w:szCs w:val="16"/>
        </w:rPr>
      </w:pPr>
    </w:p>
    <w:p w14:paraId="4EFC2333" w14:textId="77777777" w:rsidR="00141731" w:rsidRPr="00141731" w:rsidRDefault="00141731" w:rsidP="00141731">
      <w:pPr>
        <w:pStyle w:val="acthead1"/>
        <w:shd w:val="clear" w:color="auto" w:fill="FFFFFF"/>
        <w:spacing w:before="0" w:beforeAutospacing="0" w:after="60" w:afterAutospacing="0"/>
        <w:ind w:left="1134" w:hanging="1134"/>
        <w:rPr>
          <w:rFonts w:asciiTheme="minorHAnsi" w:hAnsiTheme="minorHAnsi" w:cstheme="minorHAnsi"/>
          <w:b/>
          <w:bCs/>
          <w:color w:val="000000"/>
          <w:sz w:val="22"/>
          <w:szCs w:val="22"/>
        </w:rPr>
      </w:pPr>
      <w:bookmarkStart w:id="658" w:name="_Toc479168218"/>
      <w:r w:rsidRPr="00141731">
        <w:rPr>
          <w:rStyle w:val="charchapno"/>
          <w:rFonts w:asciiTheme="minorHAnsi" w:hAnsiTheme="minorHAnsi" w:cstheme="minorHAnsi"/>
          <w:b/>
          <w:bCs/>
          <w:color w:val="000000"/>
          <w:sz w:val="22"/>
          <w:szCs w:val="22"/>
        </w:rPr>
        <w:t>Schedule</w:t>
      </w:r>
      <w:bookmarkEnd w:id="658"/>
    </w:p>
    <w:p w14:paraId="39DF3F8F" w14:textId="77777777" w:rsidR="00141731" w:rsidRPr="00141731" w:rsidRDefault="00141731" w:rsidP="00141731">
      <w:pPr>
        <w:pStyle w:val="acthead5"/>
        <w:shd w:val="clear" w:color="auto" w:fill="FFFFFF"/>
        <w:spacing w:before="0" w:beforeAutospacing="0" w:after="60" w:afterAutospacing="0"/>
        <w:ind w:left="1134" w:hanging="1134"/>
        <w:rPr>
          <w:rFonts w:asciiTheme="minorHAnsi" w:hAnsiTheme="minorHAnsi" w:cstheme="minorHAnsi"/>
          <w:b/>
          <w:bCs/>
          <w:color w:val="000000"/>
          <w:sz w:val="20"/>
          <w:szCs w:val="20"/>
        </w:rPr>
      </w:pPr>
      <w:bookmarkStart w:id="659" w:name="_Toc496082849"/>
      <w:bookmarkStart w:id="660" w:name="f_Check_Lines_below"/>
      <w:bookmarkEnd w:id="659"/>
      <w:bookmarkEnd w:id="660"/>
      <w:r w:rsidRPr="00141731">
        <w:rPr>
          <w:rStyle w:val="charsectno"/>
          <w:rFonts w:asciiTheme="minorHAnsi" w:hAnsiTheme="minorHAnsi" w:cstheme="minorHAnsi"/>
          <w:b/>
          <w:bCs/>
          <w:color w:val="000000"/>
          <w:sz w:val="20"/>
          <w:szCs w:val="20"/>
        </w:rPr>
        <w:t>1</w:t>
      </w:r>
      <w:r w:rsidRPr="00141731">
        <w:rPr>
          <w:rFonts w:asciiTheme="minorHAnsi" w:hAnsiTheme="minorHAnsi" w:cstheme="minorHAnsi"/>
          <w:b/>
          <w:bCs/>
          <w:color w:val="000000"/>
          <w:sz w:val="20"/>
          <w:szCs w:val="20"/>
        </w:rPr>
        <w:t>  Olympic Games</w:t>
      </w:r>
    </w:p>
    <w:p w14:paraId="4496173B" w14:textId="77777777" w:rsidR="00141731" w:rsidRPr="00141731" w:rsidRDefault="00141731" w:rsidP="00F052B5">
      <w:pPr>
        <w:pStyle w:val="subsection"/>
        <w:shd w:val="clear" w:color="auto" w:fill="FFFFFF"/>
        <w:spacing w:before="0" w:beforeAutospacing="0" w:after="40" w:afterAutospacing="0"/>
        <w:ind w:left="907" w:hanging="340"/>
        <w:rPr>
          <w:rFonts w:asciiTheme="minorHAnsi" w:hAnsiTheme="minorHAnsi" w:cstheme="minorHAnsi"/>
          <w:color w:val="000000"/>
          <w:sz w:val="20"/>
          <w:szCs w:val="20"/>
        </w:rPr>
      </w:pPr>
      <w:r w:rsidRPr="00141731">
        <w:rPr>
          <w:rFonts w:asciiTheme="minorHAnsi" w:hAnsiTheme="minorHAnsi" w:cstheme="minorHAnsi"/>
          <w:color w:val="000000"/>
          <w:sz w:val="20"/>
          <w:szCs w:val="20"/>
        </w:rPr>
        <w:t>(1)  Each event held as part of the Summer Olympic Games, including the Opening Ceremony and the Closing Ceremony.</w:t>
      </w:r>
    </w:p>
    <w:p w14:paraId="4D061ACF" w14:textId="77777777" w:rsidR="00141731" w:rsidRPr="00141731" w:rsidRDefault="00141731" w:rsidP="00F052B5">
      <w:pPr>
        <w:pStyle w:val="subsection"/>
        <w:shd w:val="clear" w:color="auto" w:fill="FFFFFF"/>
        <w:spacing w:before="0" w:beforeAutospacing="0" w:after="40" w:afterAutospacing="0"/>
        <w:ind w:left="907" w:hanging="340"/>
        <w:rPr>
          <w:rFonts w:asciiTheme="minorHAnsi" w:hAnsiTheme="minorHAnsi" w:cstheme="minorHAnsi"/>
          <w:color w:val="000000"/>
          <w:sz w:val="20"/>
          <w:szCs w:val="20"/>
        </w:rPr>
      </w:pPr>
      <w:r w:rsidRPr="00141731">
        <w:rPr>
          <w:rFonts w:asciiTheme="minorHAnsi" w:hAnsiTheme="minorHAnsi" w:cstheme="minorHAnsi"/>
          <w:color w:val="000000"/>
          <w:sz w:val="20"/>
          <w:szCs w:val="20"/>
        </w:rPr>
        <w:t>(2)  Each event held as part of the Winter Olympic Games, including the Opening Ceremony and the Closing Ceremony.</w:t>
      </w:r>
    </w:p>
    <w:p w14:paraId="7E3F5202" w14:textId="77777777" w:rsidR="00141731" w:rsidRPr="00141731" w:rsidRDefault="00141731" w:rsidP="00141731">
      <w:pPr>
        <w:pStyle w:val="acthead5"/>
        <w:shd w:val="clear" w:color="auto" w:fill="FFFFFF"/>
        <w:spacing w:before="0" w:beforeAutospacing="0" w:after="60" w:afterAutospacing="0"/>
        <w:ind w:left="1134" w:hanging="1134"/>
        <w:rPr>
          <w:rFonts w:asciiTheme="minorHAnsi" w:hAnsiTheme="minorHAnsi" w:cstheme="minorHAnsi"/>
          <w:b/>
          <w:bCs/>
          <w:color w:val="000000"/>
          <w:sz w:val="20"/>
          <w:szCs w:val="20"/>
        </w:rPr>
      </w:pPr>
      <w:bookmarkStart w:id="661" w:name="_Toc496082850"/>
      <w:r w:rsidRPr="00141731">
        <w:rPr>
          <w:rStyle w:val="charsectno"/>
          <w:rFonts w:asciiTheme="minorHAnsi" w:hAnsiTheme="minorHAnsi" w:cstheme="minorHAnsi"/>
          <w:b/>
          <w:bCs/>
          <w:color w:val="000000"/>
          <w:sz w:val="20"/>
          <w:szCs w:val="20"/>
        </w:rPr>
        <w:t>2</w:t>
      </w:r>
      <w:r w:rsidRPr="00141731">
        <w:rPr>
          <w:rFonts w:asciiTheme="minorHAnsi" w:hAnsiTheme="minorHAnsi" w:cstheme="minorHAnsi"/>
          <w:b/>
          <w:bCs/>
          <w:color w:val="000000"/>
          <w:sz w:val="20"/>
          <w:szCs w:val="20"/>
        </w:rPr>
        <w:t>  Commonwealth Games</w:t>
      </w:r>
      <w:bookmarkEnd w:id="661"/>
    </w:p>
    <w:p w14:paraId="5E3A1C9F" w14:textId="434DFB46" w:rsidR="00141731" w:rsidRPr="00141731" w:rsidRDefault="00141731" w:rsidP="00D05218">
      <w:pPr>
        <w:pStyle w:val="subsection"/>
        <w:shd w:val="clear" w:color="auto" w:fill="FFFFFF"/>
        <w:spacing w:before="0" w:beforeAutospacing="0" w:after="60" w:afterAutospacing="0"/>
        <w:ind w:left="907"/>
        <w:rPr>
          <w:rFonts w:asciiTheme="minorHAnsi" w:hAnsiTheme="minorHAnsi" w:cstheme="minorHAnsi"/>
          <w:color w:val="000000"/>
          <w:sz w:val="20"/>
          <w:szCs w:val="20"/>
        </w:rPr>
      </w:pPr>
      <w:r w:rsidRPr="00141731">
        <w:rPr>
          <w:rFonts w:asciiTheme="minorHAnsi" w:hAnsiTheme="minorHAnsi" w:cstheme="minorHAnsi"/>
          <w:color w:val="000000"/>
          <w:sz w:val="20"/>
          <w:szCs w:val="20"/>
        </w:rPr>
        <w:t>Each event held as part of the Commonwealth Games, including the Opening Ceremony and the Closing Ceremony.</w:t>
      </w:r>
    </w:p>
    <w:p w14:paraId="7668F060" w14:textId="77777777" w:rsidR="00141731" w:rsidRPr="00141731" w:rsidRDefault="00141731" w:rsidP="00141731">
      <w:pPr>
        <w:pStyle w:val="acthead5"/>
        <w:shd w:val="clear" w:color="auto" w:fill="FFFFFF"/>
        <w:spacing w:before="0" w:beforeAutospacing="0" w:after="60" w:afterAutospacing="0"/>
        <w:ind w:left="1134" w:hanging="1134"/>
        <w:rPr>
          <w:rFonts w:asciiTheme="minorHAnsi" w:hAnsiTheme="minorHAnsi" w:cstheme="minorHAnsi"/>
          <w:b/>
          <w:bCs/>
          <w:color w:val="000000"/>
          <w:sz w:val="20"/>
          <w:szCs w:val="20"/>
        </w:rPr>
      </w:pPr>
      <w:bookmarkStart w:id="662" w:name="_Toc496082851"/>
      <w:r w:rsidRPr="00141731">
        <w:rPr>
          <w:rStyle w:val="charsectno"/>
          <w:rFonts w:asciiTheme="minorHAnsi" w:hAnsiTheme="minorHAnsi" w:cstheme="minorHAnsi"/>
          <w:b/>
          <w:bCs/>
          <w:color w:val="000000"/>
          <w:sz w:val="20"/>
          <w:szCs w:val="20"/>
        </w:rPr>
        <w:t>3</w:t>
      </w:r>
      <w:r w:rsidRPr="00141731">
        <w:rPr>
          <w:rFonts w:asciiTheme="minorHAnsi" w:hAnsiTheme="minorHAnsi" w:cstheme="minorHAnsi"/>
          <w:b/>
          <w:bCs/>
          <w:color w:val="000000"/>
          <w:sz w:val="20"/>
          <w:szCs w:val="20"/>
        </w:rPr>
        <w:t>  Horse racing</w:t>
      </w:r>
      <w:bookmarkEnd w:id="662"/>
    </w:p>
    <w:p w14:paraId="32DA934E" w14:textId="4FA9F5FC" w:rsidR="00141731" w:rsidRPr="00141731" w:rsidRDefault="00141731" w:rsidP="00D05218">
      <w:pPr>
        <w:pStyle w:val="subsection"/>
        <w:shd w:val="clear" w:color="auto" w:fill="FFFFFF"/>
        <w:spacing w:before="0" w:beforeAutospacing="0" w:after="60" w:afterAutospacing="0"/>
        <w:ind w:left="907"/>
        <w:rPr>
          <w:rFonts w:asciiTheme="minorHAnsi" w:hAnsiTheme="minorHAnsi" w:cstheme="minorHAnsi"/>
          <w:color w:val="000000"/>
          <w:sz w:val="20"/>
          <w:szCs w:val="20"/>
        </w:rPr>
      </w:pPr>
      <w:r w:rsidRPr="00141731">
        <w:rPr>
          <w:rFonts w:asciiTheme="minorHAnsi" w:hAnsiTheme="minorHAnsi" w:cstheme="minorHAnsi"/>
          <w:color w:val="000000"/>
          <w:sz w:val="20"/>
          <w:szCs w:val="20"/>
        </w:rPr>
        <w:t>Each running of the Melbourne Cup organised by the Victoria Racing Club.</w:t>
      </w:r>
    </w:p>
    <w:p w14:paraId="0651D7B4" w14:textId="77777777" w:rsidR="00141731" w:rsidRPr="00141731" w:rsidRDefault="00141731" w:rsidP="00141731">
      <w:pPr>
        <w:pStyle w:val="acthead5"/>
        <w:shd w:val="clear" w:color="auto" w:fill="FFFFFF"/>
        <w:spacing w:before="0" w:beforeAutospacing="0" w:after="60" w:afterAutospacing="0"/>
        <w:ind w:left="1134" w:hanging="1134"/>
        <w:rPr>
          <w:rFonts w:asciiTheme="minorHAnsi" w:hAnsiTheme="minorHAnsi" w:cstheme="minorHAnsi"/>
          <w:b/>
          <w:bCs/>
          <w:color w:val="000000"/>
          <w:sz w:val="20"/>
          <w:szCs w:val="20"/>
        </w:rPr>
      </w:pPr>
      <w:bookmarkStart w:id="663" w:name="_Toc496082852"/>
      <w:r w:rsidRPr="00141731">
        <w:rPr>
          <w:rStyle w:val="charsectno"/>
          <w:rFonts w:asciiTheme="minorHAnsi" w:hAnsiTheme="minorHAnsi" w:cstheme="minorHAnsi"/>
          <w:b/>
          <w:bCs/>
          <w:color w:val="000000"/>
          <w:sz w:val="20"/>
          <w:szCs w:val="20"/>
        </w:rPr>
        <w:t>4</w:t>
      </w:r>
      <w:r w:rsidRPr="00141731">
        <w:rPr>
          <w:rFonts w:asciiTheme="minorHAnsi" w:hAnsiTheme="minorHAnsi" w:cstheme="minorHAnsi"/>
          <w:b/>
          <w:bCs/>
          <w:color w:val="000000"/>
          <w:sz w:val="20"/>
          <w:szCs w:val="20"/>
        </w:rPr>
        <w:t>  Australian rules football</w:t>
      </w:r>
      <w:bookmarkEnd w:id="663"/>
    </w:p>
    <w:p w14:paraId="0CCCC8FE" w14:textId="2E307900" w:rsidR="00141731" w:rsidRPr="00141731" w:rsidRDefault="00141731" w:rsidP="00D05218">
      <w:pPr>
        <w:pStyle w:val="subsection"/>
        <w:shd w:val="clear" w:color="auto" w:fill="FFFFFF"/>
        <w:spacing w:before="0" w:beforeAutospacing="0" w:after="60" w:afterAutospacing="0"/>
        <w:ind w:left="907"/>
        <w:rPr>
          <w:rFonts w:asciiTheme="minorHAnsi" w:hAnsiTheme="minorHAnsi" w:cstheme="minorHAnsi"/>
          <w:color w:val="000000"/>
          <w:sz w:val="20"/>
          <w:szCs w:val="20"/>
        </w:rPr>
      </w:pPr>
      <w:r w:rsidRPr="00141731">
        <w:rPr>
          <w:rFonts w:asciiTheme="minorHAnsi" w:hAnsiTheme="minorHAnsi" w:cstheme="minorHAnsi"/>
          <w:color w:val="000000"/>
          <w:sz w:val="20"/>
          <w:szCs w:val="20"/>
        </w:rPr>
        <w:t>Each match in the Australian Football League Premiership competition (including the Finals Series).</w:t>
      </w:r>
    </w:p>
    <w:p w14:paraId="27477F62" w14:textId="77777777" w:rsidR="00141731" w:rsidRPr="00141731" w:rsidRDefault="00141731" w:rsidP="00141731">
      <w:pPr>
        <w:pStyle w:val="acthead5"/>
        <w:shd w:val="clear" w:color="auto" w:fill="FFFFFF"/>
        <w:spacing w:before="0" w:beforeAutospacing="0" w:after="60" w:afterAutospacing="0"/>
        <w:ind w:left="1134" w:hanging="1134"/>
        <w:rPr>
          <w:rFonts w:asciiTheme="minorHAnsi" w:hAnsiTheme="minorHAnsi" w:cstheme="minorHAnsi"/>
          <w:b/>
          <w:bCs/>
          <w:color w:val="000000"/>
          <w:sz w:val="20"/>
          <w:szCs w:val="20"/>
        </w:rPr>
      </w:pPr>
      <w:bookmarkStart w:id="664" w:name="_Toc496082853"/>
      <w:r w:rsidRPr="00141731">
        <w:rPr>
          <w:rStyle w:val="charsectno"/>
          <w:rFonts w:asciiTheme="minorHAnsi" w:hAnsiTheme="minorHAnsi" w:cstheme="minorHAnsi"/>
          <w:b/>
          <w:bCs/>
          <w:color w:val="000000"/>
          <w:sz w:val="20"/>
          <w:szCs w:val="20"/>
        </w:rPr>
        <w:t>5</w:t>
      </w:r>
      <w:r w:rsidRPr="00141731">
        <w:rPr>
          <w:rFonts w:asciiTheme="minorHAnsi" w:hAnsiTheme="minorHAnsi" w:cstheme="minorHAnsi"/>
          <w:b/>
          <w:bCs/>
          <w:color w:val="000000"/>
          <w:sz w:val="20"/>
          <w:szCs w:val="20"/>
        </w:rPr>
        <w:t>  Rugby league football</w:t>
      </w:r>
      <w:bookmarkEnd w:id="664"/>
    </w:p>
    <w:p w14:paraId="7CEE9489" w14:textId="1BFB0FBF" w:rsidR="00141731" w:rsidRPr="00141731" w:rsidRDefault="00141731" w:rsidP="00F052B5">
      <w:pPr>
        <w:pStyle w:val="subsection"/>
        <w:shd w:val="clear" w:color="auto" w:fill="FFFFFF"/>
        <w:spacing w:before="0" w:beforeAutospacing="0" w:after="40" w:afterAutospacing="0"/>
        <w:ind w:left="907" w:hanging="340"/>
        <w:rPr>
          <w:rFonts w:asciiTheme="minorHAnsi" w:hAnsiTheme="minorHAnsi" w:cstheme="minorHAnsi"/>
          <w:color w:val="000000"/>
          <w:sz w:val="20"/>
          <w:szCs w:val="20"/>
        </w:rPr>
      </w:pPr>
      <w:r w:rsidRPr="00141731">
        <w:rPr>
          <w:rFonts w:asciiTheme="minorHAnsi" w:hAnsiTheme="minorHAnsi" w:cstheme="minorHAnsi"/>
          <w:color w:val="000000"/>
          <w:sz w:val="20"/>
          <w:szCs w:val="20"/>
        </w:rPr>
        <w:t>(1)  Each match in the National Rugby League Premiership competition (including the Finals Series).</w:t>
      </w:r>
    </w:p>
    <w:p w14:paraId="67C545FA" w14:textId="18E0EA35" w:rsidR="00141731" w:rsidRPr="00141731" w:rsidRDefault="00141731" w:rsidP="00F052B5">
      <w:pPr>
        <w:pStyle w:val="subsection"/>
        <w:shd w:val="clear" w:color="auto" w:fill="FFFFFF"/>
        <w:spacing w:before="0" w:beforeAutospacing="0" w:after="40" w:afterAutospacing="0"/>
        <w:ind w:left="907" w:hanging="340"/>
        <w:rPr>
          <w:rFonts w:asciiTheme="minorHAnsi" w:hAnsiTheme="minorHAnsi" w:cstheme="minorHAnsi"/>
          <w:color w:val="000000"/>
          <w:sz w:val="20"/>
          <w:szCs w:val="20"/>
        </w:rPr>
      </w:pPr>
      <w:r w:rsidRPr="00141731">
        <w:rPr>
          <w:rFonts w:asciiTheme="minorHAnsi" w:hAnsiTheme="minorHAnsi" w:cstheme="minorHAnsi"/>
          <w:color w:val="000000"/>
          <w:sz w:val="20"/>
          <w:szCs w:val="20"/>
        </w:rPr>
        <w:t>(2)  Each match in the National Rugby League State of Origin Series.</w:t>
      </w:r>
    </w:p>
    <w:p w14:paraId="161A6B8E" w14:textId="36BFCF17" w:rsidR="00141731" w:rsidRPr="00141731" w:rsidRDefault="00141731" w:rsidP="00F052B5">
      <w:pPr>
        <w:pStyle w:val="subsection"/>
        <w:shd w:val="clear" w:color="auto" w:fill="FFFFFF"/>
        <w:spacing w:before="0" w:beforeAutospacing="0" w:after="40" w:afterAutospacing="0"/>
        <w:ind w:left="907" w:hanging="340"/>
        <w:rPr>
          <w:rFonts w:asciiTheme="minorHAnsi" w:hAnsiTheme="minorHAnsi" w:cstheme="minorHAnsi"/>
          <w:color w:val="000000"/>
          <w:sz w:val="20"/>
          <w:szCs w:val="20"/>
        </w:rPr>
      </w:pPr>
      <w:r w:rsidRPr="00141731">
        <w:rPr>
          <w:rFonts w:asciiTheme="minorHAnsi" w:hAnsiTheme="minorHAnsi" w:cstheme="minorHAnsi"/>
          <w:color w:val="000000"/>
          <w:sz w:val="20"/>
          <w:szCs w:val="20"/>
        </w:rPr>
        <w:t>(3)  Each international rugby league test match that:</w:t>
      </w:r>
    </w:p>
    <w:p w14:paraId="0E9CD100" w14:textId="76D67280" w:rsidR="00141731" w:rsidRPr="00141731" w:rsidRDefault="00141731" w:rsidP="00D05218">
      <w:pPr>
        <w:pStyle w:val="subsection"/>
        <w:shd w:val="clear" w:color="auto" w:fill="FFFFFF"/>
        <w:spacing w:before="0" w:beforeAutospacing="0" w:after="60" w:afterAutospacing="0"/>
        <w:ind w:left="907"/>
        <w:rPr>
          <w:rFonts w:asciiTheme="minorHAnsi" w:hAnsiTheme="minorHAnsi" w:cstheme="minorHAnsi"/>
          <w:color w:val="000000"/>
          <w:sz w:val="20"/>
          <w:szCs w:val="20"/>
        </w:rPr>
      </w:pPr>
      <w:r w:rsidRPr="00141731">
        <w:rPr>
          <w:rFonts w:asciiTheme="minorHAnsi" w:hAnsiTheme="minorHAnsi" w:cstheme="minorHAnsi"/>
          <w:color w:val="000000"/>
          <w:sz w:val="20"/>
          <w:szCs w:val="20"/>
        </w:rPr>
        <w:t>(a)  involves the senior Australian representative team; and</w:t>
      </w:r>
    </w:p>
    <w:p w14:paraId="310A9922" w14:textId="106EFD9E" w:rsidR="00141731" w:rsidRPr="00141731" w:rsidRDefault="00141731" w:rsidP="00D05218">
      <w:pPr>
        <w:pStyle w:val="subsection"/>
        <w:shd w:val="clear" w:color="auto" w:fill="FFFFFF"/>
        <w:spacing w:before="0" w:beforeAutospacing="0" w:after="60" w:afterAutospacing="0"/>
        <w:ind w:left="907"/>
        <w:rPr>
          <w:rFonts w:asciiTheme="minorHAnsi" w:hAnsiTheme="minorHAnsi" w:cstheme="minorHAnsi"/>
          <w:color w:val="000000"/>
          <w:sz w:val="20"/>
          <w:szCs w:val="20"/>
        </w:rPr>
      </w:pPr>
      <w:r w:rsidRPr="00141731">
        <w:rPr>
          <w:rFonts w:asciiTheme="minorHAnsi" w:hAnsiTheme="minorHAnsi" w:cstheme="minorHAnsi"/>
          <w:color w:val="000000"/>
          <w:sz w:val="20"/>
          <w:szCs w:val="20"/>
        </w:rPr>
        <w:t>(b)  is played in Australia or New Zealand.</w:t>
      </w:r>
    </w:p>
    <w:p w14:paraId="7EA186AA" w14:textId="3E0B6E99" w:rsidR="00141731" w:rsidRPr="00141731" w:rsidRDefault="00141731" w:rsidP="00F052B5">
      <w:pPr>
        <w:pStyle w:val="subsection"/>
        <w:shd w:val="clear" w:color="auto" w:fill="FFFFFF"/>
        <w:spacing w:before="0" w:beforeAutospacing="0" w:after="40" w:afterAutospacing="0"/>
        <w:ind w:left="907" w:hanging="340"/>
        <w:rPr>
          <w:rFonts w:asciiTheme="minorHAnsi" w:hAnsiTheme="minorHAnsi" w:cstheme="minorHAnsi"/>
          <w:color w:val="000000"/>
          <w:sz w:val="20"/>
          <w:szCs w:val="20"/>
        </w:rPr>
      </w:pPr>
      <w:r w:rsidRPr="00141731">
        <w:rPr>
          <w:rFonts w:asciiTheme="minorHAnsi" w:hAnsiTheme="minorHAnsi" w:cstheme="minorHAnsi"/>
          <w:color w:val="000000"/>
          <w:sz w:val="20"/>
          <w:szCs w:val="20"/>
        </w:rPr>
        <w:t>(4)  Each match of the Rugby League World Cup that:</w:t>
      </w:r>
    </w:p>
    <w:p w14:paraId="15B81561" w14:textId="4F97356A" w:rsidR="00141731" w:rsidRPr="00141731" w:rsidRDefault="00141731" w:rsidP="00D05218">
      <w:pPr>
        <w:pStyle w:val="subsection"/>
        <w:shd w:val="clear" w:color="auto" w:fill="FFFFFF"/>
        <w:spacing w:before="0" w:beforeAutospacing="0" w:after="60" w:afterAutospacing="0"/>
        <w:ind w:left="907"/>
        <w:rPr>
          <w:rFonts w:asciiTheme="minorHAnsi" w:hAnsiTheme="minorHAnsi" w:cstheme="minorHAnsi"/>
          <w:color w:val="000000"/>
          <w:sz w:val="20"/>
          <w:szCs w:val="20"/>
        </w:rPr>
      </w:pPr>
      <w:r w:rsidRPr="00141731">
        <w:rPr>
          <w:rFonts w:asciiTheme="minorHAnsi" w:hAnsiTheme="minorHAnsi" w:cstheme="minorHAnsi"/>
          <w:color w:val="000000"/>
          <w:sz w:val="20"/>
          <w:szCs w:val="20"/>
        </w:rPr>
        <w:t>(a)  involves the senior Australian representative team; and</w:t>
      </w:r>
    </w:p>
    <w:p w14:paraId="5218FA30" w14:textId="672FC301" w:rsidR="00141731" w:rsidRPr="00141731" w:rsidRDefault="00141731" w:rsidP="00D05218">
      <w:pPr>
        <w:pStyle w:val="subsection"/>
        <w:shd w:val="clear" w:color="auto" w:fill="FFFFFF"/>
        <w:spacing w:before="0" w:beforeAutospacing="0" w:after="60" w:afterAutospacing="0"/>
        <w:ind w:left="907"/>
        <w:rPr>
          <w:rFonts w:asciiTheme="minorHAnsi" w:hAnsiTheme="minorHAnsi" w:cstheme="minorHAnsi"/>
          <w:color w:val="000000"/>
          <w:sz w:val="20"/>
          <w:szCs w:val="20"/>
        </w:rPr>
      </w:pPr>
      <w:r w:rsidRPr="00141731">
        <w:rPr>
          <w:rFonts w:asciiTheme="minorHAnsi" w:hAnsiTheme="minorHAnsi" w:cstheme="minorHAnsi"/>
          <w:color w:val="000000"/>
          <w:sz w:val="20"/>
          <w:szCs w:val="20"/>
        </w:rPr>
        <w:t>(b)  is played in Australia, New Zealand or Papua New Guinea.</w:t>
      </w:r>
    </w:p>
    <w:p w14:paraId="2342D603" w14:textId="77777777" w:rsidR="00141731" w:rsidRPr="00141731" w:rsidRDefault="00141731" w:rsidP="00141731">
      <w:pPr>
        <w:pStyle w:val="acthead5"/>
        <w:shd w:val="clear" w:color="auto" w:fill="FFFFFF"/>
        <w:spacing w:before="0" w:beforeAutospacing="0" w:after="60" w:afterAutospacing="0"/>
        <w:ind w:left="1134" w:hanging="1134"/>
        <w:rPr>
          <w:rFonts w:asciiTheme="minorHAnsi" w:hAnsiTheme="minorHAnsi" w:cstheme="minorHAnsi"/>
          <w:b/>
          <w:bCs/>
          <w:color w:val="000000"/>
          <w:sz w:val="20"/>
          <w:szCs w:val="20"/>
        </w:rPr>
      </w:pPr>
      <w:bookmarkStart w:id="665" w:name="_Toc496082854"/>
      <w:r w:rsidRPr="00141731">
        <w:rPr>
          <w:rStyle w:val="charsectno"/>
          <w:rFonts w:asciiTheme="minorHAnsi" w:hAnsiTheme="minorHAnsi" w:cstheme="minorHAnsi"/>
          <w:b/>
          <w:bCs/>
          <w:color w:val="000000"/>
          <w:sz w:val="20"/>
          <w:szCs w:val="20"/>
        </w:rPr>
        <w:t>6</w:t>
      </w:r>
      <w:r w:rsidRPr="00141731">
        <w:rPr>
          <w:rFonts w:asciiTheme="minorHAnsi" w:hAnsiTheme="minorHAnsi" w:cstheme="minorHAnsi"/>
          <w:b/>
          <w:bCs/>
          <w:color w:val="000000"/>
          <w:sz w:val="20"/>
          <w:szCs w:val="20"/>
        </w:rPr>
        <w:t>  Rugby union football</w:t>
      </w:r>
      <w:bookmarkEnd w:id="665"/>
    </w:p>
    <w:p w14:paraId="5618EB02" w14:textId="34C64C6D" w:rsidR="00141731" w:rsidRPr="00141731" w:rsidRDefault="00141731" w:rsidP="00F051A5">
      <w:pPr>
        <w:pStyle w:val="subsection"/>
        <w:shd w:val="clear" w:color="auto" w:fill="FFFFFF"/>
        <w:spacing w:before="0" w:beforeAutospacing="0" w:after="40" w:afterAutospacing="0"/>
        <w:ind w:left="907" w:hanging="340"/>
        <w:rPr>
          <w:rFonts w:asciiTheme="minorHAnsi" w:hAnsiTheme="minorHAnsi" w:cstheme="minorHAnsi"/>
          <w:color w:val="000000"/>
          <w:sz w:val="20"/>
          <w:szCs w:val="20"/>
        </w:rPr>
      </w:pPr>
      <w:r w:rsidRPr="00141731">
        <w:rPr>
          <w:rFonts w:asciiTheme="minorHAnsi" w:hAnsiTheme="minorHAnsi" w:cstheme="minorHAnsi"/>
          <w:color w:val="000000"/>
          <w:sz w:val="20"/>
          <w:szCs w:val="20"/>
        </w:rPr>
        <w:t>(1)  Each international test match that:</w:t>
      </w:r>
    </w:p>
    <w:p w14:paraId="14FC953B" w14:textId="0E583D53" w:rsidR="00141731" w:rsidRPr="00141731" w:rsidRDefault="00141731" w:rsidP="00D05218">
      <w:pPr>
        <w:pStyle w:val="subsection"/>
        <w:shd w:val="clear" w:color="auto" w:fill="FFFFFF"/>
        <w:spacing w:before="0" w:beforeAutospacing="0" w:after="60" w:afterAutospacing="0"/>
        <w:ind w:left="907"/>
        <w:rPr>
          <w:rFonts w:asciiTheme="minorHAnsi" w:hAnsiTheme="minorHAnsi" w:cstheme="minorHAnsi"/>
          <w:color w:val="000000"/>
          <w:sz w:val="20"/>
          <w:szCs w:val="20"/>
        </w:rPr>
      </w:pPr>
      <w:r w:rsidRPr="00141731">
        <w:rPr>
          <w:rFonts w:asciiTheme="minorHAnsi" w:hAnsiTheme="minorHAnsi" w:cstheme="minorHAnsi"/>
          <w:color w:val="000000"/>
          <w:sz w:val="20"/>
          <w:szCs w:val="20"/>
        </w:rPr>
        <w:t>(a)  involves the senior Australian representative team selected by the Australian Rugby Union; and</w:t>
      </w:r>
    </w:p>
    <w:p w14:paraId="38F5A252" w14:textId="08611214" w:rsidR="00141731" w:rsidRPr="00141731" w:rsidRDefault="00141731" w:rsidP="00D05218">
      <w:pPr>
        <w:pStyle w:val="subsection"/>
        <w:shd w:val="clear" w:color="auto" w:fill="FFFFFF"/>
        <w:spacing w:before="0" w:beforeAutospacing="0" w:after="60" w:afterAutospacing="0"/>
        <w:ind w:left="907"/>
        <w:rPr>
          <w:rFonts w:asciiTheme="minorHAnsi" w:hAnsiTheme="minorHAnsi" w:cstheme="minorHAnsi"/>
          <w:color w:val="000000"/>
          <w:sz w:val="20"/>
          <w:szCs w:val="20"/>
        </w:rPr>
      </w:pPr>
      <w:r w:rsidRPr="00141731">
        <w:rPr>
          <w:rFonts w:asciiTheme="minorHAnsi" w:hAnsiTheme="minorHAnsi" w:cstheme="minorHAnsi"/>
          <w:color w:val="000000"/>
          <w:sz w:val="20"/>
          <w:szCs w:val="20"/>
        </w:rPr>
        <w:t>(b)  is played in Australia or New Zealand.</w:t>
      </w:r>
    </w:p>
    <w:p w14:paraId="4260EBDF" w14:textId="5A6D1432" w:rsidR="00141731" w:rsidRPr="00141731" w:rsidRDefault="00141731" w:rsidP="00F051A5">
      <w:pPr>
        <w:pStyle w:val="subsection"/>
        <w:shd w:val="clear" w:color="auto" w:fill="FFFFFF"/>
        <w:spacing w:before="0" w:beforeAutospacing="0" w:after="40" w:afterAutospacing="0"/>
        <w:ind w:left="907" w:hanging="340"/>
        <w:rPr>
          <w:rFonts w:asciiTheme="minorHAnsi" w:hAnsiTheme="minorHAnsi" w:cstheme="minorHAnsi"/>
          <w:color w:val="000000"/>
          <w:sz w:val="20"/>
          <w:szCs w:val="20"/>
        </w:rPr>
      </w:pPr>
      <w:r w:rsidRPr="00141731">
        <w:rPr>
          <w:rFonts w:asciiTheme="minorHAnsi" w:hAnsiTheme="minorHAnsi" w:cstheme="minorHAnsi"/>
          <w:color w:val="000000"/>
          <w:sz w:val="20"/>
          <w:szCs w:val="20"/>
        </w:rPr>
        <w:t>(2)  Each match of the Rugby World Cup tournament that involves the senior Australian representative team selected by the Australian Rugby Union.</w:t>
      </w:r>
    </w:p>
    <w:p w14:paraId="1B4599D0" w14:textId="4672B918" w:rsidR="00141731" w:rsidRPr="00141731" w:rsidRDefault="00141731" w:rsidP="00F051A5">
      <w:pPr>
        <w:pStyle w:val="subsection"/>
        <w:shd w:val="clear" w:color="auto" w:fill="FFFFFF"/>
        <w:spacing w:before="0" w:beforeAutospacing="0" w:after="40" w:afterAutospacing="0"/>
        <w:ind w:left="907" w:hanging="340"/>
        <w:rPr>
          <w:rFonts w:asciiTheme="minorHAnsi" w:hAnsiTheme="minorHAnsi" w:cstheme="minorHAnsi"/>
          <w:color w:val="000000"/>
          <w:sz w:val="20"/>
          <w:szCs w:val="20"/>
        </w:rPr>
      </w:pPr>
      <w:r w:rsidRPr="00141731">
        <w:rPr>
          <w:rFonts w:asciiTheme="minorHAnsi" w:hAnsiTheme="minorHAnsi" w:cstheme="minorHAnsi"/>
          <w:color w:val="000000"/>
          <w:sz w:val="20"/>
          <w:szCs w:val="20"/>
        </w:rPr>
        <w:t>(3)  The final of the Rugby World Cup tournament.</w:t>
      </w:r>
    </w:p>
    <w:p w14:paraId="582A8532" w14:textId="77777777" w:rsidR="00141731" w:rsidRPr="00141731" w:rsidRDefault="00141731" w:rsidP="00141731">
      <w:pPr>
        <w:pStyle w:val="acthead5"/>
        <w:shd w:val="clear" w:color="auto" w:fill="FFFFFF"/>
        <w:spacing w:before="0" w:beforeAutospacing="0" w:after="60" w:afterAutospacing="0"/>
        <w:ind w:left="1134" w:hanging="1134"/>
        <w:rPr>
          <w:rFonts w:asciiTheme="minorHAnsi" w:hAnsiTheme="minorHAnsi" w:cstheme="minorHAnsi"/>
          <w:b/>
          <w:bCs/>
          <w:color w:val="000000"/>
          <w:sz w:val="20"/>
          <w:szCs w:val="20"/>
        </w:rPr>
      </w:pPr>
      <w:bookmarkStart w:id="666" w:name="_Toc496082855"/>
      <w:r w:rsidRPr="00141731">
        <w:rPr>
          <w:rStyle w:val="charsectno"/>
          <w:rFonts w:asciiTheme="minorHAnsi" w:hAnsiTheme="minorHAnsi" w:cstheme="minorHAnsi"/>
          <w:b/>
          <w:bCs/>
          <w:color w:val="000000"/>
          <w:sz w:val="20"/>
          <w:szCs w:val="20"/>
        </w:rPr>
        <w:t>7</w:t>
      </w:r>
      <w:r w:rsidRPr="00141731">
        <w:rPr>
          <w:rFonts w:asciiTheme="minorHAnsi" w:hAnsiTheme="minorHAnsi" w:cstheme="minorHAnsi"/>
          <w:b/>
          <w:bCs/>
          <w:color w:val="000000"/>
          <w:sz w:val="20"/>
          <w:szCs w:val="20"/>
        </w:rPr>
        <w:t>  Cricket</w:t>
      </w:r>
      <w:bookmarkEnd w:id="666"/>
    </w:p>
    <w:p w14:paraId="7244B7B0" w14:textId="2F7BE3E8" w:rsidR="00141731" w:rsidRPr="00141731" w:rsidRDefault="00141731" w:rsidP="00F051A5">
      <w:pPr>
        <w:pStyle w:val="subsection"/>
        <w:shd w:val="clear" w:color="auto" w:fill="FFFFFF"/>
        <w:spacing w:before="0" w:beforeAutospacing="0" w:after="40" w:afterAutospacing="0"/>
        <w:ind w:left="907" w:hanging="340"/>
        <w:rPr>
          <w:rFonts w:asciiTheme="minorHAnsi" w:hAnsiTheme="minorHAnsi" w:cstheme="minorHAnsi"/>
          <w:color w:val="000000"/>
          <w:sz w:val="20"/>
          <w:szCs w:val="20"/>
        </w:rPr>
      </w:pPr>
      <w:r w:rsidRPr="00141731">
        <w:rPr>
          <w:rFonts w:asciiTheme="minorHAnsi" w:hAnsiTheme="minorHAnsi" w:cstheme="minorHAnsi"/>
          <w:color w:val="000000"/>
          <w:sz w:val="20"/>
          <w:szCs w:val="20"/>
        </w:rPr>
        <w:t>(1)  Each test match that:</w:t>
      </w:r>
    </w:p>
    <w:p w14:paraId="5147C3B0" w14:textId="2A524852" w:rsidR="00141731" w:rsidRPr="00141731" w:rsidRDefault="00141731" w:rsidP="00D05218">
      <w:pPr>
        <w:pStyle w:val="subsection"/>
        <w:shd w:val="clear" w:color="auto" w:fill="FFFFFF"/>
        <w:spacing w:before="0" w:beforeAutospacing="0" w:after="60" w:afterAutospacing="0"/>
        <w:ind w:left="907"/>
        <w:rPr>
          <w:rFonts w:asciiTheme="minorHAnsi" w:hAnsiTheme="minorHAnsi" w:cstheme="minorHAnsi"/>
          <w:color w:val="000000"/>
          <w:sz w:val="20"/>
          <w:szCs w:val="20"/>
        </w:rPr>
      </w:pPr>
      <w:r w:rsidRPr="00141731">
        <w:rPr>
          <w:rFonts w:asciiTheme="minorHAnsi" w:hAnsiTheme="minorHAnsi" w:cstheme="minorHAnsi"/>
          <w:color w:val="000000"/>
          <w:sz w:val="20"/>
          <w:szCs w:val="20"/>
        </w:rPr>
        <w:t>(a)  involves the senior Australian representative team selected by Cricket Australia; and</w:t>
      </w:r>
    </w:p>
    <w:p w14:paraId="492B0E61" w14:textId="3C07537C" w:rsidR="00141731" w:rsidRPr="00141731" w:rsidRDefault="00141731" w:rsidP="00D05218">
      <w:pPr>
        <w:pStyle w:val="subsection"/>
        <w:shd w:val="clear" w:color="auto" w:fill="FFFFFF"/>
        <w:spacing w:before="0" w:beforeAutospacing="0" w:after="60" w:afterAutospacing="0"/>
        <w:ind w:left="907"/>
        <w:rPr>
          <w:rFonts w:asciiTheme="minorHAnsi" w:hAnsiTheme="minorHAnsi" w:cstheme="minorHAnsi"/>
          <w:color w:val="000000"/>
          <w:sz w:val="20"/>
          <w:szCs w:val="20"/>
        </w:rPr>
      </w:pPr>
      <w:r w:rsidRPr="00141731">
        <w:rPr>
          <w:rFonts w:asciiTheme="minorHAnsi" w:hAnsiTheme="minorHAnsi" w:cstheme="minorHAnsi"/>
          <w:color w:val="000000"/>
          <w:sz w:val="20"/>
          <w:szCs w:val="20"/>
        </w:rPr>
        <w:t>(b)  is played in Australia.</w:t>
      </w:r>
    </w:p>
    <w:p w14:paraId="13D3781B" w14:textId="3E98512E" w:rsidR="00141731" w:rsidRPr="00141731" w:rsidRDefault="00141731" w:rsidP="00F051A5">
      <w:pPr>
        <w:pStyle w:val="subsection"/>
        <w:shd w:val="clear" w:color="auto" w:fill="FFFFFF"/>
        <w:spacing w:before="0" w:beforeAutospacing="0" w:after="40" w:afterAutospacing="0"/>
        <w:ind w:left="907" w:hanging="340"/>
        <w:rPr>
          <w:rFonts w:asciiTheme="minorHAnsi" w:hAnsiTheme="minorHAnsi" w:cstheme="minorHAnsi"/>
          <w:color w:val="000000"/>
          <w:sz w:val="20"/>
          <w:szCs w:val="20"/>
        </w:rPr>
      </w:pPr>
      <w:r w:rsidRPr="00141731">
        <w:rPr>
          <w:rFonts w:asciiTheme="minorHAnsi" w:hAnsiTheme="minorHAnsi" w:cstheme="minorHAnsi"/>
          <w:color w:val="000000"/>
          <w:sz w:val="20"/>
          <w:szCs w:val="20"/>
        </w:rPr>
        <w:t>(2)  Each test match that:</w:t>
      </w:r>
    </w:p>
    <w:p w14:paraId="32B3679F" w14:textId="2DAA57D6" w:rsidR="00141731" w:rsidRPr="00141731" w:rsidRDefault="00141731" w:rsidP="00D05218">
      <w:pPr>
        <w:pStyle w:val="subsection"/>
        <w:shd w:val="clear" w:color="auto" w:fill="FFFFFF"/>
        <w:spacing w:before="0" w:beforeAutospacing="0" w:after="60" w:afterAutospacing="0"/>
        <w:ind w:left="907"/>
        <w:rPr>
          <w:rFonts w:asciiTheme="minorHAnsi" w:hAnsiTheme="minorHAnsi" w:cstheme="minorHAnsi"/>
          <w:color w:val="000000"/>
          <w:sz w:val="20"/>
          <w:szCs w:val="20"/>
        </w:rPr>
      </w:pPr>
      <w:r w:rsidRPr="00141731">
        <w:rPr>
          <w:rFonts w:asciiTheme="minorHAnsi" w:hAnsiTheme="minorHAnsi" w:cstheme="minorHAnsi"/>
          <w:color w:val="000000"/>
          <w:sz w:val="20"/>
          <w:szCs w:val="20"/>
        </w:rPr>
        <w:t>(a)  involves both:</w:t>
      </w:r>
    </w:p>
    <w:p w14:paraId="279B0100" w14:textId="6C22A647" w:rsidR="00141731" w:rsidRPr="00141731" w:rsidRDefault="00141731" w:rsidP="00D05218">
      <w:pPr>
        <w:pStyle w:val="paragraphsub"/>
        <w:shd w:val="clear" w:color="auto" w:fill="FFFFFF"/>
        <w:spacing w:before="0" w:beforeAutospacing="0" w:after="40" w:afterAutospacing="0"/>
        <w:ind w:left="1134"/>
        <w:rPr>
          <w:rFonts w:asciiTheme="minorHAnsi" w:hAnsiTheme="minorHAnsi" w:cstheme="minorHAnsi"/>
          <w:color w:val="000000"/>
          <w:sz w:val="20"/>
          <w:szCs w:val="20"/>
        </w:rPr>
      </w:pPr>
      <w:r w:rsidRPr="00141731">
        <w:rPr>
          <w:rFonts w:asciiTheme="minorHAnsi" w:hAnsiTheme="minorHAnsi" w:cstheme="minorHAnsi"/>
          <w:color w:val="000000"/>
          <w:sz w:val="20"/>
          <w:szCs w:val="20"/>
        </w:rPr>
        <w:t>(i)  the senior Australian representative team selected by Cricket Australia; and</w:t>
      </w:r>
    </w:p>
    <w:p w14:paraId="0082265C" w14:textId="2642C2AD" w:rsidR="00141731" w:rsidRPr="00141731" w:rsidRDefault="00141731" w:rsidP="00D05218">
      <w:pPr>
        <w:pStyle w:val="paragraphsub"/>
        <w:shd w:val="clear" w:color="auto" w:fill="FFFFFF"/>
        <w:spacing w:before="0" w:beforeAutospacing="0" w:after="40" w:afterAutospacing="0"/>
        <w:ind w:left="1134"/>
        <w:rPr>
          <w:rFonts w:asciiTheme="minorHAnsi" w:hAnsiTheme="minorHAnsi" w:cstheme="minorHAnsi"/>
          <w:color w:val="000000"/>
          <w:sz w:val="20"/>
          <w:szCs w:val="20"/>
        </w:rPr>
      </w:pPr>
      <w:r w:rsidRPr="00141731">
        <w:rPr>
          <w:rFonts w:asciiTheme="minorHAnsi" w:hAnsiTheme="minorHAnsi" w:cstheme="minorHAnsi"/>
          <w:color w:val="000000"/>
          <w:sz w:val="20"/>
          <w:szCs w:val="20"/>
        </w:rPr>
        <w:t>(ii)  the senior English representative team; and</w:t>
      </w:r>
    </w:p>
    <w:p w14:paraId="1C06443B" w14:textId="62CBAF84" w:rsidR="00141731" w:rsidRPr="00141731" w:rsidRDefault="00141731" w:rsidP="00D05218">
      <w:pPr>
        <w:pStyle w:val="subsection"/>
        <w:shd w:val="clear" w:color="auto" w:fill="FFFFFF"/>
        <w:spacing w:before="0" w:beforeAutospacing="0" w:after="60" w:afterAutospacing="0"/>
        <w:ind w:left="907"/>
        <w:rPr>
          <w:rFonts w:asciiTheme="minorHAnsi" w:hAnsiTheme="minorHAnsi" w:cstheme="minorHAnsi"/>
          <w:color w:val="000000"/>
          <w:sz w:val="20"/>
          <w:szCs w:val="20"/>
        </w:rPr>
      </w:pPr>
      <w:r w:rsidRPr="00141731">
        <w:rPr>
          <w:rFonts w:asciiTheme="minorHAnsi" w:hAnsiTheme="minorHAnsi" w:cstheme="minorHAnsi"/>
          <w:color w:val="000000"/>
          <w:sz w:val="20"/>
          <w:szCs w:val="20"/>
        </w:rPr>
        <w:t>(b)  is played in the United Kingdom.</w:t>
      </w:r>
    </w:p>
    <w:p w14:paraId="377456BD" w14:textId="00165A4D" w:rsidR="00141731" w:rsidRPr="00141731" w:rsidRDefault="00141731" w:rsidP="00F051A5">
      <w:pPr>
        <w:pStyle w:val="subsection"/>
        <w:shd w:val="clear" w:color="auto" w:fill="FFFFFF"/>
        <w:spacing w:before="0" w:beforeAutospacing="0" w:after="40" w:afterAutospacing="0"/>
        <w:ind w:left="907" w:hanging="340"/>
        <w:rPr>
          <w:rFonts w:asciiTheme="minorHAnsi" w:hAnsiTheme="minorHAnsi" w:cstheme="minorHAnsi"/>
          <w:color w:val="000000"/>
          <w:sz w:val="20"/>
          <w:szCs w:val="20"/>
        </w:rPr>
      </w:pPr>
      <w:r w:rsidRPr="00141731">
        <w:rPr>
          <w:rFonts w:asciiTheme="minorHAnsi" w:hAnsiTheme="minorHAnsi" w:cstheme="minorHAnsi"/>
          <w:color w:val="000000"/>
          <w:sz w:val="20"/>
          <w:szCs w:val="20"/>
        </w:rPr>
        <w:t>(3)  Each one day cricket match that:</w:t>
      </w:r>
    </w:p>
    <w:p w14:paraId="053064B2" w14:textId="35279C5E" w:rsidR="00141731" w:rsidRPr="00141731" w:rsidRDefault="00141731" w:rsidP="00D05218">
      <w:pPr>
        <w:pStyle w:val="subsection"/>
        <w:shd w:val="clear" w:color="auto" w:fill="FFFFFF"/>
        <w:spacing w:before="0" w:beforeAutospacing="0" w:after="60" w:afterAutospacing="0"/>
        <w:ind w:left="907"/>
        <w:rPr>
          <w:rFonts w:asciiTheme="minorHAnsi" w:hAnsiTheme="minorHAnsi" w:cstheme="minorHAnsi"/>
          <w:color w:val="000000"/>
          <w:sz w:val="20"/>
          <w:szCs w:val="20"/>
        </w:rPr>
      </w:pPr>
      <w:r w:rsidRPr="00141731">
        <w:rPr>
          <w:rFonts w:asciiTheme="minorHAnsi" w:hAnsiTheme="minorHAnsi" w:cstheme="minorHAnsi"/>
          <w:color w:val="000000"/>
          <w:sz w:val="20"/>
          <w:szCs w:val="20"/>
        </w:rPr>
        <w:lastRenderedPageBreak/>
        <w:t>(a)  involves the senior Australian representative team selected by Cricket Australia; and</w:t>
      </w:r>
    </w:p>
    <w:p w14:paraId="2C93BC29" w14:textId="1D997CCC" w:rsidR="00141731" w:rsidRPr="00141731" w:rsidRDefault="00141731" w:rsidP="00D05218">
      <w:pPr>
        <w:pStyle w:val="subsection"/>
        <w:shd w:val="clear" w:color="auto" w:fill="FFFFFF"/>
        <w:spacing w:before="0" w:beforeAutospacing="0" w:after="60" w:afterAutospacing="0"/>
        <w:ind w:left="907"/>
        <w:rPr>
          <w:rFonts w:asciiTheme="minorHAnsi" w:hAnsiTheme="minorHAnsi" w:cstheme="minorHAnsi"/>
          <w:color w:val="000000"/>
          <w:sz w:val="20"/>
          <w:szCs w:val="20"/>
        </w:rPr>
      </w:pPr>
      <w:r w:rsidRPr="00141731">
        <w:rPr>
          <w:rFonts w:asciiTheme="minorHAnsi" w:hAnsiTheme="minorHAnsi" w:cstheme="minorHAnsi"/>
          <w:color w:val="000000"/>
          <w:sz w:val="20"/>
          <w:szCs w:val="20"/>
        </w:rPr>
        <w:t>(b)  is played in Australia.</w:t>
      </w:r>
    </w:p>
    <w:p w14:paraId="3AA62CEA" w14:textId="766BE7DB" w:rsidR="00141731" w:rsidRPr="00141731" w:rsidRDefault="00141731" w:rsidP="00F051A5">
      <w:pPr>
        <w:pStyle w:val="subsection"/>
        <w:shd w:val="clear" w:color="auto" w:fill="FFFFFF"/>
        <w:spacing w:before="0" w:beforeAutospacing="0" w:after="40" w:afterAutospacing="0"/>
        <w:ind w:left="907" w:hanging="340"/>
        <w:rPr>
          <w:rFonts w:asciiTheme="minorHAnsi" w:hAnsiTheme="minorHAnsi" w:cstheme="minorHAnsi"/>
          <w:color w:val="000000"/>
          <w:sz w:val="20"/>
          <w:szCs w:val="20"/>
        </w:rPr>
      </w:pPr>
      <w:r w:rsidRPr="00141731">
        <w:rPr>
          <w:rFonts w:asciiTheme="minorHAnsi" w:hAnsiTheme="minorHAnsi" w:cstheme="minorHAnsi"/>
          <w:color w:val="000000"/>
          <w:sz w:val="20"/>
          <w:szCs w:val="20"/>
        </w:rPr>
        <w:t>(4)  Each Twenty20 cricket match that:</w:t>
      </w:r>
    </w:p>
    <w:p w14:paraId="1415D372" w14:textId="65226F1F" w:rsidR="00141731" w:rsidRPr="00141731" w:rsidRDefault="00141731" w:rsidP="00D05218">
      <w:pPr>
        <w:pStyle w:val="subsection"/>
        <w:shd w:val="clear" w:color="auto" w:fill="FFFFFF"/>
        <w:spacing w:before="0" w:beforeAutospacing="0" w:after="60" w:afterAutospacing="0"/>
        <w:ind w:left="907"/>
        <w:rPr>
          <w:rFonts w:asciiTheme="minorHAnsi" w:hAnsiTheme="minorHAnsi" w:cstheme="minorHAnsi"/>
          <w:color w:val="000000"/>
          <w:sz w:val="20"/>
          <w:szCs w:val="20"/>
        </w:rPr>
      </w:pPr>
      <w:r w:rsidRPr="00141731">
        <w:rPr>
          <w:rFonts w:asciiTheme="minorHAnsi" w:hAnsiTheme="minorHAnsi" w:cstheme="minorHAnsi"/>
          <w:color w:val="000000"/>
          <w:sz w:val="20"/>
          <w:szCs w:val="20"/>
        </w:rPr>
        <w:t>(a)  involves the senior Australian representative team selected by Cricket Australia; and</w:t>
      </w:r>
    </w:p>
    <w:p w14:paraId="245D6600" w14:textId="417025B1" w:rsidR="00141731" w:rsidRPr="00141731" w:rsidRDefault="00141731" w:rsidP="00D05218">
      <w:pPr>
        <w:pStyle w:val="subsection"/>
        <w:shd w:val="clear" w:color="auto" w:fill="FFFFFF"/>
        <w:spacing w:before="0" w:beforeAutospacing="0" w:after="60" w:afterAutospacing="0"/>
        <w:ind w:left="907"/>
        <w:rPr>
          <w:rFonts w:asciiTheme="minorHAnsi" w:hAnsiTheme="minorHAnsi" w:cstheme="minorHAnsi"/>
          <w:color w:val="000000"/>
          <w:sz w:val="20"/>
          <w:szCs w:val="20"/>
        </w:rPr>
      </w:pPr>
      <w:r w:rsidRPr="00141731">
        <w:rPr>
          <w:rFonts w:asciiTheme="minorHAnsi" w:hAnsiTheme="minorHAnsi" w:cstheme="minorHAnsi"/>
          <w:color w:val="000000"/>
          <w:sz w:val="20"/>
          <w:szCs w:val="20"/>
        </w:rPr>
        <w:t>(b)  is played in Australia.</w:t>
      </w:r>
    </w:p>
    <w:p w14:paraId="2E1EE093" w14:textId="749D062D" w:rsidR="00141731" w:rsidRPr="00141731" w:rsidRDefault="00141731" w:rsidP="00F051A5">
      <w:pPr>
        <w:pStyle w:val="subsection"/>
        <w:shd w:val="clear" w:color="auto" w:fill="FFFFFF"/>
        <w:spacing w:before="0" w:beforeAutospacing="0" w:after="40" w:afterAutospacing="0"/>
        <w:ind w:left="907" w:hanging="340"/>
        <w:rPr>
          <w:rFonts w:asciiTheme="minorHAnsi" w:hAnsiTheme="minorHAnsi" w:cstheme="minorHAnsi"/>
          <w:color w:val="000000"/>
          <w:sz w:val="20"/>
          <w:szCs w:val="20"/>
        </w:rPr>
      </w:pPr>
      <w:r w:rsidRPr="00141731">
        <w:rPr>
          <w:rFonts w:asciiTheme="minorHAnsi" w:hAnsiTheme="minorHAnsi" w:cstheme="minorHAnsi"/>
          <w:color w:val="000000"/>
          <w:sz w:val="20"/>
          <w:szCs w:val="20"/>
        </w:rPr>
        <w:t>(5)  Each match of the International Cricket Council One Day International World Cup that:</w:t>
      </w:r>
    </w:p>
    <w:p w14:paraId="719A2152" w14:textId="7DA2BBB7" w:rsidR="00141731" w:rsidRPr="00141731" w:rsidRDefault="00141731" w:rsidP="00D05218">
      <w:pPr>
        <w:pStyle w:val="subsection"/>
        <w:shd w:val="clear" w:color="auto" w:fill="FFFFFF"/>
        <w:spacing w:before="0" w:beforeAutospacing="0" w:after="60" w:afterAutospacing="0"/>
        <w:ind w:left="907"/>
        <w:rPr>
          <w:rFonts w:asciiTheme="minorHAnsi" w:hAnsiTheme="minorHAnsi" w:cstheme="minorHAnsi"/>
          <w:color w:val="000000"/>
          <w:sz w:val="20"/>
          <w:szCs w:val="20"/>
        </w:rPr>
      </w:pPr>
      <w:r w:rsidRPr="00141731">
        <w:rPr>
          <w:rFonts w:asciiTheme="minorHAnsi" w:hAnsiTheme="minorHAnsi" w:cstheme="minorHAnsi"/>
          <w:color w:val="000000"/>
          <w:sz w:val="20"/>
          <w:szCs w:val="20"/>
        </w:rPr>
        <w:t>(a)  involves the senior Australian representative team selected by Cricket Australia; and</w:t>
      </w:r>
    </w:p>
    <w:p w14:paraId="40FD304A" w14:textId="15D179A1" w:rsidR="00141731" w:rsidRPr="00141731" w:rsidRDefault="00141731" w:rsidP="00D05218">
      <w:pPr>
        <w:pStyle w:val="subsection"/>
        <w:shd w:val="clear" w:color="auto" w:fill="FFFFFF"/>
        <w:spacing w:before="0" w:beforeAutospacing="0" w:after="60" w:afterAutospacing="0"/>
        <w:ind w:left="907"/>
        <w:rPr>
          <w:rFonts w:asciiTheme="minorHAnsi" w:hAnsiTheme="minorHAnsi" w:cstheme="minorHAnsi"/>
          <w:color w:val="000000"/>
          <w:sz w:val="20"/>
          <w:szCs w:val="20"/>
        </w:rPr>
      </w:pPr>
      <w:r w:rsidRPr="00141731">
        <w:rPr>
          <w:rFonts w:asciiTheme="minorHAnsi" w:hAnsiTheme="minorHAnsi" w:cstheme="minorHAnsi"/>
          <w:color w:val="000000"/>
          <w:sz w:val="20"/>
          <w:szCs w:val="20"/>
        </w:rPr>
        <w:t>(b)  is played in Australia or New Zealand.</w:t>
      </w:r>
    </w:p>
    <w:p w14:paraId="4C325721" w14:textId="3655C52D" w:rsidR="00141731" w:rsidRPr="00141731" w:rsidRDefault="00141731" w:rsidP="00F051A5">
      <w:pPr>
        <w:pStyle w:val="subsection"/>
        <w:shd w:val="clear" w:color="auto" w:fill="FFFFFF"/>
        <w:spacing w:before="0" w:beforeAutospacing="0" w:after="40" w:afterAutospacing="0"/>
        <w:ind w:left="907" w:hanging="340"/>
        <w:rPr>
          <w:rFonts w:asciiTheme="minorHAnsi" w:hAnsiTheme="minorHAnsi" w:cstheme="minorHAnsi"/>
          <w:color w:val="000000"/>
          <w:sz w:val="20"/>
          <w:szCs w:val="20"/>
        </w:rPr>
      </w:pPr>
      <w:r w:rsidRPr="00141731">
        <w:rPr>
          <w:rFonts w:asciiTheme="minorHAnsi" w:hAnsiTheme="minorHAnsi" w:cstheme="minorHAnsi"/>
          <w:color w:val="000000"/>
          <w:sz w:val="20"/>
          <w:szCs w:val="20"/>
        </w:rPr>
        <w:t>(6)  The final of the International Cricket Council One Day International World Cup if the final is played in Australia or New Zealand.</w:t>
      </w:r>
    </w:p>
    <w:p w14:paraId="42457B6F" w14:textId="174EFD42" w:rsidR="00141731" w:rsidRPr="00141731" w:rsidRDefault="00141731" w:rsidP="00F051A5">
      <w:pPr>
        <w:pStyle w:val="subsection"/>
        <w:shd w:val="clear" w:color="auto" w:fill="FFFFFF"/>
        <w:spacing w:before="0" w:beforeAutospacing="0" w:after="40" w:afterAutospacing="0"/>
        <w:ind w:left="907" w:hanging="340"/>
        <w:rPr>
          <w:rFonts w:asciiTheme="minorHAnsi" w:hAnsiTheme="minorHAnsi" w:cstheme="minorHAnsi"/>
          <w:color w:val="000000"/>
          <w:sz w:val="20"/>
          <w:szCs w:val="20"/>
        </w:rPr>
      </w:pPr>
      <w:r w:rsidRPr="00141731">
        <w:rPr>
          <w:rFonts w:asciiTheme="minorHAnsi" w:hAnsiTheme="minorHAnsi" w:cstheme="minorHAnsi"/>
          <w:color w:val="000000"/>
          <w:sz w:val="20"/>
          <w:szCs w:val="20"/>
        </w:rPr>
        <w:t>(7)  Each match of the International Cricket Council World Twenty20 tournament that:</w:t>
      </w:r>
    </w:p>
    <w:p w14:paraId="7E9D211F" w14:textId="76661BD9" w:rsidR="00141731" w:rsidRPr="00141731" w:rsidRDefault="00141731" w:rsidP="00D05218">
      <w:pPr>
        <w:pStyle w:val="subsection"/>
        <w:shd w:val="clear" w:color="auto" w:fill="FFFFFF"/>
        <w:spacing w:before="0" w:beforeAutospacing="0" w:after="60" w:afterAutospacing="0"/>
        <w:ind w:left="907"/>
        <w:rPr>
          <w:rFonts w:asciiTheme="minorHAnsi" w:hAnsiTheme="minorHAnsi" w:cstheme="minorHAnsi"/>
          <w:color w:val="000000"/>
          <w:sz w:val="20"/>
          <w:szCs w:val="20"/>
        </w:rPr>
      </w:pPr>
      <w:r w:rsidRPr="00141731">
        <w:rPr>
          <w:rFonts w:asciiTheme="minorHAnsi" w:hAnsiTheme="minorHAnsi" w:cstheme="minorHAnsi"/>
          <w:color w:val="000000"/>
          <w:sz w:val="20"/>
          <w:szCs w:val="20"/>
        </w:rPr>
        <w:t>(a)  involves the senior Australian representative team selected by Cricket Australia; and</w:t>
      </w:r>
    </w:p>
    <w:p w14:paraId="6D0C8D42" w14:textId="27DB2FE6" w:rsidR="00141731" w:rsidRPr="00141731" w:rsidRDefault="00141731" w:rsidP="00D05218">
      <w:pPr>
        <w:pStyle w:val="subsection"/>
        <w:shd w:val="clear" w:color="auto" w:fill="FFFFFF"/>
        <w:spacing w:before="0" w:beforeAutospacing="0" w:after="60" w:afterAutospacing="0"/>
        <w:ind w:left="907"/>
        <w:rPr>
          <w:rFonts w:asciiTheme="minorHAnsi" w:hAnsiTheme="minorHAnsi" w:cstheme="minorHAnsi"/>
          <w:color w:val="000000"/>
          <w:sz w:val="20"/>
          <w:szCs w:val="20"/>
        </w:rPr>
      </w:pPr>
      <w:r w:rsidRPr="00141731">
        <w:rPr>
          <w:rFonts w:asciiTheme="minorHAnsi" w:hAnsiTheme="minorHAnsi" w:cstheme="minorHAnsi"/>
          <w:color w:val="000000"/>
          <w:sz w:val="20"/>
          <w:szCs w:val="20"/>
        </w:rPr>
        <w:t>(b)  is played in Australia or New Zealand.</w:t>
      </w:r>
    </w:p>
    <w:p w14:paraId="15940581" w14:textId="42892AD9" w:rsidR="00141731" w:rsidRPr="00141731" w:rsidRDefault="00141731" w:rsidP="00F051A5">
      <w:pPr>
        <w:pStyle w:val="subsection"/>
        <w:shd w:val="clear" w:color="auto" w:fill="FFFFFF"/>
        <w:spacing w:before="0" w:beforeAutospacing="0" w:after="40" w:afterAutospacing="0"/>
        <w:ind w:left="907" w:hanging="340"/>
        <w:rPr>
          <w:rFonts w:asciiTheme="minorHAnsi" w:hAnsiTheme="minorHAnsi" w:cstheme="minorHAnsi"/>
          <w:color w:val="000000"/>
          <w:sz w:val="20"/>
          <w:szCs w:val="20"/>
        </w:rPr>
      </w:pPr>
      <w:r w:rsidRPr="00141731">
        <w:rPr>
          <w:rFonts w:asciiTheme="minorHAnsi" w:hAnsiTheme="minorHAnsi" w:cstheme="minorHAnsi"/>
          <w:color w:val="000000"/>
          <w:sz w:val="20"/>
          <w:szCs w:val="20"/>
        </w:rPr>
        <w:t>(8)  The final of the International Cricket Council World Twenty20 tournament if the final is played in Australia or New Zealand.</w:t>
      </w:r>
    </w:p>
    <w:p w14:paraId="6AA3E853" w14:textId="77777777" w:rsidR="00141731" w:rsidRPr="00141731" w:rsidRDefault="00141731" w:rsidP="00141731">
      <w:pPr>
        <w:pStyle w:val="acthead5"/>
        <w:shd w:val="clear" w:color="auto" w:fill="FFFFFF"/>
        <w:spacing w:before="0" w:beforeAutospacing="0" w:after="60" w:afterAutospacing="0"/>
        <w:ind w:left="1134" w:hanging="1134"/>
        <w:rPr>
          <w:rFonts w:asciiTheme="minorHAnsi" w:hAnsiTheme="minorHAnsi" w:cstheme="minorHAnsi"/>
          <w:b/>
          <w:bCs/>
          <w:color w:val="000000"/>
          <w:sz w:val="20"/>
          <w:szCs w:val="20"/>
        </w:rPr>
      </w:pPr>
      <w:bookmarkStart w:id="667" w:name="_Toc496082856"/>
      <w:r w:rsidRPr="00141731">
        <w:rPr>
          <w:rStyle w:val="charsectno"/>
          <w:rFonts w:asciiTheme="minorHAnsi" w:hAnsiTheme="minorHAnsi" w:cstheme="minorHAnsi"/>
          <w:b/>
          <w:bCs/>
          <w:color w:val="000000"/>
          <w:sz w:val="20"/>
          <w:szCs w:val="20"/>
        </w:rPr>
        <w:t>8</w:t>
      </w:r>
      <w:r w:rsidRPr="00141731">
        <w:rPr>
          <w:rFonts w:asciiTheme="minorHAnsi" w:hAnsiTheme="minorHAnsi" w:cstheme="minorHAnsi"/>
          <w:b/>
          <w:bCs/>
          <w:color w:val="000000"/>
          <w:sz w:val="20"/>
          <w:szCs w:val="20"/>
        </w:rPr>
        <w:t>  Soccer</w:t>
      </w:r>
      <w:bookmarkEnd w:id="667"/>
    </w:p>
    <w:p w14:paraId="2D14966A" w14:textId="77777777" w:rsidR="00141731" w:rsidRPr="00141731" w:rsidRDefault="00141731" w:rsidP="00F051A5">
      <w:pPr>
        <w:pStyle w:val="subsection"/>
        <w:shd w:val="clear" w:color="auto" w:fill="FFFFFF"/>
        <w:spacing w:before="0" w:beforeAutospacing="0" w:after="40" w:afterAutospacing="0"/>
        <w:ind w:left="907" w:hanging="340"/>
        <w:rPr>
          <w:rFonts w:asciiTheme="minorHAnsi" w:hAnsiTheme="minorHAnsi" w:cstheme="minorHAnsi"/>
          <w:color w:val="000000"/>
          <w:sz w:val="20"/>
          <w:szCs w:val="20"/>
        </w:rPr>
      </w:pPr>
      <w:r w:rsidRPr="00141731">
        <w:rPr>
          <w:rFonts w:asciiTheme="minorHAnsi" w:hAnsiTheme="minorHAnsi" w:cstheme="minorHAnsi"/>
          <w:color w:val="000000"/>
          <w:sz w:val="20"/>
          <w:szCs w:val="20"/>
        </w:rPr>
        <w:t>(1)  Each match of the Fédération Internationale de Football Association World Cup tournament that involves the senior Australian representative team selected by the Football Federation Australia.</w:t>
      </w:r>
    </w:p>
    <w:p w14:paraId="09DB2752" w14:textId="77777777" w:rsidR="00141731" w:rsidRPr="00141731" w:rsidRDefault="00141731" w:rsidP="00F051A5">
      <w:pPr>
        <w:pStyle w:val="subsection"/>
        <w:shd w:val="clear" w:color="auto" w:fill="FFFFFF"/>
        <w:spacing w:before="0" w:beforeAutospacing="0" w:after="40" w:afterAutospacing="0"/>
        <w:ind w:left="1134" w:hanging="567"/>
        <w:rPr>
          <w:rFonts w:asciiTheme="minorHAnsi" w:hAnsiTheme="minorHAnsi" w:cstheme="minorHAnsi"/>
          <w:color w:val="000000"/>
          <w:sz w:val="20"/>
          <w:szCs w:val="20"/>
        </w:rPr>
      </w:pPr>
      <w:r w:rsidRPr="00141731">
        <w:rPr>
          <w:rFonts w:asciiTheme="minorHAnsi" w:hAnsiTheme="minorHAnsi" w:cstheme="minorHAnsi"/>
          <w:color w:val="000000"/>
          <w:sz w:val="20"/>
          <w:szCs w:val="20"/>
        </w:rPr>
        <w:t>(2)  The final of the Fédération Internationale de Football Association World Cup tournament.</w:t>
      </w:r>
    </w:p>
    <w:p w14:paraId="37801ADA" w14:textId="77777777" w:rsidR="00141731" w:rsidRPr="00141731" w:rsidRDefault="00141731" w:rsidP="00F051A5">
      <w:pPr>
        <w:pStyle w:val="subsection"/>
        <w:shd w:val="clear" w:color="auto" w:fill="FFFFFF"/>
        <w:spacing w:before="0" w:beforeAutospacing="0" w:after="40" w:afterAutospacing="0"/>
        <w:ind w:left="907" w:hanging="340"/>
        <w:rPr>
          <w:rFonts w:asciiTheme="minorHAnsi" w:hAnsiTheme="minorHAnsi" w:cstheme="minorHAnsi"/>
          <w:color w:val="000000"/>
          <w:sz w:val="20"/>
          <w:szCs w:val="20"/>
        </w:rPr>
      </w:pPr>
      <w:r w:rsidRPr="00141731">
        <w:rPr>
          <w:rFonts w:asciiTheme="minorHAnsi" w:hAnsiTheme="minorHAnsi" w:cstheme="minorHAnsi"/>
          <w:color w:val="000000"/>
          <w:sz w:val="20"/>
          <w:szCs w:val="20"/>
        </w:rPr>
        <w:t>(3)  Each match in the Fédération Internationale de Football Association World Cup Qualification tournament that:</w:t>
      </w:r>
    </w:p>
    <w:p w14:paraId="48930186" w14:textId="2F22F199" w:rsidR="00141731" w:rsidRPr="00141731" w:rsidRDefault="00141731" w:rsidP="00D05218">
      <w:pPr>
        <w:pStyle w:val="subsection"/>
        <w:shd w:val="clear" w:color="auto" w:fill="FFFFFF"/>
        <w:spacing w:before="0" w:beforeAutospacing="0" w:after="60" w:afterAutospacing="0"/>
        <w:ind w:left="907"/>
        <w:rPr>
          <w:rFonts w:asciiTheme="minorHAnsi" w:hAnsiTheme="minorHAnsi" w:cstheme="minorHAnsi"/>
          <w:color w:val="000000"/>
          <w:sz w:val="20"/>
          <w:szCs w:val="20"/>
        </w:rPr>
      </w:pPr>
      <w:r w:rsidRPr="00141731">
        <w:rPr>
          <w:rFonts w:asciiTheme="minorHAnsi" w:hAnsiTheme="minorHAnsi" w:cstheme="minorHAnsi"/>
          <w:color w:val="000000"/>
          <w:sz w:val="20"/>
          <w:szCs w:val="20"/>
        </w:rPr>
        <w:t>(a)  involves the senior Australian representative team selected by the Football Federation Australia; and</w:t>
      </w:r>
    </w:p>
    <w:p w14:paraId="4AAE53D6" w14:textId="38D3CF36" w:rsidR="00141731" w:rsidRPr="00141731" w:rsidRDefault="00141731" w:rsidP="00D05218">
      <w:pPr>
        <w:pStyle w:val="subsection"/>
        <w:shd w:val="clear" w:color="auto" w:fill="FFFFFF"/>
        <w:spacing w:before="0" w:beforeAutospacing="0" w:after="60" w:afterAutospacing="0"/>
        <w:ind w:left="907"/>
        <w:rPr>
          <w:rFonts w:asciiTheme="minorHAnsi" w:hAnsiTheme="minorHAnsi" w:cstheme="minorHAnsi"/>
          <w:color w:val="000000"/>
          <w:sz w:val="20"/>
          <w:szCs w:val="20"/>
        </w:rPr>
      </w:pPr>
      <w:r w:rsidRPr="00141731">
        <w:rPr>
          <w:rFonts w:asciiTheme="minorHAnsi" w:hAnsiTheme="minorHAnsi" w:cstheme="minorHAnsi"/>
          <w:color w:val="000000"/>
          <w:sz w:val="20"/>
          <w:szCs w:val="20"/>
        </w:rPr>
        <w:t>(b)  is played in Australia.</w:t>
      </w:r>
    </w:p>
    <w:p w14:paraId="1CD310A3" w14:textId="77777777" w:rsidR="00141731" w:rsidRPr="00141731" w:rsidRDefault="00141731" w:rsidP="00141731">
      <w:pPr>
        <w:pStyle w:val="acthead5"/>
        <w:shd w:val="clear" w:color="auto" w:fill="FFFFFF"/>
        <w:spacing w:before="0" w:beforeAutospacing="0" w:after="60" w:afterAutospacing="0"/>
        <w:ind w:left="1134" w:hanging="1134"/>
        <w:rPr>
          <w:rFonts w:asciiTheme="minorHAnsi" w:hAnsiTheme="minorHAnsi" w:cstheme="minorHAnsi"/>
          <w:b/>
          <w:bCs/>
          <w:color w:val="000000"/>
          <w:sz w:val="20"/>
          <w:szCs w:val="20"/>
        </w:rPr>
      </w:pPr>
      <w:bookmarkStart w:id="668" w:name="_Toc496082857"/>
      <w:r w:rsidRPr="00141731">
        <w:rPr>
          <w:rStyle w:val="charsectno"/>
          <w:rFonts w:asciiTheme="minorHAnsi" w:hAnsiTheme="minorHAnsi" w:cstheme="minorHAnsi"/>
          <w:b/>
          <w:bCs/>
          <w:color w:val="000000"/>
          <w:sz w:val="20"/>
          <w:szCs w:val="20"/>
        </w:rPr>
        <w:t>9</w:t>
      </w:r>
      <w:r w:rsidRPr="00141731">
        <w:rPr>
          <w:rFonts w:asciiTheme="minorHAnsi" w:hAnsiTheme="minorHAnsi" w:cstheme="minorHAnsi"/>
          <w:b/>
          <w:bCs/>
          <w:color w:val="000000"/>
          <w:sz w:val="20"/>
          <w:szCs w:val="20"/>
        </w:rPr>
        <w:t>  Tennis</w:t>
      </w:r>
      <w:bookmarkEnd w:id="668"/>
    </w:p>
    <w:p w14:paraId="6831F329" w14:textId="77777777" w:rsidR="00141731" w:rsidRPr="00141731" w:rsidRDefault="00141731" w:rsidP="00F051A5">
      <w:pPr>
        <w:pStyle w:val="subsection"/>
        <w:shd w:val="clear" w:color="auto" w:fill="FFFFFF"/>
        <w:spacing w:before="0" w:beforeAutospacing="0" w:after="40" w:afterAutospacing="0"/>
        <w:ind w:left="1134" w:hanging="567"/>
        <w:rPr>
          <w:rFonts w:asciiTheme="minorHAnsi" w:hAnsiTheme="minorHAnsi" w:cstheme="minorHAnsi"/>
          <w:color w:val="000000"/>
          <w:sz w:val="20"/>
          <w:szCs w:val="20"/>
        </w:rPr>
      </w:pPr>
      <w:r w:rsidRPr="00141731">
        <w:rPr>
          <w:rFonts w:asciiTheme="minorHAnsi" w:hAnsiTheme="minorHAnsi" w:cstheme="minorHAnsi"/>
          <w:color w:val="000000"/>
          <w:sz w:val="20"/>
          <w:szCs w:val="20"/>
        </w:rPr>
        <w:t>(1)  Each match in the Australian Open tennis tournament.</w:t>
      </w:r>
    </w:p>
    <w:p w14:paraId="5F4A63B4" w14:textId="77777777" w:rsidR="00141731" w:rsidRPr="00141731" w:rsidRDefault="00141731" w:rsidP="00F051A5">
      <w:pPr>
        <w:pStyle w:val="subsection"/>
        <w:shd w:val="clear" w:color="auto" w:fill="FFFFFF"/>
        <w:spacing w:before="0" w:beforeAutospacing="0" w:after="40" w:afterAutospacing="0"/>
        <w:ind w:left="907" w:hanging="340"/>
        <w:rPr>
          <w:rFonts w:asciiTheme="minorHAnsi" w:hAnsiTheme="minorHAnsi" w:cstheme="minorHAnsi"/>
          <w:color w:val="000000"/>
          <w:sz w:val="20"/>
          <w:szCs w:val="20"/>
        </w:rPr>
      </w:pPr>
      <w:r w:rsidRPr="00141731">
        <w:rPr>
          <w:rFonts w:asciiTheme="minorHAnsi" w:hAnsiTheme="minorHAnsi" w:cstheme="minorHAnsi"/>
          <w:color w:val="000000"/>
          <w:sz w:val="20"/>
          <w:szCs w:val="20"/>
        </w:rPr>
        <w:t>(2)  Each match in each tie of the International Tennis Federation Davis Cup World Group tennis tournament that:</w:t>
      </w:r>
    </w:p>
    <w:p w14:paraId="43DFDB3D" w14:textId="08187239" w:rsidR="00141731" w:rsidRPr="00141731" w:rsidRDefault="00141731" w:rsidP="00D05218">
      <w:pPr>
        <w:pStyle w:val="subsection"/>
        <w:shd w:val="clear" w:color="auto" w:fill="FFFFFF"/>
        <w:spacing w:before="0" w:beforeAutospacing="0" w:after="60" w:afterAutospacing="0"/>
        <w:ind w:left="907"/>
        <w:rPr>
          <w:rFonts w:asciiTheme="minorHAnsi" w:hAnsiTheme="minorHAnsi" w:cstheme="minorHAnsi"/>
          <w:color w:val="000000"/>
          <w:sz w:val="20"/>
          <w:szCs w:val="20"/>
        </w:rPr>
      </w:pPr>
      <w:r w:rsidRPr="00141731">
        <w:rPr>
          <w:rFonts w:asciiTheme="minorHAnsi" w:hAnsiTheme="minorHAnsi" w:cstheme="minorHAnsi"/>
          <w:color w:val="000000"/>
          <w:sz w:val="20"/>
          <w:szCs w:val="20"/>
        </w:rPr>
        <w:t>(a)  involves an Australian representative team; and</w:t>
      </w:r>
    </w:p>
    <w:p w14:paraId="7DEA8DBF" w14:textId="4CBDBE66" w:rsidR="00141731" w:rsidRPr="00141731" w:rsidRDefault="00141731" w:rsidP="00D05218">
      <w:pPr>
        <w:pStyle w:val="subsection"/>
        <w:shd w:val="clear" w:color="auto" w:fill="FFFFFF"/>
        <w:spacing w:before="0" w:beforeAutospacing="0" w:after="60" w:afterAutospacing="0"/>
        <w:ind w:left="907"/>
        <w:rPr>
          <w:rFonts w:asciiTheme="minorHAnsi" w:hAnsiTheme="minorHAnsi" w:cstheme="minorHAnsi"/>
          <w:color w:val="000000"/>
          <w:sz w:val="20"/>
          <w:szCs w:val="20"/>
        </w:rPr>
      </w:pPr>
      <w:r w:rsidRPr="00141731">
        <w:rPr>
          <w:rFonts w:asciiTheme="minorHAnsi" w:hAnsiTheme="minorHAnsi" w:cstheme="minorHAnsi"/>
          <w:color w:val="000000"/>
          <w:sz w:val="20"/>
          <w:szCs w:val="20"/>
        </w:rPr>
        <w:t>(b)  is played in Australia.</w:t>
      </w:r>
    </w:p>
    <w:p w14:paraId="2A4CC961" w14:textId="77777777" w:rsidR="00141731" w:rsidRPr="00141731" w:rsidRDefault="00141731" w:rsidP="00F051A5">
      <w:pPr>
        <w:pStyle w:val="subsection"/>
        <w:shd w:val="clear" w:color="auto" w:fill="FFFFFF"/>
        <w:spacing w:before="0" w:beforeAutospacing="0" w:after="40" w:afterAutospacing="0"/>
        <w:ind w:left="907" w:hanging="340"/>
        <w:rPr>
          <w:rFonts w:asciiTheme="minorHAnsi" w:hAnsiTheme="minorHAnsi" w:cstheme="minorHAnsi"/>
          <w:color w:val="000000"/>
          <w:sz w:val="20"/>
          <w:szCs w:val="20"/>
        </w:rPr>
      </w:pPr>
      <w:r w:rsidRPr="00141731">
        <w:rPr>
          <w:rFonts w:asciiTheme="minorHAnsi" w:hAnsiTheme="minorHAnsi" w:cstheme="minorHAnsi"/>
          <w:color w:val="000000"/>
          <w:sz w:val="20"/>
          <w:szCs w:val="20"/>
        </w:rPr>
        <w:t>(3)  The final of the International Tennis Federation Davis Cup World Group tennis tournament if the final involves an Australian representative team.</w:t>
      </w:r>
    </w:p>
    <w:p w14:paraId="5ED664C7" w14:textId="77777777" w:rsidR="00141731" w:rsidRPr="00141731" w:rsidRDefault="00141731" w:rsidP="00141731">
      <w:pPr>
        <w:pStyle w:val="acthead5"/>
        <w:shd w:val="clear" w:color="auto" w:fill="FFFFFF"/>
        <w:spacing w:before="0" w:beforeAutospacing="0" w:after="60" w:afterAutospacing="0"/>
        <w:ind w:left="1134" w:hanging="1134"/>
        <w:rPr>
          <w:rFonts w:asciiTheme="minorHAnsi" w:hAnsiTheme="minorHAnsi" w:cstheme="minorHAnsi"/>
          <w:b/>
          <w:bCs/>
          <w:color w:val="000000"/>
          <w:sz w:val="20"/>
          <w:szCs w:val="20"/>
        </w:rPr>
      </w:pPr>
      <w:bookmarkStart w:id="669" w:name="_Toc496082858"/>
      <w:r w:rsidRPr="00141731">
        <w:rPr>
          <w:rStyle w:val="charsectno"/>
          <w:rFonts w:asciiTheme="minorHAnsi" w:hAnsiTheme="minorHAnsi" w:cstheme="minorHAnsi"/>
          <w:b/>
          <w:bCs/>
          <w:color w:val="000000"/>
          <w:sz w:val="20"/>
          <w:szCs w:val="20"/>
        </w:rPr>
        <w:t>10</w:t>
      </w:r>
      <w:r w:rsidRPr="00141731">
        <w:rPr>
          <w:rFonts w:asciiTheme="minorHAnsi" w:hAnsiTheme="minorHAnsi" w:cstheme="minorHAnsi"/>
          <w:b/>
          <w:bCs/>
          <w:color w:val="000000"/>
          <w:sz w:val="20"/>
          <w:szCs w:val="20"/>
        </w:rPr>
        <w:t>  Netball</w:t>
      </w:r>
      <w:bookmarkEnd w:id="669"/>
    </w:p>
    <w:p w14:paraId="61E51EA0" w14:textId="77777777" w:rsidR="00141731" w:rsidRPr="00141731" w:rsidRDefault="00141731" w:rsidP="00F051A5">
      <w:pPr>
        <w:pStyle w:val="subsection"/>
        <w:shd w:val="clear" w:color="auto" w:fill="FFFFFF"/>
        <w:spacing w:before="0" w:beforeAutospacing="0" w:after="40" w:afterAutospacing="0"/>
        <w:ind w:left="907" w:hanging="340"/>
        <w:rPr>
          <w:rFonts w:asciiTheme="minorHAnsi" w:hAnsiTheme="minorHAnsi" w:cstheme="minorHAnsi"/>
          <w:color w:val="000000"/>
          <w:sz w:val="20"/>
          <w:szCs w:val="20"/>
        </w:rPr>
      </w:pPr>
      <w:r w:rsidRPr="00141731">
        <w:rPr>
          <w:rFonts w:asciiTheme="minorHAnsi" w:hAnsiTheme="minorHAnsi" w:cstheme="minorHAnsi"/>
          <w:color w:val="000000"/>
          <w:sz w:val="20"/>
          <w:szCs w:val="20"/>
        </w:rPr>
        <w:t>(1)  A semi</w:t>
      </w:r>
      <w:r w:rsidRPr="00141731">
        <w:rPr>
          <w:rFonts w:asciiTheme="minorHAnsi" w:hAnsiTheme="minorHAnsi" w:cstheme="minorHAnsi"/>
          <w:color w:val="000000"/>
          <w:sz w:val="20"/>
          <w:szCs w:val="20"/>
        </w:rPr>
        <w:noBreakHyphen/>
        <w:t>final of the Netball World Cup if the semi</w:t>
      </w:r>
      <w:r w:rsidRPr="00141731">
        <w:rPr>
          <w:rFonts w:asciiTheme="minorHAnsi" w:hAnsiTheme="minorHAnsi" w:cstheme="minorHAnsi"/>
          <w:color w:val="000000"/>
          <w:sz w:val="20"/>
          <w:szCs w:val="20"/>
        </w:rPr>
        <w:noBreakHyphen/>
        <w:t>final involves the senior Australian representative team selected by the All Australian Netball Association.</w:t>
      </w:r>
    </w:p>
    <w:p w14:paraId="2DD4D564" w14:textId="1A03EC07" w:rsidR="00141731" w:rsidRPr="00141731" w:rsidRDefault="00141731" w:rsidP="00F051A5">
      <w:pPr>
        <w:pStyle w:val="subsection"/>
        <w:shd w:val="clear" w:color="auto" w:fill="FFFFFF"/>
        <w:spacing w:before="0" w:beforeAutospacing="0" w:after="40" w:afterAutospacing="0"/>
        <w:ind w:left="907" w:hanging="340"/>
        <w:rPr>
          <w:rFonts w:asciiTheme="minorHAnsi" w:hAnsiTheme="minorHAnsi" w:cstheme="minorHAnsi"/>
          <w:color w:val="000000"/>
          <w:sz w:val="20"/>
          <w:szCs w:val="20"/>
        </w:rPr>
      </w:pPr>
      <w:r w:rsidRPr="00141731">
        <w:rPr>
          <w:rFonts w:asciiTheme="minorHAnsi" w:hAnsiTheme="minorHAnsi" w:cstheme="minorHAnsi"/>
          <w:color w:val="000000"/>
          <w:sz w:val="20"/>
          <w:szCs w:val="20"/>
        </w:rPr>
        <w:t>(2)  The final of the Netball World Cup if the final involves the senior Australian representative team selected by the All Australian Netball Association.</w:t>
      </w:r>
    </w:p>
    <w:p w14:paraId="590B1B11" w14:textId="77777777" w:rsidR="00141731" w:rsidRPr="00141731" w:rsidRDefault="00141731" w:rsidP="00141731">
      <w:pPr>
        <w:pStyle w:val="acthead5"/>
        <w:shd w:val="clear" w:color="auto" w:fill="FFFFFF"/>
        <w:spacing w:before="0" w:beforeAutospacing="0" w:after="60" w:afterAutospacing="0"/>
        <w:ind w:left="1134" w:hanging="1134"/>
        <w:rPr>
          <w:rFonts w:asciiTheme="minorHAnsi" w:hAnsiTheme="minorHAnsi" w:cstheme="minorHAnsi"/>
          <w:b/>
          <w:bCs/>
          <w:color w:val="000000"/>
          <w:sz w:val="20"/>
          <w:szCs w:val="20"/>
        </w:rPr>
      </w:pPr>
      <w:bookmarkStart w:id="670" w:name="_Toc496082859"/>
      <w:r w:rsidRPr="00141731">
        <w:rPr>
          <w:rStyle w:val="charsectno"/>
          <w:rFonts w:asciiTheme="minorHAnsi" w:hAnsiTheme="minorHAnsi" w:cstheme="minorHAnsi"/>
          <w:b/>
          <w:bCs/>
          <w:color w:val="000000"/>
          <w:sz w:val="20"/>
          <w:szCs w:val="20"/>
        </w:rPr>
        <w:t>11</w:t>
      </w:r>
      <w:r w:rsidRPr="00141731">
        <w:rPr>
          <w:rFonts w:asciiTheme="minorHAnsi" w:hAnsiTheme="minorHAnsi" w:cstheme="minorHAnsi"/>
          <w:b/>
          <w:bCs/>
          <w:color w:val="000000"/>
          <w:sz w:val="20"/>
          <w:szCs w:val="20"/>
        </w:rPr>
        <w:t>  Motor sports</w:t>
      </w:r>
      <w:bookmarkEnd w:id="670"/>
    </w:p>
    <w:p w14:paraId="1A1A4ECB" w14:textId="77777777" w:rsidR="00141731" w:rsidRPr="00141731" w:rsidRDefault="00141731" w:rsidP="00F051A5">
      <w:pPr>
        <w:pStyle w:val="subsection"/>
        <w:shd w:val="clear" w:color="auto" w:fill="FFFFFF"/>
        <w:spacing w:before="0" w:beforeAutospacing="0" w:after="40" w:afterAutospacing="0"/>
        <w:ind w:left="907" w:hanging="340"/>
        <w:rPr>
          <w:rFonts w:asciiTheme="minorHAnsi" w:hAnsiTheme="minorHAnsi" w:cstheme="minorHAnsi"/>
          <w:color w:val="000000"/>
          <w:sz w:val="20"/>
          <w:szCs w:val="20"/>
        </w:rPr>
      </w:pPr>
      <w:r w:rsidRPr="00141731">
        <w:rPr>
          <w:rFonts w:asciiTheme="minorHAnsi" w:hAnsiTheme="minorHAnsi" w:cstheme="minorHAnsi"/>
          <w:color w:val="000000"/>
          <w:sz w:val="20"/>
          <w:szCs w:val="20"/>
        </w:rPr>
        <w:t>(1)  Each race in the Fédération Internationale de l’Automobile Formula One World Championship (Grand Prix) held in Australia.</w:t>
      </w:r>
    </w:p>
    <w:p w14:paraId="7E4D7FA2" w14:textId="77777777" w:rsidR="00141731" w:rsidRPr="00141731" w:rsidRDefault="00141731" w:rsidP="00F051A5">
      <w:pPr>
        <w:pStyle w:val="subsection"/>
        <w:shd w:val="clear" w:color="auto" w:fill="FFFFFF"/>
        <w:spacing w:before="0" w:beforeAutospacing="0" w:after="40" w:afterAutospacing="0"/>
        <w:ind w:left="1134" w:hanging="567"/>
        <w:rPr>
          <w:rFonts w:asciiTheme="minorHAnsi" w:hAnsiTheme="minorHAnsi" w:cstheme="minorHAnsi"/>
          <w:color w:val="000000"/>
          <w:sz w:val="20"/>
          <w:szCs w:val="20"/>
        </w:rPr>
      </w:pPr>
      <w:r w:rsidRPr="00141731">
        <w:rPr>
          <w:rFonts w:asciiTheme="minorHAnsi" w:hAnsiTheme="minorHAnsi" w:cstheme="minorHAnsi"/>
          <w:color w:val="000000"/>
          <w:sz w:val="20"/>
          <w:szCs w:val="20"/>
        </w:rPr>
        <w:t>(2)  Each race in the Fédération Internationale de Motocyclisme Moto</w:t>
      </w:r>
      <w:r w:rsidRPr="00141731">
        <w:rPr>
          <w:rFonts w:asciiTheme="minorHAnsi" w:hAnsiTheme="minorHAnsi" w:cstheme="minorHAnsi"/>
          <w:color w:val="000000"/>
          <w:sz w:val="20"/>
          <w:szCs w:val="20"/>
        </w:rPr>
        <w:noBreakHyphen/>
        <w:t>GP held in Australia.</w:t>
      </w:r>
    </w:p>
    <w:p w14:paraId="4739A87B" w14:textId="425DBC93" w:rsidR="005F794B" w:rsidRPr="00AF0F9A" w:rsidRDefault="00141731" w:rsidP="00F051A5">
      <w:pPr>
        <w:pStyle w:val="subsection"/>
        <w:shd w:val="clear" w:color="auto" w:fill="FFFFFF"/>
        <w:spacing w:before="0" w:beforeAutospacing="0" w:after="40" w:afterAutospacing="0"/>
        <w:ind w:left="1134" w:hanging="567"/>
        <w:rPr>
          <w:rFonts w:asciiTheme="minorHAnsi" w:hAnsiTheme="minorHAnsi" w:cstheme="minorHAnsi"/>
          <w:color w:val="000000"/>
          <w:sz w:val="20"/>
          <w:szCs w:val="20"/>
        </w:rPr>
      </w:pPr>
      <w:r w:rsidRPr="00141731">
        <w:rPr>
          <w:rFonts w:asciiTheme="minorHAnsi" w:hAnsiTheme="minorHAnsi" w:cstheme="minorHAnsi"/>
          <w:color w:val="000000"/>
          <w:sz w:val="20"/>
          <w:szCs w:val="20"/>
        </w:rPr>
        <w:t>(3)  Each Bathurst 1000 race in the V8 Supercars Championship Series.</w:t>
      </w:r>
    </w:p>
    <w:p w14:paraId="7C17A236" w14:textId="15A3E00E" w:rsidR="009E4F02" w:rsidRDefault="009E4F02">
      <w:pPr>
        <w:suppressAutoHyphens w:val="0"/>
        <w:rPr>
          <w:rFonts w:cstheme="minorHAnsi"/>
        </w:rPr>
        <w:sectPr w:rsidR="009E4F02" w:rsidSect="004C014F">
          <w:headerReference w:type="even" r:id="rId48"/>
          <w:headerReference w:type="default" r:id="rId49"/>
          <w:headerReference w:type="first" r:id="rId50"/>
          <w:pgSz w:w="11906" w:h="16838" w:code="9"/>
          <w:pgMar w:top="1021" w:right="1021" w:bottom="1021" w:left="1021" w:header="510" w:footer="323" w:gutter="0"/>
          <w:cols w:space="708"/>
          <w:docGrid w:linePitch="360"/>
        </w:sectPr>
      </w:pPr>
    </w:p>
    <w:p w14:paraId="063EDE9A" w14:textId="77777777" w:rsidR="00C82614" w:rsidRDefault="003A2DA8" w:rsidP="00E16272">
      <w:pPr>
        <w:pStyle w:val="Heading1"/>
      </w:pPr>
      <w:bookmarkStart w:id="671" w:name="_Toc116061449"/>
      <w:bookmarkStart w:id="672" w:name="_Toc113361311"/>
      <w:r>
        <w:lastRenderedPageBreak/>
        <w:t xml:space="preserve">Attachment C: </w:t>
      </w:r>
      <w:r w:rsidR="00BA013D">
        <w:t xml:space="preserve">Average </w:t>
      </w:r>
      <w:r w:rsidR="00A32F99">
        <w:t xml:space="preserve">free-to-air </w:t>
      </w:r>
      <w:r w:rsidR="00BA013D">
        <w:t>audience</w:t>
      </w:r>
      <w:r w:rsidR="00A32F99">
        <w:t xml:space="preserve">s </w:t>
      </w:r>
      <w:r w:rsidR="00BA013D">
        <w:t>for major sports</w:t>
      </w:r>
      <w:bookmarkEnd w:id="671"/>
    </w:p>
    <w:bookmarkEnd w:id="672"/>
    <w:p w14:paraId="282A350B" w14:textId="55B385A8" w:rsidR="00401088" w:rsidRDefault="00DD2334" w:rsidP="00401088">
      <w:pPr>
        <w:rPr>
          <w:rFonts w:cs="Times New Roman"/>
          <w:sz w:val="18"/>
          <w:szCs w:val="18"/>
          <w:lang w:val="en-US"/>
        </w:rPr>
      </w:pPr>
      <w:r w:rsidRPr="00DD2334">
        <w:rPr>
          <w:rFonts w:cs="Times New Roman"/>
          <w:sz w:val="18"/>
          <w:szCs w:val="18"/>
        </w:rPr>
        <w:t xml:space="preserve">Data copyright </w:t>
      </w:r>
      <w:r w:rsidRPr="00DD2334">
        <w:rPr>
          <w:rFonts w:cstheme="minorHAnsi"/>
          <w:sz w:val="18"/>
          <w:szCs w:val="18"/>
        </w:rPr>
        <w:t>©</w:t>
      </w:r>
      <w:r w:rsidRPr="00DD2334">
        <w:rPr>
          <w:rFonts w:cs="Times New Roman"/>
          <w:sz w:val="18"/>
          <w:szCs w:val="18"/>
        </w:rPr>
        <w:t xml:space="preserve"> OzTAM 2022</w:t>
      </w:r>
      <w:r w:rsidRPr="00DD2334">
        <w:rPr>
          <w:rFonts w:cs="Times New Roman"/>
          <w:sz w:val="18"/>
          <w:szCs w:val="18"/>
          <w:lang w:val="en-US"/>
        </w:rPr>
        <w:t xml:space="preserve"> The data may not be reproduced, published or communicated (electronically or in hard copy) in whole or in part, without prior written consent of OzTAM.</w:t>
      </w:r>
    </w:p>
    <w:p w14:paraId="631B4E81" w14:textId="77777777" w:rsidR="00DD2334" w:rsidRPr="00DD2334" w:rsidRDefault="00DD2334" w:rsidP="00401088">
      <w:pPr>
        <w:rPr>
          <w:sz w:val="18"/>
          <w:szCs w:val="18"/>
        </w:rPr>
      </w:pPr>
    </w:p>
    <w:tbl>
      <w:tblPr>
        <w:tblW w:w="0" w:type="auto"/>
        <w:jc w:val="center"/>
        <w:tblLayout w:type="fixed"/>
        <w:tblLook w:val="04A0" w:firstRow="1" w:lastRow="0" w:firstColumn="1" w:lastColumn="0" w:noHBand="0" w:noVBand="1"/>
      </w:tblPr>
      <w:tblGrid>
        <w:gridCol w:w="1502"/>
        <w:gridCol w:w="3308"/>
        <w:gridCol w:w="1843"/>
        <w:gridCol w:w="1015"/>
        <w:gridCol w:w="1015"/>
        <w:gridCol w:w="1016"/>
        <w:gridCol w:w="1015"/>
        <w:gridCol w:w="1015"/>
        <w:gridCol w:w="1016"/>
        <w:gridCol w:w="1015"/>
        <w:gridCol w:w="1016"/>
      </w:tblGrid>
      <w:tr w:rsidR="00624169" w:rsidRPr="00401088" w14:paraId="13231EE8" w14:textId="77777777" w:rsidTr="00EE44AF">
        <w:trPr>
          <w:trHeight w:val="300"/>
          <w:tblHeader/>
          <w:jc w:val="center"/>
        </w:trPr>
        <w:tc>
          <w:tcPr>
            <w:tcW w:w="1502" w:type="dxa"/>
            <w:tcBorders>
              <w:top w:val="single" w:sz="8" w:space="0" w:color="008089"/>
              <w:left w:val="single" w:sz="8" w:space="0" w:color="008089"/>
              <w:bottom w:val="single" w:sz="8" w:space="0" w:color="008089"/>
              <w:right w:val="nil"/>
            </w:tcBorders>
            <w:shd w:val="clear" w:color="000000" w:fill="081E3E"/>
            <w:vAlign w:val="center"/>
            <w:hideMark/>
          </w:tcPr>
          <w:p w14:paraId="320474A3" w14:textId="77777777" w:rsidR="00401088" w:rsidRPr="00401088" w:rsidRDefault="00401088" w:rsidP="00401088">
            <w:pPr>
              <w:suppressAutoHyphens w:val="0"/>
              <w:spacing w:before="0" w:after="0"/>
              <w:rPr>
                <w:rFonts w:ascii="Calibri" w:eastAsia="Times New Roman" w:hAnsi="Calibri" w:cs="Calibri"/>
                <w:b/>
                <w:bCs/>
                <w:color w:val="FFFFFF"/>
                <w:lang w:eastAsia="en-AU"/>
              </w:rPr>
            </w:pPr>
            <w:r w:rsidRPr="00401088">
              <w:rPr>
                <w:rFonts w:ascii="Calibri" w:eastAsia="Times New Roman" w:hAnsi="Calibri" w:cs="Calibri"/>
                <w:b/>
                <w:bCs/>
                <w:color w:val="FFFFFF"/>
                <w:lang w:eastAsia="en-AU"/>
              </w:rPr>
              <w:t>SPORT</w:t>
            </w:r>
          </w:p>
        </w:tc>
        <w:tc>
          <w:tcPr>
            <w:tcW w:w="3308" w:type="dxa"/>
            <w:tcBorders>
              <w:top w:val="single" w:sz="8" w:space="0" w:color="008089"/>
              <w:left w:val="nil"/>
              <w:bottom w:val="single" w:sz="8" w:space="0" w:color="008089"/>
              <w:right w:val="nil"/>
            </w:tcBorders>
            <w:shd w:val="clear" w:color="000000" w:fill="081E3E"/>
            <w:vAlign w:val="center"/>
            <w:hideMark/>
          </w:tcPr>
          <w:p w14:paraId="6FFB5AA4" w14:textId="77777777" w:rsidR="00401088" w:rsidRPr="00401088" w:rsidRDefault="00401088" w:rsidP="00401088">
            <w:pPr>
              <w:suppressAutoHyphens w:val="0"/>
              <w:spacing w:before="0" w:after="0"/>
              <w:rPr>
                <w:rFonts w:ascii="Calibri" w:eastAsia="Times New Roman" w:hAnsi="Calibri" w:cs="Calibri"/>
                <w:b/>
                <w:bCs/>
                <w:color w:val="FFFFFF"/>
                <w:lang w:eastAsia="en-AU"/>
              </w:rPr>
            </w:pPr>
            <w:r w:rsidRPr="00401088">
              <w:rPr>
                <w:rFonts w:ascii="Calibri" w:eastAsia="Times New Roman" w:hAnsi="Calibri" w:cs="Calibri"/>
                <w:b/>
                <w:bCs/>
                <w:color w:val="FFFFFF"/>
                <w:lang w:eastAsia="en-AU"/>
              </w:rPr>
              <w:t>COMPETITION OR EVENT</w:t>
            </w:r>
          </w:p>
        </w:tc>
        <w:tc>
          <w:tcPr>
            <w:tcW w:w="1843" w:type="dxa"/>
            <w:tcBorders>
              <w:top w:val="single" w:sz="8" w:space="0" w:color="008089"/>
              <w:left w:val="nil"/>
              <w:bottom w:val="single" w:sz="8" w:space="0" w:color="008089"/>
              <w:right w:val="nil"/>
            </w:tcBorders>
            <w:shd w:val="clear" w:color="000000" w:fill="081E3E"/>
            <w:vAlign w:val="center"/>
            <w:hideMark/>
          </w:tcPr>
          <w:p w14:paraId="18D14615" w14:textId="77777777" w:rsidR="00401088" w:rsidRPr="00401088" w:rsidRDefault="00401088" w:rsidP="00401088">
            <w:pPr>
              <w:suppressAutoHyphens w:val="0"/>
              <w:spacing w:before="0" w:after="0"/>
              <w:rPr>
                <w:rFonts w:ascii="Calibri" w:eastAsia="Times New Roman" w:hAnsi="Calibri" w:cs="Calibri"/>
                <w:b/>
                <w:bCs/>
                <w:color w:val="FFFFFF"/>
                <w:lang w:eastAsia="en-AU"/>
              </w:rPr>
            </w:pPr>
            <w:r w:rsidRPr="00401088">
              <w:rPr>
                <w:rFonts w:ascii="Calibri" w:eastAsia="Times New Roman" w:hAnsi="Calibri" w:cs="Calibri"/>
                <w:b/>
                <w:bCs/>
                <w:color w:val="FFFFFF"/>
                <w:lang w:eastAsia="en-AU"/>
              </w:rPr>
              <w:t>DETAILS OF AVERAGE</w:t>
            </w:r>
          </w:p>
        </w:tc>
        <w:tc>
          <w:tcPr>
            <w:tcW w:w="1015" w:type="dxa"/>
            <w:tcBorders>
              <w:top w:val="single" w:sz="8" w:space="0" w:color="008089"/>
              <w:left w:val="nil"/>
              <w:bottom w:val="single" w:sz="8" w:space="0" w:color="008089"/>
              <w:right w:val="nil"/>
            </w:tcBorders>
            <w:shd w:val="clear" w:color="000000" w:fill="081E3E"/>
            <w:vAlign w:val="center"/>
            <w:hideMark/>
          </w:tcPr>
          <w:p w14:paraId="2F7A5AE3" w14:textId="77777777" w:rsidR="00401088" w:rsidRPr="00401088" w:rsidRDefault="00401088" w:rsidP="00401088">
            <w:pPr>
              <w:suppressAutoHyphens w:val="0"/>
              <w:spacing w:before="0" w:after="0"/>
              <w:jc w:val="right"/>
              <w:rPr>
                <w:rFonts w:ascii="Calibri" w:eastAsia="Times New Roman" w:hAnsi="Calibri" w:cs="Calibri"/>
                <w:b/>
                <w:bCs/>
                <w:color w:val="FFFFFF"/>
                <w:lang w:eastAsia="en-AU"/>
              </w:rPr>
            </w:pPr>
            <w:r w:rsidRPr="00401088">
              <w:rPr>
                <w:rFonts w:ascii="Calibri" w:eastAsia="Times New Roman" w:hAnsi="Calibri" w:cs="Calibri"/>
                <w:b/>
                <w:bCs/>
                <w:color w:val="FFFFFF"/>
                <w:lang w:eastAsia="en-AU"/>
              </w:rPr>
              <w:t>2015</w:t>
            </w:r>
          </w:p>
        </w:tc>
        <w:tc>
          <w:tcPr>
            <w:tcW w:w="1015" w:type="dxa"/>
            <w:tcBorders>
              <w:top w:val="single" w:sz="8" w:space="0" w:color="008089"/>
              <w:left w:val="nil"/>
              <w:bottom w:val="single" w:sz="8" w:space="0" w:color="008089"/>
              <w:right w:val="nil"/>
            </w:tcBorders>
            <w:shd w:val="clear" w:color="000000" w:fill="081E3E"/>
            <w:vAlign w:val="center"/>
            <w:hideMark/>
          </w:tcPr>
          <w:p w14:paraId="03FD8658" w14:textId="77777777" w:rsidR="00401088" w:rsidRPr="00401088" w:rsidRDefault="00401088" w:rsidP="00401088">
            <w:pPr>
              <w:suppressAutoHyphens w:val="0"/>
              <w:spacing w:before="0" w:after="0"/>
              <w:jc w:val="right"/>
              <w:rPr>
                <w:rFonts w:ascii="Calibri" w:eastAsia="Times New Roman" w:hAnsi="Calibri" w:cs="Calibri"/>
                <w:b/>
                <w:bCs/>
                <w:color w:val="FFFFFF"/>
                <w:lang w:eastAsia="en-AU"/>
              </w:rPr>
            </w:pPr>
            <w:r w:rsidRPr="00401088">
              <w:rPr>
                <w:rFonts w:ascii="Calibri" w:eastAsia="Times New Roman" w:hAnsi="Calibri" w:cs="Calibri"/>
                <w:b/>
                <w:bCs/>
                <w:color w:val="FFFFFF"/>
                <w:lang w:eastAsia="en-AU"/>
              </w:rPr>
              <w:t>2016</w:t>
            </w:r>
          </w:p>
        </w:tc>
        <w:tc>
          <w:tcPr>
            <w:tcW w:w="1016" w:type="dxa"/>
            <w:tcBorders>
              <w:top w:val="single" w:sz="8" w:space="0" w:color="008089"/>
              <w:left w:val="nil"/>
              <w:bottom w:val="single" w:sz="8" w:space="0" w:color="008089"/>
              <w:right w:val="nil"/>
            </w:tcBorders>
            <w:shd w:val="clear" w:color="000000" w:fill="081E3E"/>
            <w:vAlign w:val="center"/>
            <w:hideMark/>
          </w:tcPr>
          <w:p w14:paraId="30178336" w14:textId="77777777" w:rsidR="00401088" w:rsidRPr="00401088" w:rsidRDefault="00401088" w:rsidP="00401088">
            <w:pPr>
              <w:suppressAutoHyphens w:val="0"/>
              <w:spacing w:before="0" w:after="0"/>
              <w:jc w:val="right"/>
              <w:rPr>
                <w:rFonts w:ascii="Calibri" w:eastAsia="Times New Roman" w:hAnsi="Calibri" w:cs="Calibri"/>
                <w:b/>
                <w:bCs/>
                <w:color w:val="FFFFFF"/>
                <w:lang w:eastAsia="en-AU"/>
              </w:rPr>
            </w:pPr>
            <w:r w:rsidRPr="00401088">
              <w:rPr>
                <w:rFonts w:ascii="Calibri" w:eastAsia="Times New Roman" w:hAnsi="Calibri" w:cs="Calibri"/>
                <w:b/>
                <w:bCs/>
                <w:color w:val="FFFFFF"/>
                <w:lang w:eastAsia="en-AU"/>
              </w:rPr>
              <w:t>2017</w:t>
            </w:r>
          </w:p>
        </w:tc>
        <w:tc>
          <w:tcPr>
            <w:tcW w:w="1015" w:type="dxa"/>
            <w:tcBorders>
              <w:top w:val="single" w:sz="8" w:space="0" w:color="008089"/>
              <w:left w:val="nil"/>
              <w:bottom w:val="single" w:sz="8" w:space="0" w:color="008089"/>
              <w:right w:val="nil"/>
            </w:tcBorders>
            <w:shd w:val="clear" w:color="000000" w:fill="081E3E"/>
            <w:vAlign w:val="center"/>
            <w:hideMark/>
          </w:tcPr>
          <w:p w14:paraId="11116CA9" w14:textId="77777777" w:rsidR="00401088" w:rsidRPr="00401088" w:rsidRDefault="00401088" w:rsidP="00401088">
            <w:pPr>
              <w:suppressAutoHyphens w:val="0"/>
              <w:spacing w:before="0" w:after="0"/>
              <w:jc w:val="right"/>
              <w:rPr>
                <w:rFonts w:ascii="Calibri" w:eastAsia="Times New Roman" w:hAnsi="Calibri" w:cs="Calibri"/>
                <w:b/>
                <w:bCs/>
                <w:color w:val="FFFFFF"/>
                <w:lang w:eastAsia="en-AU"/>
              </w:rPr>
            </w:pPr>
            <w:r w:rsidRPr="00401088">
              <w:rPr>
                <w:rFonts w:ascii="Calibri" w:eastAsia="Times New Roman" w:hAnsi="Calibri" w:cs="Calibri"/>
                <w:b/>
                <w:bCs/>
                <w:color w:val="FFFFFF"/>
                <w:lang w:eastAsia="en-AU"/>
              </w:rPr>
              <w:t>2018</w:t>
            </w:r>
          </w:p>
        </w:tc>
        <w:tc>
          <w:tcPr>
            <w:tcW w:w="1015" w:type="dxa"/>
            <w:tcBorders>
              <w:top w:val="single" w:sz="8" w:space="0" w:color="008089"/>
              <w:left w:val="nil"/>
              <w:bottom w:val="single" w:sz="8" w:space="0" w:color="008089"/>
              <w:right w:val="nil"/>
            </w:tcBorders>
            <w:shd w:val="clear" w:color="000000" w:fill="081E3E"/>
            <w:vAlign w:val="center"/>
            <w:hideMark/>
          </w:tcPr>
          <w:p w14:paraId="64825227" w14:textId="77777777" w:rsidR="00401088" w:rsidRPr="00401088" w:rsidRDefault="00401088" w:rsidP="00401088">
            <w:pPr>
              <w:suppressAutoHyphens w:val="0"/>
              <w:spacing w:before="0" w:after="0"/>
              <w:jc w:val="right"/>
              <w:rPr>
                <w:rFonts w:ascii="Calibri" w:eastAsia="Times New Roman" w:hAnsi="Calibri" w:cs="Calibri"/>
                <w:b/>
                <w:bCs/>
                <w:color w:val="FFFFFF"/>
                <w:lang w:eastAsia="en-AU"/>
              </w:rPr>
            </w:pPr>
            <w:r w:rsidRPr="00401088">
              <w:rPr>
                <w:rFonts w:ascii="Calibri" w:eastAsia="Times New Roman" w:hAnsi="Calibri" w:cs="Calibri"/>
                <w:b/>
                <w:bCs/>
                <w:color w:val="FFFFFF"/>
                <w:lang w:eastAsia="en-AU"/>
              </w:rPr>
              <w:t>2019</w:t>
            </w:r>
          </w:p>
        </w:tc>
        <w:tc>
          <w:tcPr>
            <w:tcW w:w="1016" w:type="dxa"/>
            <w:tcBorders>
              <w:top w:val="single" w:sz="8" w:space="0" w:color="008089"/>
              <w:left w:val="nil"/>
              <w:bottom w:val="single" w:sz="8" w:space="0" w:color="008089"/>
              <w:right w:val="nil"/>
            </w:tcBorders>
            <w:shd w:val="clear" w:color="000000" w:fill="081E3E"/>
            <w:vAlign w:val="center"/>
            <w:hideMark/>
          </w:tcPr>
          <w:p w14:paraId="76969C4C" w14:textId="77777777" w:rsidR="00401088" w:rsidRPr="00401088" w:rsidRDefault="00401088" w:rsidP="00401088">
            <w:pPr>
              <w:suppressAutoHyphens w:val="0"/>
              <w:spacing w:before="0" w:after="0"/>
              <w:jc w:val="right"/>
              <w:rPr>
                <w:rFonts w:ascii="Calibri" w:eastAsia="Times New Roman" w:hAnsi="Calibri" w:cs="Calibri"/>
                <w:b/>
                <w:bCs/>
                <w:color w:val="FFFFFF"/>
                <w:lang w:eastAsia="en-AU"/>
              </w:rPr>
            </w:pPr>
            <w:r w:rsidRPr="00401088">
              <w:rPr>
                <w:rFonts w:ascii="Calibri" w:eastAsia="Times New Roman" w:hAnsi="Calibri" w:cs="Calibri"/>
                <w:b/>
                <w:bCs/>
                <w:color w:val="FFFFFF"/>
                <w:lang w:eastAsia="en-AU"/>
              </w:rPr>
              <w:t>2020</w:t>
            </w:r>
          </w:p>
        </w:tc>
        <w:tc>
          <w:tcPr>
            <w:tcW w:w="1015" w:type="dxa"/>
            <w:tcBorders>
              <w:top w:val="single" w:sz="8" w:space="0" w:color="008089"/>
              <w:left w:val="nil"/>
              <w:bottom w:val="single" w:sz="8" w:space="0" w:color="008089"/>
              <w:right w:val="nil"/>
            </w:tcBorders>
            <w:shd w:val="clear" w:color="000000" w:fill="081E3E"/>
            <w:vAlign w:val="center"/>
            <w:hideMark/>
          </w:tcPr>
          <w:p w14:paraId="0AF712AA" w14:textId="77777777" w:rsidR="00401088" w:rsidRPr="00401088" w:rsidRDefault="00401088" w:rsidP="00401088">
            <w:pPr>
              <w:suppressAutoHyphens w:val="0"/>
              <w:spacing w:before="0" w:after="0"/>
              <w:jc w:val="right"/>
              <w:rPr>
                <w:rFonts w:ascii="Calibri" w:eastAsia="Times New Roman" w:hAnsi="Calibri" w:cs="Calibri"/>
                <w:b/>
                <w:bCs/>
                <w:color w:val="FFFFFF"/>
                <w:lang w:eastAsia="en-AU"/>
              </w:rPr>
            </w:pPr>
            <w:r w:rsidRPr="00401088">
              <w:rPr>
                <w:rFonts w:ascii="Calibri" w:eastAsia="Times New Roman" w:hAnsi="Calibri" w:cs="Calibri"/>
                <w:b/>
                <w:bCs/>
                <w:color w:val="FFFFFF"/>
                <w:lang w:eastAsia="en-AU"/>
              </w:rPr>
              <w:t>2021</w:t>
            </w:r>
          </w:p>
        </w:tc>
        <w:tc>
          <w:tcPr>
            <w:tcW w:w="1016" w:type="dxa"/>
            <w:tcBorders>
              <w:top w:val="single" w:sz="8" w:space="0" w:color="008089"/>
              <w:left w:val="nil"/>
              <w:bottom w:val="single" w:sz="8" w:space="0" w:color="008089"/>
              <w:right w:val="single" w:sz="8" w:space="0" w:color="008089"/>
            </w:tcBorders>
            <w:shd w:val="clear" w:color="000000" w:fill="081E3E"/>
            <w:vAlign w:val="center"/>
            <w:hideMark/>
          </w:tcPr>
          <w:p w14:paraId="4393AB65" w14:textId="77777777" w:rsidR="00401088" w:rsidRPr="00401088" w:rsidRDefault="00401088" w:rsidP="00401088">
            <w:pPr>
              <w:suppressAutoHyphens w:val="0"/>
              <w:spacing w:before="0" w:after="0"/>
              <w:jc w:val="right"/>
              <w:rPr>
                <w:rFonts w:ascii="Calibri" w:eastAsia="Times New Roman" w:hAnsi="Calibri" w:cs="Calibri"/>
                <w:b/>
                <w:bCs/>
                <w:color w:val="FFFFFF"/>
                <w:lang w:eastAsia="en-AU"/>
              </w:rPr>
            </w:pPr>
            <w:r w:rsidRPr="00401088">
              <w:rPr>
                <w:rFonts w:ascii="Calibri" w:eastAsia="Times New Roman" w:hAnsi="Calibri" w:cs="Calibri"/>
                <w:b/>
                <w:bCs/>
                <w:color w:val="FFFFFF"/>
                <w:lang w:eastAsia="en-AU"/>
              </w:rPr>
              <w:t>2022</w:t>
            </w:r>
          </w:p>
        </w:tc>
      </w:tr>
      <w:tr w:rsidR="00401088" w:rsidRPr="00401088" w14:paraId="5C912FBC" w14:textId="77777777" w:rsidTr="00F85D80">
        <w:trPr>
          <w:trHeight w:val="301"/>
          <w:jc w:val="center"/>
        </w:trPr>
        <w:tc>
          <w:tcPr>
            <w:tcW w:w="14776" w:type="dxa"/>
            <w:gridSpan w:val="11"/>
            <w:tcBorders>
              <w:top w:val="single" w:sz="8" w:space="0" w:color="008089"/>
              <w:left w:val="single" w:sz="8" w:space="0" w:color="008089"/>
              <w:bottom w:val="single" w:sz="8" w:space="0" w:color="008089"/>
              <w:right w:val="single" w:sz="8" w:space="0" w:color="008089"/>
            </w:tcBorders>
            <w:shd w:val="clear" w:color="000000" w:fill="F2F6E8"/>
            <w:vAlign w:val="center"/>
            <w:hideMark/>
          </w:tcPr>
          <w:p w14:paraId="45655C42" w14:textId="77777777" w:rsidR="00401088" w:rsidRPr="00401088" w:rsidRDefault="00401088" w:rsidP="00401088">
            <w:pPr>
              <w:suppressAutoHyphens w:val="0"/>
              <w:spacing w:before="0" w:after="0"/>
              <w:rPr>
                <w:rFonts w:ascii="Calibri" w:eastAsia="Times New Roman" w:hAnsi="Calibri" w:cs="Calibri"/>
                <w:color w:val="000000"/>
                <w:lang w:eastAsia="en-AU"/>
              </w:rPr>
            </w:pPr>
            <w:r w:rsidRPr="00401088">
              <w:rPr>
                <w:rFonts w:ascii="Calibri" w:eastAsia="Times New Roman" w:hAnsi="Calibri" w:cs="Calibri"/>
                <w:color w:val="000000"/>
                <w:lang w:eastAsia="en-AU"/>
              </w:rPr>
              <w:t xml:space="preserve"> FOOTBALL</w:t>
            </w:r>
          </w:p>
        </w:tc>
      </w:tr>
      <w:tr w:rsidR="00624169" w:rsidRPr="00401088" w14:paraId="5CFDC365" w14:textId="77777777" w:rsidTr="00624169">
        <w:trPr>
          <w:trHeight w:val="290"/>
          <w:jc w:val="center"/>
        </w:trPr>
        <w:tc>
          <w:tcPr>
            <w:tcW w:w="1502" w:type="dxa"/>
            <w:vMerge w:val="restart"/>
            <w:tcBorders>
              <w:top w:val="nil"/>
              <w:left w:val="single" w:sz="8" w:space="0" w:color="008089"/>
              <w:bottom w:val="single" w:sz="8" w:space="0" w:color="008089"/>
              <w:right w:val="nil"/>
            </w:tcBorders>
            <w:shd w:val="clear" w:color="000000" w:fill="F2F2F2"/>
            <w:vAlign w:val="center"/>
            <w:hideMark/>
          </w:tcPr>
          <w:p w14:paraId="48E11E61" w14:textId="77777777" w:rsidR="00401088" w:rsidRPr="00DB204C" w:rsidRDefault="00401088" w:rsidP="00401088">
            <w:pPr>
              <w:suppressAutoHyphens w:val="0"/>
              <w:spacing w:before="0" w:after="0"/>
              <w:jc w:val="center"/>
              <w:rPr>
                <w:rFonts w:ascii="Calibri" w:eastAsia="Times New Roman" w:hAnsi="Calibri" w:cs="Calibri"/>
                <w:b/>
                <w:bCs/>
                <w:color w:val="000000"/>
                <w:sz w:val="18"/>
                <w:szCs w:val="18"/>
                <w:lang w:eastAsia="en-AU"/>
              </w:rPr>
            </w:pPr>
            <w:r w:rsidRPr="00DB204C">
              <w:rPr>
                <w:rFonts w:ascii="Calibri" w:eastAsia="Times New Roman" w:hAnsi="Calibri" w:cs="Calibri"/>
                <w:b/>
                <w:bCs/>
                <w:color w:val="000000"/>
                <w:sz w:val="18"/>
                <w:szCs w:val="18"/>
                <w:lang w:eastAsia="en-AU"/>
              </w:rPr>
              <w:t>Australian Rules Football</w:t>
            </w:r>
          </w:p>
        </w:tc>
        <w:tc>
          <w:tcPr>
            <w:tcW w:w="3308" w:type="dxa"/>
            <w:tcBorders>
              <w:top w:val="nil"/>
              <w:left w:val="nil"/>
              <w:bottom w:val="single" w:sz="4" w:space="0" w:color="008089"/>
              <w:right w:val="nil"/>
            </w:tcBorders>
            <w:shd w:val="clear" w:color="000000" w:fill="F2F2F2"/>
            <w:vAlign w:val="center"/>
            <w:hideMark/>
          </w:tcPr>
          <w:p w14:paraId="7F575C55" w14:textId="77777777" w:rsidR="00401088" w:rsidRPr="00DB204C" w:rsidRDefault="00401088" w:rsidP="00401088">
            <w:pPr>
              <w:suppressAutoHyphens w:val="0"/>
              <w:spacing w:before="0" w:after="0"/>
              <w:rPr>
                <w:rFonts w:ascii="Calibri" w:eastAsia="Times New Roman" w:hAnsi="Calibri" w:cs="Calibri"/>
                <w:color w:val="000000"/>
                <w:sz w:val="18"/>
                <w:szCs w:val="18"/>
                <w:lang w:eastAsia="en-AU"/>
              </w:rPr>
            </w:pPr>
            <w:r w:rsidRPr="00DB204C">
              <w:rPr>
                <w:rFonts w:ascii="Calibri" w:eastAsia="Times New Roman" w:hAnsi="Calibri" w:cs="Calibri"/>
                <w:color w:val="000000"/>
                <w:sz w:val="18"/>
                <w:szCs w:val="18"/>
                <w:lang w:eastAsia="en-AU"/>
              </w:rPr>
              <w:t>AFL Men's Grand Final</w:t>
            </w:r>
          </w:p>
        </w:tc>
        <w:tc>
          <w:tcPr>
            <w:tcW w:w="1843" w:type="dxa"/>
            <w:tcBorders>
              <w:top w:val="nil"/>
              <w:left w:val="nil"/>
              <w:bottom w:val="single" w:sz="4" w:space="0" w:color="008089"/>
              <w:right w:val="nil"/>
            </w:tcBorders>
            <w:shd w:val="clear" w:color="000000" w:fill="F2F2F2"/>
            <w:vAlign w:val="center"/>
            <w:hideMark/>
          </w:tcPr>
          <w:p w14:paraId="557E14B3" w14:textId="77777777" w:rsidR="00401088" w:rsidRPr="00F85D80" w:rsidRDefault="00401088" w:rsidP="00401088">
            <w:pPr>
              <w:suppressAutoHyphens w:val="0"/>
              <w:spacing w:before="0" w:after="0"/>
              <w:rPr>
                <w:rFonts w:ascii="Calibri" w:eastAsia="Times New Roman" w:hAnsi="Calibri" w:cs="Calibri"/>
                <w:color w:val="000000"/>
                <w:sz w:val="16"/>
                <w:szCs w:val="16"/>
                <w:lang w:eastAsia="en-AU"/>
              </w:rPr>
            </w:pPr>
            <w:r w:rsidRPr="00F85D80">
              <w:rPr>
                <w:rFonts w:ascii="Calibri" w:eastAsia="Times New Roman" w:hAnsi="Calibri" w:cs="Calibri"/>
                <w:color w:val="000000"/>
                <w:sz w:val="16"/>
                <w:szCs w:val="16"/>
                <w:lang w:eastAsia="en-AU"/>
              </w:rPr>
              <w:t>Single match</w:t>
            </w:r>
          </w:p>
        </w:tc>
        <w:tc>
          <w:tcPr>
            <w:tcW w:w="1015" w:type="dxa"/>
            <w:tcBorders>
              <w:top w:val="nil"/>
              <w:left w:val="nil"/>
              <w:bottom w:val="single" w:sz="4" w:space="0" w:color="008089"/>
              <w:right w:val="nil"/>
            </w:tcBorders>
            <w:shd w:val="clear" w:color="000000" w:fill="F2F2F2"/>
            <w:vAlign w:val="center"/>
            <w:hideMark/>
          </w:tcPr>
          <w:p w14:paraId="60ECFF8D"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2,645,000</w:t>
            </w:r>
          </w:p>
        </w:tc>
        <w:tc>
          <w:tcPr>
            <w:tcW w:w="1015" w:type="dxa"/>
            <w:tcBorders>
              <w:top w:val="nil"/>
              <w:left w:val="nil"/>
              <w:bottom w:val="single" w:sz="4" w:space="0" w:color="008089"/>
              <w:right w:val="nil"/>
            </w:tcBorders>
            <w:shd w:val="clear" w:color="000000" w:fill="F2F2F2"/>
            <w:vAlign w:val="center"/>
            <w:hideMark/>
          </w:tcPr>
          <w:p w14:paraId="7F14ACF8"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3,070,000</w:t>
            </w:r>
          </w:p>
        </w:tc>
        <w:tc>
          <w:tcPr>
            <w:tcW w:w="1016" w:type="dxa"/>
            <w:tcBorders>
              <w:top w:val="nil"/>
              <w:left w:val="nil"/>
              <w:bottom w:val="single" w:sz="4" w:space="0" w:color="008089"/>
              <w:right w:val="nil"/>
            </w:tcBorders>
            <w:shd w:val="clear" w:color="000000" w:fill="F2F2F2"/>
            <w:vAlign w:val="center"/>
            <w:hideMark/>
          </w:tcPr>
          <w:p w14:paraId="573CA3BF"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2,715,000</w:t>
            </w:r>
          </w:p>
        </w:tc>
        <w:tc>
          <w:tcPr>
            <w:tcW w:w="1015" w:type="dxa"/>
            <w:tcBorders>
              <w:top w:val="nil"/>
              <w:left w:val="nil"/>
              <w:bottom w:val="single" w:sz="4" w:space="0" w:color="008089"/>
              <w:right w:val="nil"/>
            </w:tcBorders>
            <w:shd w:val="clear" w:color="000000" w:fill="F2F2F2"/>
            <w:vAlign w:val="center"/>
            <w:hideMark/>
          </w:tcPr>
          <w:p w14:paraId="4C62C7C1"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2,610,000</w:t>
            </w:r>
          </w:p>
        </w:tc>
        <w:tc>
          <w:tcPr>
            <w:tcW w:w="1015" w:type="dxa"/>
            <w:tcBorders>
              <w:top w:val="nil"/>
              <w:left w:val="nil"/>
              <w:bottom w:val="single" w:sz="4" w:space="0" w:color="008089"/>
              <w:right w:val="nil"/>
            </w:tcBorders>
            <w:shd w:val="clear" w:color="000000" w:fill="F2F2F2"/>
            <w:vAlign w:val="center"/>
            <w:hideMark/>
          </w:tcPr>
          <w:p w14:paraId="04960A23"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2,214,000</w:t>
            </w:r>
          </w:p>
        </w:tc>
        <w:tc>
          <w:tcPr>
            <w:tcW w:w="1016" w:type="dxa"/>
            <w:tcBorders>
              <w:top w:val="nil"/>
              <w:left w:val="nil"/>
              <w:bottom w:val="single" w:sz="4" w:space="0" w:color="008089"/>
              <w:right w:val="nil"/>
            </w:tcBorders>
            <w:shd w:val="clear" w:color="000000" w:fill="F2F2F2"/>
            <w:vAlign w:val="center"/>
            <w:hideMark/>
          </w:tcPr>
          <w:p w14:paraId="0B0F9E16"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3,011,000</w:t>
            </w:r>
          </w:p>
        </w:tc>
        <w:tc>
          <w:tcPr>
            <w:tcW w:w="1015" w:type="dxa"/>
            <w:tcBorders>
              <w:top w:val="nil"/>
              <w:left w:val="nil"/>
              <w:bottom w:val="single" w:sz="4" w:space="0" w:color="008089"/>
              <w:right w:val="nil"/>
            </w:tcBorders>
            <w:shd w:val="clear" w:color="000000" w:fill="F2F2F2"/>
            <w:vAlign w:val="center"/>
            <w:hideMark/>
          </w:tcPr>
          <w:p w14:paraId="71305C66"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3,042,000</w:t>
            </w:r>
          </w:p>
        </w:tc>
        <w:tc>
          <w:tcPr>
            <w:tcW w:w="1016" w:type="dxa"/>
            <w:tcBorders>
              <w:top w:val="nil"/>
              <w:left w:val="nil"/>
              <w:bottom w:val="single" w:sz="4" w:space="0" w:color="008089"/>
              <w:right w:val="single" w:sz="8" w:space="0" w:color="008089"/>
            </w:tcBorders>
            <w:shd w:val="clear" w:color="000000" w:fill="F2F2F2"/>
            <w:vAlign w:val="center"/>
            <w:hideMark/>
          </w:tcPr>
          <w:p w14:paraId="6755ADE9" w14:textId="77777777" w:rsidR="00401088" w:rsidRPr="00624169" w:rsidRDefault="00401088" w:rsidP="00401088">
            <w:pPr>
              <w:suppressAutoHyphens w:val="0"/>
              <w:spacing w:before="0" w:after="0"/>
              <w:jc w:val="right"/>
              <w:rPr>
                <w:rFonts w:ascii="Calibri" w:eastAsia="Times New Roman" w:hAnsi="Calibri" w:cs="Calibri"/>
                <w:i/>
                <w:iCs/>
                <w:color w:val="auto"/>
                <w:sz w:val="18"/>
                <w:szCs w:val="18"/>
                <w:lang w:eastAsia="en-AU"/>
              </w:rPr>
            </w:pPr>
            <w:r w:rsidRPr="00624169">
              <w:rPr>
                <w:rFonts w:ascii="Calibri" w:eastAsia="Times New Roman" w:hAnsi="Calibri" w:cs="Calibri"/>
                <w:i/>
                <w:iCs/>
                <w:color w:val="auto"/>
                <w:sz w:val="18"/>
                <w:szCs w:val="18"/>
                <w:lang w:eastAsia="en-AU"/>
              </w:rPr>
              <w:t>enc</w:t>
            </w:r>
          </w:p>
        </w:tc>
      </w:tr>
      <w:tr w:rsidR="00624169" w:rsidRPr="00401088" w14:paraId="093A1CCB" w14:textId="77777777" w:rsidTr="00624169">
        <w:trPr>
          <w:trHeight w:val="290"/>
          <w:jc w:val="center"/>
        </w:trPr>
        <w:tc>
          <w:tcPr>
            <w:tcW w:w="1502" w:type="dxa"/>
            <w:vMerge/>
            <w:tcBorders>
              <w:top w:val="nil"/>
              <w:left w:val="single" w:sz="8" w:space="0" w:color="008089"/>
              <w:bottom w:val="single" w:sz="8" w:space="0" w:color="008089"/>
              <w:right w:val="nil"/>
            </w:tcBorders>
            <w:vAlign w:val="center"/>
            <w:hideMark/>
          </w:tcPr>
          <w:p w14:paraId="0E3DEE48" w14:textId="77777777" w:rsidR="00401088" w:rsidRPr="00DB204C" w:rsidRDefault="00401088" w:rsidP="00401088">
            <w:pPr>
              <w:suppressAutoHyphens w:val="0"/>
              <w:spacing w:before="0" w:after="0"/>
              <w:rPr>
                <w:rFonts w:ascii="Calibri" w:eastAsia="Times New Roman" w:hAnsi="Calibri" w:cs="Calibri"/>
                <w:b/>
                <w:bCs/>
                <w:color w:val="000000"/>
                <w:sz w:val="18"/>
                <w:szCs w:val="18"/>
                <w:lang w:eastAsia="en-AU"/>
              </w:rPr>
            </w:pPr>
          </w:p>
        </w:tc>
        <w:tc>
          <w:tcPr>
            <w:tcW w:w="3308" w:type="dxa"/>
            <w:tcBorders>
              <w:top w:val="nil"/>
              <w:left w:val="nil"/>
              <w:bottom w:val="single" w:sz="4" w:space="0" w:color="008089"/>
              <w:right w:val="nil"/>
            </w:tcBorders>
            <w:shd w:val="clear" w:color="000000" w:fill="F2F2F2"/>
            <w:vAlign w:val="center"/>
            <w:hideMark/>
          </w:tcPr>
          <w:p w14:paraId="78EB0BE8" w14:textId="77777777" w:rsidR="00401088" w:rsidRPr="00DB204C" w:rsidRDefault="00401088" w:rsidP="00401088">
            <w:pPr>
              <w:suppressAutoHyphens w:val="0"/>
              <w:spacing w:before="0" w:after="0"/>
              <w:rPr>
                <w:rFonts w:ascii="Calibri" w:eastAsia="Times New Roman" w:hAnsi="Calibri" w:cs="Calibri"/>
                <w:color w:val="000000"/>
                <w:sz w:val="18"/>
                <w:szCs w:val="18"/>
                <w:lang w:eastAsia="en-AU"/>
              </w:rPr>
            </w:pPr>
            <w:r w:rsidRPr="00DB204C">
              <w:rPr>
                <w:rFonts w:ascii="Calibri" w:eastAsia="Times New Roman" w:hAnsi="Calibri" w:cs="Calibri"/>
                <w:color w:val="000000"/>
                <w:sz w:val="18"/>
                <w:szCs w:val="18"/>
                <w:lang w:eastAsia="en-AU"/>
              </w:rPr>
              <w:t xml:space="preserve">AFL Men's Premiership </w:t>
            </w:r>
          </w:p>
        </w:tc>
        <w:tc>
          <w:tcPr>
            <w:tcW w:w="1843" w:type="dxa"/>
            <w:tcBorders>
              <w:top w:val="nil"/>
              <w:left w:val="nil"/>
              <w:bottom w:val="single" w:sz="4" w:space="0" w:color="008089"/>
              <w:right w:val="nil"/>
            </w:tcBorders>
            <w:shd w:val="clear" w:color="000000" w:fill="F2F2F2"/>
            <w:vAlign w:val="center"/>
            <w:hideMark/>
          </w:tcPr>
          <w:p w14:paraId="6C34B59F" w14:textId="77777777" w:rsidR="00401088" w:rsidRPr="00F85D80" w:rsidRDefault="00401088" w:rsidP="00401088">
            <w:pPr>
              <w:suppressAutoHyphens w:val="0"/>
              <w:spacing w:before="0" w:after="0"/>
              <w:rPr>
                <w:rFonts w:ascii="Calibri" w:eastAsia="Times New Roman" w:hAnsi="Calibri" w:cs="Calibri"/>
                <w:color w:val="000000"/>
                <w:sz w:val="16"/>
                <w:szCs w:val="16"/>
                <w:lang w:eastAsia="en-AU"/>
              </w:rPr>
            </w:pPr>
            <w:r w:rsidRPr="00F85D80">
              <w:rPr>
                <w:rFonts w:ascii="Calibri" w:eastAsia="Times New Roman" w:hAnsi="Calibri" w:cs="Calibri"/>
                <w:color w:val="000000"/>
                <w:sz w:val="16"/>
                <w:szCs w:val="16"/>
                <w:lang w:eastAsia="en-AU"/>
              </w:rPr>
              <w:t>Friday night average</w:t>
            </w:r>
          </w:p>
        </w:tc>
        <w:tc>
          <w:tcPr>
            <w:tcW w:w="1015" w:type="dxa"/>
            <w:tcBorders>
              <w:top w:val="nil"/>
              <w:left w:val="nil"/>
              <w:bottom w:val="single" w:sz="4" w:space="0" w:color="008089"/>
              <w:right w:val="nil"/>
            </w:tcBorders>
            <w:shd w:val="clear" w:color="000000" w:fill="F2F2F2"/>
            <w:vAlign w:val="center"/>
            <w:hideMark/>
          </w:tcPr>
          <w:p w14:paraId="3D2875CB" w14:textId="77777777" w:rsidR="00401088" w:rsidRPr="00624169" w:rsidRDefault="00401088" w:rsidP="00401088">
            <w:pPr>
              <w:suppressAutoHyphens w:val="0"/>
              <w:spacing w:before="0" w:after="0"/>
              <w:jc w:val="right"/>
              <w:rPr>
                <w:rFonts w:ascii="Calibri" w:eastAsia="Times New Roman" w:hAnsi="Calibri" w:cs="Calibri"/>
                <w:i/>
                <w:iCs/>
                <w:color w:val="auto"/>
                <w:sz w:val="18"/>
                <w:szCs w:val="18"/>
                <w:lang w:eastAsia="en-AU"/>
              </w:rPr>
            </w:pPr>
            <w:r w:rsidRPr="00624169">
              <w:rPr>
                <w:rFonts w:ascii="Calibri" w:eastAsia="Times New Roman" w:hAnsi="Calibri" w:cs="Calibri"/>
                <w:i/>
                <w:iCs/>
                <w:color w:val="auto"/>
                <w:sz w:val="18"/>
                <w:szCs w:val="18"/>
                <w:lang w:eastAsia="en-AU"/>
              </w:rPr>
              <w:t>nda</w:t>
            </w:r>
          </w:p>
        </w:tc>
        <w:tc>
          <w:tcPr>
            <w:tcW w:w="1015" w:type="dxa"/>
            <w:tcBorders>
              <w:top w:val="nil"/>
              <w:left w:val="nil"/>
              <w:bottom w:val="single" w:sz="4" w:space="0" w:color="008089"/>
              <w:right w:val="nil"/>
            </w:tcBorders>
            <w:shd w:val="clear" w:color="000000" w:fill="F2F2F2"/>
            <w:vAlign w:val="center"/>
            <w:hideMark/>
          </w:tcPr>
          <w:p w14:paraId="543BCF47"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642,000</w:t>
            </w:r>
          </w:p>
        </w:tc>
        <w:tc>
          <w:tcPr>
            <w:tcW w:w="1016" w:type="dxa"/>
            <w:tcBorders>
              <w:top w:val="nil"/>
              <w:left w:val="nil"/>
              <w:bottom w:val="single" w:sz="4" w:space="0" w:color="008089"/>
              <w:right w:val="nil"/>
            </w:tcBorders>
            <w:shd w:val="clear" w:color="000000" w:fill="F2F2F2"/>
            <w:vAlign w:val="center"/>
            <w:hideMark/>
          </w:tcPr>
          <w:p w14:paraId="158BAB2A"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539,000</w:t>
            </w:r>
          </w:p>
        </w:tc>
        <w:tc>
          <w:tcPr>
            <w:tcW w:w="1015" w:type="dxa"/>
            <w:tcBorders>
              <w:top w:val="nil"/>
              <w:left w:val="nil"/>
              <w:bottom w:val="single" w:sz="4" w:space="0" w:color="008089"/>
              <w:right w:val="nil"/>
            </w:tcBorders>
            <w:shd w:val="clear" w:color="000000" w:fill="F2F2F2"/>
            <w:vAlign w:val="center"/>
            <w:hideMark/>
          </w:tcPr>
          <w:p w14:paraId="2A3231F7"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627,000</w:t>
            </w:r>
          </w:p>
        </w:tc>
        <w:tc>
          <w:tcPr>
            <w:tcW w:w="1015" w:type="dxa"/>
            <w:tcBorders>
              <w:top w:val="nil"/>
              <w:left w:val="nil"/>
              <w:bottom w:val="single" w:sz="4" w:space="0" w:color="008089"/>
              <w:right w:val="nil"/>
            </w:tcBorders>
            <w:shd w:val="clear" w:color="000000" w:fill="F2F2F2"/>
            <w:vAlign w:val="center"/>
            <w:hideMark/>
          </w:tcPr>
          <w:p w14:paraId="62B3A40D"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574,000</w:t>
            </w:r>
          </w:p>
        </w:tc>
        <w:tc>
          <w:tcPr>
            <w:tcW w:w="1016" w:type="dxa"/>
            <w:tcBorders>
              <w:top w:val="nil"/>
              <w:left w:val="nil"/>
              <w:bottom w:val="single" w:sz="4" w:space="0" w:color="008089"/>
              <w:right w:val="nil"/>
            </w:tcBorders>
            <w:shd w:val="clear" w:color="000000" w:fill="F2F2F2"/>
            <w:vAlign w:val="center"/>
            <w:hideMark/>
          </w:tcPr>
          <w:p w14:paraId="20A95FF7"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592,000</w:t>
            </w:r>
          </w:p>
        </w:tc>
        <w:tc>
          <w:tcPr>
            <w:tcW w:w="1015" w:type="dxa"/>
            <w:tcBorders>
              <w:top w:val="nil"/>
              <w:left w:val="nil"/>
              <w:bottom w:val="single" w:sz="4" w:space="0" w:color="008089"/>
              <w:right w:val="nil"/>
            </w:tcBorders>
            <w:shd w:val="clear" w:color="000000" w:fill="F2F2F2"/>
            <w:vAlign w:val="center"/>
            <w:hideMark/>
          </w:tcPr>
          <w:p w14:paraId="1CD34705"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566,000</w:t>
            </w:r>
          </w:p>
        </w:tc>
        <w:tc>
          <w:tcPr>
            <w:tcW w:w="1016" w:type="dxa"/>
            <w:tcBorders>
              <w:top w:val="nil"/>
              <w:left w:val="nil"/>
              <w:bottom w:val="single" w:sz="4" w:space="0" w:color="008089"/>
              <w:right w:val="single" w:sz="8" w:space="0" w:color="008089"/>
            </w:tcBorders>
            <w:shd w:val="clear" w:color="000000" w:fill="F2F2F2"/>
            <w:vAlign w:val="center"/>
            <w:hideMark/>
          </w:tcPr>
          <w:p w14:paraId="70585ECF" w14:textId="77777777" w:rsidR="00401088" w:rsidRPr="00624169" w:rsidRDefault="00401088" w:rsidP="00401088">
            <w:pPr>
              <w:suppressAutoHyphens w:val="0"/>
              <w:spacing w:before="0" w:after="0"/>
              <w:jc w:val="right"/>
              <w:rPr>
                <w:rFonts w:ascii="Calibri" w:eastAsia="Times New Roman" w:hAnsi="Calibri" w:cs="Calibri"/>
                <w:i/>
                <w:iCs/>
                <w:color w:val="auto"/>
                <w:sz w:val="18"/>
                <w:szCs w:val="18"/>
                <w:lang w:eastAsia="en-AU"/>
              </w:rPr>
            </w:pPr>
            <w:r w:rsidRPr="00624169">
              <w:rPr>
                <w:rFonts w:ascii="Calibri" w:eastAsia="Times New Roman" w:hAnsi="Calibri" w:cs="Calibri"/>
                <w:i/>
                <w:iCs/>
                <w:color w:val="auto"/>
                <w:sz w:val="18"/>
                <w:szCs w:val="18"/>
                <w:lang w:eastAsia="en-AU"/>
              </w:rPr>
              <w:t>enc</w:t>
            </w:r>
          </w:p>
        </w:tc>
      </w:tr>
      <w:tr w:rsidR="00624169" w:rsidRPr="00401088" w14:paraId="3527FB09" w14:textId="77777777" w:rsidTr="00624169">
        <w:trPr>
          <w:trHeight w:val="290"/>
          <w:jc w:val="center"/>
        </w:trPr>
        <w:tc>
          <w:tcPr>
            <w:tcW w:w="1502" w:type="dxa"/>
            <w:vMerge/>
            <w:tcBorders>
              <w:top w:val="nil"/>
              <w:left w:val="single" w:sz="8" w:space="0" w:color="008089"/>
              <w:bottom w:val="single" w:sz="8" w:space="0" w:color="008089"/>
              <w:right w:val="nil"/>
            </w:tcBorders>
            <w:vAlign w:val="center"/>
            <w:hideMark/>
          </w:tcPr>
          <w:p w14:paraId="156F5950" w14:textId="77777777" w:rsidR="00401088" w:rsidRPr="00DB204C" w:rsidRDefault="00401088" w:rsidP="00401088">
            <w:pPr>
              <w:suppressAutoHyphens w:val="0"/>
              <w:spacing w:before="0" w:after="0"/>
              <w:rPr>
                <w:rFonts w:ascii="Calibri" w:eastAsia="Times New Roman" w:hAnsi="Calibri" w:cs="Calibri"/>
                <w:b/>
                <w:bCs/>
                <w:color w:val="000000"/>
                <w:sz w:val="18"/>
                <w:szCs w:val="18"/>
                <w:lang w:eastAsia="en-AU"/>
              </w:rPr>
            </w:pPr>
          </w:p>
        </w:tc>
        <w:tc>
          <w:tcPr>
            <w:tcW w:w="3308" w:type="dxa"/>
            <w:tcBorders>
              <w:top w:val="nil"/>
              <w:left w:val="nil"/>
              <w:bottom w:val="single" w:sz="4" w:space="0" w:color="008089"/>
              <w:right w:val="nil"/>
            </w:tcBorders>
            <w:shd w:val="clear" w:color="000000" w:fill="F2F2F2"/>
            <w:vAlign w:val="center"/>
            <w:hideMark/>
          </w:tcPr>
          <w:p w14:paraId="6BC20310" w14:textId="77777777" w:rsidR="00401088" w:rsidRPr="00DB204C" w:rsidRDefault="00401088" w:rsidP="00401088">
            <w:pPr>
              <w:suppressAutoHyphens w:val="0"/>
              <w:spacing w:before="0" w:after="0"/>
              <w:rPr>
                <w:rFonts w:ascii="Calibri" w:eastAsia="Times New Roman" w:hAnsi="Calibri" w:cs="Calibri"/>
                <w:color w:val="000000"/>
                <w:sz w:val="18"/>
                <w:szCs w:val="18"/>
                <w:lang w:eastAsia="en-AU"/>
              </w:rPr>
            </w:pPr>
            <w:r w:rsidRPr="00DB204C">
              <w:rPr>
                <w:rFonts w:ascii="Calibri" w:eastAsia="Times New Roman" w:hAnsi="Calibri" w:cs="Calibri"/>
                <w:color w:val="000000"/>
                <w:sz w:val="18"/>
                <w:szCs w:val="18"/>
                <w:lang w:eastAsia="en-AU"/>
              </w:rPr>
              <w:t>AFL Women's Grand Final</w:t>
            </w:r>
          </w:p>
        </w:tc>
        <w:tc>
          <w:tcPr>
            <w:tcW w:w="1843" w:type="dxa"/>
            <w:tcBorders>
              <w:top w:val="nil"/>
              <w:left w:val="nil"/>
              <w:bottom w:val="single" w:sz="4" w:space="0" w:color="008089"/>
              <w:right w:val="nil"/>
            </w:tcBorders>
            <w:shd w:val="clear" w:color="000000" w:fill="F2F2F2"/>
            <w:vAlign w:val="center"/>
            <w:hideMark/>
          </w:tcPr>
          <w:p w14:paraId="0CFC7513" w14:textId="77777777" w:rsidR="00401088" w:rsidRPr="00F85D80" w:rsidRDefault="00401088" w:rsidP="00401088">
            <w:pPr>
              <w:suppressAutoHyphens w:val="0"/>
              <w:spacing w:before="0" w:after="0"/>
              <w:rPr>
                <w:rFonts w:ascii="Calibri" w:eastAsia="Times New Roman" w:hAnsi="Calibri" w:cs="Calibri"/>
                <w:color w:val="000000"/>
                <w:sz w:val="16"/>
                <w:szCs w:val="16"/>
                <w:lang w:eastAsia="en-AU"/>
              </w:rPr>
            </w:pPr>
            <w:r w:rsidRPr="00F85D80">
              <w:rPr>
                <w:rFonts w:ascii="Calibri" w:eastAsia="Times New Roman" w:hAnsi="Calibri" w:cs="Calibri"/>
                <w:color w:val="000000"/>
                <w:sz w:val="16"/>
                <w:szCs w:val="16"/>
                <w:lang w:eastAsia="en-AU"/>
              </w:rPr>
              <w:t>Single match</w:t>
            </w:r>
          </w:p>
        </w:tc>
        <w:tc>
          <w:tcPr>
            <w:tcW w:w="1015" w:type="dxa"/>
            <w:tcBorders>
              <w:top w:val="nil"/>
              <w:left w:val="nil"/>
              <w:bottom w:val="single" w:sz="4" w:space="0" w:color="008089"/>
              <w:right w:val="nil"/>
            </w:tcBorders>
            <w:shd w:val="clear" w:color="000000" w:fill="F2F2F2"/>
            <w:vAlign w:val="center"/>
            <w:hideMark/>
          </w:tcPr>
          <w:p w14:paraId="4C2421E8" w14:textId="77777777" w:rsidR="00401088" w:rsidRPr="00624169" w:rsidRDefault="00401088" w:rsidP="00401088">
            <w:pPr>
              <w:suppressAutoHyphens w:val="0"/>
              <w:spacing w:before="0" w:after="0"/>
              <w:jc w:val="right"/>
              <w:rPr>
                <w:rFonts w:ascii="Calibri" w:eastAsia="Times New Roman" w:hAnsi="Calibri" w:cs="Calibri"/>
                <w:i/>
                <w:iCs/>
                <w:color w:val="auto"/>
                <w:sz w:val="18"/>
                <w:szCs w:val="18"/>
                <w:lang w:eastAsia="en-AU"/>
              </w:rPr>
            </w:pPr>
            <w:r w:rsidRPr="00624169">
              <w:rPr>
                <w:rFonts w:ascii="Calibri" w:eastAsia="Times New Roman" w:hAnsi="Calibri" w:cs="Calibri"/>
                <w:i/>
                <w:iCs/>
                <w:color w:val="auto"/>
                <w:sz w:val="18"/>
                <w:szCs w:val="18"/>
                <w:lang w:eastAsia="en-AU"/>
              </w:rPr>
              <w:t>nh</w:t>
            </w:r>
          </w:p>
        </w:tc>
        <w:tc>
          <w:tcPr>
            <w:tcW w:w="1015" w:type="dxa"/>
            <w:tcBorders>
              <w:top w:val="nil"/>
              <w:left w:val="nil"/>
              <w:bottom w:val="single" w:sz="4" w:space="0" w:color="008089"/>
              <w:right w:val="nil"/>
            </w:tcBorders>
            <w:shd w:val="clear" w:color="000000" w:fill="F2F2F2"/>
            <w:vAlign w:val="center"/>
            <w:hideMark/>
          </w:tcPr>
          <w:p w14:paraId="2135B07A" w14:textId="77777777" w:rsidR="00401088" w:rsidRPr="00624169" w:rsidRDefault="00401088" w:rsidP="00401088">
            <w:pPr>
              <w:suppressAutoHyphens w:val="0"/>
              <w:spacing w:before="0" w:after="0"/>
              <w:jc w:val="right"/>
              <w:rPr>
                <w:rFonts w:ascii="Calibri" w:eastAsia="Times New Roman" w:hAnsi="Calibri" w:cs="Calibri"/>
                <w:i/>
                <w:iCs/>
                <w:color w:val="auto"/>
                <w:sz w:val="18"/>
                <w:szCs w:val="18"/>
                <w:lang w:eastAsia="en-AU"/>
              </w:rPr>
            </w:pPr>
            <w:r w:rsidRPr="00624169">
              <w:rPr>
                <w:rFonts w:ascii="Calibri" w:eastAsia="Times New Roman" w:hAnsi="Calibri" w:cs="Calibri"/>
                <w:i/>
                <w:iCs/>
                <w:color w:val="auto"/>
                <w:sz w:val="18"/>
                <w:szCs w:val="18"/>
                <w:lang w:eastAsia="en-AU"/>
              </w:rPr>
              <w:t>nh</w:t>
            </w:r>
          </w:p>
        </w:tc>
        <w:tc>
          <w:tcPr>
            <w:tcW w:w="1016" w:type="dxa"/>
            <w:tcBorders>
              <w:top w:val="nil"/>
              <w:left w:val="nil"/>
              <w:bottom w:val="single" w:sz="4" w:space="0" w:color="008089"/>
              <w:right w:val="nil"/>
            </w:tcBorders>
            <w:shd w:val="clear" w:color="000000" w:fill="F2F2F2"/>
            <w:vAlign w:val="center"/>
            <w:hideMark/>
          </w:tcPr>
          <w:p w14:paraId="23C00114"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442,000</w:t>
            </w:r>
          </w:p>
        </w:tc>
        <w:tc>
          <w:tcPr>
            <w:tcW w:w="1015" w:type="dxa"/>
            <w:tcBorders>
              <w:top w:val="nil"/>
              <w:left w:val="nil"/>
              <w:bottom w:val="single" w:sz="4" w:space="0" w:color="008089"/>
              <w:right w:val="nil"/>
            </w:tcBorders>
            <w:shd w:val="clear" w:color="000000" w:fill="F2F2F2"/>
            <w:vAlign w:val="center"/>
            <w:hideMark/>
          </w:tcPr>
          <w:p w14:paraId="17F61E0E"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189,000</w:t>
            </w:r>
          </w:p>
        </w:tc>
        <w:tc>
          <w:tcPr>
            <w:tcW w:w="1015" w:type="dxa"/>
            <w:tcBorders>
              <w:top w:val="nil"/>
              <w:left w:val="nil"/>
              <w:bottom w:val="single" w:sz="4" w:space="0" w:color="008089"/>
              <w:right w:val="nil"/>
            </w:tcBorders>
            <w:shd w:val="clear" w:color="000000" w:fill="F2F2F2"/>
            <w:vAlign w:val="center"/>
            <w:hideMark/>
          </w:tcPr>
          <w:p w14:paraId="57EBC4FE"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315,000</w:t>
            </w:r>
          </w:p>
        </w:tc>
        <w:tc>
          <w:tcPr>
            <w:tcW w:w="1016" w:type="dxa"/>
            <w:tcBorders>
              <w:top w:val="nil"/>
              <w:left w:val="nil"/>
              <w:bottom w:val="single" w:sz="4" w:space="0" w:color="008089"/>
              <w:right w:val="nil"/>
            </w:tcBorders>
            <w:shd w:val="clear" w:color="000000" w:fill="F2F2F2"/>
            <w:vAlign w:val="center"/>
            <w:hideMark/>
          </w:tcPr>
          <w:p w14:paraId="0AF1302C" w14:textId="77777777" w:rsidR="00401088" w:rsidRPr="00624169" w:rsidRDefault="00401088" w:rsidP="00401088">
            <w:pPr>
              <w:suppressAutoHyphens w:val="0"/>
              <w:spacing w:before="0" w:after="0"/>
              <w:jc w:val="right"/>
              <w:rPr>
                <w:rFonts w:ascii="Calibri" w:eastAsia="Times New Roman" w:hAnsi="Calibri" w:cs="Calibri"/>
                <w:i/>
                <w:iCs/>
                <w:color w:val="auto"/>
                <w:sz w:val="18"/>
                <w:szCs w:val="18"/>
                <w:lang w:eastAsia="en-AU"/>
              </w:rPr>
            </w:pPr>
            <w:r w:rsidRPr="00624169">
              <w:rPr>
                <w:rFonts w:ascii="Calibri" w:eastAsia="Times New Roman" w:hAnsi="Calibri" w:cs="Calibri"/>
                <w:i/>
                <w:iCs/>
                <w:color w:val="auto"/>
                <w:sz w:val="18"/>
                <w:szCs w:val="18"/>
                <w:lang w:eastAsia="en-AU"/>
              </w:rPr>
              <w:t>covid</w:t>
            </w:r>
          </w:p>
        </w:tc>
        <w:tc>
          <w:tcPr>
            <w:tcW w:w="1015" w:type="dxa"/>
            <w:tcBorders>
              <w:top w:val="nil"/>
              <w:left w:val="nil"/>
              <w:bottom w:val="single" w:sz="4" w:space="0" w:color="008089"/>
              <w:right w:val="nil"/>
            </w:tcBorders>
            <w:shd w:val="clear" w:color="000000" w:fill="F2F2F2"/>
            <w:vAlign w:val="center"/>
            <w:hideMark/>
          </w:tcPr>
          <w:p w14:paraId="61D1D10A"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288,000</w:t>
            </w:r>
          </w:p>
        </w:tc>
        <w:tc>
          <w:tcPr>
            <w:tcW w:w="1016" w:type="dxa"/>
            <w:tcBorders>
              <w:top w:val="nil"/>
              <w:left w:val="nil"/>
              <w:bottom w:val="single" w:sz="4" w:space="0" w:color="008089"/>
              <w:right w:val="single" w:sz="8" w:space="0" w:color="008089"/>
            </w:tcBorders>
            <w:shd w:val="clear" w:color="000000" w:fill="F2F2F2"/>
            <w:vAlign w:val="center"/>
            <w:hideMark/>
          </w:tcPr>
          <w:p w14:paraId="494D4A4B"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213,000</w:t>
            </w:r>
          </w:p>
        </w:tc>
      </w:tr>
      <w:tr w:rsidR="00624169" w:rsidRPr="00401088" w14:paraId="50DABAA2" w14:textId="77777777" w:rsidTr="009F489D">
        <w:trPr>
          <w:trHeight w:val="584"/>
          <w:jc w:val="center"/>
        </w:trPr>
        <w:tc>
          <w:tcPr>
            <w:tcW w:w="1502" w:type="dxa"/>
            <w:vMerge/>
            <w:tcBorders>
              <w:top w:val="nil"/>
              <w:left w:val="single" w:sz="8" w:space="0" w:color="008089"/>
              <w:bottom w:val="single" w:sz="8" w:space="0" w:color="008089"/>
              <w:right w:val="nil"/>
            </w:tcBorders>
            <w:vAlign w:val="center"/>
            <w:hideMark/>
          </w:tcPr>
          <w:p w14:paraId="59D64F4D" w14:textId="77777777" w:rsidR="00401088" w:rsidRPr="00DB204C" w:rsidRDefault="00401088" w:rsidP="00401088">
            <w:pPr>
              <w:suppressAutoHyphens w:val="0"/>
              <w:spacing w:before="0" w:after="0"/>
              <w:rPr>
                <w:rFonts w:ascii="Calibri" w:eastAsia="Times New Roman" w:hAnsi="Calibri" w:cs="Calibri"/>
                <w:b/>
                <w:bCs/>
                <w:color w:val="000000"/>
                <w:sz w:val="18"/>
                <w:szCs w:val="18"/>
                <w:lang w:eastAsia="en-AU"/>
              </w:rPr>
            </w:pPr>
          </w:p>
        </w:tc>
        <w:tc>
          <w:tcPr>
            <w:tcW w:w="3308" w:type="dxa"/>
            <w:tcBorders>
              <w:top w:val="nil"/>
              <w:left w:val="nil"/>
              <w:bottom w:val="single" w:sz="8" w:space="0" w:color="008089"/>
              <w:right w:val="nil"/>
            </w:tcBorders>
            <w:shd w:val="clear" w:color="000000" w:fill="F2F2F2"/>
            <w:vAlign w:val="center"/>
            <w:hideMark/>
          </w:tcPr>
          <w:p w14:paraId="0DAD1E4F" w14:textId="77777777" w:rsidR="00401088" w:rsidRPr="00DB204C" w:rsidRDefault="00401088" w:rsidP="00401088">
            <w:pPr>
              <w:suppressAutoHyphens w:val="0"/>
              <w:spacing w:before="0" w:after="0"/>
              <w:rPr>
                <w:rFonts w:ascii="Calibri" w:eastAsia="Times New Roman" w:hAnsi="Calibri" w:cs="Calibri"/>
                <w:color w:val="000000"/>
                <w:sz w:val="18"/>
                <w:szCs w:val="18"/>
                <w:lang w:eastAsia="en-AU"/>
              </w:rPr>
            </w:pPr>
            <w:r w:rsidRPr="00DB204C">
              <w:rPr>
                <w:rFonts w:ascii="Calibri" w:eastAsia="Times New Roman" w:hAnsi="Calibri" w:cs="Calibri"/>
                <w:color w:val="000000"/>
                <w:sz w:val="18"/>
                <w:szCs w:val="18"/>
                <w:lang w:eastAsia="en-AU"/>
              </w:rPr>
              <w:t>AFL Women's Premiership</w:t>
            </w:r>
          </w:p>
        </w:tc>
        <w:tc>
          <w:tcPr>
            <w:tcW w:w="1843" w:type="dxa"/>
            <w:tcBorders>
              <w:top w:val="nil"/>
              <w:left w:val="nil"/>
              <w:bottom w:val="single" w:sz="8" w:space="0" w:color="008089"/>
              <w:right w:val="nil"/>
            </w:tcBorders>
            <w:shd w:val="clear" w:color="000000" w:fill="F2F2F2"/>
            <w:vAlign w:val="center"/>
            <w:hideMark/>
          </w:tcPr>
          <w:p w14:paraId="45706E4D" w14:textId="77777777" w:rsidR="00401088" w:rsidRPr="00F85D80" w:rsidRDefault="00401088" w:rsidP="00401088">
            <w:pPr>
              <w:suppressAutoHyphens w:val="0"/>
              <w:spacing w:before="0" w:after="0"/>
              <w:rPr>
                <w:rFonts w:ascii="Calibri" w:eastAsia="Times New Roman" w:hAnsi="Calibri" w:cs="Calibri"/>
                <w:color w:val="000000"/>
                <w:sz w:val="16"/>
                <w:szCs w:val="16"/>
                <w:lang w:eastAsia="en-AU"/>
              </w:rPr>
            </w:pPr>
            <w:r w:rsidRPr="00F85D80">
              <w:rPr>
                <w:rFonts w:ascii="Calibri" w:eastAsia="Times New Roman" w:hAnsi="Calibri" w:cs="Calibri"/>
                <w:color w:val="000000"/>
                <w:sz w:val="16"/>
                <w:szCs w:val="16"/>
                <w:lang w:eastAsia="en-AU"/>
              </w:rPr>
              <w:t>Average of timeslot with the most games played each year</w:t>
            </w:r>
            <w:r w:rsidRPr="00F85D80">
              <w:rPr>
                <w:rFonts w:ascii="Calibri" w:eastAsia="Times New Roman" w:hAnsi="Calibri" w:cs="Calibri"/>
                <w:color w:val="000000"/>
                <w:sz w:val="16"/>
                <w:szCs w:val="16"/>
                <w:vertAlign w:val="superscript"/>
                <w:lang w:eastAsia="en-AU"/>
              </w:rPr>
              <w:t>1</w:t>
            </w:r>
          </w:p>
        </w:tc>
        <w:tc>
          <w:tcPr>
            <w:tcW w:w="1015" w:type="dxa"/>
            <w:tcBorders>
              <w:top w:val="nil"/>
              <w:left w:val="nil"/>
              <w:bottom w:val="single" w:sz="4" w:space="0" w:color="008089"/>
              <w:right w:val="nil"/>
            </w:tcBorders>
            <w:shd w:val="clear" w:color="000000" w:fill="F2F2F2"/>
            <w:vAlign w:val="center"/>
            <w:hideMark/>
          </w:tcPr>
          <w:p w14:paraId="05446342" w14:textId="77777777" w:rsidR="00401088" w:rsidRPr="00624169" w:rsidRDefault="00401088" w:rsidP="00401088">
            <w:pPr>
              <w:suppressAutoHyphens w:val="0"/>
              <w:spacing w:before="0" w:after="0"/>
              <w:jc w:val="right"/>
              <w:rPr>
                <w:rFonts w:ascii="Calibri" w:eastAsia="Times New Roman" w:hAnsi="Calibri" w:cs="Calibri"/>
                <w:i/>
                <w:iCs/>
                <w:color w:val="auto"/>
                <w:sz w:val="18"/>
                <w:szCs w:val="18"/>
                <w:lang w:eastAsia="en-AU"/>
              </w:rPr>
            </w:pPr>
            <w:r w:rsidRPr="00624169">
              <w:rPr>
                <w:rFonts w:ascii="Calibri" w:eastAsia="Times New Roman" w:hAnsi="Calibri" w:cs="Calibri"/>
                <w:i/>
                <w:iCs/>
                <w:color w:val="auto"/>
                <w:sz w:val="18"/>
                <w:szCs w:val="18"/>
                <w:lang w:eastAsia="en-AU"/>
              </w:rPr>
              <w:t>nh</w:t>
            </w:r>
          </w:p>
        </w:tc>
        <w:tc>
          <w:tcPr>
            <w:tcW w:w="1015" w:type="dxa"/>
            <w:tcBorders>
              <w:top w:val="nil"/>
              <w:left w:val="nil"/>
              <w:bottom w:val="single" w:sz="4" w:space="0" w:color="008089"/>
              <w:right w:val="nil"/>
            </w:tcBorders>
            <w:shd w:val="clear" w:color="000000" w:fill="F2F2F2"/>
            <w:vAlign w:val="center"/>
            <w:hideMark/>
          </w:tcPr>
          <w:p w14:paraId="2BA081F1" w14:textId="77777777" w:rsidR="00401088" w:rsidRPr="00624169" w:rsidRDefault="00401088" w:rsidP="00401088">
            <w:pPr>
              <w:suppressAutoHyphens w:val="0"/>
              <w:spacing w:before="0" w:after="0"/>
              <w:jc w:val="right"/>
              <w:rPr>
                <w:rFonts w:ascii="Calibri" w:eastAsia="Times New Roman" w:hAnsi="Calibri" w:cs="Calibri"/>
                <w:i/>
                <w:iCs/>
                <w:color w:val="auto"/>
                <w:sz w:val="18"/>
                <w:szCs w:val="18"/>
                <w:lang w:eastAsia="en-AU"/>
              </w:rPr>
            </w:pPr>
            <w:r w:rsidRPr="00624169">
              <w:rPr>
                <w:rFonts w:ascii="Calibri" w:eastAsia="Times New Roman" w:hAnsi="Calibri" w:cs="Calibri"/>
                <w:i/>
                <w:iCs/>
                <w:color w:val="auto"/>
                <w:sz w:val="18"/>
                <w:szCs w:val="18"/>
                <w:lang w:eastAsia="en-AU"/>
              </w:rPr>
              <w:t>nh</w:t>
            </w:r>
          </w:p>
        </w:tc>
        <w:tc>
          <w:tcPr>
            <w:tcW w:w="1016" w:type="dxa"/>
            <w:tcBorders>
              <w:top w:val="nil"/>
              <w:left w:val="nil"/>
              <w:bottom w:val="single" w:sz="8" w:space="0" w:color="008089"/>
              <w:right w:val="nil"/>
            </w:tcBorders>
            <w:shd w:val="clear" w:color="000000" w:fill="F2F2F2"/>
            <w:vAlign w:val="center"/>
            <w:hideMark/>
          </w:tcPr>
          <w:p w14:paraId="47A5BF69"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236,000</w:t>
            </w:r>
          </w:p>
        </w:tc>
        <w:tc>
          <w:tcPr>
            <w:tcW w:w="1015" w:type="dxa"/>
            <w:tcBorders>
              <w:top w:val="nil"/>
              <w:left w:val="nil"/>
              <w:bottom w:val="single" w:sz="8" w:space="0" w:color="008089"/>
              <w:right w:val="nil"/>
            </w:tcBorders>
            <w:shd w:val="clear" w:color="000000" w:fill="F2F2F2"/>
            <w:vAlign w:val="center"/>
            <w:hideMark/>
          </w:tcPr>
          <w:p w14:paraId="3CACF636"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89,000</w:t>
            </w:r>
          </w:p>
        </w:tc>
        <w:tc>
          <w:tcPr>
            <w:tcW w:w="1015" w:type="dxa"/>
            <w:tcBorders>
              <w:top w:val="nil"/>
              <w:left w:val="nil"/>
              <w:bottom w:val="single" w:sz="8" w:space="0" w:color="008089"/>
              <w:right w:val="nil"/>
            </w:tcBorders>
            <w:shd w:val="clear" w:color="000000" w:fill="F2F2F2"/>
            <w:vAlign w:val="center"/>
            <w:hideMark/>
          </w:tcPr>
          <w:p w14:paraId="526E5201"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122,000</w:t>
            </w:r>
          </w:p>
        </w:tc>
        <w:tc>
          <w:tcPr>
            <w:tcW w:w="1016" w:type="dxa"/>
            <w:tcBorders>
              <w:top w:val="nil"/>
              <w:left w:val="nil"/>
              <w:bottom w:val="single" w:sz="8" w:space="0" w:color="008089"/>
              <w:right w:val="nil"/>
            </w:tcBorders>
            <w:shd w:val="clear" w:color="000000" w:fill="F2F2F2"/>
            <w:vAlign w:val="center"/>
            <w:hideMark/>
          </w:tcPr>
          <w:p w14:paraId="6D4CC8C7"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85,000</w:t>
            </w:r>
          </w:p>
        </w:tc>
        <w:tc>
          <w:tcPr>
            <w:tcW w:w="1015" w:type="dxa"/>
            <w:tcBorders>
              <w:top w:val="nil"/>
              <w:left w:val="nil"/>
              <w:bottom w:val="single" w:sz="8" w:space="0" w:color="008089"/>
              <w:right w:val="nil"/>
            </w:tcBorders>
            <w:shd w:val="clear" w:color="000000" w:fill="F2F2F2"/>
            <w:vAlign w:val="center"/>
            <w:hideMark/>
          </w:tcPr>
          <w:p w14:paraId="35BF6105"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82,000</w:t>
            </w:r>
          </w:p>
        </w:tc>
        <w:tc>
          <w:tcPr>
            <w:tcW w:w="1016" w:type="dxa"/>
            <w:tcBorders>
              <w:top w:val="nil"/>
              <w:left w:val="nil"/>
              <w:bottom w:val="single" w:sz="8" w:space="0" w:color="008089"/>
              <w:right w:val="single" w:sz="8" w:space="0" w:color="008089"/>
            </w:tcBorders>
            <w:shd w:val="clear" w:color="000000" w:fill="F2F2F2"/>
            <w:vAlign w:val="center"/>
            <w:hideMark/>
          </w:tcPr>
          <w:p w14:paraId="09F9D7DC"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56,000</w:t>
            </w:r>
          </w:p>
        </w:tc>
      </w:tr>
      <w:tr w:rsidR="00624169" w:rsidRPr="00401088" w14:paraId="0095B020" w14:textId="77777777" w:rsidTr="00624169">
        <w:trPr>
          <w:trHeight w:val="290"/>
          <w:jc w:val="center"/>
        </w:trPr>
        <w:tc>
          <w:tcPr>
            <w:tcW w:w="1502" w:type="dxa"/>
            <w:vMerge w:val="restart"/>
            <w:tcBorders>
              <w:top w:val="nil"/>
              <w:left w:val="single" w:sz="8" w:space="0" w:color="008089"/>
              <w:bottom w:val="single" w:sz="8" w:space="0" w:color="008089"/>
              <w:right w:val="nil"/>
            </w:tcBorders>
            <w:shd w:val="clear" w:color="000000" w:fill="F2F2F2"/>
            <w:vAlign w:val="center"/>
            <w:hideMark/>
          </w:tcPr>
          <w:p w14:paraId="7236BD07" w14:textId="330B29AA" w:rsidR="00401088" w:rsidRPr="00DB204C" w:rsidRDefault="00401088" w:rsidP="00401088">
            <w:pPr>
              <w:suppressAutoHyphens w:val="0"/>
              <w:spacing w:before="0" w:after="0"/>
              <w:jc w:val="center"/>
              <w:rPr>
                <w:rFonts w:ascii="Calibri" w:eastAsia="Times New Roman" w:hAnsi="Calibri" w:cs="Calibri"/>
                <w:b/>
                <w:bCs/>
                <w:color w:val="000000"/>
                <w:sz w:val="18"/>
                <w:szCs w:val="18"/>
                <w:lang w:eastAsia="en-AU"/>
              </w:rPr>
            </w:pPr>
            <w:r w:rsidRPr="00DB204C">
              <w:rPr>
                <w:rFonts w:ascii="Calibri" w:eastAsia="Times New Roman" w:hAnsi="Calibri" w:cs="Calibri"/>
                <w:b/>
                <w:bCs/>
                <w:color w:val="000000"/>
                <w:sz w:val="18"/>
                <w:szCs w:val="18"/>
                <w:lang w:eastAsia="en-AU"/>
              </w:rPr>
              <w:t>National Rugby Leag</w:t>
            </w:r>
            <w:r w:rsidR="000A5CB2" w:rsidRPr="00DB204C">
              <w:rPr>
                <w:rFonts w:ascii="Calibri" w:eastAsia="Times New Roman" w:hAnsi="Calibri" w:cs="Calibri"/>
                <w:b/>
                <w:bCs/>
                <w:color w:val="000000"/>
                <w:sz w:val="18"/>
                <w:szCs w:val="18"/>
                <w:lang w:eastAsia="en-AU"/>
              </w:rPr>
              <w:t>u</w:t>
            </w:r>
            <w:r w:rsidRPr="00DB204C">
              <w:rPr>
                <w:rFonts w:ascii="Calibri" w:eastAsia="Times New Roman" w:hAnsi="Calibri" w:cs="Calibri"/>
                <w:b/>
                <w:bCs/>
                <w:color w:val="000000"/>
                <w:sz w:val="18"/>
                <w:szCs w:val="18"/>
                <w:lang w:eastAsia="en-AU"/>
              </w:rPr>
              <w:t>e</w:t>
            </w:r>
          </w:p>
        </w:tc>
        <w:tc>
          <w:tcPr>
            <w:tcW w:w="3308" w:type="dxa"/>
            <w:tcBorders>
              <w:top w:val="nil"/>
              <w:left w:val="nil"/>
              <w:bottom w:val="single" w:sz="4" w:space="0" w:color="008089"/>
              <w:right w:val="nil"/>
            </w:tcBorders>
            <w:shd w:val="clear" w:color="000000" w:fill="F2F2F2"/>
            <w:vAlign w:val="center"/>
            <w:hideMark/>
          </w:tcPr>
          <w:p w14:paraId="38FEB020" w14:textId="77777777" w:rsidR="00401088" w:rsidRPr="00DB204C" w:rsidRDefault="00401088" w:rsidP="00401088">
            <w:pPr>
              <w:suppressAutoHyphens w:val="0"/>
              <w:spacing w:before="0" w:after="0"/>
              <w:rPr>
                <w:rFonts w:ascii="Calibri" w:eastAsia="Times New Roman" w:hAnsi="Calibri" w:cs="Calibri"/>
                <w:color w:val="000000"/>
                <w:sz w:val="18"/>
                <w:szCs w:val="18"/>
                <w:lang w:eastAsia="en-AU"/>
              </w:rPr>
            </w:pPr>
            <w:r w:rsidRPr="00DB204C">
              <w:rPr>
                <w:rFonts w:ascii="Calibri" w:eastAsia="Times New Roman" w:hAnsi="Calibri" w:cs="Calibri"/>
                <w:color w:val="000000"/>
                <w:sz w:val="18"/>
                <w:szCs w:val="18"/>
                <w:lang w:eastAsia="en-AU"/>
              </w:rPr>
              <w:t>NRL Grand Final</w:t>
            </w:r>
          </w:p>
        </w:tc>
        <w:tc>
          <w:tcPr>
            <w:tcW w:w="1843" w:type="dxa"/>
            <w:tcBorders>
              <w:top w:val="nil"/>
              <w:left w:val="nil"/>
              <w:bottom w:val="single" w:sz="4" w:space="0" w:color="008089"/>
              <w:right w:val="nil"/>
            </w:tcBorders>
            <w:shd w:val="clear" w:color="000000" w:fill="F2F2F2"/>
            <w:vAlign w:val="center"/>
            <w:hideMark/>
          </w:tcPr>
          <w:p w14:paraId="1DB79BC3" w14:textId="77777777" w:rsidR="00401088" w:rsidRPr="00F85D80" w:rsidRDefault="00401088" w:rsidP="00401088">
            <w:pPr>
              <w:suppressAutoHyphens w:val="0"/>
              <w:spacing w:before="0" w:after="0"/>
              <w:rPr>
                <w:rFonts w:ascii="Calibri" w:eastAsia="Times New Roman" w:hAnsi="Calibri" w:cs="Calibri"/>
                <w:color w:val="000000"/>
                <w:sz w:val="16"/>
                <w:szCs w:val="16"/>
                <w:lang w:eastAsia="en-AU"/>
              </w:rPr>
            </w:pPr>
            <w:r w:rsidRPr="00F85D80">
              <w:rPr>
                <w:rFonts w:ascii="Calibri" w:eastAsia="Times New Roman" w:hAnsi="Calibri" w:cs="Calibri"/>
                <w:color w:val="000000"/>
                <w:sz w:val="16"/>
                <w:szCs w:val="16"/>
                <w:lang w:eastAsia="en-AU"/>
              </w:rPr>
              <w:t>Single match</w:t>
            </w:r>
          </w:p>
        </w:tc>
        <w:tc>
          <w:tcPr>
            <w:tcW w:w="1015" w:type="dxa"/>
            <w:tcBorders>
              <w:top w:val="single" w:sz="8" w:space="0" w:color="008089"/>
              <w:left w:val="nil"/>
              <w:bottom w:val="single" w:sz="4" w:space="0" w:color="008089"/>
              <w:right w:val="nil"/>
            </w:tcBorders>
            <w:shd w:val="clear" w:color="000000" w:fill="F2F2F2"/>
            <w:vAlign w:val="center"/>
            <w:hideMark/>
          </w:tcPr>
          <w:p w14:paraId="27DF3D0A"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2,458,000</w:t>
            </w:r>
          </w:p>
        </w:tc>
        <w:tc>
          <w:tcPr>
            <w:tcW w:w="1015" w:type="dxa"/>
            <w:tcBorders>
              <w:top w:val="single" w:sz="8" w:space="0" w:color="008089"/>
              <w:left w:val="nil"/>
              <w:bottom w:val="single" w:sz="4" w:space="0" w:color="008089"/>
              <w:right w:val="nil"/>
            </w:tcBorders>
            <w:shd w:val="clear" w:color="000000" w:fill="F2F2F2"/>
            <w:vAlign w:val="center"/>
            <w:hideMark/>
          </w:tcPr>
          <w:p w14:paraId="3A358120"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2,663,000</w:t>
            </w:r>
          </w:p>
        </w:tc>
        <w:tc>
          <w:tcPr>
            <w:tcW w:w="1016" w:type="dxa"/>
            <w:tcBorders>
              <w:top w:val="nil"/>
              <w:left w:val="nil"/>
              <w:bottom w:val="single" w:sz="4" w:space="0" w:color="008089"/>
              <w:right w:val="nil"/>
            </w:tcBorders>
            <w:shd w:val="clear" w:color="000000" w:fill="F2F2F2"/>
            <w:vAlign w:val="center"/>
            <w:hideMark/>
          </w:tcPr>
          <w:p w14:paraId="31A76FF5"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2,308,000</w:t>
            </w:r>
          </w:p>
        </w:tc>
        <w:tc>
          <w:tcPr>
            <w:tcW w:w="1015" w:type="dxa"/>
            <w:tcBorders>
              <w:top w:val="nil"/>
              <w:left w:val="nil"/>
              <w:bottom w:val="single" w:sz="4" w:space="0" w:color="008089"/>
              <w:right w:val="nil"/>
            </w:tcBorders>
            <w:shd w:val="clear" w:color="000000" w:fill="F2F2F2"/>
            <w:vAlign w:val="center"/>
            <w:hideMark/>
          </w:tcPr>
          <w:p w14:paraId="7F7EE0D8"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2,141,000</w:t>
            </w:r>
          </w:p>
        </w:tc>
        <w:tc>
          <w:tcPr>
            <w:tcW w:w="1015" w:type="dxa"/>
            <w:tcBorders>
              <w:top w:val="nil"/>
              <w:left w:val="nil"/>
              <w:bottom w:val="single" w:sz="4" w:space="0" w:color="008089"/>
              <w:right w:val="nil"/>
            </w:tcBorders>
            <w:shd w:val="clear" w:color="000000" w:fill="F2F2F2"/>
            <w:vAlign w:val="center"/>
            <w:hideMark/>
          </w:tcPr>
          <w:p w14:paraId="4184AC50"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1,868,000</w:t>
            </w:r>
          </w:p>
        </w:tc>
        <w:tc>
          <w:tcPr>
            <w:tcW w:w="1016" w:type="dxa"/>
            <w:tcBorders>
              <w:top w:val="nil"/>
              <w:left w:val="nil"/>
              <w:bottom w:val="single" w:sz="4" w:space="0" w:color="008089"/>
              <w:right w:val="nil"/>
            </w:tcBorders>
            <w:shd w:val="clear" w:color="000000" w:fill="F2F2F2"/>
            <w:vAlign w:val="center"/>
            <w:hideMark/>
          </w:tcPr>
          <w:p w14:paraId="19D35DFE"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2,106,000</w:t>
            </w:r>
          </w:p>
        </w:tc>
        <w:tc>
          <w:tcPr>
            <w:tcW w:w="1015" w:type="dxa"/>
            <w:tcBorders>
              <w:top w:val="nil"/>
              <w:left w:val="nil"/>
              <w:bottom w:val="single" w:sz="4" w:space="0" w:color="008089"/>
              <w:right w:val="nil"/>
            </w:tcBorders>
            <w:shd w:val="clear" w:color="000000" w:fill="F2F2F2"/>
            <w:vAlign w:val="center"/>
            <w:hideMark/>
          </w:tcPr>
          <w:p w14:paraId="5CC9A673"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2,206,000</w:t>
            </w:r>
          </w:p>
        </w:tc>
        <w:tc>
          <w:tcPr>
            <w:tcW w:w="1016" w:type="dxa"/>
            <w:tcBorders>
              <w:top w:val="single" w:sz="4" w:space="0" w:color="008089"/>
              <w:left w:val="nil"/>
              <w:bottom w:val="single" w:sz="4" w:space="0" w:color="008089"/>
              <w:right w:val="single" w:sz="8" w:space="0" w:color="008089"/>
            </w:tcBorders>
            <w:shd w:val="clear" w:color="000000" w:fill="F2F2F2"/>
            <w:vAlign w:val="center"/>
            <w:hideMark/>
          </w:tcPr>
          <w:p w14:paraId="3F036710" w14:textId="77777777" w:rsidR="00401088" w:rsidRPr="00624169" w:rsidRDefault="00401088" w:rsidP="00401088">
            <w:pPr>
              <w:suppressAutoHyphens w:val="0"/>
              <w:spacing w:before="0" w:after="0"/>
              <w:jc w:val="right"/>
              <w:rPr>
                <w:rFonts w:ascii="Calibri" w:eastAsia="Times New Roman" w:hAnsi="Calibri" w:cs="Calibri"/>
                <w:i/>
                <w:iCs/>
                <w:color w:val="auto"/>
                <w:sz w:val="18"/>
                <w:szCs w:val="18"/>
                <w:lang w:eastAsia="en-AU"/>
              </w:rPr>
            </w:pPr>
            <w:r w:rsidRPr="00624169">
              <w:rPr>
                <w:rFonts w:ascii="Calibri" w:eastAsia="Times New Roman" w:hAnsi="Calibri" w:cs="Calibri"/>
                <w:i/>
                <w:iCs/>
                <w:color w:val="auto"/>
                <w:sz w:val="18"/>
                <w:szCs w:val="18"/>
                <w:lang w:eastAsia="en-AU"/>
              </w:rPr>
              <w:t>enc</w:t>
            </w:r>
          </w:p>
        </w:tc>
      </w:tr>
      <w:tr w:rsidR="00624169" w:rsidRPr="00401088" w14:paraId="4939CA94" w14:textId="77777777" w:rsidTr="00624169">
        <w:trPr>
          <w:trHeight w:val="290"/>
          <w:jc w:val="center"/>
        </w:trPr>
        <w:tc>
          <w:tcPr>
            <w:tcW w:w="1502" w:type="dxa"/>
            <w:vMerge/>
            <w:tcBorders>
              <w:top w:val="nil"/>
              <w:left w:val="single" w:sz="8" w:space="0" w:color="008089"/>
              <w:bottom w:val="single" w:sz="8" w:space="0" w:color="008089"/>
              <w:right w:val="nil"/>
            </w:tcBorders>
            <w:vAlign w:val="center"/>
            <w:hideMark/>
          </w:tcPr>
          <w:p w14:paraId="099270E7" w14:textId="77777777" w:rsidR="00401088" w:rsidRPr="00DB204C" w:rsidRDefault="00401088" w:rsidP="00401088">
            <w:pPr>
              <w:suppressAutoHyphens w:val="0"/>
              <w:spacing w:before="0" w:after="0"/>
              <w:rPr>
                <w:rFonts w:ascii="Calibri" w:eastAsia="Times New Roman" w:hAnsi="Calibri" w:cs="Calibri"/>
                <w:b/>
                <w:bCs/>
                <w:color w:val="000000"/>
                <w:sz w:val="18"/>
                <w:szCs w:val="18"/>
                <w:lang w:eastAsia="en-AU"/>
              </w:rPr>
            </w:pPr>
          </w:p>
        </w:tc>
        <w:tc>
          <w:tcPr>
            <w:tcW w:w="3308" w:type="dxa"/>
            <w:tcBorders>
              <w:top w:val="nil"/>
              <w:left w:val="nil"/>
              <w:bottom w:val="single" w:sz="4" w:space="0" w:color="008089"/>
              <w:right w:val="nil"/>
            </w:tcBorders>
            <w:shd w:val="clear" w:color="000000" w:fill="F2F2F2"/>
            <w:vAlign w:val="center"/>
            <w:hideMark/>
          </w:tcPr>
          <w:p w14:paraId="52020704" w14:textId="77777777" w:rsidR="00401088" w:rsidRPr="00DB204C" w:rsidRDefault="00401088" w:rsidP="00401088">
            <w:pPr>
              <w:suppressAutoHyphens w:val="0"/>
              <w:spacing w:before="0" w:after="0"/>
              <w:rPr>
                <w:rFonts w:ascii="Calibri" w:eastAsia="Times New Roman" w:hAnsi="Calibri" w:cs="Calibri"/>
                <w:color w:val="000000"/>
                <w:sz w:val="18"/>
                <w:szCs w:val="18"/>
                <w:lang w:eastAsia="en-AU"/>
              </w:rPr>
            </w:pPr>
            <w:r w:rsidRPr="00DB204C">
              <w:rPr>
                <w:rFonts w:ascii="Calibri" w:eastAsia="Times New Roman" w:hAnsi="Calibri" w:cs="Calibri"/>
                <w:color w:val="000000"/>
                <w:sz w:val="18"/>
                <w:szCs w:val="18"/>
                <w:lang w:eastAsia="en-AU"/>
              </w:rPr>
              <w:t>NRL Premiership</w:t>
            </w:r>
          </w:p>
        </w:tc>
        <w:tc>
          <w:tcPr>
            <w:tcW w:w="1843" w:type="dxa"/>
            <w:tcBorders>
              <w:top w:val="nil"/>
              <w:left w:val="nil"/>
              <w:bottom w:val="single" w:sz="4" w:space="0" w:color="008089"/>
              <w:right w:val="nil"/>
            </w:tcBorders>
            <w:shd w:val="clear" w:color="000000" w:fill="F2F2F2"/>
            <w:vAlign w:val="center"/>
            <w:hideMark/>
          </w:tcPr>
          <w:p w14:paraId="32D3F32B" w14:textId="77777777" w:rsidR="00401088" w:rsidRPr="00F85D80" w:rsidRDefault="00401088" w:rsidP="00401088">
            <w:pPr>
              <w:suppressAutoHyphens w:val="0"/>
              <w:spacing w:before="0" w:after="0"/>
              <w:rPr>
                <w:rFonts w:ascii="Calibri" w:eastAsia="Times New Roman" w:hAnsi="Calibri" w:cs="Calibri"/>
                <w:color w:val="000000"/>
                <w:sz w:val="16"/>
                <w:szCs w:val="16"/>
                <w:lang w:eastAsia="en-AU"/>
              </w:rPr>
            </w:pPr>
            <w:r w:rsidRPr="00F85D80">
              <w:rPr>
                <w:rFonts w:ascii="Calibri" w:eastAsia="Times New Roman" w:hAnsi="Calibri" w:cs="Calibri"/>
                <w:color w:val="000000"/>
                <w:sz w:val="16"/>
                <w:szCs w:val="16"/>
                <w:lang w:eastAsia="en-AU"/>
              </w:rPr>
              <w:t>Friday night average</w:t>
            </w:r>
          </w:p>
        </w:tc>
        <w:tc>
          <w:tcPr>
            <w:tcW w:w="1015" w:type="dxa"/>
            <w:tcBorders>
              <w:top w:val="nil"/>
              <w:left w:val="nil"/>
              <w:bottom w:val="single" w:sz="4" w:space="0" w:color="008089"/>
              <w:right w:val="nil"/>
            </w:tcBorders>
            <w:shd w:val="clear" w:color="000000" w:fill="F2F2F2"/>
            <w:vAlign w:val="center"/>
            <w:hideMark/>
          </w:tcPr>
          <w:p w14:paraId="0824782A" w14:textId="77777777" w:rsidR="00401088" w:rsidRPr="00624169" w:rsidRDefault="00401088" w:rsidP="00401088">
            <w:pPr>
              <w:suppressAutoHyphens w:val="0"/>
              <w:spacing w:before="0" w:after="0"/>
              <w:jc w:val="right"/>
              <w:rPr>
                <w:rFonts w:ascii="Calibri" w:eastAsia="Times New Roman" w:hAnsi="Calibri" w:cs="Calibri"/>
                <w:i/>
                <w:iCs/>
                <w:color w:val="auto"/>
                <w:sz w:val="18"/>
                <w:szCs w:val="18"/>
                <w:lang w:eastAsia="en-AU"/>
              </w:rPr>
            </w:pPr>
            <w:r w:rsidRPr="00624169">
              <w:rPr>
                <w:rFonts w:ascii="Calibri" w:eastAsia="Times New Roman" w:hAnsi="Calibri" w:cs="Calibri"/>
                <w:i/>
                <w:iCs/>
                <w:color w:val="auto"/>
                <w:sz w:val="18"/>
                <w:szCs w:val="18"/>
                <w:lang w:eastAsia="en-AU"/>
              </w:rPr>
              <w:t>nda</w:t>
            </w:r>
          </w:p>
        </w:tc>
        <w:tc>
          <w:tcPr>
            <w:tcW w:w="1015" w:type="dxa"/>
            <w:tcBorders>
              <w:top w:val="nil"/>
              <w:left w:val="nil"/>
              <w:bottom w:val="single" w:sz="4" w:space="0" w:color="008089"/>
              <w:right w:val="nil"/>
            </w:tcBorders>
            <w:shd w:val="clear" w:color="000000" w:fill="F2F2F2"/>
            <w:vAlign w:val="center"/>
            <w:hideMark/>
          </w:tcPr>
          <w:p w14:paraId="7A2297EE"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484,000</w:t>
            </w:r>
          </w:p>
        </w:tc>
        <w:tc>
          <w:tcPr>
            <w:tcW w:w="1016" w:type="dxa"/>
            <w:tcBorders>
              <w:top w:val="nil"/>
              <w:left w:val="nil"/>
              <w:bottom w:val="single" w:sz="4" w:space="0" w:color="008089"/>
              <w:right w:val="nil"/>
            </w:tcBorders>
            <w:shd w:val="clear" w:color="000000" w:fill="F2F2F2"/>
            <w:vAlign w:val="center"/>
            <w:hideMark/>
          </w:tcPr>
          <w:p w14:paraId="1C2B79E7"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448,000</w:t>
            </w:r>
          </w:p>
        </w:tc>
        <w:tc>
          <w:tcPr>
            <w:tcW w:w="1015" w:type="dxa"/>
            <w:tcBorders>
              <w:top w:val="nil"/>
              <w:left w:val="nil"/>
              <w:bottom w:val="single" w:sz="4" w:space="0" w:color="008089"/>
              <w:right w:val="nil"/>
            </w:tcBorders>
            <w:shd w:val="clear" w:color="000000" w:fill="F2F2F2"/>
            <w:vAlign w:val="center"/>
            <w:hideMark/>
          </w:tcPr>
          <w:p w14:paraId="4AF050E2"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381,000</w:t>
            </w:r>
          </w:p>
        </w:tc>
        <w:tc>
          <w:tcPr>
            <w:tcW w:w="1015" w:type="dxa"/>
            <w:tcBorders>
              <w:top w:val="nil"/>
              <w:left w:val="nil"/>
              <w:bottom w:val="single" w:sz="4" w:space="0" w:color="008089"/>
              <w:right w:val="nil"/>
            </w:tcBorders>
            <w:shd w:val="clear" w:color="000000" w:fill="F2F2F2"/>
            <w:vAlign w:val="center"/>
            <w:hideMark/>
          </w:tcPr>
          <w:p w14:paraId="005BD043"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371,000</w:t>
            </w:r>
          </w:p>
        </w:tc>
        <w:tc>
          <w:tcPr>
            <w:tcW w:w="1016" w:type="dxa"/>
            <w:tcBorders>
              <w:top w:val="nil"/>
              <w:left w:val="nil"/>
              <w:bottom w:val="single" w:sz="4" w:space="0" w:color="008089"/>
              <w:right w:val="nil"/>
            </w:tcBorders>
            <w:shd w:val="clear" w:color="000000" w:fill="F2F2F2"/>
            <w:vAlign w:val="center"/>
            <w:hideMark/>
          </w:tcPr>
          <w:p w14:paraId="5D514BDE"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355,000</w:t>
            </w:r>
          </w:p>
        </w:tc>
        <w:tc>
          <w:tcPr>
            <w:tcW w:w="1015" w:type="dxa"/>
            <w:tcBorders>
              <w:top w:val="nil"/>
              <w:left w:val="nil"/>
              <w:bottom w:val="single" w:sz="4" w:space="0" w:color="008089"/>
              <w:right w:val="nil"/>
            </w:tcBorders>
            <w:shd w:val="clear" w:color="000000" w:fill="F2F2F2"/>
            <w:vAlign w:val="center"/>
            <w:hideMark/>
          </w:tcPr>
          <w:p w14:paraId="12D85FF7"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339,000</w:t>
            </w:r>
          </w:p>
        </w:tc>
        <w:tc>
          <w:tcPr>
            <w:tcW w:w="1016" w:type="dxa"/>
            <w:tcBorders>
              <w:top w:val="nil"/>
              <w:left w:val="nil"/>
              <w:bottom w:val="single" w:sz="4" w:space="0" w:color="008089"/>
              <w:right w:val="single" w:sz="8" w:space="0" w:color="008089"/>
            </w:tcBorders>
            <w:shd w:val="clear" w:color="000000" w:fill="F2F2F2"/>
            <w:vAlign w:val="center"/>
            <w:hideMark/>
          </w:tcPr>
          <w:p w14:paraId="11E64034" w14:textId="77777777" w:rsidR="00401088" w:rsidRPr="00624169" w:rsidRDefault="00401088" w:rsidP="00401088">
            <w:pPr>
              <w:suppressAutoHyphens w:val="0"/>
              <w:spacing w:before="0" w:after="0"/>
              <w:jc w:val="right"/>
              <w:rPr>
                <w:rFonts w:ascii="Calibri" w:eastAsia="Times New Roman" w:hAnsi="Calibri" w:cs="Calibri"/>
                <w:i/>
                <w:iCs/>
                <w:color w:val="auto"/>
                <w:sz w:val="18"/>
                <w:szCs w:val="18"/>
                <w:lang w:eastAsia="en-AU"/>
              </w:rPr>
            </w:pPr>
            <w:r w:rsidRPr="00624169">
              <w:rPr>
                <w:rFonts w:ascii="Calibri" w:eastAsia="Times New Roman" w:hAnsi="Calibri" w:cs="Calibri"/>
                <w:i/>
                <w:iCs/>
                <w:color w:val="auto"/>
                <w:sz w:val="18"/>
                <w:szCs w:val="18"/>
                <w:lang w:eastAsia="en-AU"/>
              </w:rPr>
              <w:t>enc</w:t>
            </w:r>
          </w:p>
        </w:tc>
      </w:tr>
      <w:tr w:rsidR="00624169" w:rsidRPr="00401088" w14:paraId="5F9291D7" w14:textId="77777777" w:rsidTr="00624169">
        <w:trPr>
          <w:trHeight w:val="290"/>
          <w:jc w:val="center"/>
        </w:trPr>
        <w:tc>
          <w:tcPr>
            <w:tcW w:w="1502" w:type="dxa"/>
            <w:vMerge/>
            <w:tcBorders>
              <w:top w:val="nil"/>
              <w:left w:val="single" w:sz="8" w:space="0" w:color="008089"/>
              <w:bottom w:val="single" w:sz="8" w:space="0" w:color="008089"/>
              <w:right w:val="nil"/>
            </w:tcBorders>
            <w:vAlign w:val="center"/>
            <w:hideMark/>
          </w:tcPr>
          <w:p w14:paraId="491D78BD" w14:textId="77777777" w:rsidR="00401088" w:rsidRPr="00DB204C" w:rsidRDefault="00401088" w:rsidP="00401088">
            <w:pPr>
              <w:suppressAutoHyphens w:val="0"/>
              <w:spacing w:before="0" w:after="0"/>
              <w:rPr>
                <w:rFonts w:ascii="Calibri" w:eastAsia="Times New Roman" w:hAnsi="Calibri" w:cs="Calibri"/>
                <w:b/>
                <w:bCs/>
                <w:color w:val="000000"/>
                <w:sz w:val="18"/>
                <w:szCs w:val="18"/>
                <w:lang w:eastAsia="en-AU"/>
              </w:rPr>
            </w:pPr>
          </w:p>
        </w:tc>
        <w:tc>
          <w:tcPr>
            <w:tcW w:w="3308" w:type="dxa"/>
            <w:tcBorders>
              <w:top w:val="nil"/>
              <w:left w:val="nil"/>
              <w:bottom w:val="single" w:sz="4" w:space="0" w:color="008089"/>
              <w:right w:val="nil"/>
            </w:tcBorders>
            <w:shd w:val="clear" w:color="000000" w:fill="F2F2F2"/>
            <w:vAlign w:val="center"/>
            <w:hideMark/>
          </w:tcPr>
          <w:p w14:paraId="0AADD6DC" w14:textId="77777777" w:rsidR="00401088" w:rsidRPr="00DB204C" w:rsidRDefault="00401088" w:rsidP="00401088">
            <w:pPr>
              <w:suppressAutoHyphens w:val="0"/>
              <w:spacing w:before="0" w:after="0"/>
              <w:rPr>
                <w:rFonts w:ascii="Calibri" w:eastAsia="Times New Roman" w:hAnsi="Calibri" w:cs="Calibri"/>
                <w:color w:val="000000"/>
                <w:sz w:val="18"/>
                <w:szCs w:val="18"/>
                <w:lang w:eastAsia="en-AU"/>
              </w:rPr>
            </w:pPr>
            <w:r w:rsidRPr="00DB204C">
              <w:rPr>
                <w:rFonts w:ascii="Calibri" w:eastAsia="Times New Roman" w:hAnsi="Calibri" w:cs="Calibri"/>
                <w:color w:val="000000"/>
                <w:sz w:val="18"/>
                <w:szCs w:val="18"/>
                <w:lang w:eastAsia="en-AU"/>
              </w:rPr>
              <w:t>NRL-W Grand Final</w:t>
            </w:r>
          </w:p>
        </w:tc>
        <w:tc>
          <w:tcPr>
            <w:tcW w:w="1843" w:type="dxa"/>
            <w:tcBorders>
              <w:top w:val="nil"/>
              <w:left w:val="nil"/>
              <w:bottom w:val="single" w:sz="4" w:space="0" w:color="008089"/>
              <w:right w:val="nil"/>
            </w:tcBorders>
            <w:shd w:val="clear" w:color="000000" w:fill="F2F2F2"/>
            <w:vAlign w:val="center"/>
            <w:hideMark/>
          </w:tcPr>
          <w:p w14:paraId="4A18747D" w14:textId="77777777" w:rsidR="00401088" w:rsidRPr="00F85D80" w:rsidRDefault="00401088" w:rsidP="00401088">
            <w:pPr>
              <w:suppressAutoHyphens w:val="0"/>
              <w:spacing w:before="0" w:after="0"/>
              <w:rPr>
                <w:rFonts w:ascii="Calibri" w:eastAsia="Times New Roman" w:hAnsi="Calibri" w:cs="Calibri"/>
                <w:color w:val="000000"/>
                <w:sz w:val="16"/>
                <w:szCs w:val="16"/>
                <w:lang w:eastAsia="en-AU"/>
              </w:rPr>
            </w:pPr>
            <w:r w:rsidRPr="00F85D80">
              <w:rPr>
                <w:rFonts w:ascii="Calibri" w:eastAsia="Times New Roman" w:hAnsi="Calibri" w:cs="Calibri"/>
                <w:color w:val="000000"/>
                <w:sz w:val="16"/>
                <w:szCs w:val="16"/>
                <w:lang w:eastAsia="en-AU"/>
              </w:rPr>
              <w:t>Single match</w:t>
            </w:r>
          </w:p>
        </w:tc>
        <w:tc>
          <w:tcPr>
            <w:tcW w:w="1015" w:type="dxa"/>
            <w:tcBorders>
              <w:top w:val="nil"/>
              <w:left w:val="nil"/>
              <w:bottom w:val="single" w:sz="4" w:space="0" w:color="008089"/>
              <w:right w:val="nil"/>
            </w:tcBorders>
            <w:shd w:val="clear" w:color="000000" w:fill="F2F2F2"/>
            <w:vAlign w:val="center"/>
            <w:hideMark/>
          </w:tcPr>
          <w:p w14:paraId="2739AC97" w14:textId="77777777" w:rsidR="00401088" w:rsidRPr="00624169" w:rsidRDefault="00401088" w:rsidP="00401088">
            <w:pPr>
              <w:suppressAutoHyphens w:val="0"/>
              <w:spacing w:before="0" w:after="0"/>
              <w:jc w:val="right"/>
              <w:rPr>
                <w:rFonts w:ascii="Calibri" w:eastAsia="Times New Roman" w:hAnsi="Calibri" w:cs="Calibri"/>
                <w:i/>
                <w:iCs/>
                <w:color w:val="auto"/>
                <w:sz w:val="18"/>
                <w:szCs w:val="18"/>
                <w:lang w:eastAsia="en-AU"/>
              </w:rPr>
            </w:pPr>
            <w:r w:rsidRPr="00624169">
              <w:rPr>
                <w:rFonts w:ascii="Calibri" w:eastAsia="Times New Roman" w:hAnsi="Calibri" w:cs="Calibri"/>
                <w:i/>
                <w:iCs/>
                <w:color w:val="auto"/>
                <w:sz w:val="18"/>
                <w:szCs w:val="18"/>
                <w:lang w:eastAsia="en-AU"/>
              </w:rPr>
              <w:t>nh</w:t>
            </w:r>
          </w:p>
        </w:tc>
        <w:tc>
          <w:tcPr>
            <w:tcW w:w="1015" w:type="dxa"/>
            <w:tcBorders>
              <w:top w:val="nil"/>
              <w:left w:val="nil"/>
              <w:bottom w:val="single" w:sz="4" w:space="0" w:color="008089"/>
              <w:right w:val="nil"/>
            </w:tcBorders>
            <w:shd w:val="clear" w:color="000000" w:fill="F2F2F2"/>
            <w:vAlign w:val="center"/>
            <w:hideMark/>
          </w:tcPr>
          <w:p w14:paraId="6A9ED3C7" w14:textId="77777777" w:rsidR="00401088" w:rsidRPr="00624169" w:rsidRDefault="00401088" w:rsidP="00401088">
            <w:pPr>
              <w:suppressAutoHyphens w:val="0"/>
              <w:spacing w:before="0" w:after="0"/>
              <w:jc w:val="right"/>
              <w:rPr>
                <w:rFonts w:ascii="Calibri" w:eastAsia="Times New Roman" w:hAnsi="Calibri" w:cs="Calibri"/>
                <w:i/>
                <w:iCs/>
                <w:color w:val="auto"/>
                <w:sz w:val="18"/>
                <w:szCs w:val="18"/>
                <w:lang w:eastAsia="en-AU"/>
              </w:rPr>
            </w:pPr>
            <w:r w:rsidRPr="00624169">
              <w:rPr>
                <w:rFonts w:ascii="Calibri" w:eastAsia="Times New Roman" w:hAnsi="Calibri" w:cs="Calibri"/>
                <w:i/>
                <w:iCs/>
                <w:color w:val="auto"/>
                <w:sz w:val="18"/>
                <w:szCs w:val="18"/>
                <w:lang w:eastAsia="en-AU"/>
              </w:rPr>
              <w:t>nh</w:t>
            </w:r>
          </w:p>
        </w:tc>
        <w:tc>
          <w:tcPr>
            <w:tcW w:w="1016" w:type="dxa"/>
            <w:tcBorders>
              <w:top w:val="nil"/>
              <w:left w:val="nil"/>
              <w:bottom w:val="single" w:sz="4" w:space="0" w:color="008089"/>
              <w:right w:val="nil"/>
            </w:tcBorders>
            <w:shd w:val="clear" w:color="000000" w:fill="F2F2F2"/>
            <w:vAlign w:val="center"/>
            <w:hideMark/>
          </w:tcPr>
          <w:p w14:paraId="6A2F5899" w14:textId="77777777" w:rsidR="00401088" w:rsidRPr="00624169" w:rsidRDefault="00401088" w:rsidP="00401088">
            <w:pPr>
              <w:suppressAutoHyphens w:val="0"/>
              <w:spacing w:before="0" w:after="0"/>
              <w:jc w:val="right"/>
              <w:rPr>
                <w:rFonts w:ascii="Calibri" w:eastAsia="Times New Roman" w:hAnsi="Calibri" w:cs="Calibri"/>
                <w:i/>
                <w:iCs/>
                <w:color w:val="auto"/>
                <w:sz w:val="18"/>
                <w:szCs w:val="18"/>
                <w:lang w:eastAsia="en-AU"/>
              </w:rPr>
            </w:pPr>
            <w:r w:rsidRPr="00624169">
              <w:rPr>
                <w:rFonts w:ascii="Calibri" w:eastAsia="Times New Roman" w:hAnsi="Calibri" w:cs="Calibri"/>
                <w:i/>
                <w:iCs/>
                <w:color w:val="auto"/>
                <w:sz w:val="18"/>
                <w:szCs w:val="18"/>
                <w:lang w:eastAsia="en-AU"/>
              </w:rPr>
              <w:t>nh</w:t>
            </w:r>
          </w:p>
        </w:tc>
        <w:tc>
          <w:tcPr>
            <w:tcW w:w="1015" w:type="dxa"/>
            <w:tcBorders>
              <w:top w:val="nil"/>
              <w:left w:val="nil"/>
              <w:bottom w:val="single" w:sz="4" w:space="0" w:color="008089"/>
              <w:right w:val="nil"/>
            </w:tcBorders>
            <w:shd w:val="clear" w:color="000000" w:fill="F2F2F2"/>
            <w:vAlign w:val="center"/>
            <w:hideMark/>
          </w:tcPr>
          <w:p w14:paraId="3566E795"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275,000</w:t>
            </w:r>
          </w:p>
        </w:tc>
        <w:tc>
          <w:tcPr>
            <w:tcW w:w="1015" w:type="dxa"/>
            <w:tcBorders>
              <w:top w:val="nil"/>
              <w:left w:val="nil"/>
              <w:bottom w:val="single" w:sz="4" w:space="0" w:color="008089"/>
              <w:right w:val="nil"/>
            </w:tcBorders>
            <w:shd w:val="clear" w:color="000000" w:fill="F2F2F2"/>
            <w:vAlign w:val="center"/>
            <w:hideMark/>
          </w:tcPr>
          <w:p w14:paraId="47CF1E96"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321,000</w:t>
            </w:r>
          </w:p>
        </w:tc>
        <w:tc>
          <w:tcPr>
            <w:tcW w:w="1016" w:type="dxa"/>
            <w:tcBorders>
              <w:top w:val="nil"/>
              <w:left w:val="nil"/>
              <w:bottom w:val="single" w:sz="4" w:space="0" w:color="008089"/>
              <w:right w:val="nil"/>
            </w:tcBorders>
            <w:shd w:val="clear" w:color="000000" w:fill="F2F2F2"/>
            <w:vAlign w:val="center"/>
            <w:hideMark/>
          </w:tcPr>
          <w:p w14:paraId="6FD54A10"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341,000</w:t>
            </w:r>
          </w:p>
        </w:tc>
        <w:tc>
          <w:tcPr>
            <w:tcW w:w="1015" w:type="dxa"/>
            <w:tcBorders>
              <w:top w:val="nil"/>
              <w:left w:val="nil"/>
              <w:bottom w:val="single" w:sz="4" w:space="0" w:color="008089"/>
              <w:right w:val="nil"/>
            </w:tcBorders>
            <w:shd w:val="clear" w:color="000000" w:fill="F2F2F2"/>
            <w:vAlign w:val="center"/>
            <w:hideMark/>
          </w:tcPr>
          <w:p w14:paraId="64874564" w14:textId="77777777" w:rsidR="00401088" w:rsidRPr="00624169" w:rsidRDefault="00401088" w:rsidP="00401088">
            <w:pPr>
              <w:suppressAutoHyphens w:val="0"/>
              <w:spacing w:before="0" w:after="0"/>
              <w:jc w:val="right"/>
              <w:rPr>
                <w:rFonts w:ascii="Wingdings" w:eastAsia="Times New Roman" w:hAnsi="Wingdings" w:cs="Calibri"/>
                <w:color w:val="auto"/>
                <w:sz w:val="18"/>
                <w:szCs w:val="18"/>
                <w:lang w:eastAsia="en-AU"/>
              </w:rPr>
            </w:pPr>
            <w:r w:rsidRPr="00624169">
              <w:rPr>
                <w:rFonts w:ascii="Wingdings" w:eastAsia="Times New Roman" w:hAnsi="Wingdings" w:cs="Calibri"/>
                <w:color w:val="auto"/>
                <w:sz w:val="18"/>
                <w:szCs w:val="18"/>
                <w:lang w:eastAsia="en-AU"/>
              </w:rPr>
              <w:t></w:t>
            </w:r>
          </w:p>
        </w:tc>
        <w:tc>
          <w:tcPr>
            <w:tcW w:w="1016" w:type="dxa"/>
            <w:tcBorders>
              <w:top w:val="nil"/>
              <w:left w:val="nil"/>
              <w:bottom w:val="single" w:sz="4" w:space="0" w:color="008089"/>
              <w:right w:val="single" w:sz="8" w:space="0" w:color="008089"/>
            </w:tcBorders>
            <w:shd w:val="clear" w:color="000000" w:fill="F2F2F2"/>
            <w:vAlign w:val="center"/>
            <w:hideMark/>
          </w:tcPr>
          <w:p w14:paraId="347DF7A7"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117,000</w:t>
            </w:r>
          </w:p>
        </w:tc>
      </w:tr>
      <w:tr w:rsidR="00624169" w:rsidRPr="00401088" w14:paraId="18126971" w14:textId="77777777" w:rsidTr="00624169">
        <w:trPr>
          <w:trHeight w:val="330"/>
          <w:jc w:val="center"/>
        </w:trPr>
        <w:tc>
          <w:tcPr>
            <w:tcW w:w="1502" w:type="dxa"/>
            <w:vMerge/>
            <w:tcBorders>
              <w:top w:val="nil"/>
              <w:left w:val="single" w:sz="8" w:space="0" w:color="008089"/>
              <w:bottom w:val="single" w:sz="8" w:space="0" w:color="008089"/>
              <w:right w:val="nil"/>
            </w:tcBorders>
            <w:vAlign w:val="center"/>
            <w:hideMark/>
          </w:tcPr>
          <w:p w14:paraId="14F1CC96" w14:textId="77777777" w:rsidR="00401088" w:rsidRPr="00DB204C" w:rsidRDefault="00401088" w:rsidP="00401088">
            <w:pPr>
              <w:suppressAutoHyphens w:val="0"/>
              <w:spacing w:before="0" w:after="0"/>
              <w:rPr>
                <w:rFonts w:ascii="Calibri" w:eastAsia="Times New Roman" w:hAnsi="Calibri" w:cs="Calibri"/>
                <w:b/>
                <w:bCs/>
                <w:color w:val="000000"/>
                <w:sz w:val="18"/>
                <w:szCs w:val="18"/>
                <w:lang w:eastAsia="en-AU"/>
              </w:rPr>
            </w:pPr>
          </w:p>
        </w:tc>
        <w:tc>
          <w:tcPr>
            <w:tcW w:w="3308" w:type="dxa"/>
            <w:tcBorders>
              <w:top w:val="nil"/>
              <w:left w:val="nil"/>
              <w:bottom w:val="single" w:sz="4" w:space="0" w:color="008089"/>
              <w:right w:val="nil"/>
            </w:tcBorders>
            <w:shd w:val="clear" w:color="000000" w:fill="F2F2F2"/>
            <w:vAlign w:val="center"/>
            <w:hideMark/>
          </w:tcPr>
          <w:p w14:paraId="1B42440D" w14:textId="77777777" w:rsidR="00401088" w:rsidRPr="00DB204C" w:rsidRDefault="00401088" w:rsidP="00401088">
            <w:pPr>
              <w:suppressAutoHyphens w:val="0"/>
              <w:spacing w:before="0" w:after="0"/>
              <w:rPr>
                <w:rFonts w:ascii="Calibri" w:eastAsia="Times New Roman" w:hAnsi="Calibri" w:cs="Calibri"/>
                <w:color w:val="000000"/>
                <w:sz w:val="18"/>
                <w:szCs w:val="18"/>
                <w:lang w:eastAsia="en-AU"/>
              </w:rPr>
            </w:pPr>
            <w:r w:rsidRPr="00DB204C">
              <w:rPr>
                <w:rFonts w:ascii="Calibri" w:eastAsia="Times New Roman" w:hAnsi="Calibri" w:cs="Calibri"/>
                <w:color w:val="000000"/>
                <w:sz w:val="18"/>
                <w:szCs w:val="18"/>
                <w:lang w:eastAsia="en-AU"/>
              </w:rPr>
              <w:t>NRL-W Premiership</w:t>
            </w:r>
          </w:p>
        </w:tc>
        <w:tc>
          <w:tcPr>
            <w:tcW w:w="1843" w:type="dxa"/>
            <w:tcBorders>
              <w:top w:val="nil"/>
              <w:left w:val="nil"/>
              <w:bottom w:val="single" w:sz="4" w:space="0" w:color="008089"/>
              <w:right w:val="nil"/>
            </w:tcBorders>
            <w:shd w:val="clear" w:color="000000" w:fill="F2F2F2"/>
            <w:vAlign w:val="center"/>
            <w:hideMark/>
          </w:tcPr>
          <w:p w14:paraId="58396AFB" w14:textId="77777777" w:rsidR="00401088" w:rsidRPr="00F85D80" w:rsidRDefault="00401088" w:rsidP="00401088">
            <w:pPr>
              <w:suppressAutoHyphens w:val="0"/>
              <w:spacing w:before="0" w:after="0"/>
              <w:rPr>
                <w:rFonts w:ascii="Calibri" w:eastAsia="Times New Roman" w:hAnsi="Calibri" w:cs="Calibri"/>
                <w:color w:val="000000"/>
                <w:sz w:val="16"/>
                <w:szCs w:val="16"/>
                <w:lang w:eastAsia="en-AU"/>
              </w:rPr>
            </w:pPr>
            <w:r w:rsidRPr="00F85D80">
              <w:rPr>
                <w:rFonts w:ascii="Calibri" w:eastAsia="Times New Roman" w:hAnsi="Calibri" w:cs="Calibri"/>
                <w:color w:val="000000"/>
                <w:sz w:val="16"/>
                <w:szCs w:val="16"/>
                <w:lang w:eastAsia="en-AU"/>
              </w:rPr>
              <w:t>All matches average</w:t>
            </w:r>
            <w:r w:rsidRPr="00F85D80">
              <w:rPr>
                <w:rFonts w:ascii="Calibri" w:eastAsia="Times New Roman" w:hAnsi="Calibri" w:cs="Calibri"/>
                <w:color w:val="000000"/>
                <w:sz w:val="16"/>
                <w:szCs w:val="16"/>
                <w:vertAlign w:val="superscript"/>
                <w:lang w:eastAsia="en-AU"/>
              </w:rPr>
              <w:t>2</w:t>
            </w:r>
          </w:p>
        </w:tc>
        <w:tc>
          <w:tcPr>
            <w:tcW w:w="1015" w:type="dxa"/>
            <w:tcBorders>
              <w:top w:val="nil"/>
              <w:left w:val="nil"/>
              <w:bottom w:val="single" w:sz="4" w:space="0" w:color="008089"/>
              <w:right w:val="nil"/>
            </w:tcBorders>
            <w:shd w:val="clear" w:color="000000" w:fill="F2F2F2"/>
            <w:vAlign w:val="center"/>
            <w:hideMark/>
          </w:tcPr>
          <w:p w14:paraId="2DCA0B3B" w14:textId="77777777" w:rsidR="00401088" w:rsidRPr="00624169" w:rsidRDefault="00401088" w:rsidP="00401088">
            <w:pPr>
              <w:suppressAutoHyphens w:val="0"/>
              <w:spacing w:before="0" w:after="0"/>
              <w:jc w:val="right"/>
              <w:rPr>
                <w:rFonts w:ascii="Calibri" w:eastAsia="Times New Roman" w:hAnsi="Calibri" w:cs="Calibri"/>
                <w:i/>
                <w:iCs/>
                <w:color w:val="auto"/>
                <w:sz w:val="18"/>
                <w:szCs w:val="18"/>
                <w:lang w:eastAsia="en-AU"/>
              </w:rPr>
            </w:pPr>
            <w:r w:rsidRPr="00624169">
              <w:rPr>
                <w:rFonts w:ascii="Calibri" w:eastAsia="Times New Roman" w:hAnsi="Calibri" w:cs="Calibri"/>
                <w:i/>
                <w:iCs/>
                <w:color w:val="auto"/>
                <w:sz w:val="18"/>
                <w:szCs w:val="18"/>
                <w:lang w:eastAsia="en-AU"/>
              </w:rPr>
              <w:t>nh</w:t>
            </w:r>
          </w:p>
        </w:tc>
        <w:tc>
          <w:tcPr>
            <w:tcW w:w="1015" w:type="dxa"/>
            <w:tcBorders>
              <w:top w:val="nil"/>
              <w:left w:val="nil"/>
              <w:bottom w:val="single" w:sz="4" w:space="0" w:color="008089"/>
              <w:right w:val="nil"/>
            </w:tcBorders>
            <w:shd w:val="clear" w:color="000000" w:fill="F2F2F2"/>
            <w:vAlign w:val="center"/>
            <w:hideMark/>
          </w:tcPr>
          <w:p w14:paraId="3B1DAD6D" w14:textId="77777777" w:rsidR="00401088" w:rsidRPr="00624169" w:rsidRDefault="00401088" w:rsidP="00401088">
            <w:pPr>
              <w:suppressAutoHyphens w:val="0"/>
              <w:spacing w:before="0" w:after="0"/>
              <w:jc w:val="right"/>
              <w:rPr>
                <w:rFonts w:ascii="Calibri" w:eastAsia="Times New Roman" w:hAnsi="Calibri" w:cs="Calibri"/>
                <w:i/>
                <w:iCs/>
                <w:color w:val="auto"/>
                <w:sz w:val="18"/>
                <w:szCs w:val="18"/>
                <w:lang w:eastAsia="en-AU"/>
              </w:rPr>
            </w:pPr>
            <w:r w:rsidRPr="00624169">
              <w:rPr>
                <w:rFonts w:ascii="Calibri" w:eastAsia="Times New Roman" w:hAnsi="Calibri" w:cs="Calibri"/>
                <w:i/>
                <w:iCs/>
                <w:color w:val="auto"/>
                <w:sz w:val="18"/>
                <w:szCs w:val="18"/>
                <w:lang w:eastAsia="en-AU"/>
              </w:rPr>
              <w:t>nh</w:t>
            </w:r>
          </w:p>
        </w:tc>
        <w:tc>
          <w:tcPr>
            <w:tcW w:w="1016" w:type="dxa"/>
            <w:tcBorders>
              <w:top w:val="nil"/>
              <w:left w:val="nil"/>
              <w:bottom w:val="single" w:sz="4" w:space="0" w:color="008089"/>
              <w:right w:val="nil"/>
            </w:tcBorders>
            <w:shd w:val="clear" w:color="000000" w:fill="F2F2F2"/>
            <w:vAlign w:val="center"/>
            <w:hideMark/>
          </w:tcPr>
          <w:p w14:paraId="7C930403" w14:textId="77777777" w:rsidR="00401088" w:rsidRPr="00624169" w:rsidRDefault="00401088" w:rsidP="00401088">
            <w:pPr>
              <w:suppressAutoHyphens w:val="0"/>
              <w:spacing w:before="0" w:after="0"/>
              <w:jc w:val="right"/>
              <w:rPr>
                <w:rFonts w:ascii="Calibri" w:eastAsia="Times New Roman" w:hAnsi="Calibri" w:cs="Calibri"/>
                <w:i/>
                <w:iCs/>
                <w:color w:val="auto"/>
                <w:sz w:val="18"/>
                <w:szCs w:val="18"/>
                <w:lang w:eastAsia="en-AU"/>
              </w:rPr>
            </w:pPr>
            <w:r w:rsidRPr="00624169">
              <w:rPr>
                <w:rFonts w:ascii="Calibri" w:eastAsia="Times New Roman" w:hAnsi="Calibri" w:cs="Calibri"/>
                <w:i/>
                <w:iCs/>
                <w:color w:val="auto"/>
                <w:sz w:val="18"/>
                <w:szCs w:val="18"/>
                <w:lang w:eastAsia="en-AU"/>
              </w:rPr>
              <w:t>nh</w:t>
            </w:r>
          </w:p>
        </w:tc>
        <w:tc>
          <w:tcPr>
            <w:tcW w:w="1015" w:type="dxa"/>
            <w:tcBorders>
              <w:top w:val="nil"/>
              <w:left w:val="nil"/>
              <w:bottom w:val="single" w:sz="4" w:space="0" w:color="008089"/>
              <w:right w:val="nil"/>
            </w:tcBorders>
            <w:shd w:val="clear" w:color="000000" w:fill="F2F2F2"/>
            <w:vAlign w:val="center"/>
            <w:hideMark/>
          </w:tcPr>
          <w:p w14:paraId="2F0DE9FE"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67,000</w:t>
            </w:r>
          </w:p>
        </w:tc>
        <w:tc>
          <w:tcPr>
            <w:tcW w:w="1015" w:type="dxa"/>
            <w:tcBorders>
              <w:top w:val="nil"/>
              <w:left w:val="nil"/>
              <w:bottom w:val="single" w:sz="4" w:space="0" w:color="008089"/>
              <w:right w:val="nil"/>
            </w:tcBorders>
            <w:shd w:val="clear" w:color="000000" w:fill="F2F2F2"/>
            <w:vAlign w:val="center"/>
            <w:hideMark/>
          </w:tcPr>
          <w:p w14:paraId="43D67556"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73,000</w:t>
            </w:r>
          </w:p>
        </w:tc>
        <w:tc>
          <w:tcPr>
            <w:tcW w:w="1016" w:type="dxa"/>
            <w:tcBorders>
              <w:top w:val="nil"/>
              <w:left w:val="nil"/>
              <w:bottom w:val="single" w:sz="4" w:space="0" w:color="008089"/>
              <w:right w:val="nil"/>
            </w:tcBorders>
            <w:shd w:val="clear" w:color="000000" w:fill="F2F2F2"/>
            <w:vAlign w:val="center"/>
            <w:hideMark/>
          </w:tcPr>
          <w:p w14:paraId="156049B3"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62,000</w:t>
            </w:r>
          </w:p>
        </w:tc>
        <w:tc>
          <w:tcPr>
            <w:tcW w:w="1015" w:type="dxa"/>
            <w:tcBorders>
              <w:top w:val="nil"/>
              <w:left w:val="nil"/>
              <w:bottom w:val="single" w:sz="4" w:space="0" w:color="008089"/>
              <w:right w:val="nil"/>
            </w:tcBorders>
            <w:shd w:val="clear" w:color="000000" w:fill="F2F2F2"/>
            <w:vAlign w:val="center"/>
            <w:hideMark/>
          </w:tcPr>
          <w:p w14:paraId="29F80942" w14:textId="77777777" w:rsidR="00401088" w:rsidRPr="00624169" w:rsidRDefault="00401088" w:rsidP="00401088">
            <w:pPr>
              <w:suppressAutoHyphens w:val="0"/>
              <w:spacing w:before="0" w:after="0"/>
              <w:jc w:val="right"/>
              <w:rPr>
                <w:rFonts w:ascii="Wingdings" w:eastAsia="Times New Roman" w:hAnsi="Wingdings" w:cs="Calibri"/>
                <w:color w:val="auto"/>
                <w:sz w:val="18"/>
                <w:szCs w:val="18"/>
                <w:lang w:eastAsia="en-AU"/>
              </w:rPr>
            </w:pPr>
            <w:r w:rsidRPr="00624169">
              <w:rPr>
                <w:rFonts w:ascii="Wingdings" w:eastAsia="Times New Roman" w:hAnsi="Wingdings" w:cs="Calibri"/>
                <w:color w:val="auto"/>
                <w:sz w:val="18"/>
                <w:szCs w:val="18"/>
                <w:lang w:eastAsia="en-AU"/>
              </w:rPr>
              <w:t></w:t>
            </w:r>
          </w:p>
        </w:tc>
        <w:tc>
          <w:tcPr>
            <w:tcW w:w="1016" w:type="dxa"/>
            <w:tcBorders>
              <w:top w:val="nil"/>
              <w:left w:val="nil"/>
              <w:bottom w:val="single" w:sz="4" w:space="0" w:color="008089"/>
              <w:right w:val="single" w:sz="8" w:space="0" w:color="008089"/>
            </w:tcBorders>
            <w:shd w:val="clear" w:color="000000" w:fill="F2F2F2"/>
            <w:vAlign w:val="center"/>
            <w:hideMark/>
          </w:tcPr>
          <w:p w14:paraId="2B87E96B"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72,000</w:t>
            </w:r>
          </w:p>
        </w:tc>
      </w:tr>
      <w:tr w:rsidR="00624169" w:rsidRPr="00401088" w14:paraId="29665C2A" w14:textId="77777777" w:rsidTr="00624169">
        <w:trPr>
          <w:trHeight w:val="290"/>
          <w:jc w:val="center"/>
        </w:trPr>
        <w:tc>
          <w:tcPr>
            <w:tcW w:w="1502" w:type="dxa"/>
            <w:vMerge/>
            <w:tcBorders>
              <w:top w:val="nil"/>
              <w:left w:val="single" w:sz="8" w:space="0" w:color="008089"/>
              <w:bottom w:val="single" w:sz="8" w:space="0" w:color="008089"/>
              <w:right w:val="nil"/>
            </w:tcBorders>
            <w:vAlign w:val="center"/>
            <w:hideMark/>
          </w:tcPr>
          <w:p w14:paraId="1563D70A" w14:textId="77777777" w:rsidR="00401088" w:rsidRPr="00DB204C" w:rsidRDefault="00401088" w:rsidP="00401088">
            <w:pPr>
              <w:suppressAutoHyphens w:val="0"/>
              <w:spacing w:before="0" w:after="0"/>
              <w:rPr>
                <w:rFonts w:ascii="Calibri" w:eastAsia="Times New Roman" w:hAnsi="Calibri" w:cs="Calibri"/>
                <w:b/>
                <w:bCs/>
                <w:color w:val="000000"/>
                <w:sz w:val="18"/>
                <w:szCs w:val="18"/>
                <w:lang w:eastAsia="en-AU"/>
              </w:rPr>
            </w:pPr>
          </w:p>
        </w:tc>
        <w:tc>
          <w:tcPr>
            <w:tcW w:w="3308" w:type="dxa"/>
            <w:tcBorders>
              <w:top w:val="nil"/>
              <w:left w:val="nil"/>
              <w:bottom w:val="single" w:sz="4" w:space="0" w:color="008089"/>
              <w:right w:val="nil"/>
            </w:tcBorders>
            <w:shd w:val="clear" w:color="000000" w:fill="F2F2F2"/>
            <w:vAlign w:val="center"/>
            <w:hideMark/>
          </w:tcPr>
          <w:p w14:paraId="323D5CF2" w14:textId="77777777" w:rsidR="00401088" w:rsidRPr="00DB204C" w:rsidRDefault="00401088" w:rsidP="00401088">
            <w:pPr>
              <w:suppressAutoHyphens w:val="0"/>
              <w:spacing w:before="0" w:after="0"/>
              <w:rPr>
                <w:rFonts w:ascii="Calibri" w:eastAsia="Times New Roman" w:hAnsi="Calibri" w:cs="Calibri"/>
                <w:color w:val="000000"/>
                <w:sz w:val="18"/>
                <w:szCs w:val="18"/>
                <w:lang w:eastAsia="en-AU"/>
              </w:rPr>
            </w:pPr>
            <w:r w:rsidRPr="00DB204C">
              <w:rPr>
                <w:rFonts w:ascii="Calibri" w:eastAsia="Times New Roman" w:hAnsi="Calibri" w:cs="Calibri"/>
                <w:color w:val="000000"/>
                <w:sz w:val="18"/>
                <w:szCs w:val="18"/>
                <w:lang w:eastAsia="en-AU"/>
              </w:rPr>
              <w:t>State of Origin (Men)</w:t>
            </w:r>
          </w:p>
        </w:tc>
        <w:tc>
          <w:tcPr>
            <w:tcW w:w="1843" w:type="dxa"/>
            <w:tcBorders>
              <w:top w:val="nil"/>
              <w:left w:val="nil"/>
              <w:bottom w:val="single" w:sz="4" w:space="0" w:color="008089"/>
              <w:right w:val="nil"/>
            </w:tcBorders>
            <w:shd w:val="clear" w:color="000000" w:fill="F2F2F2"/>
            <w:vAlign w:val="center"/>
            <w:hideMark/>
          </w:tcPr>
          <w:p w14:paraId="7723803C" w14:textId="77777777" w:rsidR="00401088" w:rsidRPr="00F85D80" w:rsidRDefault="00401088" w:rsidP="00401088">
            <w:pPr>
              <w:suppressAutoHyphens w:val="0"/>
              <w:spacing w:before="0" w:after="0"/>
              <w:rPr>
                <w:rFonts w:ascii="Calibri" w:eastAsia="Times New Roman" w:hAnsi="Calibri" w:cs="Calibri"/>
                <w:color w:val="000000"/>
                <w:sz w:val="16"/>
                <w:szCs w:val="16"/>
                <w:lang w:eastAsia="en-AU"/>
              </w:rPr>
            </w:pPr>
            <w:r w:rsidRPr="00F85D80">
              <w:rPr>
                <w:rFonts w:ascii="Calibri" w:eastAsia="Times New Roman" w:hAnsi="Calibri" w:cs="Calibri"/>
                <w:color w:val="000000"/>
                <w:sz w:val="16"/>
                <w:szCs w:val="16"/>
                <w:lang w:eastAsia="en-AU"/>
              </w:rPr>
              <w:t>Average audience - Match 1</w:t>
            </w:r>
          </w:p>
        </w:tc>
        <w:tc>
          <w:tcPr>
            <w:tcW w:w="1015" w:type="dxa"/>
            <w:tcBorders>
              <w:top w:val="nil"/>
              <w:left w:val="nil"/>
              <w:bottom w:val="single" w:sz="4" w:space="0" w:color="008089"/>
              <w:right w:val="nil"/>
            </w:tcBorders>
            <w:shd w:val="clear" w:color="000000" w:fill="F2F2F2"/>
            <w:vAlign w:val="center"/>
            <w:hideMark/>
          </w:tcPr>
          <w:p w14:paraId="27FB7336"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2,468,000</w:t>
            </w:r>
          </w:p>
        </w:tc>
        <w:tc>
          <w:tcPr>
            <w:tcW w:w="1015" w:type="dxa"/>
            <w:tcBorders>
              <w:top w:val="nil"/>
              <w:left w:val="nil"/>
              <w:bottom w:val="single" w:sz="4" w:space="0" w:color="008089"/>
              <w:right w:val="nil"/>
            </w:tcBorders>
            <w:shd w:val="clear" w:color="000000" w:fill="F2F2F2"/>
            <w:vAlign w:val="center"/>
            <w:hideMark/>
          </w:tcPr>
          <w:p w14:paraId="747FAA5E"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2,733,000</w:t>
            </w:r>
          </w:p>
        </w:tc>
        <w:tc>
          <w:tcPr>
            <w:tcW w:w="1016" w:type="dxa"/>
            <w:tcBorders>
              <w:top w:val="nil"/>
              <w:left w:val="nil"/>
              <w:bottom w:val="single" w:sz="4" w:space="0" w:color="008089"/>
              <w:right w:val="nil"/>
            </w:tcBorders>
            <w:shd w:val="clear" w:color="000000" w:fill="F2F2F2"/>
            <w:vAlign w:val="center"/>
            <w:hideMark/>
          </w:tcPr>
          <w:p w14:paraId="60B7CA7D"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2,371,000</w:t>
            </w:r>
          </w:p>
        </w:tc>
        <w:tc>
          <w:tcPr>
            <w:tcW w:w="1015" w:type="dxa"/>
            <w:tcBorders>
              <w:top w:val="nil"/>
              <w:left w:val="nil"/>
              <w:bottom w:val="single" w:sz="4" w:space="0" w:color="008089"/>
              <w:right w:val="nil"/>
            </w:tcBorders>
            <w:shd w:val="clear" w:color="000000" w:fill="F2F2F2"/>
            <w:vAlign w:val="center"/>
            <w:hideMark/>
          </w:tcPr>
          <w:p w14:paraId="05DFFE72"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2,343,000</w:t>
            </w:r>
          </w:p>
        </w:tc>
        <w:tc>
          <w:tcPr>
            <w:tcW w:w="1015" w:type="dxa"/>
            <w:tcBorders>
              <w:top w:val="nil"/>
              <w:left w:val="nil"/>
              <w:bottom w:val="single" w:sz="4" w:space="0" w:color="008089"/>
              <w:right w:val="nil"/>
            </w:tcBorders>
            <w:shd w:val="clear" w:color="000000" w:fill="F2F2F2"/>
            <w:vAlign w:val="center"/>
            <w:hideMark/>
          </w:tcPr>
          <w:p w14:paraId="7D311781"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2,190,000</w:t>
            </w:r>
          </w:p>
        </w:tc>
        <w:tc>
          <w:tcPr>
            <w:tcW w:w="1016" w:type="dxa"/>
            <w:tcBorders>
              <w:top w:val="nil"/>
              <w:left w:val="nil"/>
              <w:bottom w:val="single" w:sz="4" w:space="0" w:color="008089"/>
              <w:right w:val="nil"/>
            </w:tcBorders>
            <w:shd w:val="clear" w:color="000000" w:fill="F2F2F2"/>
            <w:vAlign w:val="center"/>
            <w:hideMark/>
          </w:tcPr>
          <w:p w14:paraId="5F5FA3A0"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1,606,000</w:t>
            </w:r>
          </w:p>
        </w:tc>
        <w:tc>
          <w:tcPr>
            <w:tcW w:w="1015" w:type="dxa"/>
            <w:tcBorders>
              <w:top w:val="nil"/>
              <w:left w:val="nil"/>
              <w:bottom w:val="single" w:sz="4" w:space="0" w:color="008089"/>
              <w:right w:val="nil"/>
            </w:tcBorders>
            <w:shd w:val="clear" w:color="000000" w:fill="F2F2F2"/>
            <w:vAlign w:val="center"/>
            <w:hideMark/>
          </w:tcPr>
          <w:p w14:paraId="73152363"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1,927,000</w:t>
            </w:r>
          </w:p>
        </w:tc>
        <w:tc>
          <w:tcPr>
            <w:tcW w:w="1016" w:type="dxa"/>
            <w:tcBorders>
              <w:top w:val="nil"/>
              <w:left w:val="nil"/>
              <w:bottom w:val="single" w:sz="4" w:space="0" w:color="008089"/>
              <w:right w:val="single" w:sz="8" w:space="0" w:color="008089"/>
            </w:tcBorders>
            <w:shd w:val="clear" w:color="000000" w:fill="F2F2F2"/>
            <w:vAlign w:val="center"/>
            <w:hideMark/>
          </w:tcPr>
          <w:p w14:paraId="0CFB8D3F" w14:textId="255FE0B0" w:rsidR="00401088" w:rsidRPr="00624169" w:rsidRDefault="008747A2" w:rsidP="00401088">
            <w:pPr>
              <w:suppressAutoHyphens w:val="0"/>
              <w:spacing w:before="0" w:after="0"/>
              <w:jc w:val="right"/>
              <w:rPr>
                <w:rFonts w:ascii="Calibri" w:eastAsia="Times New Roman" w:hAnsi="Calibri" w:cs="Calibri"/>
                <w:color w:val="FF0000"/>
                <w:sz w:val="18"/>
                <w:szCs w:val="18"/>
                <w:lang w:eastAsia="en-AU"/>
              </w:rPr>
            </w:pPr>
            <w:r w:rsidRPr="008747A2">
              <w:rPr>
                <w:rFonts w:ascii="Calibri" w:eastAsia="Times New Roman" w:hAnsi="Calibri" w:cs="Calibri"/>
                <w:i/>
                <w:iCs/>
                <w:color w:val="auto"/>
                <w:sz w:val="18"/>
                <w:szCs w:val="18"/>
                <w:lang w:eastAsia="en-AU"/>
              </w:rPr>
              <w:t>enc</w:t>
            </w:r>
          </w:p>
        </w:tc>
      </w:tr>
      <w:tr w:rsidR="00624169" w:rsidRPr="00401088" w14:paraId="07AB769D" w14:textId="77777777" w:rsidTr="00624169">
        <w:trPr>
          <w:trHeight w:val="300"/>
          <w:jc w:val="center"/>
        </w:trPr>
        <w:tc>
          <w:tcPr>
            <w:tcW w:w="1502" w:type="dxa"/>
            <w:vMerge/>
            <w:tcBorders>
              <w:top w:val="nil"/>
              <w:left w:val="single" w:sz="8" w:space="0" w:color="008089"/>
              <w:bottom w:val="single" w:sz="8" w:space="0" w:color="008089"/>
              <w:right w:val="nil"/>
            </w:tcBorders>
            <w:vAlign w:val="center"/>
            <w:hideMark/>
          </w:tcPr>
          <w:p w14:paraId="56EA8C86" w14:textId="77777777" w:rsidR="00401088" w:rsidRPr="00DB204C" w:rsidRDefault="00401088" w:rsidP="00401088">
            <w:pPr>
              <w:suppressAutoHyphens w:val="0"/>
              <w:spacing w:before="0" w:after="0"/>
              <w:rPr>
                <w:rFonts w:ascii="Calibri" w:eastAsia="Times New Roman" w:hAnsi="Calibri" w:cs="Calibri"/>
                <w:b/>
                <w:bCs/>
                <w:color w:val="000000"/>
                <w:sz w:val="18"/>
                <w:szCs w:val="18"/>
                <w:lang w:eastAsia="en-AU"/>
              </w:rPr>
            </w:pPr>
          </w:p>
        </w:tc>
        <w:tc>
          <w:tcPr>
            <w:tcW w:w="3308" w:type="dxa"/>
            <w:tcBorders>
              <w:top w:val="nil"/>
              <w:left w:val="nil"/>
              <w:bottom w:val="single" w:sz="8" w:space="0" w:color="008089"/>
              <w:right w:val="nil"/>
            </w:tcBorders>
            <w:shd w:val="clear" w:color="000000" w:fill="F2F2F2"/>
            <w:vAlign w:val="center"/>
            <w:hideMark/>
          </w:tcPr>
          <w:p w14:paraId="7F1DE5A4" w14:textId="77777777" w:rsidR="00401088" w:rsidRPr="00DB204C" w:rsidRDefault="00401088" w:rsidP="00401088">
            <w:pPr>
              <w:suppressAutoHyphens w:val="0"/>
              <w:spacing w:before="0" w:after="0"/>
              <w:rPr>
                <w:rFonts w:ascii="Calibri" w:eastAsia="Times New Roman" w:hAnsi="Calibri" w:cs="Calibri"/>
                <w:color w:val="000000"/>
                <w:sz w:val="18"/>
                <w:szCs w:val="18"/>
                <w:lang w:eastAsia="en-AU"/>
              </w:rPr>
            </w:pPr>
            <w:r w:rsidRPr="00DB204C">
              <w:rPr>
                <w:rFonts w:ascii="Calibri" w:eastAsia="Times New Roman" w:hAnsi="Calibri" w:cs="Calibri"/>
                <w:color w:val="000000"/>
                <w:sz w:val="18"/>
                <w:szCs w:val="18"/>
                <w:lang w:eastAsia="en-AU"/>
              </w:rPr>
              <w:t>State of Origin (Women)</w:t>
            </w:r>
          </w:p>
        </w:tc>
        <w:tc>
          <w:tcPr>
            <w:tcW w:w="1843" w:type="dxa"/>
            <w:tcBorders>
              <w:top w:val="nil"/>
              <w:left w:val="nil"/>
              <w:bottom w:val="single" w:sz="8" w:space="0" w:color="008089"/>
              <w:right w:val="nil"/>
            </w:tcBorders>
            <w:shd w:val="clear" w:color="000000" w:fill="F2F2F2"/>
            <w:vAlign w:val="center"/>
            <w:hideMark/>
          </w:tcPr>
          <w:p w14:paraId="38FFB32C" w14:textId="77777777" w:rsidR="00401088" w:rsidRPr="00F85D80" w:rsidRDefault="00401088" w:rsidP="00401088">
            <w:pPr>
              <w:suppressAutoHyphens w:val="0"/>
              <w:spacing w:before="0" w:after="0"/>
              <w:rPr>
                <w:rFonts w:ascii="Calibri" w:eastAsia="Times New Roman" w:hAnsi="Calibri" w:cs="Calibri"/>
                <w:color w:val="000000"/>
                <w:sz w:val="16"/>
                <w:szCs w:val="16"/>
                <w:lang w:eastAsia="en-AU"/>
              </w:rPr>
            </w:pPr>
            <w:r w:rsidRPr="00F85D80">
              <w:rPr>
                <w:rFonts w:ascii="Calibri" w:eastAsia="Times New Roman" w:hAnsi="Calibri" w:cs="Calibri"/>
                <w:color w:val="000000"/>
                <w:sz w:val="16"/>
                <w:szCs w:val="16"/>
                <w:lang w:eastAsia="en-AU"/>
              </w:rPr>
              <w:t>Single match</w:t>
            </w:r>
          </w:p>
        </w:tc>
        <w:tc>
          <w:tcPr>
            <w:tcW w:w="1015" w:type="dxa"/>
            <w:tcBorders>
              <w:top w:val="nil"/>
              <w:left w:val="nil"/>
              <w:bottom w:val="single" w:sz="8" w:space="0" w:color="008089"/>
              <w:right w:val="nil"/>
            </w:tcBorders>
            <w:shd w:val="clear" w:color="000000" w:fill="F2F2F2"/>
            <w:vAlign w:val="center"/>
            <w:hideMark/>
          </w:tcPr>
          <w:p w14:paraId="44897CB8" w14:textId="77777777" w:rsidR="00401088" w:rsidRPr="00624169" w:rsidRDefault="00401088" w:rsidP="00401088">
            <w:pPr>
              <w:suppressAutoHyphens w:val="0"/>
              <w:spacing w:before="0" w:after="0"/>
              <w:jc w:val="right"/>
              <w:rPr>
                <w:rFonts w:ascii="Calibri" w:eastAsia="Times New Roman" w:hAnsi="Calibri" w:cs="Calibri"/>
                <w:i/>
                <w:iCs/>
                <w:color w:val="auto"/>
                <w:sz w:val="18"/>
                <w:szCs w:val="18"/>
                <w:lang w:eastAsia="en-AU"/>
              </w:rPr>
            </w:pPr>
            <w:r w:rsidRPr="00624169">
              <w:rPr>
                <w:rFonts w:ascii="Calibri" w:eastAsia="Times New Roman" w:hAnsi="Calibri" w:cs="Calibri"/>
                <w:i/>
                <w:iCs/>
                <w:color w:val="auto"/>
                <w:sz w:val="18"/>
                <w:szCs w:val="18"/>
                <w:lang w:eastAsia="en-AU"/>
              </w:rPr>
              <w:t>nh</w:t>
            </w:r>
          </w:p>
        </w:tc>
        <w:tc>
          <w:tcPr>
            <w:tcW w:w="1015" w:type="dxa"/>
            <w:tcBorders>
              <w:top w:val="nil"/>
              <w:left w:val="nil"/>
              <w:bottom w:val="single" w:sz="8" w:space="0" w:color="008089"/>
              <w:right w:val="nil"/>
            </w:tcBorders>
            <w:shd w:val="clear" w:color="000000" w:fill="F2F2F2"/>
            <w:vAlign w:val="center"/>
            <w:hideMark/>
          </w:tcPr>
          <w:p w14:paraId="69828199" w14:textId="77777777" w:rsidR="00401088" w:rsidRPr="00624169" w:rsidRDefault="00401088" w:rsidP="00401088">
            <w:pPr>
              <w:suppressAutoHyphens w:val="0"/>
              <w:spacing w:before="0" w:after="0"/>
              <w:jc w:val="right"/>
              <w:rPr>
                <w:rFonts w:ascii="Calibri" w:eastAsia="Times New Roman" w:hAnsi="Calibri" w:cs="Calibri"/>
                <w:i/>
                <w:iCs/>
                <w:color w:val="auto"/>
                <w:sz w:val="18"/>
                <w:szCs w:val="18"/>
                <w:lang w:eastAsia="en-AU"/>
              </w:rPr>
            </w:pPr>
            <w:r w:rsidRPr="00624169">
              <w:rPr>
                <w:rFonts w:ascii="Calibri" w:eastAsia="Times New Roman" w:hAnsi="Calibri" w:cs="Calibri"/>
                <w:i/>
                <w:iCs/>
                <w:color w:val="auto"/>
                <w:sz w:val="18"/>
                <w:szCs w:val="18"/>
                <w:lang w:eastAsia="en-AU"/>
              </w:rPr>
              <w:t>nh</w:t>
            </w:r>
          </w:p>
        </w:tc>
        <w:tc>
          <w:tcPr>
            <w:tcW w:w="1016" w:type="dxa"/>
            <w:tcBorders>
              <w:top w:val="nil"/>
              <w:left w:val="nil"/>
              <w:bottom w:val="single" w:sz="8" w:space="0" w:color="008089"/>
              <w:right w:val="nil"/>
            </w:tcBorders>
            <w:shd w:val="clear" w:color="000000" w:fill="F2F2F2"/>
            <w:vAlign w:val="center"/>
            <w:hideMark/>
          </w:tcPr>
          <w:p w14:paraId="4EB2B3DB" w14:textId="77777777" w:rsidR="00401088" w:rsidRPr="00624169" w:rsidRDefault="00401088" w:rsidP="00401088">
            <w:pPr>
              <w:suppressAutoHyphens w:val="0"/>
              <w:spacing w:before="0" w:after="0"/>
              <w:jc w:val="right"/>
              <w:rPr>
                <w:rFonts w:ascii="Calibri" w:eastAsia="Times New Roman" w:hAnsi="Calibri" w:cs="Calibri"/>
                <w:i/>
                <w:iCs/>
                <w:color w:val="auto"/>
                <w:sz w:val="18"/>
                <w:szCs w:val="18"/>
                <w:lang w:eastAsia="en-AU"/>
              </w:rPr>
            </w:pPr>
            <w:r w:rsidRPr="00624169">
              <w:rPr>
                <w:rFonts w:ascii="Calibri" w:eastAsia="Times New Roman" w:hAnsi="Calibri" w:cs="Calibri"/>
                <w:i/>
                <w:iCs/>
                <w:color w:val="auto"/>
                <w:sz w:val="18"/>
                <w:szCs w:val="18"/>
                <w:lang w:eastAsia="en-AU"/>
              </w:rPr>
              <w:t>nh</w:t>
            </w:r>
          </w:p>
        </w:tc>
        <w:tc>
          <w:tcPr>
            <w:tcW w:w="1015" w:type="dxa"/>
            <w:tcBorders>
              <w:top w:val="nil"/>
              <w:left w:val="nil"/>
              <w:bottom w:val="single" w:sz="8" w:space="0" w:color="008089"/>
              <w:right w:val="nil"/>
            </w:tcBorders>
            <w:shd w:val="clear" w:color="000000" w:fill="F2F2F2"/>
            <w:vAlign w:val="center"/>
            <w:hideMark/>
          </w:tcPr>
          <w:p w14:paraId="38AABA44"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383,000</w:t>
            </w:r>
          </w:p>
        </w:tc>
        <w:tc>
          <w:tcPr>
            <w:tcW w:w="1015" w:type="dxa"/>
            <w:tcBorders>
              <w:top w:val="nil"/>
              <w:left w:val="nil"/>
              <w:bottom w:val="single" w:sz="8" w:space="0" w:color="008089"/>
              <w:right w:val="nil"/>
            </w:tcBorders>
            <w:shd w:val="clear" w:color="000000" w:fill="F2F2F2"/>
            <w:vAlign w:val="center"/>
            <w:hideMark/>
          </w:tcPr>
          <w:p w14:paraId="08B89727"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386,000</w:t>
            </w:r>
          </w:p>
        </w:tc>
        <w:tc>
          <w:tcPr>
            <w:tcW w:w="1016" w:type="dxa"/>
            <w:tcBorders>
              <w:top w:val="nil"/>
              <w:left w:val="nil"/>
              <w:bottom w:val="single" w:sz="8" w:space="0" w:color="008089"/>
              <w:right w:val="nil"/>
            </w:tcBorders>
            <w:shd w:val="clear" w:color="000000" w:fill="F2F2F2"/>
            <w:vAlign w:val="center"/>
            <w:hideMark/>
          </w:tcPr>
          <w:p w14:paraId="2C8B5B7B"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328,000</w:t>
            </w:r>
          </w:p>
        </w:tc>
        <w:tc>
          <w:tcPr>
            <w:tcW w:w="1015" w:type="dxa"/>
            <w:tcBorders>
              <w:top w:val="nil"/>
              <w:left w:val="nil"/>
              <w:bottom w:val="single" w:sz="8" w:space="0" w:color="008089"/>
              <w:right w:val="nil"/>
            </w:tcBorders>
            <w:shd w:val="clear" w:color="000000" w:fill="F2F2F2"/>
            <w:vAlign w:val="center"/>
            <w:hideMark/>
          </w:tcPr>
          <w:p w14:paraId="79414CE1"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303,000</w:t>
            </w:r>
          </w:p>
        </w:tc>
        <w:tc>
          <w:tcPr>
            <w:tcW w:w="1016" w:type="dxa"/>
            <w:tcBorders>
              <w:top w:val="nil"/>
              <w:left w:val="nil"/>
              <w:bottom w:val="single" w:sz="8" w:space="0" w:color="008089"/>
              <w:right w:val="single" w:sz="8" w:space="0" w:color="008089"/>
            </w:tcBorders>
            <w:shd w:val="clear" w:color="000000" w:fill="F2F2F2"/>
            <w:vAlign w:val="center"/>
            <w:hideMark/>
          </w:tcPr>
          <w:p w14:paraId="592F53B7" w14:textId="09167A23" w:rsidR="00401088" w:rsidRPr="008747A2" w:rsidRDefault="008747A2" w:rsidP="00401088">
            <w:pPr>
              <w:suppressAutoHyphens w:val="0"/>
              <w:spacing w:before="0" w:after="0"/>
              <w:jc w:val="right"/>
              <w:rPr>
                <w:rFonts w:ascii="Calibri" w:eastAsia="Times New Roman" w:hAnsi="Calibri" w:cs="Calibri"/>
                <w:i/>
                <w:color w:val="auto"/>
                <w:sz w:val="18"/>
                <w:szCs w:val="18"/>
                <w:lang w:eastAsia="en-AU"/>
              </w:rPr>
            </w:pPr>
            <w:r w:rsidRPr="008747A2">
              <w:rPr>
                <w:rFonts w:ascii="Calibri" w:eastAsia="Times New Roman" w:hAnsi="Calibri" w:cs="Calibri"/>
                <w:i/>
                <w:iCs/>
                <w:color w:val="auto"/>
                <w:sz w:val="18"/>
                <w:szCs w:val="18"/>
                <w:lang w:eastAsia="en-AU"/>
              </w:rPr>
              <w:t>enc</w:t>
            </w:r>
          </w:p>
        </w:tc>
      </w:tr>
      <w:tr w:rsidR="00624169" w:rsidRPr="00401088" w14:paraId="4B71FD4D" w14:textId="77777777" w:rsidTr="00624169">
        <w:trPr>
          <w:trHeight w:val="330"/>
          <w:jc w:val="center"/>
        </w:trPr>
        <w:tc>
          <w:tcPr>
            <w:tcW w:w="1502" w:type="dxa"/>
            <w:vMerge w:val="restart"/>
            <w:tcBorders>
              <w:top w:val="nil"/>
              <w:left w:val="single" w:sz="8" w:space="0" w:color="008089"/>
              <w:bottom w:val="single" w:sz="8" w:space="0" w:color="008089"/>
              <w:right w:val="nil"/>
            </w:tcBorders>
            <w:shd w:val="clear" w:color="000000" w:fill="F2F2F2"/>
            <w:vAlign w:val="center"/>
            <w:hideMark/>
          </w:tcPr>
          <w:p w14:paraId="57F2246C" w14:textId="77777777" w:rsidR="00401088" w:rsidRPr="00DB204C" w:rsidRDefault="00401088" w:rsidP="00401088">
            <w:pPr>
              <w:suppressAutoHyphens w:val="0"/>
              <w:spacing w:before="0" w:after="0"/>
              <w:jc w:val="center"/>
              <w:rPr>
                <w:rFonts w:ascii="Calibri" w:eastAsia="Times New Roman" w:hAnsi="Calibri" w:cs="Calibri"/>
                <w:b/>
                <w:bCs/>
                <w:color w:val="000000"/>
                <w:sz w:val="18"/>
                <w:szCs w:val="18"/>
                <w:lang w:eastAsia="en-AU"/>
              </w:rPr>
            </w:pPr>
            <w:r w:rsidRPr="00DB204C">
              <w:rPr>
                <w:rFonts w:ascii="Calibri" w:eastAsia="Times New Roman" w:hAnsi="Calibri" w:cs="Calibri"/>
                <w:b/>
                <w:bCs/>
                <w:color w:val="000000"/>
                <w:sz w:val="18"/>
                <w:szCs w:val="18"/>
                <w:lang w:eastAsia="en-AU"/>
              </w:rPr>
              <w:t>International Rugby League</w:t>
            </w:r>
          </w:p>
        </w:tc>
        <w:tc>
          <w:tcPr>
            <w:tcW w:w="3308" w:type="dxa"/>
            <w:tcBorders>
              <w:top w:val="nil"/>
              <w:left w:val="nil"/>
              <w:bottom w:val="single" w:sz="4" w:space="0" w:color="008089"/>
              <w:right w:val="nil"/>
            </w:tcBorders>
            <w:shd w:val="clear" w:color="000000" w:fill="F2F2F2"/>
            <w:vAlign w:val="center"/>
            <w:hideMark/>
          </w:tcPr>
          <w:p w14:paraId="7F6C36B2" w14:textId="77777777" w:rsidR="00401088" w:rsidRPr="00DB204C" w:rsidRDefault="00401088" w:rsidP="00401088">
            <w:pPr>
              <w:suppressAutoHyphens w:val="0"/>
              <w:spacing w:before="0" w:after="0"/>
              <w:rPr>
                <w:rFonts w:ascii="Calibri" w:eastAsia="Times New Roman" w:hAnsi="Calibri" w:cs="Calibri"/>
                <w:color w:val="000000"/>
                <w:sz w:val="18"/>
                <w:szCs w:val="18"/>
                <w:lang w:eastAsia="en-AU"/>
              </w:rPr>
            </w:pPr>
            <w:r w:rsidRPr="00DB204C">
              <w:rPr>
                <w:rFonts w:ascii="Calibri" w:eastAsia="Times New Roman" w:hAnsi="Calibri" w:cs="Calibri"/>
                <w:color w:val="000000"/>
                <w:sz w:val="18"/>
                <w:szCs w:val="18"/>
                <w:lang w:eastAsia="en-AU"/>
              </w:rPr>
              <w:t>International Test Matches (Men)</w:t>
            </w:r>
            <w:r w:rsidRPr="00DB204C">
              <w:rPr>
                <w:rFonts w:ascii="Calibri" w:eastAsia="Times New Roman" w:hAnsi="Calibri" w:cs="Calibri"/>
                <w:color w:val="000000"/>
                <w:sz w:val="18"/>
                <w:szCs w:val="18"/>
                <w:vertAlign w:val="superscript"/>
                <w:lang w:eastAsia="en-AU"/>
              </w:rPr>
              <w:t>3</w:t>
            </w:r>
          </w:p>
        </w:tc>
        <w:tc>
          <w:tcPr>
            <w:tcW w:w="1843" w:type="dxa"/>
            <w:tcBorders>
              <w:top w:val="nil"/>
              <w:left w:val="nil"/>
              <w:bottom w:val="single" w:sz="4" w:space="0" w:color="008089"/>
              <w:right w:val="nil"/>
            </w:tcBorders>
            <w:shd w:val="clear" w:color="000000" w:fill="F2F2F2"/>
            <w:vAlign w:val="center"/>
            <w:hideMark/>
          </w:tcPr>
          <w:p w14:paraId="757B4758" w14:textId="77777777" w:rsidR="00401088" w:rsidRPr="00F85D80" w:rsidRDefault="00401088" w:rsidP="00401088">
            <w:pPr>
              <w:suppressAutoHyphens w:val="0"/>
              <w:spacing w:before="0" w:after="0"/>
              <w:rPr>
                <w:rFonts w:ascii="Calibri" w:eastAsia="Times New Roman" w:hAnsi="Calibri" w:cs="Calibri"/>
                <w:color w:val="auto"/>
                <w:sz w:val="16"/>
                <w:szCs w:val="16"/>
                <w:lang w:eastAsia="en-AU"/>
              </w:rPr>
            </w:pPr>
            <w:r w:rsidRPr="00F85D80">
              <w:rPr>
                <w:rFonts w:ascii="Calibri" w:eastAsia="Times New Roman" w:hAnsi="Calibri" w:cs="Calibri"/>
                <w:color w:val="auto"/>
                <w:sz w:val="16"/>
                <w:szCs w:val="16"/>
                <w:lang w:eastAsia="en-AU"/>
              </w:rPr>
              <w:t>Single match</w:t>
            </w:r>
          </w:p>
        </w:tc>
        <w:tc>
          <w:tcPr>
            <w:tcW w:w="1015" w:type="dxa"/>
            <w:tcBorders>
              <w:top w:val="nil"/>
              <w:left w:val="nil"/>
              <w:bottom w:val="single" w:sz="4" w:space="0" w:color="008089"/>
              <w:right w:val="nil"/>
            </w:tcBorders>
            <w:shd w:val="clear" w:color="000000" w:fill="F2F2F2"/>
            <w:vAlign w:val="center"/>
            <w:hideMark/>
          </w:tcPr>
          <w:p w14:paraId="156CDE67"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972,000</w:t>
            </w:r>
          </w:p>
        </w:tc>
        <w:tc>
          <w:tcPr>
            <w:tcW w:w="1015" w:type="dxa"/>
            <w:tcBorders>
              <w:top w:val="nil"/>
              <w:left w:val="nil"/>
              <w:bottom w:val="single" w:sz="4" w:space="0" w:color="008089"/>
              <w:right w:val="nil"/>
            </w:tcBorders>
            <w:shd w:val="clear" w:color="000000" w:fill="F2F2F2"/>
            <w:vAlign w:val="center"/>
            <w:hideMark/>
          </w:tcPr>
          <w:p w14:paraId="0C9CCA65"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410,000</w:t>
            </w:r>
          </w:p>
        </w:tc>
        <w:tc>
          <w:tcPr>
            <w:tcW w:w="1016" w:type="dxa"/>
            <w:tcBorders>
              <w:top w:val="nil"/>
              <w:left w:val="nil"/>
              <w:bottom w:val="single" w:sz="4" w:space="0" w:color="008089"/>
              <w:right w:val="nil"/>
            </w:tcBorders>
            <w:shd w:val="clear" w:color="000000" w:fill="F2F2F2"/>
            <w:vAlign w:val="center"/>
            <w:hideMark/>
          </w:tcPr>
          <w:p w14:paraId="760D4846"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863,000</w:t>
            </w:r>
          </w:p>
        </w:tc>
        <w:tc>
          <w:tcPr>
            <w:tcW w:w="1015" w:type="dxa"/>
            <w:tcBorders>
              <w:top w:val="nil"/>
              <w:left w:val="nil"/>
              <w:bottom w:val="single" w:sz="4" w:space="0" w:color="008089"/>
              <w:right w:val="nil"/>
            </w:tcBorders>
            <w:shd w:val="clear" w:color="000000" w:fill="F2F2F2"/>
            <w:vAlign w:val="center"/>
            <w:hideMark/>
          </w:tcPr>
          <w:p w14:paraId="769A9F7C"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192,000</w:t>
            </w:r>
          </w:p>
        </w:tc>
        <w:tc>
          <w:tcPr>
            <w:tcW w:w="1015" w:type="dxa"/>
            <w:tcBorders>
              <w:top w:val="nil"/>
              <w:left w:val="nil"/>
              <w:bottom w:val="single" w:sz="4" w:space="0" w:color="008089"/>
              <w:right w:val="nil"/>
            </w:tcBorders>
            <w:shd w:val="clear" w:color="000000" w:fill="F2F2F2"/>
            <w:vAlign w:val="center"/>
            <w:hideMark/>
          </w:tcPr>
          <w:p w14:paraId="24E55434"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437,000</w:t>
            </w:r>
          </w:p>
        </w:tc>
        <w:tc>
          <w:tcPr>
            <w:tcW w:w="1016" w:type="dxa"/>
            <w:tcBorders>
              <w:top w:val="single" w:sz="4" w:space="0" w:color="008089"/>
              <w:left w:val="nil"/>
              <w:bottom w:val="single" w:sz="4" w:space="0" w:color="008089"/>
              <w:right w:val="nil"/>
            </w:tcBorders>
            <w:shd w:val="clear" w:color="000000" w:fill="F2F2F2"/>
            <w:vAlign w:val="center"/>
            <w:hideMark/>
          </w:tcPr>
          <w:p w14:paraId="0CDC27FC" w14:textId="77777777" w:rsidR="00401088" w:rsidRPr="00624169" w:rsidRDefault="00401088" w:rsidP="00401088">
            <w:pPr>
              <w:suppressAutoHyphens w:val="0"/>
              <w:spacing w:before="0" w:after="0"/>
              <w:jc w:val="right"/>
              <w:rPr>
                <w:rFonts w:ascii="Calibri" w:eastAsia="Times New Roman" w:hAnsi="Calibri" w:cs="Calibri"/>
                <w:i/>
                <w:iCs/>
                <w:color w:val="auto"/>
                <w:sz w:val="18"/>
                <w:szCs w:val="18"/>
                <w:lang w:eastAsia="en-AU"/>
              </w:rPr>
            </w:pPr>
            <w:r w:rsidRPr="00624169">
              <w:rPr>
                <w:rFonts w:ascii="Calibri" w:eastAsia="Times New Roman" w:hAnsi="Calibri" w:cs="Calibri"/>
                <w:i/>
                <w:iCs/>
                <w:color w:val="auto"/>
                <w:sz w:val="18"/>
                <w:szCs w:val="18"/>
                <w:lang w:eastAsia="en-AU"/>
              </w:rPr>
              <w:t>nda</w:t>
            </w:r>
          </w:p>
        </w:tc>
        <w:tc>
          <w:tcPr>
            <w:tcW w:w="1015" w:type="dxa"/>
            <w:tcBorders>
              <w:top w:val="single" w:sz="4" w:space="0" w:color="008089"/>
              <w:left w:val="nil"/>
              <w:bottom w:val="single" w:sz="4" w:space="0" w:color="008089"/>
              <w:right w:val="nil"/>
            </w:tcBorders>
            <w:shd w:val="clear" w:color="000000" w:fill="F2F2F2"/>
            <w:vAlign w:val="center"/>
            <w:hideMark/>
          </w:tcPr>
          <w:p w14:paraId="74F6A0E5" w14:textId="77777777" w:rsidR="00401088" w:rsidRPr="00624169" w:rsidRDefault="00401088" w:rsidP="00401088">
            <w:pPr>
              <w:suppressAutoHyphens w:val="0"/>
              <w:spacing w:before="0" w:after="0"/>
              <w:jc w:val="right"/>
              <w:rPr>
                <w:rFonts w:ascii="Calibri" w:eastAsia="Times New Roman" w:hAnsi="Calibri" w:cs="Calibri"/>
                <w:i/>
                <w:iCs/>
                <w:color w:val="auto"/>
                <w:sz w:val="18"/>
                <w:szCs w:val="18"/>
                <w:lang w:eastAsia="en-AU"/>
              </w:rPr>
            </w:pPr>
            <w:r w:rsidRPr="00624169">
              <w:rPr>
                <w:rFonts w:ascii="Calibri" w:eastAsia="Times New Roman" w:hAnsi="Calibri" w:cs="Calibri"/>
                <w:i/>
                <w:iCs/>
                <w:color w:val="auto"/>
                <w:sz w:val="18"/>
                <w:szCs w:val="18"/>
                <w:lang w:eastAsia="en-AU"/>
              </w:rPr>
              <w:t>nda</w:t>
            </w:r>
          </w:p>
        </w:tc>
        <w:tc>
          <w:tcPr>
            <w:tcW w:w="1016" w:type="dxa"/>
            <w:tcBorders>
              <w:top w:val="single" w:sz="4" w:space="0" w:color="008089"/>
              <w:left w:val="nil"/>
              <w:bottom w:val="single" w:sz="4" w:space="0" w:color="008089"/>
              <w:right w:val="single" w:sz="8" w:space="0" w:color="008089"/>
            </w:tcBorders>
            <w:shd w:val="clear" w:color="000000" w:fill="F2F2F2"/>
            <w:vAlign w:val="center"/>
            <w:hideMark/>
          </w:tcPr>
          <w:p w14:paraId="348773CB" w14:textId="77777777" w:rsidR="00401088" w:rsidRPr="00624169" w:rsidRDefault="00401088" w:rsidP="00401088">
            <w:pPr>
              <w:suppressAutoHyphens w:val="0"/>
              <w:spacing w:before="0" w:after="0"/>
              <w:jc w:val="right"/>
              <w:rPr>
                <w:rFonts w:ascii="Calibri" w:eastAsia="Times New Roman" w:hAnsi="Calibri" w:cs="Calibri"/>
                <w:i/>
                <w:iCs/>
                <w:color w:val="auto"/>
                <w:sz w:val="18"/>
                <w:szCs w:val="18"/>
                <w:lang w:eastAsia="en-AU"/>
              </w:rPr>
            </w:pPr>
            <w:r w:rsidRPr="00624169">
              <w:rPr>
                <w:rFonts w:ascii="Calibri" w:eastAsia="Times New Roman" w:hAnsi="Calibri" w:cs="Calibri"/>
                <w:i/>
                <w:iCs/>
                <w:color w:val="auto"/>
                <w:sz w:val="18"/>
                <w:szCs w:val="18"/>
                <w:lang w:eastAsia="en-AU"/>
              </w:rPr>
              <w:t>enc</w:t>
            </w:r>
          </w:p>
        </w:tc>
      </w:tr>
      <w:tr w:rsidR="00624169" w:rsidRPr="00401088" w14:paraId="7480656C" w14:textId="77777777" w:rsidTr="00624169">
        <w:trPr>
          <w:trHeight w:val="290"/>
          <w:jc w:val="center"/>
        </w:trPr>
        <w:tc>
          <w:tcPr>
            <w:tcW w:w="1502" w:type="dxa"/>
            <w:vMerge/>
            <w:tcBorders>
              <w:top w:val="nil"/>
              <w:left w:val="single" w:sz="8" w:space="0" w:color="008089"/>
              <w:bottom w:val="single" w:sz="8" w:space="0" w:color="008089"/>
              <w:right w:val="nil"/>
            </w:tcBorders>
            <w:vAlign w:val="center"/>
            <w:hideMark/>
          </w:tcPr>
          <w:p w14:paraId="6F0F428B" w14:textId="77777777" w:rsidR="00401088" w:rsidRPr="00401088" w:rsidRDefault="00401088" w:rsidP="00401088">
            <w:pPr>
              <w:suppressAutoHyphens w:val="0"/>
              <w:spacing w:before="0" w:after="0"/>
              <w:rPr>
                <w:rFonts w:ascii="Calibri" w:eastAsia="Times New Roman" w:hAnsi="Calibri" w:cs="Calibri"/>
                <w:b/>
                <w:bCs/>
                <w:color w:val="000000"/>
                <w:lang w:eastAsia="en-AU"/>
              </w:rPr>
            </w:pPr>
          </w:p>
        </w:tc>
        <w:tc>
          <w:tcPr>
            <w:tcW w:w="3308" w:type="dxa"/>
            <w:tcBorders>
              <w:top w:val="nil"/>
              <w:left w:val="nil"/>
              <w:bottom w:val="single" w:sz="4" w:space="0" w:color="008089"/>
              <w:right w:val="nil"/>
            </w:tcBorders>
            <w:shd w:val="clear" w:color="000000" w:fill="F2F2F2"/>
            <w:vAlign w:val="center"/>
            <w:hideMark/>
          </w:tcPr>
          <w:p w14:paraId="3778CAF4" w14:textId="77777777" w:rsidR="00401088" w:rsidRPr="00DB204C" w:rsidRDefault="00401088" w:rsidP="00401088">
            <w:pPr>
              <w:suppressAutoHyphens w:val="0"/>
              <w:spacing w:before="0" w:after="0"/>
              <w:rPr>
                <w:rFonts w:ascii="Calibri" w:eastAsia="Times New Roman" w:hAnsi="Calibri" w:cs="Calibri"/>
                <w:color w:val="000000"/>
                <w:sz w:val="18"/>
                <w:szCs w:val="18"/>
                <w:lang w:eastAsia="en-AU"/>
              </w:rPr>
            </w:pPr>
            <w:r w:rsidRPr="00DB204C">
              <w:rPr>
                <w:rFonts w:ascii="Calibri" w:eastAsia="Times New Roman" w:hAnsi="Calibri" w:cs="Calibri"/>
                <w:color w:val="000000"/>
                <w:sz w:val="18"/>
                <w:szCs w:val="18"/>
                <w:lang w:eastAsia="en-AU"/>
              </w:rPr>
              <w:t>International Test Matches (Women)</w:t>
            </w:r>
          </w:p>
        </w:tc>
        <w:tc>
          <w:tcPr>
            <w:tcW w:w="1843" w:type="dxa"/>
            <w:tcBorders>
              <w:top w:val="nil"/>
              <w:left w:val="nil"/>
              <w:bottom w:val="single" w:sz="4" w:space="0" w:color="008089"/>
              <w:right w:val="nil"/>
            </w:tcBorders>
            <w:shd w:val="clear" w:color="000000" w:fill="F2F2F2"/>
            <w:vAlign w:val="center"/>
            <w:hideMark/>
          </w:tcPr>
          <w:p w14:paraId="300EC13E" w14:textId="77777777" w:rsidR="00401088" w:rsidRPr="00F85D80" w:rsidRDefault="00401088" w:rsidP="00401088">
            <w:pPr>
              <w:suppressAutoHyphens w:val="0"/>
              <w:spacing w:before="0" w:after="0"/>
              <w:rPr>
                <w:rFonts w:ascii="Calibri" w:eastAsia="Times New Roman" w:hAnsi="Calibri" w:cs="Calibri"/>
                <w:color w:val="auto"/>
                <w:sz w:val="16"/>
                <w:szCs w:val="16"/>
                <w:lang w:eastAsia="en-AU"/>
              </w:rPr>
            </w:pPr>
            <w:r w:rsidRPr="00F85D80">
              <w:rPr>
                <w:rFonts w:ascii="Calibri" w:eastAsia="Times New Roman" w:hAnsi="Calibri" w:cs="Calibri"/>
                <w:color w:val="auto"/>
                <w:sz w:val="16"/>
                <w:szCs w:val="16"/>
                <w:lang w:eastAsia="en-AU"/>
              </w:rPr>
              <w:t>Single match</w:t>
            </w:r>
          </w:p>
        </w:tc>
        <w:tc>
          <w:tcPr>
            <w:tcW w:w="1015" w:type="dxa"/>
            <w:tcBorders>
              <w:top w:val="nil"/>
              <w:left w:val="nil"/>
              <w:bottom w:val="single" w:sz="4" w:space="0" w:color="008089"/>
              <w:right w:val="nil"/>
            </w:tcBorders>
            <w:shd w:val="clear" w:color="000000" w:fill="F2F2F2"/>
            <w:vAlign w:val="center"/>
            <w:hideMark/>
          </w:tcPr>
          <w:p w14:paraId="41182FC1" w14:textId="77777777" w:rsidR="00401088" w:rsidRPr="00624169" w:rsidRDefault="00401088" w:rsidP="00401088">
            <w:pPr>
              <w:suppressAutoHyphens w:val="0"/>
              <w:spacing w:before="0" w:after="0"/>
              <w:jc w:val="right"/>
              <w:rPr>
                <w:rFonts w:ascii="Calibri" w:eastAsia="Times New Roman" w:hAnsi="Calibri" w:cs="Calibri"/>
                <w:i/>
                <w:iCs/>
                <w:color w:val="auto"/>
                <w:sz w:val="18"/>
                <w:szCs w:val="18"/>
                <w:lang w:eastAsia="en-AU"/>
              </w:rPr>
            </w:pPr>
            <w:r w:rsidRPr="00624169">
              <w:rPr>
                <w:rFonts w:ascii="Calibri" w:eastAsia="Times New Roman" w:hAnsi="Calibri" w:cs="Calibri"/>
                <w:i/>
                <w:iCs/>
                <w:color w:val="auto"/>
                <w:sz w:val="18"/>
                <w:szCs w:val="18"/>
                <w:lang w:eastAsia="en-AU"/>
              </w:rPr>
              <w:t>nda</w:t>
            </w:r>
          </w:p>
        </w:tc>
        <w:tc>
          <w:tcPr>
            <w:tcW w:w="1015" w:type="dxa"/>
            <w:tcBorders>
              <w:top w:val="nil"/>
              <w:left w:val="nil"/>
              <w:bottom w:val="single" w:sz="4" w:space="0" w:color="008089"/>
              <w:right w:val="nil"/>
            </w:tcBorders>
            <w:shd w:val="clear" w:color="000000" w:fill="F2F2F2"/>
            <w:vAlign w:val="center"/>
            <w:hideMark/>
          </w:tcPr>
          <w:p w14:paraId="57ECDCD9"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191,000</w:t>
            </w:r>
          </w:p>
        </w:tc>
        <w:tc>
          <w:tcPr>
            <w:tcW w:w="1016" w:type="dxa"/>
            <w:tcBorders>
              <w:top w:val="nil"/>
              <w:left w:val="nil"/>
              <w:bottom w:val="single" w:sz="4" w:space="0" w:color="008089"/>
              <w:right w:val="nil"/>
            </w:tcBorders>
            <w:shd w:val="clear" w:color="000000" w:fill="F2F2F2"/>
            <w:vAlign w:val="center"/>
            <w:hideMark/>
          </w:tcPr>
          <w:p w14:paraId="34E15397"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192,000</w:t>
            </w:r>
          </w:p>
        </w:tc>
        <w:tc>
          <w:tcPr>
            <w:tcW w:w="1015" w:type="dxa"/>
            <w:tcBorders>
              <w:top w:val="nil"/>
              <w:left w:val="nil"/>
              <w:bottom w:val="single" w:sz="4" w:space="0" w:color="008089"/>
              <w:right w:val="nil"/>
            </w:tcBorders>
            <w:shd w:val="clear" w:color="000000" w:fill="F2F2F2"/>
            <w:vAlign w:val="center"/>
            <w:hideMark/>
          </w:tcPr>
          <w:p w14:paraId="43508AC4" w14:textId="77777777" w:rsidR="00401088" w:rsidRPr="00624169" w:rsidRDefault="00401088" w:rsidP="00401088">
            <w:pPr>
              <w:suppressAutoHyphens w:val="0"/>
              <w:spacing w:before="0" w:after="0"/>
              <w:jc w:val="right"/>
              <w:rPr>
                <w:rFonts w:ascii="Calibri" w:eastAsia="Times New Roman" w:hAnsi="Calibri" w:cs="Calibri"/>
                <w:i/>
                <w:iCs/>
                <w:color w:val="auto"/>
                <w:sz w:val="18"/>
                <w:szCs w:val="18"/>
                <w:lang w:eastAsia="en-AU"/>
              </w:rPr>
            </w:pPr>
            <w:r w:rsidRPr="00624169">
              <w:rPr>
                <w:rFonts w:ascii="Calibri" w:eastAsia="Times New Roman" w:hAnsi="Calibri" w:cs="Calibri"/>
                <w:i/>
                <w:iCs/>
                <w:color w:val="auto"/>
                <w:sz w:val="18"/>
                <w:szCs w:val="18"/>
                <w:lang w:eastAsia="en-AU"/>
              </w:rPr>
              <w:t>nda</w:t>
            </w:r>
          </w:p>
        </w:tc>
        <w:tc>
          <w:tcPr>
            <w:tcW w:w="1015" w:type="dxa"/>
            <w:tcBorders>
              <w:top w:val="nil"/>
              <w:left w:val="nil"/>
              <w:bottom w:val="single" w:sz="4" w:space="0" w:color="008089"/>
              <w:right w:val="nil"/>
            </w:tcBorders>
            <w:shd w:val="clear" w:color="000000" w:fill="F2F2F2"/>
            <w:vAlign w:val="center"/>
            <w:hideMark/>
          </w:tcPr>
          <w:p w14:paraId="03E862EA"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31,000</w:t>
            </w:r>
          </w:p>
        </w:tc>
        <w:tc>
          <w:tcPr>
            <w:tcW w:w="1016" w:type="dxa"/>
            <w:tcBorders>
              <w:top w:val="nil"/>
              <w:left w:val="nil"/>
              <w:bottom w:val="single" w:sz="4" w:space="0" w:color="008089"/>
              <w:right w:val="nil"/>
            </w:tcBorders>
            <w:shd w:val="clear" w:color="000000" w:fill="F2F2F2"/>
            <w:vAlign w:val="center"/>
            <w:hideMark/>
          </w:tcPr>
          <w:p w14:paraId="05275918" w14:textId="77777777" w:rsidR="00401088" w:rsidRPr="00624169" w:rsidRDefault="00401088" w:rsidP="00401088">
            <w:pPr>
              <w:suppressAutoHyphens w:val="0"/>
              <w:spacing w:before="0" w:after="0"/>
              <w:jc w:val="right"/>
              <w:rPr>
                <w:rFonts w:ascii="Calibri" w:eastAsia="Times New Roman" w:hAnsi="Calibri" w:cs="Calibri"/>
                <w:i/>
                <w:iCs/>
                <w:color w:val="auto"/>
                <w:sz w:val="18"/>
                <w:szCs w:val="18"/>
                <w:lang w:eastAsia="en-AU"/>
              </w:rPr>
            </w:pPr>
            <w:r w:rsidRPr="00624169">
              <w:rPr>
                <w:rFonts w:ascii="Calibri" w:eastAsia="Times New Roman" w:hAnsi="Calibri" w:cs="Calibri"/>
                <w:i/>
                <w:iCs/>
                <w:color w:val="auto"/>
                <w:sz w:val="18"/>
                <w:szCs w:val="18"/>
                <w:lang w:eastAsia="en-AU"/>
              </w:rPr>
              <w:t>nda</w:t>
            </w:r>
          </w:p>
        </w:tc>
        <w:tc>
          <w:tcPr>
            <w:tcW w:w="1015" w:type="dxa"/>
            <w:tcBorders>
              <w:top w:val="nil"/>
              <w:left w:val="nil"/>
              <w:bottom w:val="single" w:sz="4" w:space="0" w:color="008089"/>
              <w:right w:val="nil"/>
            </w:tcBorders>
            <w:shd w:val="clear" w:color="000000" w:fill="F2F2F2"/>
            <w:vAlign w:val="center"/>
            <w:hideMark/>
          </w:tcPr>
          <w:p w14:paraId="51919608" w14:textId="77777777" w:rsidR="00401088" w:rsidRPr="00624169" w:rsidRDefault="00401088" w:rsidP="00401088">
            <w:pPr>
              <w:suppressAutoHyphens w:val="0"/>
              <w:spacing w:before="0" w:after="0"/>
              <w:jc w:val="right"/>
              <w:rPr>
                <w:rFonts w:ascii="Calibri" w:eastAsia="Times New Roman" w:hAnsi="Calibri" w:cs="Calibri"/>
                <w:i/>
                <w:iCs/>
                <w:color w:val="auto"/>
                <w:sz w:val="18"/>
                <w:szCs w:val="18"/>
                <w:lang w:eastAsia="en-AU"/>
              </w:rPr>
            </w:pPr>
            <w:r w:rsidRPr="00624169">
              <w:rPr>
                <w:rFonts w:ascii="Calibri" w:eastAsia="Times New Roman" w:hAnsi="Calibri" w:cs="Calibri"/>
                <w:i/>
                <w:iCs/>
                <w:color w:val="auto"/>
                <w:sz w:val="18"/>
                <w:szCs w:val="18"/>
                <w:lang w:eastAsia="en-AU"/>
              </w:rPr>
              <w:t>nda</w:t>
            </w:r>
          </w:p>
        </w:tc>
        <w:tc>
          <w:tcPr>
            <w:tcW w:w="1016" w:type="dxa"/>
            <w:tcBorders>
              <w:top w:val="nil"/>
              <w:left w:val="nil"/>
              <w:bottom w:val="single" w:sz="4" w:space="0" w:color="008089"/>
              <w:right w:val="single" w:sz="8" w:space="0" w:color="008089"/>
            </w:tcBorders>
            <w:shd w:val="clear" w:color="000000" w:fill="F2F2F2"/>
            <w:vAlign w:val="center"/>
            <w:hideMark/>
          </w:tcPr>
          <w:p w14:paraId="5935801B" w14:textId="77777777" w:rsidR="00401088" w:rsidRPr="00624169" w:rsidRDefault="00401088" w:rsidP="00401088">
            <w:pPr>
              <w:suppressAutoHyphens w:val="0"/>
              <w:spacing w:before="0" w:after="0"/>
              <w:jc w:val="right"/>
              <w:rPr>
                <w:rFonts w:ascii="Calibri" w:eastAsia="Times New Roman" w:hAnsi="Calibri" w:cs="Calibri"/>
                <w:i/>
                <w:iCs/>
                <w:color w:val="auto"/>
                <w:sz w:val="18"/>
                <w:szCs w:val="18"/>
                <w:lang w:eastAsia="en-AU"/>
              </w:rPr>
            </w:pPr>
            <w:r w:rsidRPr="00624169">
              <w:rPr>
                <w:rFonts w:ascii="Calibri" w:eastAsia="Times New Roman" w:hAnsi="Calibri" w:cs="Calibri"/>
                <w:i/>
                <w:iCs/>
                <w:color w:val="auto"/>
                <w:sz w:val="18"/>
                <w:szCs w:val="18"/>
                <w:lang w:eastAsia="en-AU"/>
              </w:rPr>
              <w:t>enc</w:t>
            </w:r>
          </w:p>
        </w:tc>
      </w:tr>
      <w:tr w:rsidR="00624169" w:rsidRPr="00401088" w14:paraId="045C3DA9" w14:textId="77777777" w:rsidTr="00624169">
        <w:trPr>
          <w:trHeight w:val="290"/>
          <w:jc w:val="center"/>
        </w:trPr>
        <w:tc>
          <w:tcPr>
            <w:tcW w:w="1502" w:type="dxa"/>
            <w:vMerge/>
            <w:tcBorders>
              <w:top w:val="nil"/>
              <w:left w:val="single" w:sz="8" w:space="0" w:color="008089"/>
              <w:bottom w:val="single" w:sz="8" w:space="0" w:color="008089"/>
              <w:right w:val="nil"/>
            </w:tcBorders>
            <w:vAlign w:val="center"/>
            <w:hideMark/>
          </w:tcPr>
          <w:p w14:paraId="7CBFC35C" w14:textId="77777777" w:rsidR="00401088" w:rsidRPr="00401088" w:rsidRDefault="00401088" w:rsidP="00401088">
            <w:pPr>
              <w:suppressAutoHyphens w:val="0"/>
              <w:spacing w:before="0" w:after="0"/>
              <w:rPr>
                <w:rFonts w:ascii="Calibri" w:eastAsia="Times New Roman" w:hAnsi="Calibri" w:cs="Calibri"/>
                <w:b/>
                <w:bCs/>
                <w:color w:val="000000"/>
                <w:lang w:eastAsia="en-AU"/>
              </w:rPr>
            </w:pPr>
          </w:p>
        </w:tc>
        <w:tc>
          <w:tcPr>
            <w:tcW w:w="3308" w:type="dxa"/>
            <w:tcBorders>
              <w:top w:val="nil"/>
              <w:left w:val="nil"/>
              <w:bottom w:val="single" w:sz="4" w:space="0" w:color="008089"/>
              <w:right w:val="nil"/>
            </w:tcBorders>
            <w:shd w:val="clear" w:color="000000" w:fill="F2F2F2"/>
            <w:vAlign w:val="center"/>
            <w:hideMark/>
          </w:tcPr>
          <w:p w14:paraId="63B6AC9C" w14:textId="77777777" w:rsidR="00401088" w:rsidRPr="00DB204C" w:rsidRDefault="00401088" w:rsidP="00401088">
            <w:pPr>
              <w:suppressAutoHyphens w:val="0"/>
              <w:spacing w:before="0" w:after="0"/>
              <w:rPr>
                <w:rFonts w:ascii="Calibri" w:eastAsia="Times New Roman" w:hAnsi="Calibri" w:cs="Calibri"/>
                <w:color w:val="000000"/>
                <w:sz w:val="18"/>
                <w:szCs w:val="18"/>
                <w:lang w:eastAsia="en-AU"/>
              </w:rPr>
            </w:pPr>
            <w:r w:rsidRPr="00DB204C">
              <w:rPr>
                <w:rFonts w:ascii="Calibri" w:eastAsia="Times New Roman" w:hAnsi="Calibri" w:cs="Calibri"/>
                <w:color w:val="000000"/>
                <w:sz w:val="18"/>
                <w:szCs w:val="18"/>
                <w:lang w:eastAsia="en-AU"/>
              </w:rPr>
              <w:t>Rugby League World Cup (Men)</w:t>
            </w:r>
          </w:p>
        </w:tc>
        <w:tc>
          <w:tcPr>
            <w:tcW w:w="1843" w:type="dxa"/>
            <w:tcBorders>
              <w:top w:val="nil"/>
              <w:left w:val="nil"/>
              <w:bottom w:val="single" w:sz="4" w:space="0" w:color="008089"/>
              <w:right w:val="nil"/>
            </w:tcBorders>
            <w:shd w:val="clear" w:color="000000" w:fill="F2F2F2"/>
            <w:vAlign w:val="center"/>
            <w:hideMark/>
          </w:tcPr>
          <w:p w14:paraId="7208D72D" w14:textId="77777777" w:rsidR="00401088" w:rsidRPr="00F85D80" w:rsidRDefault="00401088" w:rsidP="00401088">
            <w:pPr>
              <w:suppressAutoHyphens w:val="0"/>
              <w:spacing w:before="0" w:after="0"/>
              <w:rPr>
                <w:rFonts w:ascii="Calibri" w:eastAsia="Times New Roman" w:hAnsi="Calibri" w:cs="Calibri"/>
                <w:color w:val="000000"/>
                <w:sz w:val="16"/>
                <w:szCs w:val="16"/>
                <w:lang w:eastAsia="en-AU"/>
              </w:rPr>
            </w:pPr>
            <w:r w:rsidRPr="00F85D80">
              <w:rPr>
                <w:rFonts w:ascii="Calibri" w:eastAsia="Times New Roman" w:hAnsi="Calibri" w:cs="Calibri"/>
                <w:color w:val="000000"/>
                <w:sz w:val="16"/>
                <w:szCs w:val="16"/>
                <w:lang w:eastAsia="en-AU"/>
              </w:rPr>
              <w:t>Matches involving Australia average</w:t>
            </w:r>
          </w:p>
        </w:tc>
        <w:tc>
          <w:tcPr>
            <w:tcW w:w="1015" w:type="dxa"/>
            <w:tcBorders>
              <w:top w:val="nil"/>
              <w:left w:val="nil"/>
              <w:bottom w:val="single" w:sz="4" w:space="0" w:color="008089"/>
              <w:right w:val="nil"/>
            </w:tcBorders>
            <w:shd w:val="clear" w:color="000000" w:fill="F2F2F2"/>
            <w:vAlign w:val="center"/>
            <w:hideMark/>
          </w:tcPr>
          <w:p w14:paraId="5833D8E0" w14:textId="77777777" w:rsidR="00401088" w:rsidRPr="00624169" w:rsidRDefault="00401088" w:rsidP="00401088">
            <w:pPr>
              <w:suppressAutoHyphens w:val="0"/>
              <w:spacing w:before="0" w:after="0"/>
              <w:jc w:val="right"/>
              <w:rPr>
                <w:rFonts w:ascii="Calibri" w:eastAsia="Times New Roman" w:hAnsi="Calibri" w:cs="Calibri"/>
                <w:i/>
                <w:iCs/>
                <w:color w:val="auto"/>
                <w:sz w:val="18"/>
                <w:szCs w:val="18"/>
                <w:lang w:eastAsia="en-AU"/>
              </w:rPr>
            </w:pPr>
            <w:r w:rsidRPr="00624169">
              <w:rPr>
                <w:rFonts w:ascii="Calibri" w:eastAsia="Times New Roman" w:hAnsi="Calibri" w:cs="Calibri"/>
                <w:i/>
                <w:iCs/>
                <w:color w:val="auto"/>
                <w:sz w:val="18"/>
                <w:szCs w:val="18"/>
                <w:lang w:eastAsia="en-AU"/>
              </w:rPr>
              <w:t>nh</w:t>
            </w:r>
          </w:p>
        </w:tc>
        <w:tc>
          <w:tcPr>
            <w:tcW w:w="1015" w:type="dxa"/>
            <w:tcBorders>
              <w:top w:val="nil"/>
              <w:left w:val="nil"/>
              <w:bottom w:val="single" w:sz="4" w:space="0" w:color="008089"/>
              <w:right w:val="nil"/>
            </w:tcBorders>
            <w:shd w:val="clear" w:color="000000" w:fill="F2F2F2"/>
            <w:vAlign w:val="center"/>
            <w:hideMark/>
          </w:tcPr>
          <w:p w14:paraId="5813E935" w14:textId="77777777" w:rsidR="00401088" w:rsidRPr="00624169" w:rsidRDefault="00401088" w:rsidP="00401088">
            <w:pPr>
              <w:suppressAutoHyphens w:val="0"/>
              <w:spacing w:before="0" w:after="0"/>
              <w:jc w:val="right"/>
              <w:rPr>
                <w:rFonts w:ascii="Calibri" w:eastAsia="Times New Roman" w:hAnsi="Calibri" w:cs="Calibri"/>
                <w:i/>
                <w:iCs/>
                <w:color w:val="auto"/>
                <w:sz w:val="18"/>
                <w:szCs w:val="18"/>
                <w:lang w:eastAsia="en-AU"/>
              </w:rPr>
            </w:pPr>
            <w:r w:rsidRPr="00624169">
              <w:rPr>
                <w:rFonts w:ascii="Calibri" w:eastAsia="Times New Roman" w:hAnsi="Calibri" w:cs="Calibri"/>
                <w:i/>
                <w:iCs/>
                <w:color w:val="auto"/>
                <w:sz w:val="18"/>
                <w:szCs w:val="18"/>
                <w:lang w:eastAsia="en-AU"/>
              </w:rPr>
              <w:t>nh</w:t>
            </w:r>
          </w:p>
        </w:tc>
        <w:tc>
          <w:tcPr>
            <w:tcW w:w="1016" w:type="dxa"/>
            <w:tcBorders>
              <w:top w:val="nil"/>
              <w:left w:val="nil"/>
              <w:bottom w:val="single" w:sz="4" w:space="0" w:color="008089"/>
              <w:right w:val="nil"/>
            </w:tcBorders>
            <w:shd w:val="clear" w:color="000000" w:fill="F2F2F2"/>
            <w:vAlign w:val="center"/>
            <w:hideMark/>
          </w:tcPr>
          <w:p w14:paraId="0EE67C4F"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723,000</w:t>
            </w:r>
          </w:p>
        </w:tc>
        <w:tc>
          <w:tcPr>
            <w:tcW w:w="1015" w:type="dxa"/>
            <w:tcBorders>
              <w:top w:val="nil"/>
              <w:left w:val="nil"/>
              <w:bottom w:val="single" w:sz="4" w:space="0" w:color="008089"/>
              <w:right w:val="nil"/>
            </w:tcBorders>
            <w:shd w:val="clear" w:color="000000" w:fill="F2F2F2"/>
            <w:vAlign w:val="center"/>
            <w:hideMark/>
          </w:tcPr>
          <w:p w14:paraId="3B3BA550" w14:textId="77777777" w:rsidR="00401088" w:rsidRPr="00624169" w:rsidRDefault="00401088" w:rsidP="00401088">
            <w:pPr>
              <w:suppressAutoHyphens w:val="0"/>
              <w:spacing w:before="0" w:after="0"/>
              <w:jc w:val="right"/>
              <w:rPr>
                <w:rFonts w:ascii="Calibri" w:eastAsia="Times New Roman" w:hAnsi="Calibri" w:cs="Calibri"/>
                <w:i/>
                <w:iCs/>
                <w:color w:val="auto"/>
                <w:sz w:val="18"/>
                <w:szCs w:val="18"/>
                <w:lang w:eastAsia="en-AU"/>
              </w:rPr>
            </w:pPr>
            <w:r w:rsidRPr="00624169">
              <w:rPr>
                <w:rFonts w:ascii="Calibri" w:eastAsia="Times New Roman" w:hAnsi="Calibri" w:cs="Calibri"/>
                <w:i/>
                <w:iCs/>
                <w:color w:val="auto"/>
                <w:sz w:val="18"/>
                <w:szCs w:val="18"/>
                <w:lang w:eastAsia="en-AU"/>
              </w:rPr>
              <w:t>nh</w:t>
            </w:r>
          </w:p>
        </w:tc>
        <w:tc>
          <w:tcPr>
            <w:tcW w:w="1015" w:type="dxa"/>
            <w:tcBorders>
              <w:top w:val="nil"/>
              <w:left w:val="nil"/>
              <w:bottom w:val="single" w:sz="4" w:space="0" w:color="008089"/>
              <w:right w:val="nil"/>
            </w:tcBorders>
            <w:shd w:val="clear" w:color="000000" w:fill="F2F2F2"/>
            <w:vAlign w:val="center"/>
            <w:hideMark/>
          </w:tcPr>
          <w:p w14:paraId="7A41B3E4" w14:textId="77777777" w:rsidR="00401088" w:rsidRPr="00624169" w:rsidRDefault="00401088" w:rsidP="00401088">
            <w:pPr>
              <w:suppressAutoHyphens w:val="0"/>
              <w:spacing w:before="0" w:after="0"/>
              <w:jc w:val="right"/>
              <w:rPr>
                <w:rFonts w:ascii="Calibri" w:eastAsia="Times New Roman" w:hAnsi="Calibri" w:cs="Calibri"/>
                <w:i/>
                <w:iCs/>
                <w:color w:val="auto"/>
                <w:sz w:val="18"/>
                <w:szCs w:val="18"/>
                <w:lang w:eastAsia="en-AU"/>
              </w:rPr>
            </w:pPr>
            <w:r w:rsidRPr="00624169">
              <w:rPr>
                <w:rFonts w:ascii="Calibri" w:eastAsia="Times New Roman" w:hAnsi="Calibri" w:cs="Calibri"/>
                <w:i/>
                <w:iCs/>
                <w:color w:val="auto"/>
                <w:sz w:val="18"/>
                <w:szCs w:val="18"/>
                <w:lang w:eastAsia="en-AU"/>
              </w:rPr>
              <w:t>nh</w:t>
            </w:r>
          </w:p>
        </w:tc>
        <w:tc>
          <w:tcPr>
            <w:tcW w:w="1016" w:type="dxa"/>
            <w:tcBorders>
              <w:top w:val="nil"/>
              <w:left w:val="nil"/>
              <w:bottom w:val="single" w:sz="4" w:space="0" w:color="008089"/>
              <w:right w:val="nil"/>
            </w:tcBorders>
            <w:shd w:val="clear" w:color="000000" w:fill="F2F2F2"/>
            <w:vAlign w:val="center"/>
            <w:hideMark/>
          </w:tcPr>
          <w:p w14:paraId="459F3D1F" w14:textId="77777777" w:rsidR="00401088" w:rsidRPr="00624169" w:rsidRDefault="00401088" w:rsidP="00401088">
            <w:pPr>
              <w:suppressAutoHyphens w:val="0"/>
              <w:spacing w:before="0" w:after="0"/>
              <w:jc w:val="right"/>
              <w:rPr>
                <w:rFonts w:ascii="Calibri" w:eastAsia="Times New Roman" w:hAnsi="Calibri" w:cs="Calibri"/>
                <w:i/>
                <w:iCs/>
                <w:color w:val="auto"/>
                <w:sz w:val="18"/>
                <w:szCs w:val="18"/>
                <w:lang w:eastAsia="en-AU"/>
              </w:rPr>
            </w:pPr>
            <w:r w:rsidRPr="00624169">
              <w:rPr>
                <w:rFonts w:ascii="Calibri" w:eastAsia="Times New Roman" w:hAnsi="Calibri" w:cs="Calibri"/>
                <w:i/>
                <w:iCs/>
                <w:color w:val="auto"/>
                <w:sz w:val="18"/>
                <w:szCs w:val="18"/>
                <w:lang w:eastAsia="en-AU"/>
              </w:rPr>
              <w:t>nh</w:t>
            </w:r>
          </w:p>
        </w:tc>
        <w:tc>
          <w:tcPr>
            <w:tcW w:w="1015" w:type="dxa"/>
            <w:tcBorders>
              <w:top w:val="nil"/>
              <w:left w:val="nil"/>
              <w:bottom w:val="single" w:sz="4" w:space="0" w:color="008089"/>
              <w:right w:val="nil"/>
            </w:tcBorders>
            <w:shd w:val="clear" w:color="000000" w:fill="F2F2F2"/>
            <w:vAlign w:val="center"/>
            <w:hideMark/>
          </w:tcPr>
          <w:p w14:paraId="08F89B84" w14:textId="77777777" w:rsidR="00401088" w:rsidRPr="00624169" w:rsidRDefault="00401088" w:rsidP="00401088">
            <w:pPr>
              <w:suppressAutoHyphens w:val="0"/>
              <w:spacing w:before="0" w:after="0"/>
              <w:jc w:val="right"/>
              <w:rPr>
                <w:rFonts w:ascii="Wingdings" w:eastAsia="Times New Roman" w:hAnsi="Wingdings" w:cs="Calibri"/>
                <w:color w:val="auto"/>
                <w:sz w:val="18"/>
                <w:szCs w:val="18"/>
                <w:lang w:eastAsia="en-AU"/>
              </w:rPr>
            </w:pPr>
            <w:r w:rsidRPr="00624169">
              <w:rPr>
                <w:rFonts w:ascii="Wingdings" w:eastAsia="Times New Roman" w:hAnsi="Wingdings" w:cs="Calibri"/>
                <w:color w:val="auto"/>
                <w:sz w:val="18"/>
                <w:szCs w:val="18"/>
                <w:lang w:eastAsia="en-AU"/>
              </w:rPr>
              <w:t></w:t>
            </w:r>
          </w:p>
        </w:tc>
        <w:tc>
          <w:tcPr>
            <w:tcW w:w="1016" w:type="dxa"/>
            <w:tcBorders>
              <w:top w:val="nil"/>
              <w:left w:val="nil"/>
              <w:bottom w:val="single" w:sz="4" w:space="0" w:color="008089"/>
              <w:right w:val="single" w:sz="8" w:space="0" w:color="008089"/>
            </w:tcBorders>
            <w:shd w:val="clear" w:color="000000" w:fill="F2F2F2"/>
            <w:vAlign w:val="center"/>
            <w:hideMark/>
          </w:tcPr>
          <w:p w14:paraId="4472D4D8" w14:textId="77777777" w:rsidR="00401088" w:rsidRPr="00624169" w:rsidRDefault="00401088" w:rsidP="00401088">
            <w:pPr>
              <w:suppressAutoHyphens w:val="0"/>
              <w:spacing w:before="0" w:after="0"/>
              <w:jc w:val="right"/>
              <w:rPr>
                <w:rFonts w:ascii="Calibri" w:eastAsia="Times New Roman" w:hAnsi="Calibri" w:cs="Calibri"/>
                <w:i/>
                <w:iCs/>
                <w:color w:val="auto"/>
                <w:sz w:val="18"/>
                <w:szCs w:val="18"/>
                <w:lang w:eastAsia="en-AU"/>
              </w:rPr>
            </w:pPr>
            <w:r w:rsidRPr="00624169">
              <w:rPr>
                <w:rFonts w:ascii="Calibri" w:eastAsia="Times New Roman" w:hAnsi="Calibri" w:cs="Calibri"/>
                <w:i/>
                <w:iCs/>
                <w:color w:val="auto"/>
                <w:sz w:val="18"/>
                <w:szCs w:val="18"/>
                <w:lang w:eastAsia="en-AU"/>
              </w:rPr>
              <w:t>enc</w:t>
            </w:r>
          </w:p>
        </w:tc>
      </w:tr>
      <w:tr w:rsidR="00624169" w:rsidRPr="00401088" w14:paraId="76C89785" w14:textId="77777777" w:rsidTr="00624169">
        <w:trPr>
          <w:trHeight w:val="290"/>
          <w:jc w:val="center"/>
        </w:trPr>
        <w:tc>
          <w:tcPr>
            <w:tcW w:w="1502" w:type="dxa"/>
            <w:vMerge/>
            <w:tcBorders>
              <w:top w:val="nil"/>
              <w:left w:val="single" w:sz="8" w:space="0" w:color="008089"/>
              <w:bottom w:val="single" w:sz="8" w:space="0" w:color="008089"/>
              <w:right w:val="nil"/>
            </w:tcBorders>
            <w:vAlign w:val="center"/>
            <w:hideMark/>
          </w:tcPr>
          <w:p w14:paraId="61B6320B" w14:textId="77777777" w:rsidR="00401088" w:rsidRPr="00401088" w:rsidRDefault="00401088" w:rsidP="00401088">
            <w:pPr>
              <w:suppressAutoHyphens w:val="0"/>
              <w:spacing w:before="0" w:after="0"/>
              <w:rPr>
                <w:rFonts w:ascii="Calibri" w:eastAsia="Times New Roman" w:hAnsi="Calibri" w:cs="Calibri"/>
                <w:b/>
                <w:bCs/>
                <w:color w:val="000000"/>
                <w:lang w:eastAsia="en-AU"/>
              </w:rPr>
            </w:pPr>
          </w:p>
        </w:tc>
        <w:tc>
          <w:tcPr>
            <w:tcW w:w="3308" w:type="dxa"/>
            <w:tcBorders>
              <w:top w:val="nil"/>
              <w:left w:val="nil"/>
              <w:bottom w:val="single" w:sz="4" w:space="0" w:color="008089"/>
              <w:right w:val="nil"/>
            </w:tcBorders>
            <w:shd w:val="clear" w:color="000000" w:fill="F2F2F2"/>
            <w:vAlign w:val="center"/>
            <w:hideMark/>
          </w:tcPr>
          <w:p w14:paraId="25AAABEF" w14:textId="77777777" w:rsidR="00401088" w:rsidRPr="00DB204C" w:rsidRDefault="00401088" w:rsidP="00401088">
            <w:pPr>
              <w:suppressAutoHyphens w:val="0"/>
              <w:spacing w:before="0" w:after="0"/>
              <w:rPr>
                <w:rFonts w:ascii="Calibri" w:eastAsia="Times New Roman" w:hAnsi="Calibri" w:cs="Calibri"/>
                <w:color w:val="000000"/>
                <w:sz w:val="18"/>
                <w:szCs w:val="18"/>
                <w:lang w:eastAsia="en-AU"/>
              </w:rPr>
            </w:pPr>
            <w:r w:rsidRPr="00DB204C">
              <w:rPr>
                <w:rFonts w:ascii="Calibri" w:eastAsia="Times New Roman" w:hAnsi="Calibri" w:cs="Calibri"/>
                <w:color w:val="000000"/>
                <w:sz w:val="18"/>
                <w:szCs w:val="18"/>
                <w:lang w:eastAsia="en-AU"/>
              </w:rPr>
              <w:t>Rugby League World Cup Final (Men)</w:t>
            </w:r>
          </w:p>
        </w:tc>
        <w:tc>
          <w:tcPr>
            <w:tcW w:w="1843" w:type="dxa"/>
            <w:tcBorders>
              <w:top w:val="nil"/>
              <w:left w:val="nil"/>
              <w:bottom w:val="single" w:sz="4" w:space="0" w:color="008089"/>
              <w:right w:val="nil"/>
            </w:tcBorders>
            <w:shd w:val="clear" w:color="000000" w:fill="F2F2F2"/>
            <w:vAlign w:val="center"/>
            <w:hideMark/>
          </w:tcPr>
          <w:p w14:paraId="1F92C4CC" w14:textId="77777777" w:rsidR="00401088" w:rsidRPr="00F85D80" w:rsidRDefault="00401088" w:rsidP="00401088">
            <w:pPr>
              <w:suppressAutoHyphens w:val="0"/>
              <w:spacing w:before="0" w:after="0"/>
              <w:rPr>
                <w:rFonts w:ascii="Calibri" w:eastAsia="Times New Roman" w:hAnsi="Calibri" w:cs="Calibri"/>
                <w:color w:val="000000"/>
                <w:sz w:val="16"/>
                <w:szCs w:val="16"/>
                <w:lang w:eastAsia="en-AU"/>
              </w:rPr>
            </w:pPr>
            <w:r w:rsidRPr="00F85D80">
              <w:rPr>
                <w:rFonts w:ascii="Calibri" w:eastAsia="Times New Roman" w:hAnsi="Calibri" w:cs="Calibri"/>
                <w:color w:val="000000"/>
                <w:sz w:val="16"/>
                <w:szCs w:val="16"/>
                <w:lang w:eastAsia="en-AU"/>
              </w:rPr>
              <w:t>Single match</w:t>
            </w:r>
          </w:p>
        </w:tc>
        <w:tc>
          <w:tcPr>
            <w:tcW w:w="1015" w:type="dxa"/>
            <w:tcBorders>
              <w:top w:val="nil"/>
              <w:left w:val="nil"/>
              <w:bottom w:val="single" w:sz="4" w:space="0" w:color="008089"/>
              <w:right w:val="nil"/>
            </w:tcBorders>
            <w:shd w:val="clear" w:color="000000" w:fill="F2F2F2"/>
            <w:vAlign w:val="center"/>
            <w:hideMark/>
          </w:tcPr>
          <w:p w14:paraId="5C9478D6" w14:textId="77777777" w:rsidR="00401088" w:rsidRPr="00624169" w:rsidRDefault="00401088" w:rsidP="00401088">
            <w:pPr>
              <w:suppressAutoHyphens w:val="0"/>
              <w:spacing w:before="0" w:after="0"/>
              <w:jc w:val="right"/>
              <w:rPr>
                <w:rFonts w:ascii="Calibri" w:eastAsia="Times New Roman" w:hAnsi="Calibri" w:cs="Calibri"/>
                <w:i/>
                <w:iCs/>
                <w:color w:val="auto"/>
                <w:sz w:val="18"/>
                <w:szCs w:val="18"/>
                <w:lang w:eastAsia="en-AU"/>
              </w:rPr>
            </w:pPr>
            <w:r w:rsidRPr="00624169">
              <w:rPr>
                <w:rFonts w:ascii="Calibri" w:eastAsia="Times New Roman" w:hAnsi="Calibri" w:cs="Calibri"/>
                <w:i/>
                <w:iCs/>
                <w:color w:val="auto"/>
                <w:sz w:val="18"/>
                <w:szCs w:val="18"/>
                <w:lang w:eastAsia="en-AU"/>
              </w:rPr>
              <w:t>nh</w:t>
            </w:r>
          </w:p>
        </w:tc>
        <w:tc>
          <w:tcPr>
            <w:tcW w:w="1015" w:type="dxa"/>
            <w:tcBorders>
              <w:top w:val="nil"/>
              <w:left w:val="nil"/>
              <w:bottom w:val="single" w:sz="4" w:space="0" w:color="008089"/>
              <w:right w:val="nil"/>
            </w:tcBorders>
            <w:shd w:val="clear" w:color="000000" w:fill="F2F2F2"/>
            <w:vAlign w:val="center"/>
            <w:hideMark/>
          </w:tcPr>
          <w:p w14:paraId="46EC8275" w14:textId="77777777" w:rsidR="00401088" w:rsidRPr="00624169" w:rsidRDefault="00401088" w:rsidP="00401088">
            <w:pPr>
              <w:suppressAutoHyphens w:val="0"/>
              <w:spacing w:before="0" w:after="0"/>
              <w:jc w:val="right"/>
              <w:rPr>
                <w:rFonts w:ascii="Calibri" w:eastAsia="Times New Roman" w:hAnsi="Calibri" w:cs="Calibri"/>
                <w:i/>
                <w:iCs/>
                <w:color w:val="auto"/>
                <w:sz w:val="18"/>
                <w:szCs w:val="18"/>
                <w:lang w:eastAsia="en-AU"/>
              </w:rPr>
            </w:pPr>
            <w:r w:rsidRPr="00624169">
              <w:rPr>
                <w:rFonts w:ascii="Calibri" w:eastAsia="Times New Roman" w:hAnsi="Calibri" w:cs="Calibri"/>
                <w:i/>
                <w:iCs/>
                <w:color w:val="auto"/>
                <w:sz w:val="18"/>
                <w:szCs w:val="18"/>
                <w:lang w:eastAsia="en-AU"/>
              </w:rPr>
              <w:t>nh</w:t>
            </w:r>
          </w:p>
        </w:tc>
        <w:tc>
          <w:tcPr>
            <w:tcW w:w="1016" w:type="dxa"/>
            <w:tcBorders>
              <w:top w:val="nil"/>
              <w:left w:val="nil"/>
              <w:bottom w:val="single" w:sz="4" w:space="0" w:color="008089"/>
              <w:right w:val="nil"/>
            </w:tcBorders>
            <w:shd w:val="clear" w:color="000000" w:fill="F2F2F2"/>
            <w:vAlign w:val="center"/>
            <w:hideMark/>
          </w:tcPr>
          <w:p w14:paraId="7A559EBD"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955,000</w:t>
            </w:r>
          </w:p>
        </w:tc>
        <w:tc>
          <w:tcPr>
            <w:tcW w:w="1015" w:type="dxa"/>
            <w:tcBorders>
              <w:top w:val="nil"/>
              <w:left w:val="nil"/>
              <w:bottom w:val="single" w:sz="4" w:space="0" w:color="008089"/>
              <w:right w:val="nil"/>
            </w:tcBorders>
            <w:shd w:val="clear" w:color="000000" w:fill="F2F2F2"/>
            <w:vAlign w:val="center"/>
            <w:hideMark/>
          </w:tcPr>
          <w:p w14:paraId="41B7A981" w14:textId="77777777" w:rsidR="00401088" w:rsidRPr="00624169" w:rsidRDefault="00401088" w:rsidP="00401088">
            <w:pPr>
              <w:suppressAutoHyphens w:val="0"/>
              <w:spacing w:before="0" w:after="0"/>
              <w:jc w:val="right"/>
              <w:rPr>
                <w:rFonts w:ascii="Calibri" w:eastAsia="Times New Roman" w:hAnsi="Calibri" w:cs="Calibri"/>
                <w:i/>
                <w:iCs/>
                <w:color w:val="auto"/>
                <w:sz w:val="18"/>
                <w:szCs w:val="18"/>
                <w:lang w:eastAsia="en-AU"/>
              </w:rPr>
            </w:pPr>
            <w:r w:rsidRPr="00624169">
              <w:rPr>
                <w:rFonts w:ascii="Calibri" w:eastAsia="Times New Roman" w:hAnsi="Calibri" w:cs="Calibri"/>
                <w:i/>
                <w:iCs/>
                <w:color w:val="auto"/>
                <w:sz w:val="18"/>
                <w:szCs w:val="18"/>
                <w:lang w:eastAsia="en-AU"/>
              </w:rPr>
              <w:t>nh</w:t>
            </w:r>
          </w:p>
        </w:tc>
        <w:tc>
          <w:tcPr>
            <w:tcW w:w="1015" w:type="dxa"/>
            <w:tcBorders>
              <w:top w:val="nil"/>
              <w:left w:val="nil"/>
              <w:bottom w:val="single" w:sz="4" w:space="0" w:color="008089"/>
              <w:right w:val="nil"/>
            </w:tcBorders>
            <w:shd w:val="clear" w:color="000000" w:fill="F2F2F2"/>
            <w:vAlign w:val="center"/>
            <w:hideMark/>
          </w:tcPr>
          <w:p w14:paraId="3DEE829E" w14:textId="77777777" w:rsidR="00401088" w:rsidRPr="00624169" w:rsidRDefault="00401088" w:rsidP="00401088">
            <w:pPr>
              <w:suppressAutoHyphens w:val="0"/>
              <w:spacing w:before="0" w:after="0"/>
              <w:jc w:val="right"/>
              <w:rPr>
                <w:rFonts w:ascii="Calibri" w:eastAsia="Times New Roman" w:hAnsi="Calibri" w:cs="Calibri"/>
                <w:i/>
                <w:iCs/>
                <w:color w:val="auto"/>
                <w:sz w:val="18"/>
                <w:szCs w:val="18"/>
                <w:lang w:eastAsia="en-AU"/>
              </w:rPr>
            </w:pPr>
            <w:r w:rsidRPr="00624169">
              <w:rPr>
                <w:rFonts w:ascii="Calibri" w:eastAsia="Times New Roman" w:hAnsi="Calibri" w:cs="Calibri"/>
                <w:i/>
                <w:iCs/>
                <w:color w:val="auto"/>
                <w:sz w:val="18"/>
                <w:szCs w:val="18"/>
                <w:lang w:eastAsia="en-AU"/>
              </w:rPr>
              <w:t>nh</w:t>
            </w:r>
          </w:p>
        </w:tc>
        <w:tc>
          <w:tcPr>
            <w:tcW w:w="1016" w:type="dxa"/>
            <w:tcBorders>
              <w:top w:val="nil"/>
              <w:left w:val="nil"/>
              <w:bottom w:val="single" w:sz="4" w:space="0" w:color="008089"/>
              <w:right w:val="nil"/>
            </w:tcBorders>
            <w:shd w:val="clear" w:color="000000" w:fill="F2F2F2"/>
            <w:vAlign w:val="center"/>
            <w:hideMark/>
          </w:tcPr>
          <w:p w14:paraId="0215CF8E" w14:textId="77777777" w:rsidR="00401088" w:rsidRPr="00624169" w:rsidRDefault="00401088" w:rsidP="00401088">
            <w:pPr>
              <w:suppressAutoHyphens w:val="0"/>
              <w:spacing w:before="0" w:after="0"/>
              <w:jc w:val="right"/>
              <w:rPr>
                <w:rFonts w:ascii="Calibri" w:eastAsia="Times New Roman" w:hAnsi="Calibri" w:cs="Calibri"/>
                <w:i/>
                <w:iCs/>
                <w:color w:val="auto"/>
                <w:sz w:val="18"/>
                <w:szCs w:val="18"/>
                <w:lang w:eastAsia="en-AU"/>
              </w:rPr>
            </w:pPr>
            <w:r w:rsidRPr="00624169">
              <w:rPr>
                <w:rFonts w:ascii="Calibri" w:eastAsia="Times New Roman" w:hAnsi="Calibri" w:cs="Calibri"/>
                <w:i/>
                <w:iCs/>
                <w:color w:val="auto"/>
                <w:sz w:val="18"/>
                <w:szCs w:val="18"/>
                <w:lang w:eastAsia="en-AU"/>
              </w:rPr>
              <w:t>nh</w:t>
            </w:r>
          </w:p>
        </w:tc>
        <w:tc>
          <w:tcPr>
            <w:tcW w:w="1015" w:type="dxa"/>
            <w:tcBorders>
              <w:top w:val="nil"/>
              <w:left w:val="nil"/>
              <w:bottom w:val="single" w:sz="4" w:space="0" w:color="008089"/>
              <w:right w:val="nil"/>
            </w:tcBorders>
            <w:shd w:val="clear" w:color="000000" w:fill="F2F2F2"/>
            <w:vAlign w:val="center"/>
            <w:hideMark/>
          </w:tcPr>
          <w:p w14:paraId="19C81A22" w14:textId="77777777" w:rsidR="00401088" w:rsidRPr="00624169" w:rsidRDefault="00401088" w:rsidP="00401088">
            <w:pPr>
              <w:suppressAutoHyphens w:val="0"/>
              <w:spacing w:before="0" w:after="0"/>
              <w:jc w:val="right"/>
              <w:rPr>
                <w:rFonts w:ascii="Wingdings" w:eastAsia="Times New Roman" w:hAnsi="Wingdings" w:cs="Calibri"/>
                <w:color w:val="auto"/>
                <w:sz w:val="18"/>
                <w:szCs w:val="18"/>
                <w:lang w:eastAsia="en-AU"/>
              </w:rPr>
            </w:pPr>
            <w:r w:rsidRPr="00624169">
              <w:rPr>
                <w:rFonts w:ascii="Wingdings" w:eastAsia="Times New Roman" w:hAnsi="Wingdings" w:cs="Calibri"/>
                <w:color w:val="auto"/>
                <w:sz w:val="18"/>
                <w:szCs w:val="18"/>
                <w:lang w:eastAsia="en-AU"/>
              </w:rPr>
              <w:t></w:t>
            </w:r>
          </w:p>
        </w:tc>
        <w:tc>
          <w:tcPr>
            <w:tcW w:w="1016" w:type="dxa"/>
            <w:tcBorders>
              <w:top w:val="nil"/>
              <w:left w:val="nil"/>
              <w:bottom w:val="single" w:sz="4" w:space="0" w:color="008089"/>
              <w:right w:val="single" w:sz="8" w:space="0" w:color="008089"/>
            </w:tcBorders>
            <w:shd w:val="clear" w:color="000000" w:fill="F2F2F2"/>
            <w:vAlign w:val="center"/>
            <w:hideMark/>
          </w:tcPr>
          <w:p w14:paraId="2C9F4FE4" w14:textId="77777777" w:rsidR="00401088" w:rsidRPr="00624169" w:rsidRDefault="00401088" w:rsidP="00401088">
            <w:pPr>
              <w:suppressAutoHyphens w:val="0"/>
              <w:spacing w:before="0" w:after="0"/>
              <w:jc w:val="right"/>
              <w:rPr>
                <w:rFonts w:ascii="Calibri" w:eastAsia="Times New Roman" w:hAnsi="Calibri" w:cs="Calibri"/>
                <w:i/>
                <w:iCs/>
                <w:color w:val="auto"/>
                <w:sz w:val="18"/>
                <w:szCs w:val="18"/>
                <w:lang w:eastAsia="en-AU"/>
              </w:rPr>
            </w:pPr>
            <w:r w:rsidRPr="00624169">
              <w:rPr>
                <w:rFonts w:ascii="Calibri" w:eastAsia="Times New Roman" w:hAnsi="Calibri" w:cs="Calibri"/>
                <w:i/>
                <w:iCs/>
                <w:color w:val="auto"/>
                <w:sz w:val="18"/>
                <w:szCs w:val="18"/>
                <w:lang w:eastAsia="en-AU"/>
              </w:rPr>
              <w:t>enc</w:t>
            </w:r>
          </w:p>
        </w:tc>
      </w:tr>
      <w:tr w:rsidR="00624169" w:rsidRPr="00401088" w14:paraId="25DB5BA6" w14:textId="77777777" w:rsidTr="00624169">
        <w:trPr>
          <w:trHeight w:val="290"/>
          <w:jc w:val="center"/>
        </w:trPr>
        <w:tc>
          <w:tcPr>
            <w:tcW w:w="1502" w:type="dxa"/>
            <w:vMerge/>
            <w:tcBorders>
              <w:top w:val="nil"/>
              <w:left w:val="single" w:sz="8" w:space="0" w:color="008089"/>
              <w:bottom w:val="single" w:sz="8" w:space="0" w:color="008089"/>
              <w:right w:val="nil"/>
            </w:tcBorders>
            <w:vAlign w:val="center"/>
            <w:hideMark/>
          </w:tcPr>
          <w:p w14:paraId="0869C447" w14:textId="77777777" w:rsidR="00401088" w:rsidRPr="00401088" w:rsidRDefault="00401088" w:rsidP="00401088">
            <w:pPr>
              <w:suppressAutoHyphens w:val="0"/>
              <w:spacing w:before="0" w:after="0"/>
              <w:rPr>
                <w:rFonts w:ascii="Calibri" w:eastAsia="Times New Roman" w:hAnsi="Calibri" w:cs="Calibri"/>
                <w:b/>
                <w:bCs/>
                <w:color w:val="000000"/>
                <w:lang w:eastAsia="en-AU"/>
              </w:rPr>
            </w:pPr>
          </w:p>
        </w:tc>
        <w:tc>
          <w:tcPr>
            <w:tcW w:w="3308" w:type="dxa"/>
            <w:tcBorders>
              <w:top w:val="nil"/>
              <w:left w:val="nil"/>
              <w:bottom w:val="single" w:sz="4" w:space="0" w:color="008089"/>
              <w:right w:val="nil"/>
            </w:tcBorders>
            <w:shd w:val="clear" w:color="000000" w:fill="F2F2F2"/>
            <w:vAlign w:val="center"/>
            <w:hideMark/>
          </w:tcPr>
          <w:p w14:paraId="5C9B8E1D" w14:textId="77777777" w:rsidR="00401088" w:rsidRPr="00DB204C" w:rsidRDefault="00401088" w:rsidP="00401088">
            <w:pPr>
              <w:suppressAutoHyphens w:val="0"/>
              <w:spacing w:before="0" w:after="0"/>
              <w:rPr>
                <w:rFonts w:ascii="Calibri" w:eastAsia="Times New Roman" w:hAnsi="Calibri" w:cs="Calibri"/>
                <w:color w:val="000000"/>
                <w:sz w:val="18"/>
                <w:szCs w:val="18"/>
                <w:lang w:eastAsia="en-AU"/>
              </w:rPr>
            </w:pPr>
            <w:r w:rsidRPr="00DB204C">
              <w:rPr>
                <w:rFonts w:ascii="Calibri" w:eastAsia="Times New Roman" w:hAnsi="Calibri" w:cs="Calibri"/>
                <w:color w:val="000000"/>
                <w:sz w:val="18"/>
                <w:szCs w:val="18"/>
                <w:lang w:eastAsia="en-AU"/>
              </w:rPr>
              <w:t>Rugby League World Cup (Women)</w:t>
            </w:r>
          </w:p>
        </w:tc>
        <w:tc>
          <w:tcPr>
            <w:tcW w:w="1843" w:type="dxa"/>
            <w:tcBorders>
              <w:top w:val="nil"/>
              <w:left w:val="nil"/>
              <w:bottom w:val="single" w:sz="4" w:space="0" w:color="008089"/>
              <w:right w:val="nil"/>
            </w:tcBorders>
            <w:shd w:val="clear" w:color="000000" w:fill="F2F2F2"/>
            <w:vAlign w:val="center"/>
            <w:hideMark/>
          </w:tcPr>
          <w:p w14:paraId="56A7E2D3" w14:textId="77777777" w:rsidR="00401088" w:rsidRPr="00F85D80" w:rsidRDefault="00401088" w:rsidP="00401088">
            <w:pPr>
              <w:suppressAutoHyphens w:val="0"/>
              <w:spacing w:before="0" w:after="0"/>
              <w:rPr>
                <w:rFonts w:ascii="Calibri" w:eastAsia="Times New Roman" w:hAnsi="Calibri" w:cs="Calibri"/>
                <w:color w:val="000000"/>
                <w:sz w:val="16"/>
                <w:szCs w:val="16"/>
                <w:lang w:eastAsia="en-AU"/>
              </w:rPr>
            </w:pPr>
            <w:r w:rsidRPr="00F85D80">
              <w:rPr>
                <w:rFonts w:ascii="Calibri" w:eastAsia="Times New Roman" w:hAnsi="Calibri" w:cs="Calibri"/>
                <w:color w:val="000000"/>
                <w:sz w:val="16"/>
                <w:szCs w:val="16"/>
                <w:lang w:eastAsia="en-AU"/>
              </w:rPr>
              <w:t>Matches involving Australia average</w:t>
            </w:r>
          </w:p>
        </w:tc>
        <w:tc>
          <w:tcPr>
            <w:tcW w:w="1015" w:type="dxa"/>
            <w:tcBorders>
              <w:top w:val="nil"/>
              <w:left w:val="nil"/>
              <w:bottom w:val="single" w:sz="4" w:space="0" w:color="008089"/>
              <w:right w:val="nil"/>
            </w:tcBorders>
            <w:shd w:val="clear" w:color="000000" w:fill="F2F2F2"/>
            <w:vAlign w:val="center"/>
            <w:hideMark/>
          </w:tcPr>
          <w:p w14:paraId="01B58EE6" w14:textId="77777777" w:rsidR="00401088" w:rsidRPr="00624169" w:rsidRDefault="00401088" w:rsidP="00401088">
            <w:pPr>
              <w:suppressAutoHyphens w:val="0"/>
              <w:spacing w:before="0" w:after="0"/>
              <w:jc w:val="right"/>
              <w:rPr>
                <w:rFonts w:ascii="Calibri" w:eastAsia="Times New Roman" w:hAnsi="Calibri" w:cs="Calibri"/>
                <w:i/>
                <w:iCs/>
                <w:color w:val="auto"/>
                <w:sz w:val="18"/>
                <w:szCs w:val="18"/>
                <w:lang w:eastAsia="en-AU"/>
              </w:rPr>
            </w:pPr>
            <w:r w:rsidRPr="00624169">
              <w:rPr>
                <w:rFonts w:ascii="Calibri" w:eastAsia="Times New Roman" w:hAnsi="Calibri" w:cs="Calibri"/>
                <w:i/>
                <w:iCs/>
                <w:color w:val="auto"/>
                <w:sz w:val="18"/>
                <w:szCs w:val="18"/>
                <w:lang w:eastAsia="en-AU"/>
              </w:rPr>
              <w:t>nh</w:t>
            </w:r>
          </w:p>
        </w:tc>
        <w:tc>
          <w:tcPr>
            <w:tcW w:w="1015" w:type="dxa"/>
            <w:tcBorders>
              <w:top w:val="nil"/>
              <w:left w:val="nil"/>
              <w:bottom w:val="single" w:sz="4" w:space="0" w:color="008089"/>
              <w:right w:val="nil"/>
            </w:tcBorders>
            <w:shd w:val="clear" w:color="000000" w:fill="F2F2F2"/>
            <w:vAlign w:val="center"/>
            <w:hideMark/>
          </w:tcPr>
          <w:p w14:paraId="2D37C3A8" w14:textId="77777777" w:rsidR="00401088" w:rsidRPr="00624169" w:rsidRDefault="00401088" w:rsidP="00401088">
            <w:pPr>
              <w:suppressAutoHyphens w:val="0"/>
              <w:spacing w:before="0" w:after="0"/>
              <w:jc w:val="right"/>
              <w:rPr>
                <w:rFonts w:ascii="Calibri" w:eastAsia="Times New Roman" w:hAnsi="Calibri" w:cs="Calibri"/>
                <w:i/>
                <w:iCs/>
                <w:color w:val="auto"/>
                <w:sz w:val="18"/>
                <w:szCs w:val="18"/>
                <w:lang w:eastAsia="en-AU"/>
              </w:rPr>
            </w:pPr>
            <w:r w:rsidRPr="00624169">
              <w:rPr>
                <w:rFonts w:ascii="Calibri" w:eastAsia="Times New Roman" w:hAnsi="Calibri" w:cs="Calibri"/>
                <w:i/>
                <w:iCs/>
                <w:color w:val="auto"/>
                <w:sz w:val="18"/>
                <w:szCs w:val="18"/>
                <w:lang w:eastAsia="en-AU"/>
              </w:rPr>
              <w:t>nh</w:t>
            </w:r>
          </w:p>
        </w:tc>
        <w:tc>
          <w:tcPr>
            <w:tcW w:w="1016" w:type="dxa"/>
            <w:tcBorders>
              <w:top w:val="nil"/>
              <w:left w:val="nil"/>
              <w:bottom w:val="single" w:sz="4" w:space="0" w:color="008089"/>
              <w:right w:val="nil"/>
            </w:tcBorders>
            <w:shd w:val="clear" w:color="000000" w:fill="F2F2F2"/>
            <w:vAlign w:val="center"/>
            <w:hideMark/>
          </w:tcPr>
          <w:p w14:paraId="4F59BD0E"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49,000</w:t>
            </w:r>
          </w:p>
        </w:tc>
        <w:tc>
          <w:tcPr>
            <w:tcW w:w="1015" w:type="dxa"/>
            <w:tcBorders>
              <w:top w:val="nil"/>
              <w:left w:val="nil"/>
              <w:bottom w:val="single" w:sz="4" w:space="0" w:color="008089"/>
              <w:right w:val="nil"/>
            </w:tcBorders>
            <w:shd w:val="clear" w:color="000000" w:fill="F2F2F2"/>
            <w:vAlign w:val="center"/>
            <w:hideMark/>
          </w:tcPr>
          <w:p w14:paraId="40B69555" w14:textId="77777777" w:rsidR="00401088" w:rsidRPr="00624169" w:rsidRDefault="00401088" w:rsidP="00401088">
            <w:pPr>
              <w:suppressAutoHyphens w:val="0"/>
              <w:spacing w:before="0" w:after="0"/>
              <w:jc w:val="right"/>
              <w:rPr>
                <w:rFonts w:ascii="Calibri" w:eastAsia="Times New Roman" w:hAnsi="Calibri" w:cs="Calibri"/>
                <w:i/>
                <w:iCs/>
                <w:color w:val="auto"/>
                <w:sz w:val="18"/>
                <w:szCs w:val="18"/>
                <w:lang w:eastAsia="en-AU"/>
              </w:rPr>
            </w:pPr>
            <w:r w:rsidRPr="00624169">
              <w:rPr>
                <w:rFonts w:ascii="Calibri" w:eastAsia="Times New Roman" w:hAnsi="Calibri" w:cs="Calibri"/>
                <w:i/>
                <w:iCs/>
                <w:color w:val="auto"/>
                <w:sz w:val="18"/>
                <w:szCs w:val="18"/>
                <w:lang w:eastAsia="en-AU"/>
              </w:rPr>
              <w:t>nh</w:t>
            </w:r>
          </w:p>
        </w:tc>
        <w:tc>
          <w:tcPr>
            <w:tcW w:w="1015" w:type="dxa"/>
            <w:tcBorders>
              <w:top w:val="nil"/>
              <w:left w:val="nil"/>
              <w:bottom w:val="single" w:sz="4" w:space="0" w:color="008089"/>
              <w:right w:val="nil"/>
            </w:tcBorders>
            <w:shd w:val="clear" w:color="000000" w:fill="F2F2F2"/>
            <w:vAlign w:val="center"/>
            <w:hideMark/>
          </w:tcPr>
          <w:p w14:paraId="378BB027" w14:textId="77777777" w:rsidR="00401088" w:rsidRPr="00624169" w:rsidRDefault="00401088" w:rsidP="00401088">
            <w:pPr>
              <w:suppressAutoHyphens w:val="0"/>
              <w:spacing w:before="0" w:after="0"/>
              <w:jc w:val="right"/>
              <w:rPr>
                <w:rFonts w:ascii="Calibri" w:eastAsia="Times New Roman" w:hAnsi="Calibri" w:cs="Calibri"/>
                <w:i/>
                <w:iCs/>
                <w:color w:val="auto"/>
                <w:sz w:val="18"/>
                <w:szCs w:val="18"/>
                <w:lang w:eastAsia="en-AU"/>
              </w:rPr>
            </w:pPr>
            <w:r w:rsidRPr="00624169">
              <w:rPr>
                <w:rFonts w:ascii="Calibri" w:eastAsia="Times New Roman" w:hAnsi="Calibri" w:cs="Calibri"/>
                <w:i/>
                <w:iCs/>
                <w:color w:val="auto"/>
                <w:sz w:val="18"/>
                <w:szCs w:val="18"/>
                <w:lang w:eastAsia="en-AU"/>
              </w:rPr>
              <w:t>nh</w:t>
            </w:r>
          </w:p>
        </w:tc>
        <w:tc>
          <w:tcPr>
            <w:tcW w:w="1016" w:type="dxa"/>
            <w:tcBorders>
              <w:top w:val="nil"/>
              <w:left w:val="nil"/>
              <w:bottom w:val="single" w:sz="4" w:space="0" w:color="008089"/>
              <w:right w:val="nil"/>
            </w:tcBorders>
            <w:shd w:val="clear" w:color="000000" w:fill="F2F2F2"/>
            <w:vAlign w:val="center"/>
            <w:hideMark/>
          </w:tcPr>
          <w:p w14:paraId="04F18C95" w14:textId="77777777" w:rsidR="00401088" w:rsidRPr="00624169" w:rsidRDefault="00401088" w:rsidP="00401088">
            <w:pPr>
              <w:suppressAutoHyphens w:val="0"/>
              <w:spacing w:before="0" w:after="0"/>
              <w:jc w:val="right"/>
              <w:rPr>
                <w:rFonts w:ascii="Calibri" w:eastAsia="Times New Roman" w:hAnsi="Calibri" w:cs="Calibri"/>
                <w:i/>
                <w:iCs/>
                <w:color w:val="auto"/>
                <w:sz w:val="18"/>
                <w:szCs w:val="18"/>
                <w:lang w:eastAsia="en-AU"/>
              </w:rPr>
            </w:pPr>
            <w:r w:rsidRPr="00624169">
              <w:rPr>
                <w:rFonts w:ascii="Calibri" w:eastAsia="Times New Roman" w:hAnsi="Calibri" w:cs="Calibri"/>
                <w:i/>
                <w:iCs/>
                <w:color w:val="auto"/>
                <w:sz w:val="18"/>
                <w:szCs w:val="18"/>
                <w:lang w:eastAsia="en-AU"/>
              </w:rPr>
              <w:t>nh</w:t>
            </w:r>
          </w:p>
        </w:tc>
        <w:tc>
          <w:tcPr>
            <w:tcW w:w="1015" w:type="dxa"/>
            <w:tcBorders>
              <w:top w:val="nil"/>
              <w:left w:val="nil"/>
              <w:bottom w:val="single" w:sz="4" w:space="0" w:color="008089"/>
              <w:right w:val="nil"/>
            </w:tcBorders>
            <w:shd w:val="clear" w:color="000000" w:fill="F2F2F2"/>
            <w:vAlign w:val="center"/>
            <w:hideMark/>
          </w:tcPr>
          <w:p w14:paraId="41AADD63" w14:textId="77777777" w:rsidR="00401088" w:rsidRPr="00624169" w:rsidRDefault="00401088" w:rsidP="00401088">
            <w:pPr>
              <w:suppressAutoHyphens w:val="0"/>
              <w:spacing w:before="0" w:after="0"/>
              <w:jc w:val="right"/>
              <w:rPr>
                <w:rFonts w:ascii="Wingdings" w:eastAsia="Times New Roman" w:hAnsi="Wingdings" w:cs="Calibri"/>
                <w:color w:val="auto"/>
                <w:sz w:val="18"/>
                <w:szCs w:val="18"/>
                <w:lang w:eastAsia="en-AU"/>
              </w:rPr>
            </w:pPr>
            <w:r w:rsidRPr="00624169">
              <w:rPr>
                <w:rFonts w:ascii="Wingdings" w:eastAsia="Times New Roman" w:hAnsi="Wingdings" w:cs="Calibri"/>
                <w:color w:val="auto"/>
                <w:sz w:val="18"/>
                <w:szCs w:val="18"/>
                <w:lang w:eastAsia="en-AU"/>
              </w:rPr>
              <w:t></w:t>
            </w:r>
          </w:p>
        </w:tc>
        <w:tc>
          <w:tcPr>
            <w:tcW w:w="1016" w:type="dxa"/>
            <w:tcBorders>
              <w:top w:val="nil"/>
              <w:left w:val="nil"/>
              <w:bottom w:val="single" w:sz="4" w:space="0" w:color="008089"/>
              <w:right w:val="single" w:sz="8" w:space="0" w:color="008089"/>
            </w:tcBorders>
            <w:shd w:val="clear" w:color="000000" w:fill="F2F2F2"/>
            <w:vAlign w:val="center"/>
            <w:hideMark/>
          </w:tcPr>
          <w:p w14:paraId="52FBEDB7" w14:textId="77777777" w:rsidR="00401088" w:rsidRPr="00624169" w:rsidRDefault="00401088" w:rsidP="00401088">
            <w:pPr>
              <w:suppressAutoHyphens w:val="0"/>
              <w:spacing w:before="0" w:after="0"/>
              <w:jc w:val="right"/>
              <w:rPr>
                <w:rFonts w:ascii="Calibri" w:eastAsia="Times New Roman" w:hAnsi="Calibri" w:cs="Calibri"/>
                <w:i/>
                <w:iCs/>
                <w:color w:val="auto"/>
                <w:sz w:val="18"/>
                <w:szCs w:val="18"/>
                <w:lang w:eastAsia="en-AU"/>
              </w:rPr>
            </w:pPr>
            <w:r w:rsidRPr="00624169">
              <w:rPr>
                <w:rFonts w:ascii="Calibri" w:eastAsia="Times New Roman" w:hAnsi="Calibri" w:cs="Calibri"/>
                <w:i/>
                <w:iCs/>
                <w:color w:val="auto"/>
                <w:sz w:val="18"/>
                <w:szCs w:val="18"/>
                <w:lang w:eastAsia="en-AU"/>
              </w:rPr>
              <w:t>enc</w:t>
            </w:r>
          </w:p>
        </w:tc>
      </w:tr>
      <w:tr w:rsidR="00624169" w:rsidRPr="00401088" w14:paraId="1A0D684D" w14:textId="77777777" w:rsidTr="00624169">
        <w:trPr>
          <w:trHeight w:val="300"/>
          <w:jc w:val="center"/>
        </w:trPr>
        <w:tc>
          <w:tcPr>
            <w:tcW w:w="1502" w:type="dxa"/>
            <w:vMerge/>
            <w:tcBorders>
              <w:top w:val="nil"/>
              <w:left w:val="single" w:sz="8" w:space="0" w:color="008089"/>
              <w:bottom w:val="single" w:sz="8" w:space="0" w:color="008089"/>
              <w:right w:val="nil"/>
            </w:tcBorders>
            <w:vAlign w:val="center"/>
            <w:hideMark/>
          </w:tcPr>
          <w:p w14:paraId="6B57C4CC" w14:textId="77777777" w:rsidR="00401088" w:rsidRPr="00401088" w:rsidRDefault="00401088" w:rsidP="00401088">
            <w:pPr>
              <w:suppressAutoHyphens w:val="0"/>
              <w:spacing w:before="0" w:after="0"/>
              <w:rPr>
                <w:rFonts w:ascii="Calibri" w:eastAsia="Times New Roman" w:hAnsi="Calibri" w:cs="Calibri"/>
                <w:b/>
                <w:bCs/>
                <w:color w:val="000000"/>
                <w:lang w:eastAsia="en-AU"/>
              </w:rPr>
            </w:pPr>
          </w:p>
        </w:tc>
        <w:tc>
          <w:tcPr>
            <w:tcW w:w="3308" w:type="dxa"/>
            <w:tcBorders>
              <w:top w:val="nil"/>
              <w:left w:val="nil"/>
              <w:bottom w:val="nil"/>
              <w:right w:val="nil"/>
            </w:tcBorders>
            <w:shd w:val="clear" w:color="000000" w:fill="F2F2F2"/>
            <w:noWrap/>
            <w:vAlign w:val="center"/>
            <w:hideMark/>
          </w:tcPr>
          <w:p w14:paraId="2125A99E" w14:textId="77777777" w:rsidR="00401088" w:rsidRPr="00DB204C" w:rsidRDefault="00401088" w:rsidP="00401088">
            <w:pPr>
              <w:suppressAutoHyphens w:val="0"/>
              <w:spacing w:before="0" w:after="0"/>
              <w:rPr>
                <w:rFonts w:ascii="Calibri" w:eastAsia="Times New Roman" w:hAnsi="Calibri" w:cs="Calibri"/>
                <w:color w:val="000000"/>
                <w:sz w:val="18"/>
                <w:szCs w:val="18"/>
                <w:lang w:eastAsia="en-AU"/>
              </w:rPr>
            </w:pPr>
            <w:r w:rsidRPr="00DB204C">
              <w:rPr>
                <w:rFonts w:ascii="Calibri" w:eastAsia="Times New Roman" w:hAnsi="Calibri" w:cs="Calibri"/>
                <w:color w:val="000000"/>
                <w:sz w:val="18"/>
                <w:szCs w:val="18"/>
                <w:lang w:eastAsia="en-AU"/>
              </w:rPr>
              <w:t>Rugby League World Cup Final (Women)</w:t>
            </w:r>
          </w:p>
        </w:tc>
        <w:tc>
          <w:tcPr>
            <w:tcW w:w="1843" w:type="dxa"/>
            <w:tcBorders>
              <w:top w:val="nil"/>
              <w:left w:val="nil"/>
              <w:bottom w:val="nil"/>
              <w:right w:val="nil"/>
            </w:tcBorders>
            <w:shd w:val="clear" w:color="000000" w:fill="F2F2F2"/>
            <w:noWrap/>
            <w:vAlign w:val="center"/>
            <w:hideMark/>
          </w:tcPr>
          <w:p w14:paraId="3CE8CE44" w14:textId="77777777" w:rsidR="00401088" w:rsidRPr="00F85D80" w:rsidRDefault="00401088" w:rsidP="00401088">
            <w:pPr>
              <w:suppressAutoHyphens w:val="0"/>
              <w:spacing w:before="0" w:after="0"/>
              <w:rPr>
                <w:rFonts w:ascii="Calibri" w:eastAsia="Times New Roman" w:hAnsi="Calibri" w:cs="Calibri"/>
                <w:color w:val="000000"/>
                <w:sz w:val="16"/>
                <w:szCs w:val="16"/>
                <w:lang w:eastAsia="en-AU"/>
              </w:rPr>
            </w:pPr>
            <w:r w:rsidRPr="00F85D80">
              <w:rPr>
                <w:rFonts w:ascii="Calibri" w:eastAsia="Times New Roman" w:hAnsi="Calibri" w:cs="Calibri"/>
                <w:color w:val="000000"/>
                <w:sz w:val="16"/>
                <w:szCs w:val="16"/>
                <w:lang w:eastAsia="en-AU"/>
              </w:rPr>
              <w:t>Single match</w:t>
            </w:r>
          </w:p>
        </w:tc>
        <w:tc>
          <w:tcPr>
            <w:tcW w:w="1015" w:type="dxa"/>
            <w:tcBorders>
              <w:top w:val="nil"/>
              <w:left w:val="nil"/>
              <w:bottom w:val="single" w:sz="4" w:space="0" w:color="008089"/>
              <w:right w:val="nil"/>
            </w:tcBorders>
            <w:shd w:val="clear" w:color="000000" w:fill="F2F2F2"/>
            <w:vAlign w:val="center"/>
            <w:hideMark/>
          </w:tcPr>
          <w:p w14:paraId="4A3DE590" w14:textId="77777777" w:rsidR="00401088" w:rsidRPr="00624169" w:rsidRDefault="00401088" w:rsidP="00401088">
            <w:pPr>
              <w:suppressAutoHyphens w:val="0"/>
              <w:spacing w:before="0" w:after="0"/>
              <w:jc w:val="right"/>
              <w:rPr>
                <w:rFonts w:ascii="Calibri" w:eastAsia="Times New Roman" w:hAnsi="Calibri" w:cs="Calibri"/>
                <w:i/>
                <w:iCs/>
                <w:color w:val="auto"/>
                <w:sz w:val="18"/>
                <w:szCs w:val="18"/>
                <w:lang w:eastAsia="en-AU"/>
              </w:rPr>
            </w:pPr>
            <w:r w:rsidRPr="00624169">
              <w:rPr>
                <w:rFonts w:ascii="Calibri" w:eastAsia="Times New Roman" w:hAnsi="Calibri" w:cs="Calibri"/>
                <w:i/>
                <w:iCs/>
                <w:color w:val="auto"/>
                <w:sz w:val="18"/>
                <w:szCs w:val="18"/>
                <w:lang w:eastAsia="en-AU"/>
              </w:rPr>
              <w:t>nh</w:t>
            </w:r>
          </w:p>
        </w:tc>
        <w:tc>
          <w:tcPr>
            <w:tcW w:w="1015" w:type="dxa"/>
            <w:tcBorders>
              <w:top w:val="nil"/>
              <w:left w:val="nil"/>
              <w:bottom w:val="single" w:sz="4" w:space="0" w:color="008089"/>
              <w:right w:val="nil"/>
            </w:tcBorders>
            <w:shd w:val="clear" w:color="000000" w:fill="F2F2F2"/>
            <w:vAlign w:val="center"/>
            <w:hideMark/>
          </w:tcPr>
          <w:p w14:paraId="439C9D81" w14:textId="77777777" w:rsidR="00401088" w:rsidRPr="00624169" w:rsidRDefault="00401088" w:rsidP="00401088">
            <w:pPr>
              <w:suppressAutoHyphens w:val="0"/>
              <w:spacing w:before="0" w:after="0"/>
              <w:jc w:val="right"/>
              <w:rPr>
                <w:rFonts w:ascii="Calibri" w:eastAsia="Times New Roman" w:hAnsi="Calibri" w:cs="Calibri"/>
                <w:i/>
                <w:iCs/>
                <w:color w:val="auto"/>
                <w:sz w:val="18"/>
                <w:szCs w:val="18"/>
                <w:lang w:eastAsia="en-AU"/>
              </w:rPr>
            </w:pPr>
            <w:r w:rsidRPr="00624169">
              <w:rPr>
                <w:rFonts w:ascii="Calibri" w:eastAsia="Times New Roman" w:hAnsi="Calibri" w:cs="Calibri"/>
                <w:i/>
                <w:iCs/>
                <w:color w:val="auto"/>
                <w:sz w:val="18"/>
                <w:szCs w:val="18"/>
                <w:lang w:eastAsia="en-AU"/>
              </w:rPr>
              <w:t>nh</w:t>
            </w:r>
          </w:p>
        </w:tc>
        <w:tc>
          <w:tcPr>
            <w:tcW w:w="1016" w:type="dxa"/>
            <w:tcBorders>
              <w:top w:val="nil"/>
              <w:left w:val="nil"/>
              <w:bottom w:val="nil"/>
              <w:right w:val="nil"/>
            </w:tcBorders>
            <w:shd w:val="clear" w:color="000000" w:fill="F2F2F2"/>
            <w:vAlign w:val="center"/>
            <w:hideMark/>
          </w:tcPr>
          <w:p w14:paraId="6A532FAF"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132,000</w:t>
            </w:r>
          </w:p>
        </w:tc>
        <w:tc>
          <w:tcPr>
            <w:tcW w:w="1015" w:type="dxa"/>
            <w:tcBorders>
              <w:top w:val="nil"/>
              <w:left w:val="nil"/>
              <w:bottom w:val="single" w:sz="4" w:space="0" w:color="008089"/>
              <w:right w:val="nil"/>
            </w:tcBorders>
            <w:shd w:val="clear" w:color="000000" w:fill="F2F2F2"/>
            <w:vAlign w:val="center"/>
            <w:hideMark/>
          </w:tcPr>
          <w:p w14:paraId="145933E7" w14:textId="77777777" w:rsidR="00401088" w:rsidRPr="00624169" w:rsidRDefault="00401088" w:rsidP="00401088">
            <w:pPr>
              <w:suppressAutoHyphens w:val="0"/>
              <w:spacing w:before="0" w:after="0"/>
              <w:jc w:val="right"/>
              <w:rPr>
                <w:rFonts w:ascii="Calibri" w:eastAsia="Times New Roman" w:hAnsi="Calibri" w:cs="Calibri"/>
                <w:i/>
                <w:iCs/>
                <w:color w:val="auto"/>
                <w:sz w:val="18"/>
                <w:szCs w:val="18"/>
                <w:lang w:eastAsia="en-AU"/>
              </w:rPr>
            </w:pPr>
            <w:r w:rsidRPr="00624169">
              <w:rPr>
                <w:rFonts w:ascii="Calibri" w:eastAsia="Times New Roman" w:hAnsi="Calibri" w:cs="Calibri"/>
                <w:i/>
                <w:iCs/>
                <w:color w:val="auto"/>
                <w:sz w:val="18"/>
                <w:szCs w:val="18"/>
                <w:lang w:eastAsia="en-AU"/>
              </w:rPr>
              <w:t>nh</w:t>
            </w:r>
          </w:p>
        </w:tc>
        <w:tc>
          <w:tcPr>
            <w:tcW w:w="1015" w:type="dxa"/>
            <w:tcBorders>
              <w:top w:val="nil"/>
              <w:left w:val="nil"/>
              <w:bottom w:val="single" w:sz="4" w:space="0" w:color="008089"/>
              <w:right w:val="nil"/>
            </w:tcBorders>
            <w:shd w:val="clear" w:color="000000" w:fill="F2F2F2"/>
            <w:vAlign w:val="center"/>
            <w:hideMark/>
          </w:tcPr>
          <w:p w14:paraId="3D28EAE7" w14:textId="77777777" w:rsidR="00401088" w:rsidRPr="00624169" w:rsidRDefault="00401088" w:rsidP="00401088">
            <w:pPr>
              <w:suppressAutoHyphens w:val="0"/>
              <w:spacing w:before="0" w:after="0"/>
              <w:jc w:val="right"/>
              <w:rPr>
                <w:rFonts w:ascii="Calibri" w:eastAsia="Times New Roman" w:hAnsi="Calibri" w:cs="Calibri"/>
                <w:i/>
                <w:iCs/>
                <w:color w:val="auto"/>
                <w:sz w:val="18"/>
                <w:szCs w:val="18"/>
                <w:lang w:eastAsia="en-AU"/>
              </w:rPr>
            </w:pPr>
            <w:r w:rsidRPr="00624169">
              <w:rPr>
                <w:rFonts w:ascii="Calibri" w:eastAsia="Times New Roman" w:hAnsi="Calibri" w:cs="Calibri"/>
                <w:i/>
                <w:iCs/>
                <w:color w:val="auto"/>
                <w:sz w:val="18"/>
                <w:szCs w:val="18"/>
                <w:lang w:eastAsia="en-AU"/>
              </w:rPr>
              <w:t>nh</w:t>
            </w:r>
          </w:p>
        </w:tc>
        <w:tc>
          <w:tcPr>
            <w:tcW w:w="1016" w:type="dxa"/>
            <w:tcBorders>
              <w:top w:val="nil"/>
              <w:left w:val="nil"/>
              <w:bottom w:val="single" w:sz="4" w:space="0" w:color="008089"/>
              <w:right w:val="nil"/>
            </w:tcBorders>
            <w:shd w:val="clear" w:color="000000" w:fill="F2F2F2"/>
            <w:vAlign w:val="center"/>
            <w:hideMark/>
          </w:tcPr>
          <w:p w14:paraId="65C86C6B" w14:textId="77777777" w:rsidR="00401088" w:rsidRPr="00624169" w:rsidRDefault="00401088" w:rsidP="00401088">
            <w:pPr>
              <w:suppressAutoHyphens w:val="0"/>
              <w:spacing w:before="0" w:after="0"/>
              <w:jc w:val="right"/>
              <w:rPr>
                <w:rFonts w:ascii="Calibri" w:eastAsia="Times New Roman" w:hAnsi="Calibri" w:cs="Calibri"/>
                <w:i/>
                <w:iCs/>
                <w:color w:val="auto"/>
                <w:sz w:val="18"/>
                <w:szCs w:val="18"/>
                <w:lang w:eastAsia="en-AU"/>
              </w:rPr>
            </w:pPr>
            <w:r w:rsidRPr="00624169">
              <w:rPr>
                <w:rFonts w:ascii="Calibri" w:eastAsia="Times New Roman" w:hAnsi="Calibri" w:cs="Calibri"/>
                <w:i/>
                <w:iCs/>
                <w:color w:val="auto"/>
                <w:sz w:val="18"/>
                <w:szCs w:val="18"/>
                <w:lang w:eastAsia="en-AU"/>
              </w:rPr>
              <w:t>nh</w:t>
            </w:r>
          </w:p>
        </w:tc>
        <w:tc>
          <w:tcPr>
            <w:tcW w:w="1015" w:type="dxa"/>
            <w:tcBorders>
              <w:top w:val="nil"/>
              <w:left w:val="nil"/>
              <w:bottom w:val="single" w:sz="4" w:space="0" w:color="008089"/>
              <w:right w:val="nil"/>
            </w:tcBorders>
            <w:shd w:val="clear" w:color="000000" w:fill="F2F2F2"/>
            <w:vAlign w:val="center"/>
            <w:hideMark/>
          </w:tcPr>
          <w:p w14:paraId="54F4302B" w14:textId="77777777" w:rsidR="00401088" w:rsidRPr="00624169" w:rsidRDefault="00401088" w:rsidP="00401088">
            <w:pPr>
              <w:suppressAutoHyphens w:val="0"/>
              <w:spacing w:before="0" w:after="0"/>
              <w:jc w:val="right"/>
              <w:rPr>
                <w:rFonts w:ascii="Wingdings" w:eastAsia="Times New Roman" w:hAnsi="Wingdings" w:cs="Calibri"/>
                <w:color w:val="auto"/>
                <w:sz w:val="18"/>
                <w:szCs w:val="18"/>
                <w:lang w:eastAsia="en-AU"/>
              </w:rPr>
            </w:pPr>
            <w:r w:rsidRPr="00624169">
              <w:rPr>
                <w:rFonts w:ascii="Wingdings" w:eastAsia="Times New Roman" w:hAnsi="Wingdings" w:cs="Calibri"/>
                <w:color w:val="auto"/>
                <w:sz w:val="18"/>
                <w:szCs w:val="18"/>
                <w:lang w:eastAsia="en-AU"/>
              </w:rPr>
              <w:t></w:t>
            </w:r>
          </w:p>
        </w:tc>
        <w:tc>
          <w:tcPr>
            <w:tcW w:w="1016" w:type="dxa"/>
            <w:tcBorders>
              <w:top w:val="nil"/>
              <w:left w:val="nil"/>
              <w:bottom w:val="nil"/>
              <w:right w:val="single" w:sz="8" w:space="0" w:color="008089"/>
            </w:tcBorders>
            <w:shd w:val="clear" w:color="000000" w:fill="F2F2F2"/>
            <w:vAlign w:val="center"/>
            <w:hideMark/>
          </w:tcPr>
          <w:p w14:paraId="36E8BFA8" w14:textId="77777777" w:rsidR="00401088" w:rsidRPr="00624169" w:rsidRDefault="00401088" w:rsidP="00401088">
            <w:pPr>
              <w:suppressAutoHyphens w:val="0"/>
              <w:spacing w:before="0" w:after="0"/>
              <w:jc w:val="right"/>
              <w:rPr>
                <w:rFonts w:ascii="Calibri" w:eastAsia="Times New Roman" w:hAnsi="Calibri" w:cs="Calibri"/>
                <w:i/>
                <w:iCs/>
                <w:color w:val="auto"/>
                <w:sz w:val="18"/>
                <w:szCs w:val="18"/>
                <w:lang w:eastAsia="en-AU"/>
              </w:rPr>
            </w:pPr>
            <w:r w:rsidRPr="00624169">
              <w:rPr>
                <w:rFonts w:ascii="Calibri" w:eastAsia="Times New Roman" w:hAnsi="Calibri" w:cs="Calibri"/>
                <w:i/>
                <w:iCs/>
                <w:color w:val="auto"/>
                <w:sz w:val="18"/>
                <w:szCs w:val="18"/>
                <w:lang w:eastAsia="en-AU"/>
              </w:rPr>
              <w:t>enc</w:t>
            </w:r>
          </w:p>
        </w:tc>
      </w:tr>
      <w:tr w:rsidR="00624169" w:rsidRPr="00401088" w14:paraId="45509620" w14:textId="77777777" w:rsidTr="00624169">
        <w:trPr>
          <w:trHeight w:val="290"/>
          <w:jc w:val="center"/>
        </w:trPr>
        <w:tc>
          <w:tcPr>
            <w:tcW w:w="1502" w:type="dxa"/>
            <w:vMerge w:val="restart"/>
            <w:tcBorders>
              <w:top w:val="nil"/>
              <w:left w:val="single" w:sz="8" w:space="0" w:color="008089"/>
              <w:bottom w:val="single" w:sz="8" w:space="0" w:color="008089"/>
              <w:right w:val="nil"/>
            </w:tcBorders>
            <w:shd w:val="clear" w:color="000000" w:fill="F2F2F2"/>
            <w:vAlign w:val="center"/>
            <w:hideMark/>
          </w:tcPr>
          <w:p w14:paraId="0F670467" w14:textId="77777777" w:rsidR="00401088" w:rsidRPr="00DB204C" w:rsidRDefault="00401088" w:rsidP="00401088">
            <w:pPr>
              <w:suppressAutoHyphens w:val="0"/>
              <w:spacing w:before="0" w:after="0"/>
              <w:jc w:val="center"/>
              <w:rPr>
                <w:rFonts w:ascii="Calibri" w:eastAsia="Times New Roman" w:hAnsi="Calibri" w:cs="Calibri"/>
                <w:b/>
                <w:bCs/>
                <w:color w:val="000000"/>
                <w:sz w:val="18"/>
                <w:szCs w:val="18"/>
                <w:lang w:eastAsia="en-AU"/>
              </w:rPr>
            </w:pPr>
            <w:r w:rsidRPr="00DB204C">
              <w:rPr>
                <w:rFonts w:ascii="Calibri" w:eastAsia="Times New Roman" w:hAnsi="Calibri" w:cs="Calibri"/>
                <w:b/>
                <w:bCs/>
                <w:color w:val="000000"/>
                <w:sz w:val="18"/>
                <w:szCs w:val="18"/>
                <w:lang w:eastAsia="en-AU"/>
              </w:rPr>
              <w:t>Rugby Union Football</w:t>
            </w:r>
          </w:p>
        </w:tc>
        <w:tc>
          <w:tcPr>
            <w:tcW w:w="3308" w:type="dxa"/>
            <w:tcBorders>
              <w:top w:val="single" w:sz="8" w:space="0" w:color="008089"/>
              <w:left w:val="nil"/>
              <w:bottom w:val="single" w:sz="4" w:space="0" w:color="008089"/>
              <w:right w:val="nil"/>
            </w:tcBorders>
            <w:shd w:val="clear" w:color="000000" w:fill="F2F2F2"/>
            <w:vAlign w:val="center"/>
            <w:hideMark/>
          </w:tcPr>
          <w:p w14:paraId="7E20A042" w14:textId="77777777" w:rsidR="00401088" w:rsidRPr="00DB204C" w:rsidRDefault="00401088" w:rsidP="00401088">
            <w:pPr>
              <w:suppressAutoHyphens w:val="0"/>
              <w:spacing w:before="0" w:after="0"/>
              <w:rPr>
                <w:rFonts w:ascii="Calibri" w:eastAsia="Times New Roman" w:hAnsi="Calibri" w:cs="Calibri"/>
                <w:color w:val="000000"/>
                <w:sz w:val="18"/>
                <w:szCs w:val="18"/>
                <w:lang w:eastAsia="en-AU"/>
              </w:rPr>
            </w:pPr>
            <w:r w:rsidRPr="00DB204C">
              <w:rPr>
                <w:rFonts w:ascii="Calibri" w:eastAsia="Times New Roman" w:hAnsi="Calibri" w:cs="Calibri"/>
                <w:color w:val="000000"/>
                <w:sz w:val="18"/>
                <w:szCs w:val="18"/>
                <w:lang w:eastAsia="en-AU"/>
              </w:rPr>
              <w:t>International Test Matches (Men)</w:t>
            </w:r>
          </w:p>
        </w:tc>
        <w:tc>
          <w:tcPr>
            <w:tcW w:w="1843" w:type="dxa"/>
            <w:tcBorders>
              <w:top w:val="single" w:sz="8" w:space="0" w:color="008089"/>
              <w:left w:val="nil"/>
              <w:bottom w:val="single" w:sz="4" w:space="0" w:color="008089"/>
              <w:right w:val="nil"/>
            </w:tcBorders>
            <w:shd w:val="clear" w:color="000000" w:fill="F2F2F2"/>
            <w:noWrap/>
            <w:vAlign w:val="center"/>
            <w:hideMark/>
          </w:tcPr>
          <w:p w14:paraId="44B0F0B3" w14:textId="77777777" w:rsidR="00401088" w:rsidRPr="00F85D80" w:rsidRDefault="00401088" w:rsidP="00401088">
            <w:pPr>
              <w:suppressAutoHyphens w:val="0"/>
              <w:spacing w:before="0" w:after="0"/>
              <w:rPr>
                <w:rFonts w:ascii="Calibri" w:eastAsia="Times New Roman" w:hAnsi="Calibri" w:cs="Calibri"/>
                <w:color w:val="auto"/>
                <w:sz w:val="16"/>
                <w:szCs w:val="16"/>
                <w:lang w:eastAsia="en-AU"/>
              </w:rPr>
            </w:pPr>
            <w:r w:rsidRPr="00F85D80">
              <w:rPr>
                <w:rFonts w:ascii="Calibri" w:eastAsia="Times New Roman" w:hAnsi="Calibri" w:cs="Calibri"/>
                <w:color w:val="auto"/>
                <w:sz w:val="16"/>
                <w:szCs w:val="16"/>
                <w:lang w:eastAsia="en-AU"/>
              </w:rPr>
              <w:t>Average audience - Aus v NZ matches</w:t>
            </w:r>
          </w:p>
        </w:tc>
        <w:tc>
          <w:tcPr>
            <w:tcW w:w="1015" w:type="dxa"/>
            <w:tcBorders>
              <w:top w:val="single" w:sz="8" w:space="0" w:color="008089"/>
              <w:left w:val="nil"/>
              <w:bottom w:val="single" w:sz="4" w:space="0" w:color="008089"/>
              <w:right w:val="nil"/>
            </w:tcBorders>
            <w:shd w:val="clear" w:color="000000" w:fill="F2F2F2"/>
            <w:vAlign w:val="center"/>
            <w:hideMark/>
          </w:tcPr>
          <w:p w14:paraId="530ECC15"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581,000</w:t>
            </w:r>
          </w:p>
        </w:tc>
        <w:tc>
          <w:tcPr>
            <w:tcW w:w="1015" w:type="dxa"/>
            <w:tcBorders>
              <w:top w:val="single" w:sz="8" w:space="0" w:color="008089"/>
              <w:left w:val="nil"/>
              <w:bottom w:val="single" w:sz="4" w:space="0" w:color="008089"/>
              <w:right w:val="nil"/>
            </w:tcBorders>
            <w:shd w:val="clear" w:color="000000" w:fill="F2F2F2"/>
            <w:vAlign w:val="center"/>
            <w:hideMark/>
          </w:tcPr>
          <w:p w14:paraId="79B81F49"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400,000</w:t>
            </w:r>
          </w:p>
        </w:tc>
        <w:tc>
          <w:tcPr>
            <w:tcW w:w="1016" w:type="dxa"/>
            <w:tcBorders>
              <w:top w:val="single" w:sz="8" w:space="0" w:color="008089"/>
              <w:left w:val="nil"/>
              <w:bottom w:val="single" w:sz="4" w:space="0" w:color="008089"/>
              <w:right w:val="nil"/>
            </w:tcBorders>
            <w:shd w:val="clear" w:color="000000" w:fill="F2F2F2"/>
            <w:vAlign w:val="center"/>
            <w:hideMark/>
          </w:tcPr>
          <w:p w14:paraId="279535AC"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431,000</w:t>
            </w:r>
          </w:p>
        </w:tc>
        <w:tc>
          <w:tcPr>
            <w:tcW w:w="1015" w:type="dxa"/>
            <w:tcBorders>
              <w:top w:val="single" w:sz="8" w:space="0" w:color="008089"/>
              <w:left w:val="nil"/>
              <w:bottom w:val="single" w:sz="4" w:space="0" w:color="008089"/>
              <w:right w:val="nil"/>
            </w:tcBorders>
            <w:shd w:val="clear" w:color="000000" w:fill="F2F2F2"/>
            <w:vAlign w:val="center"/>
            <w:hideMark/>
          </w:tcPr>
          <w:p w14:paraId="2238CE98" w14:textId="77777777" w:rsidR="00401088" w:rsidRPr="00624169" w:rsidRDefault="00401088" w:rsidP="00401088">
            <w:pPr>
              <w:suppressAutoHyphens w:val="0"/>
              <w:spacing w:before="0" w:after="0"/>
              <w:jc w:val="right"/>
              <w:rPr>
                <w:rFonts w:ascii="Calibri" w:eastAsia="Times New Roman" w:hAnsi="Calibri" w:cs="Calibri"/>
                <w:i/>
                <w:iCs/>
                <w:color w:val="auto"/>
                <w:sz w:val="18"/>
                <w:szCs w:val="18"/>
                <w:lang w:eastAsia="en-AU"/>
              </w:rPr>
            </w:pPr>
            <w:r w:rsidRPr="00624169">
              <w:rPr>
                <w:rFonts w:ascii="Calibri" w:eastAsia="Times New Roman" w:hAnsi="Calibri" w:cs="Calibri"/>
                <w:i/>
                <w:iCs/>
                <w:color w:val="auto"/>
                <w:sz w:val="18"/>
                <w:szCs w:val="18"/>
                <w:lang w:eastAsia="en-AU"/>
              </w:rPr>
              <w:t>nfta</w:t>
            </w:r>
          </w:p>
        </w:tc>
        <w:tc>
          <w:tcPr>
            <w:tcW w:w="1015" w:type="dxa"/>
            <w:tcBorders>
              <w:top w:val="single" w:sz="8" w:space="0" w:color="008089"/>
              <w:left w:val="nil"/>
              <w:bottom w:val="single" w:sz="4" w:space="0" w:color="008089"/>
              <w:right w:val="nil"/>
            </w:tcBorders>
            <w:shd w:val="clear" w:color="000000" w:fill="F2F2F2"/>
            <w:vAlign w:val="center"/>
            <w:hideMark/>
          </w:tcPr>
          <w:p w14:paraId="785A5F27" w14:textId="77777777" w:rsidR="00401088" w:rsidRPr="00624169" w:rsidRDefault="00401088" w:rsidP="00401088">
            <w:pPr>
              <w:suppressAutoHyphens w:val="0"/>
              <w:spacing w:before="0" w:after="0"/>
              <w:jc w:val="right"/>
              <w:rPr>
                <w:rFonts w:ascii="Calibri" w:eastAsia="Times New Roman" w:hAnsi="Calibri" w:cs="Calibri"/>
                <w:i/>
                <w:iCs/>
                <w:color w:val="auto"/>
                <w:sz w:val="18"/>
                <w:szCs w:val="18"/>
                <w:lang w:eastAsia="en-AU"/>
              </w:rPr>
            </w:pPr>
            <w:r w:rsidRPr="00624169">
              <w:rPr>
                <w:rFonts w:ascii="Calibri" w:eastAsia="Times New Roman" w:hAnsi="Calibri" w:cs="Calibri"/>
                <w:i/>
                <w:iCs/>
                <w:color w:val="auto"/>
                <w:sz w:val="18"/>
                <w:szCs w:val="18"/>
                <w:lang w:eastAsia="en-AU"/>
              </w:rPr>
              <w:t>nfta</w:t>
            </w:r>
          </w:p>
        </w:tc>
        <w:tc>
          <w:tcPr>
            <w:tcW w:w="1016" w:type="dxa"/>
            <w:tcBorders>
              <w:top w:val="single" w:sz="8" w:space="0" w:color="008089"/>
              <w:left w:val="nil"/>
              <w:bottom w:val="single" w:sz="4" w:space="0" w:color="008089"/>
              <w:right w:val="nil"/>
            </w:tcBorders>
            <w:shd w:val="clear" w:color="000000" w:fill="F2F2F2"/>
            <w:vAlign w:val="center"/>
            <w:hideMark/>
          </w:tcPr>
          <w:p w14:paraId="3E015560"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425,000</w:t>
            </w:r>
          </w:p>
        </w:tc>
        <w:tc>
          <w:tcPr>
            <w:tcW w:w="1015" w:type="dxa"/>
            <w:tcBorders>
              <w:top w:val="single" w:sz="8" w:space="0" w:color="008089"/>
              <w:left w:val="nil"/>
              <w:bottom w:val="single" w:sz="4" w:space="0" w:color="008089"/>
              <w:right w:val="nil"/>
            </w:tcBorders>
            <w:shd w:val="clear" w:color="000000" w:fill="F2F2F2"/>
            <w:vAlign w:val="center"/>
            <w:hideMark/>
          </w:tcPr>
          <w:p w14:paraId="5435279B"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321,000</w:t>
            </w:r>
          </w:p>
        </w:tc>
        <w:tc>
          <w:tcPr>
            <w:tcW w:w="1016" w:type="dxa"/>
            <w:tcBorders>
              <w:top w:val="single" w:sz="8" w:space="0" w:color="008089"/>
              <w:left w:val="nil"/>
              <w:bottom w:val="single" w:sz="4" w:space="0" w:color="008089"/>
              <w:right w:val="single" w:sz="8" w:space="0" w:color="008089"/>
            </w:tcBorders>
            <w:shd w:val="clear" w:color="000000" w:fill="F2F2F2"/>
            <w:vAlign w:val="center"/>
            <w:hideMark/>
          </w:tcPr>
          <w:p w14:paraId="163D3616" w14:textId="77777777" w:rsidR="00401088" w:rsidRPr="00624169" w:rsidRDefault="00401088" w:rsidP="00401088">
            <w:pPr>
              <w:suppressAutoHyphens w:val="0"/>
              <w:spacing w:before="0" w:after="0"/>
              <w:jc w:val="right"/>
              <w:rPr>
                <w:rFonts w:ascii="Calibri" w:eastAsia="Times New Roman" w:hAnsi="Calibri" w:cs="Calibri"/>
                <w:i/>
                <w:iCs/>
                <w:color w:val="auto"/>
                <w:sz w:val="18"/>
                <w:szCs w:val="18"/>
                <w:lang w:eastAsia="en-AU"/>
              </w:rPr>
            </w:pPr>
            <w:r w:rsidRPr="00624169">
              <w:rPr>
                <w:rFonts w:ascii="Calibri" w:eastAsia="Times New Roman" w:hAnsi="Calibri" w:cs="Calibri"/>
                <w:i/>
                <w:iCs/>
                <w:color w:val="auto"/>
                <w:sz w:val="18"/>
                <w:szCs w:val="18"/>
                <w:lang w:eastAsia="en-AU"/>
              </w:rPr>
              <w:t>enc</w:t>
            </w:r>
          </w:p>
        </w:tc>
      </w:tr>
      <w:tr w:rsidR="00624169" w:rsidRPr="00401088" w14:paraId="0E255F55" w14:textId="77777777" w:rsidTr="00624169">
        <w:trPr>
          <w:trHeight w:val="290"/>
          <w:jc w:val="center"/>
        </w:trPr>
        <w:tc>
          <w:tcPr>
            <w:tcW w:w="1502" w:type="dxa"/>
            <w:vMerge/>
            <w:tcBorders>
              <w:top w:val="nil"/>
              <w:left w:val="single" w:sz="8" w:space="0" w:color="008089"/>
              <w:bottom w:val="single" w:sz="8" w:space="0" w:color="008089"/>
              <w:right w:val="nil"/>
            </w:tcBorders>
            <w:vAlign w:val="center"/>
            <w:hideMark/>
          </w:tcPr>
          <w:p w14:paraId="3F9C22F1" w14:textId="77777777" w:rsidR="00401088" w:rsidRPr="00401088" w:rsidRDefault="00401088" w:rsidP="00401088">
            <w:pPr>
              <w:suppressAutoHyphens w:val="0"/>
              <w:spacing w:before="0" w:after="0"/>
              <w:rPr>
                <w:rFonts w:ascii="Calibri" w:eastAsia="Times New Roman" w:hAnsi="Calibri" w:cs="Calibri"/>
                <w:b/>
                <w:bCs/>
                <w:color w:val="000000"/>
                <w:lang w:eastAsia="en-AU"/>
              </w:rPr>
            </w:pPr>
          </w:p>
        </w:tc>
        <w:tc>
          <w:tcPr>
            <w:tcW w:w="3308" w:type="dxa"/>
            <w:tcBorders>
              <w:top w:val="nil"/>
              <w:left w:val="nil"/>
              <w:bottom w:val="single" w:sz="4" w:space="0" w:color="008089"/>
              <w:right w:val="nil"/>
            </w:tcBorders>
            <w:shd w:val="clear" w:color="000000" w:fill="F2F2F2"/>
            <w:vAlign w:val="center"/>
            <w:hideMark/>
          </w:tcPr>
          <w:p w14:paraId="63F53ECE" w14:textId="77777777" w:rsidR="00401088" w:rsidRPr="00DB204C" w:rsidRDefault="00401088" w:rsidP="00401088">
            <w:pPr>
              <w:suppressAutoHyphens w:val="0"/>
              <w:spacing w:before="0" w:after="0"/>
              <w:rPr>
                <w:rFonts w:ascii="Calibri" w:eastAsia="Times New Roman" w:hAnsi="Calibri" w:cs="Calibri"/>
                <w:color w:val="000000"/>
                <w:sz w:val="18"/>
                <w:szCs w:val="18"/>
                <w:lang w:eastAsia="en-AU"/>
              </w:rPr>
            </w:pPr>
            <w:r w:rsidRPr="00DB204C">
              <w:rPr>
                <w:rFonts w:ascii="Calibri" w:eastAsia="Times New Roman" w:hAnsi="Calibri" w:cs="Calibri"/>
                <w:color w:val="000000"/>
                <w:sz w:val="18"/>
                <w:szCs w:val="18"/>
                <w:lang w:eastAsia="en-AU"/>
              </w:rPr>
              <w:t>International Test Matches (Women)</w:t>
            </w:r>
          </w:p>
        </w:tc>
        <w:tc>
          <w:tcPr>
            <w:tcW w:w="1843" w:type="dxa"/>
            <w:tcBorders>
              <w:top w:val="nil"/>
              <w:left w:val="nil"/>
              <w:bottom w:val="single" w:sz="4" w:space="0" w:color="008089"/>
              <w:right w:val="nil"/>
            </w:tcBorders>
            <w:shd w:val="clear" w:color="000000" w:fill="F2F2F2"/>
            <w:vAlign w:val="center"/>
            <w:hideMark/>
          </w:tcPr>
          <w:p w14:paraId="52775B12" w14:textId="77777777" w:rsidR="00401088" w:rsidRPr="00F85D80" w:rsidRDefault="00401088" w:rsidP="00401088">
            <w:pPr>
              <w:suppressAutoHyphens w:val="0"/>
              <w:spacing w:before="0" w:after="0"/>
              <w:rPr>
                <w:rFonts w:ascii="Calibri" w:eastAsia="Times New Roman" w:hAnsi="Calibri" w:cs="Calibri"/>
                <w:i/>
                <w:color w:val="auto"/>
                <w:sz w:val="16"/>
                <w:szCs w:val="16"/>
                <w:lang w:eastAsia="en-AU"/>
              </w:rPr>
            </w:pPr>
            <w:r w:rsidRPr="00F85D80">
              <w:rPr>
                <w:rFonts w:ascii="Calibri" w:eastAsia="Times New Roman" w:hAnsi="Calibri" w:cs="Calibri"/>
                <w:i/>
                <w:color w:val="auto"/>
                <w:sz w:val="16"/>
                <w:szCs w:val="16"/>
                <w:lang w:eastAsia="en-AU"/>
              </w:rPr>
              <w:t>nda</w:t>
            </w:r>
          </w:p>
        </w:tc>
        <w:tc>
          <w:tcPr>
            <w:tcW w:w="1015" w:type="dxa"/>
            <w:tcBorders>
              <w:top w:val="nil"/>
              <w:left w:val="nil"/>
              <w:bottom w:val="single" w:sz="4" w:space="0" w:color="008089"/>
              <w:right w:val="nil"/>
            </w:tcBorders>
            <w:shd w:val="clear" w:color="000000" w:fill="F2F2F2"/>
            <w:vAlign w:val="center"/>
            <w:hideMark/>
          </w:tcPr>
          <w:p w14:paraId="47EDB381" w14:textId="77777777" w:rsidR="00401088" w:rsidRPr="00624169" w:rsidRDefault="00401088" w:rsidP="00401088">
            <w:pPr>
              <w:suppressAutoHyphens w:val="0"/>
              <w:spacing w:before="0" w:after="0"/>
              <w:jc w:val="right"/>
              <w:rPr>
                <w:rFonts w:ascii="Calibri" w:eastAsia="Times New Roman" w:hAnsi="Calibri" w:cs="Calibri"/>
                <w:i/>
                <w:iCs/>
                <w:color w:val="auto"/>
                <w:sz w:val="18"/>
                <w:szCs w:val="18"/>
                <w:lang w:eastAsia="en-AU"/>
              </w:rPr>
            </w:pPr>
            <w:r w:rsidRPr="00624169">
              <w:rPr>
                <w:rFonts w:ascii="Calibri" w:eastAsia="Times New Roman" w:hAnsi="Calibri" w:cs="Calibri"/>
                <w:i/>
                <w:iCs/>
                <w:color w:val="auto"/>
                <w:sz w:val="18"/>
                <w:szCs w:val="18"/>
                <w:lang w:eastAsia="en-AU"/>
              </w:rPr>
              <w:t>nda</w:t>
            </w:r>
          </w:p>
        </w:tc>
        <w:tc>
          <w:tcPr>
            <w:tcW w:w="1015" w:type="dxa"/>
            <w:tcBorders>
              <w:top w:val="nil"/>
              <w:left w:val="nil"/>
              <w:bottom w:val="single" w:sz="4" w:space="0" w:color="008089"/>
              <w:right w:val="nil"/>
            </w:tcBorders>
            <w:shd w:val="clear" w:color="000000" w:fill="F2F2F2"/>
            <w:vAlign w:val="center"/>
            <w:hideMark/>
          </w:tcPr>
          <w:p w14:paraId="050C4045" w14:textId="77777777" w:rsidR="00401088" w:rsidRPr="00624169" w:rsidRDefault="00401088" w:rsidP="00401088">
            <w:pPr>
              <w:suppressAutoHyphens w:val="0"/>
              <w:spacing w:before="0" w:after="0"/>
              <w:jc w:val="right"/>
              <w:rPr>
                <w:rFonts w:ascii="Calibri" w:eastAsia="Times New Roman" w:hAnsi="Calibri" w:cs="Calibri"/>
                <w:i/>
                <w:iCs/>
                <w:color w:val="auto"/>
                <w:sz w:val="18"/>
                <w:szCs w:val="18"/>
                <w:lang w:eastAsia="en-AU"/>
              </w:rPr>
            </w:pPr>
            <w:r w:rsidRPr="00624169">
              <w:rPr>
                <w:rFonts w:ascii="Calibri" w:eastAsia="Times New Roman" w:hAnsi="Calibri" w:cs="Calibri"/>
                <w:i/>
                <w:iCs/>
                <w:color w:val="auto"/>
                <w:sz w:val="18"/>
                <w:szCs w:val="18"/>
                <w:lang w:eastAsia="en-AU"/>
              </w:rPr>
              <w:t>nda</w:t>
            </w:r>
          </w:p>
        </w:tc>
        <w:tc>
          <w:tcPr>
            <w:tcW w:w="1016" w:type="dxa"/>
            <w:tcBorders>
              <w:top w:val="nil"/>
              <w:left w:val="nil"/>
              <w:bottom w:val="single" w:sz="4" w:space="0" w:color="008089"/>
              <w:right w:val="nil"/>
            </w:tcBorders>
            <w:shd w:val="clear" w:color="000000" w:fill="F2F2F2"/>
            <w:vAlign w:val="center"/>
            <w:hideMark/>
          </w:tcPr>
          <w:p w14:paraId="420A59D4" w14:textId="77777777" w:rsidR="00401088" w:rsidRPr="00624169" w:rsidRDefault="00401088" w:rsidP="00401088">
            <w:pPr>
              <w:suppressAutoHyphens w:val="0"/>
              <w:spacing w:before="0" w:after="0"/>
              <w:jc w:val="right"/>
              <w:rPr>
                <w:rFonts w:ascii="Calibri" w:eastAsia="Times New Roman" w:hAnsi="Calibri" w:cs="Calibri"/>
                <w:i/>
                <w:iCs/>
                <w:color w:val="auto"/>
                <w:sz w:val="18"/>
                <w:szCs w:val="18"/>
                <w:lang w:eastAsia="en-AU"/>
              </w:rPr>
            </w:pPr>
            <w:r w:rsidRPr="00624169">
              <w:rPr>
                <w:rFonts w:ascii="Calibri" w:eastAsia="Times New Roman" w:hAnsi="Calibri" w:cs="Calibri"/>
                <w:i/>
                <w:iCs/>
                <w:color w:val="auto"/>
                <w:sz w:val="18"/>
                <w:szCs w:val="18"/>
                <w:lang w:eastAsia="en-AU"/>
              </w:rPr>
              <w:t>nda</w:t>
            </w:r>
          </w:p>
        </w:tc>
        <w:tc>
          <w:tcPr>
            <w:tcW w:w="1015" w:type="dxa"/>
            <w:tcBorders>
              <w:top w:val="nil"/>
              <w:left w:val="nil"/>
              <w:bottom w:val="single" w:sz="4" w:space="0" w:color="008089"/>
              <w:right w:val="nil"/>
            </w:tcBorders>
            <w:shd w:val="clear" w:color="000000" w:fill="F2F2F2"/>
            <w:vAlign w:val="center"/>
            <w:hideMark/>
          </w:tcPr>
          <w:p w14:paraId="2224EDCA" w14:textId="77777777" w:rsidR="00401088" w:rsidRPr="00624169" w:rsidRDefault="00401088" w:rsidP="00401088">
            <w:pPr>
              <w:suppressAutoHyphens w:val="0"/>
              <w:spacing w:before="0" w:after="0"/>
              <w:jc w:val="right"/>
              <w:rPr>
                <w:rFonts w:ascii="Calibri" w:eastAsia="Times New Roman" w:hAnsi="Calibri" w:cs="Calibri"/>
                <w:i/>
                <w:iCs/>
                <w:color w:val="auto"/>
                <w:sz w:val="18"/>
                <w:szCs w:val="18"/>
                <w:lang w:eastAsia="en-AU"/>
              </w:rPr>
            </w:pPr>
            <w:r w:rsidRPr="00624169">
              <w:rPr>
                <w:rFonts w:ascii="Calibri" w:eastAsia="Times New Roman" w:hAnsi="Calibri" w:cs="Calibri"/>
                <w:i/>
                <w:iCs/>
                <w:color w:val="auto"/>
                <w:sz w:val="18"/>
                <w:szCs w:val="18"/>
                <w:lang w:eastAsia="en-AU"/>
              </w:rPr>
              <w:t>nda</w:t>
            </w:r>
          </w:p>
        </w:tc>
        <w:tc>
          <w:tcPr>
            <w:tcW w:w="1015" w:type="dxa"/>
            <w:tcBorders>
              <w:top w:val="nil"/>
              <w:left w:val="nil"/>
              <w:bottom w:val="single" w:sz="4" w:space="0" w:color="008089"/>
              <w:right w:val="nil"/>
            </w:tcBorders>
            <w:shd w:val="clear" w:color="000000" w:fill="F2F2F2"/>
            <w:vAlign w:val="center"/>
            <w:hideMark/>
          </w:tcPr>
          <w:p w14:paraId="7DC314B4" w14:textId="77777777" w:rsidR="00401088" w:rsidRPr="00624169" w:rsidRDefault="00401088" w:rsidP="00401088">
            <w:pPr>
              <w:suppressAutoHyphens w:val="0"/>
              <w:spacing w:before="0" w:after="0"/>
              <w:jc w:val="right"/>
              <w:rPr>
                <w:rFonts w:ascii="Calibri" w:eastAsia="Times New Roman" w:hAnsi="Calibri" w:cs="Calibri"/>
                <w:i/>
                <w:iCs/>
                <w:color w:val="auto"/>
                <w:sz w:val="18"/>
                <w:szCs w:val="18"/>
                <w:lang w:eastAsia="en-AU"/>
              </w:rPr>
            </w:pPr>
            <w:r w:rsidRPr="00624169">
              <w:rPr>
                <w:rFonts w:ascii="Calibri" w:eastAsia="Times New Roman" w:hAnsi="Calibri" w:cs="Calibri"/>
                <w:i/>
                <w:iCs/>
                <w:color w:val="auto"/>
                <w:sz w:val="18"/>
                <w:szCs w:val="18"/>
                <w:lang w:eastAsia="en-AU"/>
              </w:rPr>
              <w:t>nda</w:t>
            </w:r>
          </w:p>
        </w:tc>
        <w:tc>
          <w:tcPr>
            <w:tcW w:w="1016" w:type="dxa"/>
            <w:tcBorders>
              <w:top w:val="nil"/>
              <w:left w:val="nil"/>
              <w:bottom w:val="single" w:sz="4" w:space="0" w:color="008089"/>
              <w:right w:val="nil"/>
            </w:tcBorders>
            <w:shd w:val="clear" w:color="000000" w:fill="F2F2F2"/>
            <w:vAlign w:val="center"/>
            <w:hideMark/>
          </w:tcPr>
          <w:p w14:paraId="3FFE31AE" w14:textId="77777777" w:rsidR="00401088" w:rsidRPr="00624169" w:rsidRDefault="00401088" w:rsidP="00401088">
            <w:pPr>
              <w:suppressAutoHyphens w:val="0"/>
              <w:spacing w:before="0" w:after="0"/>
              <w:jc w:val="right"/>
              <w:rPr>
                <w:rFonts w:ascii="Calibri" w:eastAsia="Times New Roman" w:hAnsi="Calibri" w:cs="Calibri"/>
                <w:i/>
                <w:iCs/>
                <w:color w:val="auto"/>
                <w:sz w:val="18"/>
                <w:szCs w:val="18"/>
                <w:lang w:eastAsia="en-AU"/>
              </w:rPr>
            </w:pPr>
            <w:r w:rsidRPr="00624169">
              <w:rPr>
                <w:rFonts w:ascii="Calibri" w:eastAsia="Times New Roman" w:hAnsi="Calibri" w:cs="Calibri"/>
                <w:i/>
                <w:iCs/>
                <w:color w:val="auto"/>
                <w:sz w:val="18"/>
                <w:szCs w:val="18"/>
                <w:lang w:eastAsia="en-AU"/>
              </w:rPr>
              <w:t>nda</w:t>
            </w:r>
          </w:p>
        </w:tc>
        <w:tc>
          <w:tcPr>
            <w:tcW w:w="1015" w:type="dxa"/>
            <w:tcBorders>
              <w:top w:val="nil"/>
              <w:left w:val="nil"/>
              <w:bottom w:val="single" w:sz="4" w:space="0" w:color="008089"/>
              <w:right w:val="nil"/>
            </w:tcBorders>
            <w:shd w:val="clear" w:color="000000" w:fill="F2F2F2"/>
            <w:vAlign w:val="center"/>
            <w:hideMark/>
          </w:tcPr>
          <w:p w14:paraId="15C4B675" w14:textId="77777777" w:rsidR="00401088" w:rsidRPr="00624169" w:rsidRDefault="00401088" w:rsidP="00401088">
            <w:pPr>
              <w:suppressAutoHyphens w:val="0"/>
              <w:spacing w:before="0" w:after="0"/>
              <w:jc w:val="right"/>
              <w:rPr>
                <w:rFonts w:ascii="Calibri" w:eastAsia="Times New Roman" w:hAnsi="Calibri" w:cs="Calibri"/>
                <w:i/>
                <w:iCs/>
                <w:color w:val="auto"/>
                <w:sz w:val="18"/>
                <w:szCs w:val="18"/>
                <w:lang w:eastAsia="en-AU"/>
              </w:rPr>
            </w:pPr>
            <w:r w:rsidRPr="00624169">
              <w:rPr>
                <w:rFonts w:ascii="Calibri" w:eastAsia="Times New Roman" w:hAnsi="Calibri" w:cs="Calibri"/>
                <w:i/>
                <w:iCs/>
                <w:color w:val="auto"/>
                <w:sz w:val="18"/>
                <w:szCs w:val="18"/>
                <w:lang w:eastAsia="en-AU"/>
              </w:rPr>
              <w:t>nda</w:t>
            </w:r>
          </w:p>
        </w:tc>
        <w:tc>
          <w:tcPr>
            <w:tcW w:w="1016" w:type="dxa"/>
            <w:tcBorders>
              <w:top w:val="nil"/>
              <w:left w:val="nil"/>
              <w:bottom w:val="single" w:sz="4" w:space="0" w:color="008089"/>
              <w:right w:val="single" w:sz="8" w:space="0" w:color="008089"/>
            </w:tcBorders>
            <w:shd w:val="clear" w:color="000000" w:fill="F2F2F2"/>
            <w:vAlign w:val="center"/>
            <w:hideMark/>
          </w:tcPr>
          <w:p w14:paraId="36985C9A" w14:textId="77777777" w:rsidR="00401088" w:rsidRPr="00624169" w:rsidRDefault="00401088" w:rsidP="00401088">
            <w:pPr>
              <w:suppressAutoHyphens w:val="0"/>
              <w:spacing w:before="0" w:after="0"/>
              <w:jc w:val="right"/>
              <w:rPr>
                <w:rFonts w:ascii="Calibri" w:eastAsia="Times New Roman" w:hAnsi="Calibri" w:cs="Calibri"/>
                <w:i/>
                <w:iCs/>
                <w:color w:val="auto"/>
                <w:sz w:val="18"/>
                <w:szCs w:val="18"/>
                <w:lang w:eastAsia="en-AU"/>
              </w:rPr>
            </w:pPr>
            <w:r w:rsidRPr="00624169">
              <w:rPr>
                <w:rFonts w:ascii="Calibri" w:eastAsia="Times New Roman" w:hAnsi="Calibri" w:cs="Calibri"/>
                <w:i/>
                <w:iCs/>
                <w:color w:val="auto"/>
                <w:sz w:val="18"/>
                <w:szCs w:val="18"/>
                <w:lang w:eastAsia="en-AU"/>
              </w:rPr>
              <w:t>enc</w:t>
            </w:r>
          </w:p>
        </w:tc>
      </w:tr>
      <w:tr w:rsidR="00624169" w:rsidRPr="00401088" w14:paraId="0B9F7AC7" w14:textId="77777777" w:rsidTr="00624169">
        <w:trPr>
          <w:trHeight w:val="290"/>
          <w:jc w:val="center"/>
        </w:trPr>
        <w:tc>
          <w:tcPr>
            <w:tcW w:w="1502" w:type="dxa"/>
            <w:vMerge/>
            <w:tcBorders>
              <w:top w:val="nil"/>
              <w:left w:val="single" w:sz="8" w:space="0" w:color="008089"/>
              <w:bottom w:val="single" w:sz="8" w:space="0" w:color="008089"/>
              <w:right w:val="nil"/>
            </w:tcBorders>
            <w:vAlign w:val="center"/>
            <w:hideMark/>
          </w:tcPr>
          <w:p w14:paraId="4AC6FC1F" w14:textId="77777777" w:rsidR="00401088" w:rsidRPr="00401088" w:rsidRDefault="00401088" w:rsidP="00401088">
            <w:pPr>
              <w:suppressAutoHyphens w:val="0"/>
              <w:spacing w:before="0" w:after="0"/>
              <w:rPr>
                <w:rFonts w:ascii="Calibri" w:eastAsia="Times New Roman" w:hAnsi="Calibri" w:cs="Calibri"/>
                <w:b/>
                <w:bCs/>
                <w:color w:val="000000"/>
                <w:lang w:eastAsia="en-AU"/>
              </w:rPr>
            </w:pPr>
          </w:p>
        </w:tc>
        <w:tc>
          <w:tcPr>
            <w:tcW w:w="3308" w:type="dxa"/>
            <w:tcBorders>
              <w:top w:val="nil"/>
              <w:left w:val="nil"/>
              <w:bottom w:val="single" w:sz="4" w:space="0" w:color="008089"/>
              <w:right w:val="nil"/>
            </w:tcBorders>
            <w:shd w:val="clear" w:color="000000" w:fill="F2F2F2"/>
            <w:vAlign w:val="center"/>
            <w:hideMark/>
          </w:tcPr>
          <w:p w14:paraId="4EC30C99" w14:textId="77777777" w:rsidR="00401088" w:rsidRPr="00DB204C" w:rsidRDefault="00401088" w:rsidP="00401088">
            <w:pPr>
              <w:suppressAutoHyphens w:val="0"/>
              <w:spacing w:before="0" w:after="0"/>
              <w:rPr>
                <w:rFonts w:ascii="Calibri" w:eastAsia="Times New Roman" w:hAnsi="Calibri" w:cs="Calibri"/>
                <w:color w:val="000000"/>
                <w:sz w:val="18"/>
                <w:szCs w:val="18"/>
                <w:lang w:eastAsia="en-AU"/>
              </w:rPr>
            </w:pPr>
            <w:r w:rsidRPr="00DB204C">
              <w:rPr>
                <w:rFonts w:ascii="Calibri" w:eastAsia="Times New Roman" w:hAnsi="Calibri" w:cs="Calibri"/>
                <w:color w:val="000000"/>
                <w:sz w:val="18"/>
                <w:szCs w:val="18"/>
                <w:lang w:eastAsia="en-AU"/>
              </w:rPr>
              <w:t>Rugby World Cup (Men)</w:t>
            </w:r>
          </w:p>
        </w:tc>
        <w:tc>
          <w:tcPr>
            <w:tcW w:w="1843" w:type="dxa"/>
            <w:tcBorders>
              <w:top w:val="nil"/>
              <w:left w:val="nil"/>
              <w:bottom w:val="single" w:sz="4" w:space="0" w:color="008089"/>
              <w:right w:val="nil"/>
            </w:tcBorders>
            <w:shd w:val="clear" w:color="000000" w:fill="F2F2F2"/>
            <w:vAlign w:val="center"/>
            <w:hideMark/>
          </w:tcPr>
          <w:p w14:paraId="2BC73388" w14:textId="77777777" w:rsidR="00401088" w:rsidRPr="00F85D80" w:rsidRDefault="00401088" w:rsidP="00401088">
            <w:pPr>
              <w:suppressAutoHyphens w:val="0"/>
              <w:spacing w:before="0" w:after="0"/>
              <w:rPr>
                <w:rFonts w:ascii="Calibri" w:eastAsia="Times New Roman" w:hAnsi="Calibri" w:cs="Calibri"/>
                <w:color w:val="000000"/>
                <w:sz w:val="16"/>
                <w:szCs w:val="16"/>
                <w:lang w:eastAsia="en-AU"/>
              </w:rPr>
            </w:pPr>
            <w:r w:rsidRPr="00F85D80">
              <w:rPr>
                <w:rFonts w:ascii="Calibri" w:eastAsia="Times New Roman" w:hAnsi="Calibri" w:cs="Calibri"/>
                <w:color w:val="000000"/>
                <w:sz w:val="16"/>
                <w:szCs w:val="16"/>
                <w:lang w:eastAsia="en-AU"/>
              </w:rPr>
              <w:t>All matches average</w:t>
            </w:r>
          </w:p>
        </w:tc>
        <w:tc>
          <w:tcPr>
            <w:tcW w:w="1015" w:type="dxa"/>
            <w:tcBorders>
              <w:top w:val="nil"/>
              <w:left w:val="nil"/>
              <w:bottom w:val="single" w:sz="4" w:space="0" w:color="008089"/>
              <w:right w:val="nil"/>
            </w:tcBorders>
            <w:shd w:val="clear" w:color="000000" w:fill="F2F2F2"/>
            <w:vAlign w:val="center"/>
            <w:hideMark/>
          </w:tcPr>
          <w:p w14:paraId="1410BC1B" w14:textId="38BFBFD6" w:rsidR="00401088" w:rsidRPr="008747A2" w:rsidRDefault="008747A2" w:rsidP="00401088">
            <w:pPr>
              <w:suppressAutoHyphens w:val="0"/>
              <w:spacing w:before="0" w:after="0"/>
              <w:jc w:val="right"/>
              <w:rPr>
                <w:rFonts w:ascii="Calibri" w:eastAsia="Times New Roman" w:hAnsi="Calibri" w:cs="Calibri"/>
                <w:i/>
                <w:color w:val="auto"/>
                <w:sz w:val="18"/>
                <w:szCs w:val="18"/>
                <w:lang w:eastAsia="en-AU"/>
              </w:rPr>
            </w:pPr>
            <w:r w:rsidRPr="008747A2">
              <w:rPr>
                <w:rFonts w:ascii="Calibri" w:eastAsia="Times New Roman" w:hAnsi="Calibri" w:cs="Calibri"/>
                <w:i/>
                <w:iCs/>
                <w:color w:val="auto"/>
                <w:sz w:val="18"/>
                <w:szCs w:val="18"/>
                <w:lang w:eastAsia="en-AU"/>
              </w:rPr>
              <w:t>nda</w:t>
            </w:r>
          </w:p>
        </w:tc>
        <w:tc>
          <w:tcPr>
            <w:tcW w:w="1015" w:type="dxa"/>
            <w:tcBorders>
              <w:top w:val="nil"/>
              <w:left w:val="nil"/>
              <w:bottom w:val="single" w:sz="4" w:space="0" w:color="008089"/>
              <w:right w:val="nil"/>
            </w:tcBorders>
            <w:shd w:val="clear" w:color="000000" w:fill="F2F2F2"/>
            <w:vAlign w:val="center"/>
            <w:hideMark/>
          </w:tcPr>
          <w:p w14:paraId="610D0729" w14:textId="77777777" w:rsidR="00401088" w:rsidRPr="00624169" w:rsidRDefault="00401088" w:rsidP="00401088">
            <w:pPr>
              <w:suppressAutoHyphens w:val="0"/>
              <w:spacing w:before="0" w:after="0"/>
              <w:jc w:val="right"/>
              <w:rPr>
                <w:rFonts w:ascii="Calibri" w:eastAsia="Times New Roman" w:hAnsi="Calibri" w:cs="Calibri"/>
                <w:i/>
                <w:iCs/>
                <w:color w:val="auto"/>
                <w:sz w:val="18"/>
                <w:szCs w:val="18"/>
                <w:lang w:eastAsia="en-AU"/>
              </w:rPr>
            </w:pPr>
            <w:r w:rsidRPr="00624169">
              <w:rPr>
                <w:rFonts w:ascii="Calibri" w:eastAsia="Times New Roman" w:hAnsi="Calibri" w:cs="Calibri"/>
                <w:i/>
                <w:iCs/>
                <w:color w:val="auto"/>
                <w:sz w:val="18"/>
                <w:szCs w:val="18"/>
                <w:lang w:eastAsia="en-AU"/>
              </w:rPr>
              <w:t>nh</w:t>
            </w:r>
          </w:p>
        </w:tc>
        <w:tc>
          <w:tcPr>
            <w:tcW w:w="1016" w:type="dxa"/>
            <w:tcBorders>
              <w:top w:val="nil"/>
              <w:left w:val="nil"/>
              <w:bottom w:val="single" w:sz="4" w:space="0" w:color="008089"/>
              <w:right w:val="nil"/>
            </w:tcBorders>
            <w:shd w:val="clear" w:color="000000" w:fill="F2F2F2"/>
            <w:vAlign w:val="center"/>
            <w:hideMark/>
          </w:tcPr>
          <w:p w14:paraId="4BD8A84E" w14:textId="77777777" w:rsidR="00401088" w:rsidRPr="00624169" w:rsidRDefault="00401088" w:rsidP="00401088">
            <w:pPr>
              <w:suppressAutoHyphens w:val="0"/>
              <w:spacing w:before="0" w:after="0"/>
              <w:jc w:val="right"/>
              <w:rPr>
                <w:rFonts w:ascii="Calibri" w:eastAsia="Times New Roman" w:hAnsi="Calibri" w:cs="Calibri"/>
                <w:i/>
                <w:iCs/>
                <w:color w:val="auto"/>
                <w:sz w:val="18"/>
                <w:szCs w:val="18"/>
                <w:lang w:eastAsia="en-AU"/>
              </w:rPr>
            </w:pPr>
            <w:r w:rsidRPr="00624169">
              <w:rPr>
                <w:rFonts w:ascii="Calibri" w:eastAsia="Times New Roman" w:hAnsi="Calibri" w:cs="Calibri"/>
                <w:i/>
                <w:iCs/>
                <w:color w:val="auto"/>
                <w:sz w:val="18"/>
                <w:szCs w:val="18"/>
                <w:lang w:eastAsia="en-AU"/>
              </w:rPr>
              <w:t>nh</w:t>
            </w:r>
          </w:p>
        </w:tc>
        <w:tc>
          <w:tcPr>
            <w:tcW w:w="1015" w:type="dxa"/>
            <w:tcBorders>
              <w:top w:val="nil"/>
              <w:left w:val="nil"/>
              <w:bottom w:val="single" w:sz="4" w:space="0" w:color="008089"/>
              <w:right w:val="nil"/>
            </w:tcBorders>
            <w:shd w:val="clear" w:color="000000" w:fill="F2F2F2"/>
            <w:vAlign w:val="center"/>
            <w:hideMark/>
          </w:tcPr>
          <w:p w14:paraId="51BD8E34" w14:textId="77777777" w:rsidR="00401088" w:rsidRPr="00624169" w:rsidRDefault="00401088" w:rsidP="00401088">
            <w:pPr>
              <w:suppressAutoHyphens w:val="0"/>
              <w:spacing w:before="0" w:after="0"/>
              <w:jc w:val="right"/>
              <w:rPr>
                <w:rFonts w:ascii="Calibri" w:eastAsia="Times New Roman" w:hAnsi="Calibri" w:cs="Calibri"/>
                <w:i/>
                <w:iCs/>
                <w:color w:val="auto"/>
                <w:sz w:val="18"/>
                <w:szCs w:val="18"/>
                <w:lang w:eastAsia="en-AU"/>
              </w:rPr>
            </w:pPr>
            <w:r w:rsidRPr="00624169">
              <w:rPr>
                <w:rFonts w:ascii="Calibri" w:eastAsia="Times New Roman" w:hAnsi="Calibri" w:cs="Calibri"/>
                <w:i/>
                <w:iCs/>
                <w:color w:val="auto"/>
                <w:sz w:val="18"/>
                <w:szCs w:val="18"/>
                <w:lang w:eastAsia="en-AU"/>
              </w:rPr>
              <w:t>nh</w:t>
            </w:r>
          </w:p>
        </w:tc>
        <w:tc>
          <w:tcPr>
            <w:tcW w:w="1015" w:type="dxa"/>
            <w:tcBorders>
              <w:top w:val="nil"/>
              <w:left w:val="nil"/>
              <w:bottom w:val="single" w:sz="4" w:space="0" w:color="008089"/>
              <w:right w:val="nil"/>
            </w:tcBorders>
            <w:shd w:val="clear" w:color="000000" w:fill="F2F2F2"/>
            <w:vAlign w:val="center"/>
            <w:hideMark/>
          </w:tcPr>
          <w:p w14:paraId="700540DF"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361,000</w:t>
            </w:r>
          </w:p>
        </w:tc>
        <w:tc>
          <w:tcPr>
            <w:tcW w:w="1016" w:type="dxa"/>
            <w:tcBorders>
              <w:top w:val="nil"/>
              <w:left w:val="nil"/>
              <w:bottom w:val="single" w:sz="4" w:space="0" w:color="008089"/>
              <w:right w:val="nil"/>
            </w:tcBorders>
            <w:shd w:val="clear" w:color="000000" w:fill="F2F2F2"/>
            <w:vAlign w:val="center"/>
            <w:hideMark/>
          </w:tcPr>
          <w:p w14:paraId="14969F01" w14:textId="77777777" w:rsidR="00401088" w:rsidRPr="00624169" w:rsidRDefault="00401088" w:rsidP="00401088">
            <w:pPr>
              <w:suppressAutoHyphens w:val="0"/>
              <w:spacing w:before="0" w:after="0"/>
              <w:jc w:val="right"/>
              <w:rPr>
                <w:rFonts w:ascii="Calibri" w:eastAsia="Times New Roman" w:hAnsi="Calibri" w:cs="Calibri"/>
                <w:i/>
                <w:iCs/>
                <w:color w:val="auto"/>
                <w:sz w:val="18"/>
                <w:szCs w:val="18"/>
                <w:lang w:eastAsia="en-AU"/>
              </w:rPr>
            </w:pPr>
            <w:r w:rsidRPr="00624169">
              <w:rPr>
                <w:rFonts w:ascii="Calibri" w:eastAsia="Times New Roman" w:hAnsi="Calibri" w:cs="Calibri"/>
                <w:i/>
                <w:iCs/>
                <w:color w:val="auto"/>
                <w:sz w:val="18"/>
                <w:szCs w:val="18"/>
                <w:lang w:eastAsia="en-AU"/>
              </w:rPr>
              <w:t>nh</w:t>
            </w:r>
          </w:p>
        </w:tc>
        <w:tc>
          <w:tcPr>
            <w:tcW w:w="1015" w:type="dxa"/>
            <w:tcBorders>
              <w:top w:val="nil"/>
              <w:left w:val="nil"/>
              <w:bottom w:val="single" w:sz="4" w:space="0" w:color="008089"/>
              <w:right w:val="nil"/>
            </w:tcBorders>
            <w:shd w:val="clear" w:color="000000" w:fill="F2F2F2"/>
            <w:vAlign w:val="center"/>
            <w:hideMark/>
          </w:tcPr>
          <w:p w14:paraId="715EA3BB" w14:textId="77777777" w:rsidR="00401088" w:rsidRPr="00624169" w:rsidRDefault="00401088" w:rsidP="00401088">
            <w:pPr>
              <w:suppressAutoHyphens w:val="0"/>
              <w:spacing w:before="0" w:after="0"/>
              <w:jc w:val="right"/>
              <w:rPr>
                <w:rFonts w:ascii="Calibri" w:eastAsia="Times New Roman" w:hAnsi="Calibri" w:cs="Calibri"/>
                <w:i/>
                <w:iCs/>
                <w:color w:val="auto"/>
                <w:sz w:val="18"/>
                <w:szCs w:val="18"/>
                <w:lang w:eastAsia="en-AU"/>
              </w:rPr>
            </w:pPr>
            <w:r w:rsidRPr="00624169">
              <w:rPr>
                <w:rFonts w:ascii="Calibri" w:eastAsia="Times New Roman" w:hAnsi="Calibri" w:cs="Calibri"/>
                <w:i/>
                <w:iCs/>
                <w:color w:val="auto"/>
                <w:sz w:val="18"/>
                <w:szCs w:val="18"/>
                <w:lang w:eastAsia="en-AU"/>
              </w:rPr>
              <w:t>nh</w:t>
            </w:r>
          </w:p>
        </w:tc>
        <w:tc>
          <w:tcPr>
            <w:tcW w:w="1016" w:type="dxa"/>
            <w:tcBorders>
              <w:top w:val="nil"/>
              <w:left w:val="nil"/>
              <w:bottom w:val="single" w:sz="4" w:space="0" w:color="008089"/>
              <w:right w:val="single" w:sz="8" w:space="0" w:color="008089"/>
            </w:tcBorders>
            <w:shd w:val="clear" w:color="000000" w:fill="F2F2F2"/>
            <w:vAlign w:val="center"/>
            <w:hideMark/>
          </w:tcPr>
          <w:p w14:paraId="56BC29E1" w14:textId="77777777" w:rsidR="00401088" w:rsidRPr="00624169" w:rsidRDefault="00401088" w:rsidP="00401088">
            <w:pPr>
              <w:suppressAutoHyphens w:val="0"/>
              <w:spacing w:before="0" w:after="0"/>
              <w:jc w:val="right"/>
              <w:rPr>
                <w:rFonts w:ascii="Calibri" w:eastAsia="Times New Roman" w:hAnsi="Calibri" w:cs="Calibri"/>
                <w:i/>
                <w:iCs/>
                <w:color w:val="auto"/>
                <w:sz w:val="18"/>
                <w:szCs w:val="18"/>
                <w:lang w:eastAsia="en-AU"/>
              </w:rPr>
            </w:pPr>
            <w:r w:rsidRPr="00624169">
              <w:rPr>
                <w:rFonts w:ascii="Calibri" w:eastAsia="Times New Roman" w:hAnsi="Calibri" w:cs="Calibri"/>
                <w:i/>
                <w:iCs/>
                <w:color w:val="auto"/>
                <w:sz w:val="18"/>
                <w:szCs w:val="18"/>
                <w:lang w:eastAsia="en-AU"/>
              </w:rPr>
              <w:t>nh</w:t>
            </w:r>
          </w:p>
        </w:tc>
      </w:tr>
      <w:tr w:rsidR="00624169" w:rsidRPr="00401088" w14:paraId="5543BF58" w14:textId="77777777" w:rsidTr="00624169">
        <w:trPr>
          <w:trHeight w:val="290"/>
          <w:jc w:val="center"/>
        </w:trPr>
        <w:tc>
          <w:tcPr>
            <w:tcW w:w="1502" w:type="dxa"/>
            <w:vMerge/>
            <w:tcBorders>
              <w:top w:val="nil"/>
              <w:left w:val="single" w:sz="8" w:space="0" w:color="008089"/>
              <w:bottom w:val="single" w:sz="8" w:space="0" w:color="008089"/>
              <w:right w:val="nil"/>
            </w:tcBorders>
            <w:vAlign w:val="center"/>
            <w:hideMark/>
          </w:tcPr>
          <w:p w14:paraId="0035D633" w14:textId="77777777" w:rsidR="00401088" w:rsidRPr="00401088" w:rsidRDefault="00401088" w:rsidP="00401088">
            <w:pPr>
              <w:suppressAutoHyphens w:val="0"/>
              <w:spacing w:before="0" w:after="0"/>
              <w:rPr>
                <w:rFonts w:ascii="Calibri" w:eastAsia="Times New Roman" w:hAnsi="Calibri" w:cs="Calibri"/>
                <w:b/>
                <w:bCs/>
                <w:color w:val="000000"/>
                <w:lang w:eastAsia="en-AU"/>
              </w:rPr>
            </w:pPr>
          </w:p>
        </w:tc>
        <w:tc>
          <w:tcPr>
            <w:tcW w:w="3308" w:type="dxa"/>
            <w:tcBorders>
              <w:top w:val="nil"/>
              <w:left w:val="nil"/>
              <w:bottom w:val="single" w:sz="4" w:space="0" w:color="008089"/>
              <w:right w:val="nil"/>
            </w:tcBorders>
            <w:shd w:val="clear" w:color="000000" w:fill="F2F2F2"/>
            <w:vAlign w:val="center"/>
            <w:hideMark/>
          </w:tcPr>
          <w:p w14:paraId="2C6714F5" w14:textId="77777777" w:rsidR="00401088" w:rsidRPr="00DB204C" w:rsidRDefault="00401088" w:rsidP="00401088">
            <w:pPr>
              <w:suppressAutoHyphens w:val="0"/>
              <w:spacing w:before="0" w:after="0"/>
              <w:rPr>
                <w:rFonts w:ascii="Calibri" w:eastAsia="Times New Roman" w:hAnsi="Calibri" w:cs="Calibri"/>
                <w:color w:val="000000"/>
                <w:sz w:val="18"/>
                <w:szCs w:val="18"/>
                <w:lang w:eastAsia="en-AU"/>
              </w:rPr>
            </w:pPr>
            <w:r w:rsidRPr="00DB204C">
              <w:rPr>
                <w:rFonts w:ascii="Calibri" w:eastAsia="Times New Roman" w:hAnsi="Calibri" w:cs="Calibri"/>
                <w:color w:val="000000"/>
                <w:sz w:val="18"/>
                <w:szCs w:val="18"/>
                <w:lang w:eastAsia="en-AU"/>
              </w:rPr>
              <w:t>Rugby World Cup Grand Final (Men)</w:t>
            </w:r>
          </w:p>
        </w:tc>
        <w:tc>
          <w:tcPr>
            <w:tcW w:w="1843" w:type="dxa"/>
            <w:tcBorders>
              <w:top w:val="nil"/>
              <w:left w:val="nil"/>
              <w:bottom w:val="single" w:sz="4" w:space="0" w:color="008089"/>
              <w:right w:val="nil"/>
            </w:tcBorders>
            <w:shd w:val="clear" w:color="000000" w:fill="F2F2F2"/>
            <w:vAlign w:val="center"/>
            <w:hideMark/>
          </w:tcPr>
          <w:p w14:paraId="099BB7DA" w14:textId="77777777" w:rsidR="00401088" w:rsidRPr="00F85D80" w:rsidRDefault="00401088" w:rsidP="00401088">
            <w:pPr>
              <w:suppressAutoHyphens w:val="0"/>
              <w:spacing w:before="0" w:after="0"/>
              <w:rPr>
                <w:rFonts w:ascii="Calibri" w:eastAsia="Times New Roman" w:hAnsi="Calibri" w:cs="Calibri"/>
                <w:color w:val="000000"/>
                <w:sz w:val="16"/>
                <w:szCs w:val="16"/>
                <w:lang w:eastAsia="en-AU"/>
              </w:rPr>
            </w:pPr>
            <w:r w:rsidRPr="00F85D80">
              <w:rPr>
                <w:rFonts w:ascii="Calibri" w:eastAsia="Times New Roman" w:hAnsi="Calibri" w:cs="Calibri"/>
                <w:color w:val="000000"/>
                <w:sz w:val="16"/>
                <w:szCs w:val="16"/>
                <w:lang w:eastAsia="en-AU"/>
              </w:rPr>
              <w:t>Single match</w:t>
            </w:r>
          </w:p>
        </w:tc>
        <w:tc>
          <w:tcPr>
            <w:tcW w:w="1015" w:type="dxa"/>
            <w:tcBorders>
              <w:top w:val="nil"/>
              <w:left w:val="nil"/>
              <w:bottom w:val="single" w:sz="4" w:space="0" w:color="008089"/>
              <w:right w:val="nil"/>
            </w:tcBorders>
            <w:shd w:val="clear" w:color="000000" w:fill="F2F2F2"/>
            <w:vAlign w:val="center"/>
            <w:hideMark/>
          </w:tcPr>
          <w:p w14:paraId="35E8D494"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548,000</w:t>
            </w:r>
          </w:p>
        </w:tc>
        <w:tc>
          <w:tcPr>
            <w:tcW w:w="1015" w:type="dxa"/>
            <w:tcBorders>
              <w:top w:val="nil"/>
              <w:left w:val="nil"/>
              <w:bottom w:val="single" w:sz="4" w:space="0" w:color="008089"/>
              <w:right w:val="nil"/>
            </w:tcBorders>
            <w:shd w:val="clear" w:color="000000" w:fill="F2F2F2"/>
            <w:vAlign w:val="center"/>
            <w:hideMark/>
          </w:tcPr>
          <w:p w14:paraId="402FF5F3" w14:textId="77777777" w:rsidR="00401088" w:rsidRPr="00624169" w:rsidRDefault="00401088" w:rsidP="00401088">
            <w:pPr>
              <w:suppressAutoHyphens w:val="0"/>
              <w:spacing w:before="0" w:after="0"/>
              <w:jc w:val="right"/>
              <w:rPr>
                <w:rFonts w:ascii="Calibri" w:eastAsia="Times New Roman" w:hAnsi="Calibri" w:cs="Calibri"/>
                <w:i/>
                <w:iCs/>
                <w:color w:val="auto"/>
                <w:sz w:val="18"/>
                <w:szCs w:val="18"/>
                <w:lang w:eastAsia="en-AU"/>
              </w:rPr>
            </w:pPr>
            <w:r w:rsidRPr="00624169">
              <w:rPr>
                <w:rFonts w:ascii="Calibri" w:eastAsia="Times New Roman" w:hAnsi="Calibri" w:cs="Calibri"/>
                <w:i/>
                <w:iCs/>
                <w:color w:val="auto"/>
                <w:sz w:val="18"/>
                <w:szCs w:val="18"/>
                <w:lang w:eastAsia="en-AU"/>
              </w:rPr>
              <w:t>nh</w:t>
            </w:r>
          </w:p>
        </w:tc>
        <w:tc>
          <w:tcPr>
            <w:tcW w:w="1016" w:type="dxa"/>
            <w:tcBorders>
              <w:top w:val="nil"/>
              <w:left w:val="nil"/>
              <w:bottom w:val="single" w:sz="4" w:space="0" w:color="008089"/>
              <w:right w:val="nil"/>
            </w:tcBorders>
            <w:shd w:val="clear" w:color="000000" w:fill="F2F2F2"/>
            <w:vAlign w:val="center"/>
            <w:hideMark/>
          </w:tcPr>
          <w:p w14:paraId="0AFB505C" w14:textId="77777777" w:rsidR="00401088" w:rsidRPr="00624169" w:rsidRDefault="00401088" w:rsidP="00401088">
            <w:pPr>
              <w:suppressAutoHyphens w:val="0"/>
              <w:spacing w:before="0" w:after="0"/>
              <w:jc w:val="right"/>
              <w:rPr>
                <w:rFonts w:ascii="Calibri" w:eastAsia="Times New Roman" w:hAnsi="Calibri" w:cs="Calibri"/>
                <w:i/>
                <w:iCs/>
                <w:color w:val="auto"/>
                <w:sz w:val="18"/>
                <w:szCs w:val="18"/>
                <w:lang w:eastAsia="en-AU"/>
              </w:rPr>
            </w:pPr>
            <w:r w:rsidRPr="00624169">
              <w:rPr>
                <w:rFonts w:ascii="Calibri" w:eastAsia="Times New Roman" w:hAnsi="Calibri" w:cs="Calibri"/>
                <w:i/>
                <w:iCs/>
                <w:color w:val="auto"/>
                <w:sz w:val="18"/>
                <w:szCs w:val="18"/>
                <w:lang w:eastAsia="en-AU"/>
              </w:rPr>
              <w:t>nh</w:t>
            </w:r>
          </w:p>
        </w:tc>
        <w:tc>
          <w:tcPr>
            <w:tcW w:w="1015" w:type="dxa"/>
            <w:tcBorders>
              <w:top w:val="nil"/>
              <w:left w:val="nil"/>
              <w:bottom w:val="single" w:sz="4" w:space="0" w:color="008089"/>
              <w:right w:val="nil"/>
            </w:tcBorders>
            <w:shd w:val="clear" w:color="000000" w:fill="F2F2F2"/>
            <w:vAlign w:val="center"/>
            <w:hideMark/>
          </w:tcPr>
          <w:p w14:paraId="66468E2B" w14:textId="77777777" w:rsidR="00401088" w:rsidRPr="00624169" w:rsidRDefault="00401088" w:rsidP="00401088">
            <w:pPr>
              <w:suppressAutoHyphens w:val="0"/>
              <w:spacing w:before="0" w:after="0"/>
              <w:jc w:val="right"/>
              <w:rPr>
                <w:rFonts w:ascii="Calibri" w:eastAsia="Times New Roman" w:hAnsi="Calibri" w:cs="Calibri"/>
                <w:i/>
                <w:iCs/>
                <w:color w:val="auto"/>
                <w:sz w:val="18"/>
                <w:szCs w:val="18"/>
                <w:lang w:eastAsia="en-AU"/>
              </w:rPr>
            </w:pPr>
            <w:r w:rsidRPr="00624169">
              <w:rPr>
                <w:rFonts w:ascii="Calibri" w:eastAsia="Times New Roman" w:hAnsi="Calibri" w:cs="Calibri"/>
                <w:i/>
                <w:iCs/>
                <w:color w:val="auto"/>
                <w:sz w:val="18"/>
                <w:szCs w:val="18"/>
                <w:lang w:eastAsia="en-AU"/>
              </w:rPr>
              <w:t>nh</w:t>
            </w:r>
          </w:p>
        </w:tc>
        <w:tc>
          <w:tcPr>
            <w:tcW w:w="1015" w:type="dxa"/>
            <w:tcBorders>
              <w:top w:val="nil"/>
              <w:left w:val="nil"/>
              <w:bottom w:val="single" w:sz="4" w:space="0" w:color="008089"/>
              <w:right w:val="nil"/>
            </w:tcBorders>
            <w:shd w:val="clear" w:color="000000" w:fill="F2F2F2"/>
            <w:vAlign w:val="center"/>
            <w:hideMark/>
          </w:tcPr>
          <w:p w14:paraId="3BC90307"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542,000</w:t>
            </w:r>
          </w:p>
        </w:tc>
        <w:tc>
          <w:tcPr>
            <w:tcW w:w="1016" w:type="dxa"/>
            <w:tcBorders>
              <w:top w:val="nil"/>
              <w:left w:val="nil"/>
              <w:bottom w:val="single" w:sz="4" w:space="0" w:color="008089"/>
              <w:right w:val="nil"/>
            </w:tcBorders>
            <w:shd w:val="clear" w:color="000000" w:fill="F2F2F2"/>
            <w:vAlign w:val="center"/>
            <w:hideMark/>
          </w:tcPr>
          <w:p w14:paraId="2986039A" w14:textId="77777777" w:rsidR="00401088" w:rsidRPr="00624169" w:rsidRDefault="00401088" w:rsidP="00401088">
            <w:pPr>
              <w:suppressAutoHyphens w:val="0"/>
              <w:spacing w:before="0" w:after="0"/>
              <w:jc w:val="right"/>
              <w:rPr>
                <w:rFonts w:ascii="Calibri" w:eastAsia="Times New Roman" w:hAnsi="Calibri" w:cs="Calibri"/>
                <w:i/>
                <w:iCs/>
                <w:color w:val="auto"/>
                <w:sz w:val="18"/>
                <w:szCs w:val="18"/>
                <w:lang w:eastAsia="en-AU"/>
              </w:rPr>
            </w:pPr>
            <w:r w:rsidRPr="00624169">
              <w:rPr>
                <w:rFonts w:ascii="Calibri" w:eastAsia="Times New Roman" w:hAnsi="Calibri" w:cs="Calibri"/>
                <w:i/>
                <w:iCs/>
                <w:color w:val="auto"/>
                <w:sz w:val="18"/>
                <w:szCs w:val="18"/>
                <w:lang w:eastAsia="en-AU"/>
              </w:rPr>
              <w:t>nh</w:t>
            </w:r>
          </w:p>
        </w:tc>
        <w:tc>
          <w:tcPr>
            <w:tcW w:w="1015" w:type="dxa"/>
            <w:tcBorders>
              <w:top w:val="nil"/>
              <w:left w:val="nil"/>
              <w:bottom w:val="single" w:sz="4" w:space="0" w:color="008089"/>
              <w:right w:val="nil"/>
            </w:tcBorders>
            <w:shd w:val="clear" w:color="000000" w:fill="F2F2F2"/>
            <w:vAlign w:val="center"/>
            <w:hideMark/>
          </w:tcPr>
          <w:p w14:paraId="1544FF8B" w14:textId="77777777" w:rsidR="00401088" w:rsidRPr="00624169" w:rsidRDefault="00401088" w:rsidP="00401088">
            <w:pPr>
              <w:suppressAutoHyphens w:val="0"/>
              <w:spacing w:before="0" w:after="0"/>
              <w:jc w:val="right"/>
              <w:rPr>
                <w:rFonts w:ascii="Calibri" w:eastAsia="Times New Roman" w:hAnsi="Calibri" w:cs="Calibri"/>
                <w:i/>
                <w:iCs/>
                <w:color w:val="auto"/>
                <w:sz w:val="18"/>
                <w:szCs w:val="18"/>
                <w:lang w:eastAsia="en-AU"/>
              </w:rPr>
            </w:pPr>
            <w:r w:rsidRPr="00624169">
              <w:rPr>
                <w:rFonts w:ascii="Calibri" w:eastAsia="Times New Roman" w:hAnsi="Calibri" w:cs="Calibri"/>
                <w:i/>
                <w:iCs/>
                <w:color w:val="auto"/>
                <w:sz w:val="18"/>
                <w:szCs w:val="18"/>
                <w:lang w:eastAsia="en-AU"/>
              </w:rPr>
              <w:t>nh</w:t>
            </w:r>
          </w:p>
        </w:tc>
        <w:tc>
          <w:tcPr>
            <w:tcW w:w="1016" w:type="dxa"/>
            <w:tcBorders>
              <w:top w:val="nil"/>
              <w:left w:val="nil"/>
              <w:bottom w:val="single" w:sz="4" w:space="0" w:color="008089"/>
              <w:right w:val="single" w:sz="8" w:space="0" w:color="008089"/>
            </w:tcBorders>
            <w:shd w:val="clear" w:color="000000" w:fill="F2F2F2"/>
            <w:vAlign w:val="center"/>
            <w:hideMark/>
          </w:tcPr>
          <w:p w14:paraId="130C2DBF" w14:textId="77777777" w:rsidR="00401088" w:rsidRPr="00624169" w:rsidRDefault="00401088" w:rsidP="00401088">
            <w:pPr>
              <w:suppressAutoHyphens w:val="0"/>
              <w:spacing w:before="0" w:after="0"/>
              <w:jc w:val="right"/>
              <w:rPr>
                <w:rFonts w:ascii="Calibri" w:eastAsia="Times New Roman" w:hAnsi="Calibri" w:cs="Calibri"/>
                <w:i/>
                <w:iCs/>
                <w:color w:val="auto"/>
                <w:sz w:val="18"/>
                <w:szCs w:val="18"/>
                <w:lang w:eastAsia="en-AU"/>
              </w:rPr>
            </w:pPr>
            <w:r w:rsidRPr="00624169">
              <w:rPr>
                <w:rFonts w:ascii="Calibri" w:eastAsia="Times New Roman" w:hAnsi="Calibri" w:cs="Calibri"/>
                <w:i/>
                <w:iCs/>
                <w:color w:val="auto"/>
                <w:sz w:val="18"/>
                <w:szCs w:val="18"/>
                <w:lang w:eastAsia="en-AU"/>
              </w:rPr>
              <w:t>nh</w:t>
            </w:r>
          </w:p>
        </w:tc>
      </w:tr>
      <w:tr w:rsidR="00624169" w:rsidRPr="00401088" w14:paraId="36843679" w14:textId="77777777" w:rsidTr="00624169">
        <w:trPr>
          <w:trHeight w:val="290"/>
          <w:jc w:val="center"/>
        </w:trPr>
        <w:tc>
          <w:tcPr>
            <w:tcW w:w="1502" w:type="dxa"/>
            <w:vMerge/>
            <w:tcBorders>
              <w:top w:val="nil"/>
              <w:left w:val="single" w:sz="8" w:space="0" w:color="008089"/>
              <w:bottom w:val="single" w:sz="8" w:space="0" w:color="008089"/>
              <w:right w:val="nil"/>
            </w:tcBorders>
            <w:vAlign w:val="center"/>
            <w:hideMark/>
          </w:tcPr>
          <w:p w14:paraId="23106D56" w14:textId="77777777" w:rsidR="00401088" w:rsidRPr="00401088" w:rsidRDefault="00401088" w:rsidP="00401088">
            <w:pPr>
              <w:suppressAutoHyphens w:val="0"/>
              <w:spacing w:before="0" w:after="0"/>
              <w:rPr>
                <w:rFonts w:ascii="Calibri" w:eastAsia="Times New Roman" w:hAnsi="Calibri" w:cs="Calibri"/>
                <w:b/>
                <w:bCs/>
                <w:color w:val="000000"/>
                <w:lang w:eastAsia="en-AU"/>
              </w:rPr>
            </w:pPr>
          </w:p>
        </w:tc>
        <w:tc>
          <w:tcPr>
            <w:tcW w:w="3308" w:type="dxa"/>
            <w:tcBorders>
              <w:top w:val="nil"/>
              <w:left w:val="nil"/>
              <w:bottom w:val="single" w:sz="4" w:space="0" w:color="008089"/>
              <w:right w:val="nil"/>
            </w:tcBorders>
            <w:shd w:val="clear" w:color="000000" w:fill="F2F2F2"/>
            <w:vAlign w:val="center"/>
            <w:hideMark/>
          </w:tcPr>
          <w:p w14:paraId="483F31F7" w14:textId="77777777" w:rsidR="00401088" w:rsidRPr="00DB204C" w:rsidRDefault="00401088" w:rsidP="00401088">
            <w:pPr>
              <w:suppressAutoHyphens w:val="0"/>
              <w:spacing w:before="0" w:after="0"/>
              <w:rPr>
                <w:rFonts w:ascii="Calibri" w:eastAsia="Times New Roman" w:hAnsi="Calibri" w:cs="Calibri"/>
                <w:color w:val="000000"/>
                <w:sz w:val="18"/>
                <w:szCs w:val="18"/>
                <w:lang w:eastAsia="en-AU"/>
              </w:rPr>
            </w:pPr>
            <w:r w:rsidRPr="00DB204C">
              <w:rPr>
                <w:rFonts w:ascii="Calibri" w:eastAsia="Times New Roman" w:hAnsi="Calibri" w:cs="Calibri"/>
                <w:color w:val="000000"/>
                <w:sz w:val="18"/>
                <w:szCs w:val="18"/>
                <w:lang w:eastAsia="en-AU"/>
              </w:rPr>
              <w:t>Rugby World Cup (Women)</w:t>
            </w:r>
          </w:p>
        </w:tc>
        <w:tc>
          <w:tcPr>
            <w:tcW w:w="1843" w:type="dxa"/>
            <w:tcBorders>
              <w:top w:val="nil"/>
              <w:left w:val="nil"/>
              <w:bottom w:val="single" w:sz="4" w:space="0" w:color="008089"/>
              <w:right w:val="nil"/>
            </w:tcBorders>
            <w:shd w:val="clear" w:color="000000" w:fill="F2F2F2"/>
            <w:vAlign w:val="center"/>
            <w:hideMark/>
          </w:tcPr>
          <w:p w14:paraId="3B6CB3A3" w14:textId="77777777" w:rsidR="00401088" w:rsidRPr="00F85D80" w:rsidRDefault="00401088" w:rsidP="00401088">
            <w:pPr>
              <w:suppressAutoHyphens w:val="0"/>
              <w:spacing w:before="0" w:after="0"/>
              <w:rPr>
                <w:rFonts w:ascii="Calibri" w:eastAsia="Times New Roman" w:hAnsi="Calibri" w:cs="Calibri"/>
                <w:i/>
                <w:color w:val="auto"/>
                <w:sz w:val="16"/>
                <w:szCs w:val="16"/>
                <w:lang w:eastAsia="en-AU"/>
              </w:rPr>
            </w:pPr>
            <w:r w:rsidRPr="00F85D80">
              <w:rPr>
                <w:rFonts w:ascii="Calibri" w:eastAsia="Times New Roman" w:hAnsi="Calibri" w:cs="Calibri"/>
                <w:i/>
                <w:color w:val="auto"/>
                <w:sz w:val="16"/>
                <w:szCs w:val="16"/>
                <w:lang w:eastAsia="en-AU"/>
              </w:rPr>
              <w:t>nda</w:t>
            </w:r>
          </w:p>
        </w:tc>
        <w:tc>
          <w:tcPr>
            <w:tcW w:w="1015" w:type="dxa"/>
            <w:tcBorders>
              <w:top w:val="nil"/>
              <w:left w:val="nil"/>
              <w:bottom w:val="single" w:sz="4" w:space="0" w:color="008089"/>
              <w:right w:val="nil"/>
            </w:tcBorders>
            <w:shd w:val="clear" w:color="000000" w:fill="F2F2F2"/>
            <w:vAlign w:val="center"/>
            <w:hideMark/>
          </w:tcPr>
          <w:p w14:paraId="54344510" w14:textId="77777777" w:rsidR="00401088" w:rsidRPr="00624169" w:rsidRDefault="00401088" w:rsidP="00401088">
            <w:pPr>
              <w:suppressAutoHyphens w:val="0"/>
              <w:spacing w:before="0" w:after="0"/>
              <w:jc w:val="right"/>
              <w:rPr>
                <w:rFonts w:ascii="Calibri" w:eastAsia="Times New Roman" w:hAnsi="Calibri" w:cs="Calibri"/>
                <w:i/>
                <w:iCs/>
                <w:color w:val="auto"/>
                <w:sz w:val="18"/>
                <w:szCs w:val="18"/>
                <w:lang w:eastAsia="en-AU"/>
              </w:rPr>
            </w:pPr>
            <w:r w:rsidRPr="00624169">
              <w:rPr>
                <w:rFonts w:ascii="Calibri" w:eastAsia="Times New Roman" w:hAnsi="Calibri" w:cs="Calibri"/>
                <w:i/>
                <w:iCs/>
                <w:color w:val="auto"/>
                <w:sz w:val="18"/>
                <w:szCs w:val="18"/>
                <w:lang w:eastAsia="en-AU"/>
              </w:rPr>
              <w:t>nh</w:t>
            </w:r>
          </w:p>
        </w:tc>
        <w:tc>
          <w:tcPr>
            <w:tcW w:w="1015" w:type="dxa"/>
            <w:tcBorders>
              <w:top w:val="nil"/>
              <w:left w:val="nil"/>
              <w:bottom w:val="single" w:sz="4" w:space="0" w:color="008089"/>
              <w:right w:val="nil"/>
            </w:tcBorders>
            <w:shd w:val="clear" w:color="000000" w:fill="F2F2F2"/>
            <w:vAlign w:val="center"/>
            <w:hideMark/>
          </w:tcPr>
          <w:p w14:paraId="744A5046" w14:textId="77777777" w:rsidR="00401088" w:rsidRPr="00624169" w:rsidRDefault="00401088" w:rsidP="00401088">
            <w:pPr>
              <w:suppressAutoHyphens w:val="0"/>
              <w:spacing w:before="0" w:after="0"/>
              <w:jc w:val="right"/>
              <w:rPr>
                <w:rFonts w:ascii="Calibri" w:eastAsia="Times New Roman" w:hAnsi="Calibri" w:cs="Calibri"/>
                <w:i/>
                <w:iCs/>
                <w:color w:val="auto"/>
                <w:sz w:val="18"/>
                <w:szCs w:val="18"/>
                <w:lang w:eastAsia="en-AU"/>
              </w:rPr>
            </w:pPr>
            <w:r w:rsidRPr="00624169">
              <w:rPr>
                <w:rFonts w:ascii="Calibri" w:eastAsia="Times New Roman" w:hAnsi="Calibri" w:cs="Calibri"/>
                <w:i/>
                <w:iCs/>
                <w:color w:val="auto"/>
                <w:sz w:val="18"/>
                <w:szCs w:val="18"/>
                <w:lang w:eastAsia="en-AU"/>
              </w:rPr>
              <w:t>nh</w:t>
            </w:r>
          </w:p>
        </w:tc>
        <w:tc>
          <w:tcPr>
            <w:tcW w:w="1016" w:type="dxa"/>
            <w:tcBorders>
              <w:top w:val="nil"/>
              <w:left w:val="nil"/>
              <w:bottom w:val="single" w:sz="4" w:space="0" w:color="008089"/>
              <w:right w:val="nil"/>
            </w:tcBorders>
            <w:shd w:val="clear" w:color="000000" w:fill="F2F2F2"/>
            <w:vAlign w:val="center"/>
            <w:hideMark/>
          </w:tcPr>
          <w:p w14:paraId="61F688FC" w14:textId="77777777" w:rsidR="00401088" w:rsidRPr="00624169" w:rsidRDefault="00401088" w:rsidP="00401088">
            <w:pPr>
              <w:suppressAutoHyphens w:val="0"/>
              <w:spacing w:before="0" w:after="0"/>
              <w:jc w:val="right"/>
              <w:rPr>
                <w:rFonts w:ascii="Calibri" w:eastAsia="Times New Roman" w:hAnsi="Calibri" w:cs="Calibri"/>
                <w:i/>
                <w:iCs/>
                <w:color w:val="auto"/>
                <w:sz w:val="18"/>
                <w:szCs w:val="18"/>
                <w:lang w:eastAsia="en-AU"/>
              </w:rPr>
            </w:pPr>
            <w:r w:rsidRPr="00624169">
              <w:rPr>
                <w:rFonts w:ascii="Calibri" w:eastAsia="Times New Roman" w:hAnsi="Calibri" w:cs="Calibri"/>
                <w:i/>
                <w:iCs/>
                <w:color w:val="auto"/>
                <w:sz w:val="18"/>
                <w:szCs w:val="18"/>
                <w:lang w:eastAsia="en-AU"/>
              </w:rPr>
              <w:t>nfta</w:t>
            </w:r>
          </w:p>
        </w:tc>
        <w:tc>
          <w:tcPr>
            <w:tcW w:w="1015" w:type="dxa"/>
            <w:tcBorders>
              <w:top w:val="nil"/>
              <w:left w:val="nil"/>
              <w:bottom w:val="single" w:sz="4" w:space="0" w:color="008089"/>
              <w:right w:val="nil"/>
            </w:tcBorders>
            <w:shd w:val="clear" w:color="000000" w:fill="F2F2F2"/>
            <w:vAlign w:val="center"/>
            <w:hideMark/>
          </w:tcPr>
          <w:p w14:paraId="49F2199E" w14:textId="77777777" w:rsidR="00401088" w:rsidRPr="00624169" w:rsidRDefault="00401088" w:rsidP="00401088">
            <w:pPr>
              <w:suppressAutoHyphens w:val="0"/>
              <w:spacing w:before="0" w:after="0"/>
              <w:jc w:val="right"/>
              <w:rPr>
                <w:rFonts w:ascii="Calibri" w:eastAsia="Times New Roman" w:hAnsi="Calibri" w:cs="Calibri"/>
                <w:i/>
                <w:iCs/>
                <w:color w:val="auto"/>
                <w:sz w:val="18"/>
                <w:szCs w:val="18"/>
                <w:lang w:eastAsia="en-AU"/>
              </w:rPr>
            </w:pPr>
            <w:r w:rsidRPr="00624169">
              <w:rPr>
                <w:rFonts w:ascii="Calibri" w:eastAsia="Times New Roman" w:hAnsi="Calibri" w:cs="Calibri"/>
                <w:i/>
                <w:iCs/>
                <w:color w:val="auto"/>
                <w:sz w:val="18"/>
                <w:szCs w:val="18"/>
                <w:lang w:eastAsia="en-AU"/>
              </w:rPr>
              <w:t>nh</w:t>
            </w:r>
          </w:p>
        </w:tc>
        <w:tc>
          <w:tcPr>
            <w:tcW w:w="1015" w:type="dxa"/>
            <w:tcBorders>
              <w:top w:val="nil"/>
              <w:left w:val="nil"/>
              <w:bottom w:val="single" w:sz="4" w:space="0" w:color="008089"/>
              <w:right w:val="nil"/>
            </w:tcBorders>
            <w:shd w:val="clear" w:color="000000" w:fill="F2F2F2"/>
            <w:vAlign w:val="center"/>
            <w:hideMark/>
          </w:tcPr>
          <w:p w14:paraId="67CD95B7" w14:textId="77777777" w:rsidR="00401088" w:rsidRPr="00624169" w:rsidRDefault="00401088" w:rsidP="00401088">
            <w:pPr>
              <w:suppressAutoHyphens w:val="0"/>
              <w:spacing w:before="0" w:after="0"/>
              <w:jc w:val="right"/>
              <w:rPr>
                <w:rFonts w:ascii="Calibri" w:eastAsia="Times New Roman" w:hAnsi="Calibri" w:cs="Calibri"/>
                <w:i/>
                <w:iCs/>
                <w:color w:val="auto"/>
                <w:sz w:val="18"/>
                <w:szCs w:val="18"/>
                <w:lang w:eastAsia="en-AU"/>
              </w:rPr>
            </w:pPr>
            <w:r w:rsidRPr="00624169">
              <w:rPr>
                <w:rFonts w:ascii="Calibri" w:eastAsia="Times New Roman" w:hAnsi="Calibri" w:cs="Calibri"/>
                <w:i/>
                <w:iCs/>
                <w:color w:val="auto"/>
                <w:sz w:val="18"/>
                <w:szCs w:val="18"/>
                <w:lang w:eastAsia="en-AU"/>
              </w:rPr>
              <w:t>nh</w:t>
            </w:r>
          </w:p>
        </w:tc>
        <w:tc>
          <w:tcPr>
            <w:tcW w:w="1016" w:type="dxa"/>
            <w:tcBorders>
              <w:top w:val="nil"/>
              <w:left w:val="nil"/>
              <w:bottom w:val="single" w:sz="4" w:space="0" w:color="008089"/>
              <w:right w:val="nil"/>
            </w:tcBorders>
            <w:shd w:val="clear" w:color="000000" w:fill="F2F2F2"/>
            <w:vAlign w:val="center"/>
            <w:hideMark/>
          </w:tcPr>
          <w:p w14:paraId="54F58D15" w14:textId="77777777" w:rsidR="00401088" w:rsidRPr="00624169" w:rsidRDefault="00401088" w:rsidP="00401088">
            <w:pPr>
              <w:suppressAutoHyphens w:val="0"/>
              <w:spacing w:before="0" w:after="0"/>
              <w:jc w:val="right"/>
              <w:rPr>
                <w:rFonts w:ascii="Calibri" w:eastAsia="Times New Roman" w:hAnsi="Calibri" w:cs="Calibri"/>
                <w:i/>
                <w:iCs/>
                <w:color w:val="auto"/>
                <w:sz w:val="18"/>
                <w:szCs w:val="18"/>
                <w:lang w:eastAsia="en-AU"/>
              </w:rPr>
            </w:pPr>
            <w:r w:rsidRPr="00624169">
              <w:rPr>
                <w:rFonts w:ascii="Calibri" w:eastAsia="Times New Roman" w:hAnsi="Calibri" w:cs="Calibri"/>
                <w:i/>
                <w:iCs/>
                <w:color w:val="auto"/>
                <w:sz w:val="18"/>
                <w:szCs w:val="18"/>
                <w:lang w:eastAsia="en-AU"/>
              </w:rPr>
              <w:t>nh</w:t>
            </w:r>
          </w:p>
        </w:tc>
        <w:tc>
          <w:tcPr>
            <w:tcW w:w="1015" w:type="dxa"/>
            <w:tcBorders>
              <w:top w:val="nil"/>
              <w:left w:val="nil"/>
              <w:bottom w:val="single" w:sz="4" w:space="0" w:color="008089"/>
              <w:right w:val="nil"/>
            </w:tcBorders>
            <w:shd w:val="clear" w:color="000000" w:fill="F2F2F2"/>
            <w:vAlign w:val="center"/>
            <w:hideMark/>
          </w:tcPr>
          <w:p w14:paraId="6B324547" w14:textId="77777777" w:rsidR="00401088" w:rsidRPr="00624169" w:rsidRDefault="00401088" w:rsidP="00401088">
            <w:pPr>
              <w:suppressAutoHyphens w:val="0"/>
              <w:spacing w:before="0" w:after="0"/>
              <w:jc w:val="right"/>
              <w:rPr>
                <w:rFonts w:ascii="Calibri" w:eastAsia="Times New Roman" w:hAnsi="Calibri" w:cs="Calibri"/>
                <w:i/>
                <w:iCs/>
                <w:color w:val="auto"/>
                <w:sz w:val="18"/>
                <w:szCs w:val="18"/>
                <w:lang w:eastAsia="en-AU"/>
              </w:rPr>
            </w:pPr>
            <w:r w:rsidRPr="00624169">
              <w:rPr>
                <w:rFonts w:ascii="Calibri" w:eastAsia="Times New Roman" w:hAnsi="Calibri" w:cs="Calibri"/>
                <w:i/>
                <w:iCs/>
                <w:color w:val="auto"/>
                <w:sz w:val="18"/>
                <w:szCs w:val="18"/>
                <w:lang w:eastAsia="en-AU"/>
              </w:rPr>
              <w:t>nfta</w:t>
            </w:r>
          </w:p>
        </w:tc>
        <w:tc>
          <w:tcPr>
            <w:tcW w:w="1016" w:type="dxa"/>
            <w:tcBorders>
              <w:top w:val="nil"/>
              <w:left w:val="nil"/>
              <w:bottom w:val="single" w:sz="4" w:space="0" w:color="008089"/>
              <w:right w:val="single" w:sz="8" w:space="0" w:color="008089"/>
            </w:tcBorders>
            <w:shd w:val="clear" w:color="000000" w:fill="F2F2F2"/>
            <w:vAlign w:val="center"/>
            <w:hideMark/>
          </w:tcPr>
          <w:p w14:paraId="0298AF28" w14:textId="77777777" w:rsidR="00401088" w:rsidRPr="00624169" w:rsidRDefault="00401088" w:rsidP="00401088">
            <w:pPr>
              <w:suppressAutoHyphens w:val="0"/>
              <w:spacing w:before="0" w:after="0"/>
              <w:jc w:val="right"/>
              <w:rPr>
                <w:rFonts w:ascii="Calibri" w:eastAsia="Times New Roman" w:hAnsi="Calibri" w:cs="Calibri"/>
                <w:i/>
                <w:iCs/>
                <w:color w:val="auto"/>
                <w:sz w:val="18"/>
                <w:szCs w:val="18"/>
                <w:lang w:eastAsia="en-AU"/>
              </w:rPr>
            </w:pPr>
            <w:r w:rsidRPr="00624169">
              <w:rPr>
                <w:rFonts w:ascii="Calibri" w:eastAsia="Times New Roman" w:hAnsi="Calibri" w:cs="Calibri"/>
                <w:i/>
                <w:iCs/>
                <w:color w:val="auto"/>
                <w:sz w:val="18"/>
                <w:szCs w:val="18"/>
                <w:lang w:eastAsia="en-AU"/>
              </w:rPr>
              <w:t>nh</w:t>
            </w:r>
          </w:p>
        </w:tc>
      </w:tr>
      <w:tr w:rsidR="00624169" w:rsidRPr="00401088" w14:paraId="51BA943E" w14:textId="77777777" w:rsidTr="00624169">
        <w:trPr>
          <w:trHeight w:val="290"/>
          <w:jc w:val="center"/>
        </w:trPr>
        <w:tc>
          <w:tcPr>
            <w:tcW w:w="1502" w:type="dxa"/>
            <w:vMerge/>
            <w:tcBorders>
              <w:top w:val="nil"/>
              <w:left w:val="single" w:sz="8" w:space="0" w:color="008089"/>
              <w:bottom w:val="single" w:sz="8" w:space="0" w:color="008089"/>
              <w:right w:val="nil"/>
            </w:tcBorders>
            <w:vAlign w:val="center"/>
            <w:hideMark/>
          </w:tcPr>
          <w:p w14:paraId="092A887E" w14:textId="77777777" w:rsidR="00401088" w:rsidRPr="00401088" w:rsidRDefault="00401088" w:rsidP="00401088">
            <w:pPr>
              <w:suppressAutoHyphens w:val="0"/>
              <w:spacing w:before="0" w:after="0"/>
              <w:rPr>
                <w:rFonts w:ascii="Calibri" w:eastAsia="Times New Roman" w:hAnsi="Calibri" w:cs="Calibri"/>
                <w:b/>
                <w:bCs/>
                <w:color w:val="000000"/>
                <w:lang w:eastAsia="en-AU"/>
              </w:rPr>
            </w:pPr>
          </w:p>
        </w:tc>
        <w:tc>
          <w:tcPr>
            <w:tcW w:w="3308" w:type="dxa"/>
            <w:tcBorders>
              <w:top w:val="nil"/>
              <w:left w:val="nil"/>
              <w:bottom w:val="single" w:sz="4" w:space="0" w:color="008089"/>
              <w:right w:val="nil"/>
            </w:tcBorders>
            <w:shd w:val="clear" w:color="000000" w:fill="F2F2F2"/>
            <w:vAlign w:val="center"/>
            <w:hideMark/>
          </w:tcPr>
          <w:p w14:paraId="3FC30DA9" w14:textId="77777777" w:rsidR="00401088" w:rsidRPr="00DB204C" w:rsidRDefault="00401088" w:rsidP="00401088">
            <w:pPr>
              <w:suppressAutoHyphens w:val="0"/>
              <w:spacing w:before="0" w:after="0"/>
              <w:rPr>
                <w:rFonts w:ascii="Calibri" w:eastAsia="Times New Roman" w:hAnsi="Calibri" w:cs="Calibri"/>
                <w:color w:val="auto"/>
                <w:sz w:val="18"/>
                <w:szCs w:val="18"/>
                <w:lang w:eastAsia="en-AU"/>
              </w:rPr>
            </w:pPr>
            <w:r w:rsidRPr="00DB204C">
              <w:rPr>
                <w:rFonts w:ascii="Calibri" w:eastAsia="Times New Roman" w:hAnsi="Calibri" w:cs="Calibri"/>
                <w:color w:val="auto"/>
                <w:sz w:val="18"/>
                <w:szCs w:val="18"/>
                <w:lang w:eastAsia="en-AU"/>
              </w:rPr>
              <w:t>Rugby World Cup Grand Final (Women)</w:t>
            </w:r>
          </w:p>
        </w:tc>
        <w:tc>
          <w:tcPr>
            <w:tcW w:w="1843" w:type="dxa"/>
            <w:tcBorders>
              <w:top w:val="nil"/>
              <w:left w:val="nil"/>
              <w:bottom w:val="single" w:sz="4" w:space="0" w:color="008089"/>
              <w:right w:val="nil"/>
            </w:tcBorders>
            <w:shd w:val="clear" w:color="000000" w:fill="F2F2F2"/>
            <w:vAlign w:val="center"/>
            <w:hideMark/>
          </w:tcPr>
          <w:p w14:paraId="38EFD59A" w14:textId="77777777" w:rsidR="00401088" w:rsidRPr="00F85D80" w:rsidRDefault="00401088" w:rsidP="00401088">
            <w:pPr>
              <w:suppressAutoHyphens w:val="0"/>
              <w:spacing w:before="0" w:after="0"/>
              <w:rPr>
                <w:rFonts w:ascii="Calibri" w:eastAsia="Times New Roman" w:hAnsi="Calibri" w:cs="Calibri"/>
                <w:i/>
                <w:color w:val="auto"/>
                <w:sz w:val="16"/>
                <w:szCs w:val="16"/>
                <w:lang w:eastAsia="en-AU"/>
              </w:rPr>
            </w:pPr>
            <w:r w:rsidRPr="00F85D80">
              <w:rPr>
                <w:rFonts w:ascii="Calibri" w:eastAsia="Times New Roman" w:hAnsi="Calibri" w:cs="Calibri"/>
                <w:i/>
                <w:color w:val="auto"/>
                <w:sz w:val="16"/>
                <w:szCs w:val="16"/>
                <w:lang w:eastAsia="en-AU"/>
              </w:rPr>
              <w:t>nda</w:t>
            </w:r>
          </w:p>
        </w:tc>
        <w:tc>
          <w:tcPr>
            <w:tcW w:w="1015" w:type="dxa"/>
            <w:tcBorders>
              <w:top w:val="nil"/>
              <w:left w:val="nil"/>
              <w:bottom w:val="single" w:sz="4" w:space="0" w:color="008089"/>
              <w:right w:val="nil"/>
            </w:tcBorders>
            <w:shd w:val="clear" w:color="000000" w:fill="F2F2F2"/>
            <w:vAlign w:val="center"/>
            <w:hideMark/>
          </w:tcPr>
          <w:p w14:paraId="63E23A2D" w14:textId="77777777" w:rsidR="00401088" w:rsidRPr="00624169" w:rsidRDefault="00401088" w:rsidP="00401088">
            <w:pPr>
              <w:suppressAutoHyphens w:val="0"/>
              <w:spacing w:before="0" w:after="0"/>
              <w:jc w:val="right"/>
              <w:rPr>
                <w:rFonts w:ascii="Calibri" w:eastAsia="Times New Roman" w:hAnsi="Calibri" w:cs="Calibri"/>
                <w:i/>
                <w:iCs/>
                <w:color w:val="auto"/>
                <w:sz w:val="18"/>
                <w:szCs w:val="18"/>
                <w:lang w:eastAsia="en-AU"/>
              </w:rPr>
            </w:pPr>
            <w:r w:rsidRPr="00624169">
              <w:rPr>
                <w:rFonts w:ascii="Calibri" w:eastAsia="Times New Roman" w:hAnsi="Calibri" w:cs="Calibri"/>
                <w:i/>
                <w:iCs/>
                <w:color w:val="auto"/>
                <w:sz w:val="18"/>
                <w:szCs w:val="18"/>
                <w:lang w:eastAsia="en-AU"/>
              </w:rPr>
              <w:t>nh</w:t>
            </w:r>
          </w:p>
        </w:tc>
        <w:tc>
          <w:tcPr>
            <w:tcW w:w="1015" w:type="dxa"/>
            <w:tcBorders>
              <w:top w:val="nil"/>
              <w:left w:val="nil"/>
              <w:bottom w:val="single" w:sz="4" w:space="0" w:color="008089"/>
              <w:right w:val="nil"/>
            </w:tcBorders>
            <w:shd w:val="clear" w:color="000000" w:fill="F2F2F2"/>
            <w:vAlign w:val="center"/>
            <w:hideMark/>
          </w:tcPr>
          <w:p w14:paraId="78DECA41" w14:textId="77777777" w:rsidR="00401088" w:rsidRPr="00624169" w:rsidRDefault="00401088" w:rsidP="00401088">
            <w:pPr>
              <w:suppressAutoHyphens w:val="0"/>
              <w:spacing w:before="0" w:after="0"/>
              <w:jc w:val="right"/>
              <w:rPr>
                <w:rFonts w:ascii="Calibri" w:eastAsia="Times New Roman" w:hAnsi="Calibri" w:cs="Calibri"/>
                <w:i/>
                <w:iCs/>
                <w:color w:val="auto"/>
                <w:sz w:val="18"/>
                <w:szCs w:val="18"/>
                <w:lang w:eastAsia="en-AU"/>
              </w:rPr>
            </w:pPr>
            <w:r w:rsidRPr="00624169">
              <w:rPr>
                <w:rFonts w:ascii="Calibri" w:eastAsia="Times New Roman" w:hAnsi="Calibri" w:cs="Calibri"/>
                <w:i/>
                <w:iCs/>
                <w:color w:val="auto"/>
                <w:sz w:val="18"/>
                <w:szCs w:val="18"/>
                <w:lang w:eastAsia="en-AU"/>
              </w:rPr>
              <w:t>nh</w:t>
            </w:r>
          </w:p>
        </w:tc>
        <w:tc>
          <w:tcPr>
            <w:tcW w:w="1016" w:type="dxa"/>
            <w:tcBorders>
              <w:top w:val="nil"/>
              <w:left w:val="nil"/>
              <w:bottom w:val="single" w:sz="4" w:space="0" w:color="008089"/>
              <w:right w:val="nil"/>
            </w:tcBorders>
            <w:shd w:val="clear" w:color="000000" w:fill="F2F2F2"/>
            <w:vAlign w:val="center"/>
            <w:hideMark/>
          </w:tcPr>
          <w:p w14:paraId="16020DC3" w14:textId="77777777" w:rsidR="00401088" w:rsidRPr="00624169" w:rsidRDefault="00401088" w:rsidP="00401088">
            <w:pPr>
              <w:suppressAutoHyphens w:val="0"/>
              <w:spacing w:before="0" w:after="0"/>
              <w:jc w:val="right"/>
              <w:rPr>
                <w:rFonts w:ascii="Calibri" w:eastAsia="Times New Roman" w:hAnsi="Calibri" w:cs="Calibri"/>
                <w:i/>
                <w:iCs/>
                <w:color w:val="auto"/>
                <w:sz w:val="18"/>
                <w:szCs w:val="18"/>
                <w:lang w:eastAsia="en-AU"/>
              </w:rPr>
            </w:pPr>
            <w:r w:rsidRPr="00624169">
              <w:rPr>
                <w:rFonts w:ascii="Calibri" w:eastAsia="Times New Roman" w:hAnsi="Calibri" w:cs="Calibri"/>
                <w:i/>
                <w:iCs/>
                <w:color w:val="auto"/>
                <w:sz w:val="18"/>
                <w:szCs w:val="18"/>
                <w:lang w:eastAsia="en-AU"/>
              </w:rPr>
              <w:t>nfta</w:t>
            </w:r>
          </w:p>
        </w:tc>
        <w:tc>
          <w:tcPr>
            <w:tcW w:w="1015" w:type="dxa"/>
            <w:tcBorders>
              <w:top w:val="nil"/>
              <w:left w:val="nil"/>
              <w:bottom w:val="single" w:sz="4" w:space="0" w:color="008089"/>
              <w:right w:val="nil"/>
            </w:tcBorders>
            <w:shd w:val="clear" w:color="000000" w:fill="F2F2F2"/>
            <w:vAlign w:val="center"/>
            <w:hideMark/>
          </w:tcPr>
          <w:p w14:paraId="67D6A5EA" w14:textId="77777777" w:rsidR="00401088" w:rsidRPr="00624169" w:rsidRDefault="00401088" w:rsidP="00401088">
            <w:pPr>
              <w:suppressAutoHyphens w:val="0"/>
              <w:spacing w:before="0" w:after="0"/>
              <w:jc w:val="right"/>
              <w:rPr>
                <w:rFonts w:ascii="Calibri" w:eastAsia="Times New Roman" w:hAnsi="Calibri" w:cs="Calibri"/>
                <w:i/>
                <w:iCs/>
                <w:color w:val="auto"/>
                <w:sz w:val="18"/>
                <w:szCs w:val="18"/>
                <w:lang w:eastAsia="en-AU"/>
              </w:rPr>
            </w:pPr>
            <w:r w:rsidRPr="00624169">
              <w:rPr>
                <w:rFonts w:ascii="Calibri" w:eastAsia="Times New Roman" w:hAnsi="Calibri" w:cs="Calibri"/>
                <w:i/>
                <w:iCs/>
                <w:color w:val="auto"/>
                <w:sz w:val="18"/>
                <w:szCs w:val="18"/>
                <w:lang w:eastAsia="en-AU"/>
              </w:rPr>
              <w:t>nh</w:t>
            </w:r>
          </w:p>
        </w:tc>
        <w:tc>
          <w:tcPr>
            <w:tcW w:w="1015" w:type="dxa"/>
            <w:tcBorders>
              <w:top w:val="nil"/>
              <w:left w:val="nil"/>
              <w:bottom w:val="single" w:sz="4" w:space="0" w:color="008089"/>
              <w:right w:val="nil"/>
            </w:tcBorders>
            <w:shd w:val="clear" w:color="000000" w:fill="F2F2F2"/>
            <w:vAlign w:val="center"/>
            <w:hideMark/>
          </w:tcPr>
          <w:p w14:paraId="30A7E510" w14:textId="77777777" w:rsidR="00401088" w:rsidRPr="00624169" w:rsidRDefault="00401088" w:rsidP="00401088">
            <w:pPr>
              <w:suppressAutoHyphens w:val="0"/>
              <w:spacing w:before="0" w:after="0"/>
              <w:jc w:val="right"/>
              <w:rPr>
                <w:rFonts w:ascii="Calibri" w:eastAsia="Times New Roman" w:hAnsi="Calibri" w:cs="Calibri"/>
                <w:i/>
                <w:iCs/>
                <w:color w:val="auto"/>
                <w:sz w:val="18"/>
                <w:szCs w:val="18"/>
                <w:lang w:eastAsia="en-AU"/>
              </w:rPr>
            </w:pPr>
            <w:r w:rsidRPr="00624169">
              <w:rPr>
                <w:rFonts w:ascii="Calibri" w:eastAsia="Times New Roman" w:hAnsi="Calibri" w:cs="Calibri"/>
                <w:i/>
                <w:iCs/>
                <w:color w:val="auto"/>
                <w:sz w:val="18"/>
                <w:szCs w:val="18"/>
                <w:lang w:eastAsia="en-AU"/>
              </w:rPr>
              <w:t>nh</w:t>
            </w:r>
          </w:p>
        </w:tc>
        <w:tc>
          <w:tcPr>
            <w:tcW w:w="1016" w:type="dxa"/>
            <w:tcBorders>
              <w:top w:val="nil"/>
              <w:left w:val="nil"/>
              <w:bottom w:val="single" w:sz="4" w:space="0" w:color="008089"/>
              <w:right w:val="nil"/>
            </w:tcBorders>
            <w:shd w:val="clear" w:color="000000" w:fill="F2F2F2"/>
            <w:vAlign w:val="center"/>
            <w:hideMark/>
          </w:tcPr>
          <w:p w14:paraId="340B7599" w14:textId="77777777" w:rsidR="00401088" w:rsidRPr="00624169" w:rsidRDefault="00401088" w:rsidP="00401088">
            <w:pPr>
              <w:suppressAutoHyphens w:val="0"/>
              <w:spacing w:before="0" w:after="0"/>
              <w:jc w:val="right"/>
              <w:rPr>
                <w:rFonts w:ascii="Calibri" w:eastAsia="Times New Roman" w:hAnsi="Calibri" w:cs="Calibri"/>
                <w:i/>
                <w:iCs/>
                <w:color w:val="auto"/>
                <w:sz w:val="18"/>
                <w:szCs w:val="18"/>
                <w:lang w:eastAsia="en-AU"/>
              </w:rPr>
            </w:pPr>
            <w:r w:rsidRPr="00624169">
              <w:rPr>
                <w:rFonts w:ascii="Calibri" w:eastAsia="Times New Roman" w:hAnsi="Calibri" w:cs="Calibri"/>
                <w:i/>
                <w:iCs/>
                <w:color w:val="auto"/>
                <w:sz w:val="18"/>
                <w:szCs w:val="18"/>
                <w:lang w:eastAsia="en-AU"/>
              </w:rPr>
              <w:t>nh</w:t>
            </w:r>
          </w:p>
        </w:tc>
        <w:tc>
          <w:tcPr>
            <w:tcW w:w="1015" w:type="dxa"/>
            <w:tcBorders>
              <w:top w:val="nil"/>
              <w:left w:val="nil"/>
              <w:bottom w:val="single" w:sz="4" w:space="0" w:color="008089"/>
              <w:right w:val="nil"/>
            </w:tcBorders>
            <w:shd w:val="clear" w:color="000000" w:fill="F2F2F2"/>
            <w:vAlign w:val="center"/>
            <w:hideMark/>
          </w:tcPr>
          <w:p w14:paraId="36AB3FCE" w14:textId="77777777" w:rsidR="00401088" w:rsidRPr="00624169" w:rsidRDefault="00401088" w:rsidP="00401088">
            <w:pPr>
              <w:suppressAutoHyphens w:val="0"/>
              <w:spacing w:before="0" w:after="0"/>
              <w:jc w:val="right"/>
              <w:rPr>
                <w:rFonts w:ascii="Calibri" w:eastAsia="Times New Roman" w:hAnsi="Calibri" w:cs="Calibri"/>
                <w:i/>
                <w:iCs/>
                <w:color w:val="auto"/>
                <w:sz w:val="18"/>
                <w:szCs w:val="18"/>
                <w:lang w:eastAsia="en-AU"/>
              </w:rPr>
            </w:pPr>
            <w:r w:rsidRPr="00624169">
              <w:rPr>
                <w:rFonts w:ascii="Calibri" w:eastAsia="Times New Roman" w:hAnsi="Calibri" w:cs="Calibri"/>
                <w:i/>
                <w:iCs/>
                <w:color w:val="auto"/>
                <w:sz w:val="18"/>
                <w:szCs w:val="18"/>
                <w:lang w:eastAsia="en-AU"/>
              </w:rPr>
              <w:t>nfta</w:t>
            </w:r>
          </w:p>
        </w:tc>
        <w:tc>
          <w:tcPr>
            <w:tcW w:w="1016" w:type="dxa"/>
            <w:tcBorders>
              <w:top w:val="nil"/>
              <w:left w:val="nil"/>
              <w:bottom w:val="single" w:sz="4" w:space="0" w:color="008089"/>
              <w:right w:val="single" w:sz="8" w:space="0" w:color="008089"/>
            </w:tcBorders>
            <w:shd w:val="clear" w:color="000000" w:fill="F2F2F2"/>
            <w:vAlign w:val="center"/>
            <w:hideMark/>
          </w:tcPr>
          <w:p w14:paraId="62BB97C7" w14:textId="77777777" w:rsidR="00401088" w:rsidRPr="00624169" w:rsidRDefault="00401088" w:rsidP="00401088">
            <w:pPr>
              <w:suppressAutoHyphens w:val="0"/>
              <w:spacing w:before="0" w:after="0"/>
              <w:jc w:val="right"/>
              <w:rPr>
                <w:rFonts w:ascii="Calibri" w:eastAsia="Times New Roman" w:hAnsi="Calibri" w:cs="Calibri"/>
                <w:i/>
                <w:iCs/>
                <w:color w:val="auto"/>
                <w:sz w:val="18"/>
                <w:szCs w:val="18"/>
                <w:lang w:eastAsia="en-AU"/>
              </w:rPr>
            </w:pPr>
            <w:r w:rsidRPr="00624169">
              <w:rPr>
                <w:rFonts w:ascii="Calibri" w:eastAsia="Times New Roman" w:hAnsi="Calibri" w:cs="Calibri"/>
                <w:i/>
                <w:iCs/>
                <w:color w:val="auto"/>
                <w:sz w:val="18"/>
                <w:szCs w:val="18"/>
                <w:lang w:eastAsia="en-AU"/>
              </w:rPr>
              <w:t>nh</w:t>
            </w:r>
          </w:p>
        </w:tc>
      </w:tr>
      <w:tr w:rsidR="00624169" w:rsidRPr="00401088" w14:paraId="6B1C6D5D" w14:textId="77777777" w:rsidTr="00624169">
        <w:trPr>
          <w:trHeight w:val="290"/>
          <w:jc w:val="center"/>
        </w:trPr>
        <w:tc>
          <w:tcPr>
            <w:tcW w:w="1502" w:type="dxa"/>
            <w:vMerge/>
            <w:tcBorders>
              <w:top w:val="nil"/>
              <w:left w:val="single" w:sz="8" w:space="0" w:color="008089"/>
              <w:bottom w:val="single" w:sz="8" w:space="0" w:color="008089"/>
              <w:right w:val="nil"/>
            </w:tcBorders>
            <w:vAlign w:val="center"/>
            <w:hideMark/>
          </w:tcPr>
          <w:p w14:paraId="7DD5FE63" w14:textId="77777777" w:rsidR="00401088" w:rsidRPr="00401088" w:rsidRDefault="00401088" w:rsidP="00401088">
            <w:pPr>
              <w:suppressAutoHyphens w:val="0"/>
              <w:spacing w:before="0" w:after="0"/>
              <w:rPr>
                <w:rFonts w:ascii="Calibri" w:eastAsia="Times New Roman" w:hAnsi="Calibri" w:cs="Calibri"/>
                <w:b/>
                <w:bCs/>
                <w:color w:val="000000"/>
                <w:lang w:eastAsia="en-AU"/>
              </w:rPr>
            </w:pPr>
          </w:p>
        </w:tc>
        <w:tc>
          <w:tcPr>
            <w:tcW w:w="3308" w:type="dxa"/>
            <w:tcBorders>
              <w:top w:val="nil"/>
              <w:left w:val="nil"/>
              <w:bottom w:val="single" w:sz="4" w:space="0" w:color="008089"/>
              <w:right w:val="nil"/>
            </w:tcBorders>
            <w:shd w:val="clear" w:color="000000" w:fill="F2F2F2"/>
            <w:vAlign w:val="center"/>
            <w:hideMark/>
          </w:tcPr>
          <w:p w14:paraId="158D2370" w14:textId="77777777" w:rsidR="00401088" w:rsidRPr="00DB204C" w:rsidRDefault="00401088" w:rsidP="00401088">
            <w:pPr>
              <w:suppressAutoHyphens w:val="0"/>
              <w:spacing w:before="0" w:after="0"/>
              <w:rPr>
                <w:rFonts w:ascii="Calibri" w:eastAsia="Times New Roman" w:hAnsi="Calibri" w:cs="Calibri"/>
                <w:color w:val="auto"/>
                <w:sz w:val="18"/>
                <w:szCs w:val="18"/>
                <w:lang w:eastAsia="en-AU"/>
              </w:rPr>
            </w:pPr>
            <w:r w:rsidRPr="00DB204C">
              <w:rPr>
                <w:rFonts w:ascii="Calibri" w:eastAsia="Times New Roman" w:hAnsi="Calibri" w:cs="Calibri"/>
                <w:color w:val="auto"/>
                <w:sz w:val="18"/>
                <w:szCs w:val="18"/>
                <w:lang w:eastAsia="en-AU"/>
              </w:rPr>
              <w:t>Super Rugby AU</w:t>
            </w:r>
          </w:p>
        </w:tc>
        <w:tc>
          <w:tcPr>
            <w:tcW w:w="1843" w:type="dxa"/>
            <w:tcBorders>
              <w:top w:val="nil"/>
              <w:left w:val="nil"/>
              <w:bottom w:val="single" w:sz="4" w:space="0" w:color="008089"/>
              <w:right w:val="nil"/>
            </w:tcBorders>
            <w:shd w:val="clear" w:color="000000" w:fill="F2F2F2"/>
            <w:vAlign w:val="center"/>
            <w:hideMark/>
          </w:tcPr>
          <w:p w14:paraId="629542BF" w14:textId="77777777" w:rsidR="00401088" w:rsidRPr="00F85D80" w:rsidRDefault="00401088" w:rsidP="00401088">
            <w:pPr>
              <w:suppressAutoHyphens w:val="0"/>
              <w:spacing w:before="0" w:after="0"/>
              <w:rPr>
                <w:rFonts w:ascii="Calibri" w:eastAsia="Times New Roman" w:hAnsi="Calibri" w:cs="Calibri"/>
                <w:color w:val="000000"/>
                <w:sz w:val="16"/>
                <w:szCs w:val="16"/>
                <w:lang w:eastAsia="en-AU"/>
              </w:rPr>
            </w:pPr>
            <w:r w:rsidRPr="00F85D80">
              <w:rPr>
                <w:rFonts w:ascii="Calibri" w:eastAsia="Times New Roman" w:hAnsi="Calibri" w:cs="Calibri"/>
                <w:color w:val="000000"/>
                <w:sz w:val="16"/>
                <w:szCs w:val="16"/>
                <w:lang w:eastAsia="en-AU"/>
              </w:rPr>
              <w:t>All matches average</w:t>
            </w:r>
          </w:p>
        </w:tc>
        <w:tc>
          <w:tcPr>
            <w:tcW w:w="1015" w:type="dxa"/>
            <w:tcBorders>
              <w:top w:val="nil"/>
              <w:left w:val="nil"/>
              <w:bottom w:val="single" w:sz="4" w:space="0" w:color="008089"/>
              <w:right w:val="nil"/>
            </w:tcBorders>
            <w:shd w:val="clear" w:color="000000" w:fill="F2F2F2"/>
            <w:vAlign w:val="center"/>
            <w:hideMark/>
          </w:tcPr>
          <w:p w14:paraId="132E8908" w14:textId="77777777" w:rsidR="00401088" w:rsidRPr="00624169" w:rsidRDefault="00401088" w:rsidP="00401088">
            <w:pPr>
              <w:suppressAutoHyphens w:val="0"/>
              <w:spacing w:before="0" w:after="0"/>
              <w:jc w:val="right"/>
              <w:rPr>
                <w:rFonts w:ascii="Calibri" w:eastAsia="Times New Roman" w:hAnsi="Calibri" w:cs="Calibri"/>
                <w:i/>
                <w:iCs/>
                <w:color w:val="auto"/>
                <w:sz w:val="18"/>
                <w:szCs w:val="18"/>
                <w:lang w:eastAsia="en-AU"/>
              </w:rPr>
            </w:pPr>
            <w:r w:rsidRPr="00624169">
              <w:rPr>
                <w:rFonts w:ascii="Calibri" w:eastAsia="Times New Roman" w:hAnsi="Calibri" w:cs="Calibri"/>
                <w:i/>
                <w:iCs/>
                <w:color w:val="auto"/>
                <w:sz w:val="18"/>
                <w:szCs w:val="18"/>
                <w:lang w:eastAsia="en-AU"/>
              </w:rPr>
              <w:t>nda</w:t>
            </w:r>
          </w:p>
        </w:tc>
        <w:tc>
          <w:tcPr>
            <w:tcW w:w="1015" w:type="dxa"/>
            <w:tcBorders>
              <w:top w:val="nil"/>
              <w:left w:val="nil"/>
              <w:bottom w:val="single" w:sz="4" w:space="0" w:color="008089"/>
              <w:right w:val="nil"/>
            </w:tcBorders>
            <w:shd w:val="clear" w:color="000000" w:fill="F2F2F2"/>
            <w:vAlign w:val="center"/>
            <w:hideMark/>
          </w:tcPr>
          <w:p w14:paraId="7B4BC41B" w14:textId="77777777" w:rsidR="00401088" w:rsidRPr="00624169" w:rsidRDefault="00401088" w:rsidP="00401088">
            <w:pPr>
              <w:suppressAutoHyphens w:val="0"/>
              <w:spacing w:before="0" w:after="0"/>
              <w:jc w:val="right"/>
              <w:rPr>
                <w:rFonts w:ascii="Calibri" w:eastAsia="Times New Roman" w:hAnsi="Calibri" w:cs="Calibri"/>
                <w:i/>
                <w:iCs/>
                <w:color w:val="auto"/>
                <w:sz w:val="18"/>
                <w:szCs w:val="18"/>
                <w:lang w:eastAsia="en-AU"/>
              </w:rPr>
            </w:pPr>
            <w:r w:rsidRPr="00624169">
              <w:rPr>
                <w:rFonts w:ascii="Calibri" w:eastAsia="Times New Roman" w:hAnsi="Calibri" w:cs="Calibri"/>
                <w:i/>
                <w:iCs/>
                <w:color w:val="auto"/>
                <w:sz w:val="18"/>
                <w:szCs w:val="18"/>
                <w:lang w:eastAsia="en-AU"/>
              </w:rPr>
              <w:t>nda</w:t>
            </w:r>
          </w:p>
        </w:tc>
        <w:tc>
          <w:tcPr>
            <w:tcW w:w="1016" w:type="dxa"/>
            <w:tcBorders>
              <w:top w:val="nil"/>
              <w:left w:val="nil"/>
              <w:bottom w:val="single" w:sz="4" w:space="0" w:color="008089"/>
              <w:right w:val="nil"/>
            </w:tcBorders>
            <w:shd w:val="clear" w:color="000000" w:fill="F2F2F2"/>
            <w:vAlign w:val="center"/>
            <w:hideMark/>
          </w:tcPr>
          <w:p w14:paraId="24AF3599" w14:textId="77777777" w:rsidR="00401088" w:rsidRPr="00624169" w:rsidRDefault="00401088" w:rsidP="00401088">
            <w:pPr>
              <w:suppressAutoHyphens w:val="0"/>
              <w:spacing w:before="0" w:after="0"/>
              <w:jc w:val="right"/>
              <w:rPr>
                <w:rFonts w:ascii="Calibri" w:eastAsia="Times New Roman" w:hAnsi="Calibri" w:cs="Calibri"/>
                <w:i/>
                <w:iCs/>
                <w:color w:val="auto"/>
                <w:sz w:val="18"/>
                <w:szCs w:val="18"/>
                <w:lang w:eastAsia="en-AU"/>
              </w:rPr>
            </w:pPr>
            <w:r w:rsidRPr="00624169">
              <w:rPr>
                <w:rFonts w:ascii="Calibri" w:eastAsia="Times New Roman" w:hAnsi="Calibri" w:cs="Calibri"/>
                <w:i/>
                <w:iCs/>
                <w:color w:val="auto"/>
                <w:sz w:val="18"/>
                <w:szCs w:val="18"/>
                <w:lang w:eastAsia="en-AU"/>
              </w:rPr>
              <w:t>nda</w:t>
            </w:r>
          </w:p>
        </w:tc>
        <w:tc>
          <w:tcPr>
            <w:tcW w:w="1015" w:type="dxa"/>
            <w:tcBorders>
              <w:top w:val="nil"/>
              <w:left w:val="nil"/>
              <w:bottom w:val="single" w:sz="4" w:space="0" w:color="008089"/>
              <w:right w:val="nil"/>
            </w:tcBorders>
            <w:shd w:val="clear" w:color="000000" w:fill="F2F2F2"/>
            <w:vAlign w:val="center"/>
            <w:hideMark/>
          </w:tcPr>
          <w:p w14:paraId="70A7F6BC" w14:textId="77777777" w:rsidR="00401088" w:rsidRPr="00624169" w:rsidRDefault="00401088" w:rsidP="00401088">
            <w:pPr>
              <w:suppressAutoHyphens w:val="0"/>
              <w:spacing w:before="0" w:after="0"/>
              <w:jc w:val="right"/>
              <w:rPr>
                <w:rFonts w:ascii="Calibri" w:eastAsia="Times New Roman" w:hAnsi="Calibri" w:cs="Calibri"/>
                <w:i/>
                <w:iCs/>
                <w:color w:val="auto"/>
                <w:sz w:val="18"/>
                <w:szCs w:val="18"/>
                <w:lang w:eastAsia="en-AU"/>
              </w:rPr>
            </w:pPr>
            <w:r w:rsidRPr="00624169">
              <w:rPr>
                <w:rFonts w:ascii="Calibri" w:eastAsia="Times New Roman" w:hAnsi="Calibri" w:cs="Calibri"/>
                <w:i/>
                <w:iCs/>
                <w:color w:val="auto"/>
                <w:sz w:val="18"/>
                <w:szCs w:val="18"/>
                <w:lang w:eastAsia="en-AU"/>
              </w:rPr>
              <w:t>nda</w:t>
            </w:r>
          </w:p>
        </w:tc>
        <w:tc>
          <w:tcPr>
            <w:tcW w:w="1015" w:type="dxa"/>
            <w:tcBorders>
              <w:top w:val="nil"/>
              <w:left w:val="nil"/>
              <w:bottom w:val="single" w:sz="4" w:space="0" w:color="008089"/>
              <w:right w:val="nil"/>
            </w:tcBorders>
            <w:shd w:val="clear" w:color="000000" w:fill="F2F2F2"/>
            <w:vAlign w:val="center"/>
            <w:hideMark/>
          </w:tcPr>
          <w:p w14:paraId="76B1876D" w14:textId="77777777" w:rsidR="00401088" w:rsidRPr="00624169" w:rsidRDefault="00401088" w:rsidP="00401088">
            <w:pPr>
              <w:suppressAutoHyphens w:val="0"/>
              <w:spacing w:before="0" w:after="0"/>
              <w:jc w:val="right"/>
              <w:rPr>
                <w:rFonts w:ascii="Calibri" w:eastAsia="Times New Roman" w:hAnsi="Calibri" w:cs="Calibri"/>
                <w:i/>
                <w:iCs/>
                <w:color w:val="auto"/>
                <w:sz w:val="18"/>
                <w:szCs w:val="18"/>
                <w:lang w:eastAsia="en-AU"/>
              </w:rPr>
            </w:pPr>
            <w:r w:rsidRPr="00624169">
              <w:rPr>
                <w:rFonts w:ascii="Calibri" w:eastAsia="Times New Roman" w:hAnsi="Calibri" w:cs="Calibri"/>
                <w:i/>
                <w:iCs/>
                <w:color w:val="auto"/>
                <w:sz w:val="18"/>
                <w:szCs w:val="18"/>
                <w:lang w:eastAsia="en-AU"/>
              </w:rPr>
              <w:t>nda</w:t>
            </w:r>
          </w:p>
        </w:tc>
        <w:tc>
          <w:tcPr>
            <w:tcW w:w="1016" w:type="dxa"/>
            <w:tcBorders>
              <w:top w:val="nil"/>
              <w:left w:val="nil"/>
              <w:bottom w:val="single" w:sz="4" w:space="0" w:color="008089"/>
              <w:right w:val="nil"/>
            </w:tcBorders>
            <w:shd w:val="clear" w:color="000000" w:fill="F2F2F2"/>
            <w:vAlign w:val="center"/>
            <w:hideMark/>
          </w:tcPr>
          <w:p w14:paraId="13A547A1"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170,000</w:t>
            </w:r>
          </w:p>
        </w:tc>
        <w:tc>
          <w:tcPr>
            <w:tcW w:w="1015" w:type="dxa"/>
            <w:tcBorders>
              <w:top w:val="nil"/>
              <w:left w:val="nil"/>
              <w:bottom w:val="single" w:sz="4" w:space="0" w:color="008089"/>
              <w:right w:val="nil"/>
            </w:tcBorders>
            <w:shd w:val="clear" w:color="000000" w:fill="F2F2F2"/>
            <w:vAlign w:val="center"/>
            <w:hideMark/>
          </w:tcPr>
          <w:p w14:paraId="46B995AC" w14:textId="77777777" w:rsidR="00401088" w:rsidRPr="00624169" w:rsidRDefault="00401088" w:rsidP="00401088">
            <w:pPr>
              <w:suppressAutoHyphens w:val="0"/>
              <w:spacing w:before="0" w:after="0"/>
              <w:jc w:val="right"/>
              <w:rPr>
                <w:rFonts w:ascii="Calibri" w:eastAsia="Times New Roman" w:hAnsi="Calibri" w:cs="Calibri"/>
                <w:i/>
                <w:iCs/>
                <w:color w:val="auto"/>
                <w:sz w:val="18"/>
                <w:szCs w:val="18"/>
                <w:lang w:eastAsia="en-AU"/>
              </w:rPr>
            </w:pPr>
            <w:r w:rsidRPr="00624169">
              <w:rPr>
                <w:rFonts w:ascii="Calibri" w:eastAsia="Times New Roman" w:hAnsi="Calibri" w:cs="Calibri"/>
                <w:i/>
                <w:iCs/>
                <w:color w:val="auto"/>
                <w:sz w:val="18"/>
                <w:szCs w:val="18"/>
                <w:lang w:eastAsia="en-AU"/>
              </w:rPr>
              <w:t>nfta</w:t>
            </w:r>
          </w:p>
        </w:tc>
        <w:tc>
          <w:tcPr>
            <w:tcW w:w="1016" w:type="dxa"/>
            <w:tcBorders>
              <w:top w:val="nil"/>
              <w:left w:val="nil"/>
              <w:bottom w:val="single" w:sz="4" w:space="0" w:color="008089"/>
              <w:right w:val="single" w:sz="8" w:space="0" w:color="008089"/>
            </w:tcBorders>
            <w:shd w:val="clear" w:color="000000" w:fill="F2F2F2"/>
            <w:vAlign w:val="center"/>
            <w:hideMark/>
          </w:tcPr>
          <w:p w14:paraId="58AFCB70" w14:textId="77777777" w:rsidR="00401088" w:rsidRPr="00624169" w:rsidRDefault="00401088" w:rsidP="00401088">
            <w:pPr>
              <w:suppressAutoHyphens w:val="0"/>
              <w:spacing w:before="0" w:after="0"/>
              <w:jc w:val="right"/>
              <w:rPr>
                <w:rFonts w:ascii="Calibri" w:eastAsia="Times New Roman" w:hAnsi="Calibri" w:cs="Calibri"/>
                <w:i/>
                <w:iCs/>
                <w:color w:val="auto"/>
                <w:sz w:val="18"/>
                <w:szCs w:val="18"/>
                <w:lang w:eastAsia="en-AU"/>
              </w:rPr>
            </w:pPr>
            <w:r w:rsidRPr="00624169">
              <w:rPr>
                <w:rFonts w:ascii="Calibri" w:eastAsia="Times New Roman" w:hAnsi="Calibri" w:cs="Calibri"/>
                <w:i/>
                <w:iCs/>
                <w:color w:val="auto"/>
                <w:sz w:val="18"/>
                <w:szCs w:val="18"/>
                <w:lang w:eastAsia="en-AU"/>
              </w:rPr>
              <w:t>nfta</w:t>
            </w:r>
          </w:p>
        </w:tc>
      </w:tr>
      <w:tr w:rsidR="00624169" w:rsidRPr="00401088" w14:paraId="3DFF4C7A" w14:textId="77777777" w:rsidTr="00624169">
        <w:trPr>
          <w:trHeight w:val="300"/>
          <w:jc w:val="center"/>
        </w:trPr>
        <w:tc>
          <w:tcPr>
            <w:tcW w:w="1502" w:type="dxa"/>
            <w:vMerge/>
            <w:tcBorders>
              <w:top w:val="nil"/>
              <w:left w:val="single" w:sz="8" w:space="0" w:color="008089"/>
              <w:bottom w:val="single" w:sz="8" w:space="0" w:color="008089"/>
              <w:right w:val="nil"/>
            </w:tcBorders>
            <w:vAlign w:val="center"/>
            <w:hideMark/>
          </w:tcPr>
          <w:p w14:paraId="3C9C7548" w14:textId="77777777" w:rsidR="00401088" w:rsidRPr="00401088" w:rsidRDefault="00401088" w:rsidP="00401088">
            <w:pPr>
              <w:suppressAutoHyphens w:val="0"/>
              <w:spacing w:before="0" w:after="0"/>
              <w:rPr>
                <w:rFonts w:ascii="Calibri" w:eastAsia="Times New Roman" w:hAnsi="Calibri" w:cs="Calibri"/>
                <w:b/>
                <w:bCs/>
                <w:color w:val="000000"/>
                <w:lang w:eastAsia="en-AU"/>
              </w:rPr>
            </w:pPr>
          </w:p>
        </w:tc>
        <w:tc>
          <w:tcPr>
            <w:tcW w:w="3308" w:type="dxa"/>
            <w:tcBorders>
              <w:top w:val="nil"/>
              <w:left w:val="nil"/>
              <w:bottom w:val="single" w:sz="8" w:space="0" w:color="008089"/>
              <w:right w:val="nil"/>
            </w:tcBorders>
            <w:shd w:val="clear" w:color="000000" w:fill="F2F2F2"/>
            <w:vAlign w:val="center"/>
            <w:hideMark/>
          </w:tcPr>
          <w:p w14:paraId="594C2598" w14:textId="77777777" w:rsidR="00401088" w:rsidRPr="00DB204C" w:rsidRDefault="00401088" w:rsidP="00401088">
            <w:pPr>
              <w:suppressAutoHyphens w:val="0"/>
              <w:spacing w:before="0" w:after="0"/>
              <w:rPr>
                <w:rFonts w:ascii="Calibri" w:eastAsia="Times New Roman" w:hAnsi="Calibri" w:cs="Calibri"/>
                <w:color w:val="auto"/>
                <w:sz w:val="18"/>
                <w:szCs w:val="18"/>
                <w:lang w:eastAsia="en-AU"/>
              </w:rPr>
            </w:pPr>
            <w:r w:rsidRPr="00DB204C">
              <w:rPr>
                <w:rFonts w:ascii="Calibri" w:eastAsia="Times New Roman" w:hAnsi="Calibri" w:cs="Calibri"/>
                <w:color w:val="auto"/>
                <w:sz w:val="18"/>
                <w:szCs w:val="18"/>
                <w:lang w:eastAsia="en-AU"/>
              </w:rPr>
              <w:t>Super W</w:t>
            </w:r>
          </w:p>
        </w:tc>
        <w:tc>
          <w:tcPr>
            <w:tcW w:w="1843" w:type="dxa"/>
            <w:tcBorders>
              <w:top w:val="nil"/>
              <w:left w:val="nil"/>
              <w:bottom w:val="single" w:sz="8" w:space="0" w:color="008089"/>
              <w:right w:val="nil"/>
            </w:tcBorders>
            <w:shd w:val="clear" w:color="000000" w:fill="F2F2F2"/>
            <w:vAlign w:val="center"/>
            <w:hideMark/>
          </w:tcPr>
          <w:p w14:paraId="594B1B46" w14:textId="77777777" w:rsidR="00401088" w:rsidRPr="00F85D80" w:rsidRDefault="00401088" w:rsidP="00401088">
            <w:pPr>
              <w:suppressAutoHyphens w:val="0"/>
              <w:spacing w:before="0" w:after="0"/>
              <w:rPr>
                <w:rFonts w:ascii="Calibri" w:eastAsia="Times New Roman" w:hAnsi="Calibri" w:cs="Calibri"/>
                <w:color w:val="000000"/>
                <w:sz w:val="16"/>
                <w:szCs w:val="16"/>
                <w:lang w:eastAsia="en-AU"/>
              </w:rPr>
            </w:pPr>
            <w:r w:rsidRPr="00F85D80">
              <w:rPr>
                <w:rFonts w:ascii="Calibri" w:eastAsia="Times New Roman" w:hAnsi="Calibri" w:cs="Calibri"/>
                <w:color w:val="000000"/>
                <w:sz w:val="16"/>
                <w:szCs w:val="16"/>
                <w:lang w:eastAsia="en-AU"/>
              </w:rPr>
              <w:t>All matches average</w:t>
            </w:r>
          </w:p>
        </w:tc>
        <w:tc>
          <w:tcPr>
            <w:tcW w:w="1015" w:type="dxa"/>
            <w:tcBorders>
              <w:top w:val="nil"/>
              <w:left w:val="nil"/>
              <w:bottom w:val="single" w:sz="8" w:space="0" w:color="008089"/>
              <w:right w:val="nil"/>
            </w:tcBorders>
            <w:shd w:val="clear" w:color="000000" w:fill="F2F2F2"/>
            <w:vAlign w:val="center"/>
            <w:hideMark/>
          </w:tcPr>
          <w:p w14:paraId="31622B37" w14:textId="77777777" w:rsidR="00401088" w:rsidRPr="00624169" w:rsidRDefault="00401088" w:rsidP="00401088">
            <w:pPr>
              <w:suppressAutoHyphens w:val="0"/>
              <w:spacing w:before="0" w:after="0"/>
              <w:jc w:val="right"/>
              <w:rPr>
                <w:rFonts w:ascii="Calibri" w:eastAsia="Times New Roman" w:hAnsi="Calibri" w:cs="Calibri"/>
                <w:i/>
                <w:iCs/>
                <w:color w:val="auto"/>
                <w:sz w:val="18"/>
                <w:szCs w:val="18"/>
                <w:lang w:eastAsia="en-AU"/>
              </w:rPr>
            </w:pPr>
            <w:r w:rsidRPr="00624169">
              <w:rPr>
                <w:rFonts w:ascii="Calibri" w:eastAsia="Times New Roman" w:hAnsi="Calibri" w:cs="Calibri"/>
                <w:i/>
                <w:iCs/>
                <w:color w:val="auto"/>
                <w:sz w:val="18"/>
                <w:szCs w:val="18"/>
                <w:lang w:eastAsia="en-AU"/>
              </w:rPr>
              <w:t>nh</w:t>
            </w:r>
          </w:p>
        </w:tc>
        <w:tc>
          <w:tcPr>
            <w:tcW w:w="1015" w:type="dxa"/>
            <w:tcBorders>
              <w:top w:val="nil"/>
              <w:left w:val="nil"/>
              <w:bottom w:val="single" w:sz="8" w:space="0" w:color="008089"/>
              <w:right w:val="nil"/>
            </w:tcBorders>
            <w:shd w:val="clear" w:color="000000" w:fill="F2F2F2"/>
            <w:vAlign w:val="center"/>
            <w:hideMark/>
          </w:tcPr>
          <w:p w14:paraId="1E20AE35" w14:textId="77777777" w:rsidR="00401088" w:rsidRPr="00624169" w:rsidRDefault="00401088" w:rsidP="00401088">
            <w:pPr>
              <w:suppressAutoHyphens w:val="0"/>
              <w:spacing w:before="0" w:after="0"/>
              <w:jc w:val="right"/>
              <w:rPr>
                <w:rFonts w:ascii="Calibri" w:eastAsia="Times New Roman" w:hAnsi="Calibri" w:cs="Calibri"/>
                <w:i/>
                <w:iCs/>
                <w:color w:val="auto"/>
                <w:sz w:val="18"/>
                <w:szCs w:val="18"/>
                <w:lang w:eastAsia="en-AU"/>
              </w:rPr>
            </w:pPr>
            <w:r w:rsidRPr="00624169">
              <w:rPr>
                <w:rFonts w:ascii="Calibri" w:eastAsia="Times New Roman" w:hAnsi="Calibri" w:cs="Calibri"/>
                <w:i/>
                <w:iCs/>
                <w:color w:val="auto"/>
                <w:sz w:val="18"/>
                <w:szCs w:val="18"/>
                <w:lang w:eastAsia="en-AU"/>
              </w:rPr>
              <w:t>nh</w:t>
            </w:r>
          </w:p>
        </w:tc>
        <w:tc>
          <w:tcPr>
            <w:tcW w:w="1016" w:type="dxa"/>
            <w:tcBorders>
              <w:top w:val="nil"/>
              <w:left w:val="nil"/>
              <w:bottom w:val="single" w:sz="8" w:space="0" w:color="008089"/>
              <w:right w:val="nil"/>
            </w:tcBorders>
            <w:shd w:val="clear" w:color="000000" w:fill="F2F2F2"/>
            <w:vAlign w:val="center"/>
            <w:hideMark/>
          </w:tcPr>
          <w:p w14:paraId="66C7D6D5" w14:textId="77777777" w:rsidR="00401088" w:rsidRPr="00624169" w:rsidRDefault="00401088" w:rsidP="00401088">
            <w:pPr>
              <w:suppressAutoHyphens w:val="0"/>
              <w:spacing w:before="0" w:after="0"/>
              <w:jc w:val="right"/>
              <w:rPr>
                <w:rFonts w:ascii="Calibri" w:eastAsia="Times New Roman" w:hAnsi="Calibri" w:cs="Calibri"/>
                <w:i/>
                <w:iCs/>
                <w:color w:val="auto"/>
                <w:sz w:val="18"/>
                <w:szCs w:val="18"/>
                <w:lang w:eastAsia="en-AU"/>
              </w:rPr>
            </w:pPr>
            <w:r w:rsidRPr="00624169">
              <w:rPr>
                <w:rFonts w:ascii="Calibri" w:eastAsia="Times New Roman" w:hAnsi="Calibri" w:cs="Calibri"/>
                <w:i/>
                <w:iCs/>
                <w:color w:val="auto"/>
                <w:sz w:val="18"/>
                <w:szCs w:val="18"/>
                <w:lang w:eastAsia="en-AU"/>
              </w:rPr>
              <w:t>nh</w:t>
            </w:r>
          </w:p>
        </w:tc>
        <w:tc>
          <w:tcPr>
            <w:tcW w:w="1015" w:type="dxa"/>
            <w:tcBorders>
              <w:top w:val="nil"/>
              <w:left w:val="nil"/>
              <w:bottom w:val="single" w:sz="8" w:space="0" w:color="008089"/>
              <w:right w:val="nil"/>
            </w:tcBorders>
            <w:shd w:val="clear" w:color="000000" w:fill="F2F2F2"/>
            <w:vAlign w:val="center"/>
            <w:hideMark/>
          </w:tcPr>
          <w:p w14:paraId="1B899055" w14:textId="77777777" w:rsidR="00401088" w:rsidRPr="00624169" w:rsidRDefault="00401088" w:rsidP="00401088">
            <w:pPr>
              <w:suppressAutoHyphens w:val="0"/>
              <w:spacing w:before="0" w:after="0"/>
              <w:jc w:val="right"/>
              <w:rPr>
                <w:rFonts w:ascii="Calibri" w:eastAsia="Times New Roman" w:hAnsi="Calibri" w:cs="Calibri"/>
                <w:i/>
                <w:iCs/>
                <w:color w:val="auto"/>
                <w:sz w:val="18"/>
                <w:szCs w:val="18"/>
                <w:lang w:eastAsia="en-AU"/>
              </w:rPr>
            </w:pPr>
            <w:r w:rsidRPr="00624169">
              <w:rPr>
                <w:rFonts w:ascii="Calibri" w:eastAsia="Times New Roman" w:hAnsi="Calibri" w:cs="Calibri"/>
                <w:i/>
                <w:iCs/>
                <w:color w:val="auto"/>
                <w:sz w:val="18"/>
                <w:szCs w:val="18"/>
                <w:lang w:eastAsia="en-AU"/>
              </w:rPr>
              <w:t>nfta</w:t>
            </w:r>
          </w:p>
        </w:tc>
        <w:tc>
          <w:tcPr>
            <w:tcW w:w="1015" w:type="dxa"/>
            <w:tcBorders>
              <w:top w:val="nil"/>
              <w:left w:val="nil"/>
              <w:bottom w:val="single" w:sz="8" w:space="0" w:color="008089"/>
              <w:right w:val="nil"/>
            </w:tcBorders>
            <w:shd w:val="clear" w:color="000000" w:fill="F2F2F2"/>
            <w:vAlign w:val="center"/>
            <w:hideMark/>
          </w:tcPr>
          <w:p w14:paraId="0772D663" w14:textId="77777777" w:rsidR="00401088" w:rsidRPr="00624169" w:rsidRDefault="00401088" w:rsidP="00401088">
            <w:pPr>
              <w:suppressAutoHyphens w:val="0"/>
              <w:spacing w:before="0" w:after="0"/>
              <w:jc w:val="right"/>
              <w:rPr>
                <w:rFonts w:ascii="Calibri" w:eastAsia="Times New Roman" w:hAnsi="Calibri" w:cs="Calibri"/>
                <w:i/>
                <w:iCs/>
                <w:color w:val="auto"/>
                <w:sz w:val="18"/>
                <w:szCs w:val="18"/>
                <w:lang w:eastAsia="en-AU"/>
              </w:rPr>
            </w:pPr>
            <w:r w:rsidRPr="00624169">
              <w:rPr>
                <w:rFonts w:ascii="Calibri" w:eastAsia="Times New Roman" w:hAnsi="Calibri" w:cs="Calibri"/>
                <w:i/>
                <w:iCs/>
                <w:color w:val="auto"/>
                <w:sz w:val="18"/>
                <w:szCs w:val="18"/>
                <w:lang w:eastAsia="en-AU"/>
              </w:rPr>
              <w:t>nfta</w:t>
            </w:r>
          </w:p>
        </w:tc>
        <w:tc>
          <w:tcPr>
            <w:tcW w:w="1016" w:type="dxa"/>
            <w:tcBorders>
              <w:top w:val="nil"/>
              <w:left w:val="nil"/>
              <w:bottom w:val="single" w:sz="8" w:space="0" w:color="008089"/>
              <w:right w:val="nil"/>
            </w:tcBorders>
            <w:shd w:val="clear" w:color="000000" w:fill="F2F2F2"/>
            <w:vAlign w:val="center"/>
            <w:hideMark/>
          </w:tcPr>
          <w:p w14:paraId="5B974EB5" w14:textId="77777777" w:rsidR="00401088" w:rsidRPr="00624169" w:rsidRDefault="00401088" w:rsidP="00401088">
            <w:pPr>
              <w:suppressAutoHyphens w:val="0"/>
              <w:spacing w:before="0" w:after="0"/>
              <w:jc w:val="right"/>
              <w:rPr>
                <w:rFonts w:ascii="Calibri" w:eastAsia="Times New Roman" w:hAnsi="Calibri" w:cs="Calibri"/>
                <w:i/>
                <w:iCs/>
                <w:color w:val="auto"/>
                <w:sz w:val="18"/>
                <w:szCs w:val="18"/>
                <w:lang w:eastAsia="en-AU"/>
              </w:rPr>
            </w:pPr>
            <w:r w:rsidRPr="00624169">
              <w:rPr>
                <w:rFonts w:ascii="Calibri" w:eastAsia="Times New Roman" w:hAnsi="Calibri" w:cs="Calibri"/>
                <w:i/>
                <w:iCs/>
                <w:color w:val="auto"/>
                <w:sz w:val="18"/>
                <w:szCs w:val="18"/>
                <w:lang w:eastAsia="en-AU"/>
              </w:rPr>
              <w:t>nfta</w:t>
            </w:r>
          </w:p>
        </w:tc>
        <w:tc>
          <w:tcPr>
            <w:tcW w:w="1015" w:type="dxa"/>
            <w:tcBorders>
              <w:top w:val="nil"/>
              <w:left w:val="nil"/>
              <w:bottom w:val="single" w:sz="8" w:space="0" w:color="008089"/>
              <w:right w:val="nil"/>
            </w:tcBorders>
            <w:shd w:val="clear" w:color="000000" w:fill="F2F2F2"/>
            <w:vAlign w:val="center"/>
            <w:hideMark/>
          </w:tcPr>
          <w:p w14:paraId="56B35F2D" w14:textId="77777777" w:rsidR="00401088" w:rsidRPr="00624169" w:rsidRDefault="00401088" w:rsidP="00401088">
            <w:pPr>
              <w:suppressAutoHyphens w:val="0"/>
              <w:spacing w:before="0" w:after="0"/>
              <w:jc w:val="right"/>
              <w:rPr>
                <w:rFonts w:ascii="Calibri" w:eastAsia="Times New Roman" w:hAnsi="Calibri" w:cs="Calibri"/>
                <w:i/>
                <w:iCs/>
                <w:color w:val="auto"/>
                <w:sz w:val="18"/>
                <w:szCs w:val="18"/>
                <w:lang w:eastAsia="en-AU"/>
              </w:rPr>
            </w:pPr>
            <w:r w:rsidRPr="00624169">
              <w:rPr>
                <w:rFonts w:ascii="Calibri" w:eastAsia="Times New Roman" w:hAnsi="Calibri" w:cs="Calibri"/>
                <w:i/>
                <w:iCs/>
                <w:color w:val="auto"/>
                <w:sz w:val="18"/>
                <w:szCs w:val="18"/>
                <w:lang w:eastAsia="en-AU"/>
              </w:rPr>
              <w:t>nfta</w:t>
            </w:r>
          </w:p>
        </w:tc>
        <w:tc>
          <w:tcPr>
            <w:tcW w:w="1016" w:type="dxa"/>
            <w:tcBorders>
              <w:top w:val="nil"/>
              <w:left w:val="nil"/>
              <w:bottom w:val="single" w:sz="8" w:space="0" w:color="008089"/>
              <w:right w:val="single" w:sz="8" w:space="0" w:color="008089"/>
            </w:tcBorders>
            <w:shd w:val="clear" w:color="000000" w:fill="F2F2F2"/>
            <w:noWrap/>
            <w:vAlign w:val="center"/>
            <w:hideMark/>
          </w:tcPr>
          <w:p w14:paraId="3A5730FE" w14:textId="77777777" w:rsidR="00401088" w:rsidRPr="00624169" w:rsidRDefault="00401088" w:rsidP="00401088">
            <w:pPr>
              <w:suppressAutoHyphens w:val="0"/>
              <w:spacing w:before="0" w:after="0"/>
              <w:jc w:val="right"/>
              <w:rPr>
                <w:rFonts w:ascii="Calibri" w:eastAsia="Times New Roman" w:hAnsi="Calibri" w:cs="Calibri"/>
                <w:b/>
                <w:bCs/>
                <w:color w:val="000000"/>
                <w:sz w:val="18"/>
                <w:szCs w:val="18"/>
                <w:lang w:eastAsia="en-AU"/>
              </w:rPr>
            </w:pPr>
            <w:r w:rsidRPr="00624169">
              <w:rPr>
                <w:rFonts w:ascii="Calibri" w:eastAsia="Times New Roman" w:hAnsi="Calibri" w:cs="Calibri"/>
                <w:b/>
                <w:bCs/>
                <w:color w:val="000000"/>
                <w:sz w:val="18"/>
                <w:szCs w:val="18"/>
                <w:lang w:eastAsia="en-AU"/>
              </w:rPr>
              <w:t>16,000</w:t>
            </w:r>
          </w:p>
        </w:tc>
      </w:tr>
      <w:tr w:rsidR="00401088" w:rsidRPr="00401088" w14:paraId="6F6D6E8A" w14:textId="77777777" w:rsidTr="00F85D80">
        <w:trPr>
          <w:trHeight w:val="301"/>
          <w:jc w:val="center"/>
        </w:trPr>
        <w:tc>
          <w:tcPr>
            <w:tcW w:w="14776" w:type="dxa"/>
            <w:gridSpan w:val="11"/>
            <w:tcBorders>
              <w:top w:val="single" w:sz="8" w:space="0" w:color="008089"/>
              <w:left w:val="single" w:sz="8" w:space="0" w:color="008089"/>
              <w:bottom w:val="single" w:sz="8" w:space="0" w:color="008089"/>
              <w:right w:val="single" w:sz="8" w:space="0" w:color="008089"/>
            </w:tcBorders>
            <w:shd w:val="clear" w:color="000000" w:fill="F2F6E8"/>
            <w:vAlign w:val="center"/>
            <w:hideMark/>
          </w:tcPr>
          <w:p w14:paraId="0625B3C0" w14:textId="77777777" w:rsidR="00401088" w:rsidRPr="00401088" w:rsidRDefault="00401088" w:rsidP="00401088">
            <w:pPr>
              <w:suppressAutoHyphens w:val="0"/>
              <w:spacing w:before="0" w:after="0"/>
              <w:rPr>
                <w:rFonts w:ascii="Calibri" w:eastAsia="Times New Roman" w:hAnsi="Calibri" w:cs="Calibri"/>
                <w:color w:val="000000"/>
                <w:lang w:eastAsia="en-AU"/>
              </w:rPr>
            </w:pPr>
            <w:r w:rsidRPr="00401088">
              <w:rPr>
                <w:rFonts w:ascii="Calibri" w:eastAsia="Times New Roman" w:hAnsi="Calibri" w:cs="Calibri"/>
                <w:color w:val="000000"/>
                <w:lang w:eastAsia="en-AU"/>
              </w:rPr>
              <w:t>INTERNATIONAL MULTI-SPORT EVENTS</w:t>
            </w:r>
          </w:p>
        </w:tc>
      </w:tr>
      <w:tr w:rsidR="00624169" w:rsidRPr="00401088" w14:paraId="7DBB291A" w14:textId="77777777" w:rsidTr="00624169">
        <w:trPr>
          <w:trHeight w:val="290"/>
          <w:jc w:val="center"/>
        </w:trPr>
        <w:tc>
          <w:tcPr>
            <w:tcW w:w="1502" w:type="dxa"/>
            <w:vMerge w:val="restart"/>
            <w:tcBorders>
              <w:top w:val="nil"/>
              <w:left w:val="single" w:sz="8" w:space="0" w:color="008089"/>
              <w:bottom w:val="single" w:sz="8" w:space="0" w:color="008089"/>
              <w:right w:val="nil"/>
            </w:tcBorders>
            <w:shd w:val="clear" w:color="000000" w:fill="F2F2F2"/>
            <w:noWrap/>
            <w:vAlign w:val="center"/>
            <w:hideMark/>
          </w:tcPr>
          <w:p w14:paraId="5436A143" w14:textId="77777777" w:rsidR="00401088" w:rsidRPr="00DB204C" w:rsidRDefault="00401088" w:rsidP="00401088">
            <w:pPr>
              <w:suppressAutoHyphens w:val="0"/>
              <w:spacing w:before="0" w:after="0"/>
              <w:jc w:val="center"/>
              <w:rPr>
                <w:rFonts w:ascii="Calibri" w:eastAsia="Times New Roman" w:hAnsi="Calibri" w:cs="Calibri"/>
                <w:b/>
                <w:bCs/>
                <w:color w:val="000000"/>
                <w:sz w:val="18"/>
                <w:szCs w:val="18"/>
                <w:lang w:eastAsia="en-AU"/>
              </w:rPr>
            </w:pPr>
            <w:r w:rsidRPr="00DB204C">
              <w:rPr>
                <w:rFonts w:ascii="Calibri" w:eastAsia="Times New Roman" w:hAnsi="Calibri" w:cs="Calibri"/>
                <w:b/>
                <w:bCs/>
                <w:color w:val="000000"/>
                <w:sz w:val="18"/>
                <w:szCs w:val="18"/>
                <w:lang w:eastAsia="en-AU"/>
              </w:rPr>
              <w:t>Olympic Games</w:t>
            </w:r>
          </w:p>
        </w:tc>
        <w:tc>
          <w:tcPr>
            <w:tcW w:w="3308" w:type="dxa"/>
            <w:tcBorders>
              <w:top w:val="nil"/>
              <w:left w:val="nil"/>
              <w:bottom w:val="single" w:sz="4" w:space="0" w:color="008089"/>
              <w:right w:val="nil"/>
            </w:tcBorders>
            <w:shd w:val="clear" w:color="000000" w:fill="F2F2F2"/>
            <w:noWrap/>
            <w:vAlign w:val="center"/>
            <w:hideMark/>
          </w:tcPr>
          <w:p w14:paraId="4ED56E5E" w14:textId="77777777" w:rsidR="00401088" w:rsidRPr="00DB204C" w:rsidRDefault="00401088" w:rsidP="00401088">
            <w:pPr>
              <w:suppressAutoHyphens w:val="0"/>
              <w:spacing w:before="0" w:after="0"/>
              <w:rPr>
                <w:rFonts w:ascii="Calibri" w:eastAsia="Times New Roman" w:hAnsi="Calibri" w:cs="Calibri"/>
                <w:color w:val="000000"/>
                <w:sz w:val="18"/>
                <w:szCs w:val="18"/>
                <w:lang w:eastAsia="en-AU"/>
              </w:rPr>
            </w:pPr>
            <w:r w:rsidRPr="00DB204C">
              <w:rPr>
                <w:rFonts w:ascii="Calibri" w:eastAsia="Times New Roman" w:hAnsi="Calibri" w:cs="Calibri"/>
                <w:color w:val="000000"/>
                <w:sz w:val="18"/>
                <w:szCs w:val="18"/>
                <w:lang w:eastAsia="en-AU"/>
              </w:rPr>
              <w:t>Summer Olympics Opening Ceremony</w:t>
            </w:r>
          </w:p>
        </w:tc>
        <w:tc>
          <w:tcPr>
            <w:tcW w:w="1843" w:type="dxa"/>
            <w:tcBorders>
              <w:top w:val="nil"/>
              <w:left w:val="nil"/>
              <w:bottom w:val="single" w:sz="4" w:space="0" w:color="008089"/>
              <w:right w:val="nil"/>
            </w:tcBorders>
            <w:shd w:val="clear" w:color="000000" w:fill="F2F2F2"/>
            <w:noWrap/>
            <w:vAlign w:val="center"/>
            <w:hideMark/>
          </w:tcPr>
          <w:p w14:paraId="6CF7DC9E" w14:textId="77777777" w:rsidR="00401088" w:rsidRPr="00F85D80" w:rsidRDefault="00401088" w:rsidP="00401088">
            <w:pPr>
              <w:suppressAutoHyphens w:val="0"/>
              <w:spacing w:before="0" w:after="0"/>
              <w:rPr>
                <w:rFonts w:ascii="Calibri" w:eastAsia="Times New Roman" w:hAnsi="Calibri" w:cs="Calibri"/>
                <w:color w:val="000000"/>
                <w:sz w:val="16"/>
                <w:szCs w:val="16"/>
                <w:lang w:eastAsia="en-AU"/>
              </w:rPr>
            </w:pPr>
            <w:r w:rsidRPr="00F85D80">
              <w:rPr>
                <w:rFonts w:ascii="Calibri" w:eastAsia="Times New Roman" w:hAnsi="Calibri" w:cs="Calibri"/>
                <w:color w:val="000000"/>
                <w:sz w:val="16"/>
                <w:szCs w:val="16"/>
                <w:lang w:eastAsia="en-AU"/>
              </w:rPr>
              <w:t>Single event</w:t>
            </w:r>
          </w:p>
        </w:tc>
        <w:tc>
          <w:tcPr>
            <w:tcW w:w="1015" w:type="dxa"/>
            <w:tcBorders>
              <w:top w:val="single" w:sz="4" w:space="0" w:color="008089"/>
              <w:left w:val="nil"/>
              <w:bottom w:val="single" w:sz="4" w:space="0" w:color="008089"/>
              <w:right w:val="nil"/>
            </w:tcBorders>
            <w:shd w:val="clear" w:color="000000" w:fill="F2F2F2"/>
            <w:noWrap/>
            <w:vAlign w:val="center"/>
            <w:hideMark/>
          </w:tcPr>
          <w:p w14:paraId="7BD79CBF" w14:textId="77777777" w:rsidR="00401088" w:rsidRPr="00624169" w:rsidRDefault="00401088" w:rsidP="00401088">
            <w:pPr>
              <w:suppressAutoHyphens w:val="0"/>
              <w:spacing w:before="0" w:after="0"/>
              <w:jc w:val="right"/>
              <w:rPr>
                <w:rFonts w:ascii="Calibri" w:eastAsia="Times New Roman" w:hAnsi="Calibri" w:cs="Calibri"/>
                <w:i/>
                <w:iCs/>
                <w:color w:val="auto"/>
                <w:sz w:val="18"/>
                <w:szCs w:val="18"/>
                <w:lang w:eastAsia="en-AU"/>
              </w:rPr>
            </w:pPr>
            <w:r w:rsidRPr="00624169">
              <w:rPr>
                <w:rFonts w:ascii="Calibri" w:eastAsia="Times New Roman" w:hAnsi="Calibri" w:cs="Calibri"/>
                <w:i/>
                <w:iCs/>
                <w:color w:val="auto"/>
                <w:sz w:val="18"/>
                <w:szCs w:val="18"/>
                <w:lang w:eastAsia="en-AU"/>
              </w:rPr>
              <w:t>nh</w:t>
            </w:r>
          </w:p>
        </w:tc>
        <w:tc>
          <w:tcPr>
            <w:tcW w:w="1015" w:type="dxa"/>
            <w:tcBorders>
              <w:top w:val="single" w:sz="4" w:space="0" w:color="008089"/>
              <w:left w:val="nil"/>
              <w:bottom w:val="single" w:sz="4" w:space="0" w:color="008089"/>
              <w:right w:val="nil"/>
            </w:tcBorders>
            <w:shd w:val="clear" w:color="000000" w:fill="F2F2F2"/>
            <w:noWrap/>
            <w:vAlign w:val="center"/>
            <w:hideMark/>
          </w:tcPr>
          <w:p w14:paraId="19A53543"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1,617,000</w:t>
            </w:r>
          </w:p>
        </w:tc>
        <w:tc>
          <w:tcPr>
            <w:tcW w:w="1016" w:type="dxa"/>
            <w:tcBorders>
              <w:top w:val="single" w:sz="4" w:space="0" w:color="008089"/>
              <w:left w:val="nil"/>
              <w:bottom w:val="single" w:sz="4" w:space="0" w:color="008089"/>
              <w:right w:val="nil"/>
            </w:tcBorders>
            <w:shd w:val="clear" w:color="000000" w:fill="F2F2F2"/>
            <w:noWrap/>
            <w:vAlign w:val="center"/>
            <w:hideMark/>
          </w:tcPr>
          <w:p w14:paraId="71F91823" w14:textId="77777777" w:rsidR="00401088" w:rsidRPr="00624169" w:rsidRDefault="00401088" w:rsidP="00401088">
            <w:pPr>
              <w:suppressAutoHyphens w:val="0"/>
              <w:spacing w:before="0" w:after="0"/>
              <w:jc w:val="right"/>
              <w:rPr>
                <w:rFonts w:ascii="Calibri" w:eastAsia="Times New Roman" w:hAnsi="Calibri" w:cs="Calibri"/>
                <w:i/>
                <w:iCs/>
                <w:color w:val="auto"/>
                <w:sz w:val="18"/>
                <w:szCs w:val="18"/>
                <w:lang w:eastAsia="en-AU"/>
              </w:rPr>
            </w:pPr>
            <w:r w:rsidRPr="00624169">
              <w:rPr>
                <w:rFonts w:ascii="Calibri" w:eastAsia="Times New Roman" w:hAnsi="Calibri" w:cs="Calibri"/>
                <w:i/>
                <w:iCs/>
                <w:color w:val="auto"/>
                <w:sz w:val="18"/>
                <w:szCs w:val="18"/>
                <w:lang w:eastAsia="en-AU"/>
              </w:rPr>
              <w:t>nh</w:t>
            </w:r>
          </w:p>
        </w:tc>
        <w:tc>
          <w:tcPr>
            <w:tcW w:w="1015" w:type="dxa"/>
            <w:tcBorders>
              <w:top w:val="single" w:sz="4" w:space="0" w:color="008089"/>
              <w:left w:val="nil"/>
              <w:bottom w:val="single" w:sz="4" w:space="0" w:color="008089"/>
              <w:right w:val="nil"/>
            </w:tcBorders>
            <w:shd w:val="clear" w:color="000000" w:fill="F2F2F2"/>
            <w:noWrap/>
            <w:vAlign w:val="center"/>
            <w:hideMark/>
          </w:tcPr>
          <w:p w14:paraId="7C1FFDE2" w14:textId="77777777" w:rsidR="00401088" w:rsidRPr="00624169" w:rsidRDefault="00401088" w:rsidP="00401088">
            <w:pPr>
              <w:suppressAutoHyphens w:val="0"/>
              <w:spacing w:before="0" w:after="0"/>
              <w:jc w:val="right"/>
              <w:rPr>
                <w:rFonts w:ascii="Calibri" w:eastAsia="Times New Roman" w:hAnsi="Calibri" w:cs="Calibri"/>
                <w:i/>
                <w:iCs/>
                <w:color w:val="auto"/>
                <w:sz w:val="18"/>
                <w:szCs w:val="18"/>
                <w:lang w:eastAsia="en-AU"/>
              </w:rPr>
            </w:pPr>
            <w:r w:rsidRPr="00624169">
              <w:rPr>
                <w:rFonts w:ascii="Calibri" w:eastAsia="Times New Roman" w:hAnsi="Calibri" w:cs="Calibri"/>
                <w:i/>
                <w:iCs/>
                <w:color w:val="auto"/>
                <w:sz w:val="18"/>
                <w:szCs w:val="18"/>
                <w:lang w:eastAsia="en-AU"/>
              </w:rPr>
              <w:t>nh</w:t>
            </w:r>
          </w:p>
        </w:tc>
        <w:tc>
          <w:tcPr>
            <w:tcW w:w="1015" w:type="dxa"/>
            <w:tcBorders>
              <w:top w:val="single" w:sz="4" w:space="0" w:color="008089"/>
              <w:left w:val="nil"/>
              <w:bottom w:val="single" w:sz="4" w:space="0" w:color="008089"/>
              <w:right w:val="nil"/>
            </w:tcBorders>
            <w:shd w:val="clear" w:color="000000" w:fill="F2F2F2"/>
            <w:noWrap/>
            <w:vAlign w:val="center"/>
            <w:hideMark/>
          </w:tcPr>
          <w:p w14:paraId="725BBB03" w14:textId="77777777" w:rsidR="00401088" w:rsidRPr="00624169" w:rsidRDefault="00401088" w:rsidP="00401088">
            <w:pPr>
              <w:suppressAutoHyphens w:val="0"/>
              <w:spacing w:before="0" w:after="0"/>
              <w:jc w:val="right"/>
              <w:rPr>
                <w:rFonts w:ascii="Calibri" w:eastAsia="Times New Roman" w:hAnsi="Calibri" w:cs="Calibri"/>
                <w:i/>
                <w:iCs/>
                <w:color w:val="auto"/>
                <w:sz w:val="18"/>
                <w:szCs w:val="18"/>
                <w:lang w:eastAsia="en-AU"/>
              </w:rPr>
            </w:pPr>
            <w:r w:rsidRPr="00624169">
              <w:rPr>
                <w:rFonts w:ascii="Calibri" w:eastAsia="Times New Roman" w:hAnsi="Calibri" w:cs="Calibri"/>
                <w:i/>
                <w:iCs/>
                <w:color w:val="auto"/>
                <w:sz w:val="18"/>
                <w:szCs w:val="18"/>
                <w:lang w:eastAsia="en-AU"/>
              </w:rPr>
              <w:t>nh</w:t>
            </w:r>
          </w:p>
        </w:tc>
        <w:tc>
          <w:tcPr>
            <w:tcW w:w="1016" w:type="dxa"/>
            <w:tcBorders>
              <w:top w:val="nil"/>
              <w:left w:val="nil"/>
              <w:bottom w:val="single" w:sz="4" w:space="0" w:color="008089"/>
              <w:right w:val="nil"/>
            </w:tcBorders>
            <w:shd w:val="clear" w:color="000000" w:fill="F2F2F2"/>
            <w:vAlign w:val="center"/>
            <w:hideMark/>
          </w:tcPr>
          <w:p w14:paraId="4422624B" w14:textId="77777777" w:rsidR="00401088" w:rsidRPr="00624169" w:rsidRDefault="00401088" w:rsidP="00401088">
            <w:pPr>
              <w:suppressAutoHyphens w:val="0"/>
              <w:spacing w:before="0" w:after="0"/>
              <w:jc w:val="right"/>
              <w:rPr>
                <w:rFonts w:ascii="Wingdings" w:eastAsia="Times New Roman" w:hAnsi="Wingdings" w:cs="Calibri"/>
                <w:color w:val="auto"/>
                <w:sz w:val="18"/>
                <w:szCs w:val="18"/>
                <w:lang w:eastAsia="en-AU"/>
              </w:rPr>
            </w:pPr>
            <w:r w:rsidRPr="00624169">
              <w:rPr>
                <w:rFonts w:ascii="Wingdings" w:eastAsia="Times New Roman" w:hAnsi="Wingdings" w:cs="Calibri"/>
                <w:color w:val="auto"/>
                <w:sz w:val="18"/>
                <w:szCs w:val="18"/>
                <w:lang w:eastAsia="en-AU"/>
              </w:rPr>
              <w:t></w:t>
            </w:r>
          </w:p>
        </w:tc>
        <w:tc>
          <w:tcPr>
            <w:tcW w:w="1015" w:type="dxa"/>
            <w:tcBorders>
              <w:top w:val="single" w:sz="4" w:space="0" w:color="008089"/>
              <w:left w:val="nil"/>
              <w:bottom w:val="single" w:sz="4" w:space="0" w:color="008089"/>
              <w:right w:val="nil"/>
            </w:tcBorders>
            <w:shd w:val="clear" w:color="000000" w:fill="F2F2F2"/>
            <w:noWrap/>
            <w:vAlign w:val="center"/>
            <w:hideMark/>
          </w:tcPr>
          <w:p w14:paraId="7621A8FD"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2,654,000</w:t>
            </w:r>
          </w:p>
        </w:tc>
        <w:tc>
          <w:tcPr>
            <w:tcW w:w="1016" w:type="dxa"/>
            <w:tcBorders>
              <w:top w:val="single" w:sz="4" w:space="0" w:color="008089"/>
              <w:left w:val="nil"/>
              <w:bottom w:val="single" w:sz="4" w:space="0" w:color="008089"/>
              <w:right w:val="single" w:sz="8" w:space="0" w:color="008089"/>
            </w:tcBorders>
            <w:shd w:val="clear" w:color="000000" w:fill="F2F2F2"/>
            <w:noWrap/>
            <w:vAlign w:val="center"/>
            <w:hideMark/>
          </w:tcPr>
          <w:p w14:paraId="045CF8A3" w14:textId="77777777" w:rsidR="00401088" w:rsidRPr="00624169" w:rsidRDefault="00401088" w:rsidP="00401088">
            <w:pPr>
              <w:suppressAutoHyphens w:val="0"/>
              <w:spacing w:before="0" w:after="0"/>
              <w:jc w:val="right"/>
              <w:rPr>
                <w:rFonts w:ascii="Calibri" w:eastAsia="Times New Roman" w:hAnsi="Calibri" w:cs="Calibri"/>
                <w:i/>
                <w:iCs/>
                <w:color w:val="auto"/>
                <w:sz w:val="18"/>
                <w:szCs w:val="18"/>
                <w:lang w:eastAsia="en-AU"/>
              </w:rPr>
            </w:pPr>
            <w:r w:rsidRPr="00624169">
              <w:rPr>
                <w:rFonts w:ascii="Calibri" w:eastAsia="Times New Roman" w:hAnsi="Calibri" w:cs="Calibri"/>
                <w:i/>
                <w:iCs/>
                <w:color w:val="auto"/>
                <w:sz w:val="18"/>
                <w:szCs w:val="18"/>
                <w:lang w:eastAsia="en-AU"/>
              </w:rPr>
              <w:t>nh</w:t>
            </w:r>
          </w:p>
        </w:tc>
      </w:tr>
      <w:tr w:rsidR="00624169" w:rsidRPr="00401088" w14:paraId="33585B2E" w14:textId="77777777" w:rsidTr="00624169">
        <w:trPr>
          <w:trHeight w:val="290"/>
          <w:jc w:val="center"/>
        </w:trPr>
        <w:tc>
          <w:tcPr>
            <w:tcW w:w="1502" w:type="dxa"/>
            <w:vMerge/>
            <w:tcBorders>
              <w:top w:val="nil"/>
              <w:left w:val="single" w:sz="8" w:space="0" w:color="008089"/>
              <w:bottom w:val="single" w:sz="8" w:space="0" w:color="008089"/>
              <w:right w:val="nil"/>
            </w:tcBorders>
            <w:vAlign w:val="center"/>
            <w:hideMark/>
          </w:tcPr>
          <w:p w14:paraId="1024CAE0" w14:textId="77777777" w:rsidR="00401088" w:rsidRPr="00DB204C" w:rsidRDefault="00401088" w:rsidP="00401088">
            <w:pPr>
              <w:suppressAutoHyphens w:val="0"/>
              <w:spacing w:before="0" w:after="0"/>
              <w:rPr>
                <w:rFonts w:ascii="Calibri" w:eastAsia="Times New Roman" w:hAnsi="Calibri" w:cs="Calibri"/>
                <w:b/>
                <w:bCs/>
                <w:color w:val="000000"/>
                <w:sz w:val="18"/>
                <w:szCs w:val="18"/>
                <w:lang w:eastAsia="en-AU"/>
              </w:rPr>
            </w:pPr>
          </w:p>
        </w:tc>
        <w:tc>
          <w:tcPr>
            <w:tcW w:w="3308" w:type="dxa"/>
            <w:tcBorders>
              <w:top w:val="nil"/>
              <w:left w:val="nil"/>
              <w:bottom w:val="single" w:sz="4" w:space="0" w:color="008089"/>
              <w:right w:val="nil"/>
            </w:tcBorders>
            <w:shd w:val="clear" w:color="000000" w:fill="F2F2F2"/>
            <w:noWrap/>
            <w:vAlign w:val="center"/>
            <w:hideMark/>
          </w:tcPr>
          <w:p w14:paraId="6E87B3BC" w14:textId="77777777" w:rsidR="00401088" w:rsidRPr="00DB204C" w:rsidRDefault="00401088" w:rsidP="00401088">
            <w:pPr>
              <w:suppressAutoHyphens w:val="0"/>
              <w:spacing w:before="0" w:after="0"/>
              <w:rPr>
                <w:rFonts w:ascii="Calibri" w:eastAsia="Times New Roman" w:hAnsi="Calibri" w:cs="Calibri"/>
                <w:color w:val="000000"/>
                <w:sz w:val="18"/>
                <w:szCs w:val="18"/>
                <w:lang w:eastAsia="en-AU"/>
              </w:rPr>
            </w:pPr>
            <w:r w:rsidRPr="00DB204C">
              <w:rPr>
                <w:rFonts w:ascii="Calibri" w:eastAsia="Times New Roman" w:hAnsi="Calibri" w:cs="Calibri"/>
                <w:color w:val="000000"/>
                <w:sz w:val="18"/>
                <w:szCs w:val="18"/>
                <w:lang w:eastAsia="en-AU"/>
              </w:rPr>
              <w:t>Summer Olympics Events</w:t>
            </w:r>
          </w:p>
        </w:tc>
        <w:tc>
          <w:tcPr>
            <w:tcW w:w="1843" w:type="dxa"/>
            <w:tcBorders>
              <w:top w:val="nil"/>
              <w:left w:val="nil"/>
              <w:bottom w:val="single" w:sz="4" w:space="0" w:color="008089"/>
              <w:right w:val="nil"/>
            </w:tcBorders>
            <w:shd w:val="clear" w:color="000000" w:fill="F2F2F2"/>
            <w:noWrap/>
            <w:vAlign w:val="center"/>
            <w:hideMark/>
          </w:tcPr>
          <w:p w14:paraId="6707349F" w14:textId="77777777" w:rsidR="00401088" w:rsidRPr="00F85D80" w:rsidRDefault="00401088" w:rsidP="00401088">
            <w:pPr>
              <w:suppressAutoHyphens w:val="0"/>
              <w:spacing w:before="0" w:after="0"/>
              <w:rPr>
                <w:rFonts w:ascii="Calibri" w:eastAsia="Times New Roman" w:hAnsi="Calibri" w:cs="Calibri"/>
                <w:color w:val="000000"/>
                <w:sz w:val="16"/>
                <w:szCs w:val="16"/>
                <w:lang w:eastAsia="en-AU"/>
              </w:rPr>
            </w:pPr>
            <w:r w:rsidRPr="00F85D80">
              <w:rPr>
                <w:rFonts w:ascii="Calibri" w:eastAsia="Times New Roman" w:hAnsi="Calibri" w:cs="Calibri"/>
                <w:color w:val="000000"/>
                <w:sz w:val="16"/>
                <w:szCs w:val="16"/>
                <w:lang w:eastAsia="en-AU"/>
              </w:rPr>
              <w:t>Evening broadcast average</w:t>
            </w:r>
          </w:p>
        </w:tc>
        <w:tc>
          <w:tcPr>
            <w:tcW w:w="1015" w:type="dxa"/>
            <w:tcBorders>
              <w:top w:val="nil"/>
              <w:left w:val="nil"/>
              <w:bottom w:val="single" w:sz="4" w:space="0" w:color="008089"/>
              <w:right w:val="nil"/>
            </w:tcBorders>
            <w:shd w:val="clear" w:color="000000" w:fill="F2F2F2"/>
            <w:noWrap/>
            <w:vAlign w:val="center"/>
            <w:hideMark/>
          </w:tcPr>
          <w:p w14:paraId="1A7AA562" w14:textId="77777777" w:rsidR="00401088" w:rsidRPr="00624169" w:rsidRDefault="00401088" w:rsidP="00401088">
            <w:pPr>
              <w:suppressAutoHyphens w:val="0"/>
              <w:spacing w:before="0" w:after="0"/>
              <w:jc w:val="right"/>
              <w:rPr>
                <w:rFonts w:ascii="Calibri" w:eastAsia="Times New Roman" w:hAnsi="Calibri" w:cs="Calibri"/>
                <w:i/>
                <w:iCs/>
                <w:color w:val="auto"/>
                <w:sz w:val="18"/>
                <w:szCs w:val="18"/>
                <w:lang w:eastAsia="en-AU"/>
              </w:rPr>
            </w:pPr>
            <w:r w:rsidRPr="00624169">
              <w:rPr>
                <w:rFonts w:ascii="Calibri" w:eastAsia="Times New Roman" w:hAnsi="Calibri" w:cs="Calibri"/>
                <w:i/>
                <w:iCs/>
                <w:color w:val="auto"/>
                <w:sz w:val="18"/>
                <w:szCs w:val="18"/>
                <w:lang w:eastAsia="en-AU"/>
              </w:rPr>
              <w:t>nh</w:t>
            </w:r>
          </w:p>
        </w:tc>
        <w:tc>
          <w:tcPr>
            <w:tcW w:w="1015" w:type="dxa"/>
            <w:tcBorders>
              <w:top w:val="nil"/>
              <w:left w:val="nil"/>
              <w:bottom w:val="single" w:sz="4" w:space="0" w:color="008089"/>
              <w:right w:val="nil"/>
            </w:tcBorders>
            <w:shd w:val="clear" w:color="000000" w:fill="F2F2F2"/>
            <w:noWrap/>
            <w:vAlign w:val="center"/>
            <w:hideMark/>
          </w:tcPr>
          <w:p w14:paraId="6E277079"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847,000</w:t>
            </w:r>
          </w:p>
        </w:tc>
        <w:tc>
          <w:tcPr>
            <w:tcW w:w="1016" w:type="dxa"/>
            <w:tcBorders>
              <w:top w:val="nil"/>
              <w:left w:val="nil"/>
              <w:bottom w:val="single" w:sz="4" w:space="0" w:color="008089"/>
              <w:right w:val="nil"/>
            </w:tcBorders>
            <w:shd w:val="clear" w:color="000000" w:fill="F2F2F2"/>
            <w:noWrap/>
            <w:vAlign w:val="center"/>
            <w:hideMark/>
          </w:tcPr>
          <w:p w14:paraId="7A12C3EB" w14:textId="77777777" w:rsidR="00401088" w:rsidRPr="00624169" w:rsidRDefault="00401088" w:rsidP="00401088">
            <w:pPr>
              <w:suppressAutoHyphens w:val="0"/>
              <w:spacing w:before="0" w:after="0"/>
              <w:jc w:val="right"/>
              <w:rPr>
                <w:rFonts w:ascii="Calibri" w:eastAsia="Times New Roman" w:hAnsi="Calibri" w:cs="Calibri"/>
                <w:i/>
                <w:iCs/>
                <w:color w:val="auto"/>
                <w:sz w:val="18"/>
                <w:szCs w:val="18"/>
                <w:lang w:eastAsia="en-AU"/>
              </w:rPr>
            </w:pPr>
            <w:r w:rsidRPr="00624169">
              <w:rPr>
                <w:rFonts w:ascii="Calibri" w:eastAsia="Times New Roman" w:hAnsi="Calibri" w:cs="Calibri"/>
                <w:i/>
                <w:iCs/>
                <w:color w:val="auto"/>
                <w:sz w:val="18"/>
                <w:szCs w:val="18"/>
                <w:lang w:eastAsia="en-AU"/>
              </w:rPr>
              <w:t>nh</w:t>
            </w:r>
          </w:p>
        </w:tc>
        <w:tc>
          <w:tcPr>
            <w:tcW w:w="1015" w:type="dxa"/>
            <w:tcBorders>
              <w:top w:val="nil"/>
              <w:left w:val="nil"/>
              <w:bottom w:val="single" w:sz="4" w:space="0" w:color="008089"/>
              <w:right w:val="nil"/>
            </w:tcBorders>
            <w:shd w:val="clear" w:color="000000" w:fill="F2F2F2"/>
            <w:noWrap/>
            <w:vAlign w:val="center"/>
            <w:hideMark/>
          </w:tcPr>
          <w:p w14:paraId="3CF31937" w14:textId="77777777" w:rsidR="00401088" w:rsidRPr="00624169" w:rsidRDefault="00401088" w:rsidP="00401088">
            <w:pPr>
              <w:suppressAutoHyphens w:val="0"/>
              <w:spacing w:before="0" w:after="0"/>
              <w:jc w:val="right"/>
              <w:rPr>
                <w:rFonts w:ascii="Calibri" w:eastAsia="Times New Roman" w:hAnsi="Calibri" w:cs="Calibri"/>
                <w:i/>
                <w:iCs/>
                <w:color w:val="auto"/>
                <w:sz w:val="18"/>
                <w:szCs w:val="18"/>
                <w:lang w:eastAsia="en-AU"/>
              </w:rPr>
            </w:pPr>
            <w:r w:rsidRPr="00624169">
              <w:rPr>
                <w:rFonts w:ascii="Calibri" w:eastAsia="Times New Roman" w:hAnsi="Calibri" w:cs="Calibri"/>
                <w:i/>
                <w:iCs/>
                <w:color w:val="auto"/>
                <w:sz w:val="18"/>
                <w:szCs w:val="18"/>
                <w:lang w:eastAsia="en-AU"/>
              </w:rPr>
              <w:t>nh</w:t>
            </w:r>
          </w:p>
        </w:tc>
        <w:tc>
          <w:tcPr>
            <w:tcW w:w="1015" w:type="dxa"/>
            <w:tcBorders>
              <w:top w:val="nil"/>
              <w:left w:val="nil"/>
              <w:bottom w:val="single" w:sz="4" w:space="0" w:color="008089"/>
              <w:right w:val="nil"/>
            </w:tcBorders>
            <w:shd w:val="clear" w:color="000000" w:fill="F2F2F2"/>
            <w:noWrap/>
            <w:vAlign w:val="center"/>
            <w:hideMark/>
          </w:tcPr>
          <w:p w14:paraId="551B1CC9" w14:textId="77777777" w:rsidR="00401088" w:rsidRPr="00624169" w:rsidRDefault="00401088" w:rsidP="00401088">
            <w:pPr>
              <w:suppressAutoHyphens w:val="0"/>
              <w:spacing w:before="0" w:after="0"/>
              <w:jc w:val="right"/>
              <w:rPr>
                <w:rFonts w:ascii="Calibri" w:eastAsia="Times New Roman" w:hAnsi="Calibri" w:cs="Calibri"/>
                <w:i/>
                <w:iCs/>
                <w:color w:val="auto"/>
                <w:sz w:val="18"/>
                <w:szCs w:val="18"/>
                <w:lang w:eastAsia="en-AU"/>
              </w:rPr>
            </w:pPr>
            <w:r w:rsidRPr="00624169">
              <w:rPr>
                <w:rFonts w:ascii="Calibri" w:eastAsia="Times New Roman" w:hAnsi="Calibri" w:cs="Calibri"/>
                <w:i/>
                <w:iCs/>
                <w:color w:val="auto"/>
                <w:sz w:val="18"/>
                <w:szCs w:val="18"/>
                <w:lang w:eastAsia="en-AU"/>
              </w:rPr>
              <w:t>nh</w:t>
            </w:r>
          </w:p>
        </w:tc>
        <w:tc>
          <w:tcPr>
            <w:tcW w:w="1016" w:type="dxa"/>
            <w:tcBorders>
              <w:top w:val="nil"/>
              <w:left w:val="nil"/>
              <w:bottom w:val="single" w:sz="4" w:space="0" w:color="008089"/>
              <w:right w:val="nil"/>
            </w:tcBorders>
            <w:shd w:val="clear" w:color="000000" w:fill="F2F2F2"/>
            <w:vAlign w:val="center"/>
            <w:hideMark/>
          </w:tcPr>
          <w:p w14:paraId="0C2C21A4" w14:textId="77777777" w:rsidR="00401088" w:rsidRPr="00624169" w:rsidRDefault="00401088" w:rsidP="00401088">
            <w:pPr>
              <w:suppressAutoHyphens w:val="0"/>
              <w:spacing w:before="0" w:after="0"/>
              <w:jc w:val="right"/>
              <w:rPr>
                <w:rFonts w:ascii="Wingdings" w:eastAsia="Times New Roman" w:hAnsi="Wingdings" w:cs="Calibri"/>
                <w:color w:val="auto"/>
                <w:sz w:val="18"/>
                <w:szCs w:val="18"/>
                <w:lang w:eastAsia="en-AU"/>
              </w:rPr>
            </w:pPr>
            <w:r w:rsidRPr="00624169">
              <w:rPr>
                <w:rFonts w:ascii="Wingdings" w:eastAsia="Times New Roman" w:hAnsi="Wingdings" w:cs="Calibri"/>
                <w:color w:val="auto"/>
                <w:sz w:val="18"/>
                <w:szCs w:val="18"/>
                <w:lang w:eastAsia="en-AU"/>
              </w:rPr>
              <w:t></w:t>
            </w:r>
          </w:p>
        </w:tc>
        <w:tc>
          <w:tcPr>
            <w:tcW w:w="1015" w:type="dxa"/>
            <w:tcBorders>
              <w:top w:val="nil"/>
              <w:left w:val="nil"/>
              <w:bottom w:val="single" w:sz="4" w:space="0" w:color="008089"/>
              <w:right w:val="nil"/>
            </w:tcBorders>
            <w:shd w:val="clear" w:color="000000" w:fill="F2F2F2"/>
            <w:noWrap/>
            <w:vAlign w:val="center"/>
            <w:hideMark/>
          </w:tcPr>
          <w:p w14:paraId="14134328"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1,190,000</w:t>
            </w:r>
          </w:p>
        </w:tc>
        <w:tc>
          <w:tcPr>
            <w:tcW w:w="1016" w:type="dxa"/>
            <w:tcBorders>
              <w:top w:val="nil"/>
              <w:left w:val="nil"/>
              <w:bottom w:val="single" w:sz="4" w:space="0" w:color="008089"/>
              <w:right w:val="single" w:sz="8" w:space="0" w:color="008089"/>
            </w:tcBorders>
            <w:shd w:val="clear" w:color="000000" w:fill="F2F2F2"/>
            <w:noWrap/>
            <w:vAlign w:val="center"/>
            <w:hideMark/>
          </w:tcPr>
          <w:p w14:paraId="4204204F" w14:textId="77777777" w:rsidR="00401088" w:rsidRPr="00624169" w:rsidRDefault="00401088" w:rsidP="00401088">
            <w:pPr>
              <w:suppressAutoHyphens w:val="0"/>
              <w:spacing w:before="0" w:after="0"/>
              <w:jc w:val="right"/>
              <w:rPr>
                <w:rFonts w:ascii="Calibri" w:eastAsia="Times New Roman" w:hAnsi="Calibri" w:cs="Calibri"/>
                <w:i/>
                <w:iCs/>
                <w:color w:val="auto"/>
                <w:sz w:val="18"/>
                <w:szCs w:val="18"/>
                <w:lang w:eastAsia="en-AU"/>
              </w:rPr>
            </w:pPr>
            <w:r w:rsidRPr="00624169">
              <w:rPr>
                <w:rFonts w:ascii="Calibri" w:eastAsia="Times New Roman" w:hAnsi="Calibri" w:cs="Calibri"/>
                <w:i/>
                <w:iCs/>
                <w:color w:val="auto"/>
                <w:sz w:val="18"/>
                <w:szCs w:val="18"/>
                <w:lang w:eastAsia="en-AU"/>
              </w:rPr>
              <w:t>nh</w:t>
            </w:r>
          </w:p>
        </w:tc>
      </w:tr>
      <w:tr w:rsidR="00624169" w:rsidRPr="00401088" w14:paraId="7C1C24AA" w14:textId="77777777" w:rsidTr="00624169">
        <w:trPr>
          <w:trHeight w:val="290"/>
          <w:jc w:val="center"/>
        </w:trPr>
        <w:tc>
          <w:tcPr>
            <w:tcW w:w="1502" w:type="dxa"/>
            <w:vMerge/>
            <w:tcBorders>
              <w:top w:val="nil"/>
              <w:left w:val="single" w:sz="8" w:space="0" w:color="008089"/>
              <w:bottom w:val="single" w:sz="8" w:space="0" w:color="008089"/>
              <w:right w:val="nil"/>
            </w:tcBorders>
            <w:vAlign w:val="center"/>
            <w:hideMark/>
          </w:tcPr>
          <w:p w14:paraId="5FAEBD70" w14:textId="77777777" w:rsidR="00401088" w:rsidRPr="00DB204C" w:rsidRDefault="00401088" w:rsidP="00401088">
            <w:pPr>
              <w:suppressAutoHyphens w:val="0"/>
              <w:spacing w:before="0" w:after="0"/>
              <w:rPr>
                <w:rFonts w:ascii="Calibri" w:eastAsia="Times New Roman" w:hAnsi="Calibri" w:cs="Calibri"/>
                <w:b/>
                <w:bCs/>
                <w:color w:val="000000"/>
                <w:sz w:val="18"/>
                <w:szCs w:val="18"/>
                <w:lang w:eastAsia="en-AU"/>
              </w:rPr>
            </w:pPr>
          </w:p>
        </w:tc>
        <w:tc>
          <w:tcPr>
            <w:tcW w:w="3308" w:type="dxa"/>
            <w:tcBorders>
              <w:top w:val="nil"/>
              <w:left w:val="nil"/>
              <w:bottom w:val="single" w:sz="4" w:space="0" w:color="008089"/>
              <w:right w:val="nil"/>
            </w:tcBorders>
            <w:shd w:val="clear" w:color="000000" w:fill="F2F2F2"/>
            <w:noWrap/>
            <w:vAlign w:val="center"/>
            <w:hideMark/>
          </w:tcPr>
          <w:p w14:paraId="4DA667B3" w14:textId="77777777" w:rsidR="00401088" w:rsidRPr="00DB204C" w:rsidRDefault="00401088" w:rsidP="00401088">
            <w:pPr>
              <w:suppressAutoHyphens w:val="0"/>
              <w:spacing w:before="0" w:after="0"/>
              <w:rPr>
                <w:rFonts w:ascii="Calibri" w:eastAsia="Times New Roman" w:hAnsi="Calibri" w:cs="Calibri"/>
                <w:color w:val="000000"/>
                <w:sz w:val="18"/>
                <w:szCs w:val="18"/>
                <w:lang w:eastAsia="en-AU"/>
              </w:rPr>
            </w:pPr>
            <w:r w:rsidRPr="00DB204C">
              <w:rPr>
                <w:rFonts w:ascii="Calibri" w:eastAsia="Times New Roman" w:hAnsi="Calibri" w:cs="Calibri"/>
                <w:color w:val="000000"/>
                <w:sz w:val="18"/>
                <w:szCs w:val="18"/>
                <w:lang w:eastAsia="en-AU"/>
              </w:rPr>
              <w:t>Winter Olympics Opening Ceremony</w:t>
            </w:r>
          </w:p>
        </w:tc>
        <w:tc>
          <w:tcPr>
            <w:tcW w:w="1843" w:type="dxa"/>
            <w:tcBorders>
              <w:top w:val="nil"/>
              <w:left w:val="nil"/>
              <w:bottom w:val="single" w:sz="4" w:space="0" w:color="008089"/>
              <w:right w:val="nil"/>
            </w:tcBorders>
            <w:shd w:val="clear" w:color="000000" w:fill="F2F2F2"/>
            <w:noWrap/>
            <w:vAlign w:val="center"/>
            <w:hideMark/>
          </w:tcPr>
          <w:p w14:paraId="03E51B18" w14:textId="77777777" w:rsidR="00401088" w:rsidRPr="00F85D80" w:rsidRDefault="00401088" w:rsidP="00401088">
            <w:pPr>
              <w:suppressAutoHyphens w:val="0"/>
              <w:spacing w:before="0" w:after="0"/>
              <w:rPr>
                <w:rFonts w:ascii="Calibri" w:eastAsia="Times New Roman" w:hAnsi="Calibri" w:cs="Calibri"/>
                <w:color w:val="000000"/>
                <w:sz w:val="16"/>
                <w:szCs w:val="16"/>
                <w:lang w:eastAsia="en-AU"/>
              </w:rPr>
            </w:pPr>
            <w:r w:rsidRPr="00F85D80">
              <w:rPr>
                <w:rFonts w:ascii="Calibri" w:eastAsia="Times New Roman" w:hAnsi="Calibri" w:cs="Calibri"/>
                <w:color w:val="000000"/>
                <w:sz w:val="16"/>
                <w:szCs w:val="16"/>
                <w:lang w:eastAsia="en-AU"/>
              </w:rPr>
              <w:t>Single event</w:t>
            </w:r>
          </w:p>
        </w:tc>
        <w:tc>
          <w:tcPr>
            <w:tcW w:w="1015" w:type="dxa"/>
            <w:tcBorders>
              <w:top w:val="nil"/>
              <w:left w:val="nil"/>
              <w:bottom w:val="single" w:sz="4" w:space="0" w:color="008089"/>
              <w:right w:val="nil"/>
            </w:tcBorders>
            <w:shd w:val="clear" w:color="000000" w:fill="F2F2F2"/>
            <w:noWrap/>
            <w:vAlign w:val="center"/>
            <w:hideMark/>
          </w:tcPr>
          <w:p w14:paraId="074D0BC3" w14:textId="77777777" w:rsidR="00401088" w:rsidRPr="00624169" w:rsidRDefault="00401088" w:rsidP="00401088">
            <w:pPr>
              <w:suppressAutoHyphens w:val="0"/>
              <w:spacing w:before="0" w:after="0"/>
              <w:jc w:val="right"/>
              <w:rPr>
                <w:rFonts w:ascii="Calibri" w:eastAsia="Times New Roman" w:hAnsi="Calibri" w:cs="Calibri"/>
                <w:i/>
                <w:iCs/>
                <w:color w:val="auto"/>
                <w:sz w:val="18"/>
                <w:szCs w:val="18"/>
                <w:lang w:eastAsia="en-AU"/>
              </w:rPr>
            </w:pPr>
            <w:r w:rsidRPr="00624169">
              <w:rPr>
                <w:rFonts w:ascii="Calibri" w:eastAsia="Times New Roman" w:hAnsi="Calibri" w:cs="Calibri"/>
                <w:i/>
                <w:iCs/>
                <w:color w:val="auto"/>
                <w:sz w:val="18"/>
                <w:szCs w:val="18"/>
                <w:lang w:eastAsia="en-AU"/>
              </w:rPr>
              <w:t>nh</w:t>
            </w:r>
          </w:p>
        </w:tc>
        <w:tc>
          <w:tcPr>
            <w:tcW w:w="1015" w:type="dxa"/>
            <w:tcBorders>
              <w:top w:val="nil"/>
              <w:left w:val="nil"/>
              <w:bottom w:val="single" w:sz="4" w:space="0" w:color="008089"/>
              <w:right w:val="nil"/>
            </w:tcBorders>
            <w:shd w:val="clear" w:color="000000" w:fill="F2F2F2"/>
            <w:noWrap/>
            <w:vAlign w:val="center"/>
            <w:hideMark/>
          </w:tcPr>
          <w:p w14:paraId="31C8F97A" w14:textId="77777777" w:rsidR="00401088" w:rsidRPr="00624169" w:rsidRDefault="00401088" w:rsidP="00401088">
            <w:pPr>
              <w:suppressAutoHyphens w:val="0"/>
              <w:spacing w:before="0" w:after="0"/>
              <w:jc w:val="right"/>
              <w:rPr>
                <w:rFonts w:ascii="Calibri" w:eastAsia="Times New Roman" w:hAnsi="Calibri" w:cs="Calibri"/>
                <w:i/>
                <w:iCs/>
                <w:color w:val="auto"/>
                <w:sz w:val="18"/>
                <w:szCs w:val="18"/>
                <w:lang w:eastAsia="en-AU"/>
              </w:rPr>
            </w:pPr>
            <w:r w:rsidRPr="00624169">
              <w:rPr>
                <w:rFonts w:ascii="Calibri" w:eastAsia="Times New Roman" w:hAnsi="Calibri" w:cs="Calibri"/>
                <w:i/>
                <w:iCs/>
                <w:color w:val="auto"/>
                <w:sz w:val="18"/>
                <w:szCs w:val="18"/>
                <w:lang w:eastAsia="en-AU"/>
              </w:rPr>
              <w:t>nh</w:t>
            </w:r>
          </w:p>
        </w:tc>
        <w:tc>
          <w:tcPr>
            <w:tcW w:w="1016" w:type="dxa"/>
            <w:tcBorders>
              <w:top w:val="nil"/>
              <w:left w:val="nil"/>
              <w:bottom w:val="single" w:sz="4" w:space="0" w:color="008089"/>
              <w:right w:val="nil"/>
            </w:tcBorders>
            <w:shd w:val="clear" w:color="000000" w:fill="F2F2F2"/>
            <w:noWrap/>
            <w:vAlign w:val="center"/>
            <w:hideMark/>
          </w:tcPr>
          <w:p w14:paraId="06179BA9" w14:textId="77777777" w:rsidR="00401088" w:rsidRPr="00624169" w:rsidRDefault="00401088" w:rsidP="00401088">
            <w:pPr>
              <w:suppressAutoHyphens w:val="0"/>
              <w:spacing w:before="0" w:after="0"/>
              <w:jc w:val="right"/>
              <w:rPr>
                <w:rFonts w:ascii="Calibri" w:eastAsia="Times New Roman" w:hAnsi="Calibri" w:cs="Calibri"/>
                <w:i/>
                <w:iCs/>
                <w:color w:val="auto"/>
                <w:sz w:val="18"/>
                <w:szCs w:val="18"/>
                <w:lang w:eastAsia="en-AU"/>
              </w:rPr>
            </w:pPr>
            <w:r w:rsidRPr="00624169">
              <w:rPr>
                <w:rFonts w:ascii="Calibri" w:eastAsia="Times New Roman" w:hAnsi="Calibri" w:cs="Calibri"/>
                <w:i/>
                <w:iCs/>
                <w:color w:val="auto"/>
                <w:sz w:val="18"/>
                <w:szCs w:val="18"/>
                <w:lang w:eastAsia="en-AU"/>
              </w:rPr>
              <w:t>nh</w:t>
            </w:r>
          </w:p>
        </w:tc>
        <w:tc>
          <w:tcPr>
            <w:tcW w:w="1015" w:type="dxa"/>
            <w:tcBorders>
              <w:top w:val="nil"/>
              <w:left w:val="nil"/>
              <w:bottom w:val="single" w:sz="4" w:space="0" w:color="008089"/>
              <w:right w:val="nil"/>
            </w:tcBorders>
            <w:shd w:val="clear" w:color="000000" w:fill="F2F2F2"/>
            <w:noWrap/>
            <w:vAlign w:val="center"/>
            <w:hideMark/>
          </w:tcPr>
          <w:p w14:paraId="52BB49CE"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1,028,000</w:t>
            </w:r>
          </w:p>
        </w:tc>
        <w:tc>
          <w:tcPr>
            <w:tcW w:w="1015" w:type="dxa"/>
            <w:tcBorders>
              <w:top w:val="nil"/>
              <w:left w:val="nil"/>
              <w:bottom w:val="single" w:sz="4" w:space="0" w:color="008089"/>
              <w:right w:val="nil"/>
            </w:tcBorders>
            <w:shd w:val="clear" w:color="000000" w:fill="F2F2F2"/>
            <w:noWrap/>
            <w:vAlign w:val="center"/>
            <w:hideMark/>
          </w:tcPr>
          <w:p w14:paraId="760B5281" w14:textId="77777777" w:rsidR="00401088" w:rsidRPr="00624169" w:rsidRDefault="00401088" w:rsidP="00401088">
            <w:pPr>
              <w:suppressAutoHyphens w:val="0"/>
              <w:spacing w:before="0" w:after="0"/>
              <w:jc w:val="right"/>
              <w:rPr>
                <w:rFonts w:ascii="Calibri" w:eastAsia="Times New Roman" w:hAnsi="Calibri" w:cs="Calibri"/>
                <w:i/>
                <w:iCs/>
                <w:color w:val="auto"/>
                <w:sz w:val="18"/>
                <w:szCs w:val="18"/>
                <w:lang w:eastAsia="en-AU"/>
              </w:rPr>
            </w:pPr>
            <w:r w:rsidRPr="00624169">
              <w:rPr>
                <w:rFonts w:ascii="Calibri" w:eastAsia="Times New Roman" w:hAnsi="Calibri" w:cs="Calibri"/>
                <w:i/>
                <w:iCs/>
                <w:color w:val="auto"/>
                <w:sz w:val="18"/>
                <w:szCs w:val="18"/>
                <w:lang w:eastAsia="en-AU"/>
              </w:rPr>
              <w:t>nh</w:t>
            </w:r>
          </w:p>
        </w:tc>
        <w:tc>
          <w:tcPr>
            <w:tcW w:w="1016" w:type="dxa"/>
            <w:tcBorders>
              <w:top w:val="nil"/>
              <w:left w:val="nil"/>
              <w:bottom w:val="single" w:sz="4" w:space="0" w:color="008089"/>
              <w:right w:val="nil"/>
            </w:tcBorders>
            <w:shd w:val="clear" w:color="000000" w:fill="F2F2F2"/>
            <w:noWrap/>
            <w:vAlign w:val="center"/>
            <w:hideMark/>
          </w:tcPr>
          <w:p w14:paraId="2B690392" w14:textId="77777777" w:rsidR="00401088" w:rsidRPr="00624169" w:rsidRDefault="00401088" w:rsidP="00401088">
            <w:pPr>
              <w:suppressAutoHyphens w:val="0"/>
              <w:spacing w:before="0" w:after="0"/>
              <w:jc w:val="right"/>
              <w:rPr>
                <w:rFonts w:ascii="Calibri" w:eastAsia="Times New Roman" w:hAnsi="Calibri" w:cs="Calibri"/>
                <w:i/>
                <w:iCs/>
                <w:color w:val="auto"/>
                <w:sz w:val="18"/>
                <w:szCs w:val="18"/>
                <w:lang w:eastAsia="en-AU"/>
              </w:rPr>
            </w:pPr>
            <w:r w:rsidRPr="00624169">
              <w:rPr>
                <w:rFonts w:ascii="Calibri" w:eastAsia="Times New Roman" w:hAnsi="Calibri" w:cs="Calibri"/>
                <w:i/>
                <w:iCs/>
                <w:color w:val="auto"/>
                <w:sz w:val="18"/>
                <w:szCs w:val="18"/>
                <w:lang w:eastAsia="en-AU"/>
              </w:rPr>
              <w:t>nh</w:t>
            </w:r>
          </w:p>
        </w:tc>
        <w:tc>
          <w:tcPr>
            <w:tcW w:w="1015" w:type="dxa"/>
            <w:tcBorders>
              <w:top w:val="nil"/>
              <w:left w:val="nil"/>
              <w:bottom w:val="single" w:sz="4" w:space="0" w:color="008089"/>
              <w:right w:val="nil"/>
            </w:tcBorders>
            <w:shd w:val="clear" w:color="000000" w:fill="F2F2F2"/>
            <w:noWrap/>
            <w:vAlign w:val="center"/>
            <w:hideMark/>
          </w:tcPr>
          <w:p w14:paraId="76BAB04F" w14:textId="77777777" w:rsidR="00401088" w:rsidRPr="00624169" w:rsidRDefault="00401088" w:rsidP="00401088">
            <w:pPr>
              <w:suppressAutoHyphens w:val="0"/>
              <w:spacing w:before="0" w:after="0"/>
              <w:jc w:val="right"/>
              <w:rPr>
                <w:rFonts w:ascii="Calibri" w:eastAsia="Times New Roman" w:hAnsi="Calibri" w:cs="Calibri"/>
                <w:i/>
                <w:iCs/>
                <w:color w:val="auto"/>
                <w:sz w:val="18"/>
                <w:szCs w:val="18"/>
                <w:lang w:eastAsia="en-AU"/>
              </w:rPr>
            </w:pPr>
            <w:r w:rsidRPr="00624169">
              <w:rPr>
                <w:rFonts w:ascii="Calibri" w:eastAsia="Times New Roman" w:hAnsi="Calibri" w:cs="Calibri"/>
                <w:i/>
                <w:iCs/>
                <w:color w:val="auto"/>
                <w:sz w:val="18"/>
                <w:szCs w:val="18"/>
                <w:lang w:eastAsia="en-AU"/>
              </w:rPr>
              <w:t>nh</w:t>
            </w:r>
          </w:p>
        </w:tc>
        <w:tc>
          <w:tcPr>
            <w:tcW w:w="1016" w:type="dxa"/>
            <w:tcBorders>
              <w:top w:val="nil"/>
              <w:left w:val="nil"/>
              <w:bottom w:val="single" w:sz="4" w:space="0" w:color="008089"/>
              <w:right w:val="single" w:sz="8" w:space="0" w:color="008089"/>
            </w:tcBorders>
            <w:shd w:val="clear" w:color="000000" w:fill="F2F2F2"/>
            <w:noWrap/>
            <w:vAlign w:val="center"/>
            <w:hideMark/>
          </w:tcPr>
          <w:p w14:paraId="730AB058"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411,000</w:t>
            </w:r>
          </w:p>
        </w:tc>
      </w:tr>
      <w:tr w:rsidR="00624169" w:rsidRPr="00401088" w14:paraId="74D71A0E" w14:textId="77777777" w:rsidTr="00624169">
        <w:trPr>
          <w:trHeight w:val="300"/>
          <w:jc w:val="center"/>
        </w:trPr>
        <w:tc>
          <w:tcPr>
            <w:tcW w:w="1502" w:type="dxa"/>
            <w:vMerge/>
            <w:tcBorders>
              <w:top w:val="nil"/>
              <w:left w:val="single" w:sz="8" w:space="0" w:color="008089"/>
              <w:bottom w:val="single" w:sz="8" w:space="0" w:color="008089"/>
              <w:right w:val="nil"/>
            </w:tcBorders>
            <w:vAlign w:val="center"/>
            <w:hideMark/>
          </w:tcPr>
          <w:p w14:paraId="5EB781F8" w14:textId="77777777" w:rsidR="00401088" w:rsidRPr="00DB204C" w:rsidRDefault="00401088" w:rsidP="00401088">
            <w:pPr>
              <w:suppressAutoHyphens w:val="0"/>
              <w:spacing w:before="0" w:after="0"/>
              <w:rPr>
                <w:rFonts w:ascii="Calibri" w:eastAsia="Times New Roman" w:hAnsi="Calibri" w:cs="Calibri"/>
                <w:b/>
                <w:bCs/>
                <w:color w:val="000000"/>
                <w:sz w:val="18"/>
                <w:szCs w:val="18"/>
                <w:lang w:eastAsia="en-AU"/>
              </w:rPr>
            </w:pPr>
          </w:p>
        </w:tc>
        <w:tc>
          <w:tcPr>
            <w:tcW w:w="3308" w:type="dxa"/>
            <w:tcBorders>
              <w:top w:val="nil"/>
              <w:left w:val="nil"/>
              <w:bottom w:val="single" w:sz="8" w:space="0" w:color="008089"/>
              <w:right w:val="nil"/>
            </w:tcBorders>
            <w:shd w:val="clear" w:color="000000" w:fill="F2F2F2"/>
            <w:noWrap/>
            <w:vAlign w:val="center"/>
            <w:hideMark/>
          </w:tcPr>
          <w:p w14:paraId="4101FCCE" w14:textId="77777777" w:rsidR="00401088" w:rsidRPr="00DB204C" w:rsidRDefault="00401088" w:rsidP="00401088">
            <w:pPr>
              <w:suppressAutoHyphens w:val="0"/>
              <w:spacing w:before="0" w:after="0"/>
              <w:rPr>
                <w:rFonts w:ascii="Calibri" w:eastAsia="Times New Roman" w:hAnsi="Calibri" w:cs="Calibri"/>
                <w:color w:val="000000"/>
                <w:sz w:val="18"/>
                <w:szCs w:val="18"/>
                <w:lang w:eastAsia="en-AU"/>
              </w:rPr>
            </w:pPr>
            <w:r w:rsidRPr="00DB204C">
              <w:rPr>
                <w:rFonts w:ascii="Calibri" w:eastAsia="Times New Roman" w:hAnsi="Calibri" w:cs="Calibri"/>
                <w:color w:val="000000"/>
                <w:sz w:val="18"/>
                <w:szCs w:val="18"/>
                <w:lang w:eastAsia="en-AU"/>
              </w:rPr>
              <w:t>Winter Olympics Events</w:t>
            </w:r>
          </w:p>
        </w:tc>
        <w:tc>
          <w:tcPr>
            <w:tcW w:w="1843" w:type="dxa"/>
            <w:tcBorders>
              <w:top w:val="nil"/>
              <w:left w:val="nil"/>
              <w:bottom w:val="single" w:sz="4" w:space="0" w:color="008089"/>
              <w:right w:val="nil"/>
            </w:tcBorders>
            <w:shd w:val="clear" w:color="000000" w:fill="F2F2F2"/>
            <w:noWrap/>
            <w:vAlign w:val="center"/>
            <w:hideMark/>
          </w:tcPr>
          <w:p w14:paraId="044C5264" w14:textId="77777777" w:rsidR="00401088" w:rsidRPr="00F85D80" w:rsidRDefault="00401088" w:rsidP="00401088">
            <w:pPr>
              <w:suppressAutoHyphens w:val="0"/>
              <w:spacing w:before="0" w:after="0"/>
              <w:rPr>
                <w:rFonts w:ascii="Calibri" w:eastAsia="Times New Roman" w:hAnsi="Calibri" w:cs="Calibri"/>
                <w:color w:val="000000"/>
                <w:sz w:val="16"/>
                <w:szCs w:val="16"/>
                <w:lang w:eastAsia="en-AU"/>
              </w:rPr>
            </w:pPr>
            <w:r w:rsidRPr="00F85D80">
              <w:rPr>
                <w:rFonts w:ascii="Calibri" w:eastAsia="Times New Roman" w:hAnsi="Calibri" w:cs="Calibri"/>
                <w:color w:val="000000"/>
                <w:sz w:val="16"/>
                <w:szCs w:val="16"/>
                <w:lang w:eastAsia="en-AU"/>
              </w:rPr>
              <w:t>Evening broadcast average</w:t>
            </w:r>
          </w:p>
        </w:tc>
        <w:tc>
          <w:tcPr>
            <w:tcW w:w="1015" w:type="dxa"/>
            <w:tcBorders>
              <w:top w:val="nil"/>
              <w:left w:val="nil"/>
              <w:bottom w:val="single" w:sz="4" w:space="0" w:color="008089"/>
              <w:right w:val="nil"/>
            </w:tcBorders>
            <w:shd w:val="clear" w:color="000000" w:fill="F2F2F2"/>
            <w:noWrap/>
            <w:vAlign w:val="center"/>
            <w:hideMark/>
          </w:tcPr>
          <w:p w14:paraId="7F017AD9" w14:textId="77777777" w:rsidR="00401088" w:rsidRPr="00624169" w:rsidRDefault="00401088" w:rsidP="00401088">
            <w:pPr>
              <w:suppressAutoHyphens w:val="0"/>
              <w:spacing w:before="0" w:after="0"/>
              <w:jc w:val="right"/>
              <w:rPr>
                <w:rFonts w:ascii="Calibri" w:eastAsia="Times New Roman" w:hAnsi="Calibri" w:cs="Calibri"/>
                <w:i/>
                <w:iCs/>
                <w:color w:val="auto"/>
                <w:sz w:val="18"/>
                <w:szCs w:val="18"/>
                <w:lang w:eastAsia="en-AU"/>
              </w:rPr>
            </w:pPr>
            <w:r w:rsidRPr="00624169">
              <w:rPr>
                <w:rFonts w:ascii="Calibri" w:eastAsia="Times New Roman" w:hAnsi="Calibri" w:cs="Calibri"/>
                <w:i/>
                <w:iCs/>
                <w:color w:val="auto"/>
                <w:sz w:val="18"/>
                <w:szCs w:val="18"/>
                <w:lang w:eastAsia="en-AU"/>
              </w:rPr>
              <w:t>nh</w:t>
            </w:r>
          </w:p>
        </w:tc>
        <w:tc>
          <w:tcPr>
            <w:tcW w:w="1015" w:type="dxa"/>
            <w:tcBorders>
              <w:top w:val="nil"/>
              <w:left w:val="nil"/>
              <w:bottom w:val="single" w:sz="4" w:space="0" w:color="008089"/>
              <w:right w:val="nil"/>
            </w:tcBorders>
            <w:shd w:val="clear" w:color="000000" w:fill="F2F2F2"/>
            <w:noWrap/>
            <w:vAlign w:val="center"/>
            <w:hideMark/>
          </w:tcPr>
          <w:p w14:paraId="76D2E3B2" w14:textId="77777777" w:rsidR="00401088" w:rsidRPr="00624169" w:rsidRDefault="00401088" w:rsidP="00401088">
            <w:pPr>
              <w:suppressAutoHyphens w:val="0"/>
              <w:spacing w:before="0" w:after="0"/>
              <w:jc w:val="right"/>
              <w:rPr>
                <w:rFonts w:ascii="Calibri" w:eastAsia="Times New Roman" w:hAnsi="Calibri" w:cs="Calibri"/>
                <w:i/>
                <w:iCs/>
                <w:color w:val="auto"/>
                <w:sz w:val="18"/>
                <w:szCs w:val="18"/>
                <w:lang w:eastAsia="en-AU"/>
              </w:rPr>
            </w:pPr>
            <w:r w:rsidRPr="00624169">
              <w:rPr>
                <w:rFonts w:ascii="Calibri" w:eastAsia="Times New Roman" w:hAnsi="Calibri" w:cs="Calibri"/>
                <w:i/>
                <w:iCs/>
                <w:color w:val="auto"/>
                <w:sz w:val="18"/>
                <w:szCs w:val="18"/>
                <w:lang w:eastAsia="en-AU"/>
              </w:rPr>
              <w:t>nh</w:t>
            </w:r>
          </w:p>
        </w:tc>
        <w:tc>
          <w:tcPr>
            <w:tcW w:w="1016" w:type="dxa"/>
            <w:tcBorders>
              <w:top w:val="nil"/>
              <w:left w:val="nil"/>
              <w:bottom w:val="single" w:sz="4" w:space="0" w:color="008089"/>
              <w:right w:val="nil"/>
            </w:tcBorders>
            <w:shd w:val="clear" w:color="000000" w:fill="F2F2F2"/>
            <w:noWrap/>
            <w:vAlign w:val="center"/>
            <w:hideMark/>
          </w:tcPr>
          <w:p w14:paraId="13761017" w14:textId="77777777" w:rsidR="00401088" w:rsidRPr="00624169" w:rsidRDefault="00401088" w:rsidP="00401088">
            <w:pPr>
              <w:suppressAutoHyphens w:val="0"/>
              <w:spacing w:before="0" w:after="0"/>
              <w:jc w:val="right"/>
              <w:rPr>
                <w:rFonts w:ascii="Calibri" w:eastAsia="Times New Roman" w:hAnsi="Calibri" w:cs="Calibri"/>
                <w:i/>
                <w:iCs/>
                <w:color w:val="auto"/>
                <w:sz w:val="18"/>
                <w:szCs w:val="18"/>
                <w:lang w:eastAsia="en-AU"/>
              </w:rPr>
            </w:pPr>
            <w:r w:rsidRPr="00624169">
              <w:rPr>
                <w:rFonts w:ascii="Calibri" w:eastAsia="Times New Roman" w:hAnsi="Calibri" w:cs="Calibri"/>
                <w:i/>
                <w:iCs/>
                <w:color w:val="auto"/>
                <w:sz w:val="18"/>
                <w:szCs w:val="18"/>
                <w:lang w:eastAsia="en-AU"/>
              </w:rPr>
              <w:t>nh</w:t>
            </w:r>
          </w:p>
        </w:tc>
        <w:tc>
          <w:tcPr>
            <w:tcW w:w="1015" w:type="dxa"/>
            <w:tcBorders>
              <w:top w:val="nil"/>
              <w:left w:val="nil"/>
              <w:bottom w:val="single" w:sz="8" w:space="0" w:color="008089"/>
              <w:right w:val="nil"/>
            </w:tcBorders>
            <w:shd w:val="clear" w:color="000000" w:fill="F2F2F2"/>
            <w:noWrap/>
            <w:vAlign w:val="center"/>
            <w:hideMark/>
          </w:tcPr>
          <w:p w14:paraId="3353EF8A"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758,000</w:t>
            </w:r>
          </w:p>
        </w:tc>
        <w:tc>
          <w:tcPr>
            <w:tcW w:w="1015" w:type="dxa"/>
            <w:tcBorders>
              <w:top w:val="nil"/>
              <w:left w:val="nil"/>
              <w:bottom w:val="single" w:sz="4" w:space="0" w:color="008089"/>
              <w:right w:val="nil"/>
            </w:tcBorders>
            <w:shd w:val="clear" w:color="000000" w:fill="F2F2F2"/>
            <w:noWrap/>
            <w:vAlign w:val="center"/>
            <w:hideMark/>
          </w:tcPr>
          <w:p w14:paraId="361948EA" w14:textId="77777777" w:rsidR="00401088" w:rsidRPr="00624169" w:rsidRDefault="00401088" w:rsidP="00401088">
            <w:pPr>
              <w:suppressAutoHyphens w:val="0"/>
              <w:spacing w:before="0" w:after="0"/>
              <w:jc w:val="right"/>
              <w:rPr>
                <w:rFonts w:ascii="Calibri" w:eastAsia="Times New Roman" w:hAnsi="Calibri" w:cs="Calibri"/>
                <w:i/>
                <w:iCs/>
                <w:color w:val="auto"/>
                <w:sz w:val="18"/>
                <w:szCs w:val="18"/>
                <w:lang w:eastAsia="en-AU"/>
              </w:rPr>
            </w:pPr>
            <w:r w:rsidRPr="00624169">
              <w:rPr>
                <w:rFonts w:ascii="Calibri" w:eastAsia="Times New Roman" w:hAnsi="Calibri" w:cs="Calibri"/>
                <w:i/>
                <w:iCs/>
                <w:color w:val="auto"/>
                <w:sz w:val="18"/>
                <w:szCs w:val="18"/>
                <w:lang w:eastAsia="en-AU"/>
              </w:rPr>
              <w:t>nh</w:t>
            </w:r>
          </w:p>
        </w:tc>
        <w:tc>
          <w:tcPr>
            <w:tcW w:w="1016" w:type="dxa"/>
            <w:tcBorders>
              <w:top w:val="nil"/>
              <w:left w:val="nil"/>
              <w:bottom w:val="single" w:sz="4" w:space="0" w:color="008089"/>
              <w:right w:val="nil"/>
            </w:tcBorders>
            <w:shd w:val="clear" w:color="000000" w:fill="F2F2F2"/>
            <w:noWrap/>
            <w:vAlign w:val="center"/>
            <w:hideMark/>
          </w:tcPr>
          <w:p w14:paraId="030F134D" w14:textId="77777777" w:rsidR="00401088" w:rsidRPr="00624169" w:rsidRDefault="00401088" w:rsidP="00401088">
            <w:pPr>
              <w:suppressAutoHyphens w:val="0"/>
              <w:spacing w:before="0" w:after="0"/>
              <w:jc w:val="right"/>
              <w:rPr>
                <w:rFonts w:ascii="Calibri" w:eastAsia="Times New Roman" w:hAnsi="Calibri" w:cs="Calibri"/>
                <w:i/>
                <w:iCs/>
                <w:color w:val="auto"/>
                <w:sz w:val="18"/>
                <w:szCs w:val="18"/>
                <w:lang w:eastAsia="en-AU"/>
              </w:rPr>
            </w:pPr>
            <w:r w:rsidRPr="00624169">
              <w:rPr>
                <w:rFonts w:ascii="Calibri" w:eastAsia="Times New Roman" w:hAnsi="Calibri" w:cs="Calibri"/>
                <w:i/>
                <w:iCs/>
                <w:color w:val="auto"/>
                <w:sz w:val="18"/>
                <w:szCs w:val="18"/>
                <w:lang w:eastAsia="en-AU"/>
              </w:rPr>
              <w:t>nh</w:t>
            </w:r>
          </w:p>
        </w:tc>
        <w:tc>
          <w:tcPr>
            <w:tcW w:w="1015" w:type="dxa"/>
            <w:tcBorders>
              <w:top w:val="nil"/>
              <w:left w:val="nil"/>
              <w:bottom w:val="single" w:sz="4" w:space="0" w:color="008089"/>
              <w:right w:val="nil"/>
            </w:tcBorders>
            <w:shd w:val="clear" w:color="000000" w:fill="F2F2F2"/>
            <w:noWrap/>
            <w:vAlign w:val="center"/>
            <w:hideMark/>
          </w:tcPr>
          <w:p w14:paraId="74641FBA" w14:textId="77777777" w:rsidR="00401088" w:rsidRPr="00624169" w:rsidRDefault="00401088" w:rsidP="00401088">
            <w:pPr>
              <w:suppressAutoHyphens w:val="0"/>
              <w:spacing w:before="0" w:after="0"/>
              <w:jc w:val="right"/>
              <w:rPr>
                <w:rFonts w:ascii="Calibri" w:eastAsia="Times New Roman" w:hAnsi="Calibri" w:cs="Calibri"/>
                <w:i/>
                <w:iCs/>
                <w:color w:val="auto"/>
                <w:sz w:val="18"/>
                <w:szCs w:val="18"/>
                <w:lang w:eastAsia="en-AU"/>
              </w:rPr>
            </w:pPr>
            <w:r w:rsidRPr="00624169">
              <w:rPr>
                <w:rFonts w:ascii="Calibri" w:eastAsia="Times New Roman" w:hAnsi="Calibri" w:cs="Calibri"/>
                <w:i/>
                <w:iCs/>
                <w:color w:val="auto"/>
                <w:sz w:val="18"/>
                <w:szCs w:val="18"/>
                <w:lang w:eastAsia="en-AU"/>
              </w:rPr>
              <w:t>nh</w:t>
            </w:r>
          </w:p>
        </w:tc>
        <w:tc>
          <w:tcPr>
            <w:tcW w:w="1016" w:type="dxa"/>
            <w:tcBorders>
              <w:top w:val="nil"/>
              <w:left w:val="nil"/>
              <w:bottom w:val="single" w:sz="8" w:space="0" w:color="008089"/>
              <w:right w:val="single" w:sz="8" w:space="0" w:color="008089"/>
            </w:tcBorders>
            <w:shd w:val="clear" w:color="000000" w:fill="F2F2F2"/>
            <w:noWrap/>
            <w:vAlign w:val="center"/>
            <w:hideMark/>
          </w:tcPr>
          <w:p w14:paraId="40220999"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516,000</w:t>
            </w:r>
          </w:p>
        </w:tc>
      </w:tr>
      <w:tr w:rsidR="00624169" w:rsidRPr="00401088" w14:paraId="484BC775" w14:textId="77777777" w:rsidTr="00624169">
        <w:trPr>
          <w:trHeight w:val="290"/>
          <w:jc w:val="center"/>
        </w:trPr>
        <w:tc>
          <w:tcPr>
            <w:tcW w:w="1502" w:type="dxa"/>
            <w:vMerge w:val="restart"/>
            <w:tcBorders>
              <w:top w:val="nil"/>
              <w:left w:val="single" w:sz="8" w:space="0" w:color="008089"/>
              <w:bottom w:val="nil"/>
              <w:right w:val="nil"/>
            </w:tcBorders>
            <w:shd w:val="clear" w:color="000000" w:fill="F2F2F2"/>
            <w:noWrap/>
            <w:vAlign w:val="center"/>
            <w:hideMark/>
          </w:tcPr>
          <w:p w14:paraId="7B0F855E" w14:textId="77777777" w:rsidR="00401088" w:rsidRPr="00DB204C" w:rsidRDefault="00401088" w:rsidP="00401088">
            <w:pPr>
              <w:suppressAutoHyphens w:val="0"/>
              <w:spacing w:before="0" w:after="0"/>
              <w:jc w:val="center"/>
              <w:rPr>
                <w:rFonts w:ascii="Calibri" w:eastAsia="Times New Roman" w:hAnsi="Calibri" w:cs="Calibri"/>
                <w:b/>
                <w:bCs/>
                <w:color w:val="000000"/>
                <w:sz w:val="18"/>
                <w:szCs w:val="18"/>
                <w:lang w:eastAsia="en-AU"/>
              </w:rPr>
            </w:pPr>
            <w:r w:rsidRPr="00DB204C">
              <w:rPr>
                <w:rFonts w:ascii="Calibri" w:eastAsia="Times New Roman" w:hAnsi="Calibri" w:cs="Calibri"/>
                <w:b/>
                <w:bCs/>
                <w:color w:val="000000"/>
                <w:sz w:val="18"/>
                <w:szCs w:val="18"/>
                <w:lang w:eastAsia="en-AU"/>
              </w:rPr>
              <w:t>Commonwealth Games</w:t>
            </w:r>
          </w:p>
        </w:tc>
        <w:tc>
          <w:tcPr>
            <w:tcW w:w="3308" w:type="dxa"/>
            <w:tcBorders>
              <w:top w:val="nil"/>
              <w:left w:val="nil"/>
              <w:bottom w:val="single" w:sz="4" w:space="0" w:color="008089"/>
              <w:right w:val="nil"/>
            </w:tcBorders>
            <w:shd w:val="clear" w:color="000000" w:fill="F2F2F2"/>
            <w:noWrap/>
            <w:vAlign w:val="center"/>
            <w:hideMark/>
          </w:tcPr>
          <w:p w14:paraId="1D7C51C6" w14:textId="77777777" w:rsidR="00401088" w:rsidRPr="00DB204C" w:rsidRDefault="00401088" w:rsidP="00401088">
            <w:pPr>
              <w:suppressAutoHyphens w:val="0"/>
              <w:spacing w:before="0" w:after="0"/>
              <w:rPr>
                <w:rFonts w:ascii="Calibri" w:eastAsia="Times New Roman" w:hAnsi="Calibri" w:cs="Calibri"/>
                <w:color w:val="000000"/>
                <w:sz w:val="18"/>
                <w:szCs w:val="18"/>
                <w:lang w:eastAsia="en-AU"/>
              </w:rPr>
            </w:pPr>
            <w:r w:rsidRPr="00DB204C">
              <w:rPr>
                <w:rFonts w:ascii="Calibri" w:eastAsia="Times New Roman" w:hAnsi="Calibri" w:cs="Calibri"/>
                <w:color w:val="000000"/>
                <w:sz w:val="18"/>
                <w:szCs w:val="18"/>
                <w:lang w:eastAsia="en-AU"/>
              </w:rPr>
              <w:t>Opening Ceremony</w:t>
            </w:r>
          </w:p>
        </w:tc>
        <w:tc>
          <w:tcPr>
            <w:tcW w:w="1843" w:type="dxa"/>
            <w:tcBorders>
              <w:top w:val="single" w:sz="8" w:space="0" w:color="008089"/>
              <w:left w:val="nil"/>
              <w:bottom w:val="single" w:sz="4" w:space="0" w:color="008089"/>
              <w:right w:val="nil"/>
            </w:tcBorders>
            <w:shd w:val="clear" w:color="000000" w:fill="F2F2F2"/>
            <w:noWrap/>
            <w:vAlign w:val="center"/>
            <w:hideMark/>
          </w:tcPr>
          <w:p w14:paraId="4559DEB0" w14:textId="77777777" w:rsidR="00401088" w:rsidRPr="00F85D80" w:rsidRDefault="00401088" w:rsidP="00401088">
            <w:pPr>
              <w:suppressAutoHyphens w:val="0"/>
              <w:spacing w:before="0" w:after="0"/>
              <w:rPr>
                <w:rFonts w:ascii="Calibri" w:eastAsia="Times New Roman" w:hAnsi="Calibri" w:cs="Calibri"/>
                <w:color w:val="000000"/>
                <w:sz w:val="16"/>
                <w:szCs w:val="16"/>
                <w:lang w:eastAsia="en-AU"/>
              </w:rPr>
            </w:pPr>
            <w:r w:rsidRPr="00F85D80">
              <w:rPr>
                <w:rFonts w:ascii="Calibri" w:eastAsia="Times New Roman" w:hAnsi="Calibri" w:cs="Calibri"/>
                <w:color w:val="000000"/>
                <w:sz w:val="16"/>
                <w:szCs w:val="16"/>
                <w:lang w:eastAsia="en-AU"/>
              </w:rPr>
              <w:t>Single event</w:t>
            </w:r>
          </w:p>
        </w:tc>
        <w:tc>
          <w:tcPr>
            <w:tcW w:w="1015" w:type="dxa"/>
            <w:tcBorders>
              <w:top w:val="single" w:sz="8" w:space="0" w:color="008089"/>
              <w:left w:val="nil"/>
              <w:bottom w:val="single" w:sz="4" w:space="0" w:color="008089"/>
              <w:right w:val="nil"/>
            </w:tcBorders>
            <w:shd w:val="clear" w:color="000000" w:fill="F2F2F2"/>
            <w:noWrap/>
            <w:vAlign w:val="center"/>
            <w:hideMark/>
          </w:tcPr>
          <w:p w14:paraId="23C0E3E6" w14:textId="77777777" w:rsidR="00401088" w:rsidRPr="00624169" w:rsidRDefault="00401088" w:rsidP="00401088">
            <w:pPr>
              <w:suppressAutoHyphens w:val="0"/>
              <w:spacing w:before="0" w:after="0"/>
              <w:jc w:val="right"/>
              <w:rPr>
                <w:rFonts w:ascii="Calibri" w:eastAsia="Times New Roman" w:hAnsi="Calibri" w:cs="Calibri"/>
                <w:i/>
                <w:iCs/>
                <w:color w:val="auto"/>
                <w:sz w:val="18"/>
                <w:szCs w:val="18"/>
                <w:lang w:eastAsia="en-AU"/>
              </w:rPr>
            </w:pPr>
            <w:r w:rsidRPr="00624169">
              <w:rPr>
                <w:rFonts w:ascii="Calibri" w:eastAsia="Times New Roman" w:hAnsi="Calibri" w:cs="Calibri"/>
                <w:i/>
                <w:iCs/>
                <w:color w:val="auto"/>
                <w:sz w:val="18"/>
                <w:szCs w:val="18"/>
                <w:lang w:eastAsia="en-AU"/>
              </w:rPr>
              <w:t>nh</w:t>
            </w:r>
          </w:p>
        </w:tc>
        <w:tc>
          <w:tcPr>
            <w:tcW w:w="1015" w:type="dxa"/>
            <w:tcBorders>
              <w:top w:val="single" w:sz="8" w:space="0" w:color="008089"/>
              <w:left w:val="nil"/>
              <w:bottom w:val="single" w:sz="4" w:space="0" w:color="008089"/>
              <w:right w:val="nil"/>
            </w:tcBorders>
            <w:shd w:val="clear" w:color="000000" w:fill="F2F2F2"/>
            <w:noWrap/>
            <w:vAlign w:val="center"/>
            <w:hideMark/>
          </w:tcPr>
          <w:p w14:paraId="39F3BFDA" w14:textId="77777777" w:rsidR="00401088" w:rsidRPr="00624169" w:rsidRDefault="00401088" w:rsidP="00401088">
            <w:pPr>
              <w:suppressAutoHyphens w:val="0"/>
              <w:spacing w:before="0" w:after="0"/>
              <w:jc w:val="right"/>
              <w:rPr>
                <w:rFonts w:ascii="Calibri" w:eastAsia="Times New Roman" w:hAnsi="Calibri" w:cs="Calibri"/>
                <w:i/>
                <w:iCs/>
                <w:color w:val="auto"/>
                <w:sz w:val="18"/>
                <w:szCs w:val="18"/>
                <w:lang w:eastAsia="en-AU"/>
              </w:rPr>
            </w:pPr>
            <w:r w:rsidRPr="00624169">
              <w:rPr>
                <w:rFonts w:ascii="Calibri" w:eastAsia="Times New Roman" w:hAnsi="Calibri" w:cs="Calibri"/>
                <w:i/>
                <w:iCs/>
                <w:color w:val="auto"/>
                <w:sz w:val="18"/>
                <w:szCs w:val="18"/>
                <w:lang w:eastAsia="en-AU"/>
              </w:rPr>
              <w:t>nh</w:t>
            </w:r>
          </w:p>
        </w:tc>
        <w:tc>
          <w:tcPr>
            <w:tcW w:w="1016" w:type="dxa"/>
            <w:tcBorders>
              <w:top w:val="single" w:sz="8" w:space="0" w:color="008089"/>
              <w:left w:val="nil"/>
              <w:bottom w:val="single" w:sz="4" w:space="0" w:color="008089"/>
              <w:right w:val="nil"/>
            </w:tcBorders>
            <w:shd w:val="clear" w:color="000000" w:fill="F2F2F2"/>
            <w:noWrap/>
            <w:vAlign w:val="center"/>
            <w:hideMark/>
          </w:tcPr>
          <w:p w14:paraId="5713EB1B" w14:textId="77777777" w:rsidR="00401088" w:rsidRPr="00624169" w:rsidRDefault="00401088" w:rsidP="00401088">
            <w:pPr>
              <w:suppressAutoHyphens w:val="0"/>
              <w:spacing w:before="0" w:after="0"/>
              <w:jc w:val="right"/>
              <w:rPr>
                <w:rFonts w:ascii="Calibri" w:eastAsia="Times New Roman" w:hAnsi="Calibri" w:cs="Calibri"/>
                <w:i/>
                <w:iCs/>
                <w:color w:val="auto"/>
                <w:sz w:val="18"/>
                <w:szCs w:val="18"/>
                <w:lang w:eastAsia="en-AU"/>
              </w:rPr>
            </w:pPr>
            <w:r w:rsidRPr="00624169">
              <w:rPr>
                <w:rFonts w:ascii="Calibri" w:eastAsia="Times New Roman" w:hAnsi="Calibri" w:cs="Calibri"/>
                <w:i/>
                <w:iCs/>
                <w:color w:val="auto"/>
                <w:sz w:val="18"/>
                <w:szCs w:val="18"/>
                <w:lang w:eastAsia="en-AU"/>
              </w:rPr>
              <w:t>nh</w:t>
            </w:r>
          </w:p>
        </w:tc>
        <w:tc>
          <w:tcPr>
            <w:tcW w:w="1015" w:type="dxa"/>
            <w:tcBorders>
              <w:top w:val="nil"/>
              <w:left w:val="nil"/>
              <w:bottom w:val="single" w:sz="4" w:space="0" w:color="008089"/>
              <w:right w:val="nil"/>
            </w:tcBorders>
            <w:shd w:val="clear" w:color="000000" w:fill="F2F2F2"/>
            <w:noWrap/>
            <w:vAlign w:val="center"/>
            <w:hideMark/>
          </w:tcPr>
          <w:p w14:paraId="322F4DA4"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2,035,000</w:t>
            </w:r>
          </w:p>
        </w:tc>
        <w:tc>
          <w:tcPr>
            <w:tcW w:w="1015" w:type="dxa"/>
            <w:tcBorders>
              <w:top w:val="single" w:sz="8" w:space="0" w:color="008089"/>
              <w:left w:val="nil"/>
              <w:bottom w:val="single" w:sz="4" w:space="0" w:color="008089"/>
              <w:right w:val="nil"/>
            </w:tcBorders>
            <w:shd w:val="clear" w:color="000000" w:fill="F2F2F2"/>
            <w:noWrap/>
            <w:vAlign w:val="center"/>
            <w:hideMark/>
          </w:tcPr>
          <w:p w14:paraId="5BC25675" w14:textId="77777777" w:rsidR="00401088" w:rsidRPr="00624169" w:rsidRDefault="00401088" w:rsidP="00401088">
            <w:pPr>
              <w:suppressAutoHyphens w:val="0"/>
              <w:spacing w:before="0" w:after="0"/>
              <w:jc w:val="right"/>
              <w:rPr>
                <w:rFonts w:ascii="Calibri" w:eastAsia="Times New Roman" w:hAnsi="Calibri" w:cs="Calibri"/>
                <w:i/>
                <w:iCs/>
                <w:color w:val="auto"/>
                <w:sz w:val="18"/>
                <w:szCs w:val="18"/>
                <w:lang w:eastAsia="en-AU"/>
              </w:rPr>
            </w:pPr>
            <w:r w:rsidRPr="00624169">
              <w:rPr>
                <w:rFonts w:ascii="Calibri" w:eastAsia="Times New Roman" w:hAnsi="Calibri" w:cs="Calibri"/>
                <w:i/>
                <w:iCs/>
                <w:color w:val="auto"/>
                <w:sz w:val="18"/>
                <w:szCs w:val="18"/>
                <w:lang w:eastAsia="en-AU"/>
              </w:rPr>
              <w:t>nh</w:t>
            </w:r>
          </w:p>
        </w:tc>
        <w:tc>
          <w:tcPr>
            <w:tcW w:w="1016" w:type="dxa"/>
            <w:tcBorders>
              <w:top w:val="single" w:sz="8" w:space="0" w:color="008089"/>
              <w:left w:val="nil"/>
              <w:bottom w:val="single" w:sz="4" w:space="0" w:color="008089"/>
              <w:right w:val="nil"/>
            </w:tcBorders>
            <w:shd w:val="clear" w:color="000000" w:fill="F2F2F2"/>
            <w:noWrap/>
            <w:vAlign w:val="center"/>
            <w:hideMark/>
          </w:tcPr>
          <w:p w14:paraId="497BA417" w14:textId="77777777" w:rsidR="00401088" w:rsidRPr="00624169" w:rsidRDefault="00401088" w:rsidP="00401088">
            <w:pPr>
              <w:suppressAutoHyphens w:val="0"/>
              <w:spacing w:before="0" w:after="0"/>
              <w:jc w:val="right"/>
              <w:rPr>
                <w:rFonts w:ascii="Calibri" w:eastAsia="Times New Roman" w:hAnsi="Calibri" w:cs="Calibri"/>
                <w:i/>
                <w:iCs/>
                <w:color w:val="auto"/>
                <w:sz w:val="18"/>
                <w:szCs w:val="18"/>
                <w:lang w:eastAsia="en-AU"/>
              </w:rPr>
            </w:pPr>
            <w:r w:rsidRPr="00624169">
              <w:rPr>
                <w:rFonts w:ascii="Calibri" w:eastAsia="Times New Roman" w:hAnsi="Calibri" w:cs="Calibri"/>
                <w:i/>
                <w:iCs/>
                <w:color w:val="auto"/>
                <w:sz w:val="18"/>
                <w:szCs w:val="18"/>
                <w:lang w:eastAsia="en-AU"/>
              </w:rPr>
              <w:t>nh</w:t>
            </w:r>
          </w:p>
        </w:tc>
        <w:tc>
          <w:tcPr>
            <w:tcW w:w="1015" w:type="dxa"/>
            <w:tcBorders>
              <w:top w:val="single" w:sz="8" w:space="0" w:color="008089"/>
              <w:left w:val="nil"/>
              <w:bottom w:val="single" w:sz="4" w:space="0" w:color="008089"/>
              <w:right w:val="nil"/>
            </w:tcBorders>
            <w:shd w:val="clear" w:color="000000" w:fill="F2F2F2"/>
            <w:noWrap/>
            <w:vAlign w:val="center"/>
            <w:hideMark/>
          </w:tcPr>
          <w:p w14:paraId="2752DB2D" w14:textId="77777777" w:rsidR="00401088" w:rsidRPr="00624169" w:rsidRDefault="00401088" w:rsidP="00401088">
            <w:pPr>
              <w:suppressAutoHyphens w:val="0"/>
              <w:spacing w:before="0" w:after="0"/>
              <w:jc w:val="right"/>
              <w:rPr>
                <w:rFonts w:ascii="Calibri" w:eastAsia="Times New Roman" w:hAnsi="Calibri" w:cs="Calibri"/>
                <w:i/>
                <w:iCs/>
                <w:color w:val="auto"/>
                <w:sz w:val="18"/>
                <w:szCs w:val="18"/>
                <w:lang w:eastAsia="en-AU"/>
              </w:rPr>
            </w:pPr>
            <w:r w:rsidRPr="00624169">
              <w:rPr>
                <w:rFonts w:ascii="Calibri" w:eastAsia="Times New Roman" w:hAnsi="Calibri" w:cs="Calibri"/>
                <w:i/>
                <w:iCs/>
                <w:color w:val="auto"/>
                <w:sz w:val="18"/>
                <w:szCs w:val="18"/>
                <w:lang w:eastAsia="en-AU"/>
              </w:rPr>
              <w:t>nh</w:t>
            </w:r>
          </w:p>
        </w:tc>
        <w:tc>
          <w:tcPr>
            <w:tcW w:w="1016" w:type="dxa"/>
            <w:tcBorders>
              <w:top w:val="single" w:sz="4" w:space="0" w:color="008089"/>
              <w:left w:val="nil"/>
              <w:bottom w:val="single" w:sz="4" w:space="0" w:color="008089"/>
              <w:right w:val="single" w:sz="8" w:space="0" w:color="008089"/>
            </w:tcBorders>
            <w:shd w:val="clear" w:color="000000" w:fill="F2F2F2"/>
            <w:noWrap/>
            <w:vAlign w:val="center"/>
            <w:hideMark/>
          </w:tcPr>
          <w:p w14:paraId="30AF1881" w14:textId="77777777" w:rsidR="00401088" w:rsidRPr="00624169" w:rsidRDefault="00401088" w:rsidP="00401088">
            <w:pPr>
              <w:suppressAutoHyphens w:val="0"/>
              <w:spacing w:before="0" w:after="0"/>
              <w:jc w:val="right"/>
              <w:rPr>
                <w:rFonts w:ascii="Calibri" w:eastAsia="Times New Roman" w:hAnsi="Calibri" w:cs="Calibri"/>
                <w:b/>
                <w:bCs/>
                <w:color w:val="000000"/>
                <w:sz w:val="18"/>
                <w:szCs w:val="18"/>
                <w:lang w:eastAsia="en-AU"/>
              </w:rPr>
            </w:pPr>
            <w:r w:rsidRPr="00624169">
              <w:rPr>
                <w:rFonts w:ascii="Calibri" w:eastAsia="Times New Roman" w:hAnsi="Calibri" w:cs="Calibri"/>
                <w:b/>
                <w:bCs/>
                <w:color w:val="000000"/>
                <w:sz w:val="18"/>
                <w:szCs w:val="18"/>
                <w:lang w:eastAsia="en-AU"/>
              </w:rPr>
              <w:t>202,000</w:t>
            </w:r>
          </w:p>
        </w:tc>
      </w:tr>
      <w:tr w:rsidR="00624169" w:rsidRPr="00401088" w14:paraId="78B62633" w14:textId="77777777" w:rsidTr="00624169">
        <w:trPr>
          <w:trHeight w:val="300"/>
          <w:jc w:val="center"/>
        </w:trPr>
        <w:tc>
          <w:tcPr>
            <w:tcW w:w="1502" w:type="dxa"/>
            <w:vMerge/>
            <w:tcBorders>
              <w:top w:val="nil"/>
              <w:left w:val="single" w:sz="8" w:space="0" w:color="008089"/>
              <w:bottom w:val="nil"/>
              <w:right w:val="nil"/>
            </w:tcBorders>
            <w:vAlign w:val="center"/>
            <w:hideMark/>
          </w:tcPr>
          <w:p w14:paraId="1E2FAEFE" w14:textId="77777777" w:rsidR="00401088" w:rsidRPr="00DB204C" w:rsidRDefault="00401088" w:rsidP="00401088">
            <w:pPr>
              <w:suppressAutoHyphens w:val="0"/>
              <w:spacing w:before="0" w:after="0"/>
              <w:rPr>
                <w:rFonts w:ascii="Calibri" w:eastAsia="Times New Roman" w:hAnsi="Calibri" w:cs="Calibri"/>
                <w:b/>
                <w:bCs/>
                <w:color w:val="000000"/>
                <w:sz w:val="18"/>
                <w:szCs w:val="18"/>
                <w:lang w:eastAsia="en-AU"/>
              </w:rPr>
            </w:pPr>
          </w:p>
        </w:tc>
        <w:tc>
          <w:tcPr>
            <w:tcW w:w="3308" w:type="dxa"/>
            <w:tcBorders>
              <w:top w:val="nil"/>
              <w:left w:val="nil"/>
              <w:bottom w:val="single" w:sz="4" w:space="0" w:color="008089"/>
              <w:right w:val="nil"/>
            </w:tcBorders>
            <w:shd w:val="clear" w:color="000000" w:fill="F2F2F2"/>
            <w:noWrap/>
            <w:vAlign w:val="center"/>
            <w:hideMark/>
          </w:tcPr>
          <w:p w14:paraId="265917CC" w14:textId="77777777" w:rsidR="00401088" w:rsidRPr="00DB204C" w:rsidRDefault="00401088" w:rsidP="00401088">
            <w:pPr>
              <w:suppressAutoHyphens w:val="0"/>
              <w:spacing w:before="0" w:after="0"/>
              <w:rPr>
                <w:rFonts w:ascii="Calibri" w:eastAsia="Times New Roman" w:hAnsi="Calibri" w:cs="Calibri"/>
                <w:color w:val="000000"/>
                <w:sz w:val="18"/>
                <w:szCs w:val="18"/>
                <w:lang w:eastAsia="en-AU"/>
              </w:rPr>
            </w:pPr>
            <w:r w:rsidRPr="00DB204C">
              <w:rPr>
                <w:rFonts w:ascii="Calibri" w:eastAsia="Times New Roman" w:hAnsi="Calibri" w:cs="Calibri"/>
                <w:color w:val="000000"/>
                <w:sz w:val="18"/>
                <w:szCs w:val="18"/>
                <w:lang w:eastAsia="en-AU"/>
              </w:rPr>
              <w:t>Commonwealth Games Events</w:t>
            </w:r>
          </w:p>
        </w:tc>
        <w:tc>
          <w:tcPr>
            <w:tcW w:w="1843" w:type="dxa"/>
            <w:tcBorders>
              <w:top w:val="nil"/>
              <w:left w:val="nil"/>
              <w:bottom w:val="single" w:sz="4" w:space="0" w:color="008089"/>
              <w:right w:val="nil"/>
            </w:tcBorders>
            <w:shd w:val="clear" w:color="000000" w:fill="F2F2F2"/>
            <w:noWrap/>
            <w:vAlign w:val="center"/>
            <w:hideMark/>
          </w:tcPr>
          <w:p w14:paraId="42F2B890" w14:textId="77777777" w:rsidR="00401088" w:rsidRPr="00F85D80" w:rsidRDefault="00401088" w:rsidP="00401088">
            <w:pPr>
              <w:suppressAutoHyphens w:val="0"/>
              <w:spacing w:before="0" w:after="0"/>
              <w:rPr>
                <w:rFonts w:ascii="Calibri" w:eastAsia="Times New Roman" w:hAnsi="Calibri" w:cs="Calibri"/>
                <w:color w:val="000000"/>
                <w:sz w:val="16"/>
                <w:szCs w:val="16"/>
                <w:lang w:eastAsia="en-AU"/>
              </w:rPr>
            </w:pPr>
            <w:r w:rsidRPr="00F85D80">
              <w:rPr>
                <w:rFonts w:ascii="Calibri" w:eastAsia="Times New Roman" w:hAnsi="Calibri" w:cs="Calibri"/>
                <w:color w:val="000000"/>
                <w:sz w:val="16"/>
                <w:szCs w:val="16"/>
                <w:lang w:eastAsia="en-AU"/>
              </w:rPr>
              <w:t>Evening broadcast average</w:t>
            </w:r>
          </w:p>
        </w:tc>
        <w:tc>
          <w:tcPr>
            <w:tcW w:w="1015" w:type="dxa"/>
            <w:tcBorders>
              <w:top w:val="nil"/>
              <w:left w:val="nil"/>
              <w:bottom w:val="single" w:sz="4" w:space="0" w:color="008089"/>
              <w:right w:val="nil"/>
            </w:tcBorders>
            <w:shd w:val="clear" w:color="000000" w:fill="F2F2F2"/>
            <w:noWrap/>
            <w:vAlign w:val="center"/>
            <w:hideMark/>
          </w:tcPr>
          <w:p w14:paraId="749F42C7" w14:textId="77777777" w:rsidR="00401088" w:rsidRPr="00624169" w:rsidRDefault="00401088" w:rsidP="00401088">
            <w:pPr>
              <w:suppressAutoHyphens w:val="0"/>
              <w:spacing w:before="0" w:after="0"/>
              <w:jc w:val="right"/>
              <w:rPr>
                <w:rFonts w:ascii="Calibri" w:eastAsia="Times New Roman" w:hAnsi="Calibri" w:cs="Calibri"/>
                <w:i/>
                <w:iCs/>
                <w:color w:val="000000"/>
                <w:sz w:val="18"/>
                <w:szCs w:val="18"/>
                <w:lang w:eastAsia="en-AU"/>
              </w:rPr>
            </w:pPr>
            <w:r w:rsidRPr="00624169">
              <w:rPr>
                <w:rFonts w:ascii="Calibri" w:eastAsia="Times New Roman" w:hAnsi="Calibri" w:cs="Calibri"/>
                <w:i/>
                <w:iCs/>
                <w:color w:val="000000"/>
                <w:sz w:val="18"/>
                <w:szCs w:val="18"/>
                <w:lang w:eastAsia="en-AU"/>
              </w:rPr>
              <w:t>nh</w:t>
            </w:r>
          </w:p>
        </w:tc>
        <w:tc>
          <w:tcPr>
            <w:tcW w:w="1015" w:type="dxa"/>
            <w:tcBorders>
              <w:top w:val="nil"/>
              <w:left w:val="nil"/>
              <w:bottom w:val="single" w:sz="4" w:space="0" w:color="008089"/>
              <w:right w:val="nil"/>
            </w:tcBorders>
            <w:shd w:val="clear" w:color="000000" w:fill="F2F2F2"/>
            <w:noWrap/>
            <w:vAlign w:val="center"/>
            <w:hideMark/>
          </w:tcPr>
          <w:p w14:paraId="1CD1BDA9" w14:textId="77777777" w:rsidR="00401088" w:rsidRPr="00624169" w:rsidRDefault="00401088" w:rsidP="00401088">
            <w:pPr>
              <w:suppressAutoHyphens w:val="0"/>
              <w:spacing w:before="0" w:after="0"/>
              <w:jc w:val="right"/>
              <w:rPr>
                <w:rFonts w:ascii="Calibri" w:eastAsia="Times New Roman" w:hAnsi="Calibri" w:cs="Calibri"/>
                <w:i/>
                <w:iCs/>
                <w:color w:val="000000"/>
                <w:sz w:val="18"/>
                <w:szCs w:val="18"/>
                <w:lang w:eastAsia="en-AU"/>
              </w:rPr>
            </w:pPr>
            <w:r w:rsidRPr="00624169">
              <w:rPr>
                <w:rFonts w:ascii="Calibri" w:eastAsia="Times New Roman" w:hAnsi="Calibri" w:cs="Calibri"/>
                <w:i/>
                <w:iCs/>
                <w:color w:val="000000"/>
                <w:sz w:val="18"/>
                <w:szCs w:val="18"/>
                <w:lang w:eastAsia="en-AU"/>
              </w:rPr>
              <w:t>nh</w:t>
            </w:r>
          </w:p>
        </w:tc>
        <w:tc>
          <w:tcPr>
            <w:tcW w:w="1016" w:type="dxa"/>
            <w:tcBorders>
              <w:top w:val="nil"/>
              <w:left w:val="nil"/>
              <w:bottom w:val="single" w:sz="4" w:space="0" w:color="008089"/>
              <w:right w:val="nil"/>
            </w:tcBorders>
            <w:shd w:val="clear" w:color="000000" w:fill="F2F2F2"/>
            <w:noWrap/>
            <w:vAlign w:val="center"/>
            <w:hideMark/>
          </w:tcPr>
          <w:p w14:paraId="3565CF7E" w14:textId="77777777" w:rsidR="00401088" w:rsidRPr="00624169" w:rsidRDefault="00401088" w:rsidP="00401088">
            <w:pPr>
              <w:suppressAutoHyphens w:val="0"/>
              <w:spacing w:before="0" w:after="0"/>
              <w:jc w:val="right"/>
              <w:rPr>
                <w:rFonts w:ascii="Calibri" w:eastAsia="Times New Roman" w:hAnsi="Calibri" w:cs="Calibri"/>
                <w:i/>
                <w:iCs/>
                <w:color w:val="000000"/>
                <w:sz w:val="18"/>
                <w:szCs w:val="18"/>
                <w:lang w:eastAsia="en-AU"/>
              </w:rPr>
            </w:pPr>
            <w:r w:rsidRPr="00624169">
              <w:rPr>
                <w:rFonts w:ascii="Calibri" w:eastAsia="Times New Roman" w:hAnsi="Calibri" w:cs="Calibri"/>
                <w:i/>
                <w:iCs/>
                <w:color w:val="000000"/>
                <w:sz w:val="18"/>
                <w:szCs w:val="18"/>
                <w:lang w:eastAsia="en-AU"/>
              </w:rPr>
              <w:t>nh</w:t>
            </w:r>
          </w:p>
        </w:tc>
        <w:tc>
          <w:tcPr>
            <w:tcW w:w="1015" w:type="dxa"/>
            <w:tcBorders>
              <w:top w:val="nil"/>
              <w:left w:val="nil"/>
              <w:bottom w:val="single" w:sz="4" w:space="0" w:color="008089"/>
              <w:right w:val="nil"/>
            </w:tcBorders>
            <w:shd w:val="clear" w:color="000000" w:fill="F2F2F2"/>
            <w:noWrap/>
            <w:vAlign w:val="center"/>
            <w:hideMark/>
          </w:tcPr>
          <w:p w14:paraId="1DD5D91C" w14:textId="77777777" w:rsidR="00401088" w:rsidRPr="00624169" w:rsidRDefault="00401088" w:rsidP="00401088">
            <w:pPr>
              <w:suppressAutoHyphens w:val="0"/>
              <w:spacing w:before="0" w:after="0"/>
              <w:jc w:val="right"/>
              <w:rPr>
                <w:rFonts w:ascii="Calibri" w:eastAsia="Times New Roman" w:hAnsi="Calibri" w:cs="Calibri"/>
                <w:b/>
                <w:bCs/>
                <w:color w:val="000000"/>
                <w:sz w:val="18"/>
                <w:szCs w:val="18"/>
                <w:lang w:eastAsia="en-AU"/>
              </w:rPr>
            </w:pPr>
            <w:r w:rsidRPr="00624169">
              <w:rPr>
                <w:rFonts w:ascii="Calibri" w:eastAsia="Times New Roman" w:hAnsi="Calibri" w:cs="Calibri"/>
                <w:b/>
                <w:bCs/>
                <w:color w:val="000000"/>
                <w:sz w:val="18"/>
                <w:szCs w:val="18"/>
                <w:lang w:eastAsia="en-AU"/>
              </w:rPr>
              <w:t>1,090,000</w:t>
            </w:r>
          </w:p>
        </w:tc>
        <w:tc>
          <w:tcPr>
            <w:tcW w:w="1015" w:type="dxa"/>
            <w:tcBorders>
              <w:top w:val="nil"/>
              <w:left w:val="nil"/>
              <w:bottom w:val="single" w:sz="4" w:space="0" w:color="008089"/>
              <w:right w:val="nil"/>
            </w:tcBorders>
            <w:shd w:val="clear" w:color="000000" w:fill="F2F2F2"/>
            <w:noWrap/>
            <w:vAlign w:val="center"/>
            <w:hideMark/>
          </w:tcPr>
          <w:p w14:paraId="2FF6D3D3" w14:textId="77777777" w:rsidR="00401088" w:rsidRPr="00624169" w:rsidRDefault="00401088" w:rsidP="00401088">
            <w:pPr>
              <w:suppressAutoHyphens w:val="0"/>
              <w:spacing w:before="0" w:after="0"/>
              <w:jc w:val="right"/>
              <w:rPr>
                <w:rFonts w:ascii="Calibri" w:eastAsia="Times New Roman" w:hAnsi="Calibri" w:cs="Calibri"/>
                <w:i/>
                <w:iCs/>
                <w:color w:val="000000"/>
                <w:sz w:val="18"/>
                <w:szCs w:val="18"/>
                <w:lang w:eastAsia="en-AU"/>
              </w:rPr>
            </w:pPr>
            <w:r w:rsidRPr="00624169">
              <w:rPr>
                <w:rFonts w:ascii="Calibri" w:eastAsia="Times New Roman" w:hAnsi="Calibri" w:cs="Calibri"/>
                <w:i/>
                <w:iCs/>
                <w:color w:val="000000"/>
                <w:sz w:val="18"/>
                <w:szCs w:val="18"/>
                <w:lang w:eastAsia="en-AU"/>
              </w:rPr>
              <w:t>nh</w:t>
            </w:r>
          </w:p>
        </w:tc>
        <w:tc>
          <w:tcPr>
            <w:tcW w:w="1016" w:type="dxa"/>
            <w:tcBorders>
              <w:top w:val="nil"/>
              <w:left w:val="nil"/>
              <w:bottom w:val="single" w:sz="4" w:space="0" w:color="008089"/>
              <w:right w:val="nil"/>
            </w:tcBorders>
            <w:shd w:val="clear" w:color="000000" w:fill="F2F2F2"/>
            <w:noWrap/>
            <w:vAlign w:val="center"/>
            <w:hideMark/>
          </w:tcPr>
          <w:p w14:paraId="2B291886" w14:textId="77777777" w:rsidR="00401088" w:rsidRPr="00624169" w:rsidRDefault="00401088" w:rsidP="00401088">
            <w:pPr>
              <w:suppressAutoHyphens w:val="0"/>
              <w:spacing w:before="0" w:after="0"/>
              <w:jc w:val="right"/>
              <w:rPr>
                <w:rFonts w:ascii="Calibri" w:eastAsia="Times New Roman" w:hAnsi="Calibri" w:cs="Calibri"/>
                <w:i/>
                <w:iCs/>
                <w:color w:val="000000"/>
                <w:sz w:val="18"/>
                <w:szCs w:val="18"/>
                <w:lang w:eastAsia="en-AU"/>
              </w:rPr>
            </w:pPr>
            <w:r w:rsidRPr="00624169">
              <w:rPr>
                <w:rFonts w:ascii="Calibri" w:eastAsia="Times New Roman" w:hAnsi="Calibri" w:cs="Calibri"/>
                <w:i/>
                <w:iCs/>
                <w:color w:val="000000"/>
                <w:sz w:val="18"/>
                <w:szCs w:val="18"/>
                <w:lang w:eastAsia="en-AU"/>
              </w:rPr>
              <w:t>nh</w:t>
            </w:r>
          </w:p>
        </w:tc>
        <w:tc>
          <w:tcPr>
            <w:tcW w:w="1015" w:type="dxa"/>
            <w:tcBorders>
              <w:top w:val="nil"/>
              <w:left w:val="nil"/>
              <w:bottom w:val="single" w:sz="4" w:space="0" w:color="008089"/>
              <w:right w:val="nil"/>
            </w:tcBorders>
            <w:shd w:val="clear" w:color="000000" w:fill="F2F2F2"/>
            <w:noWrap/>
            <w:vAlign w:val="center"/>
            <w:hideMark/>
          </w:tcPr>
          <w:p w14:paraId="629EA279" w14:textId="77777777" w:rsidR="00401088" w:rsidRPr="00624169" w:rsidRDefault="00401088" w:rsidP="00401088">
            <w:pPr>
              <w:suppressAutoHyphens w:val="0"/>
              <w:spacing w:before="0" w:after="0"/>
              <w:jc w:val="right"/>
              <w:rPr>
                <w:rFonts w:ascii="Calibri" w:eastAsia="Times New Roman" w:hAnsi="Calibri" w:cs="Calibri"/>
                <w:i/>
                <w:iCs/>
                <w:color w:val="000000"/>
                <w:sz w:val="18"/>
                <w:szCs w:val="18"/>
                <w:lang w:eastAsia="en-AU"/>
              </w:rPr>
            </w:pPr>
            <w:r w:rsidRPr="00624169">
              <w:rPr>
                <w:rFonts w:ascii="Calibri" w:eastAsia="Times New Roman" w:hAnsi="Calibri" w:cs="Calibri"/>
                <w:i/>
                <w:iCs/>
                <w:color w:val="000000"/>
                <w:sz w:val="18"/>
                <w:szCs w:val="18"/>
                <w:lang w:eastAsia="en-AU"/>
              </w:rPr>
              <w:t>nh</w:t>
            </w:r>
          </w:p>
        </w:tc>
        <w:tc>
          <w:tcPr>
            <w:tcW w:w="1016" w:type="dxa"/>
            <w:tcBorders>
              <w:top w:val="nil"/>
              <w:left w:val="nil"/>
              <w:bottom w:val="single" w:sz="4" w:space="0" w:color="008089"/>
              <w:right w:val="single" w:sz="8" w:space="0" w:color="008089"/>
            </w:tcBorders>
            <w:shd w:val="clear" w:color="000000" w:fill="F2F2F2"/>
            <w:noWrap/>
            <w:vAlign w:val="center"/>
            <w:hideMark/>
          </w:tcPr>
          <w:p w14:paraId="7ACBD4F8" w14:textId="77777777" w:rsidR="00401088" w:rsidRPr="00624169" w:rsidRDefault="00401088" w:rsidP="00401088">
            <w:pPr>
              <w:suppressAutoHyphens w:val="0"/>
              <w:spacing w:before="0" w:after="0"/>
              <w:jc w:val="right"/>
              <w:rPr>
                <w:rFonts w:ascii="Calibri" w:eastAsia="Times New Roman" w:hAnsi="Calibri" w:cs="Calibri"/>
                <w:b/>
                <w:bCs/>
                <w:color w:val="000000"/>
                <w:sz w:val="18"/>
                <w:szCs w:val="18"/>
                <w:lang w:eastAsia="en-AU"/>
              </w:rPr>
            </w:pPr>
            <w:r w:rsidRPr="00624169">
              <w:rPr>
                <w:rFonts w:ascii="Calibri" w:eastAsia="Times New Roman" w:hAnsi="Calibri" w:cs="Calibri"/>
                <w:b/>
                <w:bCs/>
                <w:color w:val="000000"/>
                <w:sz w:val="18"/>
                <w:szCs w:val="18"/>
                <w:lang w:eastAsia="en-AU"/>
              </w:rPr>
              <w:t>626,000</w:t>
            </w:r>
          </w:p>
        </w:tc>
      </w:tr>
      <w:tr w:rsidR="00401088" w:rsidRPr="00401088" w14:paraId="1E0F364D" w14:textId="77777777" w:rsidTr="00624169">
        <w:trPr>
          <w:trHeight w:val="300"/>
          <w:jc w:val="center"/>
        </w:trPr>
        <w:tc>
          <w:tcPr>
            <w:tcW w:w="14776" w:type="dxa"/>
            <w:gridSpan w:val="11"/>
            <w:tcBorders>
              <w:top w:val="single" w:sz="8" w:space="0" w:color="008089"/>
              <w:left w:val="single" w:sz="8" w:space="0" w:color="008089"/>
              <w:bottom w:val="single" w:sz="8" w:space="0" w:color="008089"/>
              <w:right w:val="single" w:sz="8" w:space="0" w:color="008089"/>
            </w:tcBorders>
            <w:shd w:val="clear" w:color="000000" w:fill="F2F6E8"/>
            <w:vAlign w:val="center"/>
            <w:hideMark/>
          </w:tcPr>
          <w:p w14:paraId="7EE47952" w14:textId="77777777" w:rsidR="00401088" w:rsidRPr="00401088" w:rsidRDefault="00401088" w:rsidP="00401088">
            <w:pPr>
              <w:suppressAutoHyphens w:val="0"/>
              <w:spacing w:before="0" w:after="0"/>
              <w:rPr>
                <w:rFonts w:ascii="Calibri" w:eastAsia="Times New Roman" w:hAnsi="Calibri" w:cs="Calibri"/>
                <w:color w:val="000000"/>
                <w:lang w:eastAsia="en-AU"/>
              </w:rPr>
            </w:pPr>
            <w:r w:rsidRPr="00401088">
              <w:rPr>
                <w:rFonts w:ascii="Calibri" w:eastAsia="Times New Roman" w:hAnsi="Calibri" w:cs="Calibri"/>
                <w:color w:val="000000"/>
                <w:lang w:eastAsia="en-AU"/>
              </w:rPr>
              <w:t>HORSE RACING</w:t>
            </w:r>
          </w:p>
        </w:tc>
      </w:tr>
      <w:tr w:rsidR="00624169" w:rsidRPr="00401088" w14:paraId="492288E1" w14:textId="77777777" w:rsidTr="00624169">
        <w:trPr>
          <w:trHeight w:val="300"/>
          <w:jc w:val="center"/>
        </w:trPr>
        <w:tc>
          <w:tcPr>
            <w:tcW w:w="1502" w:type="dxa"/>
            <w:tcBorders>
              <w:top w:val="nil"/>
              <w:left w:val="single" w:sz="8" w:space="0" w:color="008089"/>
              <w:bottom w:val="single" w:sz="8" w:space="0" w:color="008089"/>
              <w:right w:val="nil"/>
            </w:tcBorders>
            <w:shd w:val="clear" w:color="000000" w:fill="F2F2F2"/>
            <w:vAlign w:val="center"/>
            <w:hideMark/>
          </w:tcPr>
          <w:p w14:paraId="48A2F706" w14:textId="77777777" w:rsidR="00401088" w:rsidRPr="00DB204C" w:rsidRDefault="00401088" w:rsidP="00401088">
            <w:pPr>
              <w:suppressAutoHyphens w:val="0"/>
              <w:spacing w:before="0" w:after="0"/>
              <w:jc w:val="center"/>
              <w:rPr>
                <w:rFonts w:ascii="Calibri" w:eastAsia="Times New Roman" w:hAnsi="Calibri" w:cs="Calibri"/>
                <w:b/>
                <w:bCs/>
                <w:color w:val="000000"/>
                <w:sz w:val="18"/>
                <w:szCs w:val="18"/>
                <w:lang w:eastAsia="en-AU"/>
              </w:rPr>
            </w:pPr>
            <w:r w:rsidRPr="00DB204C">
              <w:rPr>
                <w:rFonts w:ascii="Calibri" w:eastAsia="Times New Roman" w:hAnsi="Calibri" w:cs="Calibri"/>
                <w:b/>
                <w:bCs/>
                <w:color w:val="000000"/>
                <w:sz w:val="18"/>
                <w:szCs w:val="18"/>
                <w:lang w:eastAsia="en-AU"/>
              </w:rPr>
              <w:t>Melbourne Cup</w:t>
            </w:r>
          </w:p>
        </w:tc>
        <w:tc>
          <w:tcPr>
            <w:tcW w:w="3308" w:type="dxa"/>
            <w:tcBorders>
              <w:top w:val="nil"/>
              <w:left w:val="nil"/>
              <w:bottom w:val="single" w:sz="8" w:space="0" w:color="008089"/>
              <w:right w:val="nil"/>
            </w:tcBorders>
            <w:shd w:val="clear" w:color="000000" w:fill="F2F2F2"/>
            <w:vAlign w:val="center"/>
            <w:hideMark/>
          </w:tcPr>
          <w:p w14:paraId="2EEB6CDC" w14:textId="77777777" w:rsidR="00401088" w:rsidRPr="00DB204C" w:rsidRDefault="00401088" w:rsidP="00401088">
            <w:pPr>
              <w:suppressAutoHyphens w:val="0"/>
              <w:spacing w:before="0" w:after="0"/>
              <w:rPr>
                <w:rFonts w:ascii="Calibri" w:eastAsia="Times New Roman" w:hAnsi="Calibri" w:cs="Calibri"/>
                <w:color w:val="000000"/>
                <w:sz w:val="18"/>
                <w:szCs w:val="18"/>
                <w:lang w:eastAsia="en-AU"/>
              </w:rPr>
            </w:pPr>
            <w:r w:rsidRPr="00DB204C">
              <w:rPr>
                <w:rFonts w:ascii="Calibri" w:eastAsia="Times New Roman" w:hAnsi="Calibri" w:cs="Calibri"/>
                <w:color w:val="000000"/>
                <w:sz w:val="18"/>
                <w:szCs w:val="18"/>
                <w:lang w:eastAsia="en-AU"/>
              </w:rPr>
              <w:t>The Race</w:t>
            </w:r>
          </w:p>
        </w:tc>
        <w:tc>
          <w:tcPr>
            <w:tcW w:w="1843" w:type="dxa"/>
            <w:tcBorders>
              <w:top w:val="nil"/>
              <w:left w:val="nil"/>
              <w:bottom w:val="single" w:sz="8" w:space="0" w:color="008089"/>
              <w:right w:val="nil"/>
            </w:tcBorders>
            <w:shd w:val="clear" w:color="000000" w:fill="F2F2F2"/>
            <w:vAlign w:val="center"/>
            <w:hideMark/>
          </w:tcPr>
          <w:p w14:paraId="18BBF8EF" w14:textId="77777777" w:rsidR="00401088" w:rsidRPr="00F85D80" w:rsidRDefault="00401088" w:rsidP="00401088">
            <w:pPr>
              <w:suppressAutoHyphens w:val="0"/>
              <w:spacing w:before="0" w:after="0"/>
              <w:rPr>
                <w:rFonts w:ascii="Calibri" w:eastAsia="Times New Roman" w:hAnsi="Calibri" w:cs="Calibri"/>
                <w:color w:val="000000"/>
                <w:sz w:val="16"/>
                <w:szCs w:val="16"/>
                <w:lang w:eastAsia="en-AU"/>
              </w:rPr>
            </w:pPr>
            <w:r w:rsidRPr="00F85D80">
              <w:rPr>
                <w:rFonts w:ascii="Calibri" w:eastAsia="Times New Roman" w:hAnsi="Calibri" w:cs="Calibri"/>
                <w:color w:val="000000"/>
                <w:sz w:val="16"/>
                <w:szCs w:val="16"/>
                <w:lang w:eastAsia="en-AU"/>
              </w:rPr>
              <w:t>Single event</w:t>
            </w:r>
          </w:p>
        </w:tc>
        <w:tc>
          <w:tcPr>
            <w:tcW w:w="1015" w:type="dxa"/>
            <w:tcBorders>
              <w:top w:val="nil"/>
              <w:left w:val="nil"/>
              <w:bottom w:val="single" w:sz="8" w:space="0" w:color="008089"/>
              <w:right w:val="nil"/>
            </w:tcBorders>
            <w:shd w:val="clear" w:color="000000" w:fill="F2F2F2"/>
            <w:vAlign w:val="center"/>
            <w:hideMark/>
          </w:tcPr>
          <w:p w14:paraId="7E49A776"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2,130,000</w:t>
            </w:r>
          </w:p>
        </w:tc>
        <w:tc>
          <w:tcPr>
            <w:tcW w:w="1015" w:type="dxa"/>
            <w:tcBorders>
              <w:top w:val="nil"/>
              <w:left w:val="nil"/>
              <w:bottom w:val="single" w:sz="8" w:space="0" w:color="008089"/>
              <w:right w:val="nil"/>
            </w:tcBorders>
            <w:shd w:val="clear" w:color="000000" w:fill="F2F2F2"/>
            <w:vAlign w:val="center"/>
            <w:hideMark/>
          </w:tcPr>
          <w:p w14:paraId="6AAA545F"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2,066,000</w:t>
            </w:r>
          </w:p>
        </w:tc>
        <w:tc>
          <w:tcPr>
            <w:tcW w:w="1016" w:type="dxa"/>
            <w:tcBorders>
              <w:top w:val="nil"/>
              <w:left w:val="nil"/>
              <w:bottom w:val="single" w:sz="8" w:space="0" w:color="008089"/>
              <w:right w:val="nil"/>
            </w:tcBorders>
            <w:shd w:val="clear" w:color="000000" w:fill="F2F2F2"/>
            <w:vAlign w:val="center"/>
            <w:hideMark/>
          </w:tcPr>
          <w:p w14:paraId="2373C01E"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1,821,000</w:t>
            </w:r>
          </w:p>
        </w:tc>
        <w:tc>
          <w:tcPr>
            <w:tcW w:w="1015" w:type="dxa"/>
            <w:tcBorders>
              <w:top w:val="nil"/>
              <w:left w:val="nil"/>
              <w:bottom w:val="single" w:sz="8" w:space="0" w:color="008089"/>
              <w:right w:val="nil"/>
            </w:tcBorders>
            <w:shd w:val="clear" w:color="000000" w:fill="F2F2F2"/>
            <w:vAlign w:val="center"/>
            <w:hideMark/>
          </w:tcPr>
          <w:p w14:paraId="2A9DFF30"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1,908,000</w:t>
            </w:r>
          </w:p>
        </w:tc>
        <w:tc>
          <w:tcPr>
            <w:tcW w:w="1015" w:type="dxa"/>
            <w:tcBorders>
              <w:top w:val="nil"/>
              <w:left w:val="nil"/>
              <w:bottom w:val="single" w:sz="8" w:space="0" w:color="008089"/>
              <w:right w:val="nil"/>
            </w:tcBorders>
            <w:shd w:val="clear" w:color="000000" w:fill="F2F2F2"/>
            <w:vAlign w:val="center"/>
            <w:hideMark/>
          </w:tcPr>
          <w:p w14:paraId="0A53A870"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1,441,000</w:t>
            </w:r>
          </w:p>
        </w:tc>
        <w:tc>
          <w:tcPr>
            <w:tcW w:w="1016" w:type="dxa"/>
            <w:tcBorders>
              <w:top w:val="nil"/>
              <w:left w:val="nil"/>
              <w:bottom w:val="single" w:sz="8" w:space="0" w:color="008089"/>
              <w:right w:val="nil"/>
            </w:tcBorders>
            <w:shd w:val="clear" w:color="000000" w:fill="F2F2F2"/>
            <w:vAlign w:val="center"/>
            <w:hideMark/>
          </w:tcPr>
          <w:p w14:paraId="4671758D"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1,412,000</w:t>
            </w:r>
          </w:p>
        </w:tc>
        <w:tc>
          <w:tcPr>
            <w:tcW w:w="1015" w:type="dxa"/>
            <w:tcBorders>
              <w:top w:val="nil"/>
              <w:left w:val="nil"/>
              <w:bottom w:val="single" w:sz="8" w:space="0" w:color="008089"/>
              <w:right w:val="nil"/>
            </w:tcBorders>
            <w:shd w:val="clear" w:color="000000" w:fill="F2F2F2"/>
            <w:vAlign w:val="center"/>
            <w:hideMark/>
          </w:tcPr>
          <w:p w14:paraId="09B78A27"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1,213,000</w:t>
            </w:r>
          </w:p>
        </w:tc>
        <w:tc>
          <w:tcPr>
            <w:tcW w:w="1016" w:type="dxa"/>
            <w:tcBorders>
              <w:top w:val="nil"/>
              <w:left w:val="nil"/>
              <w:bottom w:val="single" w:sz="8" w:space="0" w:color="008089"/>
              <w:right w:val="single" w:sz="8" w:space="0" w:color="008089"/>
            </w:tcBorders>
            <w:shd w:val="clear" w:color="000000" w:fill="F2F2F2"/>
            <w:vAlign w:val="center"/>
            <w:hideMark/>
          </w:tcPr>
          <w:p w14:paraId="613BAB2B" w14:textId="77777777" w:rsidR="00401088" w:rsidRPr="00624169" w:rsidRDefault="00401088" w:rsidP="00401088">
            <w:pPr>
              <w:suppressAutoHyphens w:val="0"/>
              <w:spacing w:before="0" w:after="0"/>
              <w:jc w:val="right"/>
              <w:rPr>
                <w:rFonts w:ascii="Calibri" w:eastAsia="Times New Roman" w:hAnsi="Calibri" w:cs="Calibri"/>
                <w:i/>
                <w:iCs/>
                <w:color w:val="auto"/>
                <w:sz w:val="18"/>
                <w:szCs w:val="18"/>
                <w:lang w:eastAsia="en-AU"/>
              </w:rPr>
            </w:pPr>
            <w:r w:rsidRPr="00624169">
              <w:rPr>
                <w:rFonts w:ascii="Calibri" w:eastAsia="Times New Roman" w:hAnsi="Calibri" w:cs="Calibri"/>
                <w:i/>
                <w:iCs/>
                <w:color w:val="auto"/>
                <w:sz w:val="18"/>
                <w:szCs w:val="18"/>
                <w:lang w:eastAsia="en-AU"/>
              </w:rPr>
              <w:t>enc</w:t>
            </w:r>
          </w:p>
        </w:tc>
      </w:tr>
      <w:tr w:rsidR="00401088" w:rsidRPr="00401088" w14:paraId="4A293122" w14:textId="77777777" w:rsidTr="00624169">
        <w:trPr>
          <w:trHeight w:val="300"/>
          <w:jc w:val="center"/>
        </w:trPr>
        <w:tc>
          <w:tcPr>
            <w:tcW w:w="14776" w:type="dxa"/>
            <w:gridSpan w:val="11"/>
            <w:tcBorders>
              <w:top w:val="single" w:sz="8" w:space="0" w:color="008089"/>
              <w:left w:val="single" w:sz="8" w:space="0" w:color="008089"/>
              <w:bottom w:val="single" w:sz="8" w:space="0" w:color="008089"/>
              <w:right w:val="single" w:sz="8" w:space="0" w:color="008089"/>
            </w:tcBorders>
            <w:shd w:val="clear" w:color="000000" w:fill="F2F6E8"/>
            <w:vAlign w:val="center"/>
            <w:hideMark/>
          </w:tcPr>
          <w:p w14:paraId="4CEA0E08" w14:textId="77777777" w:rsidR="00401088" w:rsidRPr="00401088" w:rsidRDefault="00401088" w:rsidP="00401088">
            <w:pPr>
              <w:suppressAutoHyphens w:val="0"/>
              <w:spacing w:before="0" w:after="0"/>
              <w:rPr>
                <w:rFonts w:ascii="Calibri" w:eastAsia="Times New Roman" w:hAnsi="Calibri" w:cs="Calibri"/>
                <w:color w:val="000000"/>
                <w:lang w:eastAsia="en-AU"/>
              </w:rPr>
            </w:pPr>
            <w:r w:rsidRPr="00401088">
              <w:rPr>
                <w:rFonts w:ascii="Calibri" w:eastAsia="Times New Roman" w:hAnsi="Calibri" w:cs="Calibri"/>
                <w:color w:val="000000"/>
                <w:lang w:eastAsia="en-AU"/>
              </w:rPr>
              <w:t>CRICKET</w:t>
            </w:r>
          </w:p>
        </w:tc>
      </w:tr>
      <w:tr w:rsidR="00624169" w:rsidRPr="00401088" w14:paraId="63808177" w14:textId="77777777" w:rsidTr="00624169">
        <w:trPr>
          <w:trHeight w:val="330"/>
          <w:jc w:val="center"/>
        </w:trPr>
        <w:tc>
          <w:tcPr>
            <w:tcW w:w="1502" w:type="dxa"/>
            <w:vMerge w:val="restart"/>
            <w:tcBorders>
              <w:top w:val="nil"/>
              <w:left w:val="single" w:sz="8" w:space="0" w:color="008089"/>
              <w:bottom w:val="single" w:sz="8" w:space="0" w:color="008089"/>
              <w:right w:val="nil"/>
            </w:tcBorders>
            <w:shd w:val="clear" w:color="000000" w:fill="F2F2F2"/>
            <w:vAlign w:val="center"/>
            <w:hideMark/>
          </w:tcPr>
          <w:p w14:paraId="294EB23B" w14:textId="77777777" w:rsidR="00401088" w:rsidRPr="00DB204C" w:rsidRDefault="00401088" w:rsidP="00401088">
            <w:pPr>
              <w:suppressAutoHyphens w:val="0"/>
              <w:spacing w:before="0" w:after="0"/>
              <w:jc w:val="center"/>
              <w:rPr>
                <w:rFonts w:ascii="Calibri" w:eastAsia="Times New Roman" w:hAnsi="Calibri" w:cs="Calibri"/>
                <w:b/>
                <w:bCs/>
                <w:color w:val="000000"/>
                <w:sz w:val="18"/>
                <w:szCs w:val="18"/>
                <w:lang w:eastAsia="en-AU"/>
              </w:rPr>
            </w:pPr>
            <w:r w:rsidRPr="00DB204C">
              <w:rPr>
                <w:rFonts w:ascii="Calibri" w:eastAsia="Times New Roman" w:hAnsi="Calibri" w:cs="Calibri"/>
                <w:b/>
                <w:bCs/>
                <w:color w:val="000000"/>
                <w:sz w:val="18"/>
                <w:szCs w:val="18"/>
                <w:lang w:eastAsia="en-AU"/>
              </w:rPr>
              <w:t>International Cricket</w:t>
            </w:r>
          </w:p>
        </w:tc>
        <w:tc>
          <w:tcPr>
            <w:tcW w:w="3308" w:type="dxa"/>
            <w:tcBorders>
              <w:top w:val="nil"/>
              <w:left w:val="nil"/>
              <w:bottom w:val="single" w:sz="4" w:space="0" w:color="008089"/>
              <w:right w:val="nil"/>
            </w:tcBorders>
            <w:shd w:val="clear" w:color="000000" w:fill="F2F2F2"/>
            <w:vAlign w:val="center"/>
            <w:hideMark/>
          </w:tcPr>
          <w:p w14:paraId="4B1842D8" w14:textId="77777777" w:rsidR="00401088" w:rsidRPr="00DB204C" w:rsidRDefault="00401088" w:rsidP="00401088">
            <w:pPr>
              <w:suppressAutoHyphens w:val="0"/>
              <w:spacing w:before="0" w:after="0"/>
              <w:rPr>
                <w:rFonts w:ascii="Calibri" w:eastAsia="Times New Roman" w:hAnsi="Calibri" w:cs="Calibri"/>
                <w:color w:val="000000"/>
                <w:sz w:val="18"/>
                <w:szCs w:val="18"/>
                <w:lang w:eastAsia="en-AU"/>
              </w:rPr>
            </w:pPr>
            <w:r w:rsidRPr="00DB204C">
              <w:rPr>
                <w:rFonts w:ascii="Calibri" w:eastAsia="Times New Roman" w:hAnsi="Calibri" w:cs="Calibri"/>
                <w:color w:val="000000"/>
                <w:sz w:val="18"/>
                <w:szCs w:val="18"/>
                <w:lang w:eastAsia="en-AU"/>
              </w:rPr>
              <w:t>International Test Matches (Men)</w:t>
            </w:r>
          </w:p>
        </w:tc>
        <w:tc>
          <w:tcPr>
            <w:tcW w:w="1843" w:type="dxa"/>
            <w:tcBorders>
              <w:top w:val="nil"/>
              <w:left w:val="nil"/>
              <w:bottom w:val="single" w:sz="4" w:space="0" w:color="008089"/>
              <w:right w:val="nil"/>
            </w:tcBorders>
            <w:shd w:val="clear" w:color="000000" w:fill="F2F2F2"/>
            <w:vAlign w:val="center"/>
            <w:hideMark/>
          </w:tcPr>
          <w:p w14:paraId="7CC94842" w14:textId="77777777" w:rsidR="00401088" w:rsidRPr="00F85D80" w:rsidRDefault="00401088" w:rsidP="00401088">
            <w:pPr>
              <w:suppressAutoHyphens w:val="0"/>
              <w:spacing w:before="0" w:after="0"/>
              <w:rPr>
                <w:rFonts w:ascii="Calibri" w:eastAsia="Times New Roman" w:hAnsi="Calibri" w:cs="Calibri"/>
                <w:color w:val="auto"/>
                <w:sz w:val="16"/>
                <w:szCs w:val="16"/>
                <w:lang w:eastAsia="en-AU"/>
              </w:rPr>
            </w:pPr>
            <w:r w:rsidRPr="00F85D80">
              <w:rPr>
                <w:rFonts w:ascii="Calibri" w:eastAsia="Times New Roman" w:hAnsi="Calibri" w:cs="Calibri"/>
                <w:color w:val="auto"/>
                <w:sz w:val="16"/>
                <w:szCs w:val="16"/>
                <w:lang w:eastAsia="en-AU"/>
              </w:rPr>
              <w:t>Session 3 average on main channel</w:t>
            </w:r>
            <w:r w:rsidRPr="00F85D80">
              <w:rPr>
                <w:rFonts w:ascii="Calibri" w:eastAsia="Times New Roman" w:hAnsi="Calibri" w:cs="Calibri"/>
                <w:color w:val="auto"/>
                <w:sz w:val="16"/>
                <w:szCs w:val="16"/>
                <w:vertAlign w:val="superscript"/>
                <w:lang w:eastAsia="en-AU"/>
              </w:rPr>
              <w:t>4</w:t>
            </w:r>
          </w:p>
        </w:tc>
        <w:tc>
          <w:tcPr>
            <w:tcW w:w="1015" w:type="dxa"/>
            <w:tcBorders>
              <w:top w:val="nil"/>
              <w:left w:val="nil"/>
              <w:bottom w:val="single" w:sz="4" w:space="0" w:color="008089"/>
              <w:right w:val="nil"/>
            </w:tcBorders>
            <w:shd w:val="clear" w:color="000000" w:fill="F2F2F2"/>
            <w:vAlign w:val="center"/>
            <w:hideMark/>
          </w:tcPr>
          <w:p w14:paraId="50E60C7A"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964,000</w:t>
            </w:r>
          </w:p>
        </w:tc>
        <w:tc>
          <w:tcPr>
            <w:tcW w:w="1015" w:type="dxa"/>
            <w:tcBorders>
              <w:top w:val="nil"/>
              <w:left w:val="nil"/>
              <w:bottom w:val="single" w:sz="4" w:space="0" w:color="008089"/>
              <w:right w:val="nil"/>
            </w:tcBorders>
            <w:shd w:val="clear" w:color="000000" w:fill="F2F2F2"/>
            <w:vAlign w:val="center"/>
            <w:hideMark/>
          </w:tcPr>
          <w:p w14:paraId="247991F1"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681,000</w:t>
            </w:r>
          </w:p>
        </w:tc>
        <w:tc>
          <w:tcPr>
            <w:tcW w:w="1016" w:type="dxa"/>
            <w:tcBorders>
              <w:top w:val="nil"/>
              <w:left w:val="nil"/>
              <w:bottom w:val="single" w:sz="4" w:space="0" w:color="008089"/>
              <w:right w:val="nil"/>
            </w:tcBorders>
            <w:shd w:val="clear" w:color="000000" w:fill="F2F2F2"/>
            <w:vAlign w:val="center"/>
            <w:hideMark/>
          </w:tcPr>
          <w:p w14:paraId="66E09A6C"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1,105,000</w:t>
            </w:r>
          </w:p>
        </w:tc>
        <w:tc>
          <w:tcPr>
            <w:tcW w:w="1015" w:type="dxa"/>
            <w:tcBorders>
              <w:top w:val="nil"/>
              <w:left w:val="nil"/>
              <w:bottom w:val="single" w:sz="4" w:space="0" w:color="008089"/>
              <w:right w:val="nil"/>
            </w:tcBorders>
            <w:shd w:val="clear" w:color="000000" w:fill="F2F2F2"/>
            <w:vAlign w:val="center"/>
            <w:hideMark/>
          </w:tcPr>
          <w:p w14:paraId="51911333"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1,091,000</w:t>
            </w:r>
          </w:p>
        </w:tc>
        <w:tc>
          <w:tcPr>
            <w:tcW w:w="1015" w:type="dxa"/>
            <w:tcBorders>
              <w:top w:val="nil"/>
              <w:left w:val="nil"/>
              <w:bottom w:val="single" w:sz="4" w:space="0" w:color="008089"/>
              <w:right w:val="nil"/>
            </w:tcBorders>
            <w:shd w:val="clear" w:color="000000" w:fill="F2F2F2"/>
            <w:vAlign w:val="center"/>
            <w:hideMark/>
          </w:tcPr>
          <w:p w14:paraId="459A6FEE"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606,000</w:t>
            </w:r>
          </w:p>
        </w:tc>
        <w:tc>
          <w:tcPr>
            <w:tcW w:w="1016" w:type="dxa"/>
            <w:tcBorders>
              <w:top w:val="nil"/>
              <w:left w:val="nil"/>
              <w:bottom w:val="single" w:sz="4" w:space="0" w:color="008089"/>
              <w:right w:val="nil"/>
            </w:tcBorders>
            <w:shd w:val="clear" w:color="000000" w:fill="F2F2F2"/>
            <w:vAlign w:val="center"/>
            <w:hideMark/>
          </w:tcPr>
          <w:p w14:paraId="50C4E696"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707,000</w:t>
            </w:r>
          </w:p>
        </w:tc>
        <w:tc>
          <w:tcPr>
            <w:tcW w:w="1015" w:type="dxa"/>
            <w:tcBorders>
              <w:top w:val="nil"/>
              <w:left w:val="nil"/>
              <w:bottom w:val="single" w:sz="4" w:space="0" w:color="008089"/>
              <w:right w:val="nil"/>
            </w:tcBorders>
            <w:shd w:val="clear" w:color="000000" w:fill="F2F2F2"/>
            <w:vAlign w:val="center"/>
            <w:hideMark/>
          </w:tcPr>
          <w:p w14:paraId="2CCEDC43"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715,000</w:t>
            </w:r>
          </w:p>
        </w:tc>
        <w:tc>
          <w:tcPr>
            <w:tcW w:w="1016" w:type="dxa"/>
            <w:tcBorders>
              <w:top w:val="nil"/>
              <w:left w:val="nil"/>
              <w:bottom w:val="single" w:sz="4" w:space="0" w:color="008089"/>
              <w:right w:val="single" w:sz="8" w:space="0" w:color="008089"/>
            </w:tcBorders>
            <w:shd w:val="clear" w:color="000000" w:fill="F2F2F2"/>
            <w:vAlign w:val="center"/>
            <w:hideMark/>
          </w:tcPr>
          <w:p w14:paraId="16E4D307"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796,000</w:t>
            </w:r>
          </w:p>
        </w:tc>
      </w:tr>
      <w:tr w:rsidR="00624169" w:rsidRPr="00401088" w14:paraId="685AD2BC" w14:textId="77777777" w:rsidTr="00624169">
        <w:trPr>
          <w:trHeight w:val="290"/>
          <w:jc w:val="center"/>
        </w:trPr>
        <w:tc>
          <w:tcPr>
            <w:tcW w:w="1502" w:type="dxa"/>
            <w:vMerge/>
            <w:tcBorders>
              <w:top w:val="nil"/>
              <w:left w:val="single" w:sz="8" w:space="0" w:color="008089"/>
              <w:bottom w:val="single" w:sz="8" w:space="0" w:color="008089"/>
              <w:right w:val="nil"/>
            </w:tcBorders>
            <w:vAlign w:val="center"/>
            <w:hideMark/>
          </w:tcPr>
          <w:p w14:paraId="53F3AED6" w14:textId="77777777" w:rsidR="00401088" w:rsidRPr="00DB204C" w:rsidRDefault="00401088" w:rsidP="00401088">
            <w:pPr>
              <w:suppressAutoHyphens w:val="0"/>
              <w:spacing w:before="0" w:after="0"/>
              <w:rPr>
                <w:rFonts w:ascii="Calibri" w:eastAsia="Times New Roman" w:hAnsi="Calibri" w:cs="Calibri"/>
                <w:b/>
                <w:bCs/>
                <w:color w:val="000000"/>
                <w:sz w:val="18"/>
                <w:szCs w:val="18"/>
                <w:lang w:eastAsia="en-AU"/>
              </w:rPr>
            </w:pPr>
          </w:p>
        </w:tc>
        <w:tc>
          <w:tcPr>
            <w:tcW w:w="3308" w:type="dxa"/>
            <w:tcBorders>
              <w:top w:val="nil"/>
              <w:left w:val="nil"/>
              <w:bottom w:val="single" w:sz="4" w:space="0" w:color="008089"/>
              <w:right w:val="nil"/>
            </w:tcBorders>
            <w:shd w:val="clear" w:color="000000" w:fill="F2F2F2"/>
            <w:vAlign w:val="center"/>
            <w:hideMark/>
          </w:tcPr>
          <w:p w14:paraId="46872434" w14:textId="77777777" w:rsidR="00401088" w:rsidRPr="00DB204C" w:rsidRDefault="00401088" w:rsidP="00401088">
            <w:pPr>
              <w:suppressAutoHyphens w:val="0"/>
              <w:spacing w:before="0" w:after="0"/>
              <w:rPr>
                <w:rFonts w:ascii="Calibri" w:eastAsia="Times New Roman" w:hAnsi="Calibri" w:cs="Calibri"/>
                <w:color w:val="000000"/>
                <w:sz w:val="18"/>
                <w:szCs w:val="18"/>
                <w:lang w:eastAsia="en-AU"/>
              </w:rPr>
            </w:pPr>
            <w:r w:rsidRPr="00DB204C">
              <w:rPr>
                <w:rFonts w:ascii="Calibri" w:eastAsia="Times New Roman" w:hAnsi="Calibri" w:cs="Calibri"/>
                <w:color w:val="000000"/>
                <w:sz w:val="18"/>
                <w:szCs w:val="18"/>
                <w:lang w:eastAsia="en-AU"/>
              </w:rPr>
              <w:t>International Test Matches (Women)</w:t>
            </w:r>
          </w:p>
        </w:tc>
        <w:tc>
          <w:tcPr>
            <w:tcW w:w="1843" w:type="dxa"/>
            <w:tcBorders>
              <w:top w:val="nil"/>
              <w:left w:val="nil"/>
              <w:bottom w:val="single" w:sz="4" w:space="0" w:color="008089"/>
              <w:right w:val="nil"/>
            </w:tcBorders>
            <w:shd w:val="clear" w:color="000000" w:fill="F2F2F2"/>
            <w:vAlign w:val="center"/>
            <w:hideMark/>
          </w:tcPr>
          <w:p w14:paraId="4984BE46" w14:textId="77777777" w:rsidR="00401088" w:rsidRPr="00F85D80" w:rsidRDefault="00401088" w:rsidP="00401088">
            <w:pPr>
              <w:suppressAutoHyphens w:val="0"/>
              <w:spacing w:before="0" w:after="0"/>
              <w:rPr>
                <w:rFonts w:ascii="Calibri" w:eastAsia="Times New Roman" w:hAnsi="Calibri" w:cs="Calibri"/>
                <w:color w:val="auto"/>
                <w:sz w:val="16"/>
                <w:szCs w:val="16"/>
                <w:lang w:eastAsia="en-AU"/>
              </w:rPr>
            </w:pPr>
            <w:r w:rsidRPr="00F85D80">
              <w:rPr>
                <w:rFonts w:ascii="Calibri" w:eastAsia="Times New Roman" w:hAnsi="Calibri" w:cs="Calibri"/>
                <w:color w:val="auto"/>
                <w:sz w:val="16"/>
                <w:szCs w:val="16"/>
                <w:lang w:eastAsia="en-AU"/>
              </w:rPr>
              <w:t>Session 1 average</w:t>
            </w:r>
          </w:p>
        </w:tc>
        <w:tc>
          <w:tcPr>
            <w:tcW w:w="1015" w:type="dxa"/>
            <w:tcBorders>
              <w:top w:val="nil"/>
              <w:left w:val="nil"/>
              <w:bottom w:val="single" w:sz="4" w:space="0" w:color="008089"/>
              <w:right w:val="nil"/>
            </w:tcBorders>
            <w:shd w:val="clear" w:color="000000" w:fill="F2F2F2"/>
            <w:vAlign w:val="center"/>
            <w:hideMark/>
          </w:tcPr>
          <w:p w14:paraId="0484660A" w14:textId="77777777" w:rsidR="00401088" w:rsidRPr="00624169" w:rsidRDefault="00401088" w:rsidP="00401088">
            <w:pPr>
              <w:suppressAutoHyphens w:val="0"/>
              <w:spacing w:before="0" w:after="0"/>
              <w:jc w:val="right"/>
              <w:rPr>
                <w:rFonts w:ascii="Calibri" w:eastAsia="Times New Roman" w:hAnsi="Calibri" w:cs="Calibri"/>
                <w:i/>
                <w:iCs/>
                <w:color w:val="auto"/>
                <w:sz w:val="18"/>
                <w:szCs w:val="18"/>
                <w:lang w:eastAsia="en-AU"/>
              </w:rPr>
            </w:pPr>
            <w:r w:rsidRPr="00624169">
              <w:rPr>
                <w:rFonts w:ascii="Calibri" w:eastAsia="Times New Roman" w:hAnsi="Calibri" w:cs="Calibri"/>
                <w:i/>
                <w:iCs/>
                <w:color w:val="auto"/>
                <w:sz w:val="18"/>
                <w:szCs w:val="18"/>
                <w:lang w:eastAsia="en-AU"/>
              </w:rPr>
              <w:t>nda</w:t>
            </w:r>
          </w:p>
        </w:tc>
        <w:tc>
          <w:tcPr>
            <w:tcW w:w="1015" w:type="dxa"/>
            <w:tcBorders>
              <w:top w:val="nil"/>
              <w:left w:val="nil"/>
              <w:bottom w:val="single" w:sz="4" w:space="0" w:color="008089"/>
              <w:right w:val="nil"/>
            </w:tcBorders>
            <w:shd w:val="clear" w:color="000000" w:fill="F2F2F2"/>
            <w:vAlign w:val="center"/>
            <w:hideMark/>
          </w:tcPr>
          <w:p w14:paraId="664B429B" w14:textId="77777777" w:rsidR="00401088" w:rsidRPr="00624169" w:rsidRDefault="00401088" w:rsidP="00401088">
            <w:pPr>
              <w:suppressAutoHyphens w:val="0"/>
              <w:spacing w:before="0" w:after="0"/>
              <w:jc w:val="right"/>
              <w:rPr>
                <w:rFonts w:ascii="Calibri" w:eastAsia="Times New Roman" w:hAnsi="Calibri" w:cs="Calibri"/>
                <w:i/>
                <w:iCs/>
                <w:color w:val="auto"/>
                <w:sz w:val="18"/>
                <w:szCs w:val="18"/>
                <w:lang w:eastAsia="en-AU"/>
              </w:rPr>
            </w:pPr>
            <w:r w:rsidRPr="00624169">
              <w:rPr>
                <w:rFonts w:ascii="Calibri" w:eastAsia="Times New Roman" w:hAnsi="Calibri" w:cs="Calibri"/>
                <w:i/>
                <w:iCs/>
                <w:color w:val="auto"/>
                <w:sz w:val="18"/>
                <w:szCs w:val="18"/>
                <w:lang w:eastAsia="en-AU"/>
              </w:rPr>
              <w:t>nda</w:t>
            </w:r>
          </w:p>
        </w:tc>
        <w:tc>
          <w:tcPr>
            <w:tcW w:w="1016" w:type="dxa"/>
            <w:tcBorders>
              <w:top w:val="nil"/>
              <w:left w:val="nil"/>
              <w:bottom w:val="single" w:sz="4" w:space="0" w:color="008089"/>
              <w:right w:val="nil"/>
            </w:tcBorders>
            <w:shd w:val="clear" w:color="000000" w:fill="F2F2F2"/>
            <w:vAlign w:val="center"/>
            <w:hideMark/>
          </w:tcPr>
          <w:p w14:paraId="70471E41" w14:textId="77777777" w:rsidR="00401088" w:rsidRPr="00624169" w:rsidRDefault="00401088" w:rsidP="00401088">
            <w:pPr>
              <w:suppressAutoHyphens w:val="0"/>
              <w:spacing w:before="0" w:after="0"/>
              <w:jc w:val="right"/>
              <w:rPr>
                <w:rFonts w:ascii="Calibri" w:eastAsia="Times New Roman" w:hAnsi="Calibri" w:cs="Calibri"/>
                <w:i/>
                <w:iCs/>
                <w:color w:val="auto"/>
                <w:sz w:val="18"/>
                <w:szCs w:val="18"/>
                <w:lang w:eastAsia="en-AU"/>
              </w:rPr>
            </w:pPr>
            <w:r w:rsidRPr="00624169">
              <w:rPr>
                <w:rFonts w:ascii="Calibri" w:eastAsia="Times New Roman" w:hAnsi="Calibri" w:cs="Calibri"/>
                <w:i/>
                <w:iCs/>
                <w:color w:val="auto"/>
                <w:sz w:val="18"/>
                <w:szCs w:val="18"/>
                <w:lang w:eastAsia="en-AU"/>
              </w:rPr>
              <w:t>nda</w:t>
            </w:r>
          </w:p>
        </w:tc>
        <w:tc>
          <w:tcPr>
            <w:tcW w:w="1015" w:type="dxa"/>
            <w:tcBorders>
              <w:top w:val="nil"/>
              <w:left w:val="nil"/>
              <w:bottom w:val="single" w:sz="4" w:space="0" w:color="008089"/>
              <w:right w:val="nil"/>
            </w:tcBorders>
            <w:shd w:val="clear" w:color="000000" w:fill="F2F2F2"/>
            <w:vAlign w:val="center"/>
            <w:hideMark/>
          </w:tcPr>
          <w:p w14:paraId="73609DAB" w14:textId="77777777" w:rsidR="00401088" w:rsidRPr="00624169" w:rsidRDefault="00401088" w:rsidP="00401088">
            <w:pPr>
              <w:suppressAutoHyphens w:val="0"/>
              <w:spacing w:before="0" w:after="0"/>
              <w:jc w:val="right"/>
              <w:rPr>
                <w:rFonts w:ascii="Calibri" w:eastAsia="Times New Roman" w:hAnsi="Calibri" w:cs="Calibri"/>
                <w:i/>
                <w:iCs/>
                <w:color w:val="auto"/>
                <w:sz w:val="18"/>
                <w:szCs w:val="18"/>
                <w:lang w:eastAsia="en-AU"/>
              </w:rPr>
            </w:pPr>
            <w:r w:rsidRPr="00624169">
              <w:rPr>
                <w:rFonts w:ascii="Calibri" w:eastAsia="Times New Roman" w:hAnsi="Calibri" w:cs="Calibri"/>
                <w:i/>
                <w:iCs/>
                <w:color w:val="auto"/>
                <w:sz w:val="18"/>
                <w:szCs w:val="18"/>
                <w:lang w:eastAsia="en-AU"/>
              </w:rPr>
              <w:t>nda</w:t>
            </w:r>
          </w:p>
        </w:tc>
        <w:tc>
          <w:tcPr>
            <w:tcW w:w="1015" w:type="dxa"/>
            <w:tcBorders>
              <w:top w:val="nil"/>
              <w:left w:val="nil"/>
              <w:bottom w:val="single" w:sz="4" w:space="0" w:color="008089"/>
              <w:right w:val="nil"/>
            </w:tcBorders>
            <w:shd w:val="clear" w:color="000000" w:fill="F2F2F2"/>
            <w:vAlign w:val="center"/>
            <w:hideMark/>
          </w:tcPr>
          <w:p w14:paraId="5C8DA547"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88,000</w:t>
            </w:r>
          </w:p>
        </w:tc>
        <w:tc>
          <w:tcPr>
            <w:tcW w:w="1016" w:type="dxa"/>
            <w:tcBorders>
              <w:top w:val="nil"/>
              <w:left w:val="nil"/>
              <w:bottom w:val="single" w:sz="4" w:space="0" w:color="008089"/>
              <w:right w:val="nil"/>
            </w:tcBorders>
            <w:shd w:val="clear" w:color="000000" w:fill="F2F2F2"/>
            <w:vAlign w:val="center"/>
            <w:hideMark/>
          </w:tcPr>
          <w:p w14:paraId="410A6DE2" w14:textId="77777777" w:rsidR="00401088" w:rsidRPr="00624169" w:rsidRDefault="00401088" w:rsidP="00401088">
            <w:pPr>
              <w:suppressAutoHyphens w:val="0"/>
              <w:spacing w:before="0" w:after="0"/>
              <w:jc w:val="right"/>
              <w:rPr>
                <w:rFonts w:ascii="Calibri" w:eastAsia="Times New Roman" w:hAnsi="Calibri" w:cs="Calibri"/>
                <w:i/>
                <w:iCs/>
                <w:color w:val="auto"/>
                <w:sz w:val="18"/>
                <w:szCs w:val="18"/>
                <w:lang w:eastAsia="en-AU"/>
              </w:rPr>
            </w:pPr>
            <w:r w:rsidRPr="00624169">
              <w:rPr>
                <w:rFonts w:ascii="Calibri" w:eastAsia="Times New Roman" w:hAnsi="Calibri" w:cs="Calibri"/>
                <w:i/>
                <w:iCs/>
                <w:color w:val="auto"/>
                <w:sz w:val="18"/>
                <w:szCs w:val="18"/>
                <w:lang w:eastAsia="en-AU"/>
              </w:rPr>
              <w:t>nda</w:t>
            </w:r>
          </w:p>
        </w:tc>
        <w:tc>
          <w:tcPr>
            <w:tcW w:w="1015" w:type="dxa"/>
            <w:tcBorders>
              <w:top w:val="nil"/>
              <w:left w:val="nil"/>
              <w:bottom w:val="single" w:sz="4" w:space="0" w:color="008089"/>
              <w:right w:val="nil"/>
            </w:tcBorders>
            <w:shd w:val="clear" w:color="000000" w:fill="F2F2F2"/>
            <w:vAlign w:val="center"/>
            <w:hideMark/>
          </w:tcPr>
          <w:p w14:paraId="48264FD1"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86,000</w:t>
            </w:r>
          </w:p>
        </w:tc>
        <w:tc>
          <w:tcPr>
            <w:tcW w:w="1016" w:type="dxa"/>
            <w:tcBorders>
              <w:top w:val="nil"/>
              <w:left w:val="nil"/>
              <w:bottom w:val="single" w:sz="4" w:space="0" w:color="008089"/>
              <w:right w:val="single" w:sz="8" w:space="0" w:color="008089"/>
            </w:tcBorders>
            <w:shd w:val="clear" w:color="000000" w:fill="F2F2F2"/>
            <w:vAlign w:val="center"/>
            <w:hideMark/>
          </w:tcPr>
          <w:p w14:paraId="00D0E12B"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109,000</w:t>
            </w:r>
          </w:p>
        </w:tc>
      </w:tr>
      <w:tr w:rsidR="00624169" w:rsidRPr="00401088" w14:paraId="22ABFA6C" w14:textId="77777777" w:rsidTr="00624169">
        <w:trPr>
          <w:trHeight w:val="330"/>
          <w:jc w:val="center"/>
        </w:trPr>
        <w:tc>
          <w:tcPr>
            <w:tcW w:w="1502" w:type="dxa"/>
            <w:vMerge/>
            <w:tcBorders>
              <w:top w:val="nil"/>
              <w:left w:val="single" w:sz="8" w:space="0" w:color="008089"/>
              <w:bottom w:val="single" w:sz="8" w:space="0" w:color="008089"/>
              <w:right w:val="nil"/>
            </w:tcBorders>
            <w:vAlign w:val="center"/>
            <w:hideMark/>
          </w:tcPr>
          <w:p w14:paraId="7F536543" w14:textId="77777777" w:rsidR="00401088" w:rsidRPr="00DB204C" w:rsidRDefault="00401088" w:rsidP="00401088">
            <w:pPr>
              <w:suppressAutoHyphens w:val="0"/>
              <w:spacing w:before="0" w:after="0"/>
              <w:rPr>
                <w:rFonts w:ascii="Calibri" w:eastAsia="Times New Roman" w:hAnsi="Calibri" w:cs="Calibri"/>
                <w:b/>
                <w:bCs/>
                <w:color w:val="000000"/>
                <w:sz w:val="18"/>
                <w:szCs w:val="18"/>
                <w:lang w:eastAsia="en-AU"/>
              </w:rPr>
            </w:pPr>
          </w:p>
        </w:tc>
        <w:tc>
          <w:tcPr>
            <w:tcW w:w="3308" w:type="dxa"/>
            <w:tcBorders>
              <w:top w:val="nil"/>
              <w:left w:val="nil"/>
              <w:bottom w:val="single" w:sz="4" w:space="0" w:color="008089"/>
              <w:right w:val="nil"/>
            </w:tcBorders>
            <w:shd w:val="clear" w:color="000000" w:fill="F2F2F2"/>
            <w:vAlign w:val="center"/>
            <w:hideMark/>
          </w:tcPr>
          <w:p w14:paraId="3D60C762" w14:textId="77777777" w:rsidR="00401088" w:rsidRPr="00DB204C" w:rsidRDefault="00401088" w:rsidP="00401088">
            <w:pPr>
              <w:suppressAutoHyphens w:val="0"/>
              <w:spacing w:before="0" w:after="0"/>
              <w:rPr>
                <w:rFonts w:ascii="Calibri" w:eastAsia="Times New Roman" w:hAnsi="Calibri" w:cs="Calibri"/>
                <w:color w:val="000000"/>
                <w:sz w:val="18"/>
                <w:szCs w:val="18"/>
                <w:lang w:eastAsia="en-AU"/>
              </w:rPr>
            </w:pPr>
            <w:r w:rsidRPr="00DB204C">
              <w:rPr>
                <w:rFonts w:ascii="Calibri" w:eastAsia="Times New Roman" w:hAnsi="Calibri" w:cs="Calibri"/>
                <w:color w:val="000000"/>
                <w:sz w:val="18"/>
                <w:szCs w:val="18"/>
                <w:lang w:eastAsia="en-AU"/>
              </w:rPr>
              <w:t>One Day International (Men)</w:t>
            </w:r>
          </w:p>
        </w:tc>
        <w:tc>
          <w:tcPr>
            <w:tcW w:w="1843" w:type="dxa"/>
            <w:tcBorders>
              <w:top w:val="nil"/>
              <w:left w:val="nil"/>
              <w:bottom w:val="single" w:sz="4" w:space="0" w:color="008089"/>
              <w:right w:val="nil"/>
            </w:tcBorders>
            <w:shd w:val="clear" w:color="000000" w:fill="F2F2F2"/>
            <w:vAlign w:val="center"/>
            <w:hideMark/>
          </w:tcPr>
          <w:p w14:paraId="44CDC0CF" w14:textId="77777777" w:rsidR="00401088" w:rsidRPr="00F85D80" w:rsidRDefault="00401088" w:rsidP="00401088">
            <w:pPr>
              <w:suppressAutoHyphens w:val="0"/>
              <w:spacing w:before="0" w:after="0"/>
              <w:rPr>
                <w:rFonts w:ascii="Calibri" w:eastAsia="Times New Roman" w:hAnsi="Calibri" w:cs="Calibri"/>
                <w:color w:val="auto"/>
                <w:sz w:val="16"/>
                <w:szCs w:val="16"/>
                <w:lang w:eastAsia="en-AU"/>
              </w:rPr>
            </w:pPr>
            <w:r w:rsidRPr="00F85D80">
              <w:rPr>
                <w:rFonts w:ascii="Calibri" w:eastAsia="Times New Roman" w:hAnsi="Calibri" w:cs="Calibri"/>
                <w:color w:val="auto"/>
                <w:sz w:val="16"/>
                <w:szCs w:val="16"/>
                <w:lang w:eastAsia="en-AU"/>
              </w:rPr>
              <w:t>Session 2 average on main channel</w:t>
            </w:r>
            <w:r w:rsidRPr="00F85D80">
              <w:rPr>
                <w:rFonts w:ascii="Calibri" w:eastAsia="Times New Roman" w:hAnsi="Calibri" w:cs="Calibri"/>
                <w:color w:val="auto"/>
                <w:sz w:val="16"/>
                <w:szCs w:val="16"/>
                <w:vertAlign w:val="superscript"/>
                <w:lang w:eastAsia="en-AU"/>
              </w:rPr>
              <w:t>5</w:t>
            </w:r>
          </w:p>
        </w:tc>
        <w:tc>
          <w:tcPr>
            <w:tcW w:w="1015" w:type="dxa"/>
            <w:tcBorders>
              <w:top w:val="nil"/>
              <w:left w:val="nil"/>
              <w:bottom w:val="single" w:sz="4" w:space="0" w:color="008089"/>
              <w:right w:val="nil"/>
            </w:tcBorders>
            <w:shd w:val="clear" w:color="000000" w:fill="F2F2F2"/>
            <w:vAlign w:val="center"/>
            <w:hideMark/>
          </w:tcPr>
          <w:p w14:paraId="246AA69C"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1,149,000</w:t>
            </w:r>
          </w:p>
        </w:tc>
        <w:tc>
          <w:tcPr>
            <w:tcW w:w="1015" w:type="dxa"/>
            <w:tcBorders>
              <w:top w:val="nil"/>
              <w:left w:val="nil"/>
              <w:bottom w:val="single" w:sz="4" w:space="0" w:color="008089"/>
              <w:right w:val="nil"/>
            </w:tcBorders>
            <w:shd w:val="clear" w:color="000000" w:fill="F2F2F2"/>
            <w:vAlign w:val="center"/>
            <w:hideMark/>
          </w:tcPr>
          <w:p w14:paraId="2A86673F"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1,141,000</w:t>
            </w:r>
          </w:p>
        </w:tc>
        <w:tc>
          <w:tcPr>
            <w:tcW w:w="1016" w:type="dxa"/>
            <w:tcBorders>
              <w:top w:val="nil"/>
              <w:left w:val="nil"/>
              <w:bottom w:val="single" w:sz="4" w:space="0" w:color="008089"/>
              <w:right w:val="nil"/>
            </w:tcBorders>
            <w:shd w:val="clear" w:color="000000" w:fill="F2F2F2"/>
            <w:vAlign w:val="center"/>
            <w:hideMark/>
          </w:tcPr>
          <w:p w14:paraId="013394B0"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937,000</w:t>
            </w:r>
          </w:p>
        </w:tc>
        <w:tc>
          <w:tcPr>
            <w:tcW w:w="1015" w:type="dxa"/>
            <w:tcBorders>
              <w:top w:val="nil"/>
              <w:left w:val="nil"/>
              <w:bottom w:val="single" w:sz="4" w:space="0" w:color="008089"/>
              <w:right w:val="nil"/>
            </w:tcBorders>
            <w:shd w:val="clear" w:color="000000" w:fill="F2F2F2"/>
            <w:vAlign w:val="center"/>
            <w:hideMark/>
          </w:tcPr>
          <w:p w14:paraId="32DBCB47"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992,000</w:t>
            </w:r>
          </w:p>
        </w:tc>
        <w:tc>
          <w:tcPr>
            <w:tcW w:w="1015" w:type="dxa"/>
            <w:tcBorders>
              <w:top w:val="nil"/>
              <w:left w:val="nil"/>
              <w:bottom w:val="single" w:sz="4" w:space="0" w:color="008089"/>
              <w:right w:val="nil"/>
            </w:tcBorders>
            <w:shd w:val="clear" w:color="000000" w:fill="F2F2F2"/>
            <w:vAlign w:val="center"/>
            <w:hideMark/>
          </w:tcPr>
          <w:p w14:paraId="35122422"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137,000</w:t>
            </w:r>
          </w:p>
        </w:tc>
        <w:tc>
          <w:tcPr>
            <w:tcW w:w="1016" w:type="dxa"/>
            <w:tcBorders>
              <w:top w:val="nil"/>
              <w:left w:val="nil"/>
              <w:bottom w:val="single" w:sz="4" w:space="0" w:color="008089"/>
              <w:right w:val="nil"/>
            </w:tcBorders>
            <w:shd w:val="clear" w:color="000000" w:fill="F2F2F2"/>
            <w:vAlign w:val="center"/>
            <w:hideMark/>
          </w:tcPr>
          <w:p w14:paraId="1400FA51" w14:textId="77777777" w:rsidR="00401088" w:rsidRPr="00624169" w:rsidRDefault="00401088" w:rsidP="00401088">
            <w:pPr>
              <w:suppressAutoHyphens w:val="0"/>
              <w:spacing w:before="0" w:after="0"/>
              <w:jc w:val="right"/>
              <w:rPr>
                <w:rFonts w:ascii="Calibri" w:eastAsia="Times New Roman" w:hAnsi="Calibri" w:cs="Calibri"/>
                <w:i/>
                <w:iCs/>
                <w:color w:val="auto"/>
                <w:sz w:val="18"/>
                <w:szCs w:val="18"/>
                <w:lang w:eastAsia="en-AU"/>
              </w:rPr>
            </w:pPr>
            <w:r w:rsidRPr="00624169">
              <w:rPr>
                <w:rFonts w:ascii="Calibri" w:eastAsia="Times New Roman" w:hAnsi="Calibri" w:cs="Calibri"/>
                <w:i/>
                <w:iCs/>
                <w:color w:val="auto"/>
                <w:sz w:val="18"/>
                <w:szCs w:val="18"/>
                <w:lang w:eastAsia="en-AU"/>
              </w:rPr>
              <w:t>nfta</w:t>
            </w:r>
          </w:p>
        </w:tc>
        <w:tc>
          <w:tcPr>
            <w:tcW w:w="1015" w:type="dxa"/>
            <w:tcBorders>
              <w:top w:val="nil"/>
              <w:left w:val="nil"/>
              <w:bottom w:val="single" w:sz="4" w:space="0" w:color="008089"/>
              <w:right w:val="nil"/>
            </w:tcBorders>
            <w:shd w:val="clear" w:color="000000" w:fill="F2F2F2"/>
            <w:vAlign w:val="center"/>
            <w:hideMark/>
          </w:tcPr>
          <w:p w14:paraId="048FBBFA" w14:textId="77777777" w:rsidR="00401088" w:rsidRPr="00624169" w:rsidRDefault="00401088" w:rsidP="00401088">
            <w:pPr>
              <w:suppressAutoHyphens w:val="0"/>
              <w:spacing w:before="0" w:after="0"/>
              <w:jc w:val="right"/>
              <w:rPr>
                <w:rFonts w:ascii="Calibri" w:eastAsia="Times New Roman" w:hAnsi="Calibri" w:cs="Calibri"/>
                <w:i/>
                <w:iCs/>
                <w:color w:val="auto"/>
                <w:sz w:val="18"/>
                <w:szCs w:val="18"/>
                <w:lang w:eastAsia="en-AU"/>
              </w:rPr>
            </w:pPr>
            <w:r w:rsidRPr="00624169">
              <w:rPr>
                <w:rFonts w:ascii="Calibri" w:eastAsia="Times New Roman" w:hAnsi="Calibri" w:cs="Calibri"/>
                <w:i/>
                <w:iCs/>
                <w:color w:val="auto"/>
                <w:sz w:val="18"/>
                <w:szCs w:val="18"/>
                <w:lang w:eastAsia="en-AU"/>
              </w:rPr>
              <w:t>nfta</w:t>
            </w:r>
          </w:p>
        </w:tc>
        <w:tc>
          <w:tcPr>
            <w:tcW w:w="1016" w:type="dxa"/>
            <w:tcBorders>
              <w:top w:val="nil"/>
              <w:left w:val="nil"/>
              <w:bottom w:val="single" w:sz="4" w:space="0" w:color="008089"/>
              <w:right w:val="single" w:sz="8" w:space="0" w:color="008089"/>
            </w:tcBorders>
            <w:shd w:val="clear" w:color="000000" w:fill="F2F2F2"/>
            <w:vAlign w:val="center"/>
            <w:hideMark/>
          </w:tcPr>
          <w:p w14:paraId="192B06AE" w14:textId="77777777" w:rsidR="00401088" w:rsidRPr="00624169" w:rsidRDefault="00401088" w:rsidP="00401088">
            <w:pPr>
              <w:suppressAutoHyphens w:val="0"/>
              <w:spacing w:before="0" w:after="0"/>
              <w:jc w:val="right"/>
              <w:rPr>
                <w:rFonts w:ascii="Calibri" w:eastAsia="Times New Roman" w:hAnsi="Calibri" w:cs="Calibri"/>
                <w:i/>
                <w:iCs/>
                <w:color w:val="auto"/>
                <w:sz w:val="18"/>
                <w:szCs w:val="18"/>
                <w:lang w:eastAsia="en-AU"/>
              </w:rPr>
            </w:pPr>
            <w:r w:rsidRPr="00624169">
              <w:rPr>
                <w:rFonts w:ascii="Calibri" w:eastAsia="Times New Roman" w:hAnsi="Calibri" w:cs="Calibri"/>
                <w:i/>
                <w:iCs/>
                <w:color w:val="auto"/>
                <w:sz w:val="18"/>
                <w:szCs w:val="18"/>
                <w:lang w:eastAsia="en-AU"/>
              </w:rPr>
              <w:t>nfta</w:t>
            </w:r>
          </w:p>
        </w:tc>
      </w:tr>
      <w:tr w:rsidR="00624169" w:rsidRPr="00401088" w14:paraId="4AFDDC61" w14:textId="77777777" w:rsidTr="00624169">
        <w:trPr>
          <w:trHeight w:val="290"/>
          <w:jc w:val="center"/>
        </w:trPr>
        <w:tc>
          <w:tcPr>
            <w:tcW w:w="1502" w:type="dxa"/>
            <w:vMerge/>
            <w:tcBorders>
              <w:top w:val="nil"/>
              <w:left w:val="single" w:sz="8" w:space="0" w:color="008089"/>
              <w:bottom w:val="single" w:sz="8" w:space="0" w:color="008089"/>
              <w:right w:val="nil"/>
            </w:tcBorders>
            <w:vAlign w:val="center"/>
            <w:hideMark/>
          </w:tcPr>
          <w:p w14:paraId="3AB2BBB7" w14:textId="77777777" w:rsidR="00401088" w:rsidRPr="00DB204C" w:rsidRDefault="00401088" w:rsidP="00401088">
            <w:pPr>
              <w:suppressAutoHyphens w:val="0"/>
              <w:spacing w:before="0" w:after="0"/>
              <w:rPr>
                <w:rFonts w:ascii="Calibri" w:eastAsia="Times New Roman" w:hAnsi="Calibri" w:cs="Calibri"/>
                <w:b/>
                <w:bCs/>
                <w:color w:val="000000"/>
                <w:sz w:val="18"/>
                <w:szCs w:val="18"/>
                <w:lang w:eastAsia="en-AU"/>
              </w:rPr>
            </w:pPr>
          </w:p>
        </w:tc>
        <w:tc>
          <w:tcPr>
            <w:tcW w:w="3308" w:type="dxa"/>
            <w:tcBorders>
              <w:top w:val="nil"/>
              <w:left w:val="nil"/>
              <w:bottom w:val="single" w:sz="4" w:space="0" w:color="008089"/>
              <w:right w:val="nil"/>
            </w:tcBorders>
            <w:shd w:val="clear" w:color="000000" w:fill="F2F2F2"/>
            <w:vAlign w:val="center"/>
            <w:hideMark/>
          </w:tcPr>
          <w:p w14:paraId="75D83FB2" w14:textId="77777777" w:rsidR="00401088" w:rsidRPr="00DB204C" w:rsidRDefault="00401088" w:rsidP="00401088">
            <w:pPr>
              <w:suppressAutoHyphens w:val="0"/>
              <w:spacing w:before="0" w:after="0"/>
              <w:rPr>
                <w:rFonts w:ascii="Calibri" w:eastAsia="Times New Roman" w:hAnsi="Calibri" w:cs="Calibri"/>
                <w:color w:val="000000"/>
                <w:sz w:val="18"/>
                <w:szCs w:val="18"/>
                <w:lang w:eastAsia="en-AU"/>
              </w:rPr>
            </w:pPr>
            <w:r w:rsidRPr="00DB204C">
              <w:rPr>
                <w:rFonts w:ascii="Calibri" w:eastAsia="Times New Roman" w:hAnsi="Calibri" w:cs="Calibri"/>
                <w:color w:val="000000"/>
                <w:sz w:val="18"/>
                <w:szCs w:val="18"/>
                <w:lang w:eastAsia="en-AU"/>
              </w:rPr>
              <w:t>One Day International (Women)</w:t>
            </w:r>
          </w:p>
        </w:tc>
        <w:tc>
          <w:tcPr>
            <w:tcW w:w="1843" w:type="dxa"/>
            <w:tcBorders>
              <w:top w:val="nil"/>
              <w:left w:val="nil"/>
              <w:bottom w:val="single" w:sz="4" w:space="0" w:color="008089"/>
              <w:right w:val="nil"/>
            </w:tcBorders>
            <w:shd w:val="clear" w:color="000000" w:fill="F2F2F2"/>
            <w:vAlign w:val="center"/>
            <w:hideMark/>
          </w:tcPr>
          <w:p w14:paraId="04107A84" w14:textId="77777777" w:rsidR="00401088" w:rsidRPr="00F85D80" w:rsidRDefault="00401088" w:rsidP="00401088">
            <w:pPr>
              <w:suppressAutoHyphens w:val="0"/>
              <w:spacing w:before="0" w:after="0"/>
              <w:rPr>
                <w:rFonts w:ascii="Calibri" w:eastAsia="Times New Roman" w:hAnsi="Calibri" w:cs="Calibri"/>
                <w:color w:val="auto"/>
                <w:sz w:val="16"/>
                <w:szCs w:val="16"/>
                <w:lang w:eastAsia="en-AU"/>
              </w:rPr>
            </w:pPr>
            <w:r w:rsidRPr="00F85D80">
              <w:rPr>
                <w:rFonts w:ascii="Calibri" w:eastAsia="Times New Roman" w:hAnsi="Calibri" w:cs="Calibri"/>
                <w:color w:val="auto"/>
                <w:sz w:val="16"/>
                <w:szCs w:val="16"/>
                <w:lang w:eastAsia="en-AU"/>
              </w:rPr>
              <w:t>Session 2 average</w:t>
            </w:r>
          </w:p>
        </w:tc>
        <w:tc>
          <w:tcPr>
            <w:tcW w:w="1015" w:type="dxa"/>
            <w:tcBorders>
              <w:top w:val="nil"/>
              <w:left w:val="nil"/>
              <w:bottom w:val="single" w:sz="4" w:space="0" w:color="008089"/>
              <w:right w:val="nil"/>
            </w:tcBorders>
            <w:shd w:val="clear" w:color="000000" w:fill="F2F2F2"/>
            <w:vAlign w:val="center"/>
            <w:hideMark/>
          </w:tcPr>
          <w:p w14:paraId="0738CE55" w14:textId="77777777" w:rsidR="00401088" w:rsidRPr="00624169" w:rsidRDefault="00401088" w:rsidP="00401088">
            <w:pPr>
              <w:suppressAutoHyphens w:val="0"/>
              <w:spacing w:before="0" w:after="0"/>
              <w:jc w:val="right"/>
              <w:rPr>
                <w:rFonts w:ascii="Calibri" w:eastAsia="Times New Roman" w:hAnsi="Calibri" w:cs="Calibri"/>
                <w:i/>
                <w:iCs/>
                <w:color w:val="auto"/>
                <w:sz w:val="18"/>
                <w:szCs w:val="18"/>
                <w:lang w:eastAsia="en-AU"/>
              </w:rPr>
            </w:pPr>
            <w:r w:rsidRPr="00624169">
              <w:rPr>
                <w:rFonts w:ascii="Calibri" w:eastAsia="Times New Roman" w:hAnsi="Calibri" w:cs="Calibri"/>
                <w:i/>
                <w:iCs/>
                <w:color w:val="auto"/>
                <w:sz w:val="18"/>
                <w:szCs w:val="18"/>
                <w:lang w:eastAsia="en-AU"/>
              </w:rPr>
              <w:t>nda</w:t>
            </w:r>
          </w:p>
        </w:tc>
        <w:tc>
          <w:tcPr>
            <w:tcW w:w="1015" w:type="dxa"/>
            <w:tcBorders>
              <w:top w:val="nil"/>
              <w:left w:val="nil"/>
              <w:bottom w:val="single" w:sz="4" w:space="0" w:color="008089"/>
              <w:right w:val="nil"/>
            </w:tcBorders>
            <w:shd w:val="clear" w:color="000000" w:fill="F2F2F2"/>
            <w:vAlign w:val="center"/>
            <w:hideMark/>
          </w:tcPr>
          <w:p w14:paraId="29504515" w14:textId="77777777" w:rsidR="00401088" w:rsidRPr="00624169" w:rsidRDefault="00401088" w:rsidP="00401088">
            <w:pPr>
              <w:suppressAutoHyphens w:val="0"/>
              <w:spacing w:before="0" w:after="0"/>
              <w:jc w:val="right"/>
              <w:rPr>
                <w:rFonts w:ascii="Calibri" w:eastAsia="Times New Roman" w:hAnsi="Calibri" w:cs="Calibri"/>
                <w:i/>
                <w:iCs/>
                <w:color w:val="auto"/>
                <w:sz w:val="18"/>
                <w:szCs w:val="18"/>
                <w:lang w:eastAsia="en-AU"/>
              </w:rPr>
            </w:pPr>
            <w:r w:rsidRPr="00624169">
              <w:rPr>
                <w:rFonts w:ascii="Calibri" w:eastAsia="Times New Roman" w:hAnsi="Calibri" w:cs="Calibri"/>
                <w:i/>
                <w:iCs/>
                <w:color w:val="auto"/>
                <w:sz w:val="18"/>
                <w:szCs w:val="18"/>
                <w:lang w:eastAsia="en-AU"/>
              </w:rPr>
              <w:t>nda</w:t>
            </w:r>
          </w:p>
        </w:tc>
        <w:tc>
          <w:tcPr>
            <w:tcW w:w="1016" w:type="dxa"/>
            <w:tcBorders>
              <w:top w:val="nil"/>
              <w:left w:val="nil"/>
              <w:bottom w:val="single" w:sz="4" w:space="0" w:color="008089"/>
              <w:right w:val="nil"/>
            </w:tcBorders>
            <w:shd w:val="clear" w:color="000000" w:fill="F2F2F2"/>
            <w:vAlign w:val="center"/>
            <w:hideMark/>
          </w:tcPr>
          <w:p w14:paraId="077704EF" w14:textId="77777777" w:rsidR="00401088" w:rsidRPr="00624169" w:rsidRDefault="00401088" w:rsidP="00401088">
            <w:pPr>
              <w:suppressAutoHyphens w:val="0"/>
              <w:spacing w:before="0" w:after="0"/>
              <w:jc w:val="right"/>
              <w:rPr>
                <w:rFonts w:ascii="Calibri" w:eastAsia="Times New Roman" w:hAnsi="Calibri" w:cs="Calibri"/>
                <w:i/>
                <w:iCs/>
                <w:color w:val="auto"/>
                <w:sz w:val="18"/>
                <w:szCs w:val="18"/>
                <w:lang w:eastAsia="en-AU"/>
              </w:rPr>
            </w:pPr>
            <w:r w:rsidRPr="00624169">
              <w:rPr>
                <w:rFonts w:ascii="Calibri" w:eastAsia="Times New Roman" w:hAnsi="Calibri" w:cs="Calibri"/>
                <w:i/>
                <w:iCs/>
                <w:color w:val="auto"/>
                <w:sz w:val="18"/>
                <w:szCs w:val="18"/>
                <w:lang w:eastAsia="en-AU"/>
              </w:rPr>
              <w:t>nda</w:t>
            </w:r>
          </w:p>
        </w:tc>
        <w:tc>
          <w:tcPr>
            <w:tcW w:w="1015" w:type="dxa"/>
            <w:tcBorders>
              <w:top w:val="nil"/>
              <w:left w:val="nil"/>
              <w:bottom w:val="single" w:sz="4" w:space="0" w:color="008089"/>
              <w:right w:val="nil"/>
            </w:tcBorders>
            <w:shd w:val="clear" w:color="000000" w:fill="F2F2F2"/>
            <w:vAlign w:val="center"/>
            <w:hideMark/>
          </w:tcPr>
          <w:p w14:paraId="7C04F12E" w14:textId="77777777" w:rsidR="00401088" w:rsidRPr="00624169" w:rsidRDefault="00401088" w:rsidP="00401088">
            <w:pPr>
              <w:suppressAutoHyphens w:val="0"/>
              <w:spacing w:before="0" w:after="0"/>
              <w:jc w:val="right"/>
              <w:rPr>
                <w:rFonts w:ascii="Calibri" w:eastAsia="Times New Roman" w:hAnsi="Calibri" w:cs="Calibri"/>
                <w:i/>
                <w:iCs/>
                <w:color w:val="auto"/>
                <w:sz w:val="18"/>
                <w:szCs w:val="18"/>
                <w:lang w:eastAsia="en-AU"/>
              </w:rPr>
            </w:pPr>
            <w:r w:rsidRPr="00624169">
              <w:rPr>
                <w:rFonts w:ascii="Calibri" w:eastAsia="Times New Roman" w:hAnsi="Calibri" w:cs="Calibri"/>
                <w:i/>
                <w:iCs/>
                <w:color w:val="auto"/>
                <w:sz w:val="18"/>
                <w:szCs w:val="18"/>
                <w:lang w:eastAsia="en-AU"/>
              </w:rPr>
              <w:t>nda</w:t>
            </w:r>
          </w:p>
        </w:tc>
        <w:tc>
          <w:tcPr>
            <w:tcW w:w="1015" w:type="dxa"/>
            <w:tcBorders>
              <w:top w:val="nil"/>
              <w:left w:val="nil"/>
              <w:bottom w:val="single" w:sz="4" w:space="0" w:color="008089"/>
              <w:right w:val="nil"/>
            </w:tcBorders>
            <w:shd w:val="clear" w:color="000000" w:fill="F2F2F2"/>
            <w:vAlign w:val="center"/>
            <w:hideMark/>
          </w:tcPr>
          <w:p w14:paraId="64A55FEE"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82,000</w:t>
            </w:r>
          </w:p>
        </w:tc>
        <w:tc>
          <w:tcPr>
            <w:tcW w:w="1016" w:type="dxa"/>
            <w:tcBorders>
              <w:top w:val="nil"/>
              <w:left w:val="nil"/>
              <w:bottom w:val="single" w:sz="4" w:space="0" w:color="008089"/>
              <w:right w:val="nil"/>
            </w:tcBorders>
            <w:shd w:val="clear" w:color="000000" w:fill="F2F2F2"/>
            <w:vAlign w:val="center"/>
            <w:hideMark/>
          </w:tcPr>
          <w:p w14:paraId="375E0ECB"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96,000</w:t>
            </w:r>
          </w:p>
        </w:tc>
        <w:tc>
          <w:tcPr>
            <w:tcW w:w="1015" w:type="dxa"/>
            <w:tcBorders>
              <w:top w:val="nil"/>
              <w:left w:val="nil"/>
              <w:bottom w:val="single" w:sz="4" w:space="0" w:color="008089"/>
              <w:right w:val="nil"/>
            </w:tcBorders>
            <w:shd w:val="clear" w:color="000000" w:fill="F2F2F2"/>
            <w:vAlign w:val="center"/>
            <w:hideMark/>
          </w:tcPr>
          <w:p w14:paraId="2E6A59B7"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88,000</w:t>
            </w:r>
          </w:p>
        </w:tc>
        <w:tc>
          <w:tcPr>
            <w:tcW w:w="1016" w:type="dxa"/>
            <w:tcBorders>
              <w:top w:val="nil"/>
              <w:left w:val="nil"/>
              <w:bottom w:val="single" w:sz="4" w:space="0" w:color="008089"/>
              <w:right w:val="single" w:sz="8" w:space="0" w:color="008089"/>
            </w:tcBorders>
            <w:shd w:val="clear" w:color="000000" w:fill="F2F2F2"/>
            <w:vAlign w:val="center"/>
            <w:hideMark/>
          </w:tcPr>
          <w:p w14:paraId="41007E66"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78,000</w:t>
            </w:r>
          </w:p>
        </w:tc>
      </w:tr>
      <w:tr w:rsidR="00624169" w:rsidRPr="00401088" w14:paraId="1956578E" w14:textId="77777777" w:rsidTr="00624169">
        <w:trPr>
          <w:trHeight w:val="290"/>
          <w:jc w:val="center"/>
        </w:trPr>
        <w:tc>
          <w:tcPr>
            <w:tcW w:w="1502" w:type="dxa"/>
            <w:vMerge/>
            <w:tcBorders>
              <w:top w:val="nil"/>
              <w:left w:val="single" w:sz="8" w:space="0" w:color="008089"/>
              <w:bottom w:val="single" w:sz="8" w:space="0" w:color="008089"/>
              <w:right w:val="nil"/>
            </w:tcBorders>
            <w:vAlign w:val="center"/>
            <w:hideMark/>
          </w:tcPr>
          <w:p w14:paraId="07FC6077" w14:textId="77777777" w:rsidR="00401088" w:rsidRPr="00DB204C" w:rsidRDefault="00401088" w:rsidP="00401088">
            <w:pPr>
              <w:suppressAutoHyphens w:val="0"/>
              <w:spacing w:before="0" w:after="0"/>
              <w:rPr>
                <w:rFonts w:ascii="Calibri" w:eastAsia="Times New Roman" w:hAnsi="Calibri" w:cs="Calibri"/>
                <w:b/>
                <w:bCs/>
                <w:color w:val="000000"/>
                <w:sz w:val="18"/>
                <w:szCs w:val="18"/>
                <w:lang w:eastAsia="en-AU"/>
              </w:rPr>
            </w:pPr>
          </w:p>
        </w:tc>
        <w:tc>
          <w:tcPr>
            <w:tcW w:w="3308" w:type="dxa"/>
            <w:tcBorders>
              <w:top w:val="nil"/>
              <w:left w:val="nil"/>
              <w:bottom w:val="single" w:sz="4" w:space="0" w:color="008089"/>
              <w:right w:val="nil"/>
            </w:tcBorders>
            <w:shd w:val="clear" w:color="000000" w:fill="F2F2F2"/>
            <w:vAlign w:val="center"/>
            <w:hideMark/>
          </w:tcPr>
          <w:p w14:paraId="780D65EE" w14:textId="4CF4A7AE" w:rsidR="00401088" w:rsidRPr="00DB204C" w:rsidRDefault="00401088" w:rsidP="00401088">
            <w:pPr>
              <w:suppressAutoHyphens w:val="0"/>
              <w:spacing w:before="0" w:after="0"/>
              <w:rPr>
                <w:rFonts w:ascii="Calibri" w:eastAsia="Times New Roman" w:hAnsi="Calibri" w:cs="Calibri"/>
                <w:color w:val="000000"/>
                <w:sz w:val="18"/>
                <w:szCs w:val="18"/>
                <w:lang w:eastAsia="en-AU"/>
              </w:rPr>
            </w:pPr>
            <w:r w:rsidRPr="00DB204C">
              <w:rPr>
                <w:rFonts w:ascii="Calibri" w:eastAsia="Times New Roman" w:hAnsi="Calibri" w:cs="Calibri"/>
                <w:color w:val="000000"/>
                <w:sz w:val="18"/>
                <w:szCs w:val="18"/>
                <w:lang w:eastAsia="en-AU"/>
              </w:rPr>
              <w:t>T20 (Men)</w:t>
            </w:r>
          </w:p>
        </w:tc>
        <w:tc>
          <w:tcPr>
            <w:tcW w:w="1843" w:type="dxa"/>
            <w:tcBorders>
              <w:top w:val="nil"/>
              <w:left w:val="nil"/>
              <w:bottom w:val="single" w:sz="4" w:space="0" w:color="008089"/>
              <w:right w:val="nil"/>
            </w:tcBorders>
            <w:shd w:val="clear" w:color="000000" w:fill="F2F2F2"/>
            <w:vAlign w:val="center"/>
            <w:hideMark/>
          </w:tcPr>
          <w:p w14:paraId="350C5E36" w14:textId="77777777" w:rsidR="00401088" w:rsidRPr="00F85D80" w:rsidRDefault="00401088" w:rsidP="00401088">
            <w:pPr>
              <w:suppressAutoHyphens w:val="0"/>
              <w:spacing w:before="0" w:after="0"/>
              <w:rPr>
                <w:rFonts w:ascii="Calibri" w:eastAsia="Times New Roman" w:hAnsi="Calibri" w:cs="Calibri"/>
                <w:color w:val="000000"/>
                <w:sz w:val="16"/>
                <w:szCs w:val="16"/>
                <w:lang w:eastAsia="en-AU"/>
              </w:rPr>
            </w:pPr>
            <w:r w:rsidRPr="00F85D80">
              <w:rPr>
                <w:rFonts w:ascii="Calibri" w:eastAsia="Times New Roman" w:hAnsi="Calibri" w:cs="Calibri"/>
                <w:color w:val="000000"/>
                <w:sz w:val="16"/>
                <w:szCs w:val="16"/>
                <w:lang w:eastAsia="en-AU"/>
              </w:rPr>
              <w:t>All matches average</w:t>
            </w:r>
          </w:p>
        </w:tc>
        <w:tc>
          <w:tcPr>
            <w:tcW w:w="1015" w:type="dxa"/>
            <w:tcBorders>
              <w:top w:val="nil"/>
              <w:left w:val="nil"/>
              <w:bottom w:val="single" w:sz="4" w:space="0" w:color="008089"/>
              <w:right w:val="nil"/>
            </w:tcBorders>
            <w:shd w:val="clear" w:color="000000" w:fill="F2F2F2"/>
            <w:vAlign w:val="center"/>
            <w:hideMark/>
          </w:tcPr>
          <w:p w14:paraId="3687161C" w14:textId="77777777" w:rsidR="00401088" w:rsidRPr="00624169" w:rsidRDefault="00401088" w:rsidP="00401088">
            <w:pPr>
              <w:suppressAutoHyphens w:val="0"/>
              <w:spacing w:before="0" w:after="0"/>
              <w:jc w:val="right"/>
              <w:rPr>
                <w:rFonts w:ascii="Calibri" w:eastAsia="Times New Roman" w:hAnsi="Calibri" w:cs="Calibri"/>
                <w:i/>
                <w:iCs/>
                <w:color w:val="auto"/>
                <w:sz w:val="18"/>
                <w:szCs w:val="18"/>
                <w:lang w:eastAsia="en-AU"/>
              </w:rPr>
            </w:pPr>
            <w:r w:rsidRPr="00624169">
              <w:rPr>
                <w:rFonts w:ascii="Calibri" w:eastAsia="Times New Roman" w:hAnsi="Calibri" w:cs="Calibri"/>
                <w:i/>
                <w:iCs/>
                <w:color w:val="auto"/>
                <w:sz w:val="18"/>
                <w:szCs w:val="18"/>
                <w:lang w:eastAsia="en-AU"/>
              </w:rPr>
              <w:t>nda</w:t>
            </w:r>
          </w:p>
        </w:tc>
        <w:tc>
          <w:tcPr>
            <w:tcW w:w="1015" w:type="dxa"/>
            <w:tcBorders>
              <w:top w:val="nil"/>
              <w:left w:val="nil"/>
              <w:bottom w:val="single" w:sz="4" w:space="0" w:color="008089"/>
              <w:right w:val="nil"/>
            </w:tcBorders>
            <w:shd w:val="clear" w:color="000000" w:fill="F2F2F2"/>
            <w:vAlign w:val="center"/>
            <w:hideMark/>
          </w:tcPr>
          <w:p w14:paraId="7767F780"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1,093,000</w:t>
            </w:r>
          </w:p>
        </w:tc>
        <w:tc>
          <w:tcPr>
            <w:tcW w:w="1016" w:type="dxa"/>
            <w:tcBorders>
              <w:top w:val="nil"/>
              <w:left w:val="nil"/>
              <w:bottom w:val="single" w:sz="4" w:space="0" w:color="008089"/>
              <w:right w:val="nil"/>
            </w:tcBorders>
            <w:shd w:val="clear" w:color="000000" w:fill="F2F2F2"/>
            <w:vAlign w:val="center"/>
            <w:hideMark/>
          </w:tcPr>
          <w:p w14:paraId="6A8EE6B4"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662,000</w:t>
            </w:r>
          </w:p>
        </w:tc>
        <w:tc>
          <w:tcPr>
            <w:tcW w:w="1015" w:type="dxa"/>
            <w:tcBorders>
              <w:top w:val="nil"/>
              <w:left w:val="nil"/>
              <w:bottom w:val="single" w:sz="4" w:space="0" w:color="008089"/>
              <w:right w:val="nil"/>
            </w:tcBorders>
            <w:shd w:val="clear" w:color="000000" w:fill="F2F2F2"/>
            <w:vAlign w:val="center"/>
            <w:hideMark/>
          </w:tcPr>
          <w:p w14:paraId="07357550"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917,000</w:t>
            </w:r>
          </w:p>
        </w:tc>
        <w:tc>
          <w:tcPr>
            <w:tcW w:w="1015" w:type="dxa"/>
            <w:tcBorders>
              <w:top w:val="nil"/>
              <w:left w:val="nil"/>
              <w:bottom w:val="single" w:sz="4" w:space="0" w:color="008089"/>
              <w:right w:val="nil"/>
            </w:tcBorders>
            <w:shd w:val="clear" w:color="000000" w:fill="F2F2F2"/>
            <w:vAlign w:val="center"/>
            <w:hideMark/>
          </w:tcPr>
          <w:p w14:paraId="28E24373" w14:textId="77777777" w:rsidR="00401088" w:rsidRPr="00624169" w:rsidRDefault="00401088" w:rsidP="00401088">
            <w:pPr>
              <w:suppressAutoHyphens w:val="0"/>
              <w:spacing w:before="0" w:after="0"/>
              <w:jc w:val="right"/>
              <w:rPr>
                <w:rFonts w:ascii="Calibri" w:eastAsia="Times New Roman" w:hAnsi="Calibri" w:cs="Calibri"/>
                <w:i/>
                <w:iCs/>
                <w:color w:val="auto"/>
                <w:sz w:val="18"/>
                <w:szCs w:val="18"/>
                <w:lang w:eastAsia="en-AU"/>
              </w:rPr>
            </w:pPr>
            <w:r w:rsidRPr="00624169">
              <w:rPr>
                <w:rFonts w:ascii="Calibri" w:eastAsia="Times New Roman" w:hAnsi="Calibri" w:cs="Calibri"/>
                <w:i/>
                <w:iCs/>
                <w:color w:val="auto"/>
                <w:sz w:val="18"/>
                <w:szCs w:val="18"/>
                <w:lang w:eastAsia="en-AU"/>
              </w:rPr>
              <w:t>nfta</w:t>
            </w:r>
          </w:p>
        </w:tc>
        <w:tc>
          <w:tcPr>
            <w:tcW w:w="1016" w:type="dxa"/>
            <w:tcBorders>
              <w:top w:val="nil"/>
              <w:left w:val="nil"/>
              <w:bottom w:val="single" w:sz="4" w:space="0" w:color="008089"/>
              <w:right w:val="nil"/>
            </w:tcBorders>
            <w:shd w:val="clear" w:color="000000" w:fill="F2F2F2"/>
            <w:vAlign w:val="center"/>
            <w:hideMark/>
          </w:tcPr>
          <w:p w14:paraId="0B424DE6" w14:textId="77777777" w:rsidR="00401088" w:rsidRPr="00624169" w:rsidRDefault="00401088" w:rsidP="00401088">
            <w:pPr>
              <w:suppressAutoHyphens w:val="0"/>
              <w:spacing w:before="0" w:after="0"/>
              <w:jc w:val="right"/>
              <w:rPr>
                <w:rFonts w:ascii="Calibri" w:eastAsia="Times New Roman" w:hAnsi="Calibri" w:cs="Calibri"/>
                <w:i/>
                <w:iCs/>
                <w:color w:val="auto"/>
                <w:sz w:val="18"/>
                <w:szCs w:val="18"/>
                <w:lang w:eastAsia="en-AU"/>
              </w:rPr>
            </w:pPr>
            <w:r w:rsidRPr="00624169">
              <w:rPr>
                <w:rFonts w:ascii="Calibri" w:eastAsia="Times New Roman" w:hAnsi="Calibri" w:cs="Calibri"/>
                <w:i/>
                <w:iCs/>
                <w:color w:val="auto"/>
                <w:sz w:val="18"/>
                <w:szCs w:val="18"/>
                <w:lang w:eastAsia="en-AU"/>
              </w:rPr>
              <w:t>nfta</w:t>
            </w:r>
          </w:p>
        </w:tc>
        <w:tc>
          <w:tcPr>
            <w:tcW w:w="1015" w:type="dxa"/>
            <w:tcBorders>
              <w:top w:val="nil"/>
              <w:left w:val="nil"/>
              <w:bottom w:val="single" w:sz="4" w:space="0" w:color="008089"/>
              <w:right w:val="nil"/>
            </w:tcBorders>
            <w:shd w:val="clear" w:color="000000" w:fill="F2F2F2"/>
            <w:vAlign w:val="center"/>
            <w:hideMark/>
          </w:tcPr>
          <w:p w14:paraId="09B33019" w14:textId="77777777" w:rsidR="00401088" w:rsidRPr="00624169" w:rsidRDefault="00401088" w:rsidP="00401088">
            <w:pPr>
              <w:suppressAutoHyphens w:val="0"/>
              <w:spacing w:before="0" w:after="0"/>
              <w:jc w:val="right"/>
              <w:rPr>
                <w:rFonts w:ascii="Calibri" w:eastAsia="Times New Roman" w:hAnsi="Calibri" w:cs="Calibri"/>
                <w:i/>
                <w:iCs/>
                <w:color w:val="auto"/>
                <w:sz w:val="18"/>
                <w:szCs w:val="18"/>
                <w:lang w:eastAsia="en-AU"/>
              </w:rPr>
            </w:pPr>
            <w:r w:rsidRPr="00624169">
              <w:rPr>
                <w:rFonts w:ascii="Calibri" w:eastAsia="Times New Roman" w:hAnsi="Calibri" w:cs="Calibri"/>
                <w:i/>
                <w:iCs/>
                <w:color w:val="auto"/>
                <w:sz w:val="18"/>
                <w:szCs w:val="18"/>
                <w:lang w:eastAsia="en-AU"/>
              </w:rPr>
              <w:t>nfta</w:t>
            </w:r>
          </w:p>
        </w:tc>
        <w:tc>
          <w:tcPr>
            <w:tcW w:w="1016" w:type="dxa"/>
            <w:tcBorders>
              <w:top w:val="nil"/>
              <w:left w:val="nil"/>
              <w:bottom w:val="single" w:sz="4" w:space="0" w:color="008089"/>
              <w:right w:val="single" w:sz="8" w:space="0" w:color="008089"/>
            </w:tcBorders>
            <w:shd w:val="clear" w:color="000000" w:fill="F2F2F2"/>
            <w:vAlign w:val="center"/>
            <w:hideMark/>
          </w:tcPr>
          <w:p w14:paraId="3A48E3C2" w14:textId="77777777" w:rsidR="00401088" w:rsidRPr="00624169" w:rsidRDefault="00401088" w:rsidP="00401088">
            <w:pPr>
              <w:suppressAutoHyphens w:val="0"/>
              <w:spacing w:before="0" w:after="0"/>
              <w:jc w:val="right"/>
              <w:rPr>
                <w:rFonts w:ascii="Calibri" w:eastAsia="Times New Roman" w:hAnsi="Calibri" w:cs="Calibri"/>
                <w:i/>
                <w:iCs/>
                <w:color w:val="auto"/>
                <w:sz w:val="18"/>
                <w:szCs w:val="18"/>
                <w:lang w:eastAsia="en-AU"/>
              </w:rPr>
            </w:pPr>
            <w:r w:rsidRPr="00624169">
              <w:rPr>
                <w:rFonts w:ascii="Calibri" w:eastAsia="Times New Roman" w:hAnsi="Calibri" w:cs="Calibri"/>
                <w:i/>
                <w:iCs/>
                <w:color w:val="auto"/>
                <w:sz w:val="18"/>
                <w:szCs w:val="18"/>
                <w:lang w:eastAsia="en-AU"/>
              </w:rPr>
              <w:t>nfta</w:t>
            </w:r>
          </w:p>
        </w:tc>
      </w:tr>
      <w:tr w:rsidR="00624169" w:rsidRPr="00401088" w14:paraId="5F9CC079" w14:textId="77777777" w:rsidTr="00624169">
        <w:trPr>
          <w:trHeight w:val="300"/>
          <w:jc w:val="center"/>
        </w:trPr>
        <w:tc>
          <w:tcPr>
            <w:tcW w:w="1502" w:type="dxa"/>
            <w:vMerge/>
            <w:tcBorders>
              <w:top w:val="nil"/>
              <w:left w:val="single" w:sz="8" w:space="0" w:color="008089"/>
              <w:bottom w:val="single" w:sz="8" w:space="0" w:color="008089"/>
              <w:right w:val="nil"/>
            </w:tcBorders>
            <w:vAlign w:val="center"/>
            <w:hideMark/>
          </w:tcPr>
          <w:p w14:paraId="2069A067" w14:textId="77777777" w:rsidR="00401088" w:rsidRPr="00DB204C" w:rsidRDefault="00401088" w:rsidP="00401088">
            <w:pPr>
              <w:suppressAutoHyphens w:val="0"/>
              <w:spacing w:before="0" w:after="0"/>
              <w:rPr>
                <w:rFonts w:ascii="Calibri" w:eastAsia="Times New Roman" w:hAnsi="Calibri" w:cs="Calibri"/>
                <w:b/>
                <w:bCs/>
                <w:color w:val="000000"/>
                <w:sz w:val="18"/>
                <w:szCs w:val="18"/>
                <w:lang w:eastAsia="en-AU"/>
              </w:rPr>
            </w:pPr>
          </w:p>
        </w:tc>
        <w:tc>
          <w:tcPr>
            <w:tcW w:w="3308" w:type="dxa"/>
            <w:tcBorders>
              <w:top w:val="nil"/>
              <w:left w:val="nil"/>
              <w:bottom w:val="single" w:sz="8" w:space="0" w:color="008089"/>
              <w:right w:val="nil"/>
            </w:tcBorders>
            <w:shd w:val="clear" w:color="000000" w:fill="F2F2F2"/>
            <w:vAlign w:val="center"/>
            <w:hideMark/>
          </w:tcPr>
          <w:p w14:paraId="0F3B63A4" w14:textId="66B265FB" w:rsidR="00401088" w:rsidRPr="00DB204C" w:rsidRDefault="00401088" w:rsidP="00401088">
            <w:pPr>
              <w:suppressAutoHyphens w:val="0"/>
              <w:spacing w:before="0" w:after="0"/>
              <w:rPr>
                <w:rFonts w:ascii="Calibri" w:eastAsia="Times New Roman" w:hAnsi="Calibri" w:cs="Calibri"/>
                <w:color w:val="000000"/>
                <w:sz w:val="18"/>
                <w:szCs w:val="18"/>
                <w:lang w:eastAsia="en-AU"/>
              </w:rPr>
            </w:pPr>
            <w:r w:rsidRPr="00DB204C">
              <w:rPr>
                <w:rFonts w:ascii="Calibri" w:eastAsia="Times New Roman" w:hAnsi="Calibri" w:cs="Calibri"/>
                <w:color w:val="000000"/>
                <w:sz w:val="18"/>
                <w:szCs w:val="18"/>
                <w:lang w:eastAsia="en-AU"/>
              </w:rPr>
              <w:t>T20 (Women)</w:t>
            </w:r>
          </w:p>
        </w:tc>
        <w:tc>
          <w:tcPr>
            <w:tcW w:w="1843" w:type="dxa"/>
            <w:tcBorders>
              <w:top w:val="nil"/>
              <w:left w:val="nil"/>
              <w:bottom w:val="single" w:sz="8" w:space="0" w:color="008089"/>
              <w:right w:val="nil"/>
            </w:tcBorders>
            <w:shd w:val="clear" w:color="000000" w:fill="F2F2F2"/>
            <w:vAlign w:val="center"/>
            <w:hideMark/>
          </w:tcPr>
          <w:p w14:paraId="746A4458" w14:textId="77777777" w:rsidR="00401088" w:rsidRPr="00F85D80" w:rsidRDefault="00401088" w:rsidP="00401088">
            <w:pPr>
              <w:suppressAutoHyphens w:val="0"/>
              <w:spacing w:before="0" w:after="0"/>
              <w:rPr>
                <w:rFonts w:ascii="Calibri" w:eastAsia="Times New Roman" w:hAnsi="Calibri" w:cs="Calibri"/>
                <w:color w:val="000000"/>
                <w:sz w:val="16"/>
                <w:szCs w:val="16"/>
                <w:lang w:eastAsia="en-AU"/>
              </w:rPr>
            </w:pPr>
            <w:r w:rsidRPr="00F85D80">
              <w:rPr>
                <w:rFonts w:ascii="Calibri" w:eastAsia="Times New Roman" w:hAnsi="Calibri" w:cs="Calibri"/>
                <w:color w:val="000000"/>
                <w:sz w:val="16"/>
                <w:szCs w:val="16"/>
                <w:lang w:eastAsia="en-AU"/>
              </w:rPr>
              <w:t>All matches average</w:t>
            </w:r>
          </w:p>
        </w:tc>
        <w:tc>
          <w:tcPr>
            <w:tcW w:w="1015" w:type="dxa"/>
            <w:tcBorders>
              <w:top w:val="nil"/>
              <w:left w:val="nil"/>
              <w:bottom w:val="single" w:sz="8" w:space="0" w:color="008089"/>
              <w:right w:val="nil"/>
            </w:tcBorders>
            <w:shd w:val="clear" w:color="000000" w:fill="F2F2F2"/>
            <w:vAlign w:val="center"/>
            <w:hideMark/>
          </w:tcPr>
          <w:p w14:paraId="2BCCE5E5" w14:textId="77777777" w:rsidR="00401088" w:rsidRPr="00624169" w:rsidRDefault="00401088" w:rsidP="00401088">
            <w:pPr>
              <w:suppressAutoHyphens w:val="0"/>
              <w:spacing w:before="0" w:after="0"/>
              <w:jc w:val="right"/>
              <w:rPr>
                <w:rFonts w:ascii="Calibri" w:eastAsia="Times New Roman" w:hAnsi="Calibri" w:cs="Calibri"/>
                <w:i/>
                <w:iCs/>
                <w:color w:val="auto"/>
                <w:sz w:val="18"/>
                <w:szCs w:val="18"/>
                <w:lang w:eastAsia="en-AU"/>
              </w:rPr>
            </w:pPr>
            <w:r w:rsidRPr="00624169">
              <w:rPr>
                <w:rFonts w:ascii="Calibri" w:eastAsia="Times New Roman" w:hAnsi="Calibri" w:cs="Calibri"/>
                <w:i/>
                <w:iCs/>
                <w:color w:val="auto"/>
                <w:sz w:val="18"/>
                <w:szCs w:val="18"/>
                <w:lang w:eastAsia="en-AU"/>
              </w:rPr>
              <w:t>nda</w:t>
            </w:r>
          </w:p>
        </w:tc>
        <w:tc>
          <w:tcPr>
            <w:tcW w:w="1015" w:type="dxa"/>
            <w:tcBorders>
              <w:top w:val="nil"/>
              <w:left w:val="nil"/>
              <w:bottom w:val="single" w:sz="8" w:space="0" w:color="008089"/>
              <w:right w:val="nil"/>
            </w:tcBorders>
            <w:shd w:val="clear" w:color="000000" w:fill="F2F2F2"/>
            <w:vAlign w:val="center"/>
            <w:hideMark/>
          </w:tcPr>
          <w:p w14:paraId="6E9C5AD4"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170,000</w:t>
            </w:r>
          </w:p>
        </w:tc>
        <w:tc>
          <w:tcPr>
            <w:tcW w:w="1016" w:type="dxa"/>
            <w:tcBorders>
              <w:top w:val="nil"/>
              <w:left w:val="nil"/>
              <w:bottom w:val="single" w:sz="8" w:space="0" w:color="008089"/>
              <w:right w:val="nil"/>
            </w:tcBorders>
            <w:shd w:val="clear" w:color="000000" w:fill="F2F2F2"/>
            <w:vAlign w:val="center"/>
            <w:hideMark/>
          </w:tcPr>
          <w:p w14:paraId="7F5572A5"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134,000</w:t>
            </w:r>
          </w:p>
        </w:tc>
        <w:tc>
          <w:tcPr>
            <w:tcW w:w="1015" w:type="dxa"/>
            <w:tcBorders>
              <w:top w:val="nil"/>
              <w:left w:val="nil"/>
              <w:bottom w:val="single" w:sz="8" w:space="0" w:color="008089"/>
              <w:right w:val="nil"/>
            </w:tcBorders>
            <w:shd w:val="clear" w:color="000000" w:fill="F2F2F2"/>
            <w:vAlign w:val="center"/>
            <w:hideMark/>
          </w:tcPr>
          <w:p w14:paraId="0C1C190F"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219,000</w:t>
            </w:r>
          </w:p>
        </w:tc>
        <w:tc>
          <w:tcPr>
            <w:tcW w:w="1015" w:type="dxa"/>
            <w:tcBorders>
              <w:top w:val="nil"/>
              <w:left w:val="nil"/>
              <w:bottom w:val="single" w:sz="8" w:space="0" w:color="008089"/>
              <w:right w:val="nil"/>
            </w:tcBorders>
            <w:shd w:val="clear" w:color="000000" w:fill="F2F2F2"/>
            <w:vAlign w:val="center"/>
            <w:hideMark/>
          </w:tcPr>
          <w:p w14:paraId="2CFA0454" w14:textId="0C29E3FA" w:rsidR="00401088" w:rsidRPr="00624169" w:rsidRDefault="007C3CA4" w:rsidP="00401088">
            <w:pPr>
              <w:suppressAutoHyphens w:val="0"/>
              <w:spacing w:before="0" w:after="0"/>
              <w:jc w:val="right"/>
              <w:rPr>
                <w:rFonts w:ascii="Calibri" w:eastAsia="Times New Roman" w:hAnsi="Calibri" w:cs="Calibri"/>
                <w:b/>
                <w:bCs/>
                <w:color w:val="auto"/>
                <w:sz w:val="18"/>
                <w:szCs w:val="18"/>
                <w:lang w:eastAsia="en-AU"/>
              </w:rPr>
            </w:pPr>
            <w:r>
              <w:rPr>
                <w:rFonts w:ascii="Calibri" w:eastAsia="Times New Roman" w:hAnsi="Calibri" w:cs="Calibri"/>
                <w:b/>
                <w:bCs/>
                <w:color w:val="auto"/>
                <w:sz w:val="18"/>
                <w:szCs w:val="18"/>
                <w:lang w:eastAsia="en-AU"/>
              </w:rPr>
              <w:t>87</w:t>
            </w:r>
            <w:r w:rsidR="00401088" w:rsidRPr="00624169">
              <w:rPr>
                <w:rFonts w:ascii="Calibri" w:eastAsia="Times New Roman" w:hAnsi="Calibri" w:cs="Calibri"/>
                <w:b/>
                <w:bCs/>
                <w:color w:val="auto"/>
                <w:sz w:val="18"/>
                <w:szCs w:val="18"/>
                <w:lang w:eastAsia="en-AU"/>
              </w:rPr>
              <w:t>,000</w:t>
            </w:r>
          </w:p>
        </w:tc>
        <w:tc>
          <w:tcPr>
            <w:tcW w:w="1016" w:type="dxa"/>
            <w:tcBorders>
              <w:top w:val="nil"/>
              <w:left w:val="nil"/>
              <w:bottom w:val="single" w:sz="8" w:space="0" w:color="008089"/>
              <w:right w:val="nil"/>
            </w:tcBorders>
            <w:shd w:val="clear" w:color="000000" w:fill="F2F2F2"/>
            <w:vAlign w:val="center"/>
            <w:hideMark/>
          </w:tcPr>
          <w:p w14:paraId="0E84E6FB"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162,000</w:t>
            </w:r>
          </w:p>
        </w:tc>
        <w:tc>
          <w:tcPr>
            <w:tcW w:w="1015" w:type="dxa"/>
            <w:tcBorders>
              <w:top w:val="nil"/>
              <w:left w:val="nil"/>
              <w:bottom w:val="single" w:sz="8" w:space="0" w:color="008089"/>
              <w:right w:val="nil"/>
            </w:tcBorders>
            <w:shd w:val="clear" w:color="000000" w:fill="F2F2F2"/>
            <w:vAlign w:val="center"/>
            <w:hideMark/>
          </w:tcPr>
          <w:p w14:paraId="1B9DE435"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166,000</w:t>
            </w:r>
          </w:p>
        </w:tc>
        <w:tc>
          <w:tcPr>
            <w:tcW w:w="1016" w:type="dxa"/>
            <w:tcBorders>
              <w:top w:val="nil"/>
              <w:left w:val="nil"/>
              <w:bottom w:val="single" w:sz="8" w:space="0" w:color="008089"/>
              <w:right w:val="single" w:sz="8" w:space="0" w:color="008089"/>
            </w:tcBorders>
            <w:shd w:val="clear" w:color="000000" w:fill="F2F2F2"/>
            <w:vAlign w:val="center"/>
            <w:hideMark/>
          </w:tcPr>
          <w:p w14:paraId="13488180"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128,000</w:t>
            </w:r>
          </w:p>
        </w:tc>
      </w:tr>
      <w:tr w:rsidR="00624169" w:rsidRPr="00401088" w14:paraId="59D9D19A" w14:textId="77777777" w:rsidTr="00624169">
        <w:trPr>
          <w:trHeight w:val="290"/>
          <w:jc w:val="center"/>
        </w:trPr>
        <w:tc>
          <w:tcPr>
            <w:tcW w:w="1502" w:type="dxa"/>
            <w:vMerge w:val="restart"/>
            <w:tcBorders>
              <w:top w:val="nil"/>
              <w:left w:val="single" w:sz="8" w:space="0" w:color="008089"/>
              <w:bottom w:val="single" w:sz="8" w:space="0" w:color="008089"/>
              <w:right w:val="nil"/>
            </w:tcBorders>
            <w:shd w:val="clear" w:color="000000" w:fill="F2F2F2"/>
            <w:vAlign w:val="center"/>
            <w:hideMark/>
          </w:tcPr>
          <w:p w14:paraId="1B90CBE8" w14:textId="77777777" w:rsidR="00401088" w:rsidRPr="00DB204C" w:rsidRDefault="00401088" w:rsidP="00401088">
            <w:pPr>
              <w:suppressAutoHyphens w:val="0"/>
              <w:spacing w:before="0" w:after="0"/>
              <w:jc w:val="center"/>
              <w:rPr>
                <w:rFonts w:ascii="Calibri" w:eastAsia="Times New Roman" w:hAnsi="Calibri" w:cs="Calibri"/>
                <w:b/>
                <w:bCs/>
                <w:color w:val="000000"/>
                <w:sz w:val="18"/>
                <w:szCs w:val="18"/>
                <w:lang w:eastAsia="en-AU"/>
              </w:rPr>
            </w:pPr>
            <w:r w:rsidRPr="00DB204C">
              <w:rPr>
                <w:rFonts w:ascii="Calibri" w:eastAsia="Times New Roman" w:hAnsi="Calibri" w:cs="Calibri"/>
                <w:b/>
                <w:bCs/>
                <w:color w:val="000000"/>
                <w:sz w:val="18"/>
                <w:szCs w:val="18"/>
                <w:lang w:eastAsia="en-AU"/>
              </w:rPr>
              <w:t>Domestic Cricket</w:t>
            </w:r>
          </w:p>
        </w:tc>
        <w:tc>
          <w:tcPr>
            <w:tcW w:w="3308" w:type="dxa"/>
            <w:tcBorders>
              <w:top w:val="nil"/>
              <w:left w:val="nil"/>
              <w:bottom w:val="single" w:sz="4" w:space="0" w:color="008089"/>
              <w:right w:val="nil"/>
            </w:tcBorders>
            <w:shd w:val="clear" w:color="000000" w:fill="F2F2F2"/>
            <w:vAlign w:val="center"/>
            <w:hideMark/>
          </w:tcPr>
          <w:p w14:paraId="1CEB56FB" w14:textId="77777777" w:rsidR="00401088" w:rsidRPr="00DB204C" w:rsidRDefault="00401088" w:rsidP="00401088">
            <w:pPr>
              <w:suppressAutoHyphens w:val="0"/>
              <w:spacing w:before="0" w:after="0"/>
              <w:rPr>
                <w:rFonts w:ascii="Calibri" w:eastAsia="Times New Roman" w:hAnsi="Calibri" w:cs="Calibri"/>
                <w:color w:val="000000"/>
                <w:sz w:val="18"/>
                <w:szCs w:val="18"/>
                <w:lang w:eastAsia="en-AU"/>
              </w:rPr>
            </w:pPr>
            <w:r w:rsidRPr="00DB204C">
              <w:rPr>
                <w:rFonts w:ascii="Calibri" w:eastAsia="Times New Roman" w:hAnsi="Calibri" w:cs="Calibri"/>
                <w:color w:val="000000"/>
                <w:sz w:val="18"/>
                <w:szCs w:val="18"/>
                <w:lang w:eastAsia="en-AU"/>
              </w:rPr>
              <w:t>Big Bash League (Men)</w:t>
            </w:r>
          </w:p>
        </w:tc>
        <w:tc>
          <w:tcPr>
            <w:tcW w:w="1843" w:type="dxa"/>
            <w:tcBorders>
              <w:top w:val="nil"/>
              <w:left w:val="nil"/>
              <w:bottom w:val="single" w:sz="4" w:space="0" w:color="008089"/>
              <w:right w:val="nil"/>
            </w:tcBorders>
            <w:shd w:val="clear" w:color="000000" w:fill="F2F2F2"/>
            <w:vAlign w:val="center"/>
            <w:hideMark/>
          </w:tcPr>
          <w:p w14:paraId="0B748A8B" w14:textId="77777777" w:rsidR="00401088" w:rsidRPr="00F85D80" w:rsidRDefault="00401088" w:rsidP="00401088">
            <w:pPr>
              <w:suppressAutoHyphens w:val="0"/>
              <w:spacing w:before="0" w:after="0"/>
              <w:rPr>
                <w:rFonts w:ascii="Calibri" w:eastAsia="Times New Roman" w:hAnsi="Calibri" w:cs="Calibri"/>
                <w:color w:val="000000"/>
                <w:sz w:val="16"/>
                <w:szCs w:val="16"/>
                <w:lang w:eastAsia="en-AU"/>
              </w:rPr>
            </w:pPr>
            <w:r w:rsidRPr="00F85D80">
              <w:rPr>
                <w:rFonts w:ascii="Calibri" w:eastAsia="Times New Roman" w:hAnsi="Calibri" w:cs="Calibri"/>
                <w:color w:val="000000"/>
                <w:sz w:val="16"/>
                <w:szCs w:val="16"/>
                <w:lang w:eastAsia="en-AU"/>
              </w:rPr>
              <w:t>All sessions on main channel</w:t>
            </w:r>
          </w:p>
        </w:tc>
        <w:tc>
          <w:tcPr>
            <w:tcW w:w="1015" w:type="dxa"/>
            <w:tcBorders>
              <w:top w:val="nil"/>
              <w:left w:val="nil"/>
              <w:bottom w:val="single" w:sz="4" w:space="0" w:color="008089"/>
              <w:right w:val="nil"/>
            </w:tcBorders>
            <w:shd w:val="clear" w:color="000000" w:fill="F2F2F2"/>
            <w:vAlign w:val="center"/>
            <w:hideMark/>
          </w:tcPr>
          <w:p w14:paraId="10F3A22F"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600,000</w:t>
            </w:r>
          </w:p>
        </w:tc>
        <w:tc>
          <w:tcPr>
            <w:tcW w:w="1015" w:type="dxa"/>
            <w:tcBorders>
              <w:top w:val="nil"/>
              <w:left w:val="nil"/>
              <w:bottom w:val="single" w:sz="4" w:space="0" w:color="008089"/>
              <w:right w:val="nil"/>
            </w:tcBorders>
            <w:shd w:val="clear" w:color="000000" w:fill="F2F2F2"/>
            <w:vAlign w:val="center"/>
            <w:hideMark/>
          </w:tcPr>
          <w:p w14:paraId="6DA19494"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770,000</w:t>
            </w:r>
          </w:p>
        </w:tc>
        <w:tc>
          <w:tcPr>
            <w:tcW w:w="1016" w:type="dxa"/>
            <w:tcBorders>
              <w:top w:val="nil"/>
              <w:left w:val="nil"/>
              <w:bottom w:val="single" w:sz="4" w:space="0" w:color="008089"/>
              <w:right w:val="nil"/>
            </w:tcBorders>
            <w:shd w:val="clear" w:color="000000" w:fill="F2F2F2"/>
            <w:vAlign w:val="center"/>
            <w:hideMark/>
          </w:tcPr>
          <w:p w14:paraId="6ACDD1BF"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717,000</w:t>
            </w:r>
          </w:p>
        </w:tc>
        <w:tc>
          <w:tcPr>
            <w:tcW w:w="1015" w:type="dxa"/>
            <w:tcBorders>
              <w:top w:val="nil"/>
              <w:left w:val="nil"/>
              <w:bottom w:val="single" w:sz="4" w:space="0" w:color="008089"/>
              <w:right w:val="nil"/>
            </w:tcBorders>
            <w:shd w:val="clear" w:color="000000" w:fill="F2F2F2"/>
            <w:vAlign w:val="center"/>
            <w:hideMark/>
          </w:tcPr>
          <w:p w14:paraId="74F48073"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652,000</w:t>
            </w:r>
          </w:p>
        </w:tc>
        <w:tc>
          <w:tcPr>
            <w:tcW w:w="1015" w:type="dxa"/>
            <w:tcBorders>
              <w:top w:val="nil"/>
              <w:left w:val="nil"/>
              <w:bottom w:val="single" w:sz="4" w:space="0" w:color="008089"/>
              <w:right w:val="nil"/>
            </w:tcBorders>
            <w:shd w:val="clear" w:color="000000" w:fill="F2F2F2"/>
            <w:vAlign w:val="center"/>
            <w:hideMark/>
          </w:tcPr>
          <w:p w14:paraId="62F0A38D"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481,000</w:t>
            </w:r>
          </w:p>
        </w:tc>
        <w:tc>
          <w:tcPr>
            <w:tcW w:w="1016" w:type="dxa"/>
            <w:tcBorders>
              <w:top w:val="nil"/>
              <w:left w:val="nil"/>
              <w:bottom w:val="single" w:sz="4" w:space="0" w:color="008089"/>
              <w:right w:val="nil"/>
            </w:tcBorders>
            <w:shd w:val="clear" w:color="000000" w:fill="F2F2F2"/>
            <w:vAlign w:val="center"/>
            <w:hideMark/>
          </w:tcPr>
          <w:p w14:paraId="44BF4817"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435,000</w:t>
            </w:r>
          </w:p>
        </w:tc>
        <w:tc>
          <w:tcPr>
            <w:tcW w:w="1015" w:type="dxa"/>
            <w:tcBorders>
              <w:top w:val="nil"/>
              <w:left w:val="nil"/>
              <w:bottom w:val="single" w:sz="4" w:space="0" w:color="008089"/>
              <w:right w:val="nil"/>
            </w:tcBorders>
            <w:shd w:val="clear" w:color="000000" w:fill="F2F2F2"/>
            <w:vAlign w:val="center"/>
            <w:hideMark/>
          </w:tcPr>
          <w:p w14:paraId="793D7B76"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393,000</w:t>
            </w:r>
          </w:p>
        </w:tc>
        <w:tc>
          <w:tcPr>
            <w:tcW w:w="1016" w:type="dxa"/>
            <w:tcBorders>
              <w:top w:val="nil"/>
              <w:left w:val="nil"/>
              <w:bottom w:val="single" w:sz="4" w:space="0" w:color="008089"/>
              <w:right w:val="single" w:sz="8" w:space="0" w:color="008089"/>
            </w:tcBorders>
            <w:shd w:val="clear" w:color="000000" w:fill="F2F2F2"/>
            <w:vAlign w:val="center"/>
            <w:hideMark/>
          </w:tcPr>
          <w:p w14:paraId="46B6474B"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337,000</w:t>
            </w:r>
          </w:p>
        </w:tc>
      </w:tr>
      <w:tr w:rsidR="00624169" w:rsidRPr="00401088" w14:paraId="3B97482A" w14:textId="77777777" w:rsidTr="007C3CA4">
        <w:trPr>
          <w:trHeight w:val="290"/>
          <w:jc w:val="center"/>
        </w:trPr>
        <w:tc>
          <w:tcPr>
            <w:tcW w:w="1502" w:type="dxa"/>
            <w:vMerge/>
            <w:tcBorders>
              <w:top w:val="nil"/>
              <w:left w:val="single" w:sz="8" w:space="0" w:color="008089"/>
              <w:bottom w:val="single" w:sz="8" w:space="0" w:color="008089"/>
              <w:right w:val="nil"/>
            </w:tcBorders>
            <w:vAlign w:val="center"/>
            <w:hideMark/>
          </w:tcPr>
          <w:p w14:paraId="144AD41E" w14:textId="77777777" w:rsidR="00401088" w:rsidRPr="00DB204C" w:rsidRDefault="00401088" w:rsidP="00401088">
            <w:pPr>
              <w:suppressAutoHyphens w:val="0"/>
              <w:spacing w:before="0" w:after="0"/>
              <w:rPr>
                <w:rFonts w:ascii="Calibri" w:eastAsia="Times New Roman" w:hAnsi="Calibri" w:cs="Calibri"/>
                <w:b/>
                <w:bCs/>
                <w:color w:val="000000"/>
                <w:sz w:val="18"/>
                <w:szCs w:val="18"/>
                <w:lang w:eastAsia="en-AU"/>
              </w:rPr>
            </w:pPr>
          </w:p>
        </w:tc>
        <w:tc>
          <w:tcPr>
            <w:tcW w:w="3308" w:type="dxa"/>
            <w:tcBorders>
              <w:top w:val="single" w:sz="4" w:space="0" w:color="008089"/>
              <w:left w:val="nil"/>
              <w:bottom w:val="single" w:sz="4" w:space="0" w:color="008089"/>
              <w:right w:val="nil"/>
            </w:tcBorders>
            <w:shd w:val="clear" w:color="000000" w:fill="F2F2F2"/>
            <w:vAlign w:val="center"/>
            <w:hideMark/>
          </w:tcPr>
          <w:p w14:paraId="15B84E34" w14:textId="77777777" w:rsidR="00401088" w:rsidRPr="00DB204C" w:rsidRDefault="00401088" w:rsidP="00401088">
            <w:pPr>
              <w:suppressAutoHyphens w:val="0"/>
              <w:spacing w:before="0" w:after="0"/>
              <w:rPr>
                <w:rFonts w:ascii="Calibri" w:eastAsia="Times New Roman" w:hAnsi="Calibri" w:cs="Calibri"/>
                <w:color w:val="000000"/>
                <w:sz w:val="18"/>
                <w:szCs w:val="18"/>
                <w:lang w:eastAsia="en-AU"/>
              </w:rPr>
            </w:pPr>
            <w:r w:rsidRPr="00DB204C">
              <w:rPr>
                <w:rFonts w:ascii="Calibri" w:eastAsia="Times New Roman" w:hAnsi="Calibri" w:cs="Calibri"/>
                <w:color w:val="000000"/>
                <w:sz w:val="18"/>
                <w:szCs w:val="18"/>
                <w:lang w:eastAsia="en-AU"/>
              </w:rPr>
              <w:t>Big Bash League Grand Final (Men)</w:t>
            </w:r>
          </w:p>
        </w:tc>
        <w:tc>
          <w:tcPr>
            <w:tcW w:w="1843" w:type="dxa"/>
            <w:tcBorders>
              <w:top w:val="nil"/>
              <w:left w:val="nil"/>
              <w:bottom w:val="single" w:sz="4" w:space="0" w:color="008089"/>
              <w:right w:val="nil"/>
            </w:tcBorders>
            <w:shd w:val="clear" w:color="000000" w:fill="F2F2F2"/>
            <w:vAlign w:val="center"/>
            <w:hideMark/>
          </w:tcPr>
          <w:p w14:paraId="5A9CE96B" w14:textId="77777777" w:rsidR="00401088" w:rsidRPr="00F85D80" w:rsidRDefault="00401088" w:rsidP="00401088">
            <w:pPr>
              <w:suppressAutoHyphens w:val="0"/>
              <w:spacing w:before="0" w:after="0"/>
              <w:rPr>
                <w:rFonts w:ascii="Calibri" w:eastAsia="Times New Roman" w:hAnsi="Calibri" w:cs="Calibri"/>
                <w:color w:val="000000"/>
                <w:sz w:val="16"/>
                <w:szCs w:val="16"/>
                <w:lang w:eastAsia="en-AU"/>
              </w:rPr>
            </w:pPr>
            <w:r w:rsidRPr="00F85D80">
              <w:rPr>
                <w:rFonts w:ascii="Calibri" w:eastAsia="Times New Roman" w:hAnsi="Calibri" w:cs="Calibri"/>
                <w:color w:val="000000"/>
                <w:sz w:val="16"/>
                <w:szCs w:val="16"/>
                <w:lang w:eastAsia="en-AU"/>
              </w:rPr>
              <w:t>Grand final sessions</w:t>
            </w:r>
          </w:p>
        </w:tc>
        <w:tc>
          <w:tcPr>
            <w:tcW w:w="1015" w:type="dxa"/>
            <w:tcBorders>
              <w:top w:val="nil"/>
              <w:left w:val="nil"/>
              <w:bottom w:val="single" w:sz="4" w:space="0" w:color="008089"/>
              <w:right w:val="nil"/>
            </w:tcBorders>
            <w:shd w:val="clear" w:color="000000" w:fill="F2F2F2"/>
            <w:vAlign w:val="center"/>
            <w:hideMark/>
          </w:tcPr>
          <w:p w14:paraId="50B3A77B"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805,000</w:t>
            </w:r>
          </w:p>
        </w:tc>
        <w:tc>
          <w:tcPr>
            <w:tcW w:w="1015" w:type="dxa"/>
            <w:tcBorders>
              <w:top w:val="nil"/>
              <w:left w:val="nil"/>
              <w:bottom w:val="single" w:sz="4" w:space="0" w:color="008089"/>
              <w:right w:val="nil"/>
            </w:tcBorders>
            <w:shd w:val="clear" w:color="000000" w:fill="F2F2F2"/>
            <w:vAlign w:val="center"/>
            <w:hideMark/>
          </w:tcPr>
          <w:p w14:paraId="172CEBF5"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1,082,000</w:t>
            </w:r>
          </w:p>
        </w:tc>
        <w:tc>
          <w:tcPr>
            <w:tcW w:w="1016" w:type="dxa"/>
            <w:tcBorders>
              <w:top w:val="nil"/>
              <w:left w:val="nil"/>
              <w:bottom w:val="single" w:sz="4" w:space="0" w:color="008089"/>
              <w:right w:val="nil"/>
            </w:tcBorders>
            <w:shd w:val="clear" w:color="000000" w:fill="F2F2F2"/>
            <w:vAlign w:val="center"/>
            <w:hideMark/>
          </w:tcPr>
          <w:p w14:paraId="3164DA6A"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916,000</w:t>
            </w:r>
          </w:p>
        </w:tc>
        <w:tc>
          <w:tcPr>
            <w:tcW w:w="1015" w:type="dxa"/>
            <w:tcBorders>
              <w:top w:val="nil"/>
              <w:left w:val="nil"/>
              <w:bottom w:val="single" w:sz="4" w:space="0" w:color="008089"/>
              <w:right w:val="nil"/>
            </w:tcBorders>
            <w:shd w:val="clear" w:color="000000" w:fill="F2F2F2"/>
            <w:vAlign w:val="center"/>
            <w:hideMark/>
          </w:tcPr>
          <w:p w14:paraId="051BE822"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914,000</w:t>
            </w:r>
          </w:p>
        </w:tc>
        <w:tc>
          <w:tcPr>
            <w:tcW w:w="1015" w:type="dxa"/>
            <w:tcBorders>
              <w:top w:val="nil"/>
              <w:left w:val="nil"/>
              <w:bottom w:val="single" w:sz="4" w:space="0" w:color="008089"/>
              <w:right w:val="nil"/>
            </w:tcBorders>
            <w:shd w:val="clear" w:color="000000" w:fill="F2F2F2"/>
            <w:vAlign w:val="center"/>
            <w:hideMark/>
          </w:tcPr>
          <w:p w14:paraId="1AA508BE"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568,000</w:t>
            </w:r>
          </w:p>
        </w:tc>
        <w:tc>
          <w:tcPr>
            <w:tcW w:w="1016" w:type="dxa"/>
            <w:tcBorders>
              <w:top w:val="nil"/>
              <w:left w:val="nil"/>
              <w:bottom w:val="single" w:sz="4" w:space="0" w:color="008089"/>
              <w:right w:val="nil"/>
            </w:tcBorders>
            <w:shd w:val="clear" w:color="000000" w:fill="F2F2F2"/>
            <w:vAlign w:val="center"/>
            <w:hideMark/>
          </w:tcPr>
          <w:p w14:paraId="484D10D4"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580,000</w:t>
            </w:r>
          </w:p>
        </w:tc>
        <w:tc>
          <w:tcPr>
            <w:tcW w:w="1015" w:type="dxa"/>
            <w:tcBorders>
              <w:top w:val="nil"/>
              <w:left w:val="nil"/>
              <w:bottom w:val="single" w:sz="4" w:space="0" w:color="008089"/>
              <w:right w:val="nil"/>
            </w:tcBorders>
            <w:shd w:val="clear" w:color="000000" w:fill="F2F2F2"/>
            <w:vAlign w:val="center"/>
            <w:hideMark/>
          </w:tcPr>
          <w:p w14:paraId="4F8B6A82"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624,000</w:t>
            </w:r>
          </w:p>
        </w:tc>
        <w:tc>
          <w:tcPr>
            <w:tcW w:w="1016" w:type="dxa"/>
            <w:tcBorders>
              <w:top w:val="nil"/>
              <w:left w:val="nil"/>
              <w:bottom w:val="single" w:sz="4" w:space="0" w:color="008089"/>
              <w:right w:val="single" w:sz="8" w:space="0" w:color="008089"/>
            </w:tcBorders>
            <w:shd w:val="clear" w:color="000000" w:fill="F2F2F2"/>
            <w:vAlign w:val="center"/>
            <w:hideMark/>
          </w:tcPr>
          <w:p w14:paraId="3281E0BC"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464,000</w:t>
            </w:r>
          </w:p>
        </w:tc>
      </w:tr>
      <w:tr w:rsidR="00624169" w:rsidRPr="00401088" w14:paraId="118B982C" w14:textId="77777777" w:rsidTr="00624169">
        <w:trPr>
          <w:trHeight w:val="290"/>
          <w:jc w:val="center"/>
        </w:trPr>
        <w:tc>
          <w:tcPr>
            <w:tcW w:w="1502" w:type="dxa"/>
            <w:vMerge/>
            <w:tcBorders>
              <w:top w:val="nil"/>
              <w:left w:val="single" w:sz="8" w:space="0" w:color="008089"/>
              <w:bottom w:val="single" w:sz="8" w:space="0" w:color="008089"/>
              <w:right w:val="nil"/>
            </w:tcBorders>
            <w:vAlign w:val="center"/>
            <w:hideMark/>
          </w:tcPr>
          <w:p w14:paraId="35B8521E" w14:textId="77777777" w:rsidR="00401088" w:rsidRPr="00DB204C" w:rsidRDefault="00401088" w:rsidP="00401088">
            <w:pPr>
              <w:suppressAutoHyphens w:val="0"/>
              <w:spacing w:before="0" w:after="0"/>
              <w:rPr>
                <w:rFonts w:ascii="Calibri" w:eastAsia="Times New Roman" w:hAnsi="Calibri" w:cs="Calibri"/>
                <w:b/>
                <w:bCs/>
                <w:color w:val="000000"/>
                <w:sz w:val="18"/>
                <w:szCs w:val="18"/>
                <w:lang w:eastAsia="en-AU"/>
              </w:rPr>
            </w:pPr>
          </w:p>
        </w:tc>
        <w:tc>
          <w:tcPr>
            <w:tcW w:w="3308" w:type="dxa"/>
            <w:tcBorders>
              <w:top w:val="single" w:sz="4" w:space="0" w:color="008089"/>
              <w:left w:val="nil"/>
              <w:bottom w:val="single" w:sz="4" w:space="0" w:color="008089"/>
              <w:right w:val="nil"/>
            </w:tcBorders>
            <w:shd w:val="clear" w:color="000000" w:fill="F2F2F2"/>
            <w:vAlign w:val="center"/>
            <w:hideMark/>
          </w:tcPr>
          <w:p w14:paraId="7B332116" w14:textId="77777777" w:rsidR="00401088" w:rsidRPr="00DB204C" w:rsidRDefault="00401088" w:rsidP="00401088">
            <w:pPr>
              <w:suppressAutoHyphens w:val="0"/>
              <w:spacing w:before="0" w:after="0"/>
              <w:rPr>
                <w:rFonts w:ascii="Calibri" w:eastAsia="Times New Roman" w:hAnsi="Calibri" w:cs="Calibri"/>
                <w:color w:val="000000"/>
                <w:sz w:val="18"/>
                <w:szCs w:val="18"/>
                <w:lang w:eastAsia="en-AU"/>
              </w:rPr>
            </w:pPr>
            <w:r w:rsidRPr="00DB204C">
              <w:rPr>
                <w:rFonts w:ascii="Calibri" w:eastAsia="Times New Roman" w:hAnsi="Calibri" w:cs="Calibri"/>
                <w:color w:val="000000"/>
                <w:sz w:val="18"/>
                <w:szCs w:val="18"/>
                <w:lang w:eastAsia="en-AU"/>
              </w:rPr>
              <w:t>Big Bash League (Women)</w:t>
            </w:r>
          </w:p>
        </w:tc>
        <w:tc>
          <w:tcPr>
            <w:tcW w:w="1843" w:type="dxa"/>
            <w:tcBorders>
              <w:top w:val="nil"/>
              <w:left w:val="nil"/>
              <w:bottom w:val="single" w:sz="4" w:space="0" w:color="008089"/>
              <w:right w:val="nil"/>
            </w:tcBorders>
            <w:shd w:val="clear" w:color="000000" w:fill="F2F2F2"/>
            <w:vAlign w:val="center"/>
            <w:hideMark/>
          </w:tcPr>
          <w:p w14:paraId="7389412D" w14:textId="77777777" w:rsidR="00401088" w:rsidRPr="00F85D80" w:rsidRDefault="00401088" w:rsidP="00401088">
            <w:pPr>
              <w:suppressAutoHyphens w:val="0"/>
              <w:spacing w:before="0" w:after="0"/>
              <w:rPr>
                <w:rFonts w:ascii="Calibri" w:eastAsia="Times New Roman" w:hAnsi="Calibri" w:cs="Calibri"/>
                <w:color w:val="000000"/>
                <w:sz w:val="16"/>
                <w:szCs w:val="16"/>
                <w:lang w:eastAsia="en-AU"/>
              </w:rPr>
            </w:pPr>
            <w:r w:rsidRPr="00F85D80">
              <w:rPr>
                <w:rFonts w:ascii="Calibri" w:eastAsia="Times New Roman" w:hAnsi="Calibri" w:cs="Calibri"/>
                <w:color w:val="000000"/>
                <w:sz w:val="16"/>
                <w:szCs w:val="16"/>
                <w:lang w:eastAsia="en-AU"/>
              </w:rPr>
              <w:t>All sessions on main channel</w:t>
            </w:r>
          </w:p>
        </w:tc>
        <w:tc>
          <w:tcPr>
            <w:tcW w:w="1015" w:type="dxa"/>
            <w:tcBorders>
              <w:top w:val="nil"/>
              <w:left w:val="nil"/>
              <w:bottom w:val="single" w:sz="4" w:space="0" w:color="008089"/>
              <w:right w:val="nil"/>
            </w:tcBorders>
            <w:shd w:val="clear" w:color="000000" w:fill="F2F2F2"/>
            <w:vAlign w:val="center"/>
            <w:hideMark/>
          </w:tcPr>
          <w:p w14:paraId="739642AC" w14:textId="77777777" w:rsidR="00401088" w:rsidRPr="00624169" w:rsidRDefault="00401088" w:rsidP="00401088">
            <w:pPr>
              <w:suppressAutoHyphens w:val="0"/>
              <w:spacing w:before="0" w:after="0"/>
              <w:jc w:val="right"/>
              <w:rPr>
                <w:rFonts w:ascii="Calibri" w:eastAsia="Times New Roman" w:hAnsi="Calibri" w:cs="Calibri"/>
                <w:i/>
                <w:iCs/>
                <w:color w:val="auto"/>
                <w:sz w:val="18"/>
                <w:szCs w:val="18"/>
                <w:lang w:eastAsia="en-AU"/>
              </w:rPr>
            </w:pPr>
            <w:r w:rsidRPr="00624169">
              <w:rPr>
                <w:rFonts w:ascii="Calibri" w:eastAsia="Times New Roman" w:hAnsi="Calibri" w:cs="Calibri"/>
                <w:i/>
                <w:iCs/>
                <w:color w:val="auto"/>
                <w:sz w:val="18"/>
                <w:szCs w:val="18"/>
                <w:lang w:eastAsia="en-AU"/>
              </w:rPr>
              <w:t>nh</w:t>
            </w:r>
          </w:p>
        </w:tc>
        <w:tc>
          <w:tcPr>
            <w:tcW w:w="1015" w:type="dxa"/>
            <w:tcBorders>
              <w:top w:val="nil"/>
              <w:left w:val="nil"/>
              <w:bottom w:val="single" w:sz="4" w:space="0" w:color="008089"/>
              <w:right w:val="nil"/>
            </w:tcBorders>
            <w:shd w:val="clear" w:color="000000" w:fill="F2F2F2"/>
            <w:vAlign w:val="center"/>
            <w:hideMark/>
          </w:tcPr>
          <w:p w14:paraId="6688ACE7" w14:textId="77777777" w:rsidR="00401088" w:rsidRPr="00624169" w:rsidRDefault="00401088" w:rsidP="00401088">
            <w:pPr>
              <w:suppressAutoHyphens w:val="0"/>
              <w:spacing w:before="0" w:after="0"/>
              <w:jc w:val="right"/>
              <w:rPr>
                <w:rFonts w:ascii="Calibri" w:eastAsia="Times New Roman" w:hAnsi="Calibri" w:cs="Calibri"/>
                <w:i/>
                <w:iCs/>
                <w:color w:val="auto"/>
                <w:sz w:val="18"/>
                <w:szCs w:val="18"/>
                <w:lang w:eastAsia="en-AU"/>
              </w:rPr>
            </w:pPr>
            <w:r w:rsidRPr="00624169">
              <w:rPr>
                <w:rFonts w:ascii="Calibri" w:eastAsia="Times New Roman" w:hAnsi="Calibri" w:cs="Calibri"/>
                <w:i/>
                <w:iCs/>
                <w:color w:val="auto"/>
                <w:sz w:val="18"/>
                <w:szCs w:val="18"/>
                <w:lang w:eastAsia="en-AU"/>
              </w:rPr>
              <w:t>nda</w:t>
            </w:r>
          </w:p>
        </w:tc>
        <w:tc>
          <w:tcPr>
            <w:tcW w:w="1016" w:type="dxa"/>
            <w:tcBorders>
              <w:top w:val="nil"/>
              <w:left w:val="nil"/>
              <w:bottom w:val="single" w:sz="4" w:space="0" w:color="008089"/>
              <w:right w:val="nil"/>
            </w:tcBorders>
            <w:shd w:val="clear" w:color="000000" w:fill="F2F2F2"/>
            <w:vAlign w:val="center"/>
            <w:hideMark/>
          </w:tcPr>
          <w:p w14:paraId="245E13D4" w14:textId="77777777" w:rsidR="00401088" w:rsidRPr="00624169" w:rsidRDefault="00401088" w:rsidP="00401088">
            <w:pPr>
              <w:suppressAutoHyphens w:val="0"/>
              <w:spacing w:before="0" w:after="0"/>
              <w:jc w:val="right"/>
              <w:rPr>
                <w:rFonts w:ascii="Calibri" w:eastAsia="Times New Roman" w:hAnsi="Calibri" w:cs="Calibri"/>
                <w:i/>
                <w:iCs/>
                <w:color w:val="auto"/>
                <w:sz w:val="18"/>
                <w:szCs w:val="18"/>
                <w:lang w:eastAsia="en-AU"/>
              </w:rPr>
            </w:pPr>
            <w:r w:rsidRPr="00624169">
              <w:rPr>
                <w:rFonts w:ascii="Calibri" w:eastAsia="Times New Roman" w:hAnsi="Calibri" w:cs="Calibri"/>
                <w:i/>
                <w:iCs/>
                <w:color w:val="auto"/>
                <w:sz w:val="18"/>
                <w:szCs w:val="18"/>
                <w:lang w:eastAsia="en-AU"/>
              </w:rPr>
              <w:t>nda</w:t>
            </w:r>
          </w:p>
        </w:tc>
        <w:tc>
          <w:tcPr>
            <w:tcW w:w="1015" w:type="dxa"/>
            <w:tcBorders>
              <w:top w:val="nil"/>
              <w:left w:val="nil"/>
              <w:bottom w:val="single" w:sz="4" w:space="0" w:color="008089"/>
              <w:right w:val="nil"/>
            </w:tcBorders>
            <w:shd w:val="clear" w:color="000000" w:fill="F2F2F2"/>
            <w:vAlign w:val="center"/>
            <w:hideMark/>
          </w:tcPr>
          <w:p w14:paraId="482B73CC"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157,000</w:t>
            </w:r>
          </w:p>
        </w:tc>
        <w:tc>
          <w:tcPr>
            <w:tcW w:w="1015" w:type="dxa"/>
            <w:tcBorders>
              <w:top w:val="nil"/>
              <w:left w:val="nil"/>
              <w:bottom w:val="single" w:sz="4" w:space="0" w:color="008089"/>
              <w:right w:val="nil"/>
            </w:tcBorders>
            <w:shd w:val="clear" w:color="000000" w:fill="F2F2F2"/>
            <w:vAlign w:val="center"/>
            <w:hideMark/>
          </w:tcPr>
          <w:p w14:paraId="46063366"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146,000</w:t>
            </w:r>
          </w:p>
        </w:tc>
        <w:tc>
          <w:tcPr>
            <w:tcW w:w="1016" w:type="dxa"/>
            <w:tcBorders>
              <w:top w:val="nil"/>
              <w:left w:val="nil"/>
              <w:bottom w:val="single" w:sz="4" w:space="0" w:color="008089"/>
              <w:right w:val="nil"/>
            </w:tcBorders>
            <w:shd w:val="clear" w:color="000000" w:fill="F2F2F2"/>
            <w:vAlign w:val="center"/>
            <w:hideMark/>
          </w:tcPr>
          <w:p w14:paraId="76EEA52C"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146,000</w:t>
            </w:r>
          </w:p>
        </w:tc>
        <w:tc>
          <w:tcPr>
            <w:tcW w:w="1015" w:type="dxa"/>
            <w:tcBorders>
              <w:top w:val="nil"/>
              <w:left w:val="nil"/>
              <w:bottom w:val="single" w:sz="4" w:space="0" w:color="008089"/>
              <w:right w:val="nil"/>
            </w:tcBorders>
            <w:shd w:val="clear" w:color="000000" w:fill="F2F2F2"/>
            <w:vAlign w:val="center"/>
            <w:hideMark/>
          </w:tcPr>
          <w:p w14:paraId="3C437003"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132,000</w:t>
            </w:r>
          </w:p>
        </w:tc>
        <w:tc>
          <w:tcPr>
            <w:tcW w:w="1016" w:type="dxa"/>
            <w:tcBorders>
              <w:top w:val="nil"/>
              <w:left w:val="nil"/>
              <w:bottom w:val="single" w:sz="4" w:space="0" w:color="008089"/>
              <w:right w:val="single" w:sz="8" w:space="0" w:color="008089"/>
            </w:tcBorders>
            <w:shd w:val="clear" w:color="000000" w:fill="F2F2F2"/>
            <w:vAlign w:val="center"/>
            <w:hideMark/>
          </w:tcPr>
          <w:p w14:paraId="022CF3A4"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134,000</w:t>
            </w:r>
          </w:p>
        </w:tc>
      </w:tr>
      <w:tr w:rsidR="00624169" w:rsidRPr="00401088" w14:paraId="3754A26C" w14:textId="77777777" w:rsidTr="00624169">
        <w:trPr>
          <w:trHeight w:val="300"/>
          <w:jc w:val="center"/>
        </w:trPr>
        <w:tc>
          <w:tcPr>
            <w:tcW w:w="1502" w:type="dxa"/>
            <w:vMerge/>
            <w:tcBorders>
              <w:top w:val="nil"/>
              <w:left w:val="single" w:sz="8" w:space="0" w:color="008089"/>
              <w:bottom w:val="single" w:sz="8" w:space="0" w:color="008089"/>
              <w:right w:val="nil"/>
            </w:tcBorders>
            <w:vAlign w:val="center"/>
            <w:hideMark/>
          </w:tcPr>
          <w:p w14:paraId="33598F4D" w14:textId="77777777" w:rsidR="00401088" w:rsidRPr="00DB204C" w:rsidRDefault="00401088" w:rsidP="00401088">
            <w:pPr>
              <w:suppressAutoHyphens w:val="0"/>
              <w:spacing w:before="0" w:after="0"/>
              <w:rPr>
                <w:rFonts w:ascii="Calibri" w:eastAsia="Times New Roman" w:hAnsi="Calibri" w:cs="Calibri"/>
                <w:b/>
                <w:bCs/>
                <w:color w:val="000000"/>
                <w:sz w:val="18"/>
                <w:szCs w:val="18"/>
                <w:lang w:eastAsia="en-AU"/>
              </w:rPr>
            </w:pPr>
          </w:p>
        </w:tc>
        <w:tc>
          <w:tcPr>
            <w:tcW w:w="3308" w:type="dxa"/>
            <w:tcBorders>
              <w:top w:val="nil"/>
              <w:left w:val="nil"/>
              <w:bottom w:val="single" w:sz="8" w:space="0" w:color="008089"/>
              <w:right w:val="nil"/>
            </w:tcBorders>
            <w:shd w:val="clear" w:color="000000" w:fill="F2F2F2"/>
            <w:vAlign w:val="center"/>
            <w:hideMark/>
          </w:tcPr>
          <w:p w14:paraId="0DDB5A1D" w14:textId="77777777" w:rsidR="00401088" w:rsidRPr="00DB204C" w:rsidRDefault="00401088" w:rsidP="00401088">
            <w:pPr>
              <w:suppressAutoHyphens w:val="0"/>
              <w:spacing w:before="0" w:after="0"/>
              <w:rPr>
                <w:rFonts w:ascii="Calibri" w:eastAsia="Times New Roman" w:hAnsi="Calibri" w:cs="Calibri"/>
                <w:color w:val="000000"/>
                <w:sz w:val="18"/>
                <w:szCs w:val="18"/>
                <w:lang w:eastAsia="en-AU"/>
              </w:rPr>
            </w:pPr>
            <w:r w:rsidRPr="00DB204C">
              <w:rPr>
                <w:rFonts w:ascii="Calibri" w:eastAsia="Times New Roman" w:hAnsi="Calibri" w:cs="Calibri"/>
                <w:color w:val="000000"/>
                <w:sz w:val="18"/>
                <w:szCs w:val="18"/>
                <w:lang w:eastAsia="en-AU"/>
              </w:rPr>
              <w:t>Big Bash League Grand Final (Women)</w:t>
            </w:r>
          </w:p>
        </w:tc>
        <w:tc>
          <w:tcPr>
            <w:tcW w:w="1843" w:type="dxa"/>
            <w:tcBorders>
              <w:top w:val="nil"/>
              <w:left w:val="nil"/>
              <w:bottom w:val="single" w:sz="8" w:space="0" w:color="008089"/>
              <w:right w:val="nil"/>
            </w:tcBorders>
            <w:shd w:val="clear" w:color="000000" w:fill="F2F2F2"/>
            <w:vAlign w:val="center"/>
            <w:hideMark/>
          </w:tcPr>
          <w:p w14:paraId="331CB58C" w14:textId="77777777" w:rsidR="00401088" w:rsidRPr="00F85D80" w:rsidRDefault="00401088" w:rsidP="00401088">
            <w:pPr>
              <w:suppressAutoHyphens w:val="0"/>
              <w:spacing w:before="0" w:after="0"/>
              <w:rPr>
                <w:rFonts w:ascii="Calibri" w:eastAsia="Times New Roman" w:hAnsi="Calibri" w:cs="Calibri"/>
                <w:color w:val="000000"/>
                <w:sz w:val="16"/>
                <w:szCs w:val="16"/>
                <w:lang w:eastAsia="en-AU"/>
              </w:rPr>
            </w:pPr>
            <w:r w:rsidRPr="00F85D80">
              <w:rPr>
                <w:rFonts w:ascii="Calibri" w:eastAsia="Times New Roman" w:hAnsi="Calibri" w:cs="Calibri"/>
                <w:color w:val="000000"/>
                <w:sz w:val="16"/>
                <w:szCs w:val="16"/>
                <w:lang w:eastAsia="en-AU"/>
              </w:rPr>
              <w:t>Grand final sessions</w:t>
            </w:r>
          </w:p>
        </w:tc>
        <w:tc>
          <w:tcPr>
            <w:tcW w:w="1015" w:type="dxa"/>
            <w:tcBorders>
              <w:top w:val="nil"/>
              <w:left w:val="nil"/>
              <w:bottom w:val="single" w:sz="8" w:space="0" w:color="008089"/>
              <w:right w:val="nil"/>
            </w:tcBorders>
            <w:shd w:val="clear" w:color="000000" w:fill="F2F2F2"/>
            <w:vAlign w:val="center"/>
            <w:hideMark/>
          </w:tcPr>
          <w:p w14:paraId="6F6D795F" w14:textId="77777777" w:rsidR="00401088" w:rsidRPr="00624169" w:rsidRDefault="00401088" w:rsidP="00401088">
            <w:pPr>
              <w:suppressAutoHyphens w:val="0"/>
              <w:spacing w:before="0" w:after="0"/>
              <w:jc w:val="right"/>
              <w:rPr>
                <w:rFonts w:ascii="Calibri" w:eastAsia="Times New Roman" w:hAnsi="Calibri" w:cs="Calibri"/>
                <w:i/>
                <w:iCs/>
                <w:color w:val="auto"/>
                <w:sz w:val="18"/>
                <w:szCs w:val="18"/>
                <w:lang w:eastAsia="en-AU"/>
              </w:rPr>
            </w:pPr>
            <w:r w:rsidRPr="00624169">
              <w:rPr>
                <w:rFonts w:ascii="Calibri" w:eastAsia="Times New Roman" w:hAnsi="Calibri" w:cs="Calibri"/>
                <w:i/>
                <w:iCs/>
                <w:color w:val="auto"/>
                <w:sz w:val="18"/>
                <w:szCs w:val="18"/>
                <w:lang w:eastAsia="en-AU"/>
              </w:rPr>
              <w:t>nh</w:t>
            </w:r>
          </w:p>
        </w:tc>
        <w:tc>
          <w:tcPr>
            <w:tcW w:w="1015" w:type="dxa"/>
            <w:tcBorders>
              <w:top w:val="nil"/>
              <w:left w:val="nil"/>
              <w:bottom w:val="single" w:sz="8" w:space="0" w:color="008089"/>
              <w:right w:val="nil"/>
            </w:tcBorders>
            <w:shd w:val="clear" w:color="000000" w:fill="F2F2F2"/>
            <w:vAlign w:val="center"/>
            <w:hideMark/>
          </w:tcPr>
          <w:p w14:paraId="55D63695" w14:textId="77777777" w:rsidR="00401088" w:rsidRPr="00624169" w:rsidRDefault="00401088" w:rsidP="00401088">
            <w:pPr>
              <w:suppressAutoHyphens w:val="0"/>
              <w:spacing w:before="0" w:after="0"/>
              <w:jc w:val="right"/>
              <w:rPr>
                <w:rFonts w:ascii="Calibri" w:eastAsia="Times New Roman" w:hAnsi="Calibri" w:cs="Calibri"/>
                <w:i/>
                <w:iCs/>
                <w:color w:val="auto"/>
                <w:sz w:val="18"/>
                <w:szCs w:val="18"/>
                <w:lang w:eastAsia="en-AU"/>
              </w:rPr>
            </w:pPr>
            <w:r w:rsidRPr="00624169">
              <w:rPr>
                <w:rFonts w:ascii="Calibri" w:eastAsia="Times New Roman" w:hAnsi="Calibri" w:cs="Calibri"/>
                <w:i/>
                <w:iCs/>
                <w:color w:val="auto"/>
                <w:sz w:val="18"/>
                <w:szCs w:val="18"/>
                <w:lang w:eastAsia="en-AU"/>
              </w:rPr>
              <w:t>nda</w:t>
            </w:r>
          </w:p>
        </w:tc>
        <w:tc>
          <w:tcPr>
            <w:tcW w:w="1016" w:type="dxa"/>
            <w:tcBorders>
              <w:top w:val="nil"/>
              <w:left w:val="nil"/>
              <w:bottom w:val="single" w:sz="8" w:space="0" w:color="008089"/>
              <w:right w:val="nil"/>
            </w:tcBorders>
            <w:shd w:val="clear" w:color="000000" w:fill="F2F2F2"/>
            <w:vAlign w:val="center"/>
            <w:hideMark/>
          </w:tcPr>
          <w:p w14:paraId="15F8E2C0" w14:textId="77777777" w:rsidR="00401088" w:rsidRPr="00624169" w:rsidRDefault="00401088" w:rsidP="00401088">
            <w:pPr>
              <w:suppressAutoHyphens w:val="0"/>
              <w:spacing w:before="0" w:after="0"/>
              <w:jc w:val="right"/>
              <w:rPr>
                <w:rFonts w:ascii="Calibri" w:eastAsia="Times New Roman" w:hAnsi="Calibri" w:cs="Calibri"/>
                <w:i/>
                <w:iCs/>
                <w:color w:val="auto"/>
                <w:sz w:val="18"/>
                <w:szCs w:val="18"/>
                <w:lang w:eastAsia="en-AU"/>
              </w:rPr>
            </w:pPr>
            <w:r w:rsidRPr="00624169">
              <w:rPr>
                <w:rFonts w:ascii="Calibri" w:eastAsia="Times New Roman" w:hAnsi="Calibri" w:cs="Calibri"/>
                <w:i/>
                <w:iCs/>
                <w:color w:val="auto"/>
                <w:sz w:val="18"/>
                <w:szCs w:val="18"/>
                <w:lang w:eastAsia="en-AU"/>
              </w:rPr>
              <w:t>nda</w:t>
            </w:r>
          </w:p>
        </w:tc>
        <w:tc>
          <w:tcPr>
            <w:tcW w:w="1015" w:type="dxa"/>
            <w:tcBorders>
              <w:top w:val="nil"/>
              <w:left w:val="nil"/>
              <w:bottom w:val="single" w:sz="8" w:space="0" w:color="008089"/>
              <w:right w:val="nil"/>
            </w:tcBorders>
            <w:shd w:val="clear" w:color="000000" w:fill="F2F2F2"/>
            <w:vAlign w:val="center"/>
            <w:hideMark/>
          </w:tcPr>
          <w:p w14:paraId="081F9374"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143,000</w:t>
            </w:r>
          </w:p>
        </w:tc>
        <w:tc>
          <w:tcPr>
            <w:tcW w:w="1015" w:type="dxa"/>
            <w:tcBorders>
              <w:top w:val="nil"/>
              <w:left w:val="nil"/>
              <w:bottom w:val="single" w:sz="8" w:space="0" w:color="008089"/>
              <w:right w:val="nil"/>
            </w:tcBorders>
            <w:shd w:val="clear" w:color="000000" w:fill="F2F2F2"/>
            <w:vAlign w:val="center"/>
            <w:hideMark/>
          </w:tcPr>
          <w:p w14:paraId="3E68895B"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245,000</w:t>
            </w:r>
          </w:p>
        </w:tc>
        <w:tc>
          <w:tcPr>
            <w:tcW w:w="1016" w:type="dxa"/>
            <w:tcBorders>
              <w:top w:val="nil"/>
              <w:left w:val="nil"/>
              <w:bottom w:val="single" w:sz="8" w:space="0" w:color="008089"/>
              <w:right w:val="nil"/>
            </w:tcBorders>
            <w:shd w:val="clear" w:color="000000" w:fill="F2F2F2"/>
            <w:vAlign w:val="center"/>
            <w:hideMark/>
          </w:tcPr>
          <w:p w14:paraId="4B6A3516"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181,000</w:t>
            </w:r>
          </w:p>
        </w:tc>
        <w:tc>
          <w:tcPr>
            <w:tcW w:w="1015" w:type="dxa"/>
            <w:tcBorders>
              <w:top w:val="nil"/>
              <w:left w:val="nil"/>
              <w:bottom w:val="single" w:sz="8" w:space="0" w:color="008089"/>
              <w:right w:val="nil"/>
            </w:tcBorders>
            <w:shd w:val="clear" w:color="000000" w:fill="F2F2F2"/>
            <w:vAlign w:val="center"/>
            <w:hideMark/>
          </w:tcPr>
          <w:p w14:paraId="44835C57"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217,000</w:t>
            </w:r>
          </w:p>
        </w:tc>
        <w:tc>
          <w:tcPr>
            <w:tcW w:w="1016" w:type="dxa"/>
            <w:tcBorders>
              <w:top w:val="nil"/>
              <w:left w:val="nil"/>
              <w:bottom w:val="single" w:sz="8" w:space="0" w:color="008089"/>
              <w:right w:val="single" w:sz="8" w:space="0" w:color="008089"/>
            </w:tcBorders>
            <w:shd w:val="clear" w:color="000000" w:fill="F2F2F2"/>
            <w:vAlign w:val="center"/>
            <w:hideMark/>
          </w:tcPr>
          <w:p w14:paraId="7E7A5D27"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230,000</w:t>
            </w:r>
          </w:p>
        </w:tc>
      </w:tr>
      <w:tr w:rsidR="00401088" w:rsidRPr="00401088" w14:paraId="0B280DCF" w14:textId="77777777" w:rsidTr="00624169">
        <w:trPr>
          <w:trHeight w:val="300"/>
          <w:jc w:val="center"/>
        </w:trPr>
        <w:tc>
          <w:tcPr>
            <w:tcW w:w="14776" w:type="dxa"/>
            <w:gridSpan w:val="11"/>
            <w:tcBorders>
              <w:top w:val="single" w:sz="8" w:space="0" w:color="008089"/>
              <w:left w:val="single" w:sz="8" w:space="0" w:color="008089"/>
              <w:bottom w:val="single" w:sz="8" w:space="0" w:color="008089"/>
              <w:right w:val="single" w:sz="8" w:space="0" w:color="008089"/>
            </w:tcBorders>
            <w:shd w:val="clear" w:color="000000" w:fill="F2F6E8"/>
            <w:vAlign w:val="center"/>
            <w:hideMark/>
          </w:tcPr>
          <w:p w14:paraId="44E7C973" w14:textId="77777777" w:rsidR="00401088" w:rsidRPr="00401088" w:rsidRDefault="00401088" w:rsidP="00401088">
            <w:pPr>
              <w:suppressAutoHyphens w:val="0"/>
              <w:spacing w:before="0" w:after="0"/>
              <w:rPr>
                <w:rFonts w:ascii="Calibri" w:eastAsia="Times New Roman" w:hAnsi="Calibri" w:cs="Calibri"/>
                <w:color w:val="000000"/>
                <w:lang w:eastAsia="en-AU"/>
              </w:rPr>
            </w:pPr>
            <w:r w:rsidRPr="00401088">
              <w:rPr>
                <w:rFonts w:ascii="Calibri" w:eastAsia="Times New Roman" w:hAnsi="Calibri" w:cs="Calibri"/>
                <w:color w:val="000000"/>
                <w:lang w:eastAsia="en-AU"/>
              </w:rPr>
              <w:lastRenderedPageBreak/>
              <w:t>SOCCER</w:t>
            </w:r>
          </w:p>
        </w:tc>
      </w:tr>
      <w:tr w:rsidR="00624169" w:rsidRPr="00401088" w14:paraId="4B094267" w14:textId="77777777" w:rsidTr="00624169">
        <w:trPr>
          <w:trHeight w:val="290"/>
          <w:jc w:val="center"/>
        </w:trPr>
        <w:tc>
          <w:tcPr>
            <w:tcW w:w="1502" w:type="dxa"/>
            <w:vMerge w:val="restart"/>
            <w:tcBorders>
              <w:top w:val="nil"/>
              <w:left w:val="single" w:sz="8" w:space="0" w:color="008089"/>
              <w:bottom w:val="nil"/>
              <w:right w:val="nil"/>
            </w:tcBorders>
            <w:shd w:val="clear" w:color="000000" w:fill="F2F2F2"/>
            <w:vAlign w:val="center"/>
            <w:hideMark/>
          </w:tcPr>
          <w:p w14:paraId="1AA66730" w14:textId="77777777" w:rsidR="00401088" w:rsidRPr="00DB204C" w:rsidRDefault="00401088" w:rsidP="00401088">
            <w:pPr>
              <w:suppressAutoHyphens w:val="0"/>
              <w:spacing w:before="0" w:after="0"/>
              <w:jc w:val="center"/>
              <w:rPr>
                <w:rFonts w:ascii="Calibri" w:eastAsia="Times New Roman" w:hAnsi="Calibri" w:cs="Calibri"/>
                <w:b/>
                <w:bCs/>
                <w:color w:val="000000"/>
                <w:sz w:val="18"/>
                <w:szCs w:val="18"/>
                <w:lang w:eastAsia="en-AU"/>
              </w:rPr>
            </w:pPr>
            <w:r w:rsidRPr="00DB204C">
              <w:rPr>
                <w:rFonts w:ascii="Calibri" w:eastAsia="Times New Roman" w:hAnsi="Calibri" w:cs="Calibri"/>
                <w:b/>
                <w:bCs/>
                <w:color w:val="000000"/>
                <w:sz w:val="18"/>
                <w:szCs w:val="18"/>
                <w:lang w:eastAsia="en-AU"/>
              </w:rPr>
              <w:t>FIFA Women's World Cup</w:t>
            </w:r>
          </w:p>
        </w:tc>
        <w:tc>
          <w:tcPr>
            <w:tcW w:w="3308" w:type="dxa"/>
            <w:tcBorders>
              <w:top w:val="nil"/>
              <w:left w:val="nil"/>
              <w:bottom w:val="single" w:sz="4" w:space="0" w:color="008089"/>
              <w:right w:val="nil"/>
            </w:tcBorders>
            <w:shd w:val="clear" w:color="000000" w:fill="F2F2F2"/>
            <w:vAlign w:val="center"/>
            <w:hideMark/>
          </w:tcPr>
          <w:p w14:paraId="7CD15D9F" w14:textId="20844279" w:rsidR="00401088" w:rsidRPr="00DB204C" w:rsidRDefault="00401088" w:rsidP="00401088">
            <w:pPr>
              <w:suppressAutoHyphens w:val="0"/>
              <w:spacing w:before="0" w:after="0"/>
              <w:rPr>
                <w:rFonts w:ascii="Calibri" w:eastAsia="Times New Roman" w:hAnsi="Calibri" w:cs="Calibri"/>
                <w:color w:val="000000"/>
                <w:sz w:val="18"/>
                <w:szCs w:val="18"/>
                <w:lang w:eastAsia="en-AU"/>
              </w:rPr>
            </w:pPr>
            <w:r w:rsidRPr="00DB204C">
              <w:rPr>
                <w:rFonts w:ascii="Calibri" w:eastAsia="Times New Roman" w:hAnsi="Calibri" w:cs="Calibri"/>
                <w:color w:val="000000"/>
                <w:sz w:val="18"/>
                <w:szCs w:val="18"/>
                <w:lang w:eastAsia="en-AU"/>
              </w:rPr>
              <w:t xml:space="preserve">WWC </w:t>
            </w:r>
            <w:r w:rsidR="00F85D80" w:rsidRPr="00DB204C">
              <w:rPr>
                <w:rFonts w:ascii="Calibri" w:eastAsia="Times New Roman" w:hAnsi="Calibri" w:cs="Calibri"/>
                <w:color w:val="000000"/>
                <w:sz w:val="18"/>
                <w:szCs w:val="18"/>
                <w:lang w:eastAsia="en-AU"/>
              </w:rPr>
              <w:t>Qualifying</w:t>
            </w:r>
            <w:r w:rsidRPr="00DB204C">
              <w:rPr>
                <w:rFonts w:ascii="Calibri" w:eastAsia="Times New Roman" w:hAnsi="Calibri" w:cs="Calibri"/>
                <w:color w:val="000000"/>
                <w:sz w:val="18"/>
                <w:szCs w:val="18"/>
                <w:lang w:eastAsia="en-AU"/>
              </w:rPr>
              <w:t xml:space="preserve"> Rounds</w:t>
            </w:r>
          </w:p>
        </w:tc>
        <w:tc>
          <w:tcPr>
            <w:tcW w:w="1843" w:type="dxa"/>
            <w:tcBorders>
              <w:top w:val="single" w:sz="4" w:space="0" w:color="008089"/>
              <w:left w:val="nil"/>
              <w:bottom w:val="single" w:sz="4" w:space="0" w:color="008089"/>
              <w:right w:val="nil"/>
            </w:tcBorders>
            <w:shd w:val="clear" w:color="000000" w:fill="F2F2F2"/>
            <w:vAlign w:val="center"/>
            <w:hideMark/>
          </w:tcPr>
          <w:p w14:paraId="07019E04" w14:textId="77777777" w:rsidR="00401088" w:rsidRPr="00F85D80" w:rsidRDefault="00401088" w:rsidP="00401088">
            <w:pPr>
              <w:suppressAutoHyphens w:val="0"/>
              <w:spacing w:before="0" w:after="0"/>
              <w:rPr>
                <w:rFonts w:ascii="Calibri" w:eastAsia="Times New Roman" w:hAnsi="Calibri" w:cs="Calibri"/>
                <w:color w:val="auto"/>
                <w:sz w:val="16"/>
                <w:szCs w:val="16"/>
                <w:lang w:eastAsia="en-AU"/>
              </w:rPr>
            </w:pPr>
            <w:r w:rsidRPr="00F85D80">
              <w:rPr>
                <w:rFonts w:ascii="Calibri" w:eastAsia="Times New Roman" w:hAnsi="Calibri" w:cs="Calibri"/>
                <w:color w:val="auto"/>
                <w:sz w:val="16"/>
                <w:szCs w:val="16"/>
                <w:lang w:eastAsia="en-AU"/>
              </w:rPr>
              <w:t>Matches involving Australia average</w:t>
            </w:r>
          </w:p>
        </w:tc>
        <w:tc>
          <w:tcPr>
            <w:tcW w:w="1015" w:type="dxa"/>
            <w:tcBorders>
              <w:top w:val="single" w:sz="4" w:space="0" w:color="008089"/>
              <w:left w:val="nil"/>
              <w:bottom w:val="single" w:sz="4" w:space="0" w:color="008089"/>
              <w:right w:val="nil"/>
            </w:tcBorders>
            <w:shd w:val="clear" w:color="000000" w:fill="F2F2F2"/>
            <w:vAlign w:val="center"/>
            <w:hideMark/>
          </w:tcPr>
          <w:p w14:paraId="6417BFAA" w14:textId="77777777" w:rsidR="00401088" w:rsidRPr="00624169" w:rsidRDefault="00401088" w:rsidP="00401088">
            <w:pPr>
              <w:suppressAutoHyphens w:val="0"/>
              <w:spacing w:before="0" w:after="0"/>
              <w:jc w:val="right"/>
              <w:rPr>
                <w:rFonts w:ascii="Calibri" w:eastAsia="Times New Roman" w:hAnsi="Calibri" w:cs="Calibri"/>
                <w:i/>
                <w:iCs/>
                <w:color w:val="auto"/>
                <w:sz w:val="18"/>
                <w:szCs w:val="18"/>
                <w:lang w:eastAsia="en-AU"/>
              </w:rPr>
            </w:pPr>
            <w:r w:rsidRPr="00624169">
              <w:rPr>
                <w:rFonts w:ascii="Calibri" w:eastAsia="Times New Roman" w:hAnsi="Calibri" w:cs="Calibri"/>
                <w:i/>
                <w:iCs/>
                <w:color w:val="auto"/>
                <w:sz w:val="18"/>
                <w:szCs w:val="18"/>
                <w:lang w:eastAsia="en-AU"/>
              </w:rPr>
              <w:t>nh</w:t>
            </w:r>
          </w:p>
        </w:tc>
        <w:tc>
          <w:tcPr>
            <w:tcW w:w="1015" w:type="dxa"/>
            <w:tcBorders>
              <w:top w:val="single" w:sz="4" w:space="0" w:color="008089"/>
              <w:left w:val="nil"/>
              <w:bottom w:val="single" w:sz="4" w:space="0" w:color="008089"/>
              <w:right w:val="nil"/>
            </w:tcBorders>
            <w:shd w:val="clear" w:color="000000" w:fill="F2F2F2"/>
            <w:vAlign w:val="center"/>
            <w:hideMark/>
          </w:tcPr>
          <w:p w14:paraId="7E20D025" w14:textId="77777777" w:rsidR="00401088" w:rsidRPr="00624169" w:rsidRDefault="00401088" w:rsidP="00401088">
            <w:pPr>
              <w:suppressAutoHyphens w:val="0"/>
              <w:spacing w:before="0" w:after="0"/>
              <w:jc w:val="right"/>
              <w:rPr>
                <w:rFonts w:ascii="Calibri" w:eastAsia="Times New Roman" w:hAnsi="Calibri" w:cs="Calibri"/>
                <w:i/>
                <w:iCs/>
                <w:color w:val="auto"/>
                <w:sz w:val="18"/>
                <w:szCs w:val="18"/>
                <w:lang w:eastAsia="en-AU"/>
              </w:rPr>
            </w:pPr>
            <w:r w:rsidRPr="00624169">
              <w:rPr>
                <w:rFonts w:ascii="Calibri" w:eastAsia="Times New Roman" w:hAnsi="Calibri" w:cs="Calibri"/>
                <w:i/>
                <w:iCs/>
                <w:color w:val="auto"/>
                <w:sz w:val="18"/>
                <w:szCs w:val="18"/>
                <w:lang w:eastAsia="en-AU"/>
              </w:rPr>
              <w:t>nh</w:t>
            </w:r>
          </w:p>
        </w:tc>
        <w:tc>
          <w:tcPr>
            <w:tcW w:w="1016" w:type="dxa"/>
            <w:tcBorders>
              <w:top w:val="single" w:sz="4" w:space="0" w:color="008089"/>
              <w:left w:val="nil"/>
              <w:bottom w:val="single" w:sz="4" w:space="0" w:color="008089"/>
              <w:right w:val="nil"/>
            </w:tcBorders>
            <w:shd w:val="clear" w:color="000000" w:fill="F2F2F2"/>
            <w:vAlign w:val="center"/>
            <w:hideMark/>
          </w:tcPr>
          <w:p w14:paraId="4BDE1127" w14:textId="77777777" w:rsidR="00401088" w:rsidRPr="00624169" w:rsidRDefault="00401088" w:rsidP="00401088">
            <w:pPr>
              <w:suppressAutoHyphens w:val="0"/>
              <w:spacing w:before="0" w:after="0"/>
              <w:jc w:val="right"/>
              <w:rPr>
                <w:rFonts w:ascii="Calibri" w:eastAsia="Times New Roman" w:hAnsi="Calibri" w:cs="Calibri"/>
                <w:i/>
                <w:iCs/>
                <w:color w:val="auto"/>
                <w:sz w:val="18"/>
                <w:szCs w:val="18"/>
                <w:lang w:eastAsia="en-AU"/>
              </w:rPr>
            </w:pPr>
            <w:r w:rsidRPr="00624169">
              <w:rPr>
                <w:rFonts w:ascii="Calibri" w:eastAsia="Times New Roman" w:hAnsi="Calibri" w:cs="Calibri"/>
                <w:i/>
                <w:iCs/>
                <w:color w:val="auto"/>
                <w:sz w:val="18"/>
                <w:szCs w:val="18"/>
                <w:lang w:eastAsia="en-AU"/>
              </w:rPr>
              <w:t>nfta</w:t>
            </w:r>
          </w:p>
        </w:tc>
        <w:tc>
          <w:tcPr>
            <w:tcW w:w="1015" w:type="dxa"/>
            <w:tcBorders>
              <w:top w:val="single" w:sz="4" w:space="0" w:color="008089"/>
              <w:left w:val="nil"/>
              <w:bottom w:val="single" w:sz="4" w:space="0" w:color="008089"/>
              <w:right w:val="nil"/>
            </w:tcBorders>
            <w:shd w:val="clear" w:color="000000" w:fill="F2F2F2"/>
            <w:vAlign w:val="center"/>
            <w:hideMark/>
          </w:tcPr>
          <w:p w14:paraId="2144ECCC" w14:textId="77777777" w:rsidR="00401088" w:rsidRPr="00624169" w:rsidRDefault="00401088" w:rsidP="00401088">
            <w:pPr>
              <w:suppressAutoHyphens w:val="0"/>
              <w:spacing w:before="0" w:after="0"/>
              <w:jc w:val="right"/>
              <w:rPr>
                <w:rFonts w:ascii="Calibri" w:eastAsia="Times New Roman" w:hAnsi="Calibri" w:cs="Calibri"/>
                <w:i/>
                <w:iCs/>
                <w:color w:val="auto"/>
                <w:sz w:val="18"/>
                <w:szCs w:val="18"/>
                <w:lang w:eastAsia="en-AU"/>
              </w:rPr>
            </w:pPr>
            <w:r w:rsidRPr="00624169">
              <w:rPr>
                <w:rFonts w:ascii="Calibri" w:eastAsia="Times New Roman" w:hAnsi="Calibri" w:cs="Calibri"/>
                <w:i/>
                <w:iCs/>
                <w:color w:val="auto"/>
                <w:sz w:val="18"/>
                <w:szCs w:val="18"/>
                <w:lang w:eastAsia="en-AU"/>
              </w:rPr>
              <w:t>nfta</w:t>
            </w:r>
          </w:p>
        </w:tc>
        <w:tc>
          <w:tcPr>
            <w:tcW w:w="1015" w:type="dxa"/>
            <w:tcBorders>
              <w:top w:val="single" w:sz="4" w:space="0" w:color="008089"/>
              <w:left w:val="nil"/>
              <w:bottom w:val="single" w:sz="4" w:space="0" w:color="008089"/>
              <w:right w:val="nil"/>
            </w:tcBorders>
            <w:shd w:val="clear" w:color="000000" w:fill="F2F2F2"/>
            <w:vAlign w:val="center"/>
            <w:hideMark/>
          </w:tcPr>
          <w:p w14:paraId="6C3D099A" w14:textId="77777777" w:rsidR="00401088" w:rsidRPr="00624169" w:rsidRDefault="00401088" w:rsidP="00401088">
            <w:pPr>
              <w:suppressAutoHyphens w:val="0"/>
              <w:spacing w:before="0" w:after="0"/>
              <w:jc w:val="right"/>
              <w:rPr>
                <w:rFonts w:ascii="Calibri" w:eastAsia="Times New Roman" w:hAnsi="Calibri" w:cs="Calibri"/>
                <w:i/>
                <w:iCs/>
                <w:color w:val="auto"/>
                <w:sz w:val="18"/>
                <w:szCs w:val="18"/>
                <w:lang w:eastAsia="en-AU"/>
              </w:rPr>
            </w:pPr>
            <w:r w:rsidRPr="00624169">
              <w:rPr>
                <w:rFonts w:ascii="Calibri" w:eastAsia="Times New Roman" w:hAnsi="Calibri" w:cs="Calibri"/>
                <w:i/>
                <w:iCs/>
                <w:color w:val="auto"/>
                <w:sz w:val="18"/>
                <w:szCs w:val="18"/>
                <w:lang w:eastAsia="en-AU"/>
              </w:rPr>
              <w:t>nh</w:t>
            </w:r>
          </w:p>
        </w:tc>
        <w:tc>
          <w:tcPr>
            <w:tcW w:w="1016" w:type="dxa"/>
            <w:tcBorders>
              <w:top w:val="single" w:sz="4" w:space="0" w:color="008089"/>
              <w:left w:val="nil"/>
              <w:bottom w:val="single" w:sz="4" w:space="0" w:color="008089"/>
              <w:right w:val="nil"/>
            </w:tcBorders>
            <w:shd w:val="clear" w:color="000000" w:fill="F2F2F2"/>
            <w:vAlign w:val="center"/>
            <w:hideMark/>
          </w:tcPr>
          <w:p w14:paraId="7CA63B53" w14:textId="77777777" w:rsidR="00401088" w:rsidRPr="00624169" w:rsidRDefault="00401088" w:rsidP="00401088">
            <w:pPr>
              <w:suppressAutoHyphens w:val="0"/>
              <w:spacing w:before="0" w:after="0"/>
              <w:jc w:val="right"/>
              <w:rPr>
                <w:rFonts w:ascii="Calibri" w:eastAsia="Times New Roman" w:hAnsi="Calibri" w:cs="Calibri"/>
                <w:i/>
                <w:iCs/>
                <w:color w:val="auto"/>
                <w:sz w:val="18"/>
                <w:szCs w:val="18"/>
                <w:lang w:eastAsia="en-AU"/>
              </w:rPr>
            </w:pPr>
            <w:r w:rsidRPr="00624169">
              <w:rPr>
                <w:rFonts w:ascii="Calibri" w:eastAsia="Times New Roman" w:hAnsi="Calibri" w:cs="Calibri"/>
                <w:i/>
                <w:iCs/>
                <w:color w:val="auto"/>
                <w:sz w:val="18"/>
                <w:szCs w:val="18"/>
                <w:lang w:eastAsia="en-AU"/>
              </w:rPr>
              <w:t>nh</w:t>
            </w:r>
          </w:p>
        </w:tc>
        <w:tc>
          <w:tcPr>
            <w:tcW w:w="1015" w:type="dxa"/>
            <w:tcBorders>
              <w:top w:val="single" w:sz="4" w:space="0" w:color="008089"/>
              <w:left w:val="nil"/>
              <w:bottom w:val="single" w:sz="4" w:space="0" w:color="008089"/>
              <w:right w:val="nil"/>
            </w:tcBorders>
            <w:shd w:val="clear" w:color="000000" w:fill="F2F2F2"/>
            <w:vAlign w:val="center"/>
            <w:hideMark/>
          </w:tcPr>
          <w:p w14:paraId="103ECC07" w14:textId="77777777" w:rsidR="00401088" w:rsidRPr="00624169" w:rsidRDefault="00401088" w:rsidP="00401088">
            <w:pPr>
              <w:suppressAutoHyphens w:val="0"/>
              <w:spacing w:before="0" w:after="0"/>
              <w:jc w:val="right"/>
              <w:rPr>
                <w:rFonts w:ascii="Calibri" w:eastAsia="Times New Roman" w:hAnsi="Calibri" w:cs="Calibri"/>
                <w:i/>
                <w:iCs/>
                <w:color w:val="auto"/>
                <w:sz w:val="18"/>
                <w:szCs w:val="18"/>
                <w:lang w:eastAsia="en-AU"/>
              </w:rPr>
            </w:pPr>
            <w:r w:rsidRPr="00624169">
              <w:rPr>
                <w:rFonts w:ascii="Calibri" w:eastAsia="Times New Roman" w:hAnsi="Calibri" w:cs="Calibri"/>
                <w:i/>
                <w:iCs/>
                <w:color w:val="auto"/>
                <w:sz w:val="18"/>
                <w:szCs w:val="18"/>
                <w:lang w:eastAsia="en-AU"/>
              </w:rPr>
              <w:t>nh</w:t>
            </w:r>
          </w:p>
        </w:tc>
        <w:tc>
          <w:tcPr>
            <w:tcW w:w="1016" w:type="dxa"/>
            <w:tcBorders>
              <w:top w:val="single" w:sz="4" w:space="0" w:color="008089"/>
              <w:left w:val="nil"/>
              <w:bottom w:val="single" w:sz="4" w:space="0" w:color="008089"/>
              <w:right w:val="single" w:sz="8" w:space="0" w:color="008089"/>
            </w:tcBorders>
            <w:shd w:val="clear" w:color="000000" w:fill="F2F2F2"/>
            <w:vAlign w:val="center"/>
            <w:hideMark/>
          </w:tcPr>
          <w:p w14:paraId="5425D92C"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115,000</w:t>
            </w:r>
          </w:p>
        </w:tc>
      </w:tr>
      <w:tr w:rsidR="00624169" w:rsidRPr="00401088" w14:paraId="4B0CFD7F" w14:textId="77777777" w:rsidTr="00624169">
        <w:trPr>
          <w:trHeight w:val="290"/>
          <w:jc w:val="center"/>
        </w:trPr>
        <w:tc>
          <w:tcPr>
            <w:tcW w:w="1502" w:type="dxa"/>
            <w:vMerge/>
            <w:tcBorders>
              <w:top w:val="nil"/>
              <w:left w:val="single" w:sz="8" w:space="0" w:color="008089"/>
              <w:bottom w:val="nil"/>
              <w:right w:val="nil"/>
            </w:tcBorders>
            <w:vAlign w:val="center"/>
            <w:hideMark/>
          </w:tcPr>
          <w:p w14:paraId="3D4545F4" w14:textId="77777777" w:rsidR="00401088" w:rsidRPr="00DB204C" w:rsidRDefault="00401088" w:rsidP="00401088">
            <w:pPr>
              <w:suppressAutoHyphens w:val="0"/>
              <w:spacing w:before="0" w:after="0"/>
              <w:rPr>
                <w:rFonts w:ascii="Calibri" w:eastAsia="Times New Roman" w:hAnsi="Calibri" w:cs="Calibri"/>
                <w:b/>
                <w:bCs/>
                <w:color w:val="000000"/>
                <w:sz w:val="18"/>
                <w:szCs w:val="18"/>
                <w:lang w:eastAsia="en-AU"/>
              </w:rPr>
            </w:pPr>
          </w:p>
        </w:tc>
        <w:tc>
          <w:tcPr>
            <w:tcW w:w="3308" w:type="dxa"/>
            <w:tcBorders>
              <w:top w:val="nil"/>
              <w:left w:val="nil"/>
              <w:bottom w:val="single" w:sz="4" w:space="0" w:color="008089"/>
              <w:right w:val="nil"/>
            </w:tcBorders>
            <w:shd w:val="clear" w:color="000000" w:fill="F2F2F2"/>
            <w:vAlign w:val="center"/>
            <w:hideMark/>
          </w:tcPr>
          <w:p w14:paraId="259987FF" w14:textId="77777777" w:rsidR="00401088" w:rsidRPr="00DB204C" w:rsidRDefault="00401088" w:rsidP="00401088">
            <w:pPr>
              <w:suppressAutoHyphens w:val="0"/>
              <w:spacing w:before="0" w:after="0"/>
              <w:rPr>
                <w:rFonts w:ascii="Calibri" w:eastAsia="Times New Roman" w:hAnsi="Calibri" w:cs="Calibri"/>
                <w:color w:val="000000"/>
                <w:sz w:val="18"/>
                <w:szCs w:val="18"/>
                <w:lang w:eastAsia="en-AU"/>
              </w:rPr>
            </w:pPr>
            <w:r w:rsidRPr="00DB204C">
              <w:rPr>
                <w:rFonts w:ascii="Calibri" w:eastAsia="Times New Roman" w:hAnsi="Calibri" w:cs="Calibri"/>
                <w:color w:val="000000"/>
                <w:sz w:val="18"/>
                <w:szCs w:val="18"/>
                <w:lang w:eastAsia="en-AU"/>
              </w:rPr>
              <w:t>WWC Tournament</w:t>
            </w:r>
          </w:p>
        </w:tc>
        <w:tc>
          <w:tcPr>
            <w:tcW w:w="1843" w:type="dxa"/>
            <w:tcBorders>
              <w:top w:val="nil"/>
              <w:left w:val="nil"/>
              <w:bottom w:val="single" w:sz="4" w:space="0" w:color="008089"/>
              <w:right w:val="nil"/>
            </w:tcBorders>
            <w:shd w:val="clear" w:color="000000" w:fill="F2F2F2"/>
            <w:vAlign w:val="center"/>
            <w:hideMark/>
          </w:tcPr>
          <w:p w14:paraId="0E02F9C3" w14:textId="77777777" w:rsidR="00401088" w:rsidRPr="00F85D80" w:rsidRDefault="00401088" w:rsidP="00401088">
            <w:pPr>
              <w:suppressAutoHyphens w:val="0"/>
              <w:spacing w:before="0" w:after="0"/>
              <w:rPr>
                <w:rFonts w:ascii="Calibri" w:eastAsia="Times New Roman" w:hAnsi="Calibri" w:cs="Calibri"/>
                <w:color w:val="auto"/>
                <w:sz w:val="16"/>
                <w:szCs w:val="16"/>
                <w:lang w:eastAsia="en-AU"/>
              </w:rPr>
            </w:pPr>
            <w:r w:rsidRPr="00F85D80">
              <w:rPr>
                <w:rFonts w:ascii="Calibri" w:eastAsia="Times New Roman" w:hAnsi="Calibri" w:cs="Calibri"/>
                <w:color w:val="auto"/>
                <w:sz w:val="16"/>
                <w:szCs w:val="16"/>
                <w:lang w:eastAsia="en-AU"/>
              </w:rPr>
              <w:t>Matches involving Australia average</w:t>
            </w:r>
          </w:p>
        </w:tc>
        <w:tc>
          <w:tcPr>
            <w:tcW w:w="1015" w:type="dxa"/>
            <w:tcBorders>
              <w:top w:val="nil"/>
              <w:left w:val="nil"/>
              <w:bottom w:val="single" w:sz="4" w:space="0" w:color="008089"/>
              <w:right w:val="nil"/>
            </w:tcBorders>
            <w:shd w:val="clear" w:color="000000" w:fill="F2F2F2"/>
            <w:vAlign w:val="center"/>
            <w:hideMark/>
          </w:tcPr>
          <w:p w14:paraId="23346331"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119,000</w:t>
            </w:r>
          </w:p>
        </w:tc>
        <w:tc>
          <w:tcPr>
            <w:tcW w:w="1015" w:type="dxa"/>
            <w:tcBorders>
              <w:top w:val="nil"/>
              <w:left w:val="nil"/>
              <w:bottom w:val="single" w:sz="4" w:space="0" w:color="008089"/>
              <w:right w:val="nil"/>
            </w:tcBorders>
            <w:shd w:val="clear" w:color="000000" w:fill="F2F2F2"/>
            <w:vAlign w:val="center"/>
            <w:hideMark/>
          </w:tcPr>
          <w:p w14:paraId="2BCE0EDE" w14:textId="77777777" w:rsidR="00401088" w:rsidRPr="00624169" w:rsidRDefault="00401088" w:rsidP="00401088">
            <w:pPr>
              <w:suppressAutoHyphens w:val="0"/>
              <w:spacing w:before="0" w:after="0"/>
              <w:jc w:val="right"/>
              <w:rPr>
                <w:rFonts w:ascii="Calibri" w:eastAsia="Times New Roman" w:hAnsi="Calibri" w:cs="Calibri"/>
                <w:i/>
                <w:iCs/>
                <w:color w:val="auto"/>
                <w:sz w:val="18"/>
                <w:szCs w:val="18"/>
                <w:lang w:eastAsia="en-AU"/>
              </w:rPr>
            </w:pPr>
            <w:r w:rsidRPr="00624169">
              <w:rPr>
                <w:rFonts w:ascii="Calibri" w:eastAsia="Times New Roman" w:hAnsi="Calibri" w:cs="Calibri"/>
                <w:i/>
                <w:iCs/>
                <w:color w:val="auto"/>
                <w:sz w:val="18"/>
                <w:szCs w:val="18"/>
                <w:lang w:eastAsia="en-AU"/>
              </w:rPr>
              <w:t>nh</w:t>
            </w:r>
          </w:p>
        </w:tc>
        <w:tc>
          <w:tcPr>
            <w:tcW w:w="1016" w:type="dxa"/>
            <w:tcBorders>
              <w:top w:val="nil"/>
              <w:left w:val="nil"/>
              <w:bottom w:val="single" w:sz="4" w:space="0" w:color="008089"/>
              <w:right w:val="nil"/>
            </w:tcBorders>
            <w:shd w:val="clear" w:color="000000" w:fill="F2F2F2"/>
            <w:vAlign w:val="center"/>
            <w:hideMark/>
          </w:tcPr>
          <w:p w14:paraId="1B1D19BE" w14:textId="77777777" w:rsidR="00401088" w:rsidRPr="00624169" w:rsidRDefault="00401088" w:rsidP="00401088">
            <w:pPr>
              <w:suppressAutoHyphens w:val="0"/>
              <w:spacing w:before="0" w:after="0"/>
              <w:jc w:val="right"/>
              <w:rPr>
                <w:rFonts w:ascii="Calibri" w:eastAsia="Times New Roman" w:hAnsi="Calibri" w:cs="Calibri"/>
                <w:i/>
                <w:iCs/>
                <w:color w:val="auto"/>
                <w:sz w:val="18"/>
                <w:szCs w:val="18"/>
                <w:lang w:eastAsia="en-AU"/>
              </w:rPr>
            </w:pPr>
            <w:r w:rsidRPr="00624169">
              <w:rPr>
                <w:rFonts w:ascii="Calibri" w:eastAsia="Times New Roman" w:hAnsi="Calibri" w:cs="Calibri"/>
                <w:i/>
                <w:iCs/>
                <w:color w:val="auto"/>
                <w:sz w:val="18"/>
                <w:szCs w:val="18"/>
                <w:lang w:eastAsia="en-AU"/>
              </w:rPr>
              <w:t>nh</w:t>
            </w:r>
          </w:p>
        </w:tc>
        <w:tc>
          <w:tcPr>
            <w:tcW w:w="1015" w:type="dxa"/>
            <w:tcBorders>
              <w:top w:val="nil"/>
              <w:left w:val="nil"/>
              <w:bottom w:val="single" w:sz="4" w:space="0" w:color="008089"/>
              <w:right w:val="nil"/>
            </w:tcBorders>
            <w:shd w:val="clear" w:color="000000" w:fill="F2F2F2"/>
            <w:vAlign w:val="center"/>
            <w:hideMark/>
          </w:tcPr>
          <w:p w14:paraId="46713F40" w14:textId="77777777" w:rsidR="00401088" w:rsidRPr="00624169" w:rsidRDefault="00401088" w:rsidP="00401088">
            <w:pPr>
              <w:suppressAutoHyphens w:val="0"/>
              <w:spacing w:before="0" w:after="0"/>
              <w:jc w:val="right"/>
              <w:rPr>
                <w:rFonts w:ascii="Calibri" w:eastAsia="Times New Roman" w:hAnsi="Calibri" w:cs="Calibri"/>
                <w:i/>
                <w:iCs/>
                <w:color w:val="auto"/>
                <w:sz w:val="18"/>
                <w:szCs w:val="18"/>
                <w:lang w:eastAsia="en-AU"/>
              </w:rPr>
            </w:pPr>
            <w:r w:rsidRPr="00624169">
              <w:rPr>
                <w:rFonts w:ascii="Calibri" w:eastAsia="Times New Roman" w:hAnsi="Calibri" w:cs="Calibri"/>
                <w:i/>
                <w:iCs/>
                <w:color w:val="auto"/>
                <w:sz w:val="18"/>
                <w:szCs w:val="18"/>
                <w:lang w:eastAsia="en-AU"/>
              </w:rPr>
              <w:t>nh</w:t>
            </w:r>
          </w:p>
        </w:tc>
        <w:tc>
          <w:tcPr>
            <w:tcW w:w="1015" w:type="dxa"/>
            <w:tcBorders>
              <w:top w:val="nil"/>
              <w:left w:val="nil"/>
              <w:bottom w:val="single" w:sz="4" w:space="0" w:color="008089"/>
              <w:right w:val="nil"/>
            </w:tcBorders>
            <w:shd w:val="clear" w:color="000000" w:fill="F2F2F2"/>
            <w:vAlign w:val="center"/>
            <w:hideMark/>
          </w:tcPr>
          <w:p w14:paraId="0194610E"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193,000</w:t>
            </w:r>
          </w:p>
        </w:tc>
        <w:tc>
          <w:tcPr>
            <w:tcW w:w="1016" w:type="dxa"/>
            <w:tcBorders>
              <w:top w:val="nil"/>
              <w:left w:val="nil"/>
              <w:bottom w:val="single" w:sz="4" w:space="0" w:color="008089"/>
              <w:right w:val="nil"/>
            </w:tcBorders>
            <w:shd w:val="clear" w:color="000000" w:fill="F2F2F2"/>
            <w:vAlign w:val="center"/>
            <w:hideMark/>
          </w:tcPr>
          <w:p w14:paraId="345C11A8" w14:textId="77777777" w:rsidR="00401088" w:rsidRPr="00624169" w:rsidRDefault="00401088" w:rsidP="00401088">
            <w:pPr>
              <w:suppressAutoHyphens w:val="0"/>
              <w:spacing w:before="0" w:after="0"/>
              <w:jc w:val="right"/>
              <w:rPr>
                <w:rFonts w:ascii="Calibri" w:eastAsia="Times New Roman" w:hAnsi="Calibri" w:cs="Calibri"/>
                <w:i/>
                <w:iCs/>
                <w:color w:val="auto"/>
                <w:sz w:val="18"/>
                <w:szCs w:val="18"/>
                <w:lang w:eastAsia="en-AU"/>
              </w:rPr>
            </w:pPr>
            <w:r w:rsidRPr="00624169">
              <w:rPr>
                <w:rFonts w:ascii="Calibri" w:eastAsia="Times New Roman" w:hAnsi="Calibri" w:cs="Calibri"/>
                <w:i/>
                <w:iCs/>
                <w:color w:val="auto"/>
                <w:sz w:val="18"/>
                <w:szCs w:val="18"/>
                <w:lang w:eastAsia="en-AU"/>
              </w:rPr>
              <w:t>nh</w:t>
            </w:r>
          </w:p>
        </w:tc>
        <w:tc>
          <w:tcPr>
            <w:tcW w:w="1015" w:type="dxa"/>
            <w:tcBorders>
              <w:top w:val="nil"/>
              <w:left w:val="nil"/>
              <w:bottom w:val="single" w:sz="4" w:space="0" w:color="008089"/>
              <w:right w:val="nil"/>
            </w:tcBorders>
            <w:shd w:val="clear" w:color="000000" w:fill="F2F2F2"/>
            <w:vAlign w:val="center"/>
            <w:hideMark/>
          </w:tcPr>
          <w:p w14:paraId="4B1E1D05" w14:textId="77777777" w:rsidR="00401088" w:rsidRPr="00624169" w:rsidRDefault="00401088" w:rsidP="00401088">
            <w:pPr>
              <w:suppressAutoHyphens w:val="0"/>
              <w:spacing w:before="0" w:after="0"/>
              <w:jc w:val="right"/>
              <w:rPr>
                <w:rFonts w:ascii="Calibri" w:eastAsia="Times New Roman" w:hAnsi="Calibri" w:cs="Calibri"/>
                <w:i/>
                <w:iCs/>
                <w:color w:val="auto"/>
                <w:sz w:val="18"/>
                <w:szCs w:val="18"/>
                <w:lang w:eastAsia="en-AU"/>
              </w:rPr>
            </w:pPr>
            <w:r w:rsidRPr="00624169">
              <w:rPr>
                <w:rFonts w:ascii="Calibri" w:eastAsia="Times New Roman" w:hAnsi="Calibri" w:cs="Calibri"/>
                <w:i/>
                <w:iCs/>
                <w:color w:val="auto"/>
                <w:sz w:val="18"/>
                <w:szCs w:val="18"/>
                <w:lang w:eastAsia="en-AU"/>
              </w:rPr>
              <w:t>nh</w:t>
            </w:r>
          </w:p>
        </w:tc>
        <w:tc>
          <w:tcPr>
            <w:tcW w:w="1016" w:type="dxa"/>
            <w:tcBorders>
              <w:top w:val="nil"/>
              <w:left w:val="nil"/>
              <w:bottom w:val="single" w:sz="4" w:space="0" w:color="008089"/>
              <w:right w:val="single" w:sz="8" w:space="0" w:color="008089"/>
            </w:tcBorders>
            <w:shd w:val="clear" w:color="000000" w:fill="F2F2F2"/>
            <w:vAlign w:val="center"/>
            <w:hideMark/>
          </w:tcPr>
          <w:p w14:paraId="5D4C16A1" w14:textId="77777777" w:rsidR="00401088" w:rsidRPr="00624169" w:rsidRDefault="00401088" w:rsidP="00401088">
            <w:pPr>
              <w:suppressAutoHyphens w:val="0"/>
              <w:spacing w:before="0" w:after="0"/>
              <w:jc w:val="right"/>
              <w:rPr>
                <w:rFonts w:ascii="Calibri" w:eastAsia="Times New Roman" w:hAnsi="Calibri" w:cs="Calibri"/>
                <w:i/>
                <w:iCs/>
                <w:color w:val="auto"/>
                <w:sz w:val="18"/>
                <w:szCs w:val="18"/>
                <w:lang w:eastAsia="en-AU"/>
              </w:rPr>
            </w:pPr>
            <w:r w:rsidRPr="00624169">
              <w:rPr>
                <w:rFonts w:ascii="Calibri" w:eastAsia="Times New Roman" w:hAnsi="Calibri" w:cs="Calibri"/>
                <w:i/>
                <w:iCs/>
                <w:color w:val="auto"/>
                <w:sz w:val="18"/>
                <w:szCs w:val="18"/>
                <w:lang w:eastAsia="en-AU"/>
              </w:rPr>
              <w:t>nh</w:t>
            </w:r>
          </w:p>
        </w:tc>
      </w:tr>
      <w:tr w:rsidR="00624169" w:rsidRPr="00401088" w14:paraId="1E3EC54D" w14:textId="77777777" w:rsidTr="00624169">
        <w:trPr>
          <w:trHeight w:val="300"/>
          <w:jc w:val="center"/>
        </w:trPr>
        <w:tc>
          <w:tcPr>
            <w:tcW w:w="1502" w:type="dxa"/>
            <w:vMerge/>
            <w:tcBorders>
              <w:top w:val="nil"/>
              <w:left w:val="single" w:sz="8" w:space="0" w:color="008089"/>
              <w:bottom w:val="nil"/>
              <w:right w:val="nil"/>
            </w:tcBorders>
            <w:vAlign w:val="center"/>
            <w:hideMark/>
          </w:tcPr>
          <w:p w14:paraId="4C65D743" w14:textId="77777777" w:rsidR="00401088" w:rsidRPr="00DB204C" w:rsidRDefault="00401088" w:rsidP="00401088">
            <w:pPr>
              <w:suppressAutoHyphens w:val="0"/>
              <w:spacing w:before="0" w:after="0"/>
              <w:rPr>
                <w:rFonts w:ascii="Calibri" w:eastAsia="Times New Roman" w:hAnsi="Calibri" w:cs="Calibri"/>
                <w:b/>
                <w:bCs/>
                <w:color w:val="000000"/>
                <w:sz w:val="18"/>
                <w:szCs w:val="18"/>
                <w:lang w:eastAsia="en-AU"/>
              </w:rPr>
            </w:pPr>
          </w:p>
        </w:tc>
        <w:tc>
          <w:tcPr>
            <w:tcW w:w="3308" w:type="dxa"/>
            <w:tcBorders>
              <w:top w:val="nil"/>
              <w:left w:val="nil"/>
              <w:bottom w:val="single" w:sz="8" w:space="0" w:color="008089"/>
              <w:right w:val="nil"/>
            </w:tcBorders>
            <w:shd w:val="clear" w:color="000000" w:fill="F2F2F2"/>
            <w:vAlign w:val="center"/>
            <w:hideMark/>
          </w:tcPr>
          <w:p w14:paraId="7A001548" w14:textId="77777777" w:rsidR="00401088" w:rsidRPr="00DB204C" w:rsidRDefault="00401088" w:rsidP="00401088">
            <w:pPr>
              <w:suppressAutoHyphens w:val="0"/>
              <w:spacing w:before="0" w:after="0"/>
              <w:rPr>
                <w:rFonts w:ascii="Calibri" w:eastAsia="Times New Roman" w:hAnsi="Calibri" w:cs="Calibri"/>
                <w:color w:val="000000"/>
                <w:sz w:val="18"/>
                <w:szCs w:val="18"/>
                <w:lang w:eastAsia="en-AU"/>
              </w:rPr>
            </w:pPr>
            <w:r w:rsidRPr="00DB204C">
              <w:rPr>
                <w:rFonts w:ascii="Calibri" w:eastAsia="Times New Roman" w:hAnsi="Calibri" w:cs="Calibri"/>
                <w:color w:val="000000"/>
                <w:sz w:val="18"/>
                <w:szCs w:val="18"/>
                <w:lang w:eastAsia="en-AU"/>
              </w:rPr>
              <w:t>WWC Grand Final</w:t>
            </w:r>
          </w:p>
        </w:tc>
        <w:tc>
          <w:tcPr>
            <w:tcW w:w="1843" w:type="dxa"/>
            <w:tcBorders>
              <w:top w:val="nil"/>
              <w:left w:val="nil"/>
              <w:bottom w:val="single" w:sz="8" w:space="0" w:color="008089"/>
              <w:right w:val="nil"/>
            </w:tcBorders>
            <w:shd w:val="clear" w:color="000000" w:fill="F2F2F2"/>
            <w:vAlign w:val="center"/>
            <w:hideMark/>
          </w:tcPr>
          <w:p w14:paraId="703D533B" w14:textId="77777777" w:rsidR="00401088" w:rsidRPr="00F85D80" w:rsidRDefault="00401088" w:rsidP="00401088">
            <w:pPr>
              <w:suppressAutoHyphens w:val="0"/>
              <w:spacing w:before="0" w:after="0"/>
              <w:rPr>
                <w:rFonts w:ascii="Calibri" w:eastAsia="Times New Roman" w:hAnsi="Calibri" w:cs="Calibri"/>
                <w:color w:val="000000"/>
                <w:sz w:val="16"/>
                <w:szCs w:val="16"/>
                <w:lang w:eastAsia="en-AU"/>
              </w:rPr>
            </w:pPr>
            <w:r w:rsidRPr="00F85D80">
              <w:rPr>
                <w:rFonts w:ascii="Calibri" w:eastAsia="Times New Roman" w:hAnsi="Calibri" w:cs="Calibri"/>
                <w:color w:val="000000"/>
                <w:sz w:val="16"/>
                <w:szCs w:val="16"/>
                <w:lang w:eastAsia="en-AU"/>
              </w:rPr>
              <w:t>Single match</w:t>
            </w:r>
          </w:p>
        </w:tc>
        <w:tc>
          <w:tcPr>
            <w:tcW w:w="1015" w:type="dxa"/>
            <w:tcBorders>
              <w:top w:val="nil"/>
              <w:left w:val="nil"/>
              <w:bottom w:val="single" w:sz="8" w:space="0" w:color="008089"/>
              <w:right w:val="nil"/>
            </w:tcBorders>
            <w:shd w:val="clear" w:color="000000" w:fill="F2F2F2"/>
            <w:vAlign w:val="center"/>
            <w:hideMark/>
          </w:tcPr>
          <w:p w14:paraId="7BAEE3CF"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104,000</w:t>
            </w:r>
          </w:p>
        </w:tc>
        <w:tc>
          <w:tcPr>
            <w:tcW w:w="1015" w:type="dxa"/>
            <w:tcBorders>
              <w:top w:val="nil"/>
              <w:left w:val="nil"/>
              <w:bottom w:val="single" w:sz="8" w:space="0" w:color="008089"/>
              <w:right w:val="nil"/>
            </w:tcBorders>
            <w:shd w:val="clear" w:color="000000" w:fill="F2F2F2"/>
            <w:vAlign w:val="center"/>
            <w:hideMark/>
          </w:tcPr>
          <w:p w14:paraId="7F667342" w14:textId="77777777" w:rsidR="00401088" w:rsidRPr="00624169" w:rsidRDefault="00401088" w:rsidP="00401088">
            <w:pPr>
              <w:suppressAutoHyphens w:val="0"/>
              <w:spacing w:before="0" w:after="0"/>
              <w:jc w:val="right"/>
              <w:rPr>
                <w:rFonts w:ascii="Calibri" w:eastAsia="Times New Roman" w:hAnsi="Calibri" w:cs="Calibri"/>
                <w:i/>
                <w:iCs/>
                <w:color w:val="auto"/>
                <w:sz w:val="18"/>
                <w:szCs w:val="18"/>
                <w:lang w:eastAsia="en-AU"/>
              </w:rPr>
            </w:pPr>
            <w:r w:rsidRPr="00624169">
              <w:rPr>
                <w:rFonts w:ascii="Calibri" w:eastAsia="Times New Roman" w:hAnsi="Calibri" w:cs="Calibri"/>
                <w:i/>
                <w:iCs/>
                <w:color w:val="auto"/>
                <w:sz w:val="18"/>
                <w:szCs w:val="18"/>
                <w:lang w:eastAsia="en-AU"/>
              </w:rPr>
              <w:t>nh</w:t>
            </w:r>
          </w:p>
        </w:tc>
        <w:tc>
          <w:tcPr>
            <w:tcW w:w="1016" w:type="dxa"/>
            <w:tcBorders>
              <w:top w:val="nil"/>
              <w:left w:val="nil"/>
              <w:bottom w:val="single" w:sz="8" w:space="0" w:color="008089"/>
              <w:right w:val="nil"/>
            </w:tcBorders>
            <w:shd w:val="clear" w:color="000000" w:fill="F2F2F2"/>
            <w:vAlign w:val="center"/>
            <w:hideMark/>
          </w:tcPr>
          <w:p w14:paraId="18609CF2" w14:textId="77777777" w:rsidR="00401088" w:rsidRPr="00624169" w:rsidRDefault="00401088" w:rsidP="00401088">
            <w:pPr>
              <w:suppressAutoHyphens w:val="0"/>
              <w:spacing w:before="0" w:after="0"/>
              <w:jc w:val="right"/>
              <w:rPr>
                <w:rFonts w:ascii="Calibri" w:eastAsia="Times New Roman" w:hAnsi="Calibri" w:cs="Calibri"/>
                <w:i/>
                <w:iCs/>
                <w:color w:val="auto"/>
                <w:sz w:val="18"/>
                <w:szCs w:val="18"/>
                <w:lang w:eastAsia="en-AU"/>
              </w:rPr>
            </w:pPr>
            <w:r w:rsidRPr="00624169">
              <w:rPr>
                <w:rFonts w:ascii="Calibri" w:eastAsia="Times New Roman" w:hAnsi="Calibri" w:cs="Calibri"/>
                <w:i/>
                <w:iCs/>
                <w:color w:val="auto"/>
                <w:sz w:val="18"/>
                <w:szCs w:val="18"/>
                <w:lang w:eastAsia="en-AU"/>
              </w:rPr>
              <w:t>nh</w:t>
            </w:r>
          </w:p>
        </w:tc>
        <w:tc>
          <w:tcPr>
            <w:tcW w:w="1015" w:type="dxa"/>
            <w:tcBorders>
              <w:top w:val="nil"/>
              <w:left w:val="nil"/>
              <w:bottom w:val="single" w:sz="8" w:space="0" w:color="008089"/>
              <w:right w:val="nil"/>
            </w:tcBorders>
            <w:shd w:val="clear" w:color="000000" w:fill="F2F2F2"/>
            <w:vAlign w:val="center"/>
            <w:hideMark/>
          </w:tcPr>
          <w:p w14:paraId="4D71AE07" w14:textId="77777777" w:rsidR="00401088" w:rsidRPr="00624169" w:rsidRDefault="00401088" w:rsidP="00401088">
            <w:pPr>
              <w:suppressAutoHyphens w:val="0"/>
              <w:spacing w:before="0" w:after="0"/>
              <w:jc w:val="right"/>
              <w:rPr>
                <w:rFonts w:ascii="Calibri" w:eastAsia="Times New Roman" w:hAnsi="Calibri" w:cs="Calibri"/>
                <w:i/>
                <w:iCs/>
                <w:color w:val="auto"/>
                <w:sz w:val="18"/>
                <w:szCs w:val="18"/>
                <w:lang w:eastAsia="en-AU"/>
              </w:rPr>
            </w:pPr>
            <w:r w:rsidRPr="00624169">
              <w:rPr>
                <w:rFonts w:ascii="Calibri" w:eastAsia="Times New Roman" w:hAnsi="Calibri" w:cs="Calibri"/>
                <w:i/>
                <w:iCs/>
                <w:color w:val="auto"/>
                <w:sz w:val="18"/>
                <w:szCs w:val="18"/>
                <w:lang w:eastAsia="en-AU"/>
              </w:rPr>
              <w:t>nh</w:t>
            </w:r>
          </w:p>
        </w:tc>
        <w:tc>
          <w:tcPr>
            <w:tcW w:w="1015" w:type="dxa"/>
            <w:tcBorders>
              <w:top w:val="nil"/>
              <w:left w:val="nil"/>
              <w:bottom w:val="single" w:sz="8" w:space="0" w:color="008089"/>
              <w:right w:val="nil"/>
            </w:tcBorders>
            <w:shd w:val="clear" w:color="000000" w:fill="F2F2F2"/>
            <w:vAlign w:val="center"/>
            <w:hideMark/>
          </w:tcPr>
          <w:p w14:paraId="1D2E32A3"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58,000</w:t>
            </w:r>
          </w:p>
        </w:tc>
        <w:tc>
          <w:tcPr>
            <w:tcW w:w="1016" w:type="dxa"/>
            <w:tcBorders>
              <w:top w:val="nil"/>
              <w:left w:val="nil"/>
              <w:bottom w:val="single" w:sz="8" w:space="0" w:color="008089"/>
              <w:right w:val="nil"/>
            </w:tcBorders>
            <w:shd w:val="clear" w:color="000000" w:fill="F2F2F2"/>
            <w:vAlign w:val="center"/>
            <w:hideMark/>
          </w:tcPr>
          <w:p w14:paraId="105966DE" w14:textId="77777777" w:rsidR="00401088" w:rsidRPr="00624169" w:rsidRDefault="00401088" w:rsidP="00401088">
            <w:pPr>
              <w:suppressAutoHyphens w:val="0"/>
              <w:spacing w:before="0" w:after="0"/>
              <w:jc w:val="right"/>
              <w:rPr>
                <w:rFonts w:ascii="Calibri" w:eastAsia="Times New Roman" w:hAnsi="Calibri" w:cs="Calibri"/>
                <w:i/>
                <w:iCs/>
                <w:color w:val="auto"/>
                <w:sz w:val="18"/>
                <w:szCs w:val="18"/>
                <w:lang w:eastAsia="en-AU"/>
              </w:rPr>
            </w:pPr>
            <w:r w:rsidRPr="00624169">
              <w:rPr>
                <w:rFonts w:ascii="Calibri" w:eastAsia="Times New Roman" w:hAnsi="Calibri" w:cs="Calibri"/>
                <w:i/>
                <w:iCs/>
                <w:color w:val="auto"/>
                <w:sz w:val="18"/>
                <w:szCs w:val="18"/>
                <w:lang w:eastAsia="en-AU"/>
              </w:rPr>
              <w:t>nh</w:t>
            </w:r>
          </w:p>
        </w:tc>
        <w:tc>
          <w:tcPr>
            <w:tcW w:w="1015" w:type="dxa"/>
            <w:tcBorders>
              <w:top w:val="nil"/>
              <w:left w:val="nil"/>
              <w:bottom w:val="single" w:sz="8" w:space="0" w:color="008089"/>
              <w:right w:val="nil"/>
            </w:tcBorders>
            <w:shd w:val="clear" w:color="000000" w:fill="F2F2F2"/>
            <w:vAlign w:val="center"/>
            <w:hideMark/>
          </w:tcPr>
          <w:p w14:paraId="50CC0958" w14:textId="77777777" w:rsidR="00401088" w:rsidRPr="00624169" w:rsidRDefault="00401088" w:rsidP="00401088">
            <w:pPr>
              <w:suppressAutoHyphens w:val="0"/>
              <w:spacing w:before="0" w:after="0"/>
              <w:jc w:val="right"/>
              <w:rPr>
                <w:rFonts w:ascii="Calibri" w:eastAsia="Times New Roman" w:hAnsi="Calibri" w:cs="Calibri"/>
                <w:i/>
                <w:iCs/>
                <w:color w:val="auto"/>
                <w:sz w:val="18"/>
                <w:szCs w:val="18"/>
                <w:lang w:eastAsia="en-AU"/>
              </w:rPr>
            </w:pPr>
            <w:r w:rsidRPr="00624169">
              <w:rPr>
                <w:rFonts w:ascii="Calibri" w:eastAsia="Times New Roman" w:hAnsi="Calibri" w:cs="Calibri"/>
                <w:i/>
                <w:iCs/>
                <w:color w:val="auto"/>
                <w:sz w:val="18"/>
                <w:szCs w:val="18"/>
                <w:lang w:eastAsia="en-AU"/>
              </w:rPr>
              <w:t>nh</w:t>
            </w:r>
          </w:p>
        </w:tc>
        <w:tc>
          <w:tcPr>
            <w:tcW w:w="1016" w:type="dxa"/>
            <w:tcBorders>
              <w:top w:val="nil"/>
              <w:left w:val="nil"/>
              <w:bottom w:val="single" w:sz="8" w:space="0" w:color="008089"/>
              <w:right w:val="single" w:sz="8" w:space="0" w:color="008089"/>
            </w:tcBorders>
            <w:shd w:val="clear" w:color="000000" w:fill="F2F2F2"/>
            <w:vAlign w:val="center"/>
            <w:hideMark/>
          </w:tcPr>
          <w:p w14:paraId="3E8F65BC" w14:textId="77777777" w:rsidR="00401088" w:rsidRPr="00624169" w:rsidRDefault="00401088" w:rsidP="00401088">
            <w:pPr>
              <w:suppressAutoHyphens w:val="0"/>
              <w:spacing w:before="0" w:after="0"/>
              <w:jc w:val="right"/>
              <w:rPr>
                <w:rFonts w:ascii="Calibri" w:eastAsia="Times New Roman" w:hAnsi="Calibri" w:cs="Calibri"/>
                <w:i/>
                <w:iCs/>
                <w:color w:val="auto"/>
                <w:sz w:val="18"/>
                <w:szCs w:val="18"/>
                <w:lang w:eastAsia="en-AU"/>
              </w:rPr>
            </w:pPr>
            <w:r w:rsidRPr="00624169">
              <w:rPr>
                <w:rFonts w:ascii="Calibri" w:eastAsia="Times New Roman" w:hAnsi="Calibri" w:cs="Calibri"/>
                <w:i/>
                <w:iCs/>
                <w:color w:val="auto"/>
                <w:sz w:val="18"/>
                <w:szCs w:val="18"/>
                <w:lang w:eastAsia="en-AU"/>
              </w:rPr>
              <w:t>nh</w:t>
            </w:r>
          </w:p>
        </w:tc>
      </w:tr>
      <w:tr w:rsidR="00624169" w:rsidRPr="00401088" w14:paraId="4597E987" w14:textId="77777777" w:rsidTr="00624169">
        <w:trPr>
          <w:trHeight w:val="290"/>
          <w:jc w:val="center"/>
        </w:trPr>
        <w:tc>
          <w:tcPr>
            <w:tcW w:w="1502" w:type="dxa"/>
            <w:vMerge w:val="restart"/>
            <w:tcBorders>
              <w:top w:val="single" w:sz="8" w:space="0" w:color="008089"/>
              <w:left w:val="single" w:sz="8" w:space="0" w:color="008089"/>
              <w:bottom w:val="nil"/>
              <w:right w:val="nil"/>
            </w:tcBorders>
            <w:shd w:val="clear" w:color="000000" w:fill="F2F2F2"/>
            <w:vAlign w:val="center"/>
            <w:hideMark/>
          </w:tcPr>
          <w:p w14:paraId="6923D2F1" w14:textId="77777777" w:rsidR="00401088" w:rsidRPr="00DB204C" w:rsidRDefault="00401088" w:rsidP="00401088">
            <w:pPr>
              <w:suppressAutoHyphens w:val="0"/>
              <w:spacing w:before="0" w:after="0"/>
              <w:jc w:val="center"/>
              <w:rPr>
                <w:rFonts w:ascii="Calibri" w:eastAsia="Times New Roman" w:hAnsi="Calibri" w:cs="Calibri"/>
                <w:b/>
                <w:bCs/>
                <w:color w:val="000000"/>
                <w:sz w:val="18"/>
                <w:szCs w:val="18"/>
                <w:lang w:eastAsia="en-AU"/>
              </w:rPr>
            </w:pPr>
            <w:r w:rsidRPr="00DB204C">
              <w:rPr>
                <w:rFonts w:ascii="Calibri" w:eastAsia="Times New Roman" w:hAnsi="Calibri" w:cs="Calibri"/>
                <w:b/>
                <w:bCs/>
                <w:color w:val="000000"/>
                <w:sz w:val="18"/>
                <w:szCs w:val="18"/>
                <w:lang w:eastAsia="en-AU"/>
              </w:rPr>
              <w:t>FIFA World Cup</w:t>
            </w:r>
          </w:p>
        </w:tc>
        <w:tc>
          <w:tcPr>
            <w:tcW w:w="3308" w:type="dxa"/>
            <w:tcBorders>
              <w:top w:val="nil"/>
              <w:left w:val="nil"/>
              <w:bottom w:val="single" w:sz="4" w:space="0" w:color="008089"/>
              <w:right w:val="nil"/>
            </w:tcBorders>
            <w:shd w:val="clear" w:color="000000" w:fill="F2F2F2"/>
            <w:vAlign w:val="center"/>
            <w:hideMark/>
          </w:tcPr>
          <w:p w14:paraId="1E605BB1" w14:textId="659EBA18" w:rsidR="00401088" w:rsidRPr="00DB204C" w:rsidRDefault="00401088" w:rsidP="00401088">
            <w:pPr>
              <w:suppressAutoHyphens w:val="0"/>
              <w:spacing w:before="0" w:after="0"/>
              <w:rPr>
                <w:rFonts w:ascii="Calibri" w:eastAsia="Times New Roman" w:hAnsi="Calibri" w:cs="Calibri"/>
                <w:color w:val="000000"/>
                <w:sz w:val="18"/>
                <w:szCs w:val="18"/>
                <w:lang w:eastAsia="en-AU"/>
              </w:rPr>
            </w:pPr>
            <w:r w:rsidRPr="00DB204C">
              <w:rPr>
                <w:rFonts w:ascii="Calibri" w:eastAsia="Times New Roman" w:hAnsi="Calibri" w:cs="Calibri"/>
                <w:color w:val="000000"/>
                <w:sz w:val="18"/>
                <w:szCs w:val="18"/>
                <w:lang w:eastAsia="en-AU"/>
              </w:rPr>
              <w:t xml:space="preserve">World Cup </w:t>
            </w:r>
            <w:r w:rsidR="00F85D80" w:rsidRPr="00DB204C">
              <w:rPr>
                <w:rFonts w:ascii="Calibri" w:eastAsia="Times New Roman" w:hAnsi="Calibri" w:cs="Calibri"/>
                <w:color w:val="000000"/>
                <w:sz w:val="18"/>
                <w:szCs w:val="18"/>
                <w:lang w:eastAsia="en-AU"/>
              </w:rPr>
              <w:t>Qualifying</w:t>
            </w:r>
            <w:r w:rsidRPr="00DB204C">
              <w:rPr>
                <w:rFonts w:ascii="Calibri" w:eastAsia="Times New Roman" w:hAnsi="Calibri" w:cs="Calibri"/>
                <w:color w:val="000000"/>
                <w:sz w:val="18"/>
                <w:szCs w:val="18"/>
                <w:lang w:eastAsia="en-AU"/>
              </w:rPr>
              <w:t xml:space="preserve"> Rounds</w:t>
            </w:r>
          </w:p>
        </w:tc>
        <w:tc>
          <w:tcPr>
            <w:tcW w:w="1843" w:type="dxa"/>
            <w:tcBorders>
              <w:top w:val="single" w:sz="4" w:space="0" w:color="008089"/>
              <w:left w:val="nil"/>
              <w:bottom w:val="single" w:sz="4" w:space="0" w:color="008089"/>
              <w:right w:val="nil"/>
            </w:tcBorders>
            <w:shd w:val="clear" w:color="000000" w:fill="F2F2F2"/>
            <w:vAlign w:val="center"/>
            <w:hideMark/>
          </w:tcPr>
          <w:p w14:paraId="71AA5D9B" w14:textId="77777777" w:rsidR="00401088" w:rsidRPr="00F85D80" w:rsidRDefault="00401088" w:rsidP="00401088">
            <w:pPr>
              <w:suppressAutoHyphens w:val="0"/>
              <w:spacing w:before="0" w:after="0"/>
              <w:rPr>
                <w:rFonts w:ascii="Calibri" w:eastAsia="Times New Roman" w:hAnsi="Calibri" w:cs="Calibri"/>
                <w:color w:val="auto"/>
                <w:sz w:val="16"/>
                <w:szCs w:val="16"/>
                <w:lang w:eastAsia="en-AU"/>
              </w:rPr>
            </w:pPr>
            <w:r w:rsidRPr="00F85D80">
              <w:rPr>
                <w:rFonts w:ascii="Calibri" w:eastAsia="Times New Roman" w:hAnsi="Calibri" w:cs="Calibri"/>
                <w:color w:val="auto"/>
                <w:sz w:val="16"/>
                <w:szCs w:val="16"/>
                <w:lang w:eastAsia="en-AU"/>
              </w:rPr>
              <w:t>Matches involving Australia average</w:t>
            </w:r>
          </w:p>
        </w:tc>
        <w:tc>
          <w:tcPr>
            <w:tcW w:w="1015" w:type="dxa"/>
            <w:tcBorders>
              <w:top w:val="single" w:sz="4" w:space="0" w:color="008089"/>
              <w:left w:val="nil"/>
              <w:bottom w:val="single" w:sz="4" w:space="0" w:color="008089"/>
              <w:right w:val="nil"/>
            </w:tcBorders>
            <w:shd w:val="clear" w:color="000000" w:fill="F2F2F2"/>
            <w:vAlign w:val="center"/>
            <w:hideMark/>
          </w:tcPr>
          <w:p w14:paraId="2FD5E803"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97,000</w:t>
            </w:r>
          </w:p>
        </w:tc>
        <w:tc>
          <w:tcPr>
            <w:tcW w:w="1015" w:type="dxa"/>
            <w:tcBorders>
              <w:top w:val="single" w:sz="4" w:space="0" w:color="008089"/>
              <w:left w:val="nil"/>
              <w:bottom w:val="single" w:sz="4" w:space="0" w:color="008089"/>
              <w:right w:val="nil"/>
            </w:tcBorders>
            <w:shd w:val="clear" w:color="000000" w:fill="F2F2F2"/>
            <w:vAlign w:val="center"/>
            <w:hideMark/>
          </w:tcPr>
          <w:p w14:paraId="3C3299BA"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202,000</w:t>
            </w:r>
          </w:p>
        </w:tc>
        <w:tc>
          <w:tcPr>
            <w:tcW w:w="1016" w:type="dxa"/>
            <w:tcBorders>
              <w:top w:val="single" w:sz="4" w:space="0" w:color="008089"/>
              <w:left w:val="nil"/>
              <w:bottom w:val="single" w:sz="4" w:space="0" w:color="008089"/>
              <w:right w:val="nil"/>
            </w:tcBorders>
            <w:shd w:val="clear" w:color="000000" w:fill="F2F2F2"/>
            <w:vAlign w:val="center"/>
            <w:hideMark/>
          </w:tcPr>
          <w:p w14:paraId="7C4037DA"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405,000</w:t>
            </w:r>
          </w:p>
        </w:tc>
        <w:tc>
          <w:tcPr>
            <w:tcW w:w="1015" w:type="dxa"/>
            <w:tcBorders>
              <w:top w:val="single" w:sz="4" w:space="0" w:color="008089"/>
              <w:left w:val="nil"/>
              <w:bottom w:val="single" w:sz="4" w:space="0" w:color="008089"/>
              <w:right w:val="nil"/>
            </w:tcBorders>
            <w:shd w:val="clear" w:color="000000" w:fill="F2F2F2"/>
            <w:vAlign w:val="center"/>
            <w:hideMark/>
          </w:tcPr>
          <w:p w14:paraId="46ABAABE" w14:textId="77777777" w:rsidR="00401088" w:rsidRPr="00624169" w:rsidRDefault="00401088" w:rsidP="00401088">
            <w:pPr>
              <w:suppressAutoHyphens w:val="0"/>
              <w:spacing w:before="0" w:after="0"/>
              <w:jc w:val="right"/>
              <w:rPr>
                <w:rFonts w:ascii="Calibri" w:eastAsia="Times New Roman" w:hAnsi="Calibri" w:cs="Calibri"/>
                <w:i/>
                <w:iCs/>
                <w:color w:val="auto"/>
                <w:sz w:val="18"/>
                <w:szCs w:val="18"/>
                <w:lang w:eastAsia="en-AU"/>
              </w:rPr>
            </w:pPr>
            <w:r w:rsidRPr="00624169">
              <w:rPr>
                <w:rFonts w:ascii="Calibri" w:eastAsia="Times New Roman" w:hAnsi="Calibri" w:cs="Calibri"/>
                <w:i/>
                <w:iCs/>
                <w:color w:val="auto"/>
                <w:sz w:val="18"/>
                <w:szCs w:val="18"/>
                <w:lang w:eastAsia="en-AU"/>
              </w:rPr>
              <w:t>nh</w:t>
            </w:r>
          </w:p>
        </w:tc>
        <w:tc>
          <w:tcPr>
            <w:tcW w:w="1015" w:type="dxa"/>
            <w:tcBorders>
              <w:top w:val="single" w:sz="4" w:space="0" w:color="008089"/>
              <w:left w:val="nil"/>
              <w:bottom w:val="single" w:sz="4" w:space="0" w:color="008089"/>
              <w:right w:val="nil"/>
            </w:tcBorders>
            <w:shd w:val="clear" w:color="000000" w:fill="F2F2F2"/>
            <w:vAlign w:val="center"/>
            <w:hideMark/>
          </w:tcPr>
          <w:p w14:paraId="42C2214D"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105,000</w:t>
            </w:r>
          </w:p>
        </w:tc>
        <w:tc>
          <w:tcPr>
            <w:tcW w:w="1016" w:type="dxa"/>
            <w:tcBorders>
              <w:top w:val="single" w:sz="4" w:space="0" w:color="008089"/>
              <w:left w:val="nil"/>
              <w:bottom w:val="single" w:sz="4" w:space="0" w:color="008089"/>
              <w:right w:val="nil"/>
            </w:tcBorders>
            <w:shd w:val="clear" w:color="000000" w:fill="F2F2F2"/>
            <w:vAlign w:val="center"/>
            <w:hideMark/>
          </w:tcPr>
          <w:p w14:paraId="2C845E7E" w14:textId="77777777" w:rsidR="00401088" w:rsidRPr="00624169" w:rsidRDefault="00401088" w:rsidP="00401088">
            <w:pPr>
              <w:suppressAutoHyphens w:val="0"/>
              <w:spacing w:before="0" w:after="0"/>
              <w:jc w:val="right"/>
              <w:rPr>
                <w:rFonts w:ascii="Calibri" w:eastAsia="Times New Roman" w:hAnsi="Calibri" w:cs="Calibri"/>
                <w:i/>
                <w:iCs/>
                <w:color w:val="auto"/>
                <w:sz w:val="18"/>
                <w:szCs w:val="18"/>
                <w:lang w:eastAsia="en-AU"/>
              </w:rPr>
            </w:pPr>
            <w:r w:rsidRPr="00624169">
              <w:rPr>
                <w:rFonts w:ascii="Calibri" w:eastAsia="Times New Roman" w:hAnsi="Calibri" w:cs="Calibri"/>
                <w:i/>
                <w:iCs/>
                <w:color w:val="auto"/>
                <w:sz w:val="18"/>
                <w:szCs w:val="18"/>
                <w:lang w:eastAsia="en-AU"/>
              </w:rPr>
              <w:t>nh</w:t>
            </w:r>
          </w:p>
        </w:tc>
        <w:tc>
          <w:tcPr>
            <w:tcW w:w="1015" w:type="dxa"/>
            <w:tcBorders>
              <w:top w:val="single" w:sz="4" w:space="0" w:color="008089"/>
              <w:left w:val="nil"/>
              <w:bottom w:val="single" w:sz="4" w:space="0" w:color="008089"/>
              <w:right w:val="nil"/>
            </w:tcBorders>
            <w:shd w:val="clear" w:color="000000" w:fill="F2F2F2"/>
            <w:vAlign w:val="center"/>
            <w:hideMark/>
          </w:tcPr>
          <w:p w14:paraId="6D29C13E"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137,000</w:t>
            </w:r>
          </w:p>
        </w:tc>
        <w:tc>
          <w:tcPr>
            <w:tcW w:w="1016" w:type="dxa"/>
            <w:tcBorders>
              <w:top w:val="nil"/>
              <w:left w:val="nil"/>
              <w:bottom w:val="single" w:sz="4" w:space="0" w:color="008089"/>
              <w:right w:val="single" w:sz="8" w:space="0" w:color="008089"/>
            </w:tcBorders>
            <w:shd w:val="clear" w:color="000000" w:fill="F2F2F2"/>
            <w:vAlign w:val="center"/>
            <w:hideMark/>
          </w:tcPr>
          <w:p w14:paraId="75E74D93"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122,000</w:t>
            </w:r>
          </w:p>
        </w:tc>
      </w:tr>
      <w:tr w:rsidR="00624169" w:rsidRPr="00401088" w14:paraId="53B8EEBC" w14:textId="77777777" w:rsidTr="00624169">
        <w:trPr>
          <w:trHeight w:val="330"/>
          <w:jc w:val="center"/>
        </w:trPr>
        <w:tc>
          <w:tcPr>
            <w:tcW w:w="1502" w:type="dxa"/>
            <w:vMerge/>
            <w:tcBorders>
              <w:top w:val="single" w:sz="8" w:space="0" w:color="008089"/>
              <w:left w:val="single" w:sz="8" w:space="0" w:color="008089"/>
              <w:bottom w:val="nil"/>
              <w:right w:val="nil"/>
            </w:tcBorders>
            <w:vAlign w:val="center"/>
            <w:hideMark/>
          </w:tcPr>
          <w:p w14:paraId="6FE6B3E3" w14:textId="77777777" w:rsidR="00401088" w:rsidRPr="00DB204C" w:rsidRDefault="00401088" w:rsidP="00401088">
            <w:pPr>
              <w:suppressAutoHyphens w:val="0"/>
              <w:spacing w:before="0" w:after="0"/>
              <w:rPr>
                <w:rFonts w:ascii="Calibri" w:eastAsia="Times New Roman" w:hAnsi="Calibri" w:cs="Calibri"/>
                <w:b/>
                <w:bCs/>
                <w:color w:val="000000"/>
                <w:sz w:val="18"/>
                <w:szCs w:val="18"/>
                <w:lang w:eastAsia="en-AU"/>
              </w:rPr>
            </w:pPr>
          </w:p>
        </w:tc>
        <w:tc>
          <w:tcPr>
            <w:tcW w:w="3308" w:type="dxa"/>
            <w:tcBorders>
              <w:top w:val="nil"/>
              <w:left w:val="nil"/>
              <w:bottom w:val="single" w:sz="4" w:space="0" w:color="008089"/>
              <w:right w:val="nil"/>
            </w:tcBorders>
            <w:shd w:val="clear" w:color="000000" w:fill="F2F2F2"/>
            <w:vAlign w:val="center"/>
            <w:hideMark/>
          </w:tcPr>
          <w:p w14:paraId="008FEF20" w14:textId="77777777" w:rsidR="00401088" w:rsidRPr="00DB204C" w:rsidRDefault="00401088" w:rsidP="00401088">
            <w:pPr>
              <w:suppressAutoHyphens w:val="0"/>
              <w:spacing w:before="0" w:after="0"/>
              <w:rPr>
                <w:rFonts w:ascii="Calibri" w:eastAsia="Times New Roman" w:hAnsi="Calibri" w:cs="Calibri"/>
                <w:color w:val="000000"/>
                <w:sz w:val="18"/>
                <w:szCs w:val="18"/>
                <w:lang w:eastAsia="en-AU"/>
              </w:rPr>
            </w:pPr>
            <w:r w:rsidRPr="00DB204C">
              <w:rPr>
                <w:rFonts w:ascii="Calibri" w:eastAsia="Times New Roman" w:hAnsi="Calibri" w:cs="Calibri"/>
                <w:color w:val="000000"/>
                <w:sz w:val="18"/>
                <w:szCs w:val="18"/>
                <w:lang w:eastAsia="en-AU"/>
              </w:rPr>
              <w:t>World Cup Tournament</w:t>
            </w:r>
          </w:p>
        </w:tc>
        <w:tc>
          <w:tcPr>
            <w:tcW w:w="1843" w:type="dxa"/>
            <w:tcBorders>
              <w:top w:val="nil"/>
              <w:left w:val="nil"/>
              <w:bottom w:val="single" w:sz="4" w:space="0" w:color="008089"/>
              <w:right w:val="nil"/>
            </w:tcBorders>
            <w:shd w:val="clear" w:color="000000" w:fill="F2F2F2"/>
            <w:vAlign w:val="center"/>
            <w:hideMark/>
          </w:tcPr>
          <w:p w14:paraId="2CD54238" w14:textId="77777777" w:rsidR="00401088" w:rsidRPr="00F85D80" w:rsidRDefault="00401088" w:rsidP="00401088">
            <w:pPr>
              <w:suppressAutoHyphens w:val="0"/>
              <w:spacing w:before="0" w:after="0"/>
              <w:rPr>
                <w:rFonts w:ascii="Calibri" w:eastAsia="Times New Roman" w:hAnsi="Calibri" w:cs="Calibri"/>
                <w:color w:val="auto"/>
                <w:sz w:val="16"/>
                <w:szCs w:val="16"/>
                <w:lang w:eastAsia="en-AU"/>
              </w:rPr>
            </w:pPr>
            <w:r w:rsidRPr="00F85D80">
              <w:rPr>
                <w:rFonts w:ascii="Calibri" w:eastAsia="Times New Roman" w:hAnsi="Calibri" w:cs="Calibri"/>
                <w:color w:val="auto"/>
                <w:sz w:val="16"/>
                <w:szCs w:val="16"/>
                <w:lang w:eastAsia="en-AU"/>
              </w:rPr>
              <w:t>Matches involving Australia average</w:t>
            </w:r>
            <w:r w:rsidRPr="00F85D80">
              <w:rPr>
                <w:rFonts w:ascii="Calibri" w:eastAsia="Times New Roman" w:hAnsi="Calibri" w:cs="Calibri"/>
                <w:color w:val="auto"/>
                <w:sz w:val="16"/>
                <w:szCs w:val="16"/>
                <w:vertAlign w:val="superscript"/>
                <w:lang w:eastAsia="en-AU"/>
              </w:rPr>
              <w:t>6</w:t>
            </w:r>
          </w:p>
        </w:tc>
        <w:tc>
          <w:tcPr>
            <w:tcW w:w="1015" w:type="dxa"/>
            <w:tcBorders>
              <w:top w:val="nil"/>
              <w:left w:val="nil"/>
              <w:bottom w:val="single" w:sz="4" w:space="0" w:color="008089"/>
              <w:right w:val="nil"/>
            </w:tcBorders>
            <w:shd w:val="clear" w:color="000000" w:fill="F2F2F2"/>
            <w:vAlign w:val="center"/>
            <w:hideMark/>
          </w:tcPr>
          <w:p w14:paraId="0C5A1C8A"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934,000</w:t>
            </w:r>
          </w:p>
        </w:tc>
        <w:tc>
          <w:tcPr>
            <w:tcW w:w="1015" w:type="dxa"/>
            <w:tcBorders>
              <w:top w:val="nil"/>
              <w:left w:val="nil"/>
              <w:bottom w:val="single" w:sz="4" w:space="0" w:color="008089"/>
              <w:right w:val="nil"/>
            </w:tcBorders>
            <w:shd w:val="clear" w:color="000000" w:fill="F2F2F2"/>
            <w:vAlign w:val="center"/>
            <w:hideMark/>
          </w:tcPr>
          <w:p w14:paraId="78058FF7" w14:textId="77777777" w:rsidR="00401088" w:rsidRPr="00624169" w:rsidRDefault="00401088" w:rsidP="00401088">
            <w:pPr>
              <w:suppressAutoHyphens w:val="0"/>
              <w:spacing w:before="0" w:after="0"/>
              <w:jc w:val="right"/>
              <w:rPr>
                <w:rFonts w:ascii="Calibri" w:eastAsia="Times New Roman" w:hAnsi="Calibri" w:cs="Calibri"/>
                <w:i/>
                <w:iCs/>
                <w:color w:val="auto"/>
                <w:sz w:val="18"/>
                <w:szCs w:val="18"/>
                <w:lang w:eastAsia="en-AU"/>
              </w:rPr>
            </w:pPr>
            <w:r w:rsidRPr="00624169">
              <w:rPr>
                <w:rFonts w:ascii="Calibri" w:eastAsia="Times New Roman" w:hAnsi="Calibri" w:cs="Calibri"/>
                <w:i/>
                <w:iCs/>
                <w:color w:val="auto"/>
                <w:sz w:val="18"/>
                <w:szCs w:val="18"/>
                <w:lang w:eastAsia="en-AU"/>
              </w:rPr>
              <w:t>nh</w:t>
            </w:r>
          </w:p>
        </w:tc>
        <w:tc>
          <w:tcPr>
            <w:tcW w:w="1016" w:type="dxa"/>
            <w:tcBorders>
              <w:top w:val="nil"/>
              <w:left w:val="nil"/>
              <w:bottom w:val="single" w:sz="4" w:space="0" w:color="008089"/>
              <w:right w:val="nil"/>
            </w:tcBorders>
            <w:shd w:val="clear" w:color="000000" w:fill="F2F2F2"/>
            <w:vAlign w:val="center"/>
            <w:hideMark/>
          </w:tcPr>
          <w:p w14:paraId="0870F746" w14:textId="77777777" w:rsidR="00401088" w:rsidRPr="00624169" w:rsidRDefault="00401088" w:rsidP="00401088">
            <w:pPr>
              <w:suppressAutoHyphens w:val="0"/>
              <w:spacing w:before="0" w:after="0"/>
              <w:jc w:val="right"/>
              <w:rPr>
                <w:rFonts w:ascii="Calibri" w:eastAsia="Times New Roman" w:hAnsi="Calibri" w:cs="Calibri"/>
                <w:i/>
                <w:iCs/>
                <w:color w:val="auto"/>
                <w:sz w:val="18"/>
                <w:szCs w:val="18"/>
                <w:lang w:eastAsia="en-AU"/>
              </w:rPr>
            </w:pPr>
            <w:r w:rsidRPr="00624169">
              <w:rPr>
                <w:rFonts w:ascii="Calibri" w:eastAsia="Times New Roman" w:hAnsi="Calibri" w:cs="Calibri"/>
                <w:i/>
                <w:iCs/>
                <w:color w:val="auto"/>
                <w:sz w:val="18"/>
                <w:szCs w:val="18"/>
                <w:lang w:eastAsia="en-AU"/>
              </w:rPr>
              <w:t>nh</w:t>
            </w:r>
          </w:p>
        </w:tc>
        <w:tc>
          <w:tcPr>
            <w:tcW w:w="1015" w:type="dxa"/>
            <w:tcBorders>
              <w:top w:val="nil"/>
              <w:left w:val="nil"/>
              <w:bottom w:val="single" w:sz="4" w:space="0" w:color="008089"/>
              <w:right w:val="nil"/>
            </w:tcBorders>
            <w:shd w:val="clear" w:color="000000" w:fill="F2F2F2"/>
            <w:vAlign w:val="center"/>
            <w:hideMark/>
          </w:tcPr>
          <w:p w14:paraId="70CAEFF3"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1,391,000</w:t>
            </w:r>
          </w:p>
        </w:tc>
        <w:tc>
          <w:tcPr>
            <w:tcW w:w="1015" w:type="dxa"/>
            <w:tcBorders>
              <w:top w:val="nil"/>
              <w:left w:val="nil"/>
              <w:bottom w:val="single" w:sz="4" w:space="0" w:color="008089"/>
              <w:right w:val="nil"/>
            </w:tcBorders>
            <w:shd w:val="clear" w:color="000000" w:fill="F2F2F2"/>
            <w:vAlign w:val="center"/>
            <w:hideMark/>
          </w:tcPr>
          <w:p w14:paraId="34642DF8" w14:textId="77777777" w:rsidR="00401088" w:rsidRPr="00624169" w:rsidRDefault="00401088" w:rsidP="00401088">
            <w:pPr>
              <w:suppressAutoHyphens w:val="0"/>
              <w:spacing w:before="0" w:after="0"/>
              <w:jc w:val="right"/>
              <w:rPr>
                <w:rFonts w:ascii="Calibri" w:eastAsia="Times New Roman" w:hAnsi="Calibri" w:cs="Calibri"/>
                <w:i/>
                <w:iCs/>
                <w:color w:val="auto"/>
                <w:sz w:val="18"/>
                <w:szCs w:val="18"/>
                <w:lang w:eastAsia="en-AU"/>
              </w:rPr>
            </w:pPr>
            <w:r w:rsidRPr="00624169">
              <w:rPr>
                <w:rFonts w:ascii="Calibri" w:eastAsia="Times New Roman" w:hAnsi="Calibri" w:cs="Calibri"/>
                <w:i/>
                <w:iCs/>
                <w:color w:val="auto"/>
                <w:sz w:val="18"/>
                <w:szCs w:val="18"/>
                <w:lang w:eastAsia="en-AU"/>
              </w:rPr>
              <w:t>nh</w:t>
            </w:r>
          </w:p>
        </w:tc>
        <w:tc>
          <w:tcPr>
            <w:tcW w:w="1016" w:type="dxa"/>
            <w:tcBorders>
              <w:top w:val="nil"/>
              <w:left w:val="nil"/>
              <w:bottom w:val="single" w:sz="4" w:space="0" w:color="008089"/>
              <w:right w:val="nil"/>
            </w:tcBorders>
            <w:shd w:val="clear" w:color="000000" w:fill="F2F2F2"/>
            <w:vAlign w:val="center"/>
            <w:hideMark/>
          </w:tcPr>
          <w:p w14:paraId="02446421" w14:textId="77777777" w:rsidR="00401088" w:rsidRPr="00624169" w:rsidRDefault="00401088" w:rsidP="00401088">
            <w:pPr>
              <w:suppressAutoHyphens w:val="0"/>
              <w:spacing w:before="0" w:after="0"/>
              <w:jc w:val="right"/>
              <w:rPr>
                <w:rFonts w:ascii="Calibri" w:eastAsia="Times New Roman" w:hAnsi="Calibri" w:cs="Calibri"/>
                <w:i/>
                <w:iCs/>
                <w:color w:val="auto"/>
                <w:sz w:val="18"/>
                <w:szCs w:val="18"/>
                <w:lang w:eastAsia="en-AU"/>
              </w:rPr>
            </w:pPr>
            <w:r w:rsidRPr="00624169">
              <w:rPr>
                <w:rFonts w:ascii="Calibri" w:eastAsia="Times New Roman" w:hAnsi="Calibri" w:cs="Calibri"/>
                <w:i/>
                <w:iCs/>
                <w:color w:val="auto"/>
                <w:sz w:val="18"/>
                <w:szCs w:val="18"/>
                <w:lang w:eastAsia="en-AU"/>
              </w:rPr>
              <w:t>nh</w:t>
            </w:r>
          </w:p>
        </w:tc>
        <w:tc>
          <w:tcPr>
            <w:tcW w:w="1015" w:type="dxa"/>
            <w:tcBorders>
              <w:top w:val="nil"/>
              <w:left w:val="nil"/>
              <w:bottom w:val="single" w:sz="4" w:space="0" w:color="008089"/>
              <w:right w:val="nil"/>
            </w:tcBorders>
            <w:shd w:val="clear" w:color="000000" w:fill="F2F2F2"/>
            <w:vAlign w:val="center"/>
            <w:hideMark/>
          </w:tcPr>
          <w:p w14:paraId="14C20215" w14:textId="77777777" w:rsidR="00401088" w:rsidRPr="00624169" w:rsidRDefault="00401088" w:rsidP="00401088">
            <w:pPr>
              <w:suppressAutoHyphens w:val="0"/>
              <w:spacing w:before="0" w:after="0"/>
              <w:jc w:val="right"/>
              <w:rPr>
                <w:rFonts w:ascii="Calibri" w:eastAsia="Times New Roman" w:hAnsi="Calibri" w:cs="Calibri"/>
                <w:i/>
                <w:iCs/>
                <w:color w:val="auto"/>
                <w:sz w:val="18"/>
                <w:szCs w:val="18"/>
                <w:lang w:eastAsia="en-AU"/>
              </w:rPr>
            </w:pPr>
            <w:r w:rsidRPr="00624169">
              <w:rPr>
                <w:rFonts w:ascii="Calibri" w:eastAsia="Times New Roman" w:hAnsi="Calibri" w:cs="Calibri"/>
                <w:i/>
                <w:iCs/>
                <w:color w:val="auto"/>
                <w:sz w:val="18"/>
                <w:szCs w:val="18"/>
                <w:lang w:eastAsia="en-AU"/>
              </w:rPr>
              <w:t>nh</w:t>
            </w:r>
          </w:p>
        </w:tc>
        <w:tc>
          <w:tcPr>
            <w:tcW w:w="1016" w:type="dxa"/>
            <w:tcBorders>
              <w:top w:val="nil"/>
              <w:left w:val="nil"/>
              <w:bottom w:val="single" w:sz="4" w:space="0" w:color="008089"/>
              <w:right w:val="single" w:sz="8" w:space="0" w:color="008089"/>
            </w:tcBorders>
            <w:shd w:val="clear" w:color="000000" w:fill="F2F2F2"/>
            <w:vAlign w:val="center"/>
            <w:hideMark/>
          </w:tcPr>
          <w:p w14:paraId="71D6AD08" w14:textId="77777777" w:rsidR="00401088" w:rsidRPr="00624169" w:rsidRDefault="00401088" w:rsidP="00401088">
            <w:pPr>
              <w:suppressAutoHyphens w:val="0"/>
              <w:spacing w:before="0" w:after="0"/>
              <w:jc w:val="right"/>
              <w:rPr>
                <w:rFonts w:ascii="Calibri" w:eastAsia="Times New Roman" w:hAnsi="Calibri" w:cs="Calibri"/>
                <w:i/>
                <w:iCs/>
                <w:color w:val="auto"/>
                <w:sz w:val="18"/>
                <w:szCs w:val="18"/>
                <w:lang w:eastAsia="en-AU"/>
              </w:rPr>
            </w:pPr>
            <w:r w:rsidRPr="00624169">
              <w:rPr>
                <w:rFonts w:ascii="Calibri" w:eastAsia="Times New Roman" w:hAnsi="Calibri" w:cs="Calibri"/>
                <w:i/>
                <w:iCs/>
                <w:color w:val="auto"/>
                <w:sz w:val="18"/>
                <w:szCs w:val="18"/>
                <w:lang w:eastAsia="en-AU"/>
              </w:rPr>
              <w:t>enc</w:t>
            </w:r>
          </w:p>
        </w:tc>
      </w:tr>
      <w:tr w:rsidR="00624169" w:rsidRPr="00401088" w14:paraId="4ED2E1A3" w14:textId="77777777" w:rsidTr="00624169">
        <w:trPr>
          <w:trHeight w:val="340"/>
          <w:jc w:val="center"/>
        </w:trPr>
        <w:tc>
          <w:tcPr>
            <w:tcW w:w="1502" w:type="dxa"/>
            <w:vMerge/>
            <w:tcBorders>
              <w:top w:val="single" w:sz="8" w:space="0" w:color="008089"/>
              <w:left w:val="single" w:sz="8" w:space="0" w:color="008089"/>
              <w:bottom w:val="nil"/>
              <w:right w:val="nil"/>
            </w:tcBorders>
            <w:vAlign w:val="center"/>
            <w:hideMark/>
          </w:tcPr>
          <w:p w14:paraId="78AB929C" w14:textId="77777777" w:rsidR="00401088" w:rsidRPr="00DB204C" w:rsidRDefault="00401088" w:rsidP="00401088">
            <w:pPr>
              <w:suppressAutoHyphens w:val="0"/>
              <w:spacing w:before="0" w:after="0"/>
              <w:rPr>
                <w:rFonts w:ascii="Calibri" w:eastAsia="Times New Roman" w:hAnsi="Calibri" w:cs="Calibri"/>
                <w:b/>
                <w:bCs/>
                <w:color w:val="000000"/>
                <w:sz w:val="18"/>
                <w:szCs w:val="18"/>
                <w:lang w:eastAsia="en-AU"/>
              </w:rPr>
            </w:pPr>
          </w:p>
        </w:tc>
        <w:tc>
          <w:tcPr>
            <w:tcW w:w="3308" w:type="dxa"/>
            <w:tcBorders>
              <w:top w:val="nil"/>
              <w:left w:val="nil"/>
              <w:bottom w:val="single" w:sz="8" w:space="0" w:color="008089"/>
              <w:right w:val="nil"/>
            </w:tcBorders>
            <w:shd w:val="clear" w:color="000000" w:fill="F2F2F2"/>
            <w:vAlign w:val="center"/>
            <w:hideMark/>
          </w:tcPr>
          <w:p w14:paraId="69247596" w14:textId="77777777" w:rsidR="00401088" w:rsidRPr="00DB204C" w:rsidRDefault="00401088" w:rsidP="00401088">
            <w:pPr>
              <w:suppressAutoHyphens w:val="0"/>
              <w:spacing w:before="0" w:after="0"/>
              <w:rPr>
                <w:rFonts w:ascii="Calibri" w:eastAsia="Times New Roman" w:hAnsi="Calibri" w:cs="Calibri"/>
                <w:color w:val="000000"/>
                <w:sz w:val="18"/>
                <w:szCs w:val="18"/>
                <w:lang w:eastAsia="en-AU"/>
              </w:rPr>
            </w:pPr>
            <w:r w:rsidRPr="00DB204C">
              <w:rPr>
                <w:rFonts w:ascii="Calibri" w:eastAsia="Times New Roman" w:hAnsi="Calibri" w:cs="Calibri"/>
                <w:color w:val="000000"/>
                <w:sz w:val="18"/>
                <w:szCs w:val="18"/>
                <w:lang w:eastAsia="en-AU"/>
              </w:rPr>
              <w:t>World Cup Grand Final</w:t>
            </w:r>
          </w:p>
        </w:tc>
        <w:tc>
          <w:tcPr>
            <w:tcW w:w="1843" w:type="dxa"/>
            <w:tcBorders>
              <w:top w:val="nil"/>
              <w:left w:val="nil"/>
              <w:bottom w:val="single" w:sz="4" w:space="0" w:color="008089"/>
              <w:right w:val="nil"/>
            </w:tcBorders>
            <w:shd w:val="clear" w:color="000000" w:fill="F2F2F2"/>
            <w:vAlign w:val="center"/>
            <w:hideMark/>
          </w:tcPr>
          <w:p w14:paraId="36BFF2B4" w14:textId="77777777" w:rsidR="00401088" w:rsidRPr="00F85D80" w:rsidRDefault="00401088" w:rsidP="00401088">
            <w:pPr>
              <w:suppressAutoHyphens w:val="0"/>
              <w:spacing w:before="0" w:after="0"/>
              <w:rPr>
                <w:rFonts w:ascii="Calibri" w:eastAsia="Times New Roman" w:hAnsi="Calibri" w:cs="Calibri"/>
                <w:color w:val="auto"/>
                <w:sz w:val="16"/>
                <w:szCs w:val="16"/>
                <w:lang w:eastAsia="en-AU"/>
              </w:rPr>
            </w:pPr>
            <w:r w:rsidRPr="00F85D80">
              <w:rPr>
                <w:rFonts w:ascii="Calibri" w:eastAsia="Times New Roman" w:hAnsi="Calibri" w:cs="Calibri"/>
                <w:color w:val="auto"/>
                <w:sz w:val="16"/>
                <w:szCs w:val="16"/>
                <w:lang w:eastAsia="en-AU"/>
              </w:rPr>
              <w:t>Single match</w:t>
            </w:r>
            <w:r w:rsidRPr="00F85D80">
              <w:rPr>
                <w:rFonts w:ascii="Calibri" w:eastAsia="Times New Roman" w:hAnsi="Calibri" w:cs="Calibri"/>
                <w:color w:val="auto"/>
                <w:sz w:val="16"/>
                <w:szCs w:val="16"/>
                <w:vertAlign w:val="superscript"/>
                <w:lang w:eastAsia="en-AU"/>
              </w:rPr>
              <w:t>6</w:t>
            </w:r>
          </w:p>
        </w:tc>
        <w:tc>
          <w:tcPr>
            <w:tcW w:w="1015" w:type="dxa"/>
            <w:tcBorders>
              <w:top w:val="nil"/>
              <w:left w:val="nil"/>
              <w:bottom w:val="single" w:sz="8" w:space="0" w:color="008089"/>
              <w:right w:val="nil"/>
            </w:tcBorders>
            <w:shd w:val="clear" w:color="000000" w:fill="F2F2F2"/>
            <w:vAlign w:val="center"/>
            <w:hideMark/>
          </w:tcPr>
          <w:p w14:paraId="7CCEBCDA"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884,000</w:t>
            </w:r>
          </w:p>
        </w:tc>
        <w:tc>
          <w:tcPr>
            <w:tcW w:w="1015" w:type="dxa"/>
            <w:tcBorders>
              <w:top w:val="nil"/>
              <w:left w:val="nil"/>
              <w:bottom w:val="single" w:sz="8" w:space="0" w:color="008089"/>
              <w:right w:val="nil"/>
            </w:tcBorders>
            <w:shd w:val="clear" w:color="000000" w:fill="F2F2F2"/>
            <w:vAlign w:val="center"/>
            <w:hideMark/>
          </w:tcPr>
          <w:p w14:paraId="222FF2C1" w14:textId="77777777" w:rsidR="00401088" w:rsidRPr="00624169" w:rsidRDefault="00401088" w:rsidP="00401088">
            <w:pPr>
              <w:suppressAutoHyphens w:val="0"/>
              <w:spacing w:before="0" w:after="0"/>
              <w:jc w:val="right"/>
              <w:rPr>
                <w:rFonts w:ascii="Calibri" w:eastAsia="Times New Roman" w:hAnsi="Calibri" w:cs="Calibri"/>
                <w:i/>
                <w:iCs/>
                <w:color w:val="auto"/>
                <w:sz w:val="18"/>
                <w:szCs w:val="18"/>
                <w:lang w:eastAsia="en-AU"/>
              </w:rPr>
            </w:pPr>
            <w:r w:rsidRPr="00624169">
              <w:rPr>
                <w:rFonts w:ascii="Calibri" w:eastAsia="Times New Roman" w:hAnsi="Calibri" w:cs="Calibri"/>
                <w:i/>
                <w:iCs/>
                <w:color w:val="auto"/>
                <w:sz w:val="18"/>
                <w:szCs w:val="18"/>
                <w:lang w:eastAsia="en-AU"/>
              </w:rPr>
              <w:t>nh</w:t>
            </w:r>
          </w:p>
        </w:tc>
        <w:tc>
          <w:tcPr>
            <w:tcW w:w="1016" w:type="dxa"/>
            <w:tcBorders>
              <w:top w:val="nil"/>
              <w:left w:val="nil"/>
              <w:bottom w:val="single" w:sz="8" w:space="0" w:color="008089"/>
              <w:right w:val="nil"/>
            </w:tcBorders>
            <w:shd w:val="clear" w:color="000000" w:fill="F2F2F2"/>
            <w:vAlign w:val="center"/>
            <w:hideMark/>
          </w:tcPr>
          <w:p w14:paraId="24809DD2" w14:textId="77777777" w:rsidR="00401088" w:rsidRPr="00624169" w:rsidRDefault="00401088" w:rsidP="00401088">
            <w:pPr>
              <w:suppressAutoHyphens w:val="0"/>
              <w:spacing w:before="0" w:after="0"/>
              <w:jc w:val="right"/>
              <w:rPr>
                <w:rFonts w:ascii="Calibri" w:eastAsia="Times New Roman" w:hAnsi="Calibri" w:cs="Calibri"/>
                <w:i/>
                <w:iCs/>
                <w:color w:val="auto"/>
                <w:sz w:val="18"/>
                <w:szCs w:val="18"/>
                <w:lang w:eastAsia="en-AU"/>
              </w:rPr>
            </w:pPr>
            <w:r w:rsidRPr="00624169">
              <w:rPr>
                <w:rFonts w:ascii="Calibri" w:eastAsia="Times New Roman" w:hAnsi="Calibri" w:cs="Calibri"/>
                <w:i/>
                <w:iCs/>
                <w:color w:val="auto"/>
                <w:sz w:val="18"/>
                <w:szCs w:val="18"/>
                <w:lang w:eastAsia="en-AU"/>
              </w:rPr>
              <w:t>nh</w:t>
            </w:r>
          </w:p>
        </w:tc>
        <w:tc>
          <w:tcPr>
            <w:tcW w:w="1015" w:type="dxa"/>
            <w:tcBorders>
              <w:top w:val="nil"/>
              <w:left w:val="nil"/>
              <w:bottom w:val="single" w:sz="8" w:space="0" w:color="008089"/>
              <w:right w:val="nil"/>
            </w:tcBorders>
            <w:shd w:val="clear" w:color="000000" w:fill="F2F2F2"/>
            <w:vAlign w:val="center"/>
            <w:hideMark/>
          </w:tcPr>
          <w:p w14:paraId="7533549B"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538,000</w:t>
            </w:r>
          </w:p>
        </w:tc>
        <w:tc>
          <w:tcPr>
            <w:tcW w:w="1015" w:type="dxa"/>
            <w:tcBorders>
              <w:top w:val="nil"/>
              <w:left w:val="nil"/>
              <w:bottom w:val="single" w:sz="8" w:space="0" w:color="008089"/>
              <w:right w:val="nil"/>
            </w:tcBorders>
            <w:shd w:val="clear" w:color="000000" w:fill="F2F2F2"/>
            <w:vAlign w:val="center"/>
            <w:hideMark/>
          </w:tcPr>
          <w:p w14:paraId="4D41BDE9" w14:textId="77777777" w:rsidR="00401088" w:rsidRPr="00624169" w:rsidRDefault="00401088" w:rsidP="00401088">
            <w:pPr>
              <w:suppressAutoHyphens w:val="0"/>
              <w:spacing w:before="0" w:after="0"/>
              <w:jc w:val="right"/>
              <w:rPr>
                <w:rFonts w:ascii="Calibri" w:eastAsia="Times New Roman" w:hAnsi="Calibri" w:cs="Calibri"/>
                <w:i/>
                <w:iCs/>
                <w:color w:val="auto"/>
                <w:sz w:val="18"/>
                <w:szCs w:val="18"/>
                <w:lang w:eastAsia="en-AU"/>
              </w:rPr>
            </w:pPr>
            <w:r w:rsidRPr="00624169">
              <w:rPr>
                <w:rFonts w:ascii="Calibri" w:eastAsia="Times New Roman" w:hAnsi="Calibri" w:cs="Calibri"/>
                <w:i/>
                <w:iCs/>
                <w:color w:val="auto"/>
                <w:sz w:val="18"/>
                <w:szCs w:val="18"/>
                <w:lang w:eastAsia="en-AU"/>
              </w:rPr>
              <w:t>nh</w:t>
            </w:r>
          </w:p>
        </w:tc>
        <w:tc>
          <w:tcPr>
            <w:tcW w:w="1016" w:type="dxa"/>
            <w:tcBorders>
              <w:top w:val="nil"/>
              <w:left w:val="nil"/>
              <w:bottom w:val="single" w:sz="8" w:space="0" w:color="008089"/>
              <w:right w:val="nil"/>
            </w:tcBorders>
            <w:shd w:val="clear" w:color="000000" w:fill="F2F2F2"/>
            <w:vAlign w:val="center"/>
            <w:hideMark/>
          </w:tcPr>
          <w:p w14:paraId="6E1F7A5E" w14:textId="77777777" w:rsidR="00401088" w:rsidRPr="00624169" w:rsidRDefault="00401088" w:rsidP="00401088">
            <w:pPr>
              <w:suppressAutoHyphens w:val="0"/>
              <w:spacing w:before="0" w:after="0"/>
              <w:jc w:val="right"/>
              <w:rPr>
                <w:rFonts w:ascii="Calibri" w:eastAsia="Times New Roman" w:hAnsi="Calibri" w:cs="Calibri"/>
                <w:i/>
                <w:iCs/>
                <w:color w:val="auto"/>
                <w:sz w:val="18"/>
                <w:szCs w:val="18"/>
                <w:lang w:eastAsia="en-AU"/>
              </w:rPr>
            </w:pPr>
            <w:r w:rsidRPr="00624169">
              <w:rPr>
                <w:rFonts w:ascii="Calibri" w:eastAsia="Times New Roman" w:hAnsi="Calibri" w:cs="Calibri"/>
                <w:i/>
                <w:iCs/>
                <w:color w:val="auto"/>
                <w:sz w:val="18"/>
                <w:szCs w:val="18"/>
                <w:lang w:eastAsia="en-AU"/>
              </w:rPr>
              <w:t>nh</w:t>
            </w:r>
          </w:p>
        </w:tc>
        <w:tc>
          <w:tcPr>
            <w:tcW w:w="1015" w:type="dxa"/>
            <w:tcBorders>
              <w:top w:val="nil"/>
              <w:left w:val="nil"/>
              <w:bottom w:val="single" w:sz="8" w:space="0" w:color="008089"/>
              <w:right w:val="nil"/>
            </w:tcBorders>
            <w:shd w:val="clear" w:color="000000" w:fill="F2F2F2"/>
            <w:vAlign w:val="center"/>
            <w:hideMark/>
          </w:tcPr>
          <w:p w14:paraId="48A66979" w14:textId="77777777" w:rsidR="00401088" w:rsidRPr="00624169" w:rsidRDefault="00401088" w:rsidP="00401088">
            <w:pPr>
              <w:suppressAutoHyphens w:val="0"/>
              <w:spacing w:before="0" w:after="0"/>
              <w:jc w:val="right"/>
              <w:rPr>
                <w:rFonts w:ascii="Calibri" w:eastAsia="Times New Roman" w:hAnsi="Calibri" w:cs="Calibri"/>
                <w:i/>
                <w:iCs/>
                <w:color w:val="auto"/>
                <w:sz w:val="18"/>
                <w:szCs w:val="18"/>
                <w:lang w:eastAsia="en-AU"/>
              </w:rPr>
            </w:pPr>
            <w:r w:rsidRPr="00624169">
              <w:rPr>
                <w:rFonts w:ascii="Calibri" w:eastAsia="Times New Roman" w:hAnsi="Calibri" w:cs="Calibri"/>
                <w:i/>
                <w:iCs/>
                <w:color w:val="auto"/>
                <w:sz w:val="18"/>
                <w:szCs w:val="18"/>
                <w:lang w:eastAsia="en-AU"/>
              </w:rPr>
              <w:t>nh</w:t>
            </w:r>
          </w:p>
        </w:tc>
        <w:tc>
          <w:tcPr>
            <w:tcW w:w="1016" w:type="dxa"/>
            <w:tcBorders>
              <w:top w:val="nil"/>
              <w:left w:val="nil"/>
              <w:bottom w:val="single" w:sz="8" w:space="0" w:color="008089"/>
              <w:right w:val="single" w:sz="8" w:space="0" w:color="008089"/>
            </w:tcBorders>
            <w:shd w:val="clear" w:color="000000" w:fill="F2F2F2"/>
            <w:vAlign w:val="center"/>
            <w:hideMark/>
          </w:tcPr>
          <w:p w14:paraId="33293494" w14:textId="77777777" w:rsidR="00401088" w:rsidRPr="00624169" w:rsidRDefault="00401088" w:rsidP="00401088">
            <w:pPr>
              <w:suppressAutoHyphens w:val="0"/>
              <w:spacing w:before="0" w:after="0"/>
              <w:jc w:val="right"/>
              <w:rPr>
                <w:rFonts w:ascii="Calibri" w:eastAsia="Times New Roman" w:hAnsi="Calibri" w:cs="Calibri"/>
                <w:i/>
                <w:iCs/>
                <w:color w:val="auto"/>
                <w:sz w:val="18"/>
                <w:szCs w:val="18"/>
                <w:lang w:eastAsia="en-AU"/>
              </w:rPr>
            </w:pPr>
            <w:r w:rsidRPr="00624169">
              <w:rPr>
                <w:rFonts w:ascii="Calibri" w:eastAsia="Times New Roman" w:hAnsi="Calibri" w:cs="Calibri"/>
                <w:i/>
                <w:iCs/>
                <w:color w:val="auto"/>
                <w:sz w:val="18"/>
                <w:szCs w:val="18"/>
                <w:lang w:eastAsia="en-AU"/>
              </w:rPr>
              <w:t>enc</w:t>
            </w:r>
          </w:p>
        </w:tc>
      </w:tr>
      <w:tr w:rsidR="00624169" w:rsidRPr="00401088" w14:paraId="5DF44155" w14:textId="77777777" w:rsidTr="00624169">
        <w:trPr>
          <w:trHeight w:val="290"/>
          <w:jc w:val="center"/>
        </w:trPr>
        <w:tc>
          <w:tcPr>
            <w:tcW w:w="1502" w:type="dxa"/>
            <w:vMerge w:val="restart"/>
            <w:tcBorders>
              <w:top w:val="single" w:sz="8" w:space="0" w:color="008089"/>
              <w:left w:val="single" w:sz="8" w:space="0" w:color="008089"/>
              <w:bottom w:val="nil"/>
              <w:right w:val="nil"/>
            </w:tcBorders>
            <w:shd w:val="clear" w:color="000000" w:fill="F2F2F2"/>
            <w:vAlign w:val="center"/>
            <w:hideMark/>
          </w:tcPr>
          <w:p w14:paraId="0B271C2F" w14:textId="77777777" w:rsidR="00401088" w:rsidRPr="00DB204C" w:rsidRDefault="00401088" w:rsidP="00401088">
            <w:pPr>
              <w:suppressAutoHyphens w:val="0"/>
              <w:spacing w:before="0" w:after="0"/>
              <w:jc w:val="center"/>
              <w:rPr>
                <w:rFonts w:ascii="Calibri" w:eastAsia="Times New Roman" w:hAnsi="Calibri" w:cs="Calibri"/>
                <w:b/>
                <w:bCs/>
                <w:color w:val="000000"/>
                <w:sz w:val="18"/>
                <w:szCs w:val="18"/>
                <w:lang w:eastAsia="en-AU"/>
              </w:rPr>
            </w:pPr>
            <w:r w:rsidRPr="00DB204C">
              <w:rPr>
                <w:rFonts w:ascii="Calibri" w:eastAsia="Times New Roman" w:hAnsi="Calibri" w:cs="Calibri"/>
                <w:b/>
                <w:bCs/>
                <w:color w:val="000000"/>
                <w:sz w:val="18"/>
                <w:szCs w:val="18"/>
                <w:lang w:eastAsia="en-AU"/>
              </w:rPr>
              <w:t>Australian A-League</w:t>
            </w:r>
          </w:p>
        </w:tc>
        <w:tc>
          <w:tcPr>
            <w:tcW w:w="3308" w:type="dxa"/>
            <w:tcBorders>
              <w:top w:val="nil"/>
              <w:left w:val="nil"/>
              <w:bottom w:val="single" w:sz="4" w:space="0" w:color="008089"/>
              <w:right w:val="nil"/>
            </w:tcBorders>
            <w:shd w:val="clear" w:color="000000" w:fill="F2F2F2"/>
            <w:vAlign w:val="center"/>
            <w:hideMark/>
          </w:tcPr>
          <w:p w14:paraId="7670F51D" w14:textId="77777777" w:rsidR="00401088" w:rsidRPr="00DB204C" w:rsidRDefault="00401088" w:rsidP="00401088">
            <w:pPr>
              <w:suppressAutoHyphens w:val="0"/>
              <w:spacing w:before="0" w:after="0"/>
              <w:rPr>
                <w:rFonts w:ascii="Calibri" w:eastAsia="Times New Roman" w:hAnsi="Calibri" w:cs="Calibri"/>
                <w:color w:val="000000"/>
                <w:sz w:val="18"/>
                <w:szCs w:val="18"/>
                <w:lang w:eastAsia="en-AU"/>
              </w:rPr>
            </w:pPr>
            <w:r w:rsidRPr="00DB204C">
              <w:rPr>
                <w:rFonts w:ascii="Calibri" w:eastAsia="Times New Roman" w:hAnsi="Calibri" w:cs="Calibri"/>
                <w:color w:val="000000"/>
                <w:sz w:val="18"/>
                <w:szCs w:val="18"/>
                <w:lang w:eastAsia="en-AU"/>
              </w:rPr>
              <w:t>Men's A-League Matches</w:t>
            </w:r>
          </w:p>
        </w:tc>
        <w:tc>
          <w:tcPr>
            <w:tcW w:w="1843" w:type="dxa"/>
            <w:tcBorders>
              <w:top w:val="single" w:sz="8" w:space="0" w:color="008089"/>
              <w:left w:val="nil"/>
              <w:bottom w:val="single" w:sz="4" w:space="0" w:color="008089"/>
              <w:right w:val="nil"/>
            </w:tcBorders>
            <w:shd w:val="clear" w:color="000000" w:fill="F2F2F2"/>
            <w:vAlign w:val="center"/>
            <w:hideMark/>
          </w:tcPr>
          <w:p w14:paraId="667842A8" w14:textId="77777777" w:rsidR="00401088" w:rsidRPr="00F85D80" w:rsidRDefault="00401088" w:rsidP="00401088">
            <w:pPr>
              <w:suppressAutoHyphens w:val="0"/>
              <w:spacing w:before="0" w:after="0"/>
              <w:rPr>
                <w:rFonts w:ascii="Calibri" w:eastAsia="Times New Roman" w:hAnsi="Calibri" w:cs="Calibri"/>
                <w:color w:val="auto"/>
                <w:sz w:val="16"/>
                <w:szCs w:val="16"/>
                <w:lang w:eastAsia="en-AU"/>
              </w:rPr>
            </w:pPr>
            <w:r w:rsidRPr="00F85D80">
              <w:rPr>
                <w:rFonts w:ascii="Calibri" w:eastAsia="Times New Roman" w:hAnsi="Calibri" w:cs="Calibri"/>
                <w:color w:val="auto"/>
                <w:sz w:val="16"/>
                <w:szCs w:val="16"/>
                <w:lang w:eastAsia="en-AU"/>
              </w:rPr>
              <w:t>All matches average</w:t>
            </w:r>
          </w:p>
        </w:tc>
        <w:tc>
          <w:tcPr>
            <w:tcW w:w="1015" w:type="dxa"/>
            <w:tcBorders>
              <w:top w:val="single" w:sz="4" w:space="0" w:color="008089"/>
              <w:left w:val="nil"/>
              <w:bottom w:val="single" w:sz="4" w:space="0" w:color="008089"/>
              <w:right w:val="nil"/>
            </w:tcBorders>
            <w:shd w:val="clear" w:color="000000" w:fill="F2F2F2"/>
            <w:vAlign w:val="center"/>
            <w:hideMark/>
          </w:tcPr>
          <w:p w14:paraId="2EA2213E" w14:textId="77777777" w:rsidR="00401088" w:rsidRPr="00624169" w:rsidRDefault="00401088" w:rsidP="00401088">
            <w:pPr>
              <w:suppressAutoHyphens w:val="0"/>
              <w:spacing w:before="0" w:after="0"/>
              <w:jc w:val="right"/>
              <w:rPr>
                <w:rFonts w:ascii="Calibri" w:eastAsia="Times New Roman" w:hAnsi="Calibri" w:cs="Calibri"/>
                <w:i/>
                <w:iCs/>
                <w:color w:val="auto"/>
                <w:sz w:val="18"/>
                <w:szCs w:val="18"/>
                <w:lang w:eastAsia="en-AU"/>
              </w:rPr>
            </w:pPr>
            <w:r w:rsidRPr="00624169">
              <w:rPr>
                <w:rFonts w:ascii="Calibri" w:eastAsia="Times New Roman" w:hAnsi="Calibri" w:cs="Calibri"/>
                <w:i/>
                <w:iCs/>
                <w:color w:val="auto"/>
                <w:sz w:val="18"/>
                <w:szCs w:val="18"/>
                <w:lang w:eastAsia="en-AU"/>
              </w:rPr>
              <w:t>nda</w:t>
            </w:r>
          </w:p>
        </w:tc>
        <w:tc>
          <w:tcPr>
            <w:tcW w:w="1015" w:type="dxa"/>
            <w:tcBorders>
              <w:top w:val="single" w:sz="4" w:space="0" w:color="008089"/>
              <w:left w:val="nil"/>
              <w:bottom w:val="single" w:sz="4" w:space="0" w:color="008089"/>
              <w:right w:val="nil"/>
            </w:tcBorders>
            <w:shd w:val="clear" w:color="000000" w:fill="F2F2F2"/>
            <w:vAlign w:val="center"/>
            <w:hideMark/>
          </w:tcPr>
          <w:p w14:paraId="1CE204D1" w14:textId="77777777" w:rsidR="00401088" w:rsidRPr="00624169" w:rsidRDefault="00401088" w:rsidP="00401088">
            <w:pPr>
              <w:suppressAutoHyphens w:val="0"/>
              <w:spacing w:before="0" w:after="0"/>
              <w:jc w:val="right"/>
              <w:rPr>
                <w:rFonts w:ascii="Calibri" w:eastAsia="Times New Roman" w:hAnsi="Calibri" w:cs="Calibri"/>
                <w:i/>
                <w:iCs/>
                <w:color w:val="auto"/>
                <w:sz w:val="18"/>
                <w:szCs w:val="18"/>
                <w:lang w:eastAsia="en-AU"/>
              </w:rPr>
            </w:pPr>
            <w:r w:rsidRPr="00624169">
              <w:rPr>
                <w:rFonts w:ascii="Calibri" w:eastAsia="Times New Roman" w:hAnsi="Calibri" w:cs="Calibri"/>
                <w:i/>
                <w:iCs/>
                <w:color w:val="auto"/>
                <w:sz w:val="18"/>
                <w:szCs w:val="18"/>
                <w:lang w:eastAsia="en-AU"/>
              </w:rPr>
              <w:t>nda</w:t>
            </w:r>
          </w:p>
        </w:tc>
        <w:tc>
          <w:tcPr>
            <w:tcW w:w="1016" w:type="dxa"/>
            <w:tcBorders>
              <w:top w:val="single" w:sz="4" w:space="0" w:color="008089"/>
              <w:left w:val="nil"/>
              <w:bottom w:val="single" w:sz="4" w:space="0" w:color="008089"/>
              <w:right w:val="nil"/>
            </w:tcBorders>
            <w:shd w:val="clear" w:color="000000" w:fill="F2F2F2"/>
            <w:vAlign w:val="center"/>
            <w:hideMark/>
          </w:tcPr>
          <w:p w14:paraId="25DF8FBB" w14:textId="77777777" w:rsidR="00401088" w:rsidRPr="00624169" w:rsidRDefault="00401088" w:rsidP="00401088">
            <w:pPr>
              <w:suppressAutoHyphens w:val="0"/>
              <w:spacing w:before="0" w:after="0"/>
              <w:jc w:val="right"/>
              <w:rPr>
                <w:rFonts w:ascii="Calibri" w:eastAsia="Times New Roman" w:hAnsi="Calibri" w:cs="Calibri"/>
                <w:i/>
                <w:iCs/>
                <w:color w:val="auto"/>
                <w:sz w:val="18"/>
                <w:szCs w:val="18"/>
                <w:lang w:eastAsia="en-AU"/>
              </w:rPr>
            </w:pPr>
            <w:r w:rsidRPr="00624169">
              <w:rPr>
                <w:rFonts w:ascii="Calibri" w:eastAsia="Times New Roman" w:hAnsi="Calibri" w:cs="Calibri"/>
                <w:i/>
                <w:iCs/>
                <w:color w:val="auto"/>
                <w:sz w:val="18"/>
                <w:szCs w:val="18"/>
                <w:lang w:eastAsia="en-AU"/>
              </w:rPr>
              <w:t>nda</w:t>
            </w:r>
          </w:p>
        </w:tc>
        <w:tc>
          <w:tcPr>
            <w:tcW w:w="1015" w:type="dxa"/>
            <w:tcBorders>
              <w:top w:val="nil"/>
              <w:left w:val="nil"/>
              <w:bottom w:val="single" w:sz="4" w:space="0" w:color="008089"/>
              <w:right w:val="nil"/>
            </w:tcBorders>
            <w:shd w:val="clear" w:color="000000" w:fill="F2F2F2"/>
            <w:vAlign w:val="center"/>
            <w:hideMark/>
          </w:tcPr>
          <w:p w14:paraId="0C99CF8E"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51,000</w:t>
            </w:r>
          </w:p>
        </w:tc>
        <w:tc>
          <w:tcPr>
            <w:tcW w:w="1015" w:type="dxa"/>
            <w:tcBorders>
              <w:top w:val="nil"/>
              <w:left w:val="nil"/>
              <w:bottom w:val="single" w:sz="4" w:space="0" w:color="008089"/>
              <w:right w:val="nil"/>
            </w:tcBorders>
            <w:shd w:val="clear" w:color="000000" w:fill="F2F2F2"/>
            <w:vAlign w:val="center"/>
            <w:hideMark/>
          </w:tcPr>
          <w:p w14:paraId="03BC2D2B"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51,000</w:t>
            </w:r>
          </w:p>
        </w:tc>
        <w:tc>
          <w:tcPr>
            <w:tcW w:w="1016" w:type="dxa"/>
            <w:tcBorders>
              <w:top w:val="nil"/>
              <w:left w:val="nil"/>
              <w:bottom w:val="single" w:sz="4" w:space="0" w:color="008089"/>
              <w:right w:val="nil"/>
            </w:tcBorders>
            <w:shd w:val="clear" w:color="000000" w:fill="F2F2F2"/>
            <w:vAlign w:val="center"/>
            <w:hideMark/>
          </w:tcPr>
          <w:p w14:paraId="651D6F09"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51,000</w:t>
            </w:r>
          </w:p>
        </w:tc>
        <w:tc>
          <w:tcPr>
            <w:tcW w:w="1015" w:type="dxa"/>
            <w:tcBorders>
              <w:top w:val="nil"/>
              <w:left w:val="nil"/>
              <w:bottom w:val="single" w:sz="4" w:space="0" w:color="008089"/>
              <w:right w:val="nil"/>
            </w:tcBorders>
            <w:shd w:val="clear" w:color="000000" w:fill="F2F2F2"/>
            <w:vAlign w:val="center"/>
            <w:hideMark/>
          </w:tcPr>
          <w:p w14:paraId="353990C0"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42,000</w:t>
            </w:r>
          </w:p>
        </w:tc>
        <w:tc>
          <w:tcPr>
            <w:tcW w:w="1016" w:type="dxa"/>
            <w:tcBorders>
              <w:top w:val="nil"/>
              <w:left w:val="nil"/>
              <w:bottom w:val="single" w:sz="4" w:space="0" w:color="008089"/>
              <w:right w:val="single" w:sz="8" w:space="0" w:color="008089"/>
            </w:tcBorders>
            <w:shd w:val="clear" w:color="000000" w:fill="F2F2F2"/>
            <w:vAlign w:val="center"/>
            <w:hideMark/>
          </w:tcPr>
          <w:p w14:paraId="7C72DF7A"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60,000</w:t>
            </w:r>
          </w:p>
        </w:tc>
      </w:tr>
      <w:tr w:rsidR="00624169" w:rsidRPr="00401088" w14:paraId="3CA107DB" w14:textId="77777777" w:rsidTr="00624169">
        <w:trPr>
          <w:trHeight w:val="290"/>
          <w:jc w:val="center"/>
        </w:trPr>
        <w:tc>
          <w:tcPr>
            <w:tcW w:w="1502" w:type="dxa"/>
            <w:vMerge/>
            <w:tcBorders>
              <w:top w:val="single" w:sz="8" w:space="0" w:color="008089"/>
              <w:left w:val="single" w:sz="8" w:space="0" w:color="008089"/>
              <w:bottom w:val="nil"/>
              <w:right w:val="nil"/>
            </w:tcBorders>
            <w:vAlign w:val="center"/>
            <w:hideMark/>
          </w:tcPr>
          <w:p w14:paraId="7E7B3703" w14:textId="77777777" w:rsidR="00401088" w:rsidRPr="00DB204C" w:rsidRDefault="00401088" w:rsidP="00401088">
            <w:pPr>
              <w:suppressAutoHyphens w:val="0"/>
              <w:spacing w:before="0" w:after="0"/>
              <w:rPr>
                <w:rFonts w:ascii="Calibri" w:eastAsia="Times New Roman" w:hAnsi="Calibri" w:cs="Calibri"/>
                <w:b/>
                <w:bCs/>
                <w:color w:val="000000"/>
                <w:sz w:val="18"/>
                <w:szCs w:val="18"/>
                <w:lang w:eastAsia="en-AU"/>
              </w:rPr>
            </w:pPr>
          </w:p>
        </w:tc>
        <w:tc>
          <w:tcPr>
            <w:tcW w:w="3308" w:type="dxa"/>
            <w:tcBorders>
              <w:top w:val="nil"/>
              <w:left w:val="nil"/>
              <w:bottom w:val="single" w:sz="4" w:space="0" w:color="008089"/>
              <w:right w:val="nil"/>
            </w:tcBorders>
            <w:shd w:val="clear" w:color="000000" w:fill="F2F2F2"/>
            <w:vAlign w:val="center"/>
            <w:hideMark/>
          </w:tcPr>
          <w:p w14:paraId="57FA65D3" w14:textId="77777777" w:rsidR="00401088" w:rsidRPr="00DB204C" w:rsidRDefault="00401088" w:rsidP="00401088">
            <w:pPr>
              <w:suppressAutoHyphens w:val="0"/>
              <w:spacing w:before="0" w:after="0"/>
              <w:rPr>
                <w:rFonts w:ascii="Calibri" w:eastAsia="Times New Roman" w:hAnsi="Calibri" w:cs="Calibri"/>
                <w:color w:val="000000"/>
                <w:sz w:val="18"/>
                <w:szCs w:val="18"/>
                <w:lang w:eastAsia="en-AU"/>
              </w:rPr>
            </w:pPr>
            <w:r w:rsidRPr="00DB204C">
              <w:rPr>
                <w:rFonts w:ascii="Calibri" w:eastAsia="Times New Roman" w:hAnsi="Calibri" w:cs="Calibri"/>
                <w:color w:val="000000"/>
                <w:sz w:val="18"/>
                <w:szCs w:val="18"/>
                <w:lang w:eastAsia="en-AU"/>
              </w:rPr>
              <w:t>Men's A-League Grand Final</w:t>
            </w:r>
          </w:p>
        </w:tc>
        <w:tc>
          <w:tcPr>
            <w:tcW w:w="1843" w:type="dxa"/>
            <w:tcBorders>
              <w:top w:val="nil"/>
              <w:left w:val="nil"/>
              <w:bottom w:val="single" w:sz="4" w:space="0" w:color="008089"/>
              <w:right w:val="nil"/>
            </w:tcBorders>
            <w:shd w:val="clear" w:color="000000" w:fill="F2F2F2"/>
            <w:vAlign w:val="center"/>
            <w:hideMark/>
          </w:tcPr>
          <w:p w14:paraId="3C2133AF" w14:textId="77777777" w:rsidR="00401088" w:rsidRPr="00F85D80" w:rsidRDefault="00401088" w:rsidP="00401088">
            <w:pPr>
              <w:suppressAutoHyphens w:val="0"/>
              <w:spacing w:before="0" w:after="0"/>
              <w:rPr>
                <w:rFonts w:ascii="Calibri" w:eastAsia="Times New Roman" w:hAnsi="Calibri" w:cs="Calibri"/>
                <w:color w:val="auto"/>
                <w:sz w:val="16"/>
                <w:szCs w:val="16"/>
                <w:lang w:eastAsia="en-AU"/>
              </w:rPr>
            </w:pPr>
            <w:r w:rsidRPr="00F85D80">
              <w:rPr>
                <w:rFonts w:ascii="Calibri" w:eastAsia="Times New Roman" w:hAnsi="Calibri" w:cs="Calibri"/>
                <w:color w:val="auto"/>
                <w:sz w:val="16"/>
                <w:szCs w:val="16"/>
                <w:lang w:eastAsia="en-AU"/>
              </w:rPr>
              <w:t>Single match</w:t>
            </w:r>
          </w:p>
        </w:tc>
        <w:tc>
          <w:tcPr>
            <w:tcW w:w="1015" w:type="dxa"/>
            <w:tcBorders>
              <w:top w:val="nil"/>
              <w:left w:val="nil"/>
              <w:bottom w:val="single" w:sz="4" w:space="0" w:color="008089"/>
              <w:right w:val="nil"/>
            </w:tcBorders>
            <w:shd w:val="clear" w:color="000000" w:fill="F2F2F2"/>
            <w:vAlign w:val="center"/>
            <w:hideMark/>
          </w:tcPr>
          <w:p w14:paraId="60C886DB" w14:textId="77777777" w:rsidR="00401088" w:rsidRPr="00624169" w:rsidRDefault="00401088" w:rsidP="00401088">
            <w:pPr>
              <w:suppressAutoHyphens w:val="0"/>
              <w:spacing w:before="0" w:after="0"/>
              <w:jc w:val="right"/>
              <w:rPr>
                <w:rFonts w:ascii="Calibri" w:eastAsia="Times New Roman" w:hAnsi="Calibri" w:cs="Calibri"/>
                <w:i/>
                <w:iCs/>
                <w:color w:val="auto"/>
                <w:sz w:val="18"/>
                <w:szCs w:val="18"/>
                <w:lang w:eastAsia="en-AU"/>
              </w:rPr>
            </w:pPr>
            <w:r w:rsidRPr="00624169">
              <w:rPr>
                <w:rFonts w:ascii="Calibri" w:eastAsia="Times New Roman" w:hAnsi="Calibri" w:cs="Calibri"/>
                <w:i/>
                <w:iCs/>
                <w:color w:val="auto"/>
                <w:sz w:val="18"/>
                <w:szCs w:val="18"/>
                <w:lang w:eastAsia="en-AU"/>
              </w:rPr>
              <w:t>nda</w:t>
            </w:r>
          </w:p>
        </w:tc>
        <w:tc>
          <w:tcPr>
            <w:tcW w:w="1015" w:type="dxa"/>
            <w:tcBorders>
              <w:top w:val="nil"/>
              <w:left w:val="nil"/>
              <w:bottom w:val="single" w:sz="4" w:space="0" w:color="008089"/>
              <w:right w:val="nil"/>
            </w:tcBorders>
            <w:shd w:val="clear" w:color="000000" w:fill="F2F2F2"/>
            <w:vAlign w:val="center"/>
            <w:hideMark/>
          </w:tcPr>
          <w:p w14:paraId="07EA67F0" w14:textId="77777777" w:rsidR="00401088" w:rsidRPr="00624169" w:rsidRDefault="00401088" w:rsidP="00401088">
            <w:pPr>
              <w:suppressAutoHyphens w:val="0"/>
              <w:spacing w:before="0" w:after="0"/>
              <w:jc w:val="right"/>
              <w:rPr>
                <w:rFonts w:ascii="Calibri" w:eastAsia="Times New Roman" w:hAnsi="Calibri" w:cs="Calibri"/>
                <w:i/>
                <w:iCs/>
                <w:color w:val="auto"/>
                <w:sz w:val="18"/>
                <w:szCs w:val="18"/>
                <w:lang w:eastAsia="en-AU"/>
              </w:rPr>
            </w:pPr>
            <w:r w:rsidRPr="00624169">
              <w:rPr>
                <w:rFonts w:ascii="Calibri" w:eastAsia="Times New Roman" w:hAnsi="Calibri" w:cs="Calibri"/>
                <w:i/>
                <w:iCs/>
                <w:color w:val="auto"/>
                <w:sz w:val="18"/>
                <w:szCs w:val="18"/>
                <w:lang w:eastAsia="en-AU"/>
              </w:rPr>
              <w:t>nda</w:t>
            </w:r>
          </w:p>
        </w:tc>
        <w:tc>
          <w:tcPr>
            <w:tcW w:w="1016" w:type="dxa"/>
            <w:tcBorders>
              <w:top w:val="nil"/>
              <w:left w:val="nil"/>
              <w:bottom w:val="single" w:sz="4" w:space="0" w:color="008089"/>
              <w:right w:val="nil"/>
            </w:tcBorders>
            <w:shd w:val="clear" w:color="000000" w:fill="F2F2F2"/>
            <w:vAlign w:val="center"/>
            <w:hideMark/>
          </w:tcPr>
          <w:p w14:paraId="46A216A3" w14:textId="77777777" w:rsidR="00401088" w:rsidRPr="00624169" w:rsidRDefault="00401088" w:rsidP="00401088">
            <w:pPr>
              <w:suppressAutoHyphens w:val="0"/>
              <w:spacing w:before="0" w:after="0"/>
              <w:jc w:val="right"/>
              <w:rPr>
                <w:rFonts w:ascii="Calibri" w:eastAsia="Times New Roman" w:hAnsi="Calibri" w:cs="Calibri"/>
                <w:i/>
                <w:iCs/>
                <w:color w:val="auto"/>
                <w:sz w:val="18"/>
                <w:szCs w:val="18"/>
                <w:lang w:eastAsia="en-AU"/>
              </w:rPr>
            </w:pPr>
            <w:r w:rsidRPr="00624169">
              <w:rPr>
                <w:rFonts w:ascii="Calibri" w:eastAsia="Times New Roman" w:hAnsi="Calibri" w:cs="Calibri"/>
                <w:i/>
                <w:iCs/>
                <w:color w:val="auto"/>
                <w:sz w:val="18"/>
                <w:szCs w:val="18"/>
                <w:lang w:eastAsia="en-AU"/>
              </w:rPr>
              <w:t>nda</w:t>
            </w:r>
          </w:p>
        </w:tc>
        <w:tc>
          <w:tcPr>
            <w:tcW w:w="1015" w:type="dxa"/>
            <w:tcBorders>
              <w:top w:val="nil"/>
              <w:left w:val="nil"/>
              <w:bottom w:val="single" w:sz="4" w:space="0" w:color="008089"/>
              <w:right w:val="nil"/>
            </w:tcBorders>
            <w:shd w:val="clear" w:color="000000" w:fill="F2F2F2"/>
            <w:vAlign w:val="center"/>
            <w:hideMark/>
          </w:tcPr>
          <w:p w14:paraId="534B4ABF"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193,000</w:t>
            </w:r>
          </w:p>
        </w:tc>
        <w:tc>
          <w:tcPr>
            <w:tcW w:w="1015" w:type="dxa"/>
            <w:tcBorders>
              <w:top w:val="nil"/>
              <w:left w:val="nil"/>
              <w:bottom w:val="single" w:sz="4" w:space="0" w:color="008089"/>
              <w:right w:val="nil"/>
            </w:tcBorders>
            <w:shd w:val="clear" w:color="000000" w:fill="F2F2F2"/>
            <w:vAlign w:val="center"/>
            <w:hideMark/>
          </w:tcPr>
          <w:p w14:paraId="0A7F71EF"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215,000</w:t>
            </w:r>
          </w:p>
        </w:tc>
        <w:tc>
          <w:tcPr>
            <w:tcW w:w="1016" w:type="dxa"/>
            <w:tcBorders>
              <w:top w:val="nil"/>
              <w:left w:val="nil"/>
              <w:bottom w:val="single" w:sz="4" w:space="0" w:color="008089"/>
              <w:right w:val="nil"/>
            </w:tcBorders>
            <w:shd w:val="clear" w:color="000000" w:fill="F2F2F2"/>
            <w:vAlign w:val="center"/>
            <w:hideMark/>
          </w:tcPr>
          <w:p w14:paraId="56428A8E"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23,000</w:t>
            </w:r>
          </w:p>
        </w:tc>
        <w:tc>
          <w:tcPr>
            <w:tcW w:w="1015" w:type="dxa"/>
            <w:tcBorders>
              <w:top w:val="nil"/>
              <w:left w:val="nil"/>
              <w:bottom w:val="single" w:sz="4" w:space="0" w:color="008089"/>
              <w:right w:val="nil"/>
            </w:tcBorders>
            <w:shd w:val="clear" w:color="000000" w:fill="F2F2F2"/>
            <w:vAlign w:val="center"/>
            <w:hideMark/>
          </w:tcPr>
          <w:p w14:paraId="51CA5448"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18,000</w:t>
            </w:r>
          </w:p>
        </w:tc>
        <w:tc>
          <w:tcPr>
            <w:tcW w:w="1016" w:type="dxa"/>
            <w:tcBorders>
              <w:top w:val="nil"/>
              <w:left w:val="nil"/>
              <w:bottom w:val="single" w:sz="4" w:space="0" w:color="008089"/>
              <w:right w:val="single" w:sz="8" w:space="0" w:color="008089"/>
            </w:tcBorders>
            <w:shd w:val="clear" w:color="000000" w:fill="F2F2F2"/>
            <w:vAlign w:val="center"/>
            <w:hideMark/>
          </w:tcPr>
          <w:p w14:paraId="5A10412B"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120,000</w:t>
            </w:r>
          </w:p>
        </w:tc>
      </w:tr>
      <w:tr w:rsidR="00624169" w:rsidRPr="00401088" w14:paraId="54A94F15" w14:textId="77777777" w:rsidTr="00624169">
        <w:trPr>
          <w:trHeight w:val="290"/>
          <w:jc w:val="center"/>
        </w:trPr>
        <w:tc>
          <w:tcPr>
            <w:tcW w:w="1502" w:type="dxa"/>
            <w:vMerge/>
            <w:tcBorders>
              <w:top w:val="single" w:sz="8" w:space="0" w:color="008089"/>
              <w:left w:val="single" w:sz="8" w:space="0" w:color="008089"/>
              <w:bottom w:val="nil"/>
              <w:right w:val="nil"/>
            </w:tcBorders>
            <w:vAlign w:val="center"/>
            <w:hideMark/>
          </w:tcPr>
          <w:p w14:paraId="08B7325B" w14:textId="77777777" w:rsidR="00401088" w:rsidRPr="00DB204C" w:rsidRDefault="00401088" w:rsidP="00401088">
            <w:pPr>
              <w:suppressAutoHyphens w:val="0"/>
              <w:spacing w:before="0" w:after="0"/>
              <w:rPr>
                <w:rFonts w:ascii="Calibri" w:eastAsia="Times New Roman" w:hAnsi="Calibri" w:cs="Calibri"/>
                <w:b/>
                <w:bCs/>
                <w:color w:val="000000"/>
                <w:sz w:val="18"/>
                <w:szCs w:val="18"/>
                <w:lang w:eastAsia="en-AU"/>
              </w:rPr>
            </w:pPr>
          </w:p>
        </w:tc>
        <w:tc>
          <w:tcPr>
            <w:tcW w:w="3308" w:type="dxa"/>
            <w:tcBorders>
              <w:top w:val="nil"/>
              <w:left w:val="nil"/>
              <w:bottom w:val="nil"/>
              <w:right w:val="nil"/>
            </w:tcBorders>
            <w:shd w:val="clear" w:color="000000" w:fill="F2F2F2"/>
            <w:vAlign w:val="center"/>
            <w:hideMark/>
          </w:tcPr>
          <w:p w14:paraId="77137FB5" w14:textId="77777777" w:rsidR="00401088" w:rsidRPr="00DB204C" w:rsidRDefault="00401088" w:rsidP="00401088">
            <w:pPr>
              <w:suppressAutoHyphens w:val="0"/>
              <w:spacing w:before="0" w:after="0"/>
              <w:rPr>
                <w:rFonts w:ascii="Calibri" w:eastAsia="Times New Roman" w:hAnsi="Calibri" w:cs="Calibri"/>
                <w:color w:val="000000"/>
                <w:sz w:val="18"/>
                <w:szCs w:val="18"/>
                <w:lang w:eastAsia="en-AU"/>
              </w:rPr>
            </w:pPr>
            <w:r w:rsidRPr="00DB204C">
              <w:rPr>
                <w:rFonts w:ascii="Calibri" w:eastAsia="Times New Roman" w:hAnsi="Calibri" w:cs="Calibri"/>
                <w:color w:val="000000"/>
                <w:sz w:val="18"/>
                <w:szCs w:val="18"/>
                <w:lang w:eastAsia="en-AU"/>
              </w:rPr>
              <w:t>Women's A-League Matches</w:t>
            </w:r>
          </w:p>
        </w:tc>
        <w:tc>
          <w:tcPr>
            <w:tcW w:w="1843" w:type="dxa"/>
            <w:tcBorders>
              <w:top w:val="nil"/>
              <w:left w:val="nil"/>
              <w:bottom w:val="nil"/>
              <w:right w:val="nil"/>
            </w:tcBorders>
            <w:shd w:val="clear" w:color="000000" w:fill="F2F2F2"/>
            <w:vAlign w:val="center"/>
            <w:hideMark/>
          </w:tcPr>
          <w:p w14:paraId="42173ADD" w14:textId="77777777" w:rsidR="00401088" w:rsidRPr="00F85D80" w:rsidRDefault="00401088" w:rsidP="00401088">
            <w:pPr>
              <w:suppressAutoHyphens w:val="0"/>
              <w:spacing w:before="0" w:after="0"/>
              <w:rPr>
                <w:rFonts w:ascii="Calibri" w:eastAsia="Times New Roman" w:hAnsi="Calibri" w:cs="Calibri"/>
                <w:color w:val="auto"/>
                <w:sz w:val="16"/>
                <w:szCs w:val="16"/>
                <w:lang w:eastAsia="en-AU"/>
              </w:rPr>
            </w:pPr>
            <w:r w:rsidRPr="00F85D80">
              <w:rPr>
                <w:rFonts w:ascii="Calibri" w:eastAsia="Times New Roman" w:hAnsi="Calibri" w:cs="Calibri"/>
                <w:color w:val="auto"/>
                <w:sz w:val="16"/>
                <w:szCs w:val="16"/>
                <w:lang w:eastAsia="en-AU"/>
              </w:rPr>
              <w:t>All matches average</w:t>
            </w:r>
          </w:p>
        </w:tc>
        <w:tc>
          <w:tcPr>
            <w:tcW w:w="1015" w:type="dxa"/>
            <w:tcBorders>
              <w:top w:val="nil"/>
              <w:left w:val="nil"/>
              <w:bottom w:val="single" w:sz="4" w:space="0" w:color="008089"/>
              <w:right w:val="nil"/>
            </w:tcBorders>
            <w:shd w:val="clear" w:color="000000" w:fill="F2F2F2"/>
            <w:vAlign w:val="center"/>
            <w:hideMark/>
          </w:tcPr>
          <w:p w14:paraId="103A10B9" w14:textId="77777777" w:rsidR="00401088" w:rsidRPr="00624169" w:rsidRDefault="00401088" w:rsidP="00401088">
            <w:pPr>
              <w:suppressAutoHyphens w:val="0"/>
              <w:spacing w:before="0" w:after="0"/>
              <w:jc w:val="right"/>
              <w:rPr>
                <w:rFonts w:ascii="Calibri" w:eastAsia="Times New Roman" w:hAnsi="Calibri" w:cs="Calibri"/>
                <w:i/>
                <w:iCs/>
                <w:color w:val="auto"/>
                <w:sz w:val="18"/>
                <w:szCs w:val="18"/>
                <w:lang w:eastAsia="en-AU"/>
              </w:rPr>
            </w:pPr>
            <w:r w:rsidRPr="00624169">
              <w:rPr>
                <w:rFonts w:ascii="Calibri" w:eastAsia="Times New Roman" w:hAnsi="Calibri" w:cs="Calibri"/>
                <w:i/>
                <w:iCs/>
                <w:color w:val="auto"/>
                <w:sz w:val="18"/>
                <w:szCs w:val="18"/>
                <w:lang w:eastAsia="en-AU"/>
              </w:rPr>
              <w:t>nda</w:t>
            </w:r>
          </w:p>
        </w:tc>
        <w:tc>
          <w:tcPr>
            <w:tcW w:w="1015" w:type="dxa"/>
            <w:tcBorders>
              <w:top w:val="nil"/>
              <w:left w:val="nil"/>
              <w:bottom w:val="single" w:sz="4" w:space="0" w:color="008089"/>
              <w:right w:val="nil"/>
            </w:tcBorders>
            <w:shd w:val="clear" w:color="000000" w:fill="F2F2F2"/>
            <w:vAlign w:val="center"/>
            <w:hideMark/>
          </w:tcPr>
          <w:p w14:paraId="1EA033EB" w14:textId="77777777" w:rsidR="00401088" w:rsidRPr="00624169" w:rsidRDefault="00401088" w:rsidP="00401088">
            <w:pPr>
              <w:suppressAutoHyphens w:val="0"/>
              <w:spacing w:before="0" w:after="0"/>
              <w:jc w:val="right"/>
              <w:rPr>
                <w:rFonts w:ascii="Calibri" w:eastAsia="Times New Roman" w:hAnsi="Calibri" w:cs="Calibri"/>
                <w:i/>
                <w:iCs/>
                <w:color w:val="auto"/>
                <w:sz w:val="18"/>
                <w:szCs w:val="18"/>
                <w:lang w:eastAsia="en-AU"/>
              </w:rPr>
            </w:pPr>
            <w:r w:rsidRPr="00624169">
              <w:rPr>
                <w:rFonts w:ascii="Calibri" w:eastAsia="Times New Roman" w:hAnsi="Calibri" w:cs="Calibri"/>
                <w:i/>
                <w:iCs/>
                <w:color w:val="auto"/>
                <w:sz w:val="18"/>
                <w:szCs w:val="18"/>
                <w:lang w:eastAsia="en-AU"/>
              </w:rPr>
              <w:t>nda</w:t>
            </w:r>
          </w:p>
        </w:tc>
        <w:tc>
          <w:tcPr>
            <w:tcW w:w="1016" w:type="dxa"/>
            <w:tcBorders>
              <w:top w:val="nil"/>
              <w:left w:val="nil"/>
              <w:bottom w:val="single" w:sz="4" w:space="0" w:color="008089"/>
              <w:right w:val="nil"/>
            </w:tcBorders>
            <w:shd w:val="clear" w:color="000000" w:fill="F2F2F2"/>
            <w:vAlign w:val="center"/>
            <w:hideMark/>
          </w:tcPr>
          <w:p w14:paraId="02F48662" w14:textId="77777777" w:rsidR="00401088" w:rsidRPr="00624169" w:rsidRDefault="00401088" w:rsidP="00401088">
            <w:pPr>
              <w:suppressAutoHyphens w:val="0"/>
              <w:spacing w:before="0" w:after="0"/>
              <w:jc w:val="right"/>
              <w:rPr>
                <w:rFonts w:ascii="Calibri" w:eastAsia="Times New Roman" w:hAnsi="Calibri" w:cs="Calibri"/>
                <w:i/>
                <w:iCs/>
                <w:color w:val="auto"/>
                <w:sz w:val="18"/>
                <w:szCs w:val="18"/>
                <w:lang w:eastAsia="en-AU"/>
              </w:rPr>
            </w:pPr>
            <w:r w:rsidRPr="00624169">
              <w:rPr>
                <w:rFonts w:ascii="Calibri" w:eastAsia="Times New Roman" w:hAnsi="Calibri" w:cs="Calibri"/>
                <w:i/>
                <w:iCs/>
                <w:color w:val="auto"/>
                <w:sz w:val="18"/>
                <w:szCs w:val="18"/>
                <w:lang w:eastAsia="en-AU"/>
              </w:rPr>
              <w:t>nda</w:t>
            </w:r>
          </w:p>
        </w:tc>
        <w:tc>
          <w:tcPr>
            <w:tcW w:w="1015" w:type="dxa"/>
            <w:tcBorders>
              <w:top w:val="nil"/>
              <w:left w:val="nil"/>
              <w:bottom w:val="single" w:sz="4" w:space="0" w:color="008089"/>
              <w:right w:val="nil"/>
            </w:tcBorders>
            <w:shd w:val="clear" w:color="000000" w:fill="F2F2F2"/>
            <w:vAlign w:val="center"/>
            <w:hideMark/>
          </w:tcPr>
          <w:p w14:paraId="79D40011"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12,000</w:t>
            </w:r>
          </w:p>
        </w:tc>
        <w:tc>
          <w:tcPr>
            <w:tcW w:w="1015" w:type="dxa"/>
            <w:tcBorders>
              <w:top w:val="nil"/>
              <w:left w:val="nil"/>
              <w:bottom w:val="single" w:sz="4" w:space="0" w:color="008089"/>
              <w:right w:val="nil"/>
            </w:tcBorders>
            <w:shd w:val="clear" w:color="000000" w:fill="F2F2F2"/>
            <w:vAlign w:val="center"/>
            <w:hideMark/>
          </w:tcPr>
          <w:p w14:paraId="55137B4C"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11,000</w:t>
            </w:r>
          </w:p>
        </w:tc>
        <w:tc>
          <w:tcPr>
            <w:tcW w:w="1016" w:type="dxa"/>
            <w:tcBorders>
              <w:top w:val="nil"/>
              <w:left w:val="nil"/>
              <w:bottom w:val="single" w:sz="4" w:space="0" w:color="008089"/>
              <w:right w:val="nil"/>
            </w:tcBorders>
            <w:shd w:val="clear" w:color="000000" w:fill="F2F2F2"/>
            <w:vAlign w:val="center"/>
            <w:hideMark/>
          </w:tcPr>
          <w:p w14:paraId="676DEB66"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31,000</w:t>
            </w:r>
          </w:p>
        </w:tc>
        <w:tc>
          <w:tcPr>
            <w:tcW w:w="1015" w:type="dxa"/>
            <w:tcBorders>
              <w:top w:val="nil"/>
              <w:left w:val="nil"/>
              <w:bottom w:val="single" w:sz="4" w:space="0" w:color="008089"/>
              <w:right w:val="nil"/>
            </w:tcBorders>
            <w:shd w:val="clear" w:color="000000" w:fill="F2F2F2"/>
            <w:vAlign w:val="center"/>
            <w:hideMark/>
          </w:tcPr>
          <w:p w14:paraId="7EEC8B42"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27,000</w:t>
            </w:r>
          </w:p>
        </w:tc>
        <w:tc>
          <w:tcPr>
            <w:tcW w:w="1016" w:type="dxa"/>
            <w:tcBorders>
              <w:top w:val="nil"/>
              <w:left w:val="nil"/>
              <w:bottom w:val="single" w:sz="4" w:space="0" w:color="008089"/>
              <w:right w:val="single" w:sz="8" w:space="0" w:color="008089"/>
            </w:tcBorders>
            <w:shd w:val="clear" w:color="000000" w:fill="F2F2F2"/>
            <w:vAlign w:val="center"/>
            <w:hideMark/>
          </w:tcPr>
          <w:p w14:paraId="53A74FB2"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14,000</w:t>
            </w:r>
          </w:p>
        </w:tc>
      </w:tr>
      <w:tr w:rsidR="00624169" w:rsidRPr="00401088" w14:paraId="2EF2C66D" w14:textId="77777777" w:rsidTr="00624169">
        <w:trPr>
          <w:trHeight w:val="300"/>
          <w:jc w:val="center"/>
        </w:trPr>
        <w:tc>
          <w:tcPr>
            <w:tcW w:w="1502" w:type="dxa"/>
            <w:vMerge/>
            <w:tcBorders>
              <w:top w:val="single" w:sz="8" w:space="0" w:color="008089"/>
              <w:left w:val="single" w:sz="8" w:space="0" w:color="008089"/>
              <w:bottom w:val="nil"/>
              <w:right w:val="nil"/>
            </w:tcBorders>
            <w:vAlign w:val="center"/>
            <w:hideMark/>
          </w:tcPr>
          <w:p w14:paraId="7E4BB649" w14:textId="77777777" w:rsidR="00401088" w:rsidRPr="00DB204C" w:rsidRDefault="00401088" w:rsidP="00401088">
            <w:pPr>
              <w:suppressAutoHyphens w:val="0"/>
              <w:spacing w:before="0" w:after="0"/>
              <w:rPr>
                <w:rFonts w:ascii="Calibri" w:eastAsia="Times New Roman" w:hAnsi="Calibri" w:cs="Calibri"/>
                <w:b/>
                <w:bCs/>
                <w:color w:val="000000"/>
                <w:sz w:val="18"/>
                <w:szCs w:val="18"/>
                <w:lang w:eastAsia="en-AU"/>
              </w:rPr>
            </w:pPr>
          </w:p>
        </w:tc>
        <w:tc>
          <w:tcPr>
            <w:tcW w:w="3308" w:type="dxa"/>
            <w:tcBorders>
              <w:top w:val="single" w:sz="4" w:space="0" w:color="008089"/>
              <w:left w:val="nil"/>
              <w:bottom w:val="single" w:sz="8" w:space="0" w:color="008089"/>
              <w:right w:val="nil"/>
            </w:tcBorders>
            <w:shd w:val="clear" w:color="000000" w:fill="F2F2F2"/>
            <w:vAlign w:val="center"/>
            <w:hideMark/>
          </w:tcPr>
          <w:p w14:paraId="399D10AC" w14:textId="77777777" w:rsidR="00401088" w:rsidRPr="00DB204C" w:rsidRDefault="00401088" w:rsidP="00401088">
            <w:pPr>
              <w:suppressAutoHyphens w:val="0"/>
              <w:spacing w:before="0" w:after="0"/>
              <w:rPr>
                <w:rFonts w:ascii="Calibri" w:eastAsia="Times New Roman" w:hAnsi="Calibri" w:cs="Calibri"/>
                <w:color w:val="000000"/>
                <w:sz w:val="18"/>
                <w:szCs w:val="18"/>
                <w:lang w:eastAsia="en-AU"/>
              </w:rPr>
            </w:pPr>
            <w:r w:rsidRPr="00DB204C">
              <w:rPr>
                <w:rFonts w:ascii="Calibri" w:eastAsia="Times New Roman" w:hAnsi="Calibri" w:cs="Calibri"/>
                <w:color w:val="000000"/>
                <w:sz w:val="18"/>
                <w:szCs w:val="18"/>
                <w:lang w:eastAsia="en-AU"/>
              </w:rPr>
              <w:t>Women's A-League Grand Final</w:t>
            </w:r>
          </w:p>
        </w:tc>
        <w:tc>
          <w:tcPr>
            <w:tcW w:w="1843" w:type="dxa"/>
            <w:tcBorders>
              <w:top w:val="single" w:sz="4" w:space="0" w:color="008089"/>
              <w:left w:val="nil"/>
              <w:bottom w:val="single" w:sz="8" w:space="0" w:color="008089"/>
              <w:right w:val="nil"/>
            </w:tcBorders>
            <w:shd w:val="clear" w:color="000000" w:fill="F2F2F2"/>
            <w:vAlign w:val="center"/>
            <w:hideMark/>
          </w:tcPr>
          <w:p w14:paraId="59955D97" w14:textId="77777777" w:rsidR="00401088" w:rsidRPr="00F85D80" w:rsidRDefault="00401088" w:rsidP="00401088">
            <w:pPr>
              <w:suppressAutoHyphens w:val="0"/>
              <w:spacing w:before="0" w:after="0"/>
              <w:rPr>
                <w:rFonts w:ascii="Calibri" w:eastAsia="Times New Roman" w:hAnsi="Calibri" w:cs="Calibri"/>
                <w:color w:val="auto"/>
                <w:sz w:val="16"/>
                <w:szCs w:val="16"/>
                <w:lang w:eastAsia="en-AU"/>
              </w:rPr>
            </w:pPr>
            <w:r w:rsidRPr="00F85D80">
              <w:rPr>
                <w:rFonts w:ascii="Calibri" w:eastAsia="Times New Roman" w:hAnsi="Calibri" w:cs="Calibri"/>
                <w:color w:val="auto"/>
                <w:sz w:val="16"/>
                <w:szCs w:val="16"/>
                <w:lang w:eastAsia="en-AU"/>
              </w:rPr>
              <w:t>Single match</w:t>
            </w:r>
          </w:p>
        </w:tc>
        <w:tc>
          <w:tcPr>
            <w:tcW w:w="1015" w:type="dxa"/>
            <w:tcBorders>
              <w:top w:val="nil"/>
              <w:left w:val="nil"/>
              <w:bottom w:val="single" w:sz="4" w:space="0" w:color="008089"/>
              <w:right w:val="nil"/>
            </w:tcBorders>
            <w:shd w:val="clear" w:color="000000" w:fill="F2F2F2"/>
            <w:vAlign w:val="center"/>
            <w:hideMark/>
          </w:tcPr>
          <w:p w14:paraId="52345228" w14:textId="77777777" w:rsidR="00401088" w:rsidRPr="00624169" w:rsidRDefault="00401088" w:rsidP="00401088">
            <w:pPr>
              <w:suppressAutoHyphens w:val="0"/>
              <w:spacing w:before="0" w:after="0"/>
              <w:jc w:val="right"/>
              <w:rPr>
                <w:rFonts w:ascii="Calibri" w:eastAsia="Times New Roman" w:hAnsi="Calibri" w:cs="Calibri"/>
                <w:i/>
                <w:iCs/>
                <w:color w:val="auto"/>
                <w:sz w:val="18"/>
                <w:szCs w:val="18"/>
                <w:lang w:eastAsia="en-AU"/>
              </w:rPr>
            </w:pPr>
            <w:r w:rsidRPr="00624169">
              <w:rPr>
                <w:rFonts w:ascii="Calibri" w:eastAsia="Times New Roman" w:hAnsi="Calibri" w:cs="Calibri"/>
                <w:i/>
                <w:iCs/>
                <w:color w:val="auto"/>
                <w:sz w:val="18"/>
                <w:szCs w:val="18"/>
                <w:lang w:eastAsia="en-AU"/>
              </w:rPr>
              <w:t>nda</w:t>
            </w:r>
          </w:p>
        </w:tc>
        <w:tc>
          <w:tcPr>
            <w:tcW w:w="1015" w:type="dxa"/>
            <w:tcBorders>
              <w:top w:val="nil"/>
              <w:left w:val="nil"/>
              <w:bottom w:val="single" w:sz="4" w:space="0" w:color="008089"/>
              <w:right w:val="nil"/>
            </w:tcBorders>
            <w:shd w:val="clear" w:color="000000" w:fill="F2F2F2"/>
            <w:vAlign w:val="center"/>
            <w:hideMark/>
          </w:tcPr>
          <w:p w14:paraId="3C409C60" w14:textId="77777777" w:rsidR="00401088" w:rsidRPr="00624169" w:rsidRDefault="00401088" w:rsidP="00401088">
            <w:pPr>
              <w:suppressAutoHyphens w:val="0"/>
              <w:spacing w:before="0" w:after="0"/>
              <w:jc w:val="right"/>
              <w:rPr>
                <w:rFonts w:ascii="Calibri" w:eastAsia="Times New Roman" w:hAnsi="Calibri" w:cs="Calibri"/>
                <w:i/>
                <w:iCs/>
                <w:color w:val="auto"/>
                <w:sz w:val="18"/>
                <w:szCs w:val="18"/>
                <w:lang w:eastAsia="en-AU"/>
              </w:rPr>
            </w:pPr>
            <w:r w:rsidRPr="00624169">
              <w:rPr>
                <w:rFonts w:ascii="Calibri" w:eastAsia="Times New Roman" w:hAnsi="Calibri" w:cs="Calibri"/>
                <w:i/>
                <w:iCs/>
                <w:color w:val="auto"/>
                <w:sz w:val="18"/>
                <w:szCs w:val="18"/>
                <w:lang w:eastAsia="en-AU"/>
              </w:rPr>
              <w:t>nda</w:t>
            </w:r>
          </w:p>
        </w:tc>
        <w:tc>
          <w:tcPr>
            <w:tcW w:w="1016" w:type="dxa"/>
            <w:tcBorders>
              <w:top w:val="nil"/>
              <w:left w:val="nil"/>
              <w:bottom w:val="single" w:sz="4" w:space="0" w:color="008089"/>
              <w:right w:val="nil"/>
            </w:tcBorders>
            <w:shd w:val="clear" w:color="000000" w:fill="F2F2F2"/>
            <w:vAlign w:val="center"/>
            <w:hideMark/>
          </w:tcPr>
          <w:p w14:paraId="15BBF288" w14:textId="77777777" w:rsidR="00401088" w:rsidRPr="00624169" w:rsidRDefault="00401088" w:rsidP="00401088">
            <w:pPr>
              <w:suppressAutoHyphens w:val="0"/>
              <w:spacing w:before="0" w:after="0"/>
              <w:jc w:val="right"/>
              <w:rPr>
                <w:rFonts w:ascii="Calibri" w:eastAsia="Times New Roman" w:hAnsi="Calibri" w:cs="Calibri"/>
                <w:i/>
                <w:iCs/>
                <w:color w:val="auto"/>
                <w:sz w:val="18"/>
                <w:szCs w:val="18"/>
                <w:lang w:eastAsia="en-AU"/>
              </w:rPr>
            </w:pPr>
            <w:r w:rsidRPr="00624169">
              <w:rPr>
                <w:rFonts w:ascii="Calibri" w:eastAsia="Times New Roman" w:hAnsi="Calibri" w:cs="Calibri"/>
                <w:i/>
                <w:iCs/>
                <w:color w:val="auto"/>
                <w:sz w:val="18"/>
                <w:szCs w:val="18"/>
                <w:lang w:eastAsia="en-AU"/>
              </w:rPr>
              <w:t>nda</w:t>
            </w:r>
          </w:p>
        </w:tc>
        <w:tc>
          <w:tcPr>
            <w:tcW w:w="1015" w:type="dxa"/>
            <w:tcBorders>
              <w:top w:val="nil"/>
              <w:left w:val="nil"/>
              <w:bottom w:val="nil"/>
              <w:right w:val="nil"/>
            </w:tcBorders>
            <w:shd w:val="clear" w:color="000000" w:fill="F2F2F2"/>
            <w:vAlign w:val="center"/>
            <w:hideMark/>
          </w:tcPr>
          <w:p w14:paraId="66541535"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27,000</w:t>
            </w:r>
          </w:p>
        </w:tc>
        <w:tc>
          <w:tcPr>
            <w:tcW w:w="1015" w:type="dxa"/>
            <w:tcBorders>
              <w:top w:val="nil"/>
              <w:left w:val="nil"/>
              <w:bottom w:val="nil"/>
              <w:right w:val="nil"/>
            </w:tcBorders>
            <w:shd w:val="clear" w:color="000000" w:fill="F2F2F2"/>
            <w:vAlign w:val="center"/>
            <w:hideMark/>
          </w:tcPr>
          <w:p w14:paraId="42BE8F3C"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38,000</w:t>
            </w:r>
          </w:p>
        </w:tc>
        <w:tc>
          <w:tcPr>
            <w:tcW w:w="1016" w:type="dxa"/>
            <w:tcBorders>
              <w:top w:val="nil"/>
              <w:left w:val="nil"/>
              <w:bottom w:val="nil"/>
              <w:right w:val="nil"/>
            </w:tcBorders>
            <w:shd w:val="clear" w:color="000000" w:fill="F2F2F2"/>
            <w:vAlign w:val="center"/>
            <w:hideMark/>
          </w:tcPr>
          <w:p w14:paraId="2389C9BD"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53,000</w:t>
            </w:r>
          </w:p>
        </w:tc>
        <w:tc>
          <w:tcPr>
            <w:tcW w:w="1015" w:type="dxa"/>
            <w:tcBorders>
              <w:top w:val="nil"/>
              <w:left w:val="nil"/>
              <w:bottom w:val="nil"/>
              <w:right w:val="nil"/>
            </w:tcBorders>
            <w:shd w:val="clear" w:color="000000" w:fill="F2F2F2"/>
            <w:vAlign w:val="center"/>
            <w:hideMark/>
          </w:tcPr>
          <w:p w14:paraId="780D226F"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60,000</w:t>
            </w:r>
          </w:p>
        </w:tc>
        <w:tc>
          <w:tcPr>
            <w:tcW w:w="1016" w:type="dxa"/>
            <w:tcBorders>
              <w:top w:val="nil"/>
              <w:left w:val="nil"/>
              <w:bottom w:val="nil"/>
              <w:right w:val="single" w:sz="8" w:space="0" w:color="008089"/>
            </w:tcBorders>
            <w:shd w:val="clear" w:color="000000" w:fill="F2F2F2"/>
            <w:vAlign w:val="center"/>
            <w:hideMark/>
          </w:tcPr>
          <w:p w14:paraId="2AEF072B"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22,000</w:t>
            </w:r>
          </w:p>
        </w:tc>
      </w:tr>
      <w:tr w:rsidR="00624169" w:rsidRPr="00401088" w14:paraId="05416B65" w14:textId="77777777" w:rsidTr="009F489D">
        <w:trPr>
          <w:trHeight w:val="369"/>
          <w:jc w:val="center"/>
        </w:trPr>
        <w:tc>
          <w:tcPr>
            <w:tcW w:w="1502" w:type="dxa"/>
            <w:vMerge w:val="restart"/>
            <w:tcBorders>
              <w:top w:val="single" w:sz="8" w:space="0" w:color="008089"/>
              <w:left w:val="single" w:sz="8" w:space="0" w:color="008089"/>
              <w:bottom w:val="single" w:sz="8" w:space="0" w:color="008089"/>
              <w:right w:val="nil"/>
            </w:tcBorders>
            <w:shd w:val="clear" w:color="000000" w:fill="F2F2F2"/>
            <w:vAlign w:val="center"/>
            <w:hideMark/>
          </w:tcPr>
          <w:p w14:paraId="32B31A37" w14:textId="77777777" w:rsidR="00401088" w:rsidRPr="00DB204C" w:rsidRDefault="00401088" w:rsidP="00401088">
            <w:pPr>
              <w:suppressAutoHyphens w:val="0"/>
              <w:spacing w:before="0" w:after="0"/>
              <w:jc w:val="center"/>
              <w:rPr>
                <w:rFonts w:ascii="Calibri" w:eastAsia="Times New Roman" w:hAnsi="Calibri" w:cs="Calibri"/>
                <w:b/>
                <w:bCs/>
                <w:color w:val="000000"/>
                <w:sz w:val="18"/>
                <w:szCs w:val="18"/>
                <w:lang w:eastAsia="en-AU"/>
              </w:rPr>
            </w:pPr>
            <w:r w:rsidRPr="00DB204C">
              <w:rPr>
                <w:rFonts w:ascii="Calibri" w:eastAsia="Times New Roman" w:hAnsi="Calibri" w:cs="Calibri"/>
                <w:b/>
                <w:bCs/>
                <w:color w:val="000000"/>
                <w:sz w:val="18"/>
                <w:szCs w:val="18"/>
                <w:lang w:eastAsia="en-AU"/>
              </w:rPr>
              <w:t>International Soccer</w:t>
            </w:r>
          </w:p>
        </w:tc>
        <w:tc>
          <w:tcPr>
            <w:tcW w:w="3308" w:type="dxa"/>
            <w:tcBorders>
              <w:top w:val="nil"/>
              <w:left w:val="nil"/>
              <w:bottom w:val="single" w:sz="4" w:space="0" w:color="008089"/>
              <w:right w:val="nil"/>
            </w:tcBorders>
            <w:shd w:val="clear" w:color="000000" w:fill="F2F2F2"/>
            <w:vAlign w:val="center"/>
            <w:hideMark/>
          </w:tcPr>
          <w:p w14:paraId="1C0188EC" w14:textId="77777777" w:rsidR="00401088" w:rsidRPr="00DB204C" w:rsidRDefault="00401088" w:rsidP="00401088">
            <w:pPr>
              <w:suppressAutoHyphens w:val="0"/>
              <w:spacing w:before="0" w:after="0"/>
              <w:rPr>
                <w:rFonts w:ascii="Calibri" w:eastAsia="Times New Roman" w:hAnsi="Calibri" w:cs="Calibri"/>
                <w:color w:val="000000"/>
                <w:sz w:val="18"/>
                <w:szCs w:val="18"/>
                <w:lang w:eastAsia="en-AU"/>
              </w:rPr>
            </w:pPr>
            <w:r w:rsidRPr="00DB204C">
              <w:rPr>
                <w:rFonts w:ascii="Calibri" w:eastAsia="Times New Roman" w:hAnsi="Calibri" w:cs="Calibri"/>
                <w:color w:val="000000"/>
                <w:sz w:val="18"/>
                <w:szCs w:val="18"/>
                <w:lang w:eastAsia="en-AU"/>
              </w:rPr>
              <w:t>International Test Matches (Men)</w:t>
            </w:r>
          </w:p>
        </w:tc>
        <w:tc>
          <w:tcPr>
            <w:tcW w:w="1843" w:type="dxa"/>
            <w:tcBorders>
              <w:top w:val="nil"/>
              <w:left w:val="nil"/>
              <w:bottom w:val="single" w:sz="4" w:space="0" w:color="008089"/>
              <w:right w:val="nil"/>
            </w:tcBorders>
            <w:shd w:val="clear" w:color="000000" w:fill="F2F2F2"/>
            <w:vAlign w:val="center"/>
            <w:hideMark/>
          </w:tcPr>
          <w:p w14:paraId="01EE9084" w14:textId="77777777" w:rsidR="00401088" w:rsidRPr="00F85D80" w:rsidRDefault="00401088" w:rsidP="00401088">
            <w:pPr>
              <w:suppressAutoHyphens w:val="0"/>
              <w:spacing w:before="0" w:after="0"/>
              <w:rPr>
                <w:rFonts w:ascii="Calibri" w:eastAsia="Times New Roman" w:hAnsi="Calibri" w:cs="Calibri"/>
                <w:color w:val="auto"/>
                <w:sz w:val="16"/>
                <w:szCs w:val="16"/>
                <w:lang w:eastAsia="en-AU"/>
              </w:rPr>
            </w:pPr>
            <w:r w:rsidRPr="00F85D80">
              <w:rPr>
                <w:rFonts w:ascii="Calibri" w:eastAsia="Times New Roman" w:hAnsi="Calibri" w:cs="Calibri"/>
                <w:color w:val="auto"/>
                <w:sz w:val="16"/>
                <w:szCs w:val="16"/>
                <w:lang w:eastAsia="en-AU"/>
              </w:rPr>
              <w:t>Average of games involving the Socceroos</w:t>
            </w:r>
          </w:p>
        </w:tc>
        <w:tc>
          <w:tcPr>
            <w:tcW w:w="1015" w:type="dxa"/>
            <w:tcBorders>
              <w:top w:val="single" w:sz="8" w:space="0" w:color="008089"/>
              <w:left w:val="nil"/>
              <w:bottom w:val="single" w:sz="4" w:space="0" w:color="008089"/>
              <w:right w:val="nil"/>
            </w:tcBorders>
            <w:shd w:val="clear" w:color="000000" w:fill="F2F2F2"/>
            <w:vAlign w:val="center"/>
            <w:hideMark/>
          </w:tcPr>
          <w:p w14:paraId="382AD612" w14:textId="77777777" w:rsidR="00401088" w:rsidRPr="00624169" w:rsidRDefault="00401088" w:rsidP="00401088">
            <w:pPr>
              <w:suppressAutoHyphens w:val="0"/>
              <w:spacing w:before="0" w:after="0"/>
              <w:jc w:val="right"/>
              <w:rPr>
                <w:rFonts w:ascii="Calibri" w:eastAsia="Times New Roman" w:hAnsi="Calibri" w:cs="Calibri"/>
                <w:i/>
                <w:iCs/>
                <w:color w:val="auto"/>
                <w:sz w:val="18"/>
                <w:szCs w:val="18"/>
                <w:lang w:eastAsia="en-AU"/>
              </w:rPr>
            </w:pPr>
            <w:r w:rsidRPr="00624169">
              <w:rPr>
                <w:rFonts w:ascii="Calibri" w:eastAsia="Times New Roman" w:hAnsi="Calibri" w:cs="Calibri"/>
                <w:i/>
                <w:iCs/>
                <w:color w:val="auto"/>
                <w:sz w:val="18"/>
                <w:szCs w:val="18"/>
                <w:lang w:eastAsia="en-AU"/>
              </w:rPr>
              <w:t>nda</w:t>
            </w:r>
          </w:p>
        </w:tc>
        <w:tc>
          <w:tcPr>
            <w:tcW w:w="1015" w:type="dxa"/>
            <w:tcBorders>
              <w:top w:val="single" w:sz="8" w:space="0" w:color="008089"/>
              <w:left w:val="nil"/>
              <w:bottom w:val="single" w:sz="4" w:space="0" w:color="008089"/>
              <w:right w:val="nil"/>
            </w:tcBorders>
            <w:shd w:val="clear" w:color="000000" w:fill="F2F2F2"/>
            <w:vAlign w:val="center"/>
            <w:hideMark/>
          </w:tcPr>
          <w:p w14:paraId="5E633A45" w14:textId="77777777" w:rsidR="00401088" w:rsidRPr="00624169" w:rsidRDefault="00401088" w:rsidP="00401088">
            <w:pPr>
              <w:suppressAutoHyphens w:val="0"/>
              <w:spacing w:before="0" w:after="0"/>
              <w:jc w:val="right"/>
              <w:rPr>
                <w:rFonts w:ascii="Calibri" w:eastAsia="Times New Roman" w:hAnsi="Calibri" w:cs="Calibri"/>
                <w:i/>
                <w:iCs/>
                <w:color w:val="auto"/>
                <w:sz w:val="18"/>
                <w:szCs w:val="18"/>
                <w:lang w:eastAsia="en-AU"/>
              </w:rPr>
            </w:pPr>
            <w:r w:rsidRPr="00624169">
              <w:rPr>
                <w:rFonts w:ascii="Calibri" w:eastAsia="Times New Roman" w:hAnsi="Calibri" w:cs="Calibri"/>
                <w:i/>
                <w:iCs/>
                <w:color w:val="auto"/>
                <w:sz w:val="18"/>
                <w:szCs w:val="18"/>
                <w:lang w:eastAsia="en-AU"/>
              </w:rPr>
              <w:t>nda</w:t>
            </w:r>
          </w:p>
        </w:tc>
        <w:tc>
          <w:tcPr>
            <w:tcW w:w="1016" w:type="dxa"/>
            <w:tcBorders>
              <w:top w:val="single" w:sz="8" w:space="0" w:color="008089"/>
              <w:left w:val="nil"/>
              <w:bottom w:val="single" w:sz="4" w:space="0" w:color="008089"/>
              <w:right w:val="nil"/>
            </w:tcBorders>
            <w:shd w:val="clear" w:color="000000" w:fill="F2F2F2"/>
            <w:vAlign w:val="center"/>
            <w:hideMark/>
          </w:tcPr>
          <w:p w14:paraId="1FBF4FB8"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47,000</w:t>
            </w:r>
          </w:p>
        </w:tc>
        <w:tc>
          <w:tcPr>
            <w:tcW w:w="1015" w:type="dxa"/>
            <w:tcBorders>
              <w:top w:val="single" w:sz="8" w:space="0" w:color="008089"/>
              <w:left w:val="nil"/>
              <w:bottom w:val="single" w:sz="4" w:space="0" w:color="008089"/>
              <w:right w:val="nil"/>
            </w:tcBorders>
            <w:shd w:val="clear" w:color="000000" w:fill="F2F2F2"/>
            <w:vAlign w:val="center"/>
            <w:hideMark/>
          </w:tcPr>
          <w:p w14:paraId="096219D8" w14:textId="77777777" w:rsidR="00401088" w:rsidRPr="00624169" w:rsidRDefault="00401088" w:rsidP="00401088">
            <w:pPr>
              <w:suppressAutoHyphens w:val="0"/>
              <w:spacing w:before="0" w:after="0"/>
              <w:jc w:val="right"/>
              <w:rPr>
                <w:rFonts w:ascii="Calibri" w:eastAsia="Times New Roman" w:hAnsi="Calibri" w:cs="Calibri"/>
                <w:i/>
                <w:iCs/>
                <w:color w:val="auto"/>
                <w:sz w:val="18"/>
                <w:szCs w:val="18"/>
                <w:lang w:eastAsia="en-AU"/>
              </w:rPr>
            </w:pPr>
            <w:r w:rsidRPr="00624169">
              <w:rPr>
                <w:rFonts w:ascii="Calibri" w:eastAsia="Times New Roman" w:hAnsi="Calibri" w:cs="Calibri"/>
                <w:i/>
                <w:iCs/>
                <w:color w:val="auto"/>
                <w:sz w:val="18"/>
                <w:szCs w:val="18"/>
                <w:lang w:eastAsia="en-AU"/>
              </w:rPr>
              <w:t>nda</w:t>
            </w:r>
          </w:p>
        </w:tc>
        <w:tc>
          <w:tcPr>
            <w:tcW w:w="1015" w:type="dxa"/>
            <w:tcBorders>
              <w:top w:val="single" w:sz="8" w:space="0" w:color="008089"/>
              <w:left w:val="nil"/>
              <w:bottom w:val="single" w:sz="4" w:space="0" w:color="008089"/>
              <w:right w:val="nil"/>
            </w:tcBorders>
            <w:shd w:val="clear" w:color="000000" w:fill="F2F2F2"/>
            <w:vAlign w:val="center"/>
            <w:hideMark/>
          </w:tcPr>
          <w:p w14:paraId="13861856"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73,000</w:t>
            </w:r>
          </w:p>
        </w:tc>
        <w:tc>
          <w:tcPr>
            <w:tcW w:w="1016" w:type="dxa"/>
            <w:tcBorders>
              <w:top w:val="single" w:sz="8" w:space="0" w:color="008089"/>
              <w:left w:val="nil"/>
              <w:bottom w:val="single" w:sz="4" w:space="0" w:color="008089"/>
              <w:right w:val="nil"/>
            </w:tcBorders>
            <w:shd w:val="clear" w:color="000000" w:fill="F2F2F2"/>
            <w:vAlign w:val="center"/>
            <w:hideMark/>
          </w:tcPr>
          <w:p w14:paraId="1A605CCF" w14:textId="77777777" w:rsidR="00401088" w:rsidRPr="00624169" w:rsidRDefault="00401088" w:rsidP="00401088">
            <w:pPr>
              <w:suppressAutoHyphens w:val="0"/>
              <w:spacing w:before="0" w:after="0"/>
              <w:jc w:val="right"/>
              <w:rPr>
                <w:rFonts w:ascii="Calibri" w:eastAsia="Times New Roman" w:hAnsi="Calibri" w:cs="Calibri"/>
                <w:i/>
                <w:iCs/>
                <w:color w:val="auto"/>
                <w:sz w:val="18"/>
                <w:szCs w:val="18"/>
                <w:lang w:eastAsia="en-AU"/>
              </w:rPr>
            </w:pPr>
            <w:r w:rsidRPr="00624169">
              <w:rPr>
                <w:rFonts w:ascii="Calibri" w:eastAsia="Times New Roman" w:hAnsi="Calibri" w:cs="Calibri"/>
                <w:i/>
                <w:iCs/>
                <w:color w:val="auto"/>
                <w:sz w:val="18"/>
                <w:szCs w:val="18"/>
                <w:lang w:eastAsia="en-AU"/>
              </w:rPr>
              <w:t>nda</w:t>
            </w:r>
          </w:p>
        </w:tc>
        <w:tc>
          <w:tcPr>
            <w:tcW w:w="1015" w:type="dxa"/>
            <w:tcBorders>
              <w:top w:val="single" w:sz="8" w:space="0" w:color="008089"/>
              <w:left w:val="nil"/>
              <w:bottom w:val="single" w:sz="4" w:space="0" w:color="008089"/>
              <w:right w:val="nil"/>
            </w:tcBorders>
            <w:shd w:val="clear" w:color="000000" w:fill="F2F2F2"/>
            <w:vAlign w:val="center"/>
            <w:hideMark/>
          </w:tcPr>
          <w:p w14:paraId="7DD52233" w14:textId="77777777" w:rsidR="00401088" w:rsidRPr="00624169" w:rsidRDefault="00401088" w:rsidP="00401088">
            <w:pPr>
              <w:suppressAutoHyphens w:val="0"/>
              <w:spacing w:before="0" w:after="0"/>
              <w:jc w:val="right"/>
              <w:rPr>
                <w:rFonts w:ascii="Calibri" w:eastAsia="Times New Roman" w:hAnsi="Calibri" w:cs="Calibri"/>
                <w:i/>
                <w:iCs/>
                <w:color w:val="auto"/>
                <w:sz w:val="18"/>
                <w:szCs w:val="18"/>
                <w:lang w:eastAsia="en-AU"/>
              </w:rPr>
            </w:pPr>
            <w:r w:rsidRPr="00624169">
              <w:rPr>
                <w:rFonts w:ascii="Calibri" w:eastAsia="Times New Roman" w:hAnsi="Calibri" w:cs="Calibri"/>
                <w:i/>
                <w:iCs/>
                <w:color w:val="auto"/>
                <w:sz w:val="18"/>
                <w:szCs w:val="18"/>
                <w:lang w:eastAsia="en-AU"/>
              </w:rPr>
              <w:t>nda</w:t>
            </w:r>
          </w:p>
        </w:tc>
        <w:tc>
          <w:tcPr>
            <w:tcW w:w="1016" w:type="dxa"/>
            <w:tcBorders>
              <w:top w:val="single" w:sz="8" w:space="0" w:color="008089"/>
              <w:left w:val="nil"/>
              <w:bottom w:val="single" w:sz="4" w:space="0" w:color="008089"/>
              <w:right w:val="single" w:sz="8" w:space="0" w:color="008089"/>
            </w:tcBorders>
            <w:shd w:val="clear" w:color="000000" w:fill="F2F2F2"/>
            <w:vAlign w:val="center"/>
            <w:hideMark/>
          </w:tcPr>
          <w:p w14:paraId="748DF6C9"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10,000</w:t>
            </w:r>
          </w:p>
        </w:tc>
      </w:tr>
      <w:tr w:rsidR="00624169" w:rsidRPr="00401088" w14:paraId="427DDA58" w14:textId="77777777" w:rsidTr="009F489D">
        <w:trPr>
          <w:trHeight w:val="374"/>
          <w:jc w:val="center"/>
        </w:trPr>
        <w:tc>
          <w:tcPr>
            <w:tcW w:w="1502" w:type="dxa"/>
            <w:vMerge/>
            <w:tcBorders>
              <w:top w:val="single" w:sz="8" w:space="0" w:color="008089"/>
              <w:left w:val="single" w:sz="8" w:space="0" w:color="008089"/>
              <w:bottom w:val="single" w:sz="8" w:space="0" w:color="008089"/>
              <w:right w:val="nil"/>
            </w:tcBorders>
            <w:vAlign w:val="center"/>
            <w:hideMark/>
          </w:tcPr>
          <w:p w14:paraId="39C1A43C" w14:textId="77777777" w:rsidR="00401088" w:rsidRPr="00DB204C" w:rsidRDefault="00401088" w:rsidP="00401088">
            <w:pPr>
              <w:suppressAutoHyphens w:val="0"/>
              <w:spacing w:before="0" w:after="0"/>
              <w:rPr>
                <w:rFonts w:ascii="Calibri" w:eastAsia="Times New Roman" w:hAnsi="Calibri" w:cs="Calibri"/>
                <w:b/>
                <w:bCs/>
                <w:color w:val="000000"/>
                <w:sz w:val="18"/>
                <w:szCs w:val="18"/>
                <w:lang w:eastAsia="en-AU"/>
              </w:rPr>
            </w:pPr>
          </w:p>
        </w:tc>
        <w:tc>
          <w:tcPr>
            <w:tcW w:w="3308" w:type="dxa"/>
            <w:tcBorders>
              <w:top w:val="nil"/>
              <w:left w:val="nil"/>
              <w:bottom w:val="single" w:sz="8" w:space="0" w:color="008089"/>
              <w:right w:val="nil"/>
            </w:tcBorders>
            <w:shd w:val="clear" w:color="000000" w:fill="F2F2F2"/>
            <w:vAlign w:val="center"/>
            <w:hideMark/>
          </w:tcPr>
          <w:p w14:paraId="54C66185" w14:textId="77777777" w:rsidR="00401088" w:rsidRPr="00DB204C" w:rsidRDefault="00401088" w:rsidP="00401088">
            <w:pPr>
              <w:suppressAutoHyphens w:val="0"/>
              <w:spacing w:before="0" w:after="0"/>
              <w:rPr>
                <w:rFonts w:ascii="Calibri" w:eastAsia="Times New Roman" w:hAnsi="Calibri" w:cs="Calibri"/>
                <w:color w:val="000000"/>
                <w:sz w:val="18"/>
                <w:szCs w:val="18"/>
                <w:lang w:eastAsia="en-AU"/>
              </w:rPr>
            </w:pPr>
            <w:r w:rsidRPr="00DB204C">
              <w:rPr>
                <w:rFonts w:ascii="Calibri" w:eastAsia="Times New Roman" w:hAnsi="Calibri" w:cs="Calibri"/>
                <w:color w:val="000000"/>
                <w:sz w:val="18"/>
                <w:szCs w:val="18"/>
                <w:lang w:eastAsia="en-AU"/>
              </w:rPr>
              <w:t>International Test Matches (Women)</w:t>
            </w:r>
          </w:p>
        </w:tc>
        <w:tc>
          <w:tcPr>
            <w:tcW w:w="1843" w:type="dxa"/>
            <w:tcBorders>
              <w:top w:val="nil"/>
              <w:left w:val="nil"/>
              <w:bottom w:val="nil"/>
              <w:right w:val="nil"/>
            </w:tcBorders>
            <w:shd w:val="clear" w:color="000000" w:fill="F2F2F2"/>
            <w:vAlign w:val="center"/>
            <w:hideMark/>
          </w:tcPr>
          <w:p w14:paraId="59980F58" w14:textId="77777777" w:rsidR="00401088" w:rsidRPr="00F85D80" w:rsidRDefault="00401088" w:rsidP="00401088">
            <w:pPr>
              <w:suppressAutoHyphens w:val="0"/>
              <w:spacing w:before="0" w:after="0"/>
              <w:rPr>
                <w:rFonts w:ascii="Calibri" w:eastAsia="Times New Roman" w:hAnsi="Calibri" w:cs="Calibri"/>
                <w:color w:val="auto"/>
                <w:sz w:val="16"/>
                <w:szCs w:val="16"/>
                <w:lang w:eastAsia="en-AU"/>
              </w:rPr>
            </w:pPr>
            <w:r w:rsidRPr="00F85D80">
              <w:rPr>
                <w:rFonts w:ascii="Calibri" w:eastAsia="Times New Roman" w:hAnsi="Calibri" w:cs="Calibri"/>
                <w:color w:val="auto"/>
                <w:sz w:val="16"/>
                <w:szCs w:val="16"/>
                <w:lang w:eastAsia="en-AU"/>
              </w:rPr>
              <w:t>Average of games involving the Matildas</w:t>
            </w:r>
            <w:r w:rsidRPr="00F85D80">
              <w:rPr>
                <w:rFonts w:ascii="Calibri" w:eastAsia="Times New Roman" w:hAnsi="Calibri" w:cs="Calibri"/>
                <w:color w:val="auto"/>
                <w:sz w:val="16"/>
                <w:szCs w:val="16"/>
                <w:vertAlign w:val="superscript"/>
                <w:lang w:eastAsia="en-AU"/>
              </w:rPr>
              <w:t>7</w:t>
            </w:r>
          </w:p>
        </w:tc>
        <w:tc>
          <w:tcPr>
            <w:tcW w:w="1015" w:type="dxa"/>
            <w:tcBorders>
              <w:top w:val="nil"/>
              <w:left w:val="nil"/>
              <w:bottom w:val="single" w:sz="8" w:space="0" w:color="008089"/>
              <w:right w:val="nil"/>
            </w:tcBorders>
            <w:shd w:val="clear" w:color="000000" w:fill="F2F2F2"/>
            <w:vAlign w:val="center"/>
            <w:hideMark/>
          </w:tcPr>
          <w:p w14:paraId="39918F9E"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85,000</w:t>
            </w:r>
          </w:p>
        </w:tc>
        <w:tc>
          <w:tcPr>
            <w:tcW w:w="1015" w:type="dxa"/>
            <w:tcBorders>
              <w:top w:val="nil"/>
              <w:left w:val="nil"/>
              <w:bottom w:val="single" w:sz="4" w:space="0" w:color="008089"/>
              <w:right w:val="nil"/>
            </w:tcBorders>
            <w:shd w:val="clear" w:color="000000" w:fill="F2F2F2"/>
            <w:vAlign w:val="center"/>
            <w:hideMark/>
          </w:tcPr>
          <w:p w14:paraId="203F626A" w14:textId="77777777" w:rsidR="00401088" w:rsidRPr="00624169" w:rsidRDefault="00401088" w:rsidP="00401088">
            <w:pPr>
              <w:suppressAutoHyphens w:val="0"/>
              <w:spacing w:before="0" w:after="0"/>
              <w:jc w:val="right"/>
              <w:rPr>
                <w:rFonts w:ascii="Calibri" w:eastAsia="Times New Roman" w:hAnsi="Calibri" w:cs="Calibri"/>
                <w:i/>
                <w:iCs/>
                <w:color w:val="auto"/>
                <w:sz w:val="18"/>
                <w:szCs w:val="18"/>
                <w:lang w:eastAsia="en-AU"/>
              </w:rPr>
            </w:pPr>
            <w:r w:rsidRPr="00624169">
              <w:rPr>
                <w:rFonts w:ascii="Calibri" w:eastAsia="Times New Roman" w:hAnsi="Calibri" w:cs="Calibri"/>
                <w:i/>
                <w:iCs/>
                <w:color w:val="auto"/>
                <w:sz w:val="18"/>
                <w:szCs w:val="18"/>
                <w:lang w:eastAsia="en-AU"/>
              </w:rPr>
              <w:t>nda</w:t>
            </w:r>
          </w:p>
        </w:tc>
        <w:tc>
          <w:tcPr>
            <w:tcW w:w="1016" w:type="dxa"/>
            <w:tcBorders>
              <w:top w:val="nil"/>
              <w:left w:val="nil"/>
              <w:bottom w:val="single" w:sz="8" w:space="0" w:color="008089"/>
              <w:right w:val="nil"/>
            </w:tcBorders>
            <w:shd w:val="clear" w:color="000000" w:fill="F2F2F2"/>
            <w:vAlign w:val="center"/>
            <w:hideMark/>
          </w:tcPr>
          <w:p w14:paraId="3AAF30F5"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64,000</w:t>
            </w:r>
          </w:p>
        </w:tc>
        <w:tc>
          <w:tcPr>
            <w:tcW w:w="1015" w:type="dxa"/>
            <w:tcBorders>
              <w:top w:val="nil"/>
              <w:left w:val="nil"/>
              <w:bottom w:val="nil"/>
              <w:right w:val="nil"/>
            </w:tcBorders>
            <w:shd w:val="clear" w:color="000000" w:fill="F2F2F2"/>
            <w:vAlign w:val="center"/>
            <w:hideMark/>
          </w:tcPr>
          <w:p w14:paraId="6DF60689" w14:textId="77777777" w:rsidR="00401088" w:rsidRPr="00624169" w:rsidRDefault="00401088" w:rsidP="00401088">
            <w:pPr>
              <w:suppressAutoHyphens w:val="0"/>
              <w:spacing w:before="0" w:after="0"/>
              <w:jc w:val="right"/>
              <w:rPr>
                <w:rFonts w:ascii="Calibri" w:eastAsia="Times New Roman" w:hAnsi="Calibri" w:cs="Calibri"/>
                <w:i/>
                <w:iCs/>
                <w:color w:val="auto"/>
                <w:sz w:val="18"/>
                <w:szCs w:val="18"/>
                <w:lang w:eastAsia="en-AU"/>
              </w:rPr>
            </w:pPr>
            <w:r w:rsidRPr="00624169">
              <w:rPr>
                <w:rFonts w:ascii="Calibri" w:eastAsia="Times New Roman" w:hAnsi="Calibri" w:cs="Calibri"/>
                <w:i/>
                <w:iCs/>
                <w:color w:val="auto"/>
                <w:sz w:val="18"/>
                <w:szCs w:val="18"/>
                <w:lang w:eastAsia="en-AU"/>
              </w:rPr>
              <w:t>nfta</w:t>
            </w:r>
          </w:p>
        </w:tc>
        <w:tc>
          <w:tcPr>
            <w:tcW w:w="1015" w:type="dxa"/>
            <w:tcBorders>
              <w:top w:val="nil"/>
              <w:left w:val="nil"/>
              <w:bottom w:val="nil"/>
              <w:right w:val="nil"/>
            </w:tcBorders>
            <w:shd w:val="clear" w:color="000000" w:fill="F2F2F2"/>
            <w:vAlign w:val="center"/>
            <w:hideMark/>
          </w:tcPr>
          <w:p w14:paraId="1265A651"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160,000</w:t>
            </w:r>
          </w:p>
        </w:tc>
        <w:tc>
          <w:tcPr>
            <w:tcW w:w="1016" w:type="dxa"/>
            <w:tcBorders>
              <w:top w:val="nil"/>
              <w:left w:val="nil"/>
              <w:bottom w:val="nil"/>
              <w:right w:val="nil"/>
            </w:tcBorders>
            <w:shd w:val="clear" w:color="000000" w:fill="F2F2F2"/>
            <w:vAlign w:val="center"/>
            <w:hideMark/>
          </w:tcPr>
          <w:p w14:paraId="60AA1E4E"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43,000</w:t>
            </w:r>
          </w:p>
        </w:tc>
        <w:tc>
          <w:tcPr>
            <w:tcW w:w="1015" w:type="dxa"/>
            <w:tcBorders>
              <w:top w:val="nil"/>
              <w:left w:val="nil"/>
              <w:bottom w:val="nil"/>
              <w:right w:val="nil"/>
            </w:tcBorders>
            <w:shd w:val="clear" w:color="000000" w:fill="F2F2F2"/>
            <w:vAlign w:val="center"/>
            <w:hideMark/>
          </w:tcPr>
          <w:p w14:paraId="79598EF8"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203,000</w:t>
            </w:r>
          </w:p>
        </w:tc>
        <w:tc>
          <w:tcPr>
            <w:tcW w:w="1016" w:type="dxa"/>
            <w:tcBorders>
              <w:top w:val="nil"/>
              <w:left w:val="nil"/>
              <w:bottom w:val="nil"/>
              <w:right w:val="single" w:sz="8" w:space="0" w:color="008089"/>
            </w:tcBorders>
            <w:shd w:val="clear" w:color="000000" w:fill="F2F2F2"/>
            <w:vAlign w:val="center"/>
            <w:hideMark/>
          </w:tcPr>
          <w:p w14:paraId="7BCEAADD"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73,000</w:t>
            </w:r>
          </w:p>
        </w:tc>
      </w:tr>
      <w:tr w:rsidR="00401088" w:rsidRPr="00401088" w14:paraId="151E0CDC" w14:textId="77777777" w:rsidTr="00624169">
        <w:trPr>
          <w:trHeight w:val="300"/>
          <w:jc w:val="center"/>
        </w:trPr>
        <w:tc>
          <w:tcPr>
            <w:tcW w:w="14776" w:type="dxa"/>
            <w:gridSpan w:val="11"/>
            <w:tcBorders>
              <w:top w:val="single" w:sz="8" w:space="0" w:color="008089"/>
              <w:left w:val="single" w:sz="8" w:space="0" w:color="008089"/>
              <w:bottom w:val="single" w:sz="8" w:space="0" w:color="008089"/>
              <w:right w:val="single" w:sz="8" w:space="0" w:color="008089"/>
            </w:tcBorders>
            <w:shd w:val="clear" w:color="000000" w:fill="F2F6E8"/>
            <w:vAlign w:val="center"/>
            <w:hideMark/>
          </w:tcPr>
          <w:p w14:paraId="712E37C2" w14:textId="77777777" w:rsidR="00401088" w:rsidRPr="00401088" w:rsidRDefault="00401088" w:rsidP="00401088">
            <w:pPr>
              <w:suppressAutoHyphens w:val="0"/>
              <w:spacing w:before="0" w:after="0"/>
              <w:rPr>
                <w:rFonts w:ascii="Calibri" w:eastAsia="Times New Roman" w:hAnsi="Calibri" w:cs="Calibri"/>
                <w:color w:val="000000"/>
                <w:lang w:eastAsia="en-AU"/>
              </w:rPr>
            </w:pPr>
            <w:r w:rsidRPr="00401088">
              <w:rPr>
                <w:rFonts w:ascii="Calibri" w:eastAsia="Times New Roman" w:hAnsi="Calibri" w:cs="Calibri"/>
                <w:color w:val="000000"/>
                <w:lang w:eastAsia="en-AU"/>
              </w:rPr>
              <w:t>NETBALL</w:t>
            </w:r>
          </w:p>
        </w:tc>
      </w:tr>
      <w:tr w:rsidR="00624169" w:rsidRPr="00401088" w14:paraId="1FC1AEA1" w14:textId="77777777" w:rsidTr="00624169">
        <w:trPr>
          <w:trHeight w:val="290"/>
          <w:jc w:val="center"/>
        </w:trPr>
        <w:tc>
          <w:tcPr>
            <w:tcW w:w="1502" w:type="dxa"/>
            <w:vMerge w:val="restart"/>
            <w:tcBorders>
              <w:top w:val="nil"/>
              <w:left w:val="single" w:sz="8" w:space="0" w:color="008089"/>
              <w:bottom w:val="single" w:sz="8" w:space="0" w:color="008089"/>
              <w:right w:val="nil"/>
            </w:tcBorders>
            <w:shd w:val="clear" w:color="000000" w:fill="F2F2F2"/>
            <w:vAlign w:val="center"/>
            <w:hideMark/>
          </w:tcPr>
          <w:p w14:paraId="3CDFFF4E" w14:textId="77777777" w:rsidR="00401088" w:rsidRPr="00DB204C" w:rsidRDefault="00401088" w:rsidP="00401088">
            <w:pPr>
              <w:suppressAutoHyphens w:val="0"/>
              <w:spacing w:before="0" w:after="0"/>
              <w:jc w:val="center"/>
              <w:rPr>
                <w:rFonts w:ascii="Calibri" w:eastAsia="Times New Roman" w:hAnsi="Calibri" w:cs="Calibri"/>
                <w:b/>
                <w:bCs/>
                <w:color w:val="000000"/>
                <w:sz w:val="18"/>
                <w:szCs w:val="18"/>
                <w:lang w:eastAsia="en-AU"/>
              </w:rPr>
            </w:pPr>
            <w:r w:rsidRPr="00DB204C">
              <w:rPr>
                <w:rFonts w:ascii="Calibri" w:eastAsia="Times New Roman" w:hAnsi="Calibri" w:cs="Calibri"/>
                <w:b/>
                <w:bCs/>
                <w:color w:val="000000"/>
                <w:sz w:val="18"/>
                <w:szCs w:val="18"/>
                <w:lang w:eastAsia="en-AU"/>
              </w:rPr>
              <w:t>International Netball</w:t>
            </w:r>
          </w:p>
        </w:tc>
        <w:tc>
          <w:tcPr>
            <w:tcW w:w="3308" w:type="dxa"/>
            <w:tcBorders>
              <w:top w:val="nil"/>
              <w:left w:val="nil"/>
              <w:bottom w:val="single" w:sz="4" w:space="0" w:color="008089"/>
              <w:right w:val="nil"/>
            </w:tcBorders>
            <w:shd w:val="clear" w:color="000000" w:fill="F2F2F2"/>
            <w:vAlign w:val="center"/>
            <w:hideMark/>
          </w:tcPr>
          <w:p w14:paraId="785233B1" w14:textId="77777777" w:rsidR="00401088" w:rsidRPr="00DB204C" w:rsidRDefault="00401088" w:rsidP="00401088">
            <w:pPr>
              <w:suppressAutoHyphens w:val="0"/>
              <w:spacing w:before="0" w:after="0"/>
              <w:rPr>
                <w:rFonts w:ascii="Calibri" w:eastAsia="Times New Roman" w:hAnsi="Calibri" w:cs="Calibri"/>
                <w:color w:val="000000"/>
                <w:sz w:val="18"/>
                <w:szCs w:val="18"/>
                <w:lang w:eastAsia="en-AU"/>
              </w:rPr>
            </w:pPr>
            <w:r w:rsidRPr="00DB204C">
              <w:rPr>
                <w:rFonts w:ascii="Calibri" w:eastAsia="Times New Roman" w:hAnsi="Calibri" w:cs="Calibri"/>
                <w:color w:val="000000"/>
                <w:sz w:val="18"/>
                <w:szCs w:val="18"/>
                <w:lang w:eastAsia="en-AU"/>
              </w:rPr>
              <w:t>Netball World Cup Semi-Finals</w:t>
            </w:r>
          </w:p>
        </w:tc>
        <w:tc>
          <w:tcPr>
            <w:tcW w:w="1843" w:type="dxa"/>
            <w:tcBorders>
              <w:top w:val="nil"/>
              <w:left w:val="nil"/>
              <w:bottom w:val="single" w:sz="4" w:space="0" w:color="008089"/>
              <w:right w:val="nil"/>
            </w:tcBorders>
            <w:shd w:val="clear" w:color="000000" w:fill="F2F2F2"/>
            <w:vAlign w:val="center"/>
            <w:hideMark/>
          </w:tcPr>
          <w:p w14:paraId="0495FDC6" w14:textId="77777777" w:rsidR="00401088" w:rsidRPr="00F85D80" w:rsidRDefault="00401088" w:rsidP="00401088">
            <w:pPr>
              <w:suppressAutoHyphens w:val="0"/>
              <w:spacing w:before="0" w:after="0"/>
              <w:rPr>
                <w:rFonts w:ascii="Calibri" w:eastAsia="Times New Roman" w:hAnsi="Calibri" w:cs="Calibri"/>
                <w:color w:val="000000"/>
                <w:sz w:val="16"/>
                <w:szCs w:val="16"/>
                <w:lang w:eastAsia="en-AU"/>
              </w:rPr>
            </w:pPr>
            <w:r w:rsidRPr="00F85D80">
              <w:rPr>
                <w:rFonts w:ascii="Calibri" w:eastAsia="Times New Roman" w:hAnsi="Calibri" w:cs="Calibri"/>
                <w:color w:val="000000"/>
                <w:sz w:val="16"/>
                <w:szCs w:val="16"/>
                <w:lang w:eastAsia="en-AU"/>
              </w:rPr>
              <w:t>Single match</w:t>
            </w:r>
          </w:p>
        </w:tc>
        <w:tc>
          <w:tcPr>
            <w:tcW w:w="1015" w:type="dxa"/>
            <w:tcBorders>
              <w:top w:val="nil"/>
              <w:left w:val="nil"/>
              <w:bottom w:val="single" w:sz="4" w:space="0" w:color="008089"/>
              <w:right w:val="nil"/>
            </w:tcBorders>
            <w:shd w:val="clear" w:color="000000" w:fill="F2F2F2"/>
            <w:vAlign w:val="center"/>
            <w:hideMark/>
          </w:tcPr>
          <w:p w14:paraId="09353AC6"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115,000</w:t>
            </w:r>
          </w:p>
        </w:tc>
        <w:tc>
          <w:tcPr>
            <w:tcW w:w="1015" w:type="dxa"/>
            <w:tcBorders>
              <w:top w:val="single" w:sz="4" w:space="0" w:color="008089"/>
              <w:left w:val="nil"/>
              <w:bottom w:val="single" w:sz="4" w:space="0" w:color="008089"/>
              <w:right w:val="nil"/>
            </w:tcBorders>
            <w:shd w:val="clear" w:color="000000" w:fill="F2F2F2"/>
            <w:vAlign w:val="center"/>
            <w:hideMark/>
          </w:tcPr>
          <w:p w14:paraId="5A1C66FD" w14:textId="77777777" w:rsidR="00401088" w:rsidRPr="00624169" w:rsidRDefault="00401088" w:rsidP="00401088">
            <w:pPr>
              <w:suppressAutoHyphens w:val="0"/>
              <w:spacing w:before="0" w:after="0"/>
              <w:jc w:val="right"/>
              <w:rPr>
                <w:rFonts w:ascii="Calibri" w:eastAsia="Times New Roman" w:hAnsi="Calibri" w:cs="Calibri"/>
                <w:i/>
                <w:iCs/>
                <w:color w:val="auto"/>
                <w:sz w:val="18"/>
                <w:szCs w:val="18"/>
                <w:lang w:eastAsia="en-AU"/>
              </w:rPr>
            </w:pPr>
            <w:r w:rsidRPr="00624169">
              <w:rPr>
                <w:rFonts w:ascii="Calibri" w:eastAsia="Times New Roman" w:hAnsi="Calibri" w:cs="Calibri"/>
                <w:i/>
                <w:iCs/>
                <w:color w:val="auto"/>
                <w:sz w:val="18"/>
                <w:szCs w:val="18"/>
                <w:lang w:eastAsia="en-AU"/>
              </w:rPr>
              <w:t>nh</w:t>
            </w:r>
          </w:p>
        </w:tc>
        <w:tc>
          <w:tcPr>
            <w:tcW w:w="1016" w:type="dxa"/>
            <w:tcBorders>
              <w:top w:val="single" w:sz="4" w:space="0" w:color="008089"/>
              <w:left w:val="nil"/>
              <w:bottom w:val="single" w:sz="4" w:space="0" w:color="008089"/>
              <w:right w:val="nil"/>
            </w:tcBorders>
            <w:shd w:val="clear" w:color="000000" w:fill="F2F2F2"/>
            <w:vAlign w:val="center"/>
            <w:hideMark/>
          </w:tcPr>
          <w:p w14:paraId="0EA7E66F" w14:textId="77777777" w:rsidR="00401088" w:rsidRPr="00624169" w:rsidRDefault="00401088" w:rsidP="00401088">
            <w:pPr>
              <w:suppressAutoHyphens w:val="0"/>
              <w:spacing w:before="0" w:after="0"/>
              <w:jc w:val="right"/>
              <w:rPr>
                <w:rFonts w:ascii="Calibri" w:eastAsia="Times New Roman" w:hAnsi="Calibri" w:cs="Calibri"/>
                <w:i/>
                <w:iCs/>
                <w:color w:val="auto"/>
                <w:sz w:val="18"/>
                <w:szCs w:val="18"/>
                <w:lang w:eastAsia="en-AU"/>
              </w:rPr>
            </w:pPr>
            <w:r w:rsidRPr="00624169">
              <w:rPr>
                <w:rFonts w:ascii="Calibri" w:eastAsia="Times New Roman" w:hAnsi="Calibri" w:cs="Calibri"/>
                <w:i/>
                <w:iCs/>
                <w:color w:val="auto"/>
                <w:sz w:val="18"/>
                <w:szCs w:val="18"/>
                <w:lang w:eastAsia="en-AU"/>
              </w:rPr>
              <w:t>nh</w:t>
            </w:r>
          </w:p>
        </w:tc>
        <w:tc>
          <w:tcPr>
            <w:tcW w:w="1015" w:type="dxa"/>
            <w:tcBorders>
              <w:top w:val="single" w:sz="4" w:space="0" w:color="008089"/>
              <w:left w:val="nil"/>
              <w:bottom w:val="single" w:sz="4" w:space="0" w:color="008089"/>
              <w:right w:val="nil"/>
            </w:tcBorders>
            <w:shd w:val="clear" w:color="000000" w:fill="F2F2F2"/>
            <w:vAlign w:val="center"/>
            <w:hideMark/>
          </w:tcPr>
          <w:p w14:paraId="5A3FE0BA" w14:textId="77777777" w:rsidR="00401088" w:rsidRPr="00624169" w:rsidRDefault="00401088" w:rsidP="00401088">
            <w:pPr>
              <w:suppressAutoHyphens w:val="0"/>
              <w:spacing w:before="0" w:after="0"/>
              <w:jc w:val="right"/>
              <w:rPr>
                <w:rFonts w:ascii="Calibri" w:eastAsia="Times New Roman" w:hAnsi="Calibri" w:cs="Calibri"/>
                <w:i/>
                <w:iCs/>
                <w:color w:val="auto"/>
                <w:sz w:val="18"/>
                <w:szCs w:val="18"/>
                <w:lang w:eastAsia="en-AU"/>
              </w:rPr>
            </w:pPr>
            <w:r w:rsidRPr="00624169">
              <w:rPr>
                <w:rFonts w:ascii="Calibri" w:eastAsia="Times New Roman" w:hAnsi="Calibri" w:cs="Calibri"/>
                <w:i/>
                <w:iCs/>
                <w:color w:val="auto"/>
                <w:sz w:val="18"/>
                <w:szCs w:val="18"/>
                <w:lang w:eastAsia="en-AU"/>
              </w:rPr>
              <w:t>nh</w:t>
            </w:r>
          </w:p>
        </w:tc>
        <w:tc>
          <w:tcPr>
            <w:tcW w:w="1015" w:type="dxa"/>
            <w:tcBorders>
              <w:top w:val="nil"/>
              <w:left w:val="nil"/>
              <w:bottom w:val="single" w:sz="4" w:space="0" w:color="008089"/>
              <w:right w:val="nil"/>
            </w:tcBorders>
            <w:shd w:val="clear" w:color="000000" w:fill="F2F2F2"/>
            <w:vAlign w:val="center"/>
            <w:hideMark/>
          </w:tcPr>
          <w:p w14:paraId="5F9D2672"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173,000</w:t>
            </w:r>
          </w:p>
        </w:tc>
        <w:tc>
          <w:tcPr>
            <w:tcW w:w="1016" w:type="dxa"/>
            <w:tcBorders>
              <w:top w:val="single" w:sz="4" w:space="0" w:color="008089"/>
              <w:left w:val="nil"/>
              <w:bottom w:val="single" w:sz="4" w:space="0" w:color="008089"/>
              <w:right w:val="nil"/>
            </w:tcBorders>
            <w:shd w:val="clear" w:color="000000" w:fill="F2F2F2"/>
            <w:vAlign w:val="center"/>
            <w:hideMark/>
          </w:tcPr>
          <w:p w14:paraId="2AD8CC51" w14:textId="77777777" w:rsidR="00401088" w:rsidRPr="00624169" w:rsidRDefault="00401088" w:rsidP="00401088">
            <w:pPr>
              <w:suppressAutoHyphens w:val="0"/>
              <w:spacing w:before="0" w:after="0"/>
              <w:jc w:val="right"/>
              <w:rPr>
                <w:rFonts w:ascii="Calibri" w:eastAsia="Times New Roman" w:hAnsi="Calibri" w:cs="Calibri"/>
                <w:i/>
                <w:iCs/>
                <w:color w:val="auto"/>
                <w:sz w:val="18"/>
                <w:szCs w:val="18"/>
                <w:lang w:eastAsia="en-AU"/>
              </w:rPr>
            </w:pPr>
            <w:r w:rsidRPr="00624169">
              <w:rPr>
                <w:rFonts w:ascii="Calibri" w:eastAsia="Times New Roman" w:hAnsi="Calibri" w:cs="Calibri"/>
                <w:i/>
                <w:iCs/>
                <w:color w:val="auto"/>
                <w:sz w:val="18"/>
                <w:szCs w:val="18"/>
                <w:lang w:eastAsia="en-AU"/>
              </w:rPr>
              <w:t>nh</w:t>
            </w:r>
          </w:p>
        </w:tc>
        <w:tc>
          <w:tcPr>
            <w:tcW w:w="1015" w:type="dxa"/>
            <w:tcBorders>
              <w:top w:val="single" w:sz="4" w:space="0" w:color="008089"/>
              <w:left w:val="nil"/>
              <w:bottom w:val="single" w:sz="4" w:space="0" w:color="008089"/>
              <w:right w:val="nil"/>
            </w:tcBorders>
            <w:shd w:val="clear" w:color="000000" w:fill="F2F2F2"/>
            <w:vAlign w:val="center"/>
            <w:hideMark/>
          </w:tcPr>
          <w:p w14:paraId="5A22FE4A" w14:textId="77777777" w:rsidR="00401088" w:rsidRPr="00624169" w:rsidRDefault="00401088" w:rsidP="00401088">
            <w:pPr>
              <w:suppressAutoHyphens w:val="0"/>
              <w:spacing w:before="0" w:after="0"/>
              <w:jc w:val="right"/>
              <w:rPr>
                <w:rFonts w:ascii="Calibri" w:eastAsia="Times New Roman" w:hAnsi="Calibri" w:cs="Calibri"/>
                <w:i/>
                <w:iCs/>
                <w:color w:val="auto"/>
                <w:sz w:val="18"/>
                <w:szCs w:val="18"/>
                <w:lang w:eastAsia="en-AU"/>
              </w:rPr>
            </w:pPr>
            <w:r w:rsidRPr="00624169">
              <w:rPr>
                <w:rFonts w:ascii="Calibri" w:eastAsia="Times New Roman" w:hAnsi="Calibri" w:cs="Calibri"/>
                <w:i/>
                <w:iCs/>
                <w:color w:val="auto"/>
                <w:sz w:val="18"/>
                <w:szCs w:val="18"/>
                <w:lang w:eastAsia="en-AU"/>
              </w:rPr>
              <w:t>nh</w:t>
            </w:r>
          </w:p>
        </w:tc>
        <w:tc>
          <w:tcPr>
            <w:tcW w:w="1016" w:type="dxa"/>
            <w:tcBorders>
              <w:top w:val="single" w:sz="4" w:space="0" w:color="008089"/>
              <w:left w:val="nil"/>
              <w:bottom w:val="single" w:sz="4" w:space="0" w:color="008089"/>
              <w:right w:val="single" w:sz="8" w:space="0" w:color="008089"/>
            </w:tcBorders>
            <w:shd w:val="clear" w:color="000000" w:fill="F2F2F2"/>
            <w:vAlign w:val="center"/>
            <w:hideMark/>
          </w:tcPr>
          <w:p w14:paraId="0B8245F0" w14:textId="77777777" w:rsidR="00401088" w:rsidRPr="00624169" w:rsidRDefault="00401088" w:rsidP="00401088">
            <w:pPr>
              <w:suppressAutoHyphens w:val="0"/>
              <w:spacing w:before="0" w:after="0"/>
              <w:jc w:val="right"/>
              <w:rPr>
                <w:rFonts w:ascii="Calibri" w:eastAsia="Times New Roman" w:hAnsi="Calibri" w:cs="Calibri"/>
                <w:i/>
                <w:iCs/>
                <w:color w:val="auto"/>
                <w:sz w:val="18"/>
                <w:szCs w:val="18"/>
                <w:lang w:eastAsia="en-AU"/>
              </w:rPr>
            </w:pPr>
            <w:r w:rsidRPr="00624169">
              <w:rPr>
                <w:rFonts w:ascii="Calibri" w:eastAsia="Times New Roman" w:hAnsi="Calibri" w:cs="Calibri"/>
                <w:i/>
                <w:iCs/>
                <w:color w:val="auto"/>
                <w:sz w:val="18"/>
                <w:szCs w:val="18"/>
                <w:lang w:eastAsia="en-AU"/>
              </w:rPr>
              <w:t>nh</w:t>
            </w:r>
          </w:p>
        </w:tc>
      </w:tr>
      <w:tr w:rsidR="00624169" w:rsidRPr="00401088" w14:paraId="2060ADD6" w14:textId="77777777" w:rsidTr="00624169">
        <w:trPr>
          <w:trHeight w:val="290"/>
          <w:jc w:val="center"/>
        </w:trPr>
        <w:tc>
          <w:tcPr>
            <w:tcW w:w="1502" w:type="dxa"/>
            <w:vMerge/>
            <w:tcBorders>
              <w:top w:val="nil"/>
              <w:left w:val="single" w:sz="8" w:space="0" w:color="008089"/>
              <w:bottom w:val="single" w:sz="8" w:space="0" w:color="008089"/>
              <w:right w:val="nil"/>
            </w:tcBorders>
            <w:vAlign w:val="center"/>
            <w:hideMark/>
          </w:tcPr>
          <w:p w14:paraId="645510EE" w14:textId="77777777" w:rsidR="00401088" w:rsidRPr="00DB204C" w:rsidRDefault="00401088" w:rsidP="00401088">
            <w:pPr>
              <w:suppressAutoHyphens w:val="0"/>
              <w:spacing w:before="0" w:after="0"/>
              <w:rPr>
                <w:rFonts w:ascii="Calibri" w:eastAsia="Times New Roman" w:hAnsi="Calibri" w:cs="Calibri"/>
                <w:b/>
                <w:bCs/>
                <w:color w:val="000000"/>
                <w:sz w:val="18"/>
                <w:szCs w:val="18"/>
                <w:lang w:eastAsia="en-AU"/>
              </w:rPr>
            </w:pPr>
          </w:p>
        </w:tc>
        <w:tc>
          <w:tcPr>
            <w:tcW w:w="3308" w:type="dxa"/>
            <w:tcBorders>
              <w:top w:val="nil"/>
              <w:left w:val="nil"/>
              <w:bottom w:val="single" w:sz="4" w:space="0" w:color="008089"/>
              <w:right w:val="nil"/>
            </w:tcBorders>
            <w:shd w:val="clear" w:color="000000" w:fill="F2F2F2"/>
            <w:vAlign w:val="center"/>
            <w:hideMark/>
          </w:tcPr>
          <w:p w14:paraId="2E776E60" w14:textId="77777777" w:rsidR="00401088" w:rsidRPr="00DB204C" w:rsidRDefault="00401088" w:rsidP="00401088">
            <w:pPr>
              <w:suppressAutoHyphens w:val="0"/>
              <w:spacing w:before="0" w:after="0"/>
              <w:rPr>
                <w:rFonts w:ascii="Calibri" w:eastAsia="Times New Roman" w:hAnsi="Calibri" w:cs="Calibri"/>
                <w:color w:val="000000"/>
                <w:sz w:val="18"/>
                <w:szCs w:val="18"/>
                <w:lang w:eastAsia="en-AU"/>
              </w:rPr>
            </w:pPr>
            <w:r w:rsidRPr="00DB204C">
              <w:rPr>
                <w:rFonts w:ascii="Calibri" w:eastAsia="Times New Roman" w:hAnsi="Calibri" w:cs="Calibri"/>
                <w:color w:val="000000"/>
                <w:sz w:val="18"/>
                <w:szCs w:val="18"/>
                <w:lang w:eastAsia="en-AU"/>
              </w:rPr>
              <w:t>Netball World Cup Finals</w:t>
            </w:r>
          </w:p>
        </w:tc>
        <w:tc>
          <w:tcPr>
            <w:tcW w:w="1843" w:type="dxa"/>
            <w:tcBorders>
              <w:top w:val="nil"/>
              <w:left w:val="nil"/>
              <w:bottom w:val="single" w:sz="4" w:space="0" w:color="008089"/>
              <w:right w:val="nil"/>
            </w:tcBorders>
            <w:shd w:val="clear" w:color="000000" w:fill="F2F2F2"/>
            <w:vAlign w:val="center"/>
            <w:hideMark/>
          </w:tcPr>
          <w:p w14:paraId="36D232A4" w14:textId="77777777" w:rsidR="00401088" w:rsidRPr="00F85D80" w:rsidRDefault="00401088" w:rsidP="00401088">
            <w:pPr>
              <w:suppressAutoHyphens w:val="0"/>
              <w:spacing w:before="0" w:after="0"/>
              <w:rPr>
                <w:rFonts w:ascii="Calibri" w:eastAsia="Times New Roman" w:hAnsi="Calibri" w:cs="Calibri"/>
                <w:color w:val="000000"/>
                <w:sz w:val="16"/>
                <w:szCs w:val="16"/>
                <w:lang w:eastAsia="en-AU"/>
              </w:rPr>
            </w:pPr>
            <w:r w:rsidRPr="00F85D80">
              <w:rPr>
                <w:rFonts w:ascii="Calibri" w:eastAsia="Times New Roman" w:hAnsi="Calibri" w:cs="Calibri"/>
                <w:color w:val="000000"/>
                <w:sz w:val="16"/>
                <w:szCs w:val="16"/>
                <w:lang w:eastAsia="en-AU"/>
              </w:rPr>
              <w:t>Single match</w:t>
            </w:r>
          </w:p>
        </w:tc>
        <w:tc>
          <w:tcPr>
            <w:tcW w:w="1015" w:type="dxa"/>
            <w:tcBorders>
              <w:top w:val="nil"/>
              <w:left w:val="nil"/>
              <w:bottom w:val="single" w:sz="4" w:space="0" w:color="008089"/>
              <w:right w:val="nil"/>
            </w:tcBorders>
            <w:shd w:val="clear" w:color="000000" w:fill="F2F2F2"/>
            <w:vAlign w:val="center"/>
            <w:hideMark/>
          </w:tcPr>
          <w:p w14:paraId="38ED8848"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366,000</w:t>
            </w:r>
          </w:p>
        </w:tc>
        <w:tc>
          <w:tcPr>
            <w:tcW w:w="1015" w:type="dxa"/>
            <w:tcBorders>
              <w:top w:val="nil"/>
              <w:left w:val="nil"/>
              <w:bottom w:val="single" w:sz="4" w:space="0" w:color="008089"/>
              <w:right w:val="nil"/>
            </w:tcBorders>
            <w:shd w:val="clear" w:color="000000" w:fill="F2F2F2"/>
            <w:vAlign w:val="center"/>
            <w:hideMark/>
          </w:tcPr>
          <w:p w14:paraId="0B920FAC" w14:textId="77777777" w:rsidR="00401088" w:rsidRPr="00624169" w:rsidRDefault="00401088" w:rsidP="00401088">
            <w:pPr>
              <w:suppressAutoHyphens w:val="0"/>
              <w:spacing w:before="0" w:after="0"/>
              <w:jc w:val="right"/>
              <w:rPr>
                <w:rFonts w:ascii="Calibri" w:eastAsia="Times New Roman" w:hAnsi="Calibri" w:cs="Calibri"/>
                <w:i/>
                <w:iCs/>
                <w:color w:val="auto"/>
                <w:sz w:val="18"/>
                <w:szCs w:val="18"/>
                <w:lang w:eastAsia="en-AU"/>
              </w:rPr>
            </w:pPr>
            <w:r w:rsidRPr="00624169">
              <w:rPr>
                <w:rFonts w:ascii="Calibri" w:eastAsia="Times New Roman" w:hAnsi="Calibri" w:cs="Calibri"/>
                <w:i/>
                <w:iCs/>
                <w:color w:val="auto"/>
                <w:sz w:val="18"/>
                <w:szCs w:val="18"/>
                <w:lang w:eastAsia="en-AU"/>
              </w:rPr>
              <w:t>nh</w:t>
            </w:r>
          </w:p>
        </w:tc>
        <w:tc>
          <w:tcPr>
            <w:tcW w:w="1016" w:type="dxa"/>
            <w:tcBorders>
              <w:top w:val="nil"/>
              <w:left w:val="nil"/>
              <w:bottom w:val="single" w:sz="4" w:space="0" w:color="008089"/>
              <w:right w:val="nil"/>
            </w:tcBorders>
            <w:shd w:val="clear" w:color="000000" w:fill="F2F2F2"/>
            <w:vAlign w:val="center"/>
            <w:hideMark/>
          </w:tcPr>
          <w:p w14:paraId="7D6FE0F8" w14:textId="77777777" w:rsidR="00401088" w:rsidRPr="00624169" w:rsidRDefault="00401088" w:rsidP="00401088">
            <w:pPr>
              <w:suppressAutoHyphens w:val="0"/>
              <w:spacing w:before="0" w:after="0"/>
              <w:jc w:val="right"/>
              <w:rPr>
                <w:rFonts w:ascii="Calibri" w:eastAsia="Times New Roman" w:hAnsi="Calibri" w:cs="Calibri"/>
                <w:i/>
                <w:iCs/>
                <w:color w:val="auto"/>
                <w:sz w:val="18"/>
                <w:szCs w:val="18"/>
                <w:lang w:eastAsia="en-AU"/>
              </w:rPr>
            </w:pPr>
            <w:r w:rsidRPr="00624169">
              <w:rPr>
                <w:rFonts w:ascii="Calibri" w:eastAsia="Times New Roman" w:hAnsi="Calibri" w:cs="Calibri"/>
                <w:i/>
                <w:iCs/>
                <w:color w:val="auto"/>
                <w:sz w:val="18"/>
                <w:szCs w:val="18"/>
                <w:lang w:eastAsia="en-AU"/>
              </w:rPr>
              <w:t>nh</w:t>
            </w:r>
          </w:p>
        </w:tc>
        <w:tc>
          <w:tcPr>
            <w:tcW w:w="1015" w:type="dxa"/>
            <w:tcBorders>
              <w:top w:val="nil"/>
              <w:left w:val="nil"/>
              <w:bottom w:val="single" w:sz="4" w:space="0" w:color="008089"/>
              <w:right w:val="nil"/>
            </w:tcBorders>
            <w:shd w:val="clear" w:color="000000" w:fill="F2F2F2"/>
            <w:vAlign w:val="center"/>
            <w:hideMark/>
          </w:tcPr>
          <w:p w14:paraId="48167FBB" w14:textId="77777777" w:rsidR="00401088" w:rsidRPr="00624169" w:rsidRDefault="00401088" w:rsidP="00401088">
            <w:pPr>
              <w:suppressAutoHyphens w:val="0"/>
              <w:spacing w:before="0" w:after="0"/>
              <w:jc w:val="right"/>
              <w:rPr>
                <w:rFonts w:ascii="Calibri" w:eastAsia="Times New Roman" w:hAnsi="Calibri" w:cs="Calibri"/>
                <w:i/>
                <w:iCs/>
                <w:color w:val="auto"/>
                <w:sz w:val="18"/>
                <w:szCs w:val="18"/>
                <w:lang w:eastAsia="en-AU"/>
              </w:rPr>
            </w:pPr>
            <w:r w:rsidRPr="00624169">
              <w:rPr>
                <w:rFonts w:ascii="Calibri" w:eastAsia="Times New Roman" w:hAnsi="Calibri" w:cs="Calibri"/>
                <w:i/>
                <w:iCs/>
                <w:color w:val="auto"/>
                <w:sz w:val="18"/>
                <w:szCs w:val="18"/>
                <w:lang w:eastAsia="en-AU"/>
              </w:rPr>
              <w:t>nh</w:t>
            </w:r>
          </w:p>
        </w:tc>
        <w:tc>
          <w:tcPr>
            <w:tcW w:w="1015" w:type="dxa"/>
            <w:tcBorders>
              <w:top w:val="nil"/>
              <w:left w:val="nil"/>
              <w:bottom w:val="single" w:sz="4" w:space="0" w:color="008089"/>
              <w:right w:val="nil"/>
            </w:tcBorders>
            <w:shd w:val="clear" w:color="000000" w:fill="F2F2F2"/>
            <w:vAlign w:val="center"/>
            <w:hideMark/>
          </w:tcPr>
          <w:p w14:paraId="222F09AB"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68,000</w:t>
            </w:r>
          </w:p>
        </w:tc>
        <w:tc>
          <w:tcPr>
            <w:tcW w:w="1016" w:type="dxa"/>
            <w:tcBorders>
              <w:top w:val="nil"/>
              <w:left w:val="nil"/>
              <w:bottom w:val="single" w:sz="4" w:space="0" w:color="008089"/>
              <w:right w:val="nil"/>
            </w:tcBorders>
            <w:shd w:val="clear" w:color="000000" w:fill="F2F2F2"/>
            <w:vAlign w:val="center"/>
            <w:hideMark/>
          </w:tcPr>
          <w:p w14:paraId="0192ABB5" w14:textId="77777777" w:rsidR="00401088" w:rsidRPr="00624169" w:rsidRDefault="00401088" w:rsidP="00401088">
            <w:pPr>
              <w:suppressAutoHyphens w:val="0"/>
              <w:spacing w:before="0" w:after="0"/>
              <w:jc w:val="right"/>
              <w:rPr>
                <w:rFonts w:ascii="Calibri" w:eastAsia="Times New Roman" w:hAnsi="Calibri" w:cs="Calibri"/>
                <w:i/>
                <w:iCs/>
                <w:color w:val="auto"/>
                <w:sz w:val="18"/>
                <w:szCs w:val="18"/>
                <w:lang w:eastAsia="en-AU"/>
              </w:rPr>
            </w:pPr>
            <w:r w:rsidRPr="00624169">
              <w:rPr>
                <w:rFonts w:ascii="Calibri" w:eastAsia="Times New Roman" w:hAnsi="Calibri" w:cs="Calibri"/>
                <w:i/>
                <w:iCs/>
                <w:color w:val="auto"/>
                <w:sz w:val="18"/>
                <w:szCs w:val="18"/>
                <w:lang w:eastAsia="en-AU"/>
              </w:rPr>
              <w:t>nh</w:t>
            </w:r>
          </w:p>
        </w:tc>
        <w:tc>
          <w:tcPr>
            <w:tcW w:w="1015" w:type="dxa"/>
            <w:tcBorders>
              <w:top w:val="nil"/>
              <w:left w:val="nil"/>
              <w:bottom w:val="single" w:sz="4" w:space="0" w:color="008089"/>
              <w:right w:val="nil"/>
            </w:tcBorders>
            <w:shd w:val="clear" w:color="000000" w:fill="F2F2F2"/>
            <w:vAlign w:val="center"/>
            <w:hideMark/>
          </w:tcPr>
          <w:p w14:paraId="72D1F646" w14:textId="77777777" w:rsidR="00401088" w:rsidRPr="00624169" w:rsidRDefault="00401088" w:rsidP="00401088">
            <w:pPr>
              <w:suppressAutoHyphens w:val="0"/>
              <w:spacing w:before="0" w:after="0"/>
              <w:jc w:val="right"/>
              <w:rPr>
                <w:rFonts w:ascii="Calibri" w:eastAsia="Times New Roman" w:hAnsi="Calibri" w:cs="Calibri"/>
                <w:i/>
                <w:iCs/>
                <w:color w:val="auto"/>
                <w:sz w:val="18"/>
                <w:szCs w:val="18"/>
                <w:lang w:eastAsia="en-AU"/>
              </w:rPr>
            </w:pPr>
            <w:r w:rsidRPr="00624169">
              <w:rPr>
                <w:rFonts w:ascii="Calibri" w:eastAsia="Times New Roman" w:hAnsi="Calibri" w:cs="Calibri"/>
                <w:i/>
                <w:iCs/>
                <w:color w:val="auto"/>
                <w:sz w:val="18"/>
                <w:szCs w:val="18"/>
                <w:lang w:eastAsia="en-AU"/>
              </w:rPr>
              <w:t>nh</w:t>
            </w:r>
          </w:p>
        </w:tc>
        <w:tc>
          <w:tcPr>
            <w:tcW w:w="1016" w:type="dxa"/>
            <w:tcBorders>
              <w:top w:val="nil"/>
              <w:left w:val="nil"/>
              <w:bottom w:val="single" w:sz="4" w:space="0" w:color="008089"/>
              <w:right w:val="single" w:sz="8" w:space="0" w:color="008089"/>
            </w:tcBorders>
            <w:shd w:val="clear" w:color="000000" w:fill="F2F2F2"/>
            <w:vAlign w:val="center"/>
            <w:hideMark/>
          </w:tcPr>
          <w:p w14:paraId="7BE1CC1F" w14:textId="77777777" w:rsidR="00401088" w:rsidRPr="00624169" w:rsidRDefault="00401088" w:rsidP="00401088">
            <w:pPr>
              <w:suppressAutoHyphens w:val="0"/>
              <w:spacing w:before="0" w:after="0"/>
              <w:jc w:val="right"/>
              <w:rPr>
                <w:rFonts w:ascii="Calibri" w:eastAsia="Times New Roman" w:hAnsi="Calibri" w:cs="Calibri"/>
                <w:i/>
                <w:iCs/>
                <w:color w:val="auto"/>
                <w:sz w:val="18"/>
                <w:szCs w:val="18"/>
                <w:lang w:eastAsia="en-AU"/>
              </w:rPr>
            </w:pPr>
            <w:r w:rsidRPr="00624169">
              <w:rPr>
                <w:rFonts w:ascii="Calibri" w:eastAsia="Times New Roman" w:hAnsi="Calibri" w:cs="Calibri"/>
                <w:i/>
                <w:iCs/>
                <w:color w:val="auto"/>
                <w:sz w:val="18"/>
                <w:szCs w:val="18"/>
                <w:lang w:eastAsia="en-AU"/>
              </w:rPr>
              <w:t>nh</w:t>
            </w:r>
          </w:p>
        </w:tc>
      </w:tr>
      <w:tr w:rsidR="00624169" w:rsidRPr="00401088" w14:paraId="4B8AF989" w14:textId="77777777" w:rsidTr="009F489D">
        <w:trPr>
          <w:trHeight w:val="451"/>
          <w:jc w:val="center"/>
        </w:trPr>
        <w:tc>
          <w:tcPr>
            <w:tcW w:w="1502" w:type="dxa"/>
            <w:vMerge/>
            <w:tcBorders>
              <w:top w:val="nil"/>
              <w:left w:val="single" w:sz="8" w:space="0" w:color="008089"/>
              <w:bottom w:val="single" w:sz="8" w:space="0" w:color="008089"/>
              <w:right w:val="nil"/>
            </w:tcBorders>
            <w:vAlign w:val="center"/>
            <w:hideMark/>
          </w:tcPr>
          <w:p w14:paraId="37F9A5DD" w14:textId="77777777" w:rsidR="00401088" w:rsidRPr="00DB204C" w:rsidRDefault="00401088" w:rsidP="00401088">
            <w:pPr>
              <w:suppressAutoHyphens w:val="0"/>
              <w:spacing w:before="0" w:after="0"/>
              <w:rPr>
                <w:rFonts w:ascii="Calibri" w:eastAsia="Times New Roman" w:hAnsi="Calibri" w:cs="Calibri"/>
                <w:b/>
                <w:bCs/>
                <w:color w:val="000000"/>
                <w:sz w:val="18"/>
                <w:szCs w:val="18"/>
                <w:lang w:eastAsia="en-AU"/>
              </w:rPr>
            </w:pPr>
          </w:p>
        </w:tc>
        <w:tc>
          <w:tcPr>
            <w:tcW w:w="3308" w:type="dxa"/>
            <w:tcBorders>
              <w:top w:val="nil"/>
              <w:left w:val="nil"/>
              <w:bottom w:val="nil"/>
              <w:right w:val="nil"/>
            </w:tcBorders>
            <w:shd w:val="clear" w:color="000000" w:fill="F2F2F2"/>
            <w:vAlign w:val="center"/>
            <w:hideMark/>
          </w:tcPr>
          <w:p w14:paraId="7F5CCED2" w14:textId="77777777" w:rsidR="00401088" w:rsidRPr="00DB204C" w:rsidRDefault="00401088" w:rsidP="00401088">
            <w:pPr>
              <w:suppressAutoHyphens w:val="0"/>
              <w:spacing w:before="0" w:after="0"/>
              <w:rPr>
                <w:rFonts w:ascii="Calibri" w:eastAsia="Times New Roman" w:hAnsi="Calibri" w:cs="Calibri"/>
                <w:color w:val="000000"/>
                <w:sz w:val="18"/>
                <w:szCs w:val="18"/>
                <w:lang w:eastAsia="en-AU"/>
              </w:rPr>
            </w:pPr>
            <w:r w:rsidRPr="00DB204C">
              <w:rPr>
                <w:rFonts w:ascii="Calibri" w:eastAsia="Times New Roman" w:hAnsi="Calibri" w:cs="Calibri"/>
                <w:color w:val="000000"/>
                <w:sz w:val="18"/>
                <w:szCs w:val="18"/>
                <w:lang w:eastAsia="en-AU"/>
              </w:rPr>
              <w:t>International Test Matches</w:t>
            </w:r>
          </w:p>
        </w:tc>
        <w:tc>
          <w:tcPr>
            <w:tcW w:w="1843" w:type="dxa"/>
            <w:tcBorders>
              <w:top w:val="nil"/>
              <w:left w:val="nil"/>
              <w:bottom w:val="nil"/>
              <w:right w:val="nil"/>
            </w:tcBorders>
            <w:shd w:val="clear" w:color="000000" w:fill="F2F2F2"/>
            <w:vAlign w:val="center"/>
            <w:hideMark/>
          </w:tcPr>
          <w:p w14:paraId="26774FB1" w14:textId="77777777" w:rsidR="00401088" w:rsidRPr="00F85D80" w:rsidRDefault="00401088" w:rsidP="00401088">
            <w:pPr>
              <w:suppressAutoHyphens w:val="0"/>
              <w:spacing w:before="0" w:after="0"/>
              <w:rPr>
                <w:rFonts w:ascii="Calibri" w:eastAsia="Times New Roman" w:hAnsi="Calibri" w:cs="Calibri"/>
                <w:color w:val="auto"/>
                <w:sz w:val="16"/>
                <w:szCs w:val="16"/>
                <w:lang w:eastAsia="en-AU"/>
              </w:rPr>
            </w:pPr>
            <w:r w:rsidRPr="00F85D80">
              <w:rPr>
                <w:rFonts w:ascii="Calibri" w:eastAsia="Times New Roman" w:hAnsi="Calibri" w:cs="Calibri"/>
                <w:color w:val="auto"/>
                <w:sz w:val="16"/>
                <w:szCs w:val="16"/>
                <w:lang w:eastAsia="en-AU"/>
              </w:rPr>
              <w:t>All matches on main channel where possible</w:t>
            </w:r>
          </w:p>
        </w:tc>
        <w:tc>
          <w:tcPr>
            <w:tcW w:w="1015" w:type="dxa"/>
            <w:tcBorders>
              <w:top w:val="nil"/>
              <w:left w:val="nil"/>
              <w:bottom w:val="nil"/>
              <w:right w:val="nil"/>
            </w:tcBorders>
            <w:shd w:val="clear" w:color="000000" w:fill="F2F2F2"/>
            <w:vAlign w:val="center"/>
            <w:hideMark/>
          </w:tcPr>
          <w:p w14:paraId="4A390773"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78,000</w:t>
            </w:r>
          </w:p>
        </w:tc>
        <w:tc>
          <w:tcPr>
            <w:tcW w:w="1015" w:type="dxa"/>
            <w:tcBorders>
              <w:top w:val="nil"/>
              <w:left w:val="nil"/>
              <w:bottom w:val="nil"/>
              <w:right w:val="nil"/>
            </w:tcBorders>
            <w:shd w:val="clear" w:color="000000" w:fill="F2F2F2"/>
            <w:vAlign w:val="center"/>
            <w:hideMark/>
          </w:tcPr>
          <w:p w14:paraId="08DFB1EE"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39,000</w:t>
            </w:r>
          </w:p>
        </w:tc>
        <w:tc>
          <w:tcPr>
            <w:tcW w:w="1016" w:type="dxa"/>
            <w:tcBorders>
              <w:top w:val="nil"/>
              <w:left w:val="nil"/>
              <w:bottom w:val="nil"/>
              <w:right w:val="nil"/>
            </w:tcBorders>
            <w:shd w:val="clear" w:color="000000" w:fill="F2F2F2"/>
            <w:vAlign w:val="center"/>
            <w:hideMark/>
          </w:tcPr>
          <w:p w14:paraId="08B9A133"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101,000</w:t>
            </w:r>
          </w:p>
        </w:tc>
        <w:tc>
          <w:tcPr>
            <w:tcW w:w="1015" w:type="dxa"/>
            <w:tcBorders>
              <w:top w:val="nil"/>
              <w:left w:val="nil"/>
              <w:bottom w:val="nil"/>
              <w:right w:val="nil"/>
            </w:tcBorders>
            <w:shd w:val="clear" w:color="000000" w:fill="F2F2F2"/>
            <w:vAlign w:val="center"/>
            <w:hideMark/>
          </w:tcPr>
          <w:p w14:paraId="5469DBAC"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110,000</w:t>
            </w:r>
          </w:p>
        </w:tc>
        <w:tc>
          <w:tcPr>
            <w:tcW w:w="1015" w:type="dxa"/>
            <w:tcBorders>
              <w:top w:val="nil"/>
              <w:left w:val="nil"/>
              <w:bottom w:val="nil"/>
              <w:right w:val="nil"/>
            </w:tcBorders>
            <w:shd w:val="clear" w:color="000000" w:fill="F2F2F2"/>
            <w:vAlign w:val="center"/>
            <w:hideMark/>
          </w:tcPr>
          <w:p w14:paraId="7C1D2D86"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104,000</w:t>
            </w:r>
          </w:p>
        </w:tc>
        <w:tc>
          <w:tcPr>
            <w:tcW w:w="1016" w:type="dxa"/>
            <w:tcBorders>
              <w:top w:val="nil"/>
              <w:left w:val="nil"/>
              <w:bottom w:val="single" w:sz="4" w:space="0" w:color="008089"/>
              <w:right w:val="nil"/>
            </w:tcBorders>
            <w:shd w:val="clear" w:color="000000" w:fill="F2F2F2"/>
            <w:vAlign w:val="center"/>
            <w:hideMark/>
          </w:tcPr>
          <w:p w14:paraId="066857EF" w14:textId="77777777" w:rsidR="00401088" w:rsidRPr="00624169" w:rsidRDefault="00401088" w:rsidP="00401088">
            <w:pPr>
              <w:suppressAutoHyphens w:val="0"/>
              <w:spacing w:before="0" w:after="0"/>
              <w:jc w:val="right"/>
              <w:rPr>
                <w:rFonts w:ascii="Calibri" w:eastAsia="Times New Roman" w:hAnsi="Calibri" w:cs="Calibri"/>
                <w:i/>
                <w:iCs/>
                <w:color w:val="auto"/>
                <w:sz w:val="18"/>
                <w:szCs w:val="18"/>
                <w:lang w:eastAsia="en-AU"/>
              </w:rPr>
            </w:pPr>
            <w:r w:rsidRPr="00624169">
              <w:rPr>
                <w:rFonts w:ascii="Calibri" w:eastAsia="Times New Roman" w:hAnsi="Calibri" w:cs="Calibri"/>
                <w:i/>
                <w:iCs/>
                <w:color w:val="auto"/>
                <w:sz w:val="18"/>
                <w:szCs w:val="18"/>
                <w:lang w:eastAsia="en-AU"/>
              </w:rPr>
              <w:t>covid</w:t>
            </w:r>
          </w:p>
        </w:tc>
        <w:tc>
          <w:tcPr>
            <w:tcW w:w="1015" w:type="dxa"/>
            <w:tcBorders>
              <w:top w:val="nil"/>
              <w:left w:val="nil"/>
              <w:bottom w:val="nil"/>
              <w:right w:val="nil"/>
            </w:tcBorders>
            <w:shd w:val="clear" w:color="000000" w:fill="F2F2F2"/>
            <w:vAlign w:val="center"/>
            <w:hideMark/>
          </w:tcPr>
          <w:p w14:paraId="6C020ED0"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77,000</w:t>
            </w:r>
          </w:p>
        </w:tc>
        <w:tc>
          <w:tcPr>
            <w:tcW w:w="1016" w:type="dxa"/>
            <w:tcBorders>
              <w:top w:val="nil"/>
              <w:left w:val="nil"/>
              <w:bottom w:val="nil"/>
              <w:right w:val="single" w:sz="8" w:space="0" w:color="008089"/>
            </w:tcBorders>
            <w:shd w:val="clear" w:color="000000" w:fill="F2F2F2"/>
            <w:vAlign w:val="center"/>
            <w:hideMark/>
          </w:tcPr>
          <w:p w14:paraId="25FF3B19" w14:textId="77777777" w:rsidR="00401088" w:rsidRPr="00624169" w:rsidRDefault="00401088" w:rsidP="00401088">
            <w:pPr>
              <w:suppressAutoHyphens w:val="0"/>
              <w:spacing w:before="0" w:after="0"/>
              <w:jc w:val="right"/>
              <w:rPr>
                <w:rFonts w:ascii="Calibri" w:eastAsia="Times New Roman" w:hAnsi="Calibri" w:cs="Calibri"/>
                <w:i/>
                <w:iCs/>
                <w:color w:val="auto"/>
                <w:sz w:val="18"/>
                <w:szCs w:val="18"/>
                <w:lang w:eastAsia="en-AU"/>
              </w:rPr>
            </w:pPr>
            <w:r w:rsidRPr="00624169">
              <w:rPr>
                <w:rFonts w:ascii="Calibri" w:eastAsia="Times New Roman" w:hAnsi="Calibri" w:cs="Calibri"/>
                <w:i/>
                <w:iCs/>
                <w:color w:val="auto"/>
                <w:sz w:val="18"/>
                <w:szCs w:val="18"/>
                <w:lang w:eastAsia="en-AU"/>
              </w:rPr>
              <w:t>enc</w:t>
            </w:r>
          </w:p>
        </w:tc>
      </w:tr>
      <w:tr w:rsidR="00624169" w:rsidRPr="00401088" w14:paraId="5EE2209E" w14:textId="77777777" w:rsidTr="00624169">
        <w:trPr>
          <w:trHeight w:val="290"/>
          <w:jc w:val="center"/>
        </w:trPr>
        <w:tc>
          <w:tcPr>
            <w:tcW w:w="1502" w:type="dxa"/>
            <w:vMerge w:val="restart"/>
            <w:tcBorders>
              <w:top w:val="nil"/>
              <w:left w:val="single" w:sz="8" w:space="0" w:color="008089"/>
              <w:bottom w:val="single" w:sz="8" w:space="0" w:color="008089"/>
              <w:right w:val="nil"/>
            </w:tcBorders>
            <w:shd w:val="clear" w:color="000000" w:fill="F2F2F2"/>
            <w:vAlign w:val="center"/>
            <w:hideMark/>
          </w:tcPr>
          <w:p w14:paraId="2D93D33D" w14:textId="77777777" w:rsidR="00401088" w:rsidRPr="00DB204C" w:rsidRDefault="00401088" w:rsidP="00401088">
            <w:pPr>
              <w:suppressAutoHyphens w:val="0"/>
              <w:spacing w:before="0" w:after="0"/>
              <w:jc w:val="center"/>
              <w:rPr>
                <w:rFonts w:ascii="Calibri" w:eastAsia="Times New Roman" w:hAnsi="Calibri" w:cs="Calibri"/>
                <w:b/>
                <w:bCs/>
                <w:color w:val="000000"/>
                <w:sz w:val="18"/>
                <w:szCs w:val="18"/>
                <w:lang w:eastAsia="en-AU"/>
              </w:rPr>
            </w:pPr>
            <w:r w:rsidRPr="00DB204C">
              <w:rPr>
                <w:rFonts w:ascii="Calibri" w:eastAsia="Times New Roman" w:hAnsi="Calibri" w:cs="Calibri"/>
                <w:b/>
                <w:bCs/>
                <w:color w:val="000000"/>
                <w:sz w:val="18"/>
                <w:szCs w:val="18"/>
                <w:lang w:eastAsia="en-AU"/>
              </w:rPr>
              <w:t>Super Netball</w:t>
            </w:r>
          </w:p>
        </w:tc>
        <w:tc>
          <w:tcPr>
            <w:tcW w:w="3308" w:type="dxa"/>
            <w:tcBorders>
              <w:top w:val="single" w:sz="8" w:space="0" w:color="008089"/>
              <w:left w:val="nil"/>
              <w:bottom w:val="single" w:sz="4" w:space="0" w:color="008089"/>
              <w:right w:val="nil"/>
            </w:tcBorders>
            <w:shd w:val="clear" w:color="000000" w:fill="F2F2F2"/>
            <w:vAlign w:val="center"/>
            <w:hideMark/>
          </w:tcPr>
          <w:p w14:paraId="1B1B962A" w14:textId="77777777" w:rsidR="00401088" w:rsidRPr="00DB204C" w:rsidRDefault="00401088" w:rsidP="00401088">
            <w:pPr>
              <w:suppressAutoHyphens w:val="0"/>
              <w:spacing w:before="0" w:after="0"/>
              <w:rPr>
                <w:rFonts w:ascii="Calibri" w:eastAsia="Times New Roman" w:hAnsi="Calibri" w:cs="Calibri"/>
                <w:color w:val="000000"/>
                <w:sz w:val="18"/>
                <w:szCs w:val="18"/>
                <w:lang w:eastAsia="en-AU"/>
              </w:rPr>
            </w:pPr>
            <w:r w:rsidRPr="00DB204C">
              <w:rPr>
                <w:rFonts w:ascii="Calibri" w:eastAsia="Times New Roman" w:hAnsi="Calibri" w:cs="Calibri"/>
                <w:color w:val="000000"/>
                <w:sz w:val="18"/>
                <w:szCs w:val="18"/>
                <w:lang w:eastAsia="en-AU"/>
              </w:rPr>
              <w:t>Super Netball Matches</w:t>
            </w:r>
          </w:p>
        </w:tc>
        <w:tc>
          <w:tcPr>
            <w:tcW w:w="1843" w:type="dxa"/>
            <w:tcBorders>
              <w:top w:val="single" w:sz="8" w:space="0" w:color="008089"/>
              <w:left w:val="nil"/>
              <w:bottom w:val="single" w:sz="4" w:space="0" w:color="008089"/>
              <w:right w:val="nil"/>
            </w:tcBorders>
            <w:shd w:val="clear" w:color="000000" w:fill="F2F2F2"/>
            <w:vAlign w:val="center"/>
            <w:hideMark/>
          </w:tcPr>
          <w:p w14:paraId="0C5C9C48" w14:textId="77777777" w:rsidR="00401088" w:rsidRPr="00F85D80" w:rsidRDefault="00401088" w:rsidP="00401088">
            <w:pPr>
              <w:suppressAutoHyphens w:val="0"/>
              <w:spacing w:before="0" w:after="0"/>
              <w:rPr>
                <w:rFonts w:ascii="Calibri" w:eastAsia="Times New Roman" w:hAnsi="Calibri" w:cs="Calibri"/>
                <w:color w:val="auto"/>
                <w:sz w:val="16"/>
                <w:szCs w:val="16"/>
                <w:lang w:eastAsia="en-AU"/>
              </w:rPr>
            </w:pPr>
            <w:r w:rsidRPr="00F85D80">
              <w:rPr>
                <w:rFonts w:ascii="Calibri" w:eastAsia="Times New Roman" w:hAnsi="Calibri" w:cs="Calibri"/>
                <w:color w:val="auto"/>
                <w:sz w:val="16"/>
                <w:szCs w:val="16"/>
                <w:lang w:eastAsia="en-AU"/>
              </w:rPr>
              <w:t>All matches average (excluding finals)</w:t>
            </w:r>
          </w:p>
        </w:tc>
        <w:tc>
          <w:tcPr>
            <w:tcW w:w="1015" w:type="dxa"/>
            <w:tcBorders>
              <w:top w:val="single" w:sz="8" w:space="0" w:color="008089"/>
              <w:left w:val="nil"/>
              <w:bottom w:val="single" w:sz="4" w:space="0" w:color="008089"/>
              <w:right w:val="nil"/>
            </w:tcBorders>
            <w:shd w:val="clear" w:color="000000" w:fill="F2F2F2"/>
            <w:vAlign w:val="center"/>
            <w:hideMark/>
          </w:tcPr>
          <w:p w14:paraId="57E43385" w14:textId="77777777" w:rsidR="00401088" w:rsidRPr="00624169" w:rsidRDefault="00401088" w:rsidP="00401088">
            <w:pPr>
              <w:suppressAutoHyphens w:val="0"/>
              <w:spacing w:before="0" w:after="0"/>
              <w:jc w:val="right"/>
              <w:rPr>
                <w:rFonts w:ascii="Calibri" w:eastAsia="Times New Roman" w:hAnsi="Calibri" w:cs="Calibri"/>
                <w:i/>
                <w:iCs/>
                <w:color w:val="auto"/>
                <w:sz w:val="18"/>
                <w:szCs w:val="18"/>
                <w:lang w:eastAsia="en-AU"/>
              </w:rPr>
            </w:pPr>
            <w:r w:rsidRPr="00624169">
              <w:rPr>
                <w:rFonts w:ascii="Calibri" w:eastAsia="Times New Roman" w:hAnsi="Calibri" w:cs="Calibri"/>
                <w:i/>
                <w:iCs/>
                <w:color w:val="auto"/>
                <w:sz w:val="18"/>
                <w:szCs w:val="18"/>
                <w:lang w:eastAsia="en-AU"/>
              </w:rPr>
              <w:t>nda</w:t>
            </w:r>
          </w:p>
        </w:tc>
        <w:tc>
          <w:tcPr>
            <w:tcW w:w="1015" w:type="dxa"/>
            <w:tcBorders>
              <w:top w:val="single" w:sz="8" w:space="0" w:color="008089"/>
              <w:left w:val="nil"/>
              <w:bottom w:val="single" w:sz="4" w:space="0" w:color="008089"/>
              <w:right w:val="nil"/>
            </w:tcBorders>
            <w:shd w:val="clear" w:color="000000" w:fill="F2F2F2"/>
            <w:vAlign w:val="center"/>
            <w:hideMark/>
          </w:tcPr>
          <w:p w14:paraId="68996C73" w14:textId="77777777" w:rsidR="00401088" w:rsidRPr="00624169" w:rsidRDefault="00401088" w:rsidP="00401088">
            <w:pPr>
              <w:suppressAutoHyphens w:val="0"/>
              <w:spacing w:before="0" w:after="0"/>
              <w:jc w:val="right"/>
              <w:rPr>
                <w:rFonts w:ascii="Calibri" w:eastAsia="Times New Roman" w:hAnsi="Calibri" w:cs="Calibri"/>
                <w:i/>
                <w:iCs/>
                <w:color w:val="auto"/>
                <w:sz w:val="18"/>
                <w:szCs w:val="18"/>
                <w:lang w:eastAsia="en-AU"/>
              </w:rPr>
            </w:pPr>
            <w:r w:rsidRPr="00624169">
              <w:rPr>
                <w:rFonts w:ascii="Calibri" w:eastAsia="Times New Roman" w:hAnsi="Calibri" w:cs="Calibri"/>
                <w:i/>
                <w:iCs/>
                <w:color w:val="auto"/>
                <w:sz w:val="18"/>
                <w:szCs w:val="18"/>
                <w:lang w:eastAsia="en-AU"/>
              </w:rPr>
              <w:t>nda</w:t>
            </w:r>
          </w:p>
        </w:tc>
        <w:tc>
          <w:tcPr>
            <w:tcW w:w="1016" w:type="dxa"/>
            <w:tcBorders>
              <w:top w:val="single" w:sz="8" w:space="0" w:color="008089"/>
              <w:left w:val="nil"/>
              <w:bottom w:val="single" w:sz="4" w:space="0" w:color="008089"/>
              <w:right w:val="nil"/>
            </w:tcBorders>
            <w:shd w:val="clear" w:color="000000" w:fill="F2F2F2"/>
            <w:vAlign w:val="center"/>
            <w:hideMark/>
          </w:tcPr>
          <w:p w14:paraId="60E270A3"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63,000</w:t>
            </w:r>
          </w:p>
        </w:tc>
        <w:tc>
          <w:tcPr>
            <w:tcW w:w="1015" w:type="dxa"/>
            <w:tcBorders>
              <w:top w:val="single" w:sz="8" w:space="0" w:color="008089"/>
              <w:left w:val="nil"/>
              <w:bottom w:val="single" w:sz="4" w:space="0" w:color="008089"/>
              <w:right w:val="nil"/>
            </w:tcBorders>
            <w:shd w:val="clear" w:color="000000" w:fill="F2F2F2"/>
            <w:vAlign w:val="center"/>
            <w:hideMark/>
          </w:tcPr>
          <w:p w14:paraId="6A07F687"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87,000</w:t>
            </w:r>
          </w:p>
        </w:tc>
        <w:tc>
          <w:tcPr>
            <w:tcW w:w="1015" w:type="dxa"/>
            <w:tcBorders>
              <w:top w:val="single" w:sz="8" w:space="0" w:color="008089"/>
              <w:left w:val="nil"/>
              <w:bottom w:val="single" w:sz="4" w:space="0" w:color="008089"/>
              <w:right w:val="nil"/>
            </w:tcBorders>
            <w:shd w:val="clear" w:color="000000" w:fill="F2F2F2"/>
            <w:vAlign w:val="center"/>
            <w:hideMark/>
          </w:tcPr>
          <w:p w14:paraId="4E8986AA"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90,000</w:t>
            </w:r>
          </w:p>
        </w:tc>
        <w:tc>
          <w:tcPr>
            <w:tcW w:w="1016" w:type="dxa"/>
            <w:tcBorders>
              <w:top w:val="single" w:sz="8" w:space="0" w:color="008089"/>
              <w:left w:val="nil"/>
              <w:bottom w:val="single" w:sz="4" w:space="0" w:color="008089"/>
              <w:right w:val="nil"/>
            </w:tcBorders>
            <w:shd w:val="clear" w:color="000000" w:fill="F2F2F2"/>
            <w:vAlign w:val="center"/>
            <w:hideMark/>
          </w:tcPr>
          <w:p w14:paraId="0CFFF7A3"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94,000</w:t>
            </w:r>
          </w:p>
        </w:tc>
        <w:tc>
          <w:tcPr>
            <w:tcW w:w="1015" w:type="dxa"/>
            <w:tcBorders>
              <w:top w:val="single" w:sz="8" w:space="0" w:color="008089"/>
              <w:left w:val="nil"/>
              <w:bottom w:val="single" w:sz="4" w:space="0" w:color="008089"/>
              <w:right w:val="nil"/>
            </w:tcBorders>
            <w:shd w:val="clear" w:color="000000" w:fill="F2F2F2"/>
            <w:vAlign w:val="center"/>
            <w:hideMark/>
          </w:tcPr>
          <w:p w14:paraId="52CBCD74"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93,000</w:t>
            </w:r>
          </w:p>
        </w:tc>
        <w:tc>
          <w:tcPr>
            <w:tcW w:w="1016" w:type="dxa"/>
            <w:tcBorders>
              <w:top w:val="single" w:sz="8" w:space="0" w:color="008089"/>
              <w:left w:val="nil"/>
              <w:bottom w:val="single" w:sz="4" w:space="0" w:color="008089"/>
              <w:right w:val="single" w:sz="8" w:space="0" w:color="008089"/>
            </w:tcBorders>
            <w:shd w:val="clear" w:color="000000" w:fill="F2F2F2"/>
            <w:vAlign w:val="center"/>
            <w:hideMark/>
          </w:tcPr>
          <w:p w14:paraId="6F95BF8B" w14:textId="392D8E09" w:rsidR="00401088" w:rsidRPr="007C3CA4" w:rsidRDefault="007C3CA4" w:rsidP="00401088">
            <w:pPr>
              <w:suppressAutoHyphens w:val="0"/>
              <w:spacing w:before="0" w:after="0"/>
              <w:jc w:val="right"/>
              <w:rPr>
                <w:rFonts w:ascii="Calibri" w:eastAsia="Times New Roman" w:hAnsi="Calibri" w:cs="Calibri"/>
                <w:i/>
                <w:color w:val="auto"/>
                <w:sz w:val="18"/>
                <w:szCs w:val="18"/>
                <w:lang w:eastAsia="en-AU"/>
              </w:rPr>
            </w:pPr>
            <w:r w:rsidRPr="007C3CA4">
              <w:rPr>
                <w:rFonts w:ascii="Calibri" w:eastAsia="Times New Roman" w:hAnsi="Calibri" w:cs="Calibri"/>
                <w:i/>
                <w:iCs/>
                <w:color w:val="auto"/>
                <w:sz w:val="18"/>
                <w:szCs w:val="18"/>
                <w:lang w:eastAsia="en-AU"/>
              </w:rPr>
              <w:t>enc</w:t>
            </w:r>
          </w:p>
        </w:tc>
      </w:tr>
      <w:tr w:rsidR="00624169" w:rsidRPr="00401088" w14:paraId="0DFDD91F" w14:textId="77777777" w:rsidTr="00624169">
        <w:trPr>
          <w:trHeight w:val="300"/>
          <w:jc w:val="center"/>
        </w:trPr>
        <w:tc>
          <w:tcPr>
            <w:tcW w:w="1502" w:type="dxa"/>
            <w:vMerge/>
            <w:tcBorders>
              <w:top w:val="nil"/>
              <w:left w:val="single" w:sz="8" w:space="0" w:color="008089"/>
              <w:bottom w:val="single" w:sz="8" w:space="0" w:color="008089"/>
              <w:right w:val="nil"/>
            </w:tcBorders>
            <w:vAlign w:val="center"/>
            <w:hideMark/>
          </w:tcPr>
          <w:p w14:paraId="240A479C" w14:textId="77777777" w:rsidR="00401088" w:rsidRPr="00DB204C" w:rsidRDefault="00401088" w:rsidP="00401088">
            <w:pPr>
              <w:suppressAutoHyphens w:val="0"/>
              <w:spacing w:before="0" w:after="0"/>
              <w:rPr>
                <w:rFonts w:ascii="Calibri" w:eastAsia="Times New Roman" w:hAnsi="Calibri" w:cs="Calibri"/>
                <w:b/>
                <w:bCs/>
                <w:color w:val="000000"/>
                <w:sz w:val="18"/>
                <w:szCs w:val="18"/>
                <w:lang w:eastAsia="en-AU"/>
              </w:rPr>
            </w:pPr>
          </w:p>
        </w:tc>
        <w:tc>
          <w:tcPr>
            <w:tcW w:w="3308" w:type="dxa"/>
            <w:tcBorders>
              <w:top w:val="nil"/>
              <w:left w:val="nil"/>
              <w:bottom w:val="single" w:sz="8" w:space="0" w:color="008089"/>
              <w:right w:val="nil"/>
            </w:tcBorders>
            <w:shd w:val="clear" w:color="000000" w:fill="F2F2F2"/>
            <w:vAlign w:val="center"/>
            <w:hideMark/>
          </w:tcPr>
          <w:p w14:paraId="3969E8F7" w14:textId="77777777" w:rsidR="00401088" w:rsidRPr="00DB204C" w:rsidRDefault="00401088" w:rsidP="00401088">
            <w:pPr>
              <w:suppressAutoHyphens w:val="0"/>
              <w:spacing w:before="0" w:after="0"/>
              <w:rPr>
                <w:rFonts w:ascii="Calibri" w:eastAsia="Times New Roman" w:hAnsi="Calibri" w:cs="Calibri"/>
                <w:color w:val="000000"/>
                <w:sz w:val="18"/>
                <w:szCs w:val="18"/>
                <w:lang w:eastAsia="en-AU"/>
              </w:rPr>
            </w:pPr>
            <w:r w:rsidRPr="00DB204C">
              <w:rPr>
                <w:rFonts w:ascii="Calibri" w:eastAsia="Times New Roman" w:hAnsi="Calibri" w:cs="Calibri"/>
                <w:color w:val="000000"/>
                <w:sz w:val="18"/>
                <w:szCs w:val="18"/>
                <w:lang w:eastAsia="en-AU"/>
              </w:rPr>
              <w:t>Super Netball Finals</w:t>
            </w:r>
          </w:p>
        </w:tc>
        <w:tc>
          <w:tcPr>
            <w:tcW w:w="1843" w:type="dxa"/>
            <w:tcBorders>
              <w:top w:val="nil"/>
              <w:left w:val="nil"/>
              <w:bottom w:val="single" w:sz="8" w:space="0" w:color="008089"/>
              <w:right w:val="nil"/>
            </w:tcBorders>
            <w:shd w:val="clear" w:color="000000" w:fill="F2F2F2"/>
            <w:vAlign w:val="center"/>
            <w:hideMark/>
          </w:tcPr>
          <w:p w14:paraId="2F1B1589" w14:textId="77777777" w:rsidR="00401088" w:rsidRPr="00F85D80" w:rsidRDefault="00401088" w:rsidP="00401088">
            <w:pPr>
              <w:suppressAutoHyphens w:val="0"/>
              <w:spacing w:before="0" w:after="0"/>
              <w:rPr>
                <w:rFonts w:ascii="Calibri" w:eastAsia="Times New Roman" w:hAnsi="Calibri" w:cs="Calibri"/>
                <w:color w:val="auto"/>
                <w:sz w:val="16"/>
                <w:szCs w:val="16"/>
                <w:lang w:eastAsia="en-AU"/>
              </w:rPr>
            </w:pPr>
            <w:r w:rsidRPr="00F85D80">
              <w:rPr>
                <w:rFonts w:ascii="Calibri" w:eastAsia="Times New Roman" w:hAnsi="Calibri" w:cs="Calibri"/>
                <w:color w:val="auto"/>
                <w:sz w:val="16"/>
                <w:szCs w:val="16"/>
                <w:lang w:eastAsia="en-AU"/>
              </w:rPr>
              <w:t>Average of finals</w:t>
            </w:r>
          </w:p>
        </w:tc>
        <w:tc>
          <w:tcPr>
            <w:tcW w:w="1015" w:type="dxa"/>
            <w:tcBorders>
              <w:top w:val="nil"/>
              <w:left w:val="nil"/>
              <w:bottom w:val="single" w:sz="8" w:space="0" w:color="008089"/>
              <w:right w:val="nil"/>
            </w:tcBorders>
            <w:shd w:val="clear" w:color="000000" w:fill="F2F2F2"/>
            <w:vAlign w:val="center"/>
            <w:hideMark/>
          </w:tcPr>
          <w:p w14:paraId="3D15FF63" w14:textId="77777777" w:rsidR="00401088" w:rsidRPr="00624169" w:rsidRDefault="00401088" w:rsidP="00401088">
            <w:pPr>
              <w:suppressAutoHyphens w:val="0"/>
              <w:spacing w:before="0" w:after="0"/>
              <w:jc w:val="right"/>
              <w:rPr>
                <w:rFonts w:ascii="Calibri" w:eastAsia="Times New Roman" w:hAnsi="Calibri" w:cs="Calibri"/>
                <w:i/>
                <w:iCs/>
                <w:color w:val="auto"/>
                <w:sz w:val="18"/>
                <w:szCs w:val="18"/>
                <w:lang w:eastAsia="en-AU"/>
              </w:rPr>
            </w:pPr>
            <w:r w:rsidRPr="00624169">
              <w:rPr>
                <w:rFonts w:ascii="Calibri" w:eastAsia="Times New Roman" w:hAnsi="Calibri" w:cs="Calibri"/>
                <w:i/>
                <w:iCs/>
                <w:color w:val="auto"/>
                <w:sz w:val="18"/>
                <w:szCs w:val="18"/>
                <w:lang w:eastAsia="en-AU"/>
              </w:rPr>
              <w:t>nda</w:t>
            </w:r>
          </w:p>
        </w:tc>
        <w:tc>
          <w:tcPr>
            <w:tcW w:w="1015" w:type="dxa"/>
            <w:tcBorders>
              <w:top w:val="nil"/>
              <w:left w:val="nil"/>
              <w:bottom w:val="single" w:sz="8" w:space="0" w:color="008089"/>
              <w:right w:val="nil"/>
            </w:tcBorders>
            <w:shd w:val="clear" w:color="000000" w:fill="F2F2F2"/>
            <w:vAlign w:val="center"/>
            <w:hideMark/>
          </w:tcPr>
          <w:p w14:paraId="0FF351E8" w14:textId="77777777" w:rsidR="00401088" w:rsidRPr="00624169" w:rsidRDefault="00401088" w:rsidP="00401088">
            <w:pPr>
              <w:suppressAutoHyphens w:val="0"/>
              <w:spacing w:before="0" w:after="0"/>
              <w:jc w:val="right"/>
              <w:rPr>
                <w:rFonts w:ascii="Calibri" w:eastAsia="Times New Roman" w:hAnsi="Calibri" w:cs="Calibri"/>
                <w:i/>
                <w:iCs/>
                <w:color w:val="auto"/>
                <w:sz w:val="18"/>
                <w:szCs w:val="18"/>
                <w:lang w:eastAsia="en-AU"/>
              </w:rPr>
            </w:pPr>
            <w:r w:rsidRPr="00624169">
              <w:rPr>
                <w:rFonts w:ascii="Calibri" w:eastAsia="Times New Roman" w:hAnsi="Calibri" w:cs="Calibri"/>
                <w:i/>
                <w:iCs/>
                <w:color w:val="auto"/>
                <w:sz w:val="18"/>
                <w:szCs w:val="18"/>
                <w:lang w:eastAsia="en-AU"/>
              </w:rPr>
              <w:t>nda</w:t>
            </w:r>
          </w:p>
        </w:tc>
        <w:tc>
          <w:tcPr>
            <w:tcW w:w="1016" w:type="dxa"/>
            <w:tcBorders>
              <w:top w:val="nil"/>
              <w:left w:val="nil"/>
              <w:bottom w:val="single" w:sz="8" w:space="0" w:color="008089"/>
              <w:right w:val="nil"/>
            </w:tcBorders>
            <w:shd w:val="clear" w:color="000000" w:fill="F2F2F2"/>
            <w:vAlign w:val="center"/>
            <w:hideMark/>
          </w:tcPr>
          <w:p w14:paraId="0499FC10"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127,000</w:t>
            </w:r>
          </w:p>
        </w:tc>
        <w:tc>
          <w:tcPr>
            <w:tcW w:w="1015" w:type="dxa"/>
            <w:tcBorders>
              <w:top w:val="nil"/>
              <w:left w:val="nil"/>
              <w:bottom w:val="single" w:sz="8" w:space="0" w:color="008089"/>
              <w:right w:val="nil"/>
            </w:tcBorders>
            <w:shd w:val="clear" w:color="000000" w:fill="F2F2F2"/>
            <w:vAlign w:val="center"/>
            <w:hideMark/>
          </w:tcPr>
          <w:p w14:paraId="2267AFEE"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146,000</w:t>
            </w:r>
          </w:p>
        </w:tc>
        <w:tc>
          <w:tcPr>
            <w:tcW w:w="1015" w:type="dxa"/>
            <w:tcBorders>
              <w:top w:val="nil"/>
              <w:left w:val="nil"/>
              <w:bottom w:val="single" w:sz="8" w:space="0" w:color="008089"/>
              <w:right w:val="nil"/>
            </w:tcBorders>
            <w:shd w:val="clear" w:color="000000" w:fill="F2F2F2"/>
            <w:vAlign w:val="center"/>
            <w:hideMark/>
          </w:tcPr>
          <w:p w14:paraId="7ED50730"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133,000</w:t>
            </w:r>
          </w:p>
        </w:tc>
        <w:tc>
          <w:tcPr>
            <w:tcW w:w="1016" w:type="dxa"/>
            <w:tcBorders>
              <w:top w:val="nil"/>
              <w:left w:val="nil"/>
              <w:bottom w:val="single" w:sz="8" w:space="0" w:color="008089"/>
              <w:right w:val="nil"/>
            </w:tcBorders>
            <w:shd w:val="clear" w:color="000000" w:fill="F2F2F2"/>
            <w:vAlign w:val="center"/>
            <w:hideMark/>
          </w:tcPr>
          <w:p w14:paraId="4D81B273"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115,000</w:t>
            </w:r>
          </w:p>
        </w:tc>
        <w:tc>
          <w:tcPr>
            <w:tcW w:w="1015" w:type="dxa"/>
            <w:tcBorders>
              <w:top w:val="nil"/>
              <w:left w:val="nil"/>
              <w:bottom w:val="single" w:sz="8" w:space="0" w:color="008089"/>
              <w:right w:val="nil"/>
            </w:tcBorders>
            <w:shd w:val="clear" w:color="000000" w:fill="F2F2F2"/>
            <w:vAlign w:val="center"/>
            <w:hideMark/>
          </w:tcPr>
          <w:p w14:paraId="03A7C2EB"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123,000</w:t>
            </w:r>
          </w:p>
        </w:tc>
        <w:tc>
          <w:tcPr>
            <w:tcW w:w="1016" w:type="dxa"/>
            <w:tcBorders>
              <w:top w:val="nil"/>
              <w:left w:val="nil"/>
              <w:bottom w:val="single" w:sz="8" w:space="0" w:color="008089"/>
              <w:right w:val="single" w:sz="8" w:space="0" w:color="008089"/>
            </w:tcBorders>
            <w:shd w:val="clear" w:color="000000" w:fill="F2F2F2"/>
            <w:vAlign w:val="center"/>
            <w:hideMark/>
          </w:tcPr>
          <w:p w14:paraId="55ED5C61" w14:textId="1695260E" w:rsidR="00401088" w:rsidRPr="007C3CA4" w:rsidRDefault="007C3CA4" w:rsidP="00401088">
            <w:pPr>
              <w:suppressAutoHyphens w:val="0"/>
              <w:spacing w:before="0" w:after="0"/>
              <w:jc w:val="right"/>
              <w:rPr>
                <w:rFonts w:ascii="Calibri" w:eastAsia="Times New Roman" w:hAnsi="Calibri" w:cs="Calibri"/>
                <w:i/>
                <w:color w:val="auto"/>
                <w:sz w:val="18"/>
                <w:szCs w:val="18"/>
                <w:lang w:eastAsia="en-AU"/>
              </w:rPr>
            </w:pPr>
            <w:r w:rsidRPr="007C3CA4">
              <w:rPr>
                <w:rFonts w:ascii="Calibri" w:eastAsia="Times New Roman" w:hAnsi="Calibri" w:cs="Calibri"/>
                <w:i/>
                <w:iCs/>
                <w:color w:val="auto"/>
                <w:sz w:val="18"/>
                <w:szCs w:val="18"/>
                <w:lang w:eastAsia="en-AU"/>
              </w:rPr>
              <w:t>enc</w:t>
            </w:r>
          </w:p>
        </w:tc>
      </w:tr>
      <w:tr w:rsidR="00401088" w:rsidRPr="00401088" w14:paraId="50C554ED" w14:textId="77777777" w:rsidTr="00624169">
        <w:trPr>
          <w:trHeight w:val="300"/>
          <w:jc w:val="center"/>
        </w:trPr>
        <w:tc>
          <w:tcPr>
            <w:tcW w:w="14776" w:type="dxa"/>
            <w:gridSpan w:val="11"/>
            <w:tcBorders>
              <w:top w:val="single" w:sz="8" w:space="0" w:color="008089"/>
              <w:left w:val="single" w:sz="8" w:space="0" w:color="008089"/>
              <w:bottom w:val="single" w:sz="8" w:space="0" w:color="008089"/>
              <w:right w:val="single" w:sz="8" w:space="0" w:color="008089"/>
            </w:tcBorders>
            <w:shd w:val="clear" w:color="000000" w:fill="F2F6E8"/>
            <w:vAlign w:val="center"/>
            <w:hideMark/>
          </w:tcPr>
          <w:p w14:paraId="5E7F329B" w14:textId="77777777" w:rsidR="00401088" w:rsidRPr="00401088" w:rsidRDefault="00401088" w:rsidP="00401088">
            <w:pPr>
              <w:suppressAutoHyphens w:val="0"/>
              <w:spacing w:before="0" w:after="0"/>
              <w:rPr>
                <w:rFonts w:ascii="Calibri" w:eastAsia="Times New Roman" w:hAnsi="Calibri" w:cs="Calibri"/>
                <w:color w:val="000000"/>
                <w:lang w:eastAsia="en-AU"/>
              </w:rPr>
            </w:pPr>
            <w:r w:rsidRPr="00401088">
              <w:rPr>
                <w:rFonts w:ascii="Calibri" w:eastAsia="Times New Roman" w:hAnsi="Calibri" w:cs="Calibri"/>
                <w:color w:val="000000"/>
                <w:lang w:eastAsia="en-AU"/>
              </w:rPr>
              <w:t>TENNIS</w:t>
            </w:r>
          </w:p>
        </w:tc>
      </w:tr>
      <w:tr w:rsidR="00624169" w:rsidRPr="00401088" w14:paraId="7F5CABE9" w14:textId="77777777" w:rsidTr="009F489D">
        <w:trPr>
          <w:trHeight w:val="344"/>
          <w:jc w:val="center"/>
        </w:trPr>
        <w:tc>
          <w:tcPr>
            <w:tcW w:w="1502" w:type="dxa"/>
            <w:vMerge w:val="restart"/>
            <w:tcBorders>
              <w:top w:val="nil"/>
              <w:left w:val="single" w:sz="8" w:space="0" w:color="008089"/>
              <w:bottom w:val="single" w:sz="8" w:space="0" w:color="008089"/>
              <w:right w:val="nil"/>
            </w:tcBorders>
            <w:shd w:val="clear" w:color="000000" w:fill="F2F2F2"/>
            <w:vAlign w:val="center"/>
            <w:hideMark/>
          </w:tcPr>
          <w:p w14:paraId="3D57E229" w14:textId="77777777" w:rsidR="00401088" w:rsidRPr="00DB204C" w:rsidRDefault="00401088" w:rsidP="00401088">
            <w:pPr>
              <w:suppressAutoHyphens w:val="0"/>
              <w:spacing w:before="0" w:after="0"/>
              <w:jc w:val="center"/>
              <w:rPr>
                <w:rFonts w:ascii="Calibri" w:eastAsia="Times New Roman" w:hAnsi="Calibri" w:cs="Calibri"/>
                <w:b/>
                <w:bCs/>
                <w:color w:val="000000"/>
                <w:sz w:val="18"/>
                <w:szCs w:val="18"/>
                <w:lang w:eastAsia="en-AU"/>
              </w:rPr>
            </w:pPr>
            <w:r w:rsidRPr="00DB204C">
              <w:rPr>
                <w:rFonts w:ascii="Calibri" w:eastAsia="Times New Roman" w:hAnsi="Calibri" w:cs="Calibri"/>
                <w:b/>
                <w:bCs/>
                <w:color w:val="000000"/>
                <w:sz w:val="18"/>
                <w:szCs w:val="18"/>
                <w:lang w:eastAsia="en-AU"/>
              </w:rPr>
              <w:t>Australian Open</w:t>
            </w:r>
          </w:p>
        </w:tc>
        <w:tc>
          <w:tcPr>
            <w:tcW w:w="3308" w:type="dxa"/>
            <w:tcBorders>
              <w:top w:val="nil"/>
              <w:left w:val="nil"/>
              <w:bottom w:val="single" w:sz="4" w:space="0" w:color="008089"/>
              <w:right w:val="nil"/>
            </w:tcBorders>
            <w:shd w:val="clear" w:color="000000" w:fill="F2F2F2"/>
            <w:vAlign w:val="center"/>
            <w:hideMark/>
          </w:tcPr>
          <w:p w14:paraId="6F8C2578" w14:textId="77777777" w:rsidR="00401088" w:rsidRPr="00DB204C" w:rsidRDefault="00401088" w:rsidP="00401088">
            <w:pPr>
              <w:suppressAutoHyphens w:val="0"/>
              <w:spacing w:before="0" w:after="0"/>
              <w:rPr>
                <w:rFonts w:ascii="Calibri" w:eastAsia="Times New Roman" w:hAnsi="Calibri" w:cs="Calibri"/>
                <w:color w:val="000000"/>
                <w:sz w:val="18"/>
                <w:szCs w:val="18"/>
                <w:lang w:eastAsia="en-AU"/>
              </w:rPr>
            </w:pPr>
            <w:r w:rsidRPr="00DB204C">
              <w:rPr>
                <w:rFonts w:ascii="Calibri" w:eastAsia="Times New Roman" w:hAnsi="Calibri" w:cs="Calibri"/>
                <w:color w:val="000000"/>
                <w:sz w:val="18"/>
                <w:szCs w:val="18"/>
                <w:lang w:eastAsia="en-AU"/>
              </w:rPr>
              <w:t>Day 1-7</w:t>
            </w:r>
          </w:p>
        </w:tc>
        <w:tc>
          <w:tcPr>
            <w:tcW w:w="1843" w:type="dxa"/>
            <w:tcBorders>
              <w:top w:val="nil"/>
              <w:left w:val="nil"/>
              <w:bottom w:val="single" w:sz="4" w:space="0" w:color="008089"/>
              <w:right w:val="nil"/>
            </w:tcBorders>
            <w:shd w:val="clear" w:color="000000" w:fill="F2F2F2"/>
            <w:vAlign w:val="center"/>
            <w:hideMark/>
          </w:tcPr>
          <w:p w14:paraId="6E865FFB" w14:textId="77777777" w:rsidR="00401088" w:rsidRPr="00F85D80" w:rsidRDefault="00401088" w:rsidP="00401088">
            <w:pPr>
              <w:suppressAutoHyphens w:val="0"/>
              <w:spacing w:before="0" w:after="0"/>
              <w:rPr>
                <w:rFonts w:ascii="Calibri" w:eastAsia="Times New Roman" w:hAnsi="Calibri" w:cs="Calibri"/>
                <w:color w:val="auto"/>
                <w:sz w:val="16"/>
                <w:szCs w:val="16"/>
                <w:lang w:eastAsia="en-AU"/>
              </w:rPr>
            </w:pPr>
            <w:r w:rsidRPr="00F85D80">
              <w:rPr>
                <w:rFonts w:ascii="Calibri" w:eastAsia="Times New Roman" w:hAnsi="Calibri" w:cs="Calibri"/>
                <w:color w:val="auto"/>
                <w:sz w:val="16"/>
                <w:szCs w:val="16"/>
                <w:lang w:eastAsia="en-AU"/>
              </w:rPr>
              <w:t>Average of night time sessions, main channel</w:t>
            </w:r>
          </w:p>
        </w:tc>
        <w:tc>
          <w:tcPr>
            <w:tcW w:w="1015" w:type="dxa"/>
            <w:tcBorders>
              <w:top w:val="nil"/>
              <w:left w:val="nil"/>
              <w:bottom w:val="single" w:sz="4" w:space="0" w:color="008089"/>
              <w:right w:val="nil"/>
            </w:tcBorders>
            <w:shd w:val="clear" w:color="000000" w:fill="F2F2F2"/>
            <w:vAlign w:val="center"/>
            <w:hideMark/>
          </w:tcPr>
          <w:p w14:paraId="341D15E6"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958,000</w:t>
            </w:r>
          </w:p>
        </w:tc>
        <w:tc>
          <w:tcPr>
            <w:tcW w:w="1015" w:type="dxa"/>
            <w:tcBorders>
              <w:top w:val="nil"/>
              <w:left w:val="nil"/>
              <w:bottom w:val="single" w:sz="4" w:space="0" w:color="008089"/>
              <w:right w:val="nil"/>
            </w:tcBorders>
            <w:shd w:val="clear" w:color="000000" w:fill="F2F2F2"/>
            <w:vAlign w:val="center"/>
            <w:hideMark/>
          </w:tcPr>
          <w:p w14:paraId="5ADDD9D1"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848,000</w:t>
            </w:r>
          </w:p>
        </w:tc>
        <w:tc>
          <w:tcPr>
            <w:tcW w:w="1016" w:type="dxa"/>
            <w:tcBorders>
              <w:top w:val="nil"/>
              <w:left w:val="nil"/>
              <w:bottom w:val="single" w:sz="4" w:space="0" w:color="008089"/>
              <w:right w:val="nil"/>
            </w:tcBorders>
            <w:shd w:val="clear" w:color="000000" w:fill="F2F2F2"/>
            <w:vAlign w:val="center"/>
            <w:hideMark/>
          </w:tcPr>
          <w:p w14:paraId="0BFA08C9"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695,000</w:t>
            </w:r>
          </w:p>
        </w:tc>
        <w:tc>
          <w:tcPr>
            <w:tcW w:w="1015" w:type="dxa"/>
            <w:tcBorders>
              <w:top w:val="nil"/>
              <w:left w:val="nil"/>
              <w:bottom w:val="single" w:sz="4" w:space="0" w:color="008089"/>
              <w:right w:val="nil"/>
            </w:tcBorders>
            <w:shd w:val="clear" w:color="000000" w:fill="F2F2F2"/>
            <w:vAlign w:val="center"/>
            <w:hideMark/>
          </w:tcPr>
          <w:p w14:paraId="122FC30A"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772,000</w:t>
            </w:r>
          </w:p>
        </w:tc>
        <w:tc>
          <w:tcPr>
            <w:tcW w:w="1015" w:type="dxa"/>
            <w:tcBorders>
              <w:top w:val="nil"/>
              <w:left w:val="nil"/>
              <w:bottom w:val="single" w:sz="4" w:space="0" w:color="008089"/>
              <w:right w:val="nil"/>
            </w:tcBorders>
            <w:shd w:val="clear" w:color="000000" w:fill="F2F2F2"/>
            <w:vAlign w:val="center"/>
            <w:hideMark/>
          </w:tcPr>
          <w:p w14:paraId="4D5A1D11"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713,000</w:t>
            </w:r>
          </w:p>
        </w:tc>
        <w:tc>
          <w:tcPr>
            <w:tcW w:w="1016" w:type="dxa"/>
            <w:tcBorders>
              <w:top w:val="nil"/>
              <w:left w:val="nil"/>
              <w:bottom w:val="single" w:sz="4" w:space="0" w:color="008089"/>
              <w:right w:val="nil"/>
            </w:tcBorders>
            <w:shd w:val="clear" w:color="000000" w:fill="F2F2F2"/>
            <w:vAlign w:val="center"/>
            <w:hideMark/>
          </w:tcPr>
          <w:p w14:paraId="1519E521"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782,000</w:t>
            </w:r>
          </w:p>
        </w:tc>
        <w:tc>
          <w:tcPr>
            <w:tcW w:w="1015" w:type="dxa"/>
            <w:tcBorders>
              <w:top w:val="nil"/>
              <w:left w:val="nil"/>
              <w:bottom w:val="single" w:sz="4" w:space="0" w:color="008089"/>
              <w:right w:val="nil"/>
            </w:tcBorders>
            <w:shd w:val="clear" w:color="000000" w:fill="F2F2F2"/>
            <w:vAlign w:val="center"/>
            <w:hideMark/>
          </w:tcPr>
          <w:p w14:paraId="1D77CF33"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639,000</w:t>
            </w:r>
          </w:p>
        </w:tc>
        <w:tc>
          <w:tcPr>
            <w:tcW w:w="1016" w:type="dxa"/>
            <w:tcBorders>
              <w:top w:val="nil"/>
              <w:left w:val="nil"/>
              <w:bottom w:val="single" w:sz="4" w:space="0" w:color="008089"/>
              <w:right w:val="single" w:sz="8" w:space="0" w:color="008089"/>
            </w:tcBorders>
            <w:shd w:val="clear" w:color="000000" w:fill="F2F2F2"/>
            <w:vAlign w:val="center"/>
            <w:hideMark/>
          </w:tcPr>
          <w:p w14:paraId="18549173"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741,000</w:t>
            </w:r>
          </w:p>
        </w:tc>
      </w:tr>
      <w:tr w:rsidR="00624169" w:rsidRPr="00401088" w14:paraId="0BDECB51" w14:textId="77777777" w:rsidTr="00624169">
        <w:trPr>
          <w:trHeight w:val="290"/>
          <w:jc w:val="center"/>
        </w:trPr>
        <w:tc>
          <w:tcPr>
            <w:tcW w:w="1502" w:type="dxa"/>
            <w:vMerge/>
            <w:tcBorders>
              <w:top w:val="nil"/>
              <w:left w:val="single" w:sz="8" w:space="0" w:color="008089"/>
              <w:bottom w:val="single" w:sz="8" w:space="0" w:color="008089"/>
              <w:right w:val="nil"/>
            </w:tcBorders>
            <w:vAlign w:val="center"/>
            <w:hideMark/>
          </w:tcPr>
          <w:p w14:paraId="213C0042" w14:textId="77777777" w:rsidR="00401088" w:rsidRPr="00DB204C" w:rsidRDefault="00401088" w:rsidP="00401088">
            <w:pPr>
              <w:suppressAutoHyphens w:val="0"/>
              <w:spacing w:before="0" w:after="0"/>
              <w:rPr>
                <w:rFonts w:ascii="Calibri" w:eastAsia="Times New Roman" w:hAnsi="Calibri" w:cs="Calibri"/>
                <w:b/>
                <w:bCs/>
                <w:color w:val="000000"/>
                <w:sz w:val="18"/>
                <w:szCs w:val="18"/>
                <w:lang w:eastAsia="en-AU"/>
              </w:rPr>
            </w:pPr>
          </w:p>
        </w:tc>
        <w:tc>
          <w:tcPr>
            <w:tcW w:w="3308" w:type="dxa"/>
            <w:tcBorders>
              <w:top w:val="nil"/>
              <w:left w:val="nil"/>
              <w:bottom w:val="single" w:sz="4" w:space="0" w:color="008089"/>
              <w:right w:val="nil"/>
            </w:tcBorders>
            <w:shd w:val="clear" w:color="000000" w:fill="F2F2F2"/>
            <w:vAlign w:val="center"/>
            <w:hideMark/>
          </w:tcPr>
          <w:p w14:paraId="15E2AC23" w14:textId="77777777" w:rsidR="00401088" w:rsidRPr="00DB204C" w:rsidRDefault="00401088" w:rsidP="00401088">
            <w:pPr>
              <w:suppressAutoHyphens w:val="0"/>
              <w:spacing w:before="0" w:after="0"/>
              <w:rPr>
                <w:rFonts w:ascii="Calibri" w:eastAsia="Times New Roman" w:hAnsi="Calibri" w:cs="Calibri"/>
                <w:color w:val="000000"/>
                <w:sz w:val="18"/>
                <w:szCs w:val="18"/>
                <w:lang w:eastAsia="en-AU"/>
              </w:rPr>
            </w:pPr>
            <w:r w:rsidRPr="00DB204C">
              <w:rPr>
                <w:rFonts w:ascii="Calibri" w:eastAsia="Times New Roman" w:hAnsi="Calibri" w:cs="Calibri"/>
                <w:color w:val="000000"/>
                <w:sz w:val="18"/>
                <w:szCs w:val="18"/>
                <w:lang w:eastAsia="en-AU"/>
              </w:rPr>
              <w:t>Men's Singles Final</w:t>
            </w:r>
          </w:p>
        </w:tc>
        <w:tc>
          <w:tcPr>
            <w:tcW w:w="1843" w:type="dxa"/>
            <w:tcBorders>
              <w:top w:val="nil"/>
              <w:left w:val="nil"/>
              <w:bottom w:val="single" w:sz="4" w:space="0" w:color="008089"/>
              <w:right w:val="nil"/>
            </w:tcBorders>
            <w:shd w:val="clear" w:color="000000" w:fill="F2F2F2"/>
            <w:vAlign w:val="center"/>
            <w:hideMark/>
          </w:tcPr>
          <w:p w14:paraId="33F26B1F" w14:textId="77777777" w:rsidR="00401088" w:rsidRPr="00F85D80" w:rsidRDefault="00401088" w:rsidP="00401088">
            <w:pPr>
              <w:suppressAutoHyphens w:val="0"/>
              <w:spacing w:before="0" w:after="0"/>
              <w:rPr>
                <w:rFonts w:ascii="Calibri" w:eastAsia="Times New Roman" w:hAnsi="Calibri" w:cs="Calibri"/>
                <w:color w:val="000000"/>
                <w:sz w:val="16"/>
                <w:szCs w:val="16"/>
                <w:lang w:eastAsia="en-AU"/>
              </w:rPr>
            </w:pPr>
            <w:r w:rsidRPr="00F85D80">
              <w:rPr>
                <w:rFonts w:ascii="Calibri" w:eastAsia="Times New Roman" w:hAnsi="Calibri" w:cs="Calibri"/>
                <w:color w:val="000000"/>
                <w:sz w:val="16"/>
                <w:szCs w:val="16"/>
                <w:lang w:eastAsia="en-AU"/>
              </w:rPr>
              <w:t>Single session</w:t>
            </w:r>
          </w:p>
        </w:tc>
        <w:tc>
          <w:tcPr>
            <w:tcW w:w="1015" w:type="dxa"/>
            <w:tcBorders>
              <w:top w:val="nil"/>
              <w:left w:val="nil"/>
              <w:bottom w:val="single" w:sz="4" w:space="0" w:color="008089"/>
              <w:right w:val="nil"/>
            </w:tcBorders>
            <w:shd w:val="clear" w:color="000000" w:fill="F2F2F2"/>
            <w:vAlign w:val="center"/>
            <w:hideMark/>
          </w:tcPr>
          <w:p w14:paraId="760444C6"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1,882,000</w:t>
            </w:r>
          </w:p>
        </w:tc>
        <w:tc>
          <w:tcPr>
            <w:tcW w:w="1015" w:type="dxa"/>
            <w:tcBorders>
              <w:top w:val="nil"/>
              <w:left w:val="nil"/>
              <w:bottom w:val="single" w:sz="4" w:space="0" w:color="008089"/>
              <w:right w:val="nil"/>
            </w:tcBorders>
            <w:shd w:val="clear" w:color="000000" w:fill="F2F2F2"/>
            <w:vAlign w:val="center"/>
            <w:hideMark/>
          </w:tcPr>
          <w:p w14:paraId="1CCF48D5"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1,634,000</w:t>
            </w:r>
          </w:p>
        </w:tc>
        <w:tc>
          <w:tcPr>
            <w:tcW w:w="1016" w:type="dxa"/>
            <w:tcBorders>
              <w:top w:val="nil"/>
              <w:left w:val="nil"/>
              <w:bottom w:val="single" w:sz="4" w:space="0" w:color="008089"/>
              <w:right w:val="nil"/>
            </w:tcBorders>
            <w:shd w:val="clear" w:color="000000" w:fill="F2F2F2"/>
            <w:vAlign w:val="center"/>
            <w:hideMark/>
          </w:tcPr>
          <w:p w14:paraId="5729D23E"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2,686,000</w:t>
            </w:r>
          </w:p>
        </w:tc>
        <w:tc>
          <w:tcPr>
            <w:tcW w:w="1015" w:type="dxa"/>
            <w:tcBorders>
              <w:top w:val="nil"/>
              <w:left w:val="nil"/>
              <w:bottom w:val="single" w:sz="4" w:space="0" w:color="008089"/>
              <w:right w:val="nil"/>
            </w:tcBorders>
            <w:shd w:val="clear" w:color="000000" w:fill="F2F2F2"/>
            <w:vAlign w:val="center"/>
            <w:hideMark/>
          </w:tcPr>
          <w:p w14:paraId="7A737D92"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1,739,000</w:t>
            </w:r>
          </w:p>
        </w:tc>
        <w:tc>
          <w:tcPr>
            <w:tcW w:w="1015" w:type="dxa"/>
            <w:tcBorders>
              <w:top w:val="nil"/>
              <w:left w:val="nil"/>
              <w:bottom w:val="single" w:sz="4" w:space="0" w:color="008089"/>
              <w:right w:val="nil"/>
            </w:tcBorders>
            <w:shd w:val="clear" w:color="000000" w:fill="F2F2F2"/>
            <w:vAlign w:val="center"/>
            <w:hideMark/>
          </w:tcPr>
          <w:p w14:paraId="3BA53D34"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1,590,000</w:t>
            </w:r>
          </w:p>
        </w:tc>
        <w:tc>
          <w:tcPr>
            <w:tcW w:w="1016" w:type="dxa"/>
            <w:tcBorders>
              <w:top w:val="nil"/>
              <w:left w:val="nil"/>
              <w:bottom w:val="single" w:sz="4" w:space="0" w:color="008089"/>
              <w:right w:val="nil"/>
            </w:tcBorders>
            <w:shd w:val="clear" w:color="000000" w:fill="F2F2F2"/>
            <w:vAlign w:val="center"/>
            <w:hideMark/>
          </w:tcPr>
          <w:p w14:paraId="4D29D4C6"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1,531,000</w:t>
            </w:r>
          </w:p>
        </w:tc>
        <w:tc>
          <w:tcPr>
            <w:tcW w:w="1015" w:type="dxa"/>
            <w:tcBorders>
              <w:top w:val="nil"/>
              <w:left w:val="nil"/>
              <w:bottom w:val="single" w:sz="4" w:space="0" w:color="008089"/>
              <w:right w:val="nil"/>
            </w:tcBorders>
            <w:shd w:val="clear" w:color="000000" w:fill="F2F2F2"/>
            <w:vAlign w:val="center"/>
            <w:hideMark/>
          </w:tcPr>
          <w:p w14:paraId="58D48473"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1,173,000</w:t>
            </w:r>
          </w:p>
        </w:tc>
        <w:tc>
          <w:tcPr>
            <w:tcW w:w="1016" w:type="dxa"/>
            <w:tcBorders>
              <w:top w:val="nil"/>
              <w:left w:val="nil"/>
              <w:bottom w:val="single" w:sz="4" w:space="0" w:color="008089"/>
              <w:right w:val="single" w:sz="8" w:space="0" w:color="008089"/>
            </w:tcBorders>
            <w:shd w:val="clear" w:color="000000" w:fill="F2F2F2"/>
            <w:vAlign w:val="center"/>
            <w:hideMark/>
          </w:tcPr>
          <w:p w14:paraId="6BEA056B"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1,620,000</w:t>
            </w:r>
          </w:p>
        </w:tc>
      </w:tr>
      <w:tr w:rsidR="00624169" w:rsidRPr="00401088" w14:paraId="14912151" w14:textId="77777777" w:rsidTr="00624169">
        <w:trPr>
          <w:trHeight w:val="300"/>
          <w:jc w:val="center"/>
        </w:trPr>
        <w:tc>
          <w:tcPr>
            <w:tcW w:w="1502" w:type="dxa"/>
            <w:vMerge/>
            <w:tcBorders>
              <w:top w:val="nil"/>
              <w:left w:val="single" w:sz="8" w:space="0" w:color="008089"/>
              <w:bottom w:val="single" w:sz="8" w:space="0" w:color="008089"/>
              <w:right w:val="nil"/>
            </w:tcBorders>
            <w:vAlign w:val="center"/>
            <w:hideMark/>
          </w:tcPr>
          <w:p w14:paraId="7D2A9633" w14:textId="77777777" w:rsidR="00401088" w:rsidRPr="00DB204C" w:rsidRDefault="00401088" w:rsidP="00401088">
            <w:pPr>
              <w:suppressAutoHyphens w:val="0"/>
              <w:spacing w:before="0" w:after="0"/>
              <w:rPr>
                <w:rFonts w:ascii="Calibri" w:eastAsia="Times New Roman" w:hAnsi="Calibri" w:cs="Calibri"/>
                <w:b/>
                <w:bCs/>
                <w:color w:val="000000"/>
                <w:sz w:val="18"/>
                <w:szCs w:val="18"/>
                <w:lang w:eastAsia="en-AU"/>
              </w:rPr>
            </w:pPr>
          </w:p>
        </w:tc>
        <w:tc>
          <w:tcPr>
            <w:tcW w:w="3308" w:type="dxa"/>
            <w:tcBorders>
              <w:top w:val="nil"/>
              <w:left w:val="nil"/>
              <w:bottom w:val="single" w:sz="8" w:space="0" w:color="008089"/>
              <w:right w:val="nil"/>
            </w:tcBorders>
            <w:shd w:val="clear" w:color="000000" w:fill="F2F2F2"/>
            <w:vAlign w:val="center"/>
            <w:hideMark/>
          </w:tcPr>
          <w:p w14:paraId="65D11012" w14:textId="77777777" w:rsidR="00401088" w:rsidRPr="00DB204C" w:rsidRDefault="00401088" w:rsidP="00401088">
            <w:pPr>
              <w:suppressAutoHyphens w:val="0"/>
              <w:spacing w:before="0" w:after="0"/>
              <w:rPr>
                <w:rFonts w:ascii="Calibri" w:eastAsia="Times New Roman" w:hAnsi="Calibri" w:cs="Calibri"/>
                <w:color w:val="000000"/>
                <w:sz w:val="18"/>
                <w:szCs w:val="18"/>
                <w:lang w:eastAsia="en-AU"/>
              </w:rPr>
            </w:pPr>
            <w:r w:rsidRPr="00DB204C">
              <w:rPr>
                <w:rFonts w:ascii="Calibri" w:eastAsia="Times New Roman" w:hAnsi="Calibri" w:cs="Calibri"/>
                <w:color w:val="000000"/>
                <w:sz w:val="18"/>
                <w:szCs w:val="18"/>
                <w:lang w:eastAsia="en-AU"/>
              </w:rPr>
              <w:t>Women's Single Final</w:t>
            </w:r>
          </w:p>
        </w:tc>
        <w:tc>
          <w:tcPr>
            <w:tcW w:w="1843" w:type="dxa"/>
            <w:tcBorders>
              <w:top w:val="nil"/>
              <w:left w:val="nil"/>
              <w:bottom w:val="single" w:sz="8" w:space="0" w:color="008089"/>
              <w:right w:val="nil"/>
            </w:tcBorders>
            <w:shd w:val="clear" w:color="000000" w:fill="F2F2F2"/>
            <w:vAlign w:val="center"/>
            <w:hideMark/>
          </w:tcPr>
          <w:p w14:paraId="206271F6" w14:textId="77777777" w:rsidR="00401088" w:rsidRPr="00F85D80" w:rsidRDefault="00401088" w:rsidP="00401088">
            <w:pPr>
              <w:suppressAutoHyphens w:val="0"/>
              <w:spacing w:before="0" w:after="0"/>
              <w:rPr>
                <w:rFonts w:ascii="Calibri" w:eastAsia="Times New Roman" w:hAnsi="Calibri" w:cs="Calibri"/>
                <w:color w:val="auto"/>
                <w:sz w:val="16"/>
                <w:szCs w:val="16"/>
                <w:lang w:eastAsia="en-AU"/>
              </w:rPr>
            </w:pPr>
            <w:r w:rsidRPr="00F85D80">
              <w:rPr>
                <w:rFonts w:ascii="Calibri" w:eastAsia="Times New Roman" w:hAnsi="Calibri" w:cs="Calibri"/>
                <w:color w:val="auto"/>
                <w:sz w:val="16"/>
                <w:szCs w:val="16"/>
                <w:lang w:eastAsia="en-AU"/>
              </w:rPr>
              <w:t>Single session</w:t>
            </w:r>
          </w:p>
        </w:tc>
        <w:tc>
          <w:tcPr>
            <w:tcW w:w="1015" w:type="dxa"/>
            <w:tcBorders>
              <w:top w:val="nil"/>
              <w:left w:val="nil"/>
              <w:bottom w:val="nil"/>
              <w:right w:val="nil"/>
            </w:tcBorders>
            <w:shd w:val="clear" w:color="000000" w:fill="F2F2F2"/>
            <w:vAlign w:val="center"/>
            <w:hideMark/>
          </w:tcPr>
          <w:p w14:paraId="7BBAA1A9"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1,020,000</w:t>
            </w:r>
          </w:p>
        </w:tc>
        <w:tc>
          <w:tcPr>
            <w:tcW w:w="1015" w:type="dxa"/>
            <w:tcBorders>
              <w:top w:val="nil"/>
              <w:left w:val="nil"/>
              <w:bottom w:val="nil"/>
              <w:right w:val="nil"/>
            </w:tcBorders>
            <w:shd w:val="clear" w:color="000000" w:fill="F2F2F2"/>
            <w:vAlign w:val="center"/>
            <w:hideMark/>
          </w:tcPr>
          <w:p w14:paraId="41D8D28C"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1,482,000</w:t>
            </w:r>
          </w:p>
        </w:tc>
        <w:tc>
          <w:tcPr>
            <w:tcW w:w="1016" w:type="dxa"/>
            <w:tcBorders>
              <w:top w:val="nil"/>
              <w:left w:val="nil"/>
              <w:bottom w:val="nil"/>
              <w:right w:val="nil"/>
            </w:tcBorders>
            <w:shd w:val="clear" w:color="000000" w:fill="F2F2F2"/>
            <w:vAlign w:val="center"/>
            <w:hideMark/>
          </w:tcPr>
          <w:p w14:paraId="36120BF8"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1,307,000</w:t>
            </w:r>
          </w:p>
        </w:tc>
        <w:tc>
          <w:tcPr>
            <w:tcW w:w="1015" w:type="dxa"/>
            <w:tcBorders>
              <w:top w:val="nil"/>
              <w:left w:val="nil"/>
              <w:bottom w:val="nil"/>
              <w:right w:val="nil"/>
            </w:tcBorders>
            <w:shd w:val="clear" w:color="000000" w:fill="F2F2F2"/>
            <w:vAlign w:val="center"/>
            <w:hideMark/>
          </w:tcPr>
          <w:p w14:paraId="6D61EB07"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1,027,000</w:t>
            </w:r>
          </w:p>
        </w:tc>
        <w:tc>
          <w:tcPr>
            <w:tcW w:w="1015" w:type="dxa"/>
            <w:tcBorders>
              <w:top w:val="nil"/>
              <w:left w:val="nil"/>
              <w:bottom w:val="nil"/>
              <w:right w:val="nil"/>
            </w:tcBorders>
            <w:shd w:val="clear" w:color="000000" w:fill="F2F2F2"/>
            <w:vAlign w:val="center"/>
            <w:hideMark/>
          </w:tcPr>
          <w:p w14:paraId="608265C0"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1,178,000</w:t>
            </w:r>
          </w:p>
        </w:tc>
        <w:tc>
          <w:tcPr>
            <w:tcW w:w="1016" w:type="dxa"/>
            <w:tcBorders>
              <w:top w:val="nil"/>
              <w:left w:val="nil"/>
              <w:bottom w:val="nil"/>
              <w:right w:val="nil"/>
            </w:tcBorders>
            <w:shd w:val="clear" w:color="000000" w:fill="F2F2F2"/>
            <w:vAlign w:val="center"/>
            <w:hideMark/>
          </w:tcPr>
          <w:p w14:paraId="05865A7C"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892,000</w:t>
            </w:r>
          </w:p>
        </w:tc>
        <w:tc>
          <w:tcPr>
            <w:tcW w:w="1015" w:type="dxa"/>
            <w:tcBorders>
              <w:top w:val="nil"/>
              <w:left w:val="nil"/>
              <w:bottom w:val="nil"/>
              <w:right w:val="nil"/>
            </w:tcBorders>
            <w:shd w:val="clear" w:color="000000" w:fill="F2F2F2"/>
            <w:vAlign w:val="center"/>
            <w:hideMark/>
          </w:tcPr>
          <w:p w14:paraId="0E49F176"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853,000</w:t>
            </w:r>
          </w:p>
        </w:tc>
        <w:tc>
          <w:tcPr>
            <w:tcW w:w="1016" w:type="dxa"/>
            <w:tcBorders>
              <w:top w:val="nil"/>
              <w:left w:val="nil"/>
              <w:bottom w:val="nil"/>
              <w:right w:val="single" w:sz="8" w:space="0" w:color="008089"/>
            </w:tcBorders>
            <w:shd w:val="clear" w:color="000000" w:fill="F2F2F2"/>
            <w:vAlign w:val="center"/>
            <w:hideMark/>
          </w:tcPr>
          <w:p w14:paraId="45C0E800"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2,591,000</w:t>
            </w:r>
          </w:p>
        </w:tc>
      </w:tr>
      <w:tr w:rsidR="00624169" w:rsidRPr="00401088" w14:paraId="42345C70" w14:textId="77777777" w:rsidTr="00624169">
        <w:trPr>
          <w:trHeight w:val="290"/>
          <w:jc w:val="center"/>
        </w:trPr>
        <w:tc>
          <w:tcPr>
            <w:tcW w:w="1502" w:type="dxa"/>
            <w:vMerge w:val="restart"/>
            <w:tcBorders>
              <w:top w:val="nil"/>
              <w:left w:val="single" w:sz="8" w:space="0" w:color="008089"/>
              <w:bottom w:val="single" w:sz="8" w:space="0" w:color="008089"/>
              <w:right w:val="nil"/>
            </w:tcBorders>
            <w:shd w:val="clear" w:color="000000" w:fill="F2F2F2"/>
            <w:vAlign w:val="center"/>
            <w:hideMark/>
          </w:tcPr>
          <w:p w14:paraId="1EB7E7AF" w14:textId="77777777" w:rsidR="00401088" w:rsidRPr="00DB204C" w:rsidRDefault="00401088" w:rsidP="00401088">
            <w:pPr>
              <w:suppressAutoHyphens w:val="0"/>
              <w:spacing w:before="0" w:after="0"/>
              <w:jc w:val="center"/>
              <w:rPr>
                <w:rFonts w:ascii="Calibri" w:eastAsia="Times New Roman" w:hAnsi="Calibri" w:cs="Calibri"/>
                <w:b/>
                <w:bCs/>
                <w:color w:val="000000"/>
                <w:sz w:val="18"/>
                <w:szCs w:val="18"/>
                <w:lang w:eastAsia="en-AU"/>
              </w:rPr>
            </w:pPr>
            <w:r w:rsidRPr="00DB204C">
              <w:rPr>
                <w:rFonts w:ascii="Calibri" w:eastAsia="Times New Roman" w:hAnsi="Calibri" w:cs="Calibri"/>
                <w:b/>
                <w:bCs/>
                <w:color w:val="000000"/>
                <w:sz w:val="18"/>
                <w:szCs w:val="18"/>
                <w:lang w:eastAsia="en-AU"/>
              </w:rPr>
              <w:t>Wimbledon</w:t>
            </w:r>
          </w:p>
        </w:tc>
        <w:tc>
          <w:tcPr>
            <w:tcW w:w="3308" w:type="dxa"/>
            <w:tcBorders>
              <w:top w:val="nil"/>
              <w:left w:val="nil"/>
              <w:bottom w:val="single" w:sz="4" w:space="0" w:color="008089"/>
              <w:right w:val="nil"/>
            </w:tcBorders>
            <w:shd w:val="clear" w:color="000000" w:fill="F2F2F2"/>
            <w:vAlign w:val="center"/>
            <w:hideMark/>
          </w:tcPr>
          <w:p w14:paraId="103FF473" w14:textId="77777777" w:rsidR="00401088" w:rsidRPr="00DB204C" w:rsidRDefault="00401088" w:rsidP="00401088">
            <w:pPr>
              <w:suppressAutoHyphens w:val="0"/>
              <w:spacing w:before="0" w:after="0"/>
              <w:rPr>
                <w:rFonts w:ascii="Calibri" w:eastAsia="Times New Roman" w:hAnsi="Calibri" w:cs="Calibri"/>
                <w:color w:val="000000"/>
                <w:sz w:val="18"/>
                <w:szCs w:val="18"/>
                <w:lang w:eastAsia="en-AU"/>
              </w:rPr>
            </w:pPr>
            <w:r w:rsidRPr="00DB204C">
              <w:rPr>
                <w:rFonts w:ascii="Calibri" w:eastAsia="Times New Roman" w:hAnsi="Calibri" w:cs="Calibri"/>
                <w:color w:val="000000"/>
                <w:sz w:val="18"/>
                <w:szCs w:val="18"/>
                <w:lang w:eastAsia="en-AU"/>
              </w:rPr>
              <w:t>Day 1-7</w:t>
            </w:r>
          </w:p>
        </w:tc>
        <w:tc>
          <w:tcPr>
            <w:tcW w:w="1843" w:type="dxa"/>
            <w:tcBorders>
              <w:top w:val="nil"/>
              <w:left w:val="nil"/>
              <w:bottom w:val="single" w:sz="4" w:space="0" w:color="008089"/>
              <w:right w:val="nil"/>
            </w:tcBorders>
            <w:shd w:val="clear" w:color="000000" w:fill="F2F2F2"/>
            <w:vAlign w:val="center"/>
            <w:hideMark/>
          </w:tcPr>
          <w:p w14:paraId="0091AB62" w14:textId="77777777" w:rsidR="00401088" w:rsidRPr="00F85D80" w:rsidRDefault="00401088" w:rsidP="00401088">
            <w:pPr>
              <w:suppressAutoHyphens w:val="0"/>
              <w:spacing w:before="0" w:after="0"/>
              <w:rPr>
                <w:rFonts w:ascii="Calibri" w:eastAsia="Times New Roman" w:hAnsi="Calibri" w:cs="Calibri"/>
                <w:color w:val="auto"/>
                <w:sz w:val="16"/>
                <w:szCs w:val="16"/>
                <w:lang w:eastAsia="en-AU"/>
              </w:rPr>
            </w:pPr>
            <w:r w:rsidRPr="00F85D80">
              <w:rPr>
                <w:rFonts w:ascii="Calibri" w:eastAsia="Times New Roman" w:hAnsi="Calibri" w:cs="Calibri"/>
                <w:color w:val="auto"/>
                <w:sz w:val="16"/>
                <w:szCs w:val="16"/>
                <w:lang w:eastAsia="en-AU"/>
              </w:rPr>
              <w:t>Average of late sessions, main channel</w:t>
            </w:r>
          </w:p>
        </w:tc>
        <w:tc>
          <w:tcPr>
            <w:tcW w:w="1015" w:type="dxa"/>
            <w:tcBorders>
              <w:top w:val="single" w:sz="8" w:space="0" w:color="008089"/>
              <w:left w:val="nil"/>
              <w:bottom w:val="single" w:sz="4" w:space="0" w:color="008089"/>
              <w:right w:val="nil"/>
            </w:tcBorders>
            <w:shd w:val="clear" w:color="000000" w:fill="F2F2F2"/>
            <w:vAlign w:val="center"/>
            <w:hideMark/>
          </w:tcPr>
          <w:p w14:paraId="6F688CA4" w14:textId="77777777" w:rsidR="00401088" w:rsidRPr="00624169" w:rsidRDefault="00401088" w:rsidP="00401088">
            <w:pPr>
              <w:suppressAutoHyphens w:val="0"/>
              <w:spacing w:before="0" w:after="0"/>
              <w:jc w:val="right"/>
              <w:rPr>
                <w:rFonts w:ascii="Calibri" w:eastAsia="Times New Roman" w:hAnsi="Calibri" w:cs="Calibri"/>
                <w:i/>
                <w:iCs/>
                <w:color w:val="auto"/>
                <w:sz w:val="18"/>
                <w:szCs w:val="18"/>
                <w:lang w:eastAsia="en-AU"/>
              </w:rPr>
            </w:pPr>
            <w:r w:rsidRPr="00624169">
              <w:rPr>
                <w:rFonts w:ascii="Calibri" w:eastAsia="Times New Roman" w:hAnsi="Calibri" w:cs="Calibri"/>
                <w:i/>
                <w:iCs/>
                <w:color w:val="auto"/>
                <w:sz w:val="18"/>
                <w:szCs w:val="18"/>
                <w:lang w:eastAsia="en-AU"/>
              </w:rPr>
              <w:t>nda</w:t>
            </w:r>
          </w:p>
        </w:tc>
        <w:tc>
          <w:tcPr>
            <w:tcW w:w="1015" w:type="dxa"/>
            <w:tcBorders>
              <w:top w:val="single" w:sz="8" w:space="0" w:color="008089"/>
              <w:left w:val="nil"/>
              <w:bottom w:val="single" w:sz="4" w:space="0" w:color="008089"/>
              <w:right w:val="nil"/>
            </w:tcBorders>
            <w:shd w:val="clear" w:color="000000" w:fill="F2F2F2"/>
            <w:vAlign w:val="center"/>
            <w:hideMark/>
          </w:tcPr>
          <w:p w14:paraId="18E858B5" w14:textId="77777777" w:rsidR="00401088" w:rsidRPr="00624169" w:rsidRDefault="00401088" w:rsidP="00401088">
            <w:pPr>
              <w:suppressAutoHyphens w:val="0"/>
              <w:spacing w:before="0" w:after="0"/>
              <w:jc w:val="right"/>
              <w:rPr>
                <w:rFonts w:ascii="Calibri" w:eastAsia="Times New Roman" w:hAnsi="Calibri" w:cs="Calibri"/>
                <w:i/>
                <w:iCs/>
                <w:color w:val="auto"/>
                <w:sz w:val="18"/>
                <w:szCs w:val="18"/>
                <w:lang w:eastAsia="en-AU"/>
              </w:rPr>
            </w:pPr>
            <w:r w:rsidRPr="00624169">
              <w:rPr>
                <w:rFonts w:ascii="Calibri" w:eastAsia="Times New Roman" w:hAnsi="Calibri" w:cs="Calibri"/>
                <w:i/>
                <w:iCs/>
                <w:color w:val="auto"/>
                <w:sz w:val="18"/>
                <w:szCs w:val="18"/>
                <w:lang w:eastAsia="en-AU"/>
              </w:rPr>
              <w:t>nda</w:t>
            </w:r>
          </w:p>
        </w:tc>
        <w:tc>
          <w:tcPr>
            <w:tcW w:w="1016" w:type="dxa"/>
            <w:tcBorders>
              <w:top w:val="single" w:sz="8" w:space="0" w:color="008089"/>
              <w:left w:val="nil"/>
              <w:bottom w:val="single" w:sz="4" w:space="0" w:color="008089"/>
              <w:right w:val="nil"/>
            </w:tcBorders>
            <w:shd w:val="clear" w:color="000000" w:fill="F2F2F2"/>
            <w:vAlign w:val="center"/>
            <w:hideMark/>
          </w:tcPr>
          <w:p w14:paraId="249FD0C7"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196,000</w:t>
            </w:r>
          </w:p>
        </w:tc>
        <w:tc>
          <w:tcPr>
            <w:tcW w:w="1015" w:type="dxa"/>
            <w:tcBorders>
              <w:top w:val="single" w:sz="8" w:space="0" w:color="008089"/>
              <w:left w:val="nil"/>
              <w:bottom w:val="single" w:sz="4" w:space="0" w:color="008089"/>
              <w:right w:val="nil"/>
            </w:tcBorders>
            <w:shd w:val="clear" w:color="000000" w:fill="F2F2F2"/>
            <w:vAlign w:val="center"/>
            <w:hideMark/>
          </w:tcPr>
          <w:p w14:paraId="22191E8A"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189,000</w:t>
            </w:r>
          </w:p>
        </w:tc>
        <w:tc>
          <w:tcPr>
            <w:tcW w:w="1015" w:type="dxa"/>
            <w:tcBorders>
              <w:top w:val="single" w:sz="8" w:space="0" w:color="008089"/>
              <w:left w:val="nil"/>
              <w:bottom w:val="single" w:sz="4" w:space="0" w:color="008089"/>
              <w:right w:val="nil"/>
            </w:tcBorders>
            <w:shd w:val="clear" w:color="000000" w:fill="F2F2F2"/>
            <w:vAlign w:val="center"/>
            <w:hideMark/>
          </w:tcPr>
          <w:p w14:paraId="38B5491C"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191,000</w:t>
            </w:r>
          </w:p>
        </w:tc>
        <w:tc>
          <w:tcPr>
            <w:tcW w:w="1016" w:type="dxa"/>
            <w:tcBorders>
              <w:top w:val="single" w:sz="8" w:space="0" w:color="008089"/>
              <w:left w:val="nil"/>
              <w:bottom w:val="single" w:sz="4" w:space="0" w:color="008089"/>
              <w:right w:val="nil"/>
            </w:tcBorders>
            <w:shd w:val="clear" w:color="000000" w:fill="F2F2F2"/>
            <w:vAlign w:val="center"/>
            <w:hideMark/>
          </w:tcPr>
          <w:p w14:paraId="1DC27AC2" w14:textId="77777777" w:rsidR="00401088" w:rsidRPr="00624169" w:rsidRDefault="00401088" w:rsidP="00401088">
            <w:pPr>
              <w:suppressAutoHyphens w:val="0"/>
              <w:spacing w:before="0" w:after="0"/>
              <w:jc w:val="right"/>
              <w:rPr>
                <w:rFonts w:ascii="Calibri" w:eastAsia="Times New Roman" w:hAnsi="Calibri" w:cs="Calibri"/>
                <w:i/>
                <w:iCs/>
                <w:color w:val="auto"/>
                <w:sz w:val="18"/>
                <w:szCs w:val="18"/>
                <w:lang w:eastAsia="en-AU"/>
              </w:rPr>
            </w:pPr>
            <w:r w:rsidRPr="00624169">
              <w:rPr>
                <w:rFonts w:ascii="Calibri" w:eastAsia="Times New Roman" w:hAnsi="Calibri" w:cs="Calibri"/>
                <w:i/>
                <w:iCs/>
                <w:color w:val="auto"/>
                <w:sz w:val="18"/>
                <w:szCs w:val="18"/>
                <w:lang w:eastAsia="en-AU"/>
              </w:rPr>
              <w:t>covid</w:t>
            </w:r>
          </w:p>
        </w:tc>
        <w:tc>
          <w:tcPr>
            <w:tcW w:w="1015" w:type="dxa"/>
            <w:tcBorders>
              <w:top w:val="single" w:sz="8" w:space="0" w:color="008089"/>
              <w:left w:val="nil"/>
              <w:bottom w:val="single" w:sz="4" w:space="0" w:color="008089"/>
              <w:right w:val="nil"/>
            </w:tcBorders>
            <w:shd w:val="clear" w:color="000000" w:fill="F2F2F2"/>
            <w:vAlign w:val="center"/>
            <w:hideMark/>
          </w:tcPr>
          <w:p w14:paraId="48EC382C"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150,000</w:t>
            </w:r>
          </w:p>
        </w:tc>
        <w:tc>
          <w:tcPr>
            <w:tcW w:w="1016" w:type="dxa"/>
            <w:tcBorders>
              <w:top w:val="single" w:sz="8" w:space="0" w:color="008089"/>
              <w:left w:val="nil"/>
              <w:bottom w:val="single" w:sz="4" w:space="0" w:color="008089"/>
              <w:right w:val="single" w:sz="8" w:space="0" w:color="008089"/>
            </w:tcBorders>
            <w:shd w:val="clear" w:color="000000" w:fill="F2F2F2"/>
            <w:vAlign w:val="center"/>
            <w:hideMark/>
          </w:tcPr>
          <w:p w14:paraId="2933C5B4" w14:textId="51424B07" w:rsidR="00401088" w:rsidRPr="00624169" w:rsidRDefault="007C3CA4" w:rsidP="00401088">
            <w:pPr>
              <w:suppressAutoHyphens w:val="0"/>
              <w:spacing w:before="0" w:after="0"/>
              <w:jc w:val="right"/>
              <w:rPr>
                <w:rFonts w:ascii="Calibri" w:eastAsia="Times New Roman" w:hAnsi="Calibri" w:cs="Calibri"/>
                <w:color w:val="FF0000"/>
                <w:sz w:val="18"/>
                <w:szCs w:val="18"/>
                <w:lang w:eastAsia="en-AU"/>
              </w:rPr>
            </w:pPr>
            <w:r w:rsidRPr="007C3CA4">
              <w:rPr>
                <w:rFonts w:ascii="Calibri" w:eastAsia="Times New Roman" w:hAnsi="Calibri" w:cs="Calibri"/>
                <w:i/>
                <w:iCs/>
                <w:color w:val="auto"/>
                <w:sz w:val="18"/>
                <w:szCs w:val="18"/>
                <w:lang w:eastAsia="en-AU"/>
              </w:rPr>
              <w:t>enc</w:t>
            </w:r>
          </w:p>
        </w:tc>
      </w:tr>
      <w:tr w:rsidR="00624169" w:rsidRPr="00401088" w14:paraId="0CDA3887" w14:textId="77777777" w:rsidTr="00624169">
        <w:trPr>
          <w:trHeight w:val="290"/>
          <w:jc w:val="center"/>
        </w:trPr>
        <w:tc>
          <w:tcPr>
            <w:tcW w:w="1502" w:type="dxa"/>
            <w:vMerge/>
            <w:tcBorders>
              <w:top w:val="nil"/>
              <w:left w:val="single" w:sz="8" w:space="0" w:color="008089"/>
              <w:bottom w:val="single" w:sz="8" w:space="0" w:color="008089"/>
              <w:right w:val="nil"/>
            </w:tcBorders>
            <w:vAlign w:val="center"/>
            <w:hideMark/>
          </w:tcPr>
          <w:p w14:paraId="6DCB0A8E" w14:textId="77777777" w:rsidR="00401088" w:rsidRPr="00DB204C" w:rsidRDefault="00401088" w:rsidP="00401088">
            <w:pPr>
              <w:suppressAutoHyphens w:val="0"/>
              <w:spacing w:before="0" w:after="0"/>
              <w:rPr>
                <w:rFonts w:ascii="Calibri" w:eastAsia="Times New Roman" w:hAnsi="Calibri" w:cs="Calibri"/>
                <w:b/>
                <w:bCs/>
                <w:color w:val="000000"/>
                <w:sz w:val="18"/>
                <w:szCs w:val="18"/>
                <w:lang w:eastAsia="en-AU"/>
              </w:rPr>
            </w:pPr>
          </w:p>
        </w:tc>
        <w:tc>
          <w:tcPr>
            <w:tcW w:w="3308" w:type="dxa"/>
            <w:tcBorders>
              <w:top w:val="nil"/>
              <w:left w:val="nil"/>
              <w:bottom w:val="single" w:sz="4" w:space="0" w:color="008089"/>
              <w:right w:val="nil"/>
            </w:tcBorders>
            <w:shd w:val="clear" w:color="000000" w:fill="F2F2F2"/>
            <w:vAlign w:val="center"/>
            <w:hideMark/>
          </w:tcPr>
          <w:p w14:paraId="2160C992" w14:textId="77777777" w:rsidR="00401088" w:rsidRPr="00DB204C" w:rsidRDefault="00401088" w:rsidP="00401088">
            <w:pPr>
              <w:suppressAutoHyphens w:val="0"/>
              <w:spacing w:before="0" w:after="0"/>
              <w:rPr>
                <w:rFonts w:ascii="Calibri" w:eastAsia="Times New Roman" w:hAnsi="Calibri" w:cs="Calibri"/>
                <w:color w:val="000000"/>
                <w:sz w:val="18"/>
                <w:szCs w:val="18"/>
                <w:lang w:eastAsia="en-AU"/>
              </w:rPr>
            </w:pPr>
            <w:r w:rsidRPr="00DB204C">
              <w:rPr>
                <w:rFonts w:ascii="Calibri" w:eastAsia="Times New Roman" w:hAnsi="Calibri" w:cs="Calibri"/>
                <w:color w:val="000000"/>
                <w:sz w:val="18"/>
                <w:szCs w:val="18"/>
                <w:lang w:eastAsia="en-AU"/>
              </w:rPr>
              <w:t>Men's Singles Final</w:t>
            </w:r>
          </w:p>
        </w:tc>
        <w:tc>
          <w:tcPr>
            <w:tcW w:w="1843" w:type="dxa"/>
            <w:tcBorders>
              <w:top w:val="nil"/>
              <w:left w:val="nil"/>
              <w:bottom w:val="single" w:sz="4" w:space="0" w:color="008089"/>
              <w:right w:val="nil"/>
            </w:tcBorders>
            <w:shd w:val="clear" w:color="000000" w:fill="F2F2F2"/>
            <w:vAlign w:val="center"/>
            <w:hideMark/>
          </w:tcPr>
          <w:p w14:paraId="1921B3BE" w14:textId="77777777" w:rsidR="00401088" w:rsidRPr="00F85D80" w:rsidRDefault="00401088" w:rsidP="00401088">
            <w:pPr>
              <w:suppressAutoHyphens w:val="0"/>
              <w:spacing w:before="0" w:after="0"/>
              <w:rPr>
                <w:rFonts w:ascii="Calibri" w:eastAsia="Times New Roman" w:hAnsi="Calibri" w:cs="Calibri"/>
                <w:color w:val="000000"/>
                <w:sz w:val="16"/>
                <w:szCs w:val="16"/>
                <w:lang w:eastAsia="en-AU"/>
              </w:rPr>
            </w:pPr>
            <w:r w:rsidRPr="00F85D80">
              <w:rPr>
                <w:rFonts w:ascii="Calibri" w:eastAsia="Times New Roman" w:hAnsi="Calibri" w:cs="Calibri"/>
                <w:color w:val="000000"/>
                <w:sz w:val="16"/>
                <w:szCs w:val="16"/>
                <w:lang w:eastAsia="en-AU"/>
              </w:rPr>
              <w:t>Single session</w:t>
            </w:r>
          </w:p>
        </w:tc>
        <w:tc>
          <w:tcPr>
            <w:tcW w:w="1015" w:type="dxa"/>
            <w:tcBorders>
              <w:top w:val="nil"/>
              <w:left w:val="nil"/>
              <w:bottom w:val="single" w:sz="4" w:space="0" w:color="008089"/>
              <w:right w:val="nil"/>
            </w:tcBorders>
            <w:shd w:val="clear" w:color="000000" w:fill="F2F2F2"/>
            <w:vAlign w:val="center"/>
            <w:hideMark/>
          </w:tcPr>
          <w:p w14:paraId="3CF9415D"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684,000</w:t>
            </w:r>
          </w:p>
        </w:tc>
        <w:tc>
          <w:tcPr>
            <w:tcW w:w="1015" w:type="dxa"/>
            <w:tcBorders>
              <w:top w:val="nil"/>
              <w:left w:val="nil"/>
              <w:bottom w:val="single" w:sz="4" w:space="0" w:color="008089"/>
              <w:right w:val="nil"/>
            </w:tcBorders>
            <w:shd w:val="clear" w:color="000000" w:fill="F2F2F2"/>
            <w:vAlign w:val="center"/>
            <w:hideMark/>
          </w:tcPr>
          <w:p w14:paraId="414D4F3F"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399,000</w:t>
            </w:r>
          </w:p>
        </w:tc>
        <w:tc>
          <w:tcPr>
            <w:tcW w:w="1016" w:type="dxa"/>
            <w:tcBorders>
              <w:top w:val="nil"/>
              <w:left w:val="nil"/>
              <w:bottom w:val="single" w:sz="4" w:space="0" w:color="008089"/>
              <w:right w:val="nil"/>
            </w:tcBorders>
            <w:shd w:val="clear" w:color="000000" w:fill="F2F2F2"/>
            <w:vAlign w:val="center"/>
            <w:hideMark/>
          </w:tcPr>
          <w:p w14:paraId="4DE60225"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500,000</w:t>
            </w:r>
          </w:p>
        </w:tc>
        <w:tc>
          <w:tcPr>
            <w:tcW w:w="1015" w:type="dxa"/>
            <w:tcBorders>
              <w:top w:val="nil"/>
              <w:left w:val="nil"/>
              <w:bottom w:val="single" w:sz="4" w:space="0" w:color="008089"/>
              <w:right w:val="nil"/>
            </w:tcBorders>
            <w:shd w:val="clear" w:color="000000" w:fill="F2F2F2"/>
            <w:vAlign w:val="center"/>
            <w:hideMark/>
          </w:tcPr>
          <w:p w14:paraId="0BED329E"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281,000</w:t>
            </w:r>
          </w:p>
        </w:tc>
        <w:tc>
          <w:tcPr>
            <w:tcW w:w="1015" w:type="dxa"/>
            <w:tcBorders>
              <w:top w:val="nil"/>
              <w:left w:val="nil"/>
              <w:bottom w:val="single" w:sz="4" w:space="0" w:color="008089"/>
              <w:right w:val="nil"/>
            </w:tcBorders>
            <w:shd w:val="clear" w:color="000000" w:fill="F2F2F2"/>
            <w:vAlign w:val="center"/>
            <w:hideMark/>
          </w:tcPr>
          <w:p w14:paraId="25BB7D77"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411,000</w:t>
            </w:r>
          </w:p>
        </w:tc>
        <w:tc>
          <w:tcPr>
            <w:tcW w:w="1016" w:type="dxa"/>
            <w:tcBorders>
              <w:top w:val="nil"/>
              <w:left w:val="nil"/>
              <w:bottom w:val="single" w:sz="4" w:space="0" w:color="008089"/>
              <w:right w:val="nil"/>
            </w:tcBorders>
            <w:shd w:val="clear" w:color="000000" w:fill="F2F2F2"/>
            <w:vAlign w:val="center"/>
            <w:hideMark/>
          </w:tcPr>
          <w:p w14:paraId="24C8FC33" w14:textId="77777777" w:rsidR="00401088" w:rsidRPr="00624169" w:rsidRDefault="00401088" w:rsidP="00401088">
            <w:pPr>
              <w:suppressAutoHyphens w:val="0"/>
              <w:spacing w:before="0" w:after="0"/>
              <w:jc w:val="right"/>
              <w:rPr>
                <w:rFonts w:ascii="Calibri" w:eastAsia="Times New Roman" w:hAnsi="Calibri" w:cs="Calibri"/>
                <w:i/>
                <w:iCs/>
                <w:color w:val="auto"/>
                <w:sz w:val="18"/>
                <w:szCs w:val="18"/>
                <w:lang w:eastAsia="en-AU"/>
              </w:rPr>
            </w:pPr>
            <w:r w:rsidRPr="00624169">
              <w:rPr>
                <w:rFonts w:ascii="Calibri" w:eastAsia="Times New Roman" w:hAnsi="Calibri" w:cs="Calibri"/>
                <w:i/>
                <w:iCs/>
                <w:color w:val="auto"/>
                <w:sz w:val="18"/>
                <w:szCs w:val="18"/>
                <w:lang w:eastAsia="en-AU"/>
              </w:rPr>
              <w:t>covid</w:t>
            </w:r>
          </w:p>
        </w:tc>
        <w:tc>
          <w:tcPr>
            <w:tcW w:w="1015" w:type="dxa"/>
            <w:tcBorders>
              <w:top w:val="nil"/>
              <w:left w:val="nil"/>
              <w:bottom w:val="single" w:sz="4" w:space="0" w:color="008089"/>
              <w:right w:val="nil"/>
            </w:tcBorders>
            <w:shd w:val="clear" w:color="000000" w:fill="F2F2F2"/>
            <w:vAlign w:val="center"/>
            <w:hideMark/>
          </w:tcPr>
          <w:p w14:paraId="4D7FEC52"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361,000</w:t>
            </w:r>
          </w:p>
        </w:tc>
        <w:tc>
          <w:tcPr>
            <w:tcW w:w="1016" w:type="dxa"/>
            <w:tcBorders>
              <w:top w:val="nil"/>
              <w:left w:val="nil"/>
              <w:bottom w:val="single" w:sz="4" w:space="0" w:color="008089"/>
              <w:right w:val="single" w:sz="8" w:space="0" w:color="008089"/>
            </w:tcBorders>
            <w:shd w:val="clear" w:color="000000" w:fill="F2F2F2"/>
            <w:vAlign w:val="center"/>
            <w:hideMark/>
          </w:tcPr>
          <w:p w14:paraId="3F99DDAE" w14:textId="108F613C" w:rsidR="00401088" w:rsidRPr="00624169" w:rsidRDefault="007C3CA4" w:rsidP="00401088">
            <w:pPr>
              <w:suppressAutoHyphens w:val="0"/>
              <w:spacing w:before="0" w:after="0"/>
              <w:jc w:val="right"/>
              <w:rPr>
                <w:rFonts w:ascii="Calibri" w:eastAsia="Times New Roman" w:hAnsi="Calibri" w:cs="Calibri"/>
                <w:color w:val="FF0000"/>
                <w:sz w:val="18"/>
                <w:szCs w:val="18"/>
                <w:lang w:eastAsia="en-AU"/>
              </w:rPr>
            </w:pPr>
            <w:r w:rsidRPr="007C3CA4">
              <w:rPr>
                <w:rFonts w:ascii="Calibri" w:eastAsia="Times New Roman" w:hAnsi="Calibri" w:cs="Calibri"/>
                <w:i/>
                <w:iCs/>
                <w:color w:val="auto"/>
                <w:sz w:val="18"/>
                <w:szCs w:val="18"/>
                <w:lang w:eastAsia="en-AU"/>
              </w:rPr>
              <w:t>enc</w:t>
            </w:r>
          </w:p>
        </w:tc>
      </w:tr>
      <w:tr w:rsidR="00624169" w:rsidRPr="00401088" w14:paraId="3756000A" w14:textId="77777777" w:rsidTr="00624169">
        <w:trPr>
          <w:trHeight w:val="300"/>
          <w:jc w:val="center"/>
        </w:trPr>
        <w:tc>
          <w:tcPr>
            <w:tcW w:w="1502" w:type="dxa"/>
            <w:vMerge/>
            <w:tcBorders>
              <w:top w:val="nil"/>
              <w:left w:val="single" w:sz="8" w:space="0" w:color="008089"/>
              <w:bottom w:val="single" w:sz="8" w:space="0" w:color="008089"/>
              <w:right w:val="nil"/>
            </w:tcBorders>
            <w:vAlign w:val="center"/>
            <w:hideMark/>
          </w:tcPr>
          <w:p w14:paraId="2AB73E21" w14:textId="77777777" w:rsidR="00401088" w:rsidRPr="00DB204C" w:rsidRDefault="00401088" w:rsidP="00401088">
            <w:pPr>
              <w:suppressAutoHyphens w:val="0"/>
              <w:spacing w:before="0" w:after="0"/>
              <w:rPr>
                <w:rFonts w:ascii="Calibri" w:eastAsia="Times New Roman" w:hAnsi="Calibri" w:cs="Calibri"/>
                <w:b/>
                <w:bCs/>
                <w:color w:val="000000"/>
                <w:sz w:val="18"/>
                <w:szCs w:val="18"/>
                <w:lang w:eastAsia="en-AU"/>
              </w:rPr>
            </w:pPr>
          </w:p>
        </w:tc>
        <w:tc>
          <w:tcPr>
            <w:tcW w:w="3308" w:type="dxa"/>
            <w:tcBorders>
              <w:top w:val="nil"/>
              <w:left w:val="nil"/>
              <w:bottom w:val="single" w:sz="8" w:space="0" w:color="008089"/>
              <w:right w:val="nil"/>
            </w:tcBorders>
            <w:shd w:val="clear" w:color="000000" w:fill="F2F2F2"/>
            <w:vAlign w:val="center"/>
            <w:hideMark/>
          </w:tcPr>
          <w:p w14:paraId="52D73C79" w14:textId="77777777" w:rsidR="00401088" w:rsidRPr="00DB204C" w:rsidRDefault="00401088" w:rsidP="00401088">
            <w:pPr>
              <w:suppressAutoHyphens w:val="0"/>
              <w:spacing w:before="0" w:after="0"/>
              <w:rPr>
                <w:rFonts w:ascii="Calibri" w:eastAsia="Times New Roman" w:hAnsi="Calibri" w:cs="Calibri"/>
                <w:color w:val="000000"/>
                <w:sz w:val="18"/>
                <w:szCs w:val="18"/>
                <w:lang w:eastAsia="en-AU"/>
              </w:rPr>
            </w:pPr>
            <w:r w:rsidRPr="00DB204C">
              <w:rPr>
                <w:rFonts w:ascii="Calibri" w:eastAsia="Times New Roman" w:hAnsi="Calibri" w:cs="Calibri"/>
                <w:color w:val="000000"/>
                <w:sz w:val="18"/>
                <w:szCs w:val="18"/>
                <w:lang w:eastAsia="en-AU"/>
              </w:rPr>
              <w:t>Women's Single Final</w:t>
            </w:r>
          </w:p>
        </w:tc>
        <w:tc>
          <w:tcPr>
            <w:tcW w:w="1843" w:type="dxa"/>
            <w:tcBorders>
              <w:top w:val="nil"/>
              <w:left w:val="nil"/>
              <w:bottom w:val="single" w:sz="8" w:space="0" w:color="008089"/>
              <w:right w:val="nil"/>
            </w:tcBorders>
            <w:shd w:val="clear" w:color="000000" w:fill="F2F2F2"/>
            <w:vAlign w:val="center"/>
            <w:hideMark/>
          </w:tcPr>
          <w:p w14:paraId="2637C88C" w14:textId="77777777" w:rsidR="00401088" w:rsidRPr="00F85D80" w:rsidRDefault="00401088" w:rsidP="00401088">
            <w:pPr>
              <w:suppressAutoHyphens w:val="0"/>
              <w:spacing w:before="0" w:after="0"/>
              <w:rPr>
                <w:rFonts w:ascii="Calibri" w:eastAsia="Times New Roman" w:hAnsi="Calibri" w:cs="Calibri"/>
                <w:color w:val="auto"/>
                <w:sz w:val="16"/>
                <w:szCs w:val="16"/>
                <w:lang w:eastAsia="en-AU"/>
              </w:rPr>
            </w:pPr>
            <w:r w:rsidRPr="00F85D80">
              <w:rPr>
                <w:rFonts w:ascii="Calibri" w:eastAsia="Times New Roman" w:hAnsi="Calibri" w:cs="Calibri"/>
                <w:color w:val="auto"/>
                <w:sz w:val="16"/>
                <w:szCs w:val="16"/>
                <w:lang w:eastAsia="en-AU"/>
              </w:rPr>
              <w:t>Single session</w:t>
            </w:r>
          </w:p>
        </w:tc>
        <w:tc>
          <w:tcPr>
            <w:tcW w:w="1015" w:type="dxa"/>
            <w:tcBorders>
              <w:top w:val="nil"/>
              <w:left w:val="nil"/>
              <w:bottom w:val="nil"/>
              <w:right w:val="nil"/>
            </w:tcBorders>
            <w:shd w:val="clear" w:color="000000" w:fill="F2F2F2"/>
            <w:vAlign w:val="center"/>
            <w:hideMark/>
          </w:tcPr>
          <w:p w14:paraId="45156D7D"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209,000</w:t>
            </w:r>
          </w:p>
        </w:tc>
        <w:tc>
          <w:tcPr>
            <w:tcW w:w="1015" w:type="dxa"/>
            <w:tcBorders>
              <w:top w:val="nil"/>
              <w:left w:val="nil"/>
              <w:bottom w:val="nil"/>
              <w:right w:val="nil"/>
            </w:tcBorders>
            <w:shd w:val="clear" w:color="000000" w:fill="F2F2F2"/>
            <w:vAlign w:val="center"/>
            <w:hideMark/>
          </w:tcPr>
          <w:p w14:paraId="62162AF3"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427,000</w:t>
            </w:r>
          </w:p>
        </w:tc>
        <w:tc>
          <w:tcPr>
            <w:tcW w:w="1016" w:type="dxa"/>
            <w:tcBorders>
              <w:top w:val="nil"/>
              <w:left w:val="nil"/>
              <w:bottom w:val="nil"/>
              <w:right w:val="nil"/>
            </w:tcBorders>
            <w:shd w:val="clear" w:color="000000" w:fill="F2F2F2"/>
            <w:vAlign w:val="center"/>
            <w:hideMark/>
          </w:tcPr>
          <w:p w14:paraId="077AA49E"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297,000</w:t>
            </w:r>
          </w:p>
        </w:tc>
        <w:tc>
          <w:tcPr>
            <w:tcW w:w="1015" w:type="dxa"/>
            <w:tcBorders>
              <w:top w:val="nil"/>
              <w:left w:val="nil"/>
              <w:bottom w:val="nil"/>
              <w:right w:val="nil"/>
            </w:tcBorders>
            <w:shd w:val="clear" w:color="000000" w:fill="F2F2F2"/>
            <w:vAlign w:val="center"/>
            <w:hideMark/>
          </w:tcPr>
          <w:p w14:paraId="0709E9F0"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348,000</w:t>
            </w:r>
          </w:p>
        </w:tc>
        <w:tc>
          <w:tcPr>
            <w:tcW w:w="1015" w:type="dxa"/>
            <w:tcBorders>
              <w:top w:val="nil"/>
              <w:left w:val="nil"/>
              <w:bottom w:val="nil"/>
              <w:right w:val="nil"/>
            </w:tcBorders>
            <w:shd w:val="clear" w:color="000000" w:fill="F2F2F2"/>
            <w:vAlign w:val="center"/>
            <w:hideMark/>
          </w:tcPr>
          <w:p w14:paraId="226059EE"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357,000</w:t>
            </w:r>
          </w:p>
        </w:tc>
        <w:tc>
          <w:tcPr>
            <w:tcW w:w="1016" w:type="dxa"/>
            <w:tcBorders>
              <w:top w:val="nil"/>
              <w:left w:val="nil"/>
              <w:bottom w:val="single" w:sz="4" w:space="0" w:color="008089"/>
              <w:right w:val="nil"/>
            </w:tcBorders>
            <w:shd w:val="clear" w:color="000000" w:fill="F2F2F2"/>
            <w:vAlign w:val="center"/>
            <w:hideMark/>
          </w:tcPr>
          <w:p w14:paraId="6566CCB6" w14:textId="77777777" w:rsidR="00401088" w:rsidRPr="00624169" w:rsidRDefault="00401088" w:rsidP="00401088">
            <w:pPr>
              <w:suppressAutoHyphens w:val="0"/>
              <w:spacing w:before="0" w:after="0"/>
              <w:jc w:val="right"/>
              <w:rPr>
                <w:rFonts w:ascii="Calibri" w:eastAsia="Times New Roman" w:hAnsi="Calibri" w:cs="Calibri"/>
                <w:i/>
                <w:iCs/>
                <w:color w:val="auto"/>
                <w:sz w:val="18"/>
                <w:szCs w:val="18"/>
                <w:lang w:eastAsia="en-AU"/>
              </w:rPr>
            </w:pPr>
            <w:r w:rsidRPr="00624169">
              <w:rPr>
                <w:rFonts w:ascii="Calibri" w:eastAsia="Times New Roman" w:hAnsi="Calibri" w:cs="Calibri"/>
                <w:i/>
                <w:iCs/>
                <w:color w:val="auto"/>
                <w:sz w:val="18"/>
                <w:szCs w:val="18"/>
                <w:lang w:eastAsia="en-AU"/>
              </w:rPr>
              <w:t>covid</w:t>
            </w:r>
          </w:p>
        </w:tc>
        <w:tc>
          <w:tcPr>
            <w:tcW w:w="1015" w:type="dxa"/>
            <w:tcBorders>
              <w:top w:val="nil"/>
              <w:left w:val="nil"/>
              <w:bottom w:val="nil"/>
              <w:right w:val="nil"/>
            </w:tcBorders>
            <w:shd w:val="clear" w:color="000000" w:fill="F2F2F2"/>
            <w:vAlign w:val="center"/>
            <w:hideMark/>
          </w:tcPr>
          <w:p w14:paraId="33C8465F"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1,547,000</w:t>
            </w:r>
          </w:p>
        </w:tc>
        <w:tc>
          <w:tcPr>
            <w:tcW w:w="1016" w:type="dxa"/>
            <w:tcBorders>
              <w:top w:val="nil"/>
              <w:left w:val="nil"/>
              <w:bottom w:val="nil"/>
              <w:right w:val="single" w:sz="8" w:space="0" w:color="008089"/>
            </w:tcBorders>
            <w:shd w:val="clear" w:color="000000" w:fill="F2F2F2"/>
            <w:vAlign w:val="center"/>
            <w:hideMark/>
          </w:tcPr>
          <w:p w14:paraId="254085B4" w14:textId="0B872D8B" w:rsidR="00401088" w:rsidRPr="00624169" w:rsidRDefault="00C7574D" w:rsidP="00401088">
            <w:pPr>
              <w:suppressAutoHyphens w:val="0"/>
              <w:spacing w:before="0" w:after="0"/>
              <w:jc w:val="right"/>
              <w:rPr>
                <w:rFonts w:ascii="Calibri" w:eastAsia="Times New Roman" w:hAnsi="Calibri" w:cs="Calibri"/>
                <w:color w:val="FF0000"/>
                <w:sz w:val="18"/>
                <w:szCs w:val="18"/>
                <w:lang w:eastAsia="en-AU"/>
              </w:rPr>
            </w:pPr>
            <w:r w:rsidRPr="007C3CA4">
              <w:rPr>
                <w:rFonts w:ascii="Calibri" w:eastAsia="Times New Roman" w:hAnsi="Calibri" w:cs="Calibri"/>
                <w:i/>
                <w:iCs/>
                <w:color w:val="auto"/>
                <w:sz w:val="18"/>
                <w:szCs w:val="18"/>
                <w:lang w:eastAsia="en-AU"/>
              </w:rPr>
              <w:t>enc</w:t>
            </w:r>
          </w:p>
        </w:tc>
      </w:tr>
      <w:tr w:rsidR="00624169" w:rsidRPr="00401088" w14:paraId="42E58CB3" w14:textId="77777777" w:rsidTr="00624169">
        <w:trPr>
          <w:trHeight w:val="330"/>
          <w:jc w:val="center"/>
        </w:trPr>
        <w:tc>
          <w:tcPr>
            <w:tcW w:w="1502" w:type="dxa"/>
            <w:vMerge w:val="restart"/>
            <w:tcBorders>
              <w:top w:val="nil"/>
              <w:left w:val="single" w:sz="8" w:space="0" w:color="008089"/>
              <w:bottom w:val="single" w:sz="8" w:space="0" w:color="008089"/>
              <w:right w:val="nil"/>
            </w:tcBorders>
            <w:shd w:val="clear" w:color="000000" w:fill="F2F2F2"/>
            <w:vAlign w:val="center"/>
            <w:hideMark/>
          </w:tcPr>
          <w:p w14:paraId="794C5B91" w14:textId="77777777" w:rsidR="00401088" w:rsidRPr="00DB204C" w:rsidRDefault="00401088" w:rsidP="00401088">
            <w:pPr>
              <w:suppressAutoHyphens w:val="0"/>
              <w:spacing w:before="0" w:after="0"/>
              <w:jc w:val="center"/>
              <w:rPr>
                <w:rFonts w:ascii="Calibri" w:eastAsia="Times New Roman" w:hAnsi="Calibri" w:cs="Calibri"/>
                <w:b/>
                <w:bCs/>
                <w:color w:val="000000"/>
                <w:sz w:val="18"/>
                <w:szCs w:val="18"/>
                <w:lang w:eastAsia="en-AU"/>
              </w:rPr>
            </w:pPr>
            <w:r w:rsidRPr="00DB204C">
              <w:rPr>
                <w:rFonts w:ascii="Calibri" w:eastAsia="Times New Roman" w:hAnsi="Calibri" w:cs="Calibri"/>
                <w:b/>
                <w:bCs/>
                <w:color w:val="000000"/>
                <w:sz w:val="18"/>
                <w:szCs w:val="18"/>
                <w:lang w:eastAsia="en-AU"/>
              </w:rPr>
              <w:t>French Open</w:t>
            </w:r>
          </w:p>
        </w:tc>
        <w:tc>
          <w:tcPr>
            <w:tcW w:w="3308" w:type="dxa"/>
            <w:tcBorders>
              <w:top w:val="nil"/>
              <w:left w:val="nil"/>
              <w:bottom w:val="single" w:sz="4" w:space="0" w:color="008089"/>
              <w:right w:val="nil"/>
            </w:tcBorders>
            <w:shd w:val="clear" w:color="000000" w:fill="F2F2F2"/>
            <w:vAlign w:val="center"/>
            <w:hideMark/>
          </w:tcPr>
          <w:p w14:paraId="0161C503" w14:textId="77777777" w:rsidR="00401088" w:rsidRPr="00DB204C" w:rsidRDefault="00401088" w:rsidP="00401088">
            <w:pPr>
              <w:suppressAutoHyphens w:val="0"/>
              <w:spacing w:before="0" w:after="0"/>
              <w:rPr>
                <w:rFonts w:ascii="Calibri" w:eastAsia="Times New Roman" w:hAnsi="Calibri" w:cs="Calibri"/>
                <w:color w:val="000000"/>
                <w:sz w:val="18"/>
                <w:szCs w:val="18"/>
                <w:lang w:eastAsia="en-AU"/>
              </w:rPr>
            </w:pPr>
            <w:r w:rsidRPr="00DB204C">
              <w:rPr>
                <w:rFonts w:ascii="Calibri" w:eastAsia="Times New Roman" w:hAnsi="Calibri" w:cs="Calibri"/>
                <w:color w:val="000000"/>
                <w:sz w:val="18"/>
                <w:szCs w:val="18"/>
                <w:lang w:eastAsia="en-AU"/>
              </w:rPr>
              <w:t>Day 1-7</w:t>
            </w:r>
          </w:p>
        </w:tc>
        <w:tc>
          <w:tcPr>
            <w:tcW w:w="1843" w:type="dxa"/>
            <w:tcBorders>
              <w:top w:val="nil"/>
              <w:left w:val="nil"/>
              <w:bottom w:val="single" w:sz="4" w:space="0" w:color="008089"/>
              <w:right w:val="nil"/>
            </w:tcBorders>
            <w:shd w:val="clear" w:color="000000" w:fill="F2F2F2"/>
            <w:vAlign w:val="center"/>
            <w:hideMark/>
          </w:tcPr>
          <w:p w14:paraId="1ECFB6F8" w14:textId="77777777" w:rsidR="00401088" w:rsidRPr="00F85D80" w:rsidRDefault="00401088" w:rsidP="00401088">
            <w:pPr>
              <w:suppressAutoHyphens w:val="0"/>
              <w:spacing w:before="0" w:after="0"/>
              <w:rPr>
                <w:rFonts w:ascii="Calibri" w:eastAsia="Times New Roman" w:hAnsi="Calibri" w:cs="Calibri"/>
                <w:color w:val="auto"/>
                <w:sz w:val="16"/>
                <w:szCs w:val="16"/>
                <w:lang w:eastAsia="en-AU"/>
              </w:rPr>
            </w:pPr>
            <w:r w:rsidRPr="00F85D80">
              <w:rPr>
                <w:rFonts w:ascii="Calibri" w:eastAsia="Times New Roman" w:hAnsi="Calibri" w:cs="Calibri"/>
                <w:color w:val="auto"/>
                <w:sz w:val="16"/>
                <w:szCs w:val="16"/>
                <w:lang w:eastAsia="en-AU"/>
              </w:rPr>
              <w:t>Average of live sessions, main channel</w:t>
            </w:r>
            <w:r w:rsidRPr="00F85D80">
              <w:rPr>
                <w:rFonts w:ascii="Calibri" w:eastAsia="Times New Roman" w:hAnsi="Calibri" w:cs="Calibri"/>
                <w:color w:val="auto"/>
                <w:sz w:val="16"/>
                <w:szCs w:val="16"/>
                <w:vertAlign w:val="superscript"/>
                <w:lang w:eastAsia="en-AU"/>
              </w:rPr>
              <w:t>8</w:t>
            </w:r>
          </w:p>
        </w:tc>
        <w:tc>
          <w:tcPr>
            <w:tcW w:w="1015" w:type="dxa"/>
            <w:tcBorders>
              <w:top w:val="single" w:sz="8" w:space="0" w:color="008089"/>
              <w:left w:val="nil"/>
              <w:bottom w:val="single" w:sz="4" w:space="0" w:color="008089"/>
              <w:right w:val="nil"/>
            </w:tcBorders>
            <w:shd w:val="clear" w:color="000000" w:fill="F2F2F2"/>
            <w:vAlign w:val="center"/>
            <w:hideMark/>
          </w:tcPr>
          <w:p w14:paraId="21AB0863" w14:textId="77777777" w:rsidR="00401088" w:rsidRPr="00624169" w:rsidRDefault="00401088" w:rsidP="00401088">
            <w:pPr>
              <w:suppressAutoHyphens w:val="0"/>
              <w:spacing w:before="0" w:after="0"/>
              <w:jc w:val="right"/>
              <w:rPr>
                <w:rFonts w:ascii="Calibri" w:eastAsia="Times New Roman" w:hAnsi="Calibri" w:cs="Calibri"/>
                <w:i/>
                <w:iCs/>
                <w:color w:val="auto"/>
                <w:sz w:val="18"/>
                <w:szCs w:val="18"/>
                <w:lang w:eastAsia="en-AU"/>
              </w:rPr>
            </w:pPr>
            <w:r w:rsidRPr="00624169">
              <w:rPr>
                <w:rFonts w:ascii="Calibri" w:eastAsia="Times New Roman" w:hAnsi="Calibri" w:cs="Calibri"/>
                <w:i/>
                <w:iCs/>
                <w:color w:val="auto"/>
                <w:sz w:val="18"/>
                <w:szCs w:val="18"/>
                <w:lang w:eastAsia="en-AU"/>
              </w:rPr>
              <w:t>nfta</w:t>
            </w:r>
          </w:p>
        </w:tc>
        <w:tc>
          <w:tcPr>
            <w:tcW w:w="1015" w:type="dxa"/>
            <w:tcBorders>
              <w:top w:val="single" w:sz="8" w:space="0" w:color="008089"/>
              <w:left w:val="nil"/>
              <w:bottom w:val="single" w:sz="4" w:space="0" w:color="008089"/>
              <w:right w:val="nil"/>
            </w:tcBorders>
            <w:shd w:val="clear" w:color="000000" w:fill="F2F2F2"/>
            <w:vAlign w:val="center"/>
            <w:hideMark/>
          </w:tcPr>
          <w:p w14:paraId="396D7719" w14:textId="77777777" w:rsidR="00401088" w:rsidRPr="00624169" w:rsidRDefault="00401088" w:rsidP="00401088">
            <w:pPr>
              <w:suppressAutoHyphens w:val="0"/>
              <w:spacing w:before="0" w:after="0"/>
              <w:jc w:val="right"/>
              <w:rPr>
                <w:rFonts w:ascii="Calibri" w:eastAsia="Times New Roman" w:hAnsi="Calibri" w:cs="Calibri"/>
                <w:i/>
                <w:iCs/>
                <w:color w:val="auto"/>
                <w:sz w:val="18"/>
                <w:szCs w:val="18"/>
                <w:lang w:eastAsia="en-AU"/>
              </w:rPr>
            </w:pPr>
            <w:r w:rsidRPr="00624169">
              <w:rPr>
                <w:rFonts w:ascii="Calibri" w:eastAsia="Times New Roman" w:hAnsi="Calibri" w:cs="Calibri"/>
                <w:i/>
                <w:iCs/>
                <w:color w:val="auto"/>
                <w:sz w:val="18"/>
                <w:szCs w:val="18"/>
                <w:lang w:eastAsia="en-AU"/>
              </w:rPr>
              <w:t>nfta</w:t>
            </w:r>
          </w:p>
        </w:tc>
        <w:tc>
          <w:tcPr>
            <w:tcW w:w="1016" w:type="dxa"/>
            <w:tcBorders>
              <w:top w:val="single" w:sz="8" w:space="0" w:color="008089"/>
              <w:left w:val="nil"/>
              <w:bottom w:val="single" w:sz="4" w:space="0" w:color="008089"/>
              <w:right w:val="nil"/>
            </w:tcBorders>
            <w:shd w:val="clear" w:color="000000" w:fill="F2F2F2"/>
            <w:vAlign w:val="center"/>
            <w:hideMark/>
          </w:tcPr>
          <w:p w14:paraId="377ED3F6" w14:textId="77777777" w:rsidR="00401088" w:rsidRPr="00624169" w:rsidRDefault="00401088" w:rsidP="00401088">
            <w:pPr>
              <w:suppressAutoHyphens w:val="0"/>
              <w:spacing w:before="0" w:after="0"/>
              <w:jc w:val="right"/>
              <w:rPr>
                <w:rFonts w:ascii="Calibri" w:eastAsia="Times New Roman" w:hAnsi="Calibri" w:cs="Calibri"/>
                <w:i/>
                <w:iCs/>
                <w:color w:val="auto"/>
                <w:sz w:val="18"/>
                <w:szCs w:val="18"/>
                <w:lang w:eastAsia="en-AU"/>
              </w:rPr>
            </w:pPr>
            <w:r w:rsidRPr="00624169">
              <w:rPr>
                <w:rFonts w:ascii="Calibri" w:eastAsia="Times New Roman" w:hAnsi="Calibri" w:cs="Calibri"/>
                <w:i/>
                <w:iCs/>
                <w:color w:val="auto"/>
                <w:sz w:val="18"/>
                <w:szCs w:val="18"/>
                <w:lang w:eastAsia="en-AU"/>
              </w:rPr>
              <w:t>nfta</w:t>
            </w:r>
          </w:p>
        </w:tc>
        <w:tc>
          <w:tcPr>
            <w:tcW w:w="1015" w:type="dxa"/>
            <w:tcBorders>
              <w:top w:val="single" w:sz="8" w:space="0" w:color="008089"/>
              <w:left w:val="nil"/>
              <w:bottom w:val="single" w:sz="4" w:space="0" w:color="008089"/>
              <w:right w:val="nil"/>
            </w:tcBorders>
            <w:shd w:val="clear" w:color="000000" w:fill="F2F2F2"/>
            <w:vAlign w:val="center"/>
            <w:hideMark/>
          </w:tcPr>
          <w:p w14:paraId="1796464F"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61,000</w:t>
            </w:r>
          </w:p>
        </w:tc>
        <w:tc>
          <w:tcPr>
            <w:tcW w:w="1015" w:type="dxa"/>
            <w:tcBorders>
              <w:top w:val="single" w:sz="8" w:space="0" w:color="008089"/>
              <w:left w:val="nil"/>
              <w:bottom w:val="single" w:sz="4" w:space="0" w:color="008089"/>
              <w:right w:val="nil"/>
            </w:tcBorders>
            <w:shd w:val="clear" w:color="000000" w:fill="F2F2F2"/>
            <w:vAlign w:val="center"/>
            <w:hideMark/>
          </w:tcPr>
          <w:p w14:paraId="7B13F22D"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47,000</w:t>
            </w:r>
          </w:p>
        </w:tc>
        <w:tc>
          <w:tcPr>
            <w:tcW w:w="1016" w:type="dxa"/>
            <w:tcBorders>
              <w:top w:val="single" w:sz="8" w:space="0" w:color="008089"/>
              <w:left w:val="nil"/>
              <w:bottom w:val="single" w:sz="4" w:space="0" w:color="008089"/>
              <w:right w:val="nil"/>
            </w:tcBorders>
            <w:shd w:val="clear" w:color="000000" w:fill="F2F2F2"/>
            <w:vAlign w:val="center"/>
            <w:hideMark/>
          </w:tcPr>
          <w:p w14:paraId="473EB25E"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37,000</w:t>
            </w:r>
          </w:p>
        </w:tc>
        <w:tc>
          <w:tcPr>
            <w:tcW w:w="1015" w:type="dxa"/>
            <w:tcBorders>
              <w:top w:val="single" w:sz="8" w:space="0" w:color="008089"/>
              <w:left w:val="nil"/>
              <w:bottom w:val="single" w:sz="4" w:space="0" w:color="008089"/>
              <w:right w:val="nil"/>
            </w:tcBorders>
            <w:shd w:val="clear" w:color="000000" w:fill="F2F2F2"/>
            <w:vAlign w:val="center"/>
            <w:hideMark/>
          </w:tcPr>
          <w:p w14:paraId="4B4D8A1A"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74,000</w:t>
            </w:r>
          </w:p>
        </w:tc>
        <w:tc>
          <w:tcPr>
            <w:tcW w:w="1016" w:type="dxa"/>
            <w:tcBorders>
              <w:top w:val="single" w:sz="8" w:space="0" w:color="008089"/>
              <w:left w:val="nil"/>
              <w:bottom w:val="single" w:sz="4" w:space="0" w:color="008089"/>
              <w:right w:val="single" w:sz="8" w:space="0" w:color="008089"/>
            </w:tcBorders>
            <w:shd w:val="clear" w:color="000000" w:fill="F2F2F2"/>
            <w:vAlign w:val="center"/>
            <w:hideMark/>
          </w:tcPr>
          <w:p w14:paraId="78B7EBFF" w14:textId="69F95209" w:rsidR="00401088" w:rsidRPr="00624169" w:rsidRDefault="00C7574D" w:rsidP="00401088">
            <w:pPr>
              <w:suppressAutoHyphens w:val="0"/>
              <w:spacing w:before="0" w:after="0"/>
              <w:jc w:val="right"/>
              <w:rPr>
                <w:rFonts w:ascii="Calibri" w:eastAsia="Times New Roman" w:hAnsi="Calibri" w:cs="Calibri"/>
                <w:color w:val="FF0000"/>
                <w:sz w:val="18"/>
                <w:szCs w:val="18"/>
                <w:lang w:eastAsia="en-AU"/>
              </w:rPr>
            </w:pPr>
            <w:r w:rsidRPr="007C3CA4">
              <w:rPr>
                <w:rFonts w:ascii="Calibri" w:eastAsia="Times New Roman" w:hAnsi="Calibri" w:cs="Calibri"/>
                <w:i/>
                <w:iCs/>
                <w:color w:val="auto"/>
                <w:sz w:val="18"/>
                <w:szCs w:val="18"/>
                <w:lang w:eastAsia="en-AU"/>
              </w:rPr>
              <w:t>enc</w:t>
            </w:r>
          </w:p>
        </w:tc>
      </w:tr>
      <w:tr w:rsidR="00624169" w:rsidRPr="00401088" w14:paraId="1531B501" w14:textId="77777777" w:rsidTr="00624169">
        <w:trPr>
          <w:trHeight w:val="290"/>
          <w:jc w:val="center"/>
        </w:trPr>
        <w:tc>
          <w:tcPr>
            <w:tcW w:w="1502" w:type="dxa"/>
            <w:vMerge/>
            <w:tcBorders>
              <w:top w:val="nil"/>
              <w:left w:val="single" w:sz="8" w:space="0" w:color="008089"/>
              <w:bottom w:val="single" w:sz="8" w:space="0" w:color="008089"/>
              <w:right w:val="nil"/>
            </w:tcBorders>
            <w:vAlign w:val="center"/>
            <w:hideMark/>
          </w:tcPr>
          <w:p w14:paraId="7B537AA0" w14:textId="77777777" w:rsidR="00401088" w:rsidRPr="00DB204C" w:rsidRDefault="00401088" w:rsidP="00401088">
            <w:pPr>
              <w:suppressAutoHyphens w:val="0"/>
              <w:spacing w:before="0" w:after="0"/>
              <w:rPr>
                <w:rFonts w:ascii="Calibri" w:eastAsia="Times New Roman" w:hAnsi="Calibri" w:cs="Calibri"/>
                <w:b/>
                <w:bCs/>
                <w:color w:val="000000"/>
                <w:sz w:val="18"/>
                <w:szCs w:val="18"/>
                <w:lang w:eastAsia="en-AU"/>
              </w:rPr>
            </w:pPr>
          </w:p>
        </w:tc>
        <w:tc>
          <w:tcPr>
            <w:tcW w:w="3308" w:type="dxa"/>
            <w:tcBorders>
              <w:top w:val="nil"/>
              <w:left w:val="nil"/>
              <w:bottom w:val="single" w:sz="4" w:space="0" w:color="008089"/>
              <w:right w:val="nil"/>
            </w:tcBorders>
            <w:shd w:val="clear" w:color="000000" w:fill="F2F2F2"/>
            <w:vAlign w:val="center"/>
            <w:hideMark/>
          </w:tcPr>
          <w:p w14:paraId="4C9456E4" w14:textId="77777777" w:rsidR="00401088" w:rsidRPr="00DB204C" w:rsidRDefault="00401088" w:rsidP="00401088">
            <w:pPr>
              <w:suppressAutoHyphens w:val="0"/>
              <w:spacing w:before="0" w:after="0"/>
              <w:rPr>
                <w:rFonts w:ascii="Calibri" w:eastAsia="Times New Roman" w:hAnsi="Calibri" w:cs="Calibri"/>
                <w:color w:val="000000"/>
                <w:sz w:val="18"/>
                <w:szCs w:val="18"/>
                <w:lang w:eastAsia="en-AU"/>
              </w:rPr>
            </w:pPr>
            <w:r w:rsidRPr="00DB204C">
              <w:rPr>
                <w:rFonts w:ascii="Calibri" w:eastAsia="Times New Roman" w:hAnsi="Calibri" w:cs="Calibri"/>
                <w:color w:val="000000"/>
                <w:sz w:val="18"/>
                <w:szCs w:val="18"/>
                <w:lang w:eastAsia="en-AU"/>
              </w:rPr>
              <w:t>Men's Singles Final</w:t>
            </w:r>
          </w:p>
        </w:tc>
        <w:tc>
          <w:tcPr>
            <w:tcW w:w="1843" w:type="dxa"/>
            <w:tcBorders>
              <w:top w:val="nil"/>
              <w:left w:val="nil"/>
              <w:bottom w:val="single" w:sz="4" w:space="0" w:color="008089"/>
              <w:right w:val="nil"/>
            </w:tcBorders>
            <w:shd w:val="clear" w:color="000000" w:fill="F2F2F2"/>
            <w:vAlign w:val="center"/>
            <w:hideMark/>
          </w:tcPr>
          <w:p w14:paraId="71D651F3" w14:textId="77777777" w:rsidR="00401088" w:rsidRPr="00F85D80" w:rsidRDefault="00401088" w:rsidP="00401088">
            <w:pPr>
              <w:suppressAutoHyphens w:val="0"/>
              <w:spacing w:before="0" w:after="0"/>
              <w:rPr>
                <w:rFonts w:ascii="Calibri" w:eastAsia="Times New Roman" w:hAnsi="Calibri" w:cs="Calibri"/>
                <w:color w:val="000000"/>
                <w:sz w:val="16"/>
                <w:szCs w:val="16"/>
                <w:lang w:eastAsia="en-AU"/>
              </w:rPr>
            </w:pPr>
            <w:r w:rsidRPr="00F85D80">
              <w:rPr>
                <w:rFonts w:ascii="Calibri" w:eastAsia="Times New Roman" w:hAnsi="Calibri" w:cs="Calibri"/>
                <w:color w:val="000000"/>
                <w:sz w:val="16"/>
                <w:szCs w:val="16"/>
                <w:lang w:eastAsia="en-AU"/>
              </w:rPr>
              <w:t>Single session</w:t>
            </w:r>
          </w:p>
        </w:tc>
        <w:tc>
          <w:tcPr>
            <w:tcW w:w="1015" w:type="dxa"/>
            <w:tcBorders>
              <w:top w:val="nil"/>
              <w:left w:val="nil"/>
              <w:bottom w:val="single" w:sz="4" w:space="0" w:color="008089"/>
              <w:right w:val="nil"/>
            </w:tcBorders>
            <w:shd w:val="clear" w:color="000000" w:fill="F2F2F2"/>
            <w:vAlign w:val="center"/>
            <w:hideMark/>
          </w:tcPr>
          <w:p w14:paraId="4612D169" w14:textId="77777777" w:rsidR="00401088" w:rsidRPr="00624169" w:rsidRDefault="00401088" w:rsidP="00401088">
            <w:pPr>
              <w:suppressAutoHyphens w:val="0"/>
              <w:spacing w:before="0" w:after="0"/>
              <w:jc w:val="right"/>
              <w:rPr>
                <w:rFonts w:ascii="Calibri" w:eastAsia="Times New Roman" w:hAnsi="Calibri" w:cs="Calibri"/>
                <w:i/>
                <w:iCs/>
                <w:color w:val="auto"/>
                <w:sz w:val="18"/>
                <w:szCs w:val="18"/>
                <w:lang w:eastAsia="en-AU"/>
              </w:rPr>
            </w:pPr>
            <w:r w:rsidRPr="00624169">
              <w:rPr>
                <w:rFonts w:ascii="Calibri" w:eastAsia="Times New Roman" w:hAnsi="Calibri" w:cs="Calibri"/>
                <w:i/>
                <w:iCs/>
                <w:color w:val="auto"/>
                <w:sz w:val="18"/>
                <w:szCs w:val="18"/>
                <w:lang w:eastAsia="en-AU"/>
              </w:rPr>
              <w:t>nfta</w:t>
            </w:r>
          </w:p>
        </w:tc>
        <w:tc>
          <w:tcPr>
            <w:tcW w:w="1015" w:type="dxa"/>
            <w:tcBorders>
              <w:top w:val="nil"/>
              <w:left w:val="nil"/>
              <w:bottom w:val="single" w:sz="4" w:space="0" w:color="008089"/>
              <w:right w:val="nil"/>
            </w:tcBorders>
            <w:shd w:val="clear" w:color="000000" w:fill="F2F2F2"/>
            <w:vAlign w:val="center"/>
            <w:hideMark/>
          </w:tcPr>
          <w:p w14:paraId="5AF885FB" w14:textId="77777777" w:rsidR="00401088" w:rsidRPr="00624169" w:rsidRDefault="00401088" w:rsidP="00401088">
            <w:pPr>
              <w:suppressAutoHyphens w:val="0"/>
              <w:spacing w:before="0" w:after="0"/>
              <w:jc w:val="right"/>
              <w:rPr>
                <w:rFonts w:ascii="Calibri" w:eastAsia="Times New Roman" w:hAnsi="Calibri" w:cs="Calibri"/>
                <w:i/>
                <w:iCs/>
                <w:color w:val="auto"/>
                <w:sz w:val="18"/>
                <w:szCs w:val="18"/>
                <w:lang w:eastAsia="en-AU"/>
              </w:rPr>
            </w:pPr>
            <w:r w:rsidRPr="00624169">
              <w:rPr>
                <w:rFonts w:ascii="Calibri" w:eastAsia="Times New Roman" w:hAnsi="Calibri" w:cs="Calibri"/>
                <w:i/>
                <w:iCs/>
                <w:color w:val="auto"/>
                <w:sz w:val="18"/>
                <w:szCs w:val="18"/>
                <w:lang w:eastAsia="en-AU"/>
              </w:rPr>
              <w:t>nfta</w:t>
            </w:r>
          </w:p>
        </w:tc>
        <w:tc>
          <w:tcPr>
            <w:tcW w:w="1016" w:type="dxa"/>
            <w:tcBorders>
              <w:top w:val="nil"/>
              <w:left w:val="nil"/>
              <w:bottom w:val="single" w:sz="4" w:space="0" w:color="008089"/>
              <w:right w:val="nil"/>
            </w:tcBorders>
            <w:shd w:val="clear" w:color="000000" w:fill="F2F2F2"/>
            <w:vAlign w:val="center"/>
            <w:hideMark/>
          </w:tcPr>
          <w:p w14:paraId="0B38CA0D" w14:textId="77777777" w:rsidR="00401088" w:rsidRPr="00624169" w:rsidRDefault="00401088" w:rsidP="00401088">
            <w:pPr>
              <w:suppressAutoHyphens w:val="0"/>
              <w:spacing w:before="0" w:after="0"/>
              <w:jc w:val="right"/>
              <w:rPr>
                <w:rFonts w:ascii="Calibri" w:eastAsia="Times New Roman" w:hAnsi="Calibri" w:cs="Calibri"/>
                <w:i/>
                <w:iCs/>
                <w:color w:val="auto"/>
                <w:sz w:val="18"/>
                <w:szCs w:val="18"/>
                <w:lang w:eastAsia="en-AU"/>
              </w:rPr>
            </w:pPr>
            <w:r w:rsidRPr="00624169">
              <w:rPr>
                <w:rFonts w:ascii="Calibri" w:eastAsia="Times New Roman" w:hAnsi="Calibri" w:cs="Calibri"/>
                <w:i/>
                <w:iCs/>
                <w:color w:val="auto"/>
                <w:sz w:val="18"/>
                <w:szCs w:val="18"/>
                <w:lang w:eastAsia="en-AU"/>
              </w:rPr>
              <w:t>nfta</w:t>
            </w:r>
          </w:p>
        </w:tc>
        <w:tc>
          <w:tcPr>
            <w:tcW w:w="1015" w:type="dxa"/>
            <w:tcBorders>
              <w:top w:val="nil"/>
              <w:left w:val="nil"/>
              <w:bottom w:val="single" w:sz="4" w:space="0" w:color="008089"/>
              <w:right w:val="nil"/>
            </w:tcBorders>
            <w:shd w:val="clear" w:color="000000" w:fill="F2F2F2"/>
            <w:vAlign w:val="center"/>
            <w:hideMark/>
          </w:tcPr>
          <w:p w14:paraId="1CABFC5D"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98,000</w:t>
            </w:r>
          </w:p>
        </w:tc>
        <w:tc>
          <w:tcPr>
            <w:tcW w:w="1015" w:type="dxa"/>
            <w:tcBorders>
              <w:top w:val="nil"/>
              <w:left w:val="nil"/>
              <w:bottom w:val="single" w:sz="4" w:space="0" w:color="008089"/>
              <w:right w:val="nil"/>
            </w:tcBorders>
            <w:shd w:val="clear" w:color="000000" w:fill="F2F2F2"/>
            <w:vAlign w:val="center"/>
            <w:hideMark/>
          </w:tcPr>
          <w:p w14:paraId="0CFD32A3"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168,000</w:t>
            </w:r>
          </w:p>
        </w:tc>
        <w:tc>
          <w:tcPr>
            <w:tcW w:w="1016" w:type="dxa"/>
            <w:tcBorders>
              <w:top w:val="nil"/>
              <w:left w:val="nil"/>
              <w:bottom w:val="single" w:sz="4" w:space="0" w:color="008089"/>
              <w:right w:val="nil"/>
            </w:tcBorders>
            <w:shd w:val="clear" w:color="000000" w:fill="F2F2F2"/>
            <w:vAlign w:val="center"/>
            <w:hideMark/>
          </w:tcPr>
          <w:p w14:paraId="688C4931"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42,000</w:t>
            </w:r>
          </w:p>
        </w:tc>
        <w:tc>
          <w:tcPr>
            <w:tcW w:w="1015" w:type="dxa"/>
            <w:tcBorders>
              <w:top w:val="nil"/>
              <w:left w:val="nil"/>
              <w:bottom w:val="single" w:sz="4" w:space="0" w:color="008089"/>
              <w:right w:val="nil"/>
            </w:tcBorders>
            <w:shd w:val="clear" w:color="000000" w:fill="F2F2F2"/>
            <w:vAlign w:val="center"/>
            <w:hideMark/>
          </w:tcPr>
          <w:p w14:paraId="68E0BC8F"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191,000</w:t>
            </w:r>
          </w:p>
        </w:tc>
        <w:tc>
          <w:tcPr>
            <w:tcW w:w="1016" w:type="dxa"/>
            <w:tcBorders>
              <w:top w:val="nil"/>
              <w:left w:val="nil"/>
              <w:bottom w:val="single" w:sz="4" w:space="0" w:color="008089"/>
              <w:right w:val="single" w:sz="8" w:space="0" w:color="008089"/>
            </w:tcBorders>
            <w:shd w:val="clear" w:color="000000" w:fill="F2F2F2"/>
            <w:vAlign w:val="center"/>
            <w:hideMark/>
          </w:tcPr>
          <w:p w14:paraId="10AE9909" w14:textId="7D130A48" w:rsidR="00401088" w:rsidRPr="00624169" w:rsidRDefault="00C7574D" w:rsidP="00401088">
            <w:pPr>
              <w:suppressAutoHyphens w:val="0"/>
              <w:spacing w:before="0" w:after="0"/>
              <w:jc w:val="right"/>
              <w:rPr>
                <w:rFonts w:ascii="Calibri" w:eastAsia="Times New Roman" w:hAnsi="Calibri" w:cs="Calibri"/>
                <w:color w:val="FF0000"/>
                <w:sz w:val="18"/>
                <w:szCs w:val="18"/>
                <w:lang w:eastAsia="en-AU"/>
              </w:rPr>
            </w:pPr>
            <w:r w:rsidRPr="007C3CA4">
              <w:rPr>
                <w:rFonts w:ascii="Calibri" w:eastAsia="Times New Roman" w:hAnsi="Calibri" w:cs="Calibri"/>
                <w:i/>
                <w:iCs/>
                <w:color w:val="auto"/>
                <w:sz w:val="18"/>
                <w:szCs w:val="18"/>
                <w:lang w:eastAsia="en-AU"/>
              </w:rPr>
              <w:t>enc</w:t>
            </w:r>
          </w:p>
        </w:tc>
      </w:tr>
      <w:tr w:rsidR="00624169" w:rsidRPr="00401088" w14:paraId="07DB5F77" w14:textId="77777777" w:rsidTr="00624169">
        <w:trPr>
          <w:trHeight w:val="300"/>
          <w:jc w:val="center"/>
        </w:trPr>
        <w:tc>
          <w:tcPr>
            <w:tcW w:w="1502" w:type="dxa"/>
            <w:vMerge/>
            <w:tcBorders>
              <w:top w:val="nil"/>
              <w:left w:val="single" w:sz="8" w:space="0" w:color="008089"/>
              <w:bottom w:val="single" w:sz="8" w:space="0" w:color="008089"/>
              <w:right w:val="nil"/>
            </w:tcBorders>
            <w:vAlign w:val="center"/>
            <w:hideMark/>
          </w:tcPr>
          <w:p w14:paraId="2EF9ACD3" w14:textId="77777777" w:rsidR="00401088" w:rsidRPr="00DB204C" w:rsidRDefault="00401088" w:rsidP="00401088">
            <w:pPr>
              <w:suppressAutoHyphens w:val="0"/>
              <w:spacing w:before="0" w:after="0"/>
              <w:rPr>
                <w:rFonts w:ascii="Calibri" w:eastAsia="Times New Roman" w:hAnsi="Calibri" w:cs="Calibri"/>
                <w:b/>
                <w:bCs/>
                <w:color w:val="000000"/>
                <w:sz w:val="18"/>
                <w:szCs w:val="18"/>
                <w:lang w:eastAsia="en-AU"/>
              </w:rPr>
            </w:pPr>
          </w:p>
        </w:tc>
        <w:tc>
          <w:tcPr>
            <w:tcW w:w="3308" w:type="dxa"/>
            <w:tcBorders>
              <w:top w:val="nil"/>
              <w:left w:val="nil"/>
              <w:bottom w:val="single" w:sz="8" w:space="0" w:color="008089"/>
              <w:right w:val="nil"/>
            </w:tcBorders>
            <w:shd w:val="clear" w:color="000000" w:fill="F2F2F2"/>
            <w:vAlign w:val="center"/>
            <w:hideMark/>
          </w:tcPr>
          <w:p w14:paraId="3B67DCBD" w14:textId="77777777" w:rsidR="00401088" w:rsidRPr="00DB204C" w:rsidRDefault="00401088" w:rsidP="00401088">
            <w:pPr>
              <w:suppressAutoHyphens w:val="0"/>
              <w:spacing w:before="0" w:after="0"/>
              <w:rPr>
                <w:rFonts w:ascii="Calibri" w:eastAsia="Times New Roman" w:hAnsi="Calibri" w:cs="Calibri"/>
                <w:color w:val="000000"/>
                <w:sz w:val="18"/>
                <w:szCs w:val="18"/>
                <w:lang w:eastAsia="en-AU"/>
              </w:rPr>
            </w:pPr>
            <w:r w:rsidRPr="00DB204C">
              <w:rPr>
                <w:rFonts w:ascii="Calibri" w:eastAsia="Times New Roman" w:hAnsi="Calibri" w:cs="Calibri"/>
                <w:color w:val="000000"/>
                <w:sz w:val="18"/>
                <w:szCs w:val="18"/>
                <w:lang w:eastAsia="en-AU"/>
              </w:rPr>
              <w:t>Women's Single Final</w:t>
            </w:r>
          </w:p>
        </w:tc>
        <w:tc>
          <w:tcPr>
            <w:tcW w:w="1843" w:type="dxa"/>
            <w:tcBorders>
              <w:top w:val="nil"/>
              <w:left w:val="nil"/>
              <w:bottom w:val="single" w:sz="8" w:space="0" w:color="008089"/>
              <w:right w:val="nil"/>
            </w:tcBorders>
            <w:shd w:val="clear" w:color="000000" w:fill="F2F2F2"/>
            <w:vAlign w:val="center"/>
            <w:hideMark/>
          </w:tcPr>
          <w:p w14:paraId="1A8C2072" w14:textId="77777777" w:rsidR="00401088" w:rsidRPr="00F85D80" w:rsidRDefault="00401088" w:rsidP="00401088">
            <w:pPr>
              <w:suppressAutoHyphens w:val="0"/>
              <w:spacing w:before="0" w:after="0"/>
              <w:rPr>
                <w:rFonts w:ascii="Calibri" w:eastAsia="Times New Roman" w:hAnsi="Calibri" w:cs="Calibri"/>
                <w:color w:val="auto"/>
                <w:sz w:val="16"/>
                <w:szCs w:val="16"/>
                <w:lang w:eastAsia="en-AU"/>
              </w:rPr>
            </w:pPr>
            <w:r w:rsidRPr="00F85D80">
              <w:rPr>
                <w:rFonts w:ascii="Calibri" w:eastAsia="Times New Roman" w:hAnsi="Calibri" w:cs="Calibri"/>
                <w:color w:val="auto"/>
                <w:sz w:val="16"/>
                <w:szCs w:val="16"/>
                <w:lang w:eastAsia="en-AU"/>
              </w:rPr>
              <w:t>Single session</w:t>
            </w:r>
          </w:p>
        </w:tc>
        <w:tc>
          <w:tcPr>
            <w:tcW w:w="1015" w:type="dxa"/>
            <w:tcBorders>
              <w:top w:val="nil"/>
              <w:left w:val="nil"/>
              <w:bottom w:val="nil"/>
              <w:right w:val="nil"/>
            </w:tcBorders>
            <w:shd w:val="clear" w:color="000000" w:fill="F2F2F2"/>
            <w:vAlign w:val="center"/>
            <w:hideMark/>
          </w:tcPr>
          <w:p w14:paraId="0CC56A77" w14:textId="77777777" w:rsidR="00401088" w:rsidRPr="00624169" w:rsidRDefault="00401088" w:rsidP="00401088">
            <w:pPr>
              <w:suppressAutoHyphens w:val="0"/>
              <w:spacing w:before="0" w:after="0"/>
              <w:jc w:val="right"/>
              <w:rPr>
                <w:rFonts w:ascii="Calibri" w:eastAsia="Times New Roman" w:hAnsi="Calibri" w:cs="Calibri"/>
                <w:i/>
                <w:iCs/>
                <w:color w:val="auto"/>
                <w:sz w:val="18"/>
                <w:szCs w:val="18"/>
                <w:lang w:eastAsia="en-AU"/>
              </w:rPr>
            </w:pPr>
            <w:r w:rsidRPr="00624169">
              <w:rPr>
                <w:rFonts w:ascii="Calibri" w:eastAsia="Times New Roman" w:hAnsi="Calibri" w:cs="Calibri"/>
                <w:i/>
                <w:iCs/>
                <w:color w:val="auto"/>
                <w:sz w:val="18"/>
                <w:szCs w:val="18"/>
                <w:lang w:eastAsia="en-AU"/>
              </w:rPr>
              <w:t>nfta</w:t>
            </w:r>
          </w:p>
        </w:tc>
        <w:tc>
          <w:tcPr>
            <w:tcW w:w="1015" w:type="dxa"/>
            <w:tcBorders>
              <w:top w:val="nil"/>
              <w:left w:val="nil"/>
              <w:bottom w:val="nil"/>
              <w:right w:val="nil"/>
            </w:tcBorders>
            <w:shd w:val="clear" w:color="000000" w:fill="F2F2F2"/>
            <w:vAlign w:val="center"/>
            <w:hideMark/>
          </w:tcPr>
          <w:p w14:paraId="0C9221CA" w14:textId="77777777" w:rsidR="00401088" w:rsidRPr="00624169" w:rsidRDefault="00401088" w:rsidP="00401088">
            <w:pPr>
              <w:suppressAutoHyphens w:val="0"/>
              <w:spacing w:before="0" w:after="0"/>
              <w:jc w:val="right"/>
              <w:rPr>
                <w:rFonts w:ascii="Calibri" w:eastAsia="Times New Roman" w:hAnsi="Calibri" w:cs="Calibri"/>
                <w:i/>
                <w:iCs/>
                <w:color w:val="auto"/>
                <w:sz w:val="18"/>
                <w:szCs w:val="18"/>
                <w:lang w:eastAsia="en-AU"/>
              </w:rPr>
            </w:pPr>
            <w:r w:rsidRPr="00624169">
              <w:rPr>
                <w:rFonts w:ascii="Calibri" w:eastAsia="Times New Roman" w:hAnsi="Calibri" w:cs="Calibri"/>
                <w:i/>
                <w:iCs/>
                <w:color w:val="auto"/>
                <w:sz w:val="18"/>
                <w:szCs w:val="18"/>
                <w:lang w:eastAsia="en-AU"/>
              </w:rPr>
              <w:t>nfta</w:t>
            </w:r>
          </w:p>
        </w:tc>
        <w:tc>
          <w:tcPr>
            <w:tcW w:w="1016" w:type="dxa"/>
            <w:tcBorders>
              <w:top w:val="nil"/>
              <w:left w:val="nil"/>
              <w:bottom w:val="nil"/>
              <w:right w:val="nil"/>
            </w:tcBorders>
            <w:shd w:val="clear" w:color="000000" w:fill="F2F2F2"/>
            <w:vAlign w:val="center"/>
            <w:hideMark/>
          </w:tcPr>
          <w:p w14:paraId="5D26EB98" w14:textId="77777777" w:rsidR="00401088" w:rsidRPr="00624169" w:rsidRDefault="00401088" w:rsidP="00401088">
            <w:pPr>
              <w:suppressAutoHyphens w:val="0"/>
              <w:spacing w:before="0" w:after="0"/>
              <w:jc w:val="right"/>
              <w:rPr>
                <w:rFonts w:ascii="Calibri" w:eastAsia="Times New Roman" w:hAnsi="Calibri" w:cs="Calibri"/>
                <w:i/>
                <w:iCs/>
                <w:color w:val="auto"/>
                <w:sz w:val="18"/>
                <w:szCs w:val="18"/>
                <w:lang w:eastAsia="en-AU"/>
              </w:rPr>
            </w:pPr>
            <w:r w:rsidRPr="00624169">
              <w:rPr>
                <w:rFonts w:ascii="Calibri" w:eastAsia="Times New Roman" w:hAnsi="Calibri" w:cs="Calibri"/>
                <w:i/>
                <w:iCs/>
                <w:color w:val="auto"/>
                <w:sz w:val="18"/>
                <w:szCs w:val="18"/>
                <w:lang w:eastAsia="en-AU"/>
              </w:rPr>
              <w:t>nfta</w:t>
            </w:r>
          </w:p>
        </w:tc>
        <w:tc>
          <w:tcPr>
            <w:tcW w:w="1015" w:type="dxa"/>
            <w:tcBorders>
              <w:top w:val="nil"/>
              <w:left w:val="nil"/>
              <w:bottom w:val="nil"/>
              <w:right w:val="nil"/>
            </w:tcBorders>
            <w:shd w:val="clear" w:color="000000" w:fill="F2F2F2"/>
            <w:vAlign w:val="center"/>
            <w:hideMark/>
          </w:tcPr>
          <w:p w14:paraId="3928FC50"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105,000</w:t>
            </w:r>
          </w:p>
        </w:tc>
        <w:tc>
          <w:tcPr>
            <w:tcW w:w="1015" w:type="dxa"/>
            <w:tcBorders>
              <w:top w:val="nil"/>
              <w:left w:val="nil"/>
              <w:bottom w:val="nil"/>
              <w:right w:val="nil"/>
            </w:tcBorders>
            <w:shd w:val="clear" w:color="000000" w:fill="F2F2F2"/>
            <w:vAlign w:val="center"/>
            <w:hideMark/>
          </w:tcPr>
          <w:p w14:paraId="74645796"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351,000</w:t>
            </w:r>
          </w:p>
        </w:tc>
        <w:tc>
          <w:tcPr>
            <w:tcW w:w="1016" w:type="dxa"/>
            <w:tcBorders>
              <w:top w:val="nil"/>
              <w:left w:val="nil"/>
              <w:bottom w:val="nil"/>
              <w:right w:val="nil"/>
            </w:tcBorders>
            <w:shd w:val="clear" w:color="000000" w:fill="F2F2F2"/>
            <w:vAlign w:val="center"/>
            <w:hideMark/>
          </w:tcPr>
          <w:p w14:paraId="4880FD1E" w14:textId="6455D536" w:rsidR="00401088" w:rsidRPr="00624169" w:rsidRDefault="00C7574D" w:rsidP="00401088">
            <w:pPr>
              <w:suppressAutoHyphens w:val="0"/>
              <w:spacing w:before="0" w:after="0"/>
              <w:jc w:val="right"/>
              <w:rPr>
                <w:rFonts w:ascii="Calibri" w:eastAsia="Times New Roman" w:hAnsi="Calibri" w:cs="Calibri"/>
                <w:b/>
                <w:bCs/>
                <w:color w:val="auto"/>
                <w:sz w:val="18"/>
                <w:szCs w:val="18"/>
                <w:lang w:eastAsia="en-AU"/>
              </w:rPr>
            </w:pPr>
            <w:r>
              <w:rPr>
                <w:rFonts w:ascii="Calibri" w:eastAsia="Times New Roman" w:hAnsi="Calibri" w:cs="Calibri"/>
                <w:b/>
                <w:bCs/>
                <w:color w:val="auto"/>
                <w:sz w:val="18"/>
                <w:szCs w:val="18"/>
                <w:lang w:eastAsia="en-AU"/>
              </w:rPr>
              <w:t>25</w:t>
            </w:r>
            <w:r w:rsidR="00401088" w:rsidRPr="00624169">
              <w:rPr>
                <w:rFonts w:ascii="Calibri" w:eastAsia="Times New Roman" w:hAnsi="Calibri" w:cs="Calibri"/>
                <w:b/>
                <w:bCs/>
                <w:color w:val="auto"/>
                <w:sz w:val="18"/>
                <w:szCs w:val="18"/>
                <w:lang w:eastAsia="en-AU"/>
              </w:rPr>
              <w:t>,000</w:t>
            </w:r>
          </w:p>
        </w:tc>
        <w:tc>
          <w:tcPr>
            <w:tcW w:w="1015" w:type="dxa"/>
            <w:tcBorders>
              <w:top w:val="nil"/>
              <w:left w:val="nil"/>
              <w:bottom w:val="nil"/>
              <w:right w:val="nil"/>
            </w:tcBorders>
            <w:shd w:val="clear" w:color="000000" w:fill="F2F2F2"/>
            <w:vAlign w:val="center"/>
            <w:hideMark/>
          </w:tcPr>
          <w:p w14:paraId="177B49D5"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92,000</w:t>
            </w:r>
          </w:p>
        </w:tc>
        <w:tc>
          <w:tcPr>
            <w:tcW w:w="1016" w:type="dxa"/>
            <w:tcBorders>
              <w:top w:val="nil"/>
              <w:left w:val="nil"/>
              <w:bottom w:val="nil"/>
              <w:right w:val="single" w:sz="8" w:space="0" w:color="008089"/>
            </w:tcBorders>
            <w:shd w:val="clear" w:color="000000" w:fill="F2F2F2"/>
            <w:vAlign w:val="center"/>
            <w:hideMark/>
          </w:tcPr>
          <w:p w14:paraId="6FCC335D" w14:textId="135E7369" w:rsidR="00401088" w:rsidRPr="00624169" w:rsidRDefault="00C7574D" w:rsidP="00401088">
            <w:pPr>
              <w:suppressAutoHyphens w:val="0"/>
              <w:spacing w:before="0" w:after="0"/>
              <w:jc w:val="right"/>
              <w:rPr>
                <w:rFonts w:ascii="Calibri" w:eastAsia="Times New Roman" w:hAnsi="Calibri" w:cs="Calibri"/>
                <w:color w:val="FF0000"/>
                <w:sz w:val="18"/>
                <w:szCs w:val="18"/>
                <w:lang w:eastAsia="en-AU"/>
              </w:rPr>
            </w:pPr>
            <w:r w:rsidRPr="007C3CA4">
              <w:rPr>
                <w:rFonts w:ascii="Calibri" w:eastAsia="Times New Roman" w:hAnsi="Calibri" w:cs="Calibri"/>
                <w:i/>
                <w:iCs/>
                <w:color w:val="auto"/>
                <w:sz w:val="18"/>
                <w:szCs w:val="18"/>
                <w:lang w:eastAsia="en-AU"/>
              </w:rPr>
              <w:t>enc</w:t>
            </w:r>
          </w:p>
        </w:tc>
      </w:tr>
      <w:tr w:rsidR="00624169" w:rsidRPr="00401088" w14:paraId="1A27D744" w14:textId="77777777" w:rsidTr="00624169">
        <w:trPr>
          <w:trHeight w:val="290"/>
          <w:jc w:val="center"/>
        </w:trPr>
        <w:tc>
          <w:tcPr>
            <w:tcW w:w="1502" w:type="dxa"/>
            <w:vMerge w:val="restart"/>
            <w:tcBorders>
              <w:top w:val="nil"/>
              <w:left w:val="single" w:sz="8" w:space="0" w:color="008089"/>
              <w:bottom w:val="single" w:sz="8" w:space="0" w:color="008089"/>
              <w:right w:val="nil"/>
            </w:tcBorders>
            <w:shd w:val="clear" w:color="000000" w:fill="F2F2F2"/>
            <w:vAlign w:val="center"/>
            <w:hideMark/>
          </w:tcPr>
          <w:p w14:paraId="05EA0245" w14:textId="77777777" w:rsidR="00401088" w:rsidRPr="00DB204C" w:rsidRDefault="00401088" w:rsidP="00401088">
            <w:pPr>
              <w:suppressAutoHyphens w:val="0"/>
              <w:spacing w:before="0" w:after="0"/>
              <w:jc w:val="center"/>
              <w:rPr>
                <w:rFonts w:ascii="Calibri" w:eastAsia="Times New Roman" w:hAnsi="Calibri" w:cs="Calibri"/>
                <w:b/>
                <w:bCs/>
                <w:color w:val="000000"/>
                <w:sz w:val="18"/>
                <w:szCs w:val="18"/>
                <w:lang w:eastAsia="en-AU"/>
              </w:rPr>
            </w:pPr>
            <w:r w:rsidRPr="00DB204C">
              <w:rPr>
                <w:rFonts w:ascii="Calibri" w:eastAsia="Times New Roman" w:hAnsi="Calibri" w:cs="Calibri"/>
                <w:b/>
                <w:bCs/>
                <w:color w:val="000000"/>
                <w:sz w:val="18"/>
                <w:szCs w:val="18"/>
                <w:lang w:eastAsia="en-AU"/>
              </w:rPr>
              <w:t>US Open</w:t>
            </w:r>
          </w:p>
        </w:tc>
        <w:tc>
          <w:tcPr>
            <w:tcW w:w="3308" w:type="dxa"/>
            <w:tcBorders>
              <w:top w:val="nil"/>
              <w:left w:val="nil"/>
              <w:bottom w:val="single" w:sz="4" w:space="0" w:color="008089"/>
              <w:right w:val="nil"/>
            </w:tcBorders>
            <w:shd w:val="clear" w:color="000000" w:fill="F2F2F2"/>
            <w:vAlign w:val="center"/>
            <w:hideMark/>
          </w:tcPr>
          <w:p w14:paraId="7D65C0B8" w14:textId="77777777" w:rsidR="00401088" w:rsidRPr="00DB204C" w:rsidRDefault="00401088" w:rsidP="00401088">
            <w:pPr>
              <w:suppressAutoHyphens w:val="0"/>
              <w:spacing w:before="0" w:after="0"/>
              <w:rPr>
                <w:rFonts w:ascii="Calibri" w:eastAsia="Times New Roman" w:hAnsi="Calibri" w:cs="Calibri"/>
                <w:color w:val="000000"/>
                <w:sz w:val="18"/>
                <w:szCs w:val="18"/>
                <w:lang w:eastAsia="en-AU"/>
              </w:rPr>
            </w:pPr>
            <w:r w:rsidRPr="00DB204C">
              <w:rPr>
                <w:rFonts w:ascii="Calibri" w:eastAsia="Times New Roman" w:hAnsi="Calibri" w:cs="Calibri"/>
                <w:color w:val="000000"/>
                <w:sz w:val="18"/>
                <w:szCs w:val="18"/>
                <w:lang w:eastAsia="en-AU"/>
              </w:rPr>
              <w:t>Men's Singles Final</w:t>
            </w:r>
          </w:p>
        </w:tc>
        <w:tc>
          <w:tcPr>
            <w:tcW w:w="1843" w:type="dxa"/>
            <w:tcBorders>
              <w:top w:val="nil"/>
              <w:left w:val="nil"/>
              <w:bottom w:val="single" w:sz="4" w:space="0" w:color="008089"/>
              <w:right w:val="nil"/>
            </w:tcBorders>
            <w:shd w:val="clear" w:color="000000" w:fill="F2F2F2"/>
            <w:vAlign w:val="center"/>
            <w:hideMark/>
          </w:tcPr>
          <w:p w14:paraId="439F40C3" w14:textId="77777777" w:rsidR="00401088" w:rsidRPr="00F85D80" w:rsidRDefault="00401088" w:rsidP="00401088">
            <w:pPr>
              <w:suppressAutoHyphens w:val="0"/>
              <w:spacing w:before="0" w:after="0"/>
              <w:rPr>
                <w:rFonts w:ascii="Calibri" w:eastAsia="Times New Roman" w:hAnsi="Calibri" w:cs="Calibri"/>
                <w:color w:val="auto"/>
                <w:sz w:val="16"/>
                <w:szCs w:val="16"/>
                <w:lang w:eastAsia="en-AU"/>
              </w:rPr>
            </w:pPr>
            <w:r w:rsidRPr="00F85D80">
              <w:rPr>
                <w:rFonts w:ascii="Calibri" w:eastAsia="Times New Roman" w:hAnsi="Calibri" w:cs="Calibri"/>
                <w:color w:val="auto"/>
                <w:sz w:val="16"/>
                <w:szCs w:val="16"/>
                <w:lang w:eastAsia="en-AU"/>
              </w:rPr>
              <w:t>Single session</w:t>
            </w:r>
          </w:p>
        </w:tc>
        <w:tc>
          <w:tcPr>
            <w:tcW w:w="1015" w:type="dxa"/>
            <w:tcBorders>
              <w:top w:val="single" w:sz="8" w:space="0" w:color="008089"/>
              <w:left w:val="nil"/>
              <w:bottom w:val="single" w:sz="4" w:space="0" w:color="008089"/>
              <w:right w:val="nil"/>
            </w:tcBorders>
            <w:shd w:val="clear" w:color="000000" w:fill="F2F2F2"/>
            <w:vAlign w:val="center"/>
            <w:hideMark/>
          </w:tcPr>
          <w:p w14:paraId="4F8464A9" w14:textId="77777777" w:rsidR="00401088" w:rsidRPr="00624169" w:rsidRDefault="00401088" w:rsidP="00401088">
            <w:pPr>
              <w:suppressAutoHyphens w:val="0"/>
              <w:spacing w:before="0" w:after="0"/>
              <w:jc w:val="right"/>
              <w:rPr>
                <w:rFonts w:ascii="Calibri" w:eastAsia="Times New Roman" w:hAnsi="Calibri" w:cs="Calibri"/>
                <w:i/>
                <w:iCs/>
                <w:color w:val="auto"/>
                <w:sz w:val="18"/>
                <w:szCs w:val="18"/>
                <w:lang w:eastAsia="en-AU"/>
              </w:rPr>
            </w:pPr>
            <w:r w:rsidRPr="00624169">
              <w:rPr>
                <w:rFonts w:ascii="Calibri" w:eastAsia="Times New Roman" w:hAnsi="Calibri" w:cs="Calibri"/>
                <w:i/>
                <w:iCs/>
                <w:color w:val="auto"/>
                <w:sz w:val="18"/>
                <w:szCs w:val="18"/>
                <w:lang w:eastAsia="en-AU"/>
              </w:rPr>
              <w:t>nfta</w:t>
            </w:r>
          </w:p>
        </w:tc>
        <w:tc>
          <w:tcPr>
            <w:tcW w:w="1015" w:type="dxa"/>
            <w:tcBorders>
              <w:top w:val="single" w:sz="8" w:space="0" w:color="008089"/>
              <w:left w:val="nil"/>
              <w:bottom w:val="single" w:sz="4" w:space="0" w:color="008089"/>
              <w:right w:val="nil"/>
            </w:tcBorders>
            <w:shd w:val="clear" w:color="000000" w:fill="F2F2F2"/>
            <w:vAlign w:val="center"/>
            <w:hideMark/>
          </w:tcPr>
          <w:p w14:paraId="25168FD9" w14:textId="77777777" w:rsidR="00401088" w:rsidRPr="00624169" w:rsidRDefault="00401088" w:rsidP="00401088">
            <w:pPr>
              <w:suppressAutoHyphens w:val="0"/>
              <w:spacing w:before="0" w:after="0"/>
              <w:jc w:val="right"/>
              <w:rPr>
                <w:rFonts w:ascii="Calibri" w:eastAsia="Times New Roman" w:hAnsi="Calibri" w:cs="Calibri"/>
                <w:i/>
                <w:iCs/>
                <w:color w:val="auto"/>
                <w:sz w:val="18"/>
                <w:szCs w:val="18"/>
                <w:lang w:eastAsia="en-AU"/>
              </w:rPr>
            </w:pPr>
            <w:r w:rsidRPr="00624169">
              <w:rPr>
                <w:rFonts w:ascii="Calibri" w:eastAsia="Times New Roman" w:hAnsi="Calibri" w:cs="Calibri"/>
                <w:i/>
                <w:iCs/>
                <w:color w:val="auto"/>
                <w:sz w:val="18"/>
                <w:szCs w:val="18"/>
                <w:lang w:eastAsia="en-AU"/>
              </w:rPr>
              <w:t>nfta</w:t>
            </w:r>
          </w:p>
        </w:tc>
        <w:tc>
          <w:tcPr>
            <w:tcW w:w="1016" w:type="dxa"/>
            <w:tcBorders>
              <w:top w:val="single" w:sz="8" w:space="0" w:color="008089"/>
              <w:left w:val="nil"/>
              <w:bottom w:val="single" w:sz="4" w:space="0" w:color="008089"/>
              <w:right w:val="nil"/>
            </w:tcBorders>
            <w:shd w:val="clear" w:color="000000" w:fill="F2F2F2"/>
            <w:vAlign w:val="center"/>
            <w:hideMark/>
          </w:tcPr>
          <w:p w14:paraId="6D99333F"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40,000</w:t>
            </w:r>
          </w:p>
        </w:tc>
        <w:tc>
          <w:tcPr>
            <w:tcW w:w="1015" w:type="dxa"/>
            <w:tcBorders>
              <w:top w:val="single" w:sz="8" w:space="0" w:color="008089"/>
              <w:left w:val="nil"/>
              <w:bottom w:val="single" w:sz="4" w:space="0" w:color="008089"/>
              <w:right w:val="nil"/>
            </w:tcBorders>
            <w:shd w:val="clear" w:color="000000" w:fill="F2F2F2"/>
            <w:vAlign w:val="center"/>
            <w:hideMark/>
          </w:tcPr>
          <w:p w14:paraId="294FF9AA"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57,000</w:t>
            </w:r>
          </w:p>
        </w:tc>
        <w:tc>
          <w:tcPr>
            <w:tcW w:w="1015" w:type="dxa"/>
            <w:tcBorders>
              <w:top w:val="single" w:sz="8" w:space="0" w:color="008089"/>
              <w:left w:val="nil"/>
              <w:bottom w:val="single" w:sz="4" w:space="0" w:color="008089"/>
              <w:right w:val="nil"/>
            </w:tcBorders>
            <w:shd w:val="clear" w:color="000000" w:fill="F2F2F2"/>
            <w:vAlign w:val="center"/>
            <w:hideMark/>
          </w:tcPr>
          <w:p w14:paraId="7C29B94F"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57,000</w:t>
            </w:r>
          </w:p>
        </w:tc>
        <w:tc>
          <w:tcPr>
            <w:tcW w:w="1016" w:type="dxa"/>
            <w:tcBorders>
              <w:top w:val="single" w:sz="8" w:space="0" w:color="008089"/>
              <w:left w:val="nil"/>
              <w:bottom w:val="single" w:sz="4" w:space="0" w:color="008089"/>
              <w:right w:val="nil"/>
            </w:tcBorders>
            <w:shd w:val="clear" w:color="000000" w:fill="F2F2F2"/>
            <w:vAlign w:val="center"/>
            <w:hideMark/>
          </w:tcPr>
          <w:p w14:paraId="67B701A2"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56,000</w:t>
            </w:r>
          </w:p>
        </w:tc>
        <w:tc>
          <w:tcPr>
            <w:tcW w:w="1015" w:type="dxa"/>
            <w:tcBorders>
              <w:top w:val="single" w:sz="8" w:space="0" w:color="008089"/>
              <w:left w:val="nil"/>
              <w:bottom w:val="single" w:sz="4" w:space="0" w:color="008089"/>
              <w:right w:val="nil"/>
            </w:tcBorders>
            <w:shd w:val="clear" w:color="000000" w:fill="F2F2F2"/>
            <w:vAlign w:val="center"/>
            <w:hideMark/>
          </w:tcPr>
          <w:p w14:paraId="72C6A074"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54,000</w:t>
            </w:r>
          </w:p>
        </w:tc>
        <w:tc>
          <w:tcPr>
            <w:tcW w:w="1016" w:type="dxa"/>
            <w:tcBorders>
              <w:top w:val="single" w:sz="8" w:space="0" w:color="008089"/>
              <w:left w:val="nil"/>
              <w:bottom w:val="single" w:sz="4" w:space="0" w:color="008089"/>
              <w:right w:val="single" w:sz="8" w:space="0" w:color="008089"/>
            </w:tcBorders>
            <w:shd w:val="clear" w:color="000000" w:fill="F2F2F2"/>
            <w:vAlign w:val="center"/>
            <w:hideMark/>
          </w:tcPr>
          <w:p w14:paraId="490684F7" w14:textId="5F5E2343" w:rsidR="00401088" w:rsidRPr="00624169" w:rsidRDefault="00C7574D" w:rsidP="00401088">
            <w:pPr>
              <w:suppressAutoHyphens w:val="0"/>
              <w:spacing w:before="0" w:after="0"/>
              <w:jc w:val="right"/>
              <w:rPr>
                <w:rFonts w:ascii="Calibri" w:eastAsia="Times New Roman" w:hAnsi="Calibri" w:cs="Calibri"/>
                <w:color w:val="FF0000"/>
                <w:sz w:val="18"/>
                <w:szCs w:val="18"/>
                <w:lang w:eastAsia="en-AU"/>
              </w:rPr>
            </w:pPr>
            <w:r w:rsidRPr="007C3CA4">
              <w:rPr>
                <w:rFonts w:ascii="Calibri" w:eastAsia="Times New Roman" w:hAnsi="Calibri" w:cs="Calibri"/>
                <w:i/>
                <w:iCs/>
                <w:color w:val="auto"/>
                <w:sz w:val="18"/>
                <w:szCs w:val="18"/>
                <w:lang w:eastAsia="en-AU"/>
              </w:rPr>
              <w:t>enc</w:t>
            </w:r>
          </w:p>
        </w:tc>
      </w:tr>
      <w:tr w:rsidR="00624169" w:rsidRPr="00401088" w14:paraId="6C7E1770" w14:textId="77777777" w:rsidTr="00624169">
        <w:trPr>
          <w:trHeight w:val="300"/>
          <w:jc w:val="center"/>
        </w:trPr>
        <w:tc>
          <w:tcPr>
            <w:tcW w:w="1502" w:type="dxa"/>
            <w:vMerge/>
            <w:tcBorders>
              <w:top w:val="nil"/>
              <w:left w:val="single" w:sz="8" w:space="0" w:color="008089"/>
              <w:bottom w:val="single" w:sz="8" w:space="0" w:color="008089"/>
              <w:right w:val="nil"/>
            </w:tcBorders>
            <w:vAlign w:val="center"/>
            <w:hideMark/>
          </w:tcPr>
          <w:p w14:paraId="057A15E3" w14:textId="77777777" w:rsidR="00401088" w:rsidRPr="00DB204C" w:rsidRDefault="00401088" w:rsidP="00401088">
            <w:pPr>
              <w:suppressAutoHyphens w:val="0"/>
              <w:spacing w:before="0" w:after="0"/>
              <w:rPr>
                <w:rFonts w:ascii="Calibri" w:eastAsia="Times New Roman" w:hAnsi="Calibri" w:cs="Calibri"/>
                <w:b/>
                <w:bCs/>
                <w:color w:val="000000"/>
                <w:sz w:val="18"/>
                <w:szCs w:val="18"/>
                <w:lang w:eastAsia="en-AU"/>
              </w:rPr>
            </w:pPr>
          </w:p>
        </w:tc>
        <w:tc>
          <w:tcPr>
            <w:tcW w:w="3308" w:type="dxa"/>
            <w:tcBorders>
              <w:top w:val="nil"/>
              <w:left w:val="nil"/>
              <w:bottom w:val="single" w:sz="8" w:space="0" w:color="008089"/>
              <w:right w:val="nil"/>
            </w:tcBorders>
            <w:shd w:val="clear" w:color="000000" w:fill="F2F2F2"/>
            <w:vAlign w:val="center"/>
            <w:hideMark/>
          </w:tcPr>
          <w:p w14:paraId="37A65233" w14:textId="77777777" w:rsidR="00401088" w:rsidRPr="00DB204C" w:rsidRDefault="00401088" w:rsidP="00401088">
            <w:pPr>
              <w:suppressAutoHyphens w:val="0"/>
              <w:spacing w:before="0" w:after="0"/>
              <w:rPr>
                <w:rFonts w:ascii="Calibri" w:eastAsia="Times New Roman" w:hAnsi="Calibri" w:cs="Calibri"/>
                <w:color w:val="000000"/>
                <w:sz w:val="18"/>
                <w:szCs w:val="18"/>
                <w:lang w:eastAsia="en-AU"/>
              </w:rPr>
            </w:pPr>
            <w:r w:rsidRPr="00DB204C">
              <w:rPr>
                <w:rFonts w:ascii="Calibri" w:eastAsia="Times New Roman" w:hAnsi="Calibri" w:cs="Calibri"/>
                <w:color w:val="000000"/>
                <w:sz w:val="18"/>
                <w:szCs w:val="18"/>
                <w:lang w:eastAsia="en-AU"/>
              </w:rPr>
              <w:t>Women's Single Final</w:t>
            </w:r>
          </w:p>
        </w:tc>
        <w:tc>
          <w:tcPr>
            <w:tcW w:w="1843" w:type="dxa"/>
            <w:tcBorders>
              <w:top w:val="nil"/>
              <w:left w:val="nil"/>
              <w:bottom w:val="single" w:sz="8" w:space="0" w:color="008089"/>
              <w:right w:val="nil"/>
            </w:tcBorders>
            <w:shd w:val="clear" w:color="000000" w:fill="F2F2F2"/>
            <w:vAlign w:val="center"/>
            <w:hideMark/>
          </w:tcPr>
          <w:p w14:paraId="02AC32DE" w14:textId="77777777" w:rsidR="00401088" w:rsidRPr="00F85D80" w:rsidRDefault="00401088" w:rsidP="00401088">
            <w:pPr>
              <w:suppressAutoHyphens w:val="0"/>
              <w:spacing w:before="0" w:after="0"/>
              <w:rPr>
                <w:rFonts w:ascii="Calibri" w:eastAsia="Times New Roman" w:hAnsi="Calibri" w:cs="Calibri"/>
                <w:color w:val="auto"/>
                <w:sz w:val="16"/>
                <w:szCs w:val="16"/>
                <w:lang w:eastAsia="en-AU"/>
              </w:rPr>
            </w:pPr>
            <w:r w:rsidRPr="00F85D80">
              <w:rPr>
                <w:rFonts w:ascii="Calibri" w:eastAsia="Times New Roman" w:hAnsi="Calibri" w:cs="Calibri"/>
                <w:color w:val="auto"/>
                <w:sz w:val="16"/>
                <w:szCs w:val="16"/>
                <w:lang w:eastAsia="en-AU"/>
              </w:rPr>
              <w:t>Single session</w:t>
            </w:r>
          </w:p>
        </w:tc>
        <w:tc>
          <w:tcPr>
            <w:tcW w:w="1015" w:type="dxa"/>
            <w:tcBorders>
              <w:top w:val="nil"/>
              <w:left w:val="nil"/>
              <w:bottom w:val="nil"/>
              <w:right w:val="nil"/>
            </w:tcBorders>
            <w:shd w:val="clear" w:color="000000" w:fill="F2F2F2"/>
            <w:vAlign w:val="center"/>
            <w:hideMark/>
          </w:tcPr>
          <w:p w14:paraId="232814F0" w14:textId="77777777" w:rsidR="00401088" w:rsidRPr="00624169" w:rsidRDefault="00401088" w:rsidP="00401088">
            <w:pPr>
              <w:suppressAutoHyphens w:val="0"/>
              <w:spacing w:before="0" w:after="0"/>
              <w:jc w:val="right"/>
              <w:rPr>
                <w:rFonts w:ascii="Calibri" w:eastAsia="Times New Roman" w:hAnsi="Calibri" w:cs="Calibri"/>
                <w:i/>
                <w:iCs/>
                <w:color w:val="auto"/>
                <w:sz w:val="18"/>
                <w:szCs w:val="18"/>
                <w:lang w:eastAsia="en-AU"/>
              </w:rPr>
            </w:pPr>
            <w:r w:rsidRPr="00624169">
              <w:rPr>
                <w:rFonts w:ascii="Calibri" w:eastAsia="Times New Roman" w:hAnsi="Calibri" w:cs="Calibri"/>
                <w:i/>
                <w:iCs/>
                <w:color w:val="auto"/>
                <w:sz w:val="18"/>
                <w:szCs w:val="18"/>
                <w:lang w:eastAsia="en-AU"/>
              </w:rPr>
              <w:t>nfta</w:t>
            </w:r>
          </w:p>
        </w:tc>
        <w:tc>
          <w:tcPr>
            <w:tcW w:w="1015" w:type="dxa"/>
            <w:tcBorders>
              <w:top w:val="nil"/>
              <w:left w:val="nil"/>
              <w:bottom w:val="nil"/>
              <w:right w:val="nil"/>
            </w:tcBorders>
            <w:shd w:val="clear" w:color="000000" w:fill="F2F2F2"/>
            <w:vAlign w:val="center"/>
            <w:hideMark/>
          </w:tcPr>
          <w:p w14:paraId="53B80E0F" w14:textId="77777777" w:rsidR="00401088" w:rsidRPr="00624169" w:rsidRDefault="00401088" w:rsidP="00401088">
            <w:pPr>
              <w:suppressAutoHyphens w:val="0"/>
              <w:spacing w:before="0" w:after="0"/>
              <w:jc w:val="right"/>
              <w:rPr>
                <w:rFonts w:ascii="Calibri" w:eastAsia="Times New Roman" w:hAnsi="Calibri" w:cs="Calibri"/>
                <w:i/>
                <w:iCs/>
                <w:color w:val="auto"/>
                <w:sz w:val="18"/>
                <w:szCs w:val="18"/>
                <w:lang w:eastAsia="en-AU"/>
              </w:rPr>
            </w:pPr>
            <w:r w:rsidRPr="00624169">
              <w:rPr>
                <w:rFonts w:ascii="Calibri" w:eastAsia="Times New Roman" w:hAnsi="Calibri" w:cs="Calibri"/>
                <w:i/>
                <w:iCs/>
                <w:color w:val="auto"/>
                <w:sz w:val="18"/>
                <w:szCs w:val="18"/>
                <w:lang w:eastAsia="en-AU"/>
              </w:rPr>
              <w:t>nfta</w:t>
            </w:r>
          </w:p>
        </w:tc>
        <w:tc>
          <w:tcPr>
            <w:tcW w:w="1016" w:type="dxa"/>
            <w:tcBorders>
              <w:top w:val="nil"/>
              <w:left w:val="nil"/>
              <w:bottom w:val="nil"/>
              <w:right w:val="nil"/>
            </w:tcBorders>
            <w:shd w:val="clear" w:color="000000" w:fill="F2F2F2"/>
            <w:vAlign w:val="center"/>
            <w:hideMark/>
          </w:tcPr>
          <w:p w14:paraId="5700423E"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17,000</w:t>
            </w:r>
          </w:p>
        </w:tc>
        <w:tc>
          <w:tcPr>
            <w:tcW w:w="1015" w:type="dxa"/>
            <w:tcBorders>
              <w:top w:val="nil"/>
              <w:left w:val="nil"/>
              <w:bottom w:val="nil"/>
              <w:right w:val="nil"/>
            </w:tcBorders>
            <w:shd w:val="clear" w:color="000000" w:fill="F2F2F2"/>
            <w:vAlign w:val="center"/>
            <w:hideMark/>
          </w:tcPr>
          <w:p w14:paraId="3FFA3AD6"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54,000</w:t>
            </w:r>
          </w:p>
        </w:tc>
        <w:tc>
          <w:tcPr>
            <w:tcW w:w="1015" w:type="dxa"/>
            <w:tcBorders>
              <w:top w:val="nil"/>
              <w:left w:val="nil"/>
              <w:bottom w:val="nil"/>
              <w:right w:val="nil"/>
            </w:tcBorders>
            <w:shd w:val="clear" w:color="000000" w:fill="F2F2F2"/>
            <w:vAlign w:val="center"/>
            <w:hideMark/>
          </w:tcPr>
          <w:p w14:paraId="7DAFF64F"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39,000</w:t>
            </w:r>
          </w:p>
        </w:tc>
        <w:tc>
          <w:tcPr>
            <w:tcW w:w="1016" w:type="dxa"/>
            <w:tcBorders>
              <w:top w:val="nil"/>
              <w:left w:val="nil"/>
              <w:bottom w:val="nil"/>
              <w:right w:val="nil"/>
            </w:tcBorders>
            <w:shd w:val="clear" w:color="000000" w:fill="F2F2F2"/>
            <w:vAlign w:val="center"/>
            <w:hideMark/>
          </w:tcPr>
          <w:p w14:paraId="62893B58"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30,000</w:t>
            </w:r>
          </w:p>
        </w:tc>
        <w:tc>
          <w:tcPr>
            <w:tcW w:w="1015" w:type="dxa"/>
            <w:tcBorders>
              <w:top w:val="nil"/>
              <w:left w:val="nil"/>
              <w:bottom w:val="nil"/>
              <w:right w:val="nil"/>
            </w:tcBorders>
            <w:shd w:val="clear" w:color="000000" w:fill="F2F2F2"/>
            <w:vAlign w:val="center"/>
            <w:hideMark/>
          </w:tcPr>
          <w:p w14:paraId="45B6888B"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58,000</w:t>
            </w:r>
          </w:p>
        </w:tc>
        <w:tc>
          <w:tcPr>
            <w:tcW w:w="1016" w:type="dxa"/>
            <w:tcBorders>
              <w:top w:val="nil"/>
              <w:left w:val="nil"/>
              <w:bottom w:val="nil"/>
              <w:right w:val="single" w:sz="8" w:space="0" w:color="008089"/>
            </w:tcBorders>
            <w:shd w:val="clear" w:color="000000" w:fill="F2F2F2"/>
            <w:vAlign w:val="center"/>
            <w:hideMark/>
          </w:tcPr>
          <w:p w14:paraId="06A113B7" w14:textId="681CEFE7" w:rsidR="00401088" w:rsidRPr="00624169" w:rsidRDefault="00C7574D" w:rsidP="00401088">
            <w:pPr>
              <w:suppressAutoHyphens w:val="0"/>
              <w:spacing w:before="0" w:after="0"/>
              <w:jc w:val="right"/>
              <w:rPr>
                <w:rFonts w:ascii="Calibri" w:eastAsia="Times New Roman" w:hAnsi="Calibri" w:cs="Calibri"/>
                <w:color w:val="FF0000"/>
                <w:sz w:val="18"/>
                <w:szCs w:val="18"/>
                <w:lang w:eastAsia="en-AU"/>
              </w:rPr>
            </w:pPr>
            <w:r w:rsidRPr="007C3CA4">
              <w:rPr>
                <w:rFonts w:ascii="Calibri" w:eastAsia="Times New Roman" w:hAnsi="Calibri" w:cs="Calibri"/>
                <w:i/>
                <w:iCs/>
                <w:color w:val="auto"/>
                <w:sz w:val="18"/>
                <w:szCs w:val="18"/>
                <w:lang w:eastAsia="en-AU"/>
              </w:rPr>
              <w:t>enc</w:t>
            </w:r>
          </w:p>
        </w:tc>
      </w:tr>
      <w:tr w:rsidR="00624169" w:rsidRPr="00401088" w14:paraId="42FB1E13" w14:textId="77777777" w:rsidTr="00624169">
        <w:trPr>
          <w:trHeight w:val="590"/>
          <w:jc w:val="center"/>
        </w:trPr>
        <w:tc>
          <w:tcPr>
            <w:tcW w:w="1502" w:type="dxa"/>
            <w:tcBorders>
              <w:top w:val="nil"/>
              <w:left w:val="single" w:sz="8" w:space="0" w:color="008089"/>
              <w:bottom w:val="nil"/>
              <w:right w:val="nil"/>
            </w:tcBorders>
            <w:shd w:val="clear" w:color="000000" w:fill="F2F2F2"/>
            <w:vAlign w:val="center"/>
            <w:hideMark/>
          </w:tcPr>
          <w:p w14:paraId="3C561A3A" w14:textId="77777777" w:rsidR="00401088" w:rsidRPr="00DB204C" w:rsidRDefault="00401088" w:rsidP="00401088">
            <w:pPr>
              <w:suppressAutoHyphens w:val="0"/>
              <w:spacing w:before="0" w:after="0"/>
              <w:jc w:val="center"/>
              <w:rPr>
                <w:rFonts w:ascii="Calibri" w:eastAsia="Times New Roman" w:hAnsi="Calibri" w:cs="Calibri"/>
                <w:b/>
                <w:bCs/>
                <w:color w:val="000000"/>
                <w:sz w:val="18"/>
                <w:szCs w:val="18"/>
                <w:lang w:eastAsia="en-AU"/>
              </w:rPr>
            </w:pPr>
            <w:r w:rsidRPr="00DB204C">
              <w:rPr>
                <w:rFonts w:ascii="Calibri" w:eastAsia="Times New Roman" w:hAnsi="Calibri" w:cs="Calibri"/>
                <w:b/>
                <w:bCs/>
                <w:color w:val="000000"/>
                <w:sz w:val="18"/>
                <w:szCs w:val="18"/>
                <w:lang w:eastAsia="en-AU"/>
              </w:rPr>
              <w:t>Davis Cup</w:t>
            </w:r>
          </w:p>
        </w:tc>
        <w:tc>
          <w:tcPr>
            <w:tcW w:w="3308" w:type="dxa"/>
            <w:tcBorders>
              <w:top w:val="nil"/>
              <w:left w:val="nil"/>
              <w:bottom w:val="single" w:sz="4" w:space="0" w:color="008089"/>
              <w:right w:val="nil"/>
            </w:tcBorders>
            <w:shd w:val="clear" w:color="000000" w:fill="F2F2F2"/>
            <w:vAlign w:val="center"/>
            <w:hideMark/>
          </w:tcPr>
          <w:p w14:paraId="4E38E455" w14:textId="77777777" w:rsidR="00401088" w:rsidRPr="00DB204C" w:rsidRDefault="00401088" w:rsidP="00401088">
            <w:pPr>
              <w:suppressAutoHyphens w:val="0"/>
              <w:spacing w:before="0" w:after="0"/>
              <w:rPr>
                <w:rFonts w:ascii="Calibri" w:eastAsia="Times New Roman" w:hAnsi="Calibri" w:cs="Calibri"/>
                <w:color w:val="000000"/>
                <w:sz w:val="18"/>
                <w:szCs w:val="18"/>
                <w:lang w:eastAsia="en-AU"/>
              </w:rPr>
            </w:pPr>
            <w:r w:rsidRPr="00DB204C">
              <w:rPr>
                <w:rFonts w:ascii="Calibri" w:eastAsia="Times New Roman" w:hAnsi="Calibri" w:cs="Calibri"/>
                <w:color w:val="000000"/>
                <w:sz w:val="18"/>
                <w:szCs w:val="18"/>
                <w:lang w:eastAsia="en-AU"/>
              </w:rPr>
              <w:t>Matches involving Australia</w:t>
            </w:r>
          </w:p>
        </w:tc>
        <w:tc>
          <w:tcPr>
            <w:tcW w:w="1843" w:type="dxa"/>
            <w:tcBorders>
              <w:top w:val="nil"/>
              <w:left w:val="nil"/>
              <w:bottom w:val="single" w:sz="8" w:space="0" w:color="008089"/>
              <w:right w:val="nil"/>
            </w:tcBorders>
            <w:shd w:val="clear" w:color="000000" w:fill="F2F2F2"/>
            <w:vAlign w:val="center"/>
            <w:hideMark/>
          </w:tcPr>
          <w:p w14:paraId="779C72BB" w14:textId="77777777" w:rsidR="00401088" w:rsidRPr="00F85D80" w:rsidRDefault="00401088" w:rsidP="00401088">
            <w:pPr>
              <w:suppressAutoHyphens w:val="0"/>
              <w:spacing w:before="0" w:after="0"/>
              <w:rPr>
                <w:rFonts w:ascii="Calibri" w:eastAsia="Times New Roman" w:hAnsi="Calibri" w:cs="Calibri"/>
                <w:color w:val="auto"/>
                <w:sz w:val="16"/>
                <w:szCs w:val="16"/>
                <w:lang w:eastAsia="en-AU"/>
              </w:rPr>
            </w:pPr>
            <w:r w:rsidRPr="00F85D80">
              <w:rPr>
                <w:rFonts w:ascii="Calibri" w:eastAsia="Times New Roman" w:hAnsi="Calibri" w:cs="Calibri"/>
                <w:color w:val="auto"/>
                <w:sz w:val="16"/>
                <w:szCs w:val="16"/>
                <w:lang w:eastAsia="en-AU"/>
              </w:rPr>
              <w:t>Highest audience for matches involving Australia</w:t>
            </w:r>
          </w:p>
        </w:tc>
        <w:tc>
          <w:tcPr>
            <w:tcW w:w="1015" w:type="dxa"/>
            <w:tcBorders>
              <w:top w:val="single" w:sz="8" w:space="0" w:color="008089"/>
              <w:left w:val="nil"/>
              <w:bottom w:val="single" w:sz="8" w:space="0" w:color="008089"/>
              <w:right w:val="nil"/>
            </w:tcBorders>
            <w:shd w:val="clear" w:color="000000" w:fill="F2F2F2"/>
            <w:vAlign w:val="center"/>
            <w:hideMark/>
          </w:tcPr>
          <w:p w14:paraId="47EA78AD"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189,000</w:t>
            </w:r>
          </w:p>
        </w:tc>
        <w:tc>
          <w:tcPr>
            <w:tcW w:w="1015" w:type="dxa"/>
            <w:tcBorders>
              <w:top w:val="single" w:sz="8" w:space="0" w:color="008089"/>
              <w:left w:val="nil"/>
              <w:bottom w:val="single" w:sz="8" w:space="0" w:color="008089"/>
              <w:right w:val="nil"/>
            </w:tcBorders>
            <w:shd w:val="clear" w:color="000000" w:fill="F2F2F2"/>
            <w:vAlign w:val="center"/>
            <w:hideMark/>
          </w:tcPr>
          <w:p w14:paraId="092471B9"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206,000</w:t>
            </w:r>
          </w:p>
        </w:tc>
        <w:tc>
          <w:tcPr>
            <w:tcW w:w="1016" w:type="dxa"/>
            <w:tcBorders>
              <w:top w:val="single" w:sz="8" w:space="0" w:color="008089"/>
              <w:left w:val="nil"/>
              <w:bottom w:val="single" w:sz="8" w:space="0" w:color="008089"/>
              <w:right w:val="nil"/>
            </w:tcBorders>
            <w:shd w:val="clear" w:color="000000" w:fill="F2F2F2"/>
            <w:vAlign w:val="center"/>
            <w:hideMark/>
          </w:tcPr>
          <w:p w14:paraId="562B76C2"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169,000</w:t>
            </w:r>
          </w:p>
        </w:tc>
        <w:tc>
          <w:tcPr>
            <w:tcW w:w="1015" w:type="dxa"/>
            <w:tcBorders>
              <w:top w:val="single" w:sz="8" w:space="0" w:color="008089"/>
              <w:left w:val="nil"/>
              <w:bottom w:val="single" w:sz="8" w:space="0" w:color="008089"/>
              <w:right w:val="nil"/>
            </w:tcBorders>
            <w:shd w:val="clear" w:color="000000" w:fill="F2F2F2"/>
            <w:vAlign w:val="center"/>
            <w:hideMark/>
          </w:tcPr>
          <w:p w14:paraId="5C77E54A"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297,000</w:t>
            </w:r>
          </w:p>
        </w:tc>
        <w:tc>
          <w:tcPr>
            <w:tcW w:w="1015" w:type="dxa"/>
            <w:tcBorders>
              <w:top w:val="single" w:sz="8" w:space="0" w:color="008089"/>
              <w:left w:val="nil"/>
              <w:bottom w:val="single" w:sz="8" w:space="0" w:color="008089"/>
              <w:right w:val="nil"/>
            </w:tcBorders>
            <w:shd w:val="clear" w:color="000000" w:fill="F2F2F2"/>
            <w:vAlign w:val="center"/>
            <w:hideMark/>
          </w:tcPr>
          <w:p w14:paraId="7EA42889"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66,000</w:t>
            </w:r>
          </w:p>
        </w:tc>
        <w:tc>
          <w:tcPr>
            <w:tcW w:w="1016" w:type="dxa"/>
            <w:tcBorders>
              <w:top w:val="single" w:sz="8" w:space="0" w:color="008089"/>
              <w:left w:val="nil"/>
              <w:bottom w:val="single" w:sz="8" w:space="0" w:color="008089"/>
              <w:right w:val="nil"/>
            </w:tcBorders>
            <w:shd w:val="clear" w:color="000000" w:fill="F2F2F2"/>
            <w:vAlign w:val="center"/>
            <w:hideMark/>
          </w:tcPr>
          <w:p w14:paraId="7AB41C1B"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82,000</w:t>
            </w:r>
          </w:p>
        </w:tc>
        <w:tc>
          <w:tcPr>
            <w:tcW w:w="1015" w:type="dxa"/>
            <w:tcBorders>
              <w:top w:val="single" w:sz="8" w:space="0" w:color="008089"/>
              <w:left w:val="nil"/>
              <w:bottom w:val="single" w:sz="8" w:space="0" w:color="008089"/>
              <w:right w:val="nil"/>
            </w:tcBorders>
            <w:shd w:val="clear" w:color="000000" w:fill="F2F2F2"/>
            <w:vAlign w:val="center"/>
            <w:hideMark/>
          </w:tcPr>
          <w:p w14:paraId="6AA74040"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16,000</w:t>
            </w:r>
          </w:p>
        </w:tc>
        <w:tc>
          <w:tcPr>
            <w:tcW w:w="1016" w:type="dxa"/>
            <w:tcBorders>
              <w:top w:val="single" w:sz="8" w:space="0" w:color="008089"/>
              <w:left w:val="nil"/>
              <w:bottom w:val="single" w:sz="8" w:space="0" w:color="008089"/>
              <w:right w:val="single" w:sz="8" w:space="0" w:color="008089"/>
            </w:tcBorders>
            <w:shd w:val="clear" w:color="000000" w:fill="F2F2F2"/>
            <w:vAlign w:val="center"/>
            <w:hideMark/>
          </w:tcPr>
          <w:p w14:paraId="2D58CE9D" w14:textId="77777777" w:rsidR="00401088" w:rsidRPr="00624169" w:rsidRDefault="00401088" w:rsidP="00401088">
            <w:pPr>
              <w:suppressAutoHyphens w:val="0"/>
              <w:spacing w:before="0" w:after="0"/>
              <w:jc w:val="right"/>
              <w:rPr>
                <w:rFonts w:ascii="Calibri" w:eastAsia="Times New Roman" w:hAnsi="Calibri" w:cs="Calibri"/>
                <w:i/>
                <w:iCs/>
                <w:color w:val="auto"/>
                <w:sz w:val="18"/>
                <w:szCs w:val="18"/>
                <w:lang w:eastAsia="en-AU"/>
              </w:rPr>
            </w:pPr>
            <w:r w:rsidRPr="00624169">
              <w:rPr>
                <w:rFonts w:ascii="Calibri" w:eastAsia="Times New Roman" w:hAnsi="Calibri" w:cs="Calibri"/>
                <w:i/>
                <w:iCs/>
                <w:color w:val="auto"/>
                <w:sz w:val="18"/>
                <w:szCs w:val="18"/>
                <w:lang w:eastAsia="en-AU"/>
              </w:rPr>
              <w:t>enc</w:t>
            </w:r>
          </w:p>
        </w:tc>
      </w:tr>
      <w:tr w:rsidR="00624169" w:rsidRPr="00401088" w14:paraId="35B7040E" w14:textId="77777777" w:rsidTr="00624169">
        <w:trPr>
          <w:trHeight w:val="590"/>
          <w:jc w:val="center"/>
        </w:trPr>
        <w:tc>
          <w:tcPr>
            <w:tcW w:w="1502" w:type="dxa"/>
            <w:tcBorders>
              <w:top w:val="single" w:sz="8" w:space="0" w:color="008089"/>
              <w:left w:val="single" w:sz="8" w:space="0" w:color="008089"/>
              <w:bottom w:val="nil"/>
              <w:right w:val="nil"/>
            </w:tcBorders>
            <w:shd w:val="clear" w:color="000000" w:fill="F2F2F2"/>
            <w:vAlign w:val="center"/>
            <w:hideMark/>
          </w:tcPr>
          <w:p w14:paraId="36BD8BDB" w14:textId="77777777" w:rsidR="00401088" w:rsidRPr="00DB204C" w:rsidRDefault="00401088" w:rsidP="00401088">
            <w:pPr>
              <w:suppressAutoHyphens w:val="0"/>
              <w:spacing w:before="0" w:after="0"/>
              <w:jc w:val="center"/>
              <w:rPr>
                <w:rFonts w:ascii="Calibri" w:eastAsia="Times New Roman" w:hAnsi="Calibri" w:cs="Calibri"/>
                <w:b/>
                <w:bCs/>
                <w:color w:val="000000"/>
                <w:sz w:val="18"/>
                <w:szCs w:val="18"/>
                <w:lang w:eastAsia="en-AU"/>
              </w:rPr>
            </w:pPr>
            <w:r w:rsidRPr="00DB204C">
              <w:rPr>
                <w:rFonts w:ascii="Calibri" w:eastAsia="Times New Roman" w:hAnsi="Calibri" w:cs="Calibri"/>
                <w:b/>
                <w:bCs/>
                <w:color w:val="000000"/>
                <w:sz w:val="18"/>
                <w:szCs w:val="18"/>
                <w:lang w:eastAsia="en-AU"/>
              </w:rPr>
              <w:t>Billie Jean King Cup</w:t>
            </w:r>
          </w:p>
        </w:tc>
        <w:tc>
          <w:tcPr>
            <w:tcW w:w="3308" w:type="dxa"/>
            <w:tcBorders>
              <w:top w:val="single" w:sz="8" w:space="0" w:color="008089"/>
              <w:left w:val="nil"/>
              <w:bottom w:val="single" w:sz="4" w:space="0" w:color="008089"/>
              <w:right w:val="nil"/>
            </w:tcBorders>
            <w:shd w:val="clear" w:color="000000" w:fill="F2F2F2"/>
            <w:vAlign w:val="center"/>
            <w:hideMark/>
          </w:tcPr>
          <w:p w14:paraId="20AB18F1" w14:textId="77777777" w:rsidR="00401088" w:rsidRPr="00DB204C" w:rsidRDefault="00401088" w:rsidP="00401088">
            <w:pPr>
              <w:suppressAutoHyphens w:val="0"/>
              <w:spacing w:before="0" w:after="0"/>
              <w:rPr>
                <w:rFonts w:ascii="Calibri" w:eastAsia="Times New Roman" w:hAnsi="Calibri" w:cs="Calibri"/>
                <w:color w:val="000000"/>
                <w:sz w:val="18"/>
                <w:szCs w:val="18"/>
                <w:lang w:eastAsia="en-AU"/>
              </w:rPr>
            </w:pPr>
            <w:r w:rsidRPr="00DB204C">
              <w:rPr>
                <w:rFonts w:ascii="Calibri" w:eastAsia="Times New Roman" w:hAnsi="Calibri" w:cs="Calibri"/>
                <w:color w:val="000000"/>
                <w:sz w:val="18"/>
                <w:szCs w:val="18"/>
                <w:lang w:eastAsia="en-AU"/>
              </w:rPr>
              <w:t>Matches involving Australia</w:t>
            </w:r>
          </w:p>
        </w:tc>
        <w:tc>
          <w:tcPr>
            <w:tcW w:w="1843" w:type="dxa"/>
            <w:tcBorders>
              <w:top w:val="nil"/>
              <w:left w:val="nil"/>
              <w:bottom w:val="single" w:sz="8" w:space="0" w:color="008089"/>
              <w:right w:val="nil"/>
            </w:tcBorders>
            <w:shd w:val="clear" w:color="000000" w:fill="F2F2F2"/>
            <w:vAlign w:val="center"/>
            <w:hideMark/>
          </w:tcPr>
          <w:p w14:paraId="5EE89ADC" w14:textId="77777777" w:rsidR="00401088" w:rsidRPr="00F85D80" w:rsidRDefault="00401088" w:rsidP="00401088">
            <w:pPr>
              <w:suppressAutoHyphens w:val="0"/>
              <w:spacing w:before="0" w:after="0"/>
              <w:rPr>
                <w:rFonts w:ascii="Calibri" w:eastAsia="Times New Roman" w:hAnsi="Calibri" w:cs="Calibri"/>
                <w:color w:val="auto"/>
                <w:sz w:val="16"/>
                <w:szCs w:val="16"/>
                <w:lang w:eastAsia="en-AU"/>
              </w:rPr>
            </w:pPr>
            <w:r w:rsidRPr="00F85D80">
              <w:rPr>
                <w:rFonts w:ascii="Calibri" w:eastAsia="Times New Roman" w:hAnsi="Calibri" w:cs="Calibri"/>
                <w:color w:val="auto"/>
                <w:sz w:val="16"/>
                <w:szCs w:val="16"/>
                <w:lang w:eastAsia="en-AU"/>
              </w:rPr>
              <w:t>Highest audience for matches involving Australia</w:t>
            </w:r>
          </w:p>
        </w:tc>
        <w:tc>
          <w:tcPr>
            <w:tcW w:w="1015" w:type="dxa"/>
            <w:tcBorders>
              <w:top w:val="nil"/>
              <w:left w:val="nil"/>
              <w:bottom w:val="nil"/>
              <w:right w:val="nil"/>
            </w:tcBorders>
            <w:shd w:val="clear" w:color="000000" w:fill="F2F2F2"/>
            <w:vAlign w:val="center"/>
            <w:hideMark/>
          </w:tcPr>
          <w:p w14:paraId="1C89C470" w14:textId="77777777" w:rsidR="00401088" w:rsidRPr="00624169" w:rsidRDefault="00401088" w:rsidP="00401088">
            <w:pPr>
              <w:suppressAutoHyphens w:val="0"/>
              <w:spacing w:before="0" w:after="0"/>
              <w:jc w:val="right"/>
              <w:rPr>
                <w:rFonts w:ascii="Calibri" w:eastAsia="Times New Roman" w:hAnsi="Calibri" w:cs="Calibri"/>
                <w:i/>
                <w:iCs/>
                <w:color w:val="auto"/>
                <w:sz w:val="18"/>
                <w:szCs w:val="18"/>
                <w:lang w:eastAsia="en-AU"/>
              </w:rPr>
            </w:pPr>
            <w:r w:rsidRPr="00624169">
              <w:rPr>
                <w:rFonts w:ascii="Calibri" w:eastAsia="Times New Roman" w:hAnsi="Calibri" w:cs="Calibri"/>
                <w:i/>
                <w:iCs/>
                <w:color w:val="auto"/>
                <w:sz w:val="18"/>
                <w:szCs w:val="18"/>
                <w:lang w:eastAsia="en-AU"/>
              </w:rPr>
              <w:t>nfta</w:t>
            </w:r>
          </w:p>
        </w:tc>
        <w:tc>
          <w:tcPr>
            <w:tcW w:w="1015" w:type="dxa"/>
            <w:tcBorders>
              <w:top w:val="nil"/>
              <w:left w:val="nil"/>
              <w:bottom w:val="nil"/>
              <w:right w:val="nil"/>
            </w:tcBorders>
            <w:shd w:val="clear" w:color="000000" w:fill="F2F2F2"/>
            <w:vAlign w:val="center"/>
            <w:hideMark/>
          </w:tcPr>
          <w:p w14:paraId="6C41C058" w14:textId="77777777" w:rsidR="00401088" w:rsidRPr="00624169" w:rsidRDefault="00401088" w:rsidP="00401088">
            <w:pPr>
              <w:suppressAutoHyphens w:val="0"/>
              <w:spacing w:before="0" w:after="0"/>
              <w:jc w:val="right"/>
              <w:rPr>
                <w:rFonts w:ascii="Calibri" w:eastAsia="Times New Roman" w:hAnsi="Calibri" w:cs="Calibri"/>
                <w:i/>
                <w:iCs/>
                <w:color w:val="auto"/>
                <w:sz w:val="18"/>
                <w:szCs w:val="18"/>
                <w:lang w:eastAsia="en-AU"/>
              </w:rPr>
            </w:pPr>
            <w:r w:rsidRPr="00624169">
              <w:rPr>
                <w:rFonts w:ascii="Calibri" w:eastAsia="Times New Roman" w:hAnsi="Calibri" w:cs="Calibri"/>
                <w:i/>
                <w:iCs/>
                <w:color w:val="auto"/>
                <w:sz w:val="18"/>
                <w:szCs w:val="18"/>
                <w:lang w:eastAsia="en-AU"/>
              </w:rPr>
              <w:t>nfta</w:t>
            </w:r>
          </w:p>
        </w:tc>
        <w:tc>
          <w:tcPr>
            <w:tcW w:w="1016" w:type="dxa"/>
            <w:tcBorders>
              <w:top w:val="nil"/>
              <w:left w:val="nil"/>
              <w:bottom w:val="nil"/>
              <w:right w:val="nil"/>
            </w:tcBorders>
            <w:shd w:val="clear" w:color="000000" w:fill="F2F2F2"/>
            <w:vAlign w:val="center"/>
            <w:hideMark/>
          </w:tcPr>
          <w:p w14:paraId="317CF0FF" w14:textId="77777777" w:rsidR="00401088" w:rsidRPr="00624169" w:rsidRDefault="00401088" w:rsidP="00401088">
            <w:pPr>
              <w:suppressAutoHyphens w:val="0"/>
              <w:spacing w:before="0" w:after="0"/>
              <w:jc w:val="right"/>
              <w:rPr>
                <w:rFonts w:ascii="Calibri" w:eastAsia="Times New Roman" w:hAnsi="Calibri" w:cs="Calibri"/>
                <w:i/>
                <w:iCs/>
                <w:color w:val="auto"/>
                <w:sz w:val="18"/>
                <w:szCs w:val="18"/>
                <w:lang w:eastAsia="en-AU"/>
              </w:rPr>
            </w:pPr>
            <w:r w:rsidRPr="00624169">
              <w:rPr>
                <w:rFonts w:ascii="Calibri" w:eastAsia="Times New Roman" w:hAnsi="Calibri" w:cs="Calibri"/>
                <w:i/>
                <w:iCs/>
                <w:color w:val="auto"/>
                <w:sz w:val="18"/>
                <w:szCs w:val="18"/>
                <w:lang w:eastAsia="en-AU"/>
              </w:rPr>
              <w:t>nfta</w:t>
            </w:r>
          </w:p>
        </w:tc>
        <w:tc>
          <w:tcPr>
            <w:tcW w:w="1015" w:type="dxa"/>
            <w:tcBorders>
              <w:top w:val="nil"/>
              <w:left w:val="nil"/>
              <w:bottom w:val="nil"/>
              <w:right w:val="nil"/>
            </w:tcBorders>
            <w:shd w:val="clear" w:color="000000" w:fill="F2F2F2"/>
            <w:vAlign w:val="center"/>
            <w:hideMark/>
          </w:tcPr>
          <w:p w14:paraId="21363863" w14:textId="77777777" w:rsidR="00401088" w:rsidRPr="00624169" w:rsidRDefault="00401088" w:rsidP="00401088">
            <w:pPr>
              <w:suppressAutoHyphens w:val="0"/>
              <w:spacing w:before="0" w:after="0"/>
              <w:jc w:val="right"/>
              <w:rPr>
                <w:rFonts w:ascii="Calibri" w:eastAsia="Times New Roman" w:hAnsi="Calibri" w:cs="Calibri"/>
                <w:i/>
                <w:iCs/>
                <w:color w:val="auto"/>
                <w:sz w:val="18"/>
                <w:szCs w:val="18"/>
                <w:lang w:eastAsia="en-AU"/>
              </w:rPr>
            </w:pPr>
            <w:r w:rsidRPr="00624169">
              <w:rPr>
                <w:rFonts w:ascii="Calibri" w:eastAsia="Times New Roman" w:hAnsi="Calibri" w:cs="Calibri"/>
                <w:i/>
                <w:iCs/>
                <w:color w:val="auto"/>
                <w:sz w:val="18"/>
                <w:szCs w:val="18"/>
                <w:lang w:eastAsia="en-AU"/>
              </w:rPr>
              <w:t>nfta</w:t>
            </w:r>
          </w:p>
        </w:tc>
        <w:tc>
          <w:tcPr>
            <w:tcW w:w="1015" w:type="dxa"/>
            <w:tcBorders>
              <w:top w:val="nil"/>
              <w:left w:val="nil"/>
              <w:bottom w:val="nil"/>
              <w:right w:val="nil"/>
            </w:tcBorders>
            <w:shd w:val="clear" w:color="000000" w:fill="F2F2F2"/>
            <w:vAlign w:val="center"/>
            <w:hideMark/>
          </w:tcPr>
          <w:p w14:paraId="381DE7F6" w14:textId="77777777" w:rsidR="00401088" w:rsidRPr="00624169" w:rsidRDefault="00401088" w:rsidP="00401088">
            <w:pPr>
              <w:suppressAutoHyphens w:val="0"/>
              <w:spacing w:before="0" w:after="0"/>
              <w:jc w:val="right"/>
              <w:rPr>
                <w:rFonts w:ascii="Calibri" w:eastAsia="Times New Roman" w:hAnsi="Calibri" w:cs="Calibri"/>
                <w:i/>
                <w:iCs/>
                <w:color w:val="auto"/>
                <w:sz w:val="18"/>
                <w:szCs w:val="18"/>
                <w:lang w:eastAsia="en-AU"/>
              </w:rPr>
            </w:pPr>
            <w:r w:rsidRPr="00624169">
              <w:rPr>
                <w:rFonts w:ascii="Calibri" w:eastAsia="Times New Roman" w:hAnsi="Calibri" w:cs="Calibri"/>
                <w:i/>
                <w:iCs/>
                <w:color w:val="auto"/>
                <w:sz w:val="18"/>
                <w:szCs w:val="18"/>
                <w:lang w:eastAsia="en-AU"/>
              </w:rPr>
              <w:t>nfta</w:t>
            </w:r>
          </w:p>
        </w:tc>
        <w:tc>
          <w:tcPr>
            <w:tcW w:w="1016" w:type="dxa"/>
            <w:tcBorders>
              <w:top w:val="nil"/>
              <w:left w:val="nil"/>
              <w:bottom w:val="nil"/>
              <w:right w:val="nil"/>
            </w:tcBorders>
            <w:shd w:val="clear" w:color="000000" w:fill="F2F2F2"/>
            <w:vAlign w:val="center"/>
            <w:hideMark/>
          </w:tcPr>
          <w:p w14:paraId="6E589278" w14:textId="77777777" w:rsidR="00401088" w:rsidRPr="00624169" w:rsidRDefault="00401088" w:rsidP="00401088">
            <w:pPr>
              <w:suppressAutoHyphens w:val="0"/>
              <w:spacing w:before="0" w:after="0"/>
              <w:jc w:val="right"/>
              <w:rPr>
                <w:rFonts w:ascii="Calibri" w:eastAsia="Times New Roman" w:hAnsi="Calibri" w:cs="Calibri"/>
                <w:i/>
                <w:iCs/>
                <w:color w:val="auto"/>
                <w:sz w:val="18"/>
                <w:szCs w:val="18"/>
                <w:lang w:eastAsia="en-AU"/>
              </w:rPr>
            </w:pPr>
            <w:r w:rsidRPr="00624169">
              <w:rPr>
                <w:rFonts w:ascii="Calibri" w:eastAsia="Times New Roman" w:hAnsi="Calibri" w:cs="Calibri"/>
                <w:i/>
                <w:iCs/>
                <w:color w:val="auto"/>
                <w:sz w:val="18"/>
                <w:szCs w:val="18"/>
                <w:lang w:eastAsia="en-AU"/>
              </w:rPr>
              <w:t>nfta</w:t>
            </w:r>
          </w:p>
        </w:tc>
        <w:tc>
          <w:tcPr>
            <w:tcW w:w="1015" w:type="dxa"/>
            <w:tcBorders>
              <w:top w:val="nil"/>
              <w:left w:val="nil"/>
              <w:bottom w:val="nil"/>
              <w:right w:val="nil"/>
            </w:tcBorders>
            <w:shd w:val="clear" w:color="000000" w:fill="F2F2F2"/>
            <w:vAlign w:val="center"/>
            <w:hideMark/>
          </w:tcPr>
          <w:p w14:paraId="56F7F815"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21,000</w:t>
            </w:r>
          </w:p>
        </w:tc>
        <w:tc>
          <w:tcPr>
            <w:tcW w:w="1016" w:type="dxa"/>
            <w:tcBorders>
              <w:top w:val="nil"/>
              <w:left w:val="nil"/>
              <w:bottom w:val="nil"/>
              <w:right w:val="single" w:sz="8" w:space="0" w:color="008089"/>
            </w:tcBorders>
            <w:shd w:val="clear" w:color="000000" w:fill="F2F2F2"/>
            <w:vAlign w:val="center"/>
            <w:hideMark/>
          </w:tcPr>
          <w:p w14:paraId="01F52C74" w14:textId="77777777" w:rsidR="00401088" w:rsidRPr="00624169" w:rsidRDefault="00401088" w:rsidP="00401088">
            <w:pPr>
              <w:suppressAutoHyphens w:val="0"/>
              <w:spacing w:before="0" w:after="0"/>
              <w:jc w:val="right"/>
              <w:rPr>
                <w:rFonts w:ascii="Calibri" w:eastAsia="Times New Roman" w:hAnsi="Calibri" w:cs="Calibri"/>
                <w:i/>
                <w:iCs/>
                <w:color w:val="auto"/>
                <w:sz w:val="18"/>
                <w:szCs w:val="18"/>
                <w:lang w:eastAsia="en-AU"/>
              </w:rPr>
            </w:pPr>
            <w:r w:rsidRPr="00624169">
              <w:rPr>
                <w:rFonts w:ascii="Calibri" w:eastAsia="Times New Roman" w:hAnsi="Calibri" w:cs="Calibri"/>
                <w:i/>
                <w:iCs/>
                <w:color w:val="auto"/>
                <w:sz w:val="18"/>
                <w:szCs w:val="18"/>
                <w:lang w:eastAsia="en-AU"/>
              </w:rPr>
              <w:t>enc</w:t>
            </w:r>
          </w:p>
        </w:tc>
      </w:tr>
      <w:tr w:rsidR="00401088" w:rsidRPr="00401088" w14:paraId="6DAC40B8" w14:textId="77777777" w:rsidTr="00624169">
        <w:trPr>
          <w:trHeight w:val="300"/>
          <w:jc w:val="center"/>
        </w:trPr>
        <w:tc>
          <w:tcPr>
            <w:tcW w:w="14776" w:type="dxa"/>
            <w:gridSpan w:val="11"/>
            <w:tcBorders>
              <w:top w:val="single" w:sz="8" w:space="0" w:color="008089"/>
              <w:left w:val="single" w:sz="8" w:space="0" w:color="008089"/>
              <w:bottom w:val="single" w:sz="8" w:space="0" w:color="008089"/>
              <w:right w:val="single" w:sz="8" w:space="0" w:color="008089"/>
            </w:tcBorders>
            <w:shd w:val="clear" w:color="000000" w:fill="F2F6E8"/>
            <w:vAlign w:val="center"/>
            <w:hideMark/>
          </w:tcPr>
          <w:p w14:paraId="4923637B" w14:textId="77777777" w:rsidR="00401088" w:rsidRPr="00401088" w:rsidRDefault="00401088" w:rsidP="00401088">
            <w:pPr>
              <w:suppressAutoHyphens w:val="0"/>
              <w:spacing w:before="0" w:after="0"/>
              <w:rPr>
                <w:rFonts w:ascii="Calibri" w:eastAsia="Times New Roman" w:hAnsi="Calibri" w:cs="Calibri"/>
                <w:color w:val="000000"/>
                <w:lang w:eastAsia="en-AU"/>
              </w:rPr>
            </w:pPr>
            <w:r w:rsidRPr="00401088">
              <w:rPr>
                <w:rFonts w:ascii="Calibri" w:eastAsia="Times New Roman" w:hAnsi="Calibri" w:cs="Calibri"/>
                <w:color w:val="000000"/>
                <w:lang w:eastAsia="en-AU"/>
              </w:rPr>
              <w:t>MOTOR SPORTS</w:t>
            </w:r>
          </w:p>
        </w:tc>
      </w:tr>
      <w:tr w:rsidR="00624169" w:rsidRPr="00401088" w14:paraId="031847A4" w14:textId="77777777" w:rsidTr="00624169">
        <w:trPr>
          <w:trHeight w:val="300"/>
          <w:jc w:val="center"/>
        </w:trPr>
        <w:tc>
          <w:tcPr>
            <w:tcW w:w="1502" w:type="dxa"/>
            <w:tcBorders>
              <w:top w:val="nil"/>
              <w:left w:val="single" w:sz="8" w:space="0" w:color="008089"/>
              <w:bottom w:val="single" w:sz="8" w:space="0" w:color="008089"/>
              <w:right w:val="nil"/>
            </w:tcBorders>
            <w:shd w:val="clear" w:color="000000" w:fill="F2F2F2"/>
            <w:vAlign w:val="center"/>
            <w:hideMark/>
          </w:tcPr>
          <w:p w14:paraId="043BC749" w14:textId="77777777" w:rsidR="00401088" w:rsidRPr="00DB204C" w:rsidRDefault="00401088" w:rsidP="00401088">
            <w:pPr>
              <w:suppressAutoHyphens w:val="0"/>
              <w:spacing w:before="0" w:after="0"/>
              <w:jc w:val="center"/>
              <w:rPr>
                <w:rFonts w:ascii="Calibri" w:eastAsia="Times New Roman" w:hAnsi="Calibri" w:cs="Calibri"/>
                <w:b/>
                <w:bCs/>
                <w:color w:val="000000"/>
                <w:sz w:val="18"/>
                <w:szCs w:val="18"/>
                <w:lang w:eastAsia="en-AU"/>
              </w:rPr>
            </w:pPr>
            <w:r w:rsidRPr="00DB204C">
              <w:rPr>
                <w:rFonts w:ascii="Calibri" w:eastAsia="Times New Roman" w:hAnsi="Calibri" w:cs="Calibri"/>
                <w:b/>
                <w:bCs/>
                <w:color w:val="000000"/>
                <w:sz w:val="18"/>
                <w:szCs w:val="18"/>
                <w:lang w:eastAsia="en-AU"/>
              </w:rPr>
              <w:t>Formula One</w:t>
            </w:r>
          </w:p>
        </w:tc>
        <w:tc>
          <w:tcPr>
            <w:tcW w:w="3308" w:type="dxa"/>
            <w:tcBorders>
              <w:top w:val="nil"/>
              <w:left w:val="nil"/>
              <w:bottom w:val="single" w:sz="8" w:space="0" w:color="008089"/>
              <w:right w:val="nil"/>
            </w:tcBorders>
            <w:shd w:val="clear" w:color="000000" w:fill="F2F2F2"/>
            <w:vAlign w:val="center"/>
            <w:hideMark/>
          </w:tcPr>
          <w:p w14:paraId="0458F97D" w14:textId="77777777" w:rsidR="00401088" w:rsidRPr="00DB204C" w:rsidRDefault="00401088" w:rsidP="00401088">
            <w:pPr>
              <w:suppressAutoHyphens w:val="0"/>
              <w:spacing w:before="0" w:after="0"/>
              <w:rPr>
                <w:rFonts w:ascii="Calibri" w:eastAsia="Times New Roman" w:hAnsi="Calibri" w:cs="Calibri"/>
                <w:color w:val="000000"/>
                <w:sz w:val="18"/>
                <w:szCs w:val="18"/>
                <w:lang w:eastAsia="en-AU"/>
              </w:rPr>
            </w:pPr>
            <w:r w:rsidRPr="00DB204C">
              <w:rPr>
                <w:rFonts w:ascii="Calibri" w:eastAsia="Times New Roman" w:hAnsi="Calibri" w:cs="Calibri"/>
                <w:color w:val="000000"/>
                <w:sz w:val="18"/>
                <w:szCs w:val="18"/>
                <w:lang w:eastAsia="en-AU"/>
              </w:rPr>
              <w:t>Melbourne F1 Grand Prix Race</w:t>
            </w:r>
          </w:p>
        </w:tc>
        <w:tc>
          <w:tcPr>
            <w:tcW w:w="1843" w:type="dxa"/>
            <w:tcBorders>
              <w:top w:val="nil"/>
              <w:left w:val="nil"/>
              <w:bottom w:val="single" w:sz="8" w:space="0" w:color="008089"/>
              <w:right w:val="nil"/>
            </w:tcBorders>
            <w:shd w:val="clear" w:color="000000" w:fill="F2F2F2"/>
            <w:vAlign w:val="center"/>
            <w:hideMark/>
          </w:tcPr>
          <w:p w14:paraId="6467EC33" w14:textId="77777777" w:rsidR="00401088" w:rsidRPr="00F85D80" w:rsidRDefault="00401088" w:rsidP="00401088">
            <w:pPr>
              <w:suppressAutoHyphens w:val="0"/>
              <w:spacing w:before="0" w:after="0"/>
              <w:rPr>
                <w:rFonts w:ascii="Calibri" w:eastAsia="Times New Roman" w:hAnsi="Calibri" w:cs="Calibri"/>
                <w:color w:val="000000"/>
                <w:sz w:val="16"/>
                <w:szCs w:val="16"/>
                <w:lang w:eastAsia="en-AU"/>
              </w:rPr>
            </w:pPr>
            <w:r w:rsidRPr="00F85D80">
              <w:rPr>
                <w:rFonts w:ascii="Calibri" w:eastAsia="Times New Roman" w:hAnsi="Calibri" w:cs="Calibri"/>
                <w:color w:val="000000"/>
                <w:sz w:val="16"/>
                <w:szCs w:val="16"/>
                <w:lang w:eastAsia="en-AU"/>
              </w:rPr>
              <w:t>Single event</w:t>
            </w:r>
          </w:p>
        </w:tc>
        <w:tc>
          <w:tcPr>
            <w:tcW w:w="1015" w:type="dxa"/>
            <w:tcBorders>
              <w:top w:val="nil"/>
              <w:left w:val="nil"/>
              <w:bottom w:val="single" w:sz="8" w:space="0" w:color="008089"/>
              <w:right w:val="nil"/>
            </w:tcBorders>
            <w:shd w:val="clear" w:color="000000" w:fill="F2F2F2"/>
            <w:vAlign w:val="center"/>
            <w:hideMark/>
          </w:tcPr>
          <w:p w14:paraId="01DD5EC9"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1,075,000</w:t>
            </w:r>
          </w:p>
        </w:tc>
        <w:tc>
          <w:tcPr>
            <w:tcW w:w="1015" w:type="dxa"/>
            <w:tcBorders>
              <w:top w:val="nil"/>
              <w:left w:val="nil"/>
              <w:bottom w:val="single" w:sz="8" w:space="0" w:color="008089"/>
              <w:right w:val="nil"/>
            </w:tcBorders>
            <w:shd w:val="clear" w:color="000000" w:fill="F2F2F2"/>
            <w:vAlign w:val="center"/>
            <w:hideMark/>
          </w:tcPr>
          <w:p w14:paraId="2489FAF8"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871,000</w:t>
            </w:r>
          </w:p>
        </w:tc>
        <w:tc>
          <w:tcPr>
            <w:tcW w:w="1016" w:type="dxa"/>
            <w:tcBorders>
              <w:top w:val="nil"/>
              <w:left w:val="nil"/>
              <w:bottom w:val="single" w:sz="8" w:space="0" w:color="008089"/>
              <w:right w:val="nil"/>
            </w:tcBorders>
            <w:shd w:val="clear" w:color="000000" w:fill="F2F2F2"/>
            <w:vAlign w:val="center"/>
            <w:hideMark/>
          </w:tcPr>
          <w:p w14:paraId="5C6DCD8B"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713,000</w:t>
            </w:r>
          </w:p>
        </w:tc>
        <w:tc>
          <w:tcPr>
            <w:tcW w:w="1015" w:type="dxa"/>
            <w:tcBorders>
              <w:top w:val="nil"/>
              <w:left w:val="nil"/>
              <w:bottom w:val="single" w:sz="8" w:space="0" w:color="008089"/>
              <w:right w:val="nil"/>
            </w:tcBorders>
            <w:shd w:val="clear" w:color="000000" w:fill="F2F2F2"/>
            <w:vAlign w:val="center"/>
            <w:hideMark/>
          </w:tcPr>
          <w:p w14:paraId="7B7328FB"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668,000</w:t>
            </w:r>
          </w:p>
        </w:tc>
        <w:tc>
          <w:tcPr>
            <w:tcW w:w="1015" w:type="dxa"/>
            <w:tcBorders>
              <w:top w:val="nil"/>
              <w:left w:val="nil"/>
              <w:bottom w:val="single" w:sz="8" w:space="0" w:color="008089"/>
              <w:right w:val="nil"/>
            </w:tcBorders>
            <w:shd w:val="clear" w:color="000000" w:fill="F2F2F2"/>
            <w:vAlign w:val="center"/>
            <w:hideMark/>
          </w:tcPr>
          <w:p w14:paraId="0BF81D13"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691,000</w:t>
            </w:r>
          </w:p>
        </w:tc>
        <w:tc>
          <w:tcPr>
            <w:tcW w:w="1016" w:type="dxa"/>
            <w:tcBorders>
              <w:top w:val="nil"/>
              <w:left w:val="nil"/>
              <w:bottom w:val="single" w:sz="8" w:space="0" w:color="008089"/>
              <w:right w:val="nil"/>
            </w:tcBorders>
            <w:shd w:val="clear" w:color="000000" w:fill="F2F2F2"/>
            <w:vAlign w:val="center"/>
            <w:hideMark/>
          </w:tcPr>
          <w:p w14:paraId="488006FE" w14:textId="77777777" w:rsidR="00401088" w:rsidRPr="00624169" w:rsidRDefault="00401088" w:rsidP="00401088">
            <w:pPr>
              <w:suppressAutoHyphens w:val="0"/>
              <w:spacing w:before="0" w:after="0"/>
              <w:jc w:val="right"/>
              <w:rPr>
                <w:rFonts w:ascii="Calibri" w:eastAsia="Times New Roman" w:hAnsi="Calibri" w:cs="Calibri"/>
                <w:i/>
                <w:iCs/>
                <w:color w:val="auto"/>
                <w:sz w:val="18"/>
                <w:szCs w:val="18"/>
                <w:lang w:eastAsia="en-AU"/>
              </w:rPr>
            </w:pPr>
            <w:r w:rsidRPr="00624169">
              <w:rPr>
                <w:rFonts w:ascii="Calibri" w:eastAsia="Times New Roman" w:hAnsi="Calibri" w:cs="Calibri"/>
                <w:i/>
                <w:iCs/>
                <w:color w:val="auto"/>
                <w:sz w:val="18"/>
                <w:szCs w:val="18"/>
                <w:lang w:eastAsia="en-AU"/>
              </w:rPr>
              <w:t>covid</w:t>
            </w:r>
          </w:p>
        </w:tc>
        <w:tc>
          <w:tcPr>
            <w:tcW w:w="1015" w:type="dxa"/>
            <w:tcBorders>
              <w:top w:val="nil"/>
              <w:left w:val="nil"/>
              <w:bottom w:val="single" w:sz="8" w:space="0" w:color="008089"/>
              <w:right w:val="nil"/>
            </w:tcBorders>
            <w:shd w:val="clear" w:color="000000" w:fill="F2F2F2"/>
            <w:vAlign w:val="center"/>
            <w:hideMark/>
          </w:tcPr>
          <w:p w14:paraId="729914BD" w14:textId="77777777" w:rsidR="00401088" w:rsidRPr="00624169" w:rsidRDefault="00401088" w:rsidP="00401088">
            <w:pPr>
              <w:suppressAutoHyphens w:val="0"/>
              <w:spacing w:before="0" w:after="0"/>
              <w:jc w:val="right"/>
              <w:rPr>
                <w:rFonts w:ascii="Calibri" w:eastAsia="Times New Roman" w:hAnsi="Calibri" w:cs="Calibri"/>
                <w:i/>
                <w:iCs/>
                <w:color w:val="auto"/>
                <w:sz w:val="18"/>
                <w:szCs w:val="18"/>
                <w:lang w:eastAsia="en-AU"/>
              </w:rPr>
            </w:pPr>
            <w:r w:rsidRPr="00624169">
              <w:rPr>
                <w:rFonts w:ascii="Calibri" w:eastAsia="Times New Roman" w:hAnsi="Calibri" w:cs="Calibri"/>
                <w:i/>
                <w:iCs/>
                <w:color w:val="auto"/>
                <w:sz w:val="18"/>
                <w:szCs w:val="18"/>
                <w:lang w:eastAsia="en-AU"/>
              </w:rPr>
              <w:t>covid</w:t>
            </w:r>
          </w:p>
        </w:tc>
        <w:tc>
          <w:tcPr>
            <w:tcW w:w="1016" w:type="dxa"/>
            <w:tcBorders>
              <w:top w:val="nil"/>
              <w:left w:val="nil"/>
              <w:bottom w:val="single" w:sz="4" w:space="0" w:color="008089"/>
              <w:right w:val="single" w:sz="8" w:space="0" w:color="008089"/>
            </w:tcBorders>
            <w:shd w:val="clear" w:color="000000" w:fill="F2F2F2"/>
            <w:vAlign w:val="center"/>
            <w:hideMark/>
          </w:tcPr>
          <w:p w14:paraId="75BD8806" w14:textId="22BE5DA8" w:rsidR="00401088" w:rsidRPr="00624169" w:rsidRDefault="00C7574D" w:rsidP="00401088">
            <w:pPr>
              <w:suppressAutoHyphens w:val="0"/>
              <w:spacing w:before="0" w:after="0"/>
              <w:jc w:val="right"/>
              <w:rPr>
                <w:rFonts w:ascii="Calibri" w:eastAsia="Times New Roman" w:hAnsi="Calibri" w:cs="Calibri"/>
                <w:color w:val="FF0000"/>
                <w:sz w:val="18"/>
                <w:szCs w:val="18"/>
                <w:lang w:eastAsia="en-AU"/>
              </w:rPr>
            </w:pPr>
            <w:r w:rsidRPr="007C3CA4">
              <w:rPr>
                <w:rFonts w:ascii="Calibri" w:eastAsia="Times New Roman" w:hAnsi="Calibri" w:cs="Calibri"/>
                <w:i/>
                <w:iCs/>
                <w:color w:val="auto"/>
                <w:sz w:val="18"/>
                <w:szCs w:val="18"/>
                <w:lang w:eastAsia="en-AU"/>
              </w:rPr>
              <w:t>enc</w:t>
            </w:r>
          </w:p>
        </w:tc>
      </w:tr>
      <w:tr w:rsidR="00624169" w:rsidRPr="00401088" w14:paraId="36873027" w14:textId="77777777" w:rsidTr="00624169">
        <w:trPr>
          <w:trHeight w:val="300"/>
          <w:jc w:val="center"/>
        </w:trPr>
        <w:tc>
          <w:tcPr>
            <w:tcW w:w="1502" w:type="dxa"/>
            <w:tcBorders>
              <w:top w:val="nil"/>
              <w:left w:val="single" w:sz="8" w:space="0" w:color="008089"/>
              <w:bottom w:val="single" w:sz="8" w:space="0" w:color="008089"/>
              <w:right w:val="nil"/>
            </w:tcBorders>
            <w:shd w:val="clear" w:color="000000" w:fill="F2F2F2"/>
            <w:vAlign w:val="center"/>
            <w:hideMark/>
          </w:tcPr>
          <w:p w14:paraId="558122FD" w14:textId="77777777" w:rsidR="00401088" w:rsidRPr="00DB204C" w:rsidRDefault="00401088" w:rsidP="00401088">
            <w:pPr>
              <w:suppressAutoHyphens w:val="0"/>
              <w:spacing w:before="0" w:after="0"/>
              <w:jc w:val="center"/>
              <w:rPr>
                <w:rFonts w:ascii="Calibri" w:eastAsia="Times New Roman" w:hAnsi="Calibri" w:cs="Calibri"/>
                <w:b/>
                <w:bCs/>
                <w:color w:val="000000"/>
                <w:sz w:val="18"/>
                <w:szCs w:val="18"/>
                <w:lang w:eastAsia="en-AU"/>
              </w:rPr>
            </w:pPr>
            <w:r w:rsidRPr="00DB204C">
              <w:rPr>
                <w:rFonts w:ascii="Calibri" w:eastAsia="Times New Roman" w:hAnsi="Calibri" w:cs="Calibri"/>
                <w:b/>
                <w:bCs/>
                <w:color w:val="000000"/>
                <w:sz w:val="18"/>
                <w:szCs w:val="18"/>
                <w:lang w:eastAsia="en-AU"/>
              </w:rPr>
              <w:t>Moto GP</w:t>
            </w:r>
          </w:p>
        </w:tc>
        <w:tc>
          <w:tcPr>
            <w:tcW w:w="3308" w:type="dxa"/>
            <w:tcBorders>
              <w:top w:val="nil"/>
              <w:left w:val="nil"/>
              <w:bottom w:val="single" w:sz="8" w:space="0" w:color="008089"/>
              <w:right w:val="nil"/>
            </w:tcBorders>
            <w:shd w:val="clear" w:color="000000" w:fill="F2F2F2"/>
            <w:vAlign w:val="center"/>
            <w:hideMark/>
          </w:tcPr>
          <w:p w14:paraId="56281788" w14:textId="77777777" w:rsidR="00401088" w:rsidRPr="00DB204C" w:rsidRDefault="00401088" w:rsidP="00401088">
            <w:pPr>
              <w:suppressAutoHyphens w:val="0"/>
              <w:spacing w:before="0" w:after="0"/>
              <w:rPr>
                <w:rFonts w:ascii="Calibri" w:eastAsia="Times New Roman" w:hAnsi="Calibri" w:cs="Calibri"/>
                <w:color w:val="000000"/>
                <w:sz w:val="18"/>
                <w:szCs w:val="18"/>
                <w:lang w:eastAsia="en-AU"/>
              </w:rPr>
            </w:pPr>
            <w:r w:rsidRPr="00DB204C">
              <w:rPr>
                <w:rFonts w:ascii="Calibri" w:eastAsia="Times New Roman" w:hAnsi="Calibri" w:cs="Calibri"/>
                <w:color w:val="000000"/>
                <w:sz w:val="18"/>
                <w:szCs w:val="18"/>
                <w:lang w:eastAsia="en-AU"/>
              </w:rPr>
              <w:t>Phillip Island Race</w:t>
            </w:r>
          </w:p>
        </w:tc>
        <w:tc>
          <w:tcPr>
            <w:tcW w:w="1843" w:type="dxa"/>
            <w:tcBorders>
              <w:top w:val="nil"/>
              <w:left w:val="nil"/>
              <w:bottom w:val="single" w:sz="8" w:space="0" w:color="008089"/>
              <w:right w:val="nil"/>
            </w:tcBorders>
            <w:shd w:val="clear" w:color="000000" w:fill="F2F2F2"/>
            <w:vAlign w:val="center"/>
            <w:hideMark/>
          </w:tcPr>
          <w:p w14:paraId="5B1BA228" w14:textId="77777777" w:rsidR="00401088" w:rsidRPr="00F85D80" w:rsidRDefault="00401088" w:rsidP="00401088">
            <w:pPr>
              <w:suppressAutoHyphens w:val="0"/>
              <w:spacing w:before="0" w:after="0"/>
              <w:rPr>
                <w:rFonts w:ascii="Calibri" w:eastAsia="Times New Roman" w:hAnsi="Calibri" w:cs="Calibri"/>
                <w:color w:val="000000"/>
                <w:sz w:val="16"/>
                <w:szCs w:val="16"/>
                <w:lang w:eastAsia="en-AU"/>
              </w:rPr>
            </w:pPr>
            <w:r w:rsidRPr="00F85D80">
              <w:rPr>
                <w:rFonts w:ascii="Calibri" w:eastAsia="Times New Roman" w:hAnsi="Calibri" w:cs="Calibri"/>
                <w:color w:val="000000"/>
                <w:sz w:val="16"/>
                <w:szCs w:val="16"/>
                <w:lang w:eastAsia="en-AU"/>
              </w:rPr>
              <w:t>Single event</w:t>
            </w:r>
          </w:p>
        </w:tc>
        <w:tc>
          <w:tcPr>
            <w:tcW w:w="1015" w:type="dxa"/>
            <w:tcBorders>
              <w:top w:val="nil"/>
              <w:left w:val="nil"/>
              <w:bottom w:val="single" w:sz="8" w:space="0" w:color="008089"/>
              <w:right w:val="nil"/>
            </w:tcBorders>
            <w:shd w:val="clear" w:color="000000" w:fill="F2F2F2"/>
            <w:vAlign w:val="center"/>
            <w:hideMark/>
          </w:tcPr>
          <w:p w14:paraId="4E28CBFF"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422,000</w:t>
            </w:r>
          </w:p>
        </w:tc>
        <w:tc>
          <w:tcPr>
            <w:tcW w:w="1015" w:type="dxa"/>
            <w:tcBorders>
              <w:top w:val="nil"/>
              <w:left w:val="nil"/>
              <w:bottom w:val="single" w:sz="8" w:space="0" w:color="008089"/>
              <w:right w:val="nil"/>
            </w:tcBorders>
            <w:shd w:val="clear" w:color="000000" w:fill="F2F2F2"/>
            <w:vAlign w:val="center"/>
            <w:hideMark/>
          </w:tcPr>
          <w:p w14:paraId="0E26CBF5"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199,000</w:t>
            </w:r>
          </w:p>
        </w:tc>
        <w:tc>
          <w:tcPr>
            <w:tcW w:w="1016" w:type="dxa"/>
            <w:tcBorders>
              <w:top w:val="nil"/>
              <w:left w:val="nil"/>
              <w:bottom w:val="single" w:sz="8" w:space="0" w:color="008089"/>
              <w:right w:val="nil"/>
            </w:tcBorders>
            <w:shd w:val="clear" w:color="000000" w:fill="F2F2F2"/>
            <w:vAlign w:val="center"/>
            <w:hideMark/>
          </w:tcPr>
          <w:p w14:paraId="016B3313"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183,000</w:t>
            </w:r>
          </w:p>
        </w:tc>
        <w:tc>
          <w:tcPr>
            <w:tcW w:w="1015" w:type="dxa"/>
            <w:tcBorders>
              <w:top w:val="nil"/>
              <w:left w:val="nil"/>
              <w:bottom w:val="single" w:sz="8" w:space="0" w:color="008089"/>
              <w:right w:val="nil"/>
            </w:tcBorders>
            <w:shd w:val="clear" w:color="000000" w:fill="F2F2F2"/>
            <w:vAlign w:val="center"/>
            <w:hideMark/>
          </w:tcPr>
          <w:p w14:paraId="089314CE"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250,000</w:t>
            </w:r>
          </w:p>
        </w:tc>
        <w:tc>
          <w:tcPr>
            <w:tcW w:w="1015" w:type="dxa"/>
            <w:tcBorders>
              <w:top w:val="nil"/>
              <w:left w:val="nil"/>
              <w:bottom w:val="single" w:sz="8" w:space="0" w:color="008089"/>
              <w:right w:val="nil"/>
            </w:tcBorders>
            <w:shd w:val="clear" w:color="000000" w:fill="F2F2F2"/>
            <w:vAlign w:val="center"/>
            <w:hideMark/>
          </w:tcPr>
          <w:p w14:paraId="0D91DF75"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166,000</w:t>
            </w:r>
          </w:p>
        </w:tc>
        <w:tc>
          <w:tcPr>
            <w:tcW w:w="1016" w:type="dxa"/>
            <w:tcBorders>
              <w:top w:val="nil"/>
              <w:left w:val="nil"/>
              <w:bottom w:val="single" w:sz="8" w:space="0" w:color="008089"/>
              <w:right w:val="nil"/>
            </w:tcBorders>
            <w:shd w:val="clear" w:color="000000" w:fill="F2F2F2"/>
            <w:vAlign w:val="center"/>
            <w:hideMark/>
          </w:tcPr>
          <w:p w14:paraId="30364876" w14:textId="77777777" w:rsidR="00401088" w:rsidRPr="00624169" w:rsidRDefault="00401088" w:rsidP="00401088">
            <w:pPr>
              <w:suppressAutoHyphens w:val="0"/>
              <w:spacing w:before="0" w:after="0"/>
              <w:jc w:val="right"/>
              <w:rPr>
                <w:rFonts w:ascii="Calibri" w:eastAsia="Times New Roman" w:hAnsi="Calibri" w:cs="Calibri"/>
                <w:i/>
                <w:iCs/>
                <w:color w:val="auto"/>
                <w:sz w:val="18"/>
                <w:szCs w:val="18"/>
                <w:lang w:eastAsia="en-AU"/>
              </w:rPr>
            </w:pPr>
            <w:r w:rsidRPr="00624169">
              <w:rPr>
                <w:rFonts w:ascii="Calibri" w:eastAsia="Times New Roman" w:hAnsi="Calibri" w:cs="Calibri"/>
                <w:i/>
                <w:iCs/>
                <w:color w:val="auto"/>
                <w:sz w:val="18"/>
                <w:szCs w:val="18"/>
                <w:lang w:eastAsia="en-AU"/>
              </w:rPr>
              <w:t>covid</w:t>
            </w:r>
          </w:p>
        </w:tc>
        <w:tc>
          <w:tcPr>
            <w:tcW w:w="1015" w:type="dxa"/>
            <w:tcBorders>
              <w:top w:val="nil"/>
              <w:left w:val="nil"/>
              <w:bottom w:val="single" w:sz="8" w:space="0" w:color="008089"/>
              <w:right w:val="nil"/>
            </w:tcBorders>
            <w:shd w:val="clear" w:color="000000" w:fill="F2F2F2"/>
            <w:vAlign w:val="center"/>
            <w:hideMark/>
          </w:tcPr>
          <w:p w14:paraId="2D86947F" w14:textId="77777777" w:rsidR="00401088" w:rsidRPr="00624169" w:rsidRDefault="00401088" w:rsidP="00401088">
            <w:pPr>
              <w:suppressAutoHyphens w:val="0"/>
              <w:spacing w:before="0" w:after="0"/>
              <w:jc w:val="right"/>
              <w:rPr>
                <w:rFonts w:ascii="Calibri" w:eastAsia="Times New Roman" w:hAnsi="Calibri" w:cs="Calibri"/>
                <w:i/>
                <w:iCs/>
                <w:color w:val="auto"/>
                <w:sz w:val="18"/>
                <w:szCs w:val="18"/>
                <w:lang w:eastAsia="en-AU"/>
              </w:rPr>
            </w:pPr>
            <w:r w:rsidRPr="00624169">
              <w:rPr>
                <w:rFonts w:ascii="Calibri" w:eastAsia="Times New Roman" w:hAnsi="Calibri" w:cs="Calibri"/>
                <w:i/>
                <w:iCs/>
                <w:color w:val="auto"/>
                <w:sz w:val="18"/>
                <w:szCs w:val="18"/>
                <w:lang w:eastAsia="en-AU"/>
              </w:rPr>
              <w:t>covid</w:t>
            </w:r>
          </w:p>
        </w:tc>
        <w:tc>
          <w:tcPr>
            <w:tcW w:w="1016" w:type="dxa"/>
            <w:tcBorders>
              <w:top w:val="single" w:sz="8" w:space="0" w:color="008089"/>
              <w:left w:val="nil"/>
              <w:bottom w:val="single" w:sz="8" w:space="0" w:color="008089"/>
              <w:right w:val="single" w:sz="8" w:space="0" w:color="008089"/>
            </w:tcBorders>
            <w:shd w:val="clear" w:color="000000" w:fill="F2F2F2"/>
            <w:vAlign w:val="center"/>
            <w:hideMark/>
          </w:tcPr>
          <w:p w14:paraId="1EFBA21F" w14:textId="77777777" w:rsidR="00401088" w:rsidRPr="00624169" w:rsidRDefault="00401088" w:rsidP="00401088">
            <w:pPr>
              <w:suppressAutoHyphens w:val="0"/>
              <w:spacing w:before="0" w:after="0"/>
              <w:jc w:val="right"/>
              <w:rPr>
                <w:rFonts w:ascii="Calibri" w:eastAsia="Times New Roman" w:hAnsi="Calibri" w:cs="Calibri"/>
                <w:i/>
                <w:iCs/>
                <w:color w:val="auto"/>
                <w:sz w:val="18"/>
                <w:szCs w:val="18"/>
                <w:lang w:eastAsia="en-AU"/>
              </w:rPr>
            </w:pPr>
            <w:r w:rsidRPr="00624169">
              <w:rPr>
                <w:rFonts w:ascii="Calibri" w:eastAsia="Times New Roman" w:hAnsi="Calibri" w:cs="Calibri"/>
                <w:i/>
                <w:iCs/>
                <w:color w:val="auto"/>
                <w:sz w:val="18"/>
                <w:szCs w:val="18"/>
                <w:lang w:eastAsia="en-AU"/>
              </w:rPr>
              <w:t>enc</w:t>
            </w:r>
          </w:p>
        </w:tc>
      </w:tr>
      <w:tr w:rsidR="00624169" w:rsidRPr="00401088" w14:paraId="5631D83F" w14:textId="77777777" w:rsidTr="00624169">
        <w:trPr>
          <w:trHeight w:val="290"/>
          <w:jc w:val="center"/>
        </w:trPr>
        <w:tc>
          <w:tcPr>
            <w:tcW w:w="1502" w:type="dxa"/>
            <w:vMerge w:val="restart"/>
            <w:tcBorders>
              <w:top w:val="nil"/>
              <w:left w:val="single" w:sz="8" w:space="0" w:color="008089"/>
              <w:bottom w:val="single" w:sz="8" w:space="0" w:color="008089"/>
              <w:right w:val="nil"/>
            </w:tcBorders>
            <w:shd w:val="clear" w:color="000000" w:fill="F2F2F2"/>
            <w:vAlign w:val="center"/>
            <w:hideMark/>
          </w:tcPr>
          <w:p w14:paraId="7B4F22CA" w14:textId="77777777" w:rsidR="00401088" w:rsidRPr="00DB204C" w:rsidRDefault="00401088" w:rsidP="00401088">
            <w:pPr>
              <w:suppressAutoHyphens w:val="0"/>
              <w:spacing w:before="0" w:after="0"/>
              <w:jc w:val="center"/>
              <w:rPr>
                <w:rFonts w:ascii="Calibri" w:eastAsia="Times New Roman" w:hAnsi="Calibri" w:cs="Calibri"/>
                <w:b/>
                <w:bCs/>
                <w:color w:val="000000"/>
                <w:sz w:val="18"/>
                <w:szCs w:val="18"/>
                <w:lang w:eastAsia="en-AU"/>
              </w:rPr>
            </w:pPr>
            <w:r w:rsidRPr="00DB204C">
              <w:rPr>
                <w:rFonts w:ascii="Calibri" w:eastAsia="Times New Roman" w:hAnsi="Calibri" w:cs="Calibri"/>
                <w:b/>
                <w:bCs/>
                <w:color w:val="000000"/>
                <w:sz w:val="18"/>
                <w:szCs w:val="18"/>
                <w:lang w:eastAsia="en-AU"/>
              </w:rPr>
              <w:t>Supercars</w:t>
            </w:r>
          </w:p>
        </w:tc>
        <w:tc>
          <w:tcPr>
            <w:tcW w:w="3308" w:type="dxa"/>
            <w:tcBorders>
              <w:top w:val="nil"/>
              <w:left w:val="nil"/>
              <w:bottom w:val="single" w:sz="4" w:space="0" w:color="008089"/>
              <w:right w:val="nil"/>
            </w:tcBorders>
            <w:shd w:val="clear" w:color="000000" w:fill="F2F2F2"/>
            <w:vAlign w:val="center"/>
            <w:hideMark/>
          </w:tcPr>
          <w:p w14:paraId="25F6A701" w14:textId="77777777" w:rsidR="00401088" w:rsidRPr="00DB204C" w:rsidRDefault="00401088" w:rsidP="00401088">
            <w:pPr>
              <w:suppressAutoHyphens w:val="0"/>
              <w:spacing w:before="0" w:after="0"/>
              <w:rPr>
                <w:rFonts w:ascii="Calibri" w:eastAsia="Times New Roman" w:hAnsi="Calibri" w:cs="Calibri"/>
                <w:color w:val="000000"/>
                <w:sz w:val="18"/>
                <w:szCs w:val="18"/>
                <w:lang w:eastAsia="en-AU"/>
              </w:rPr>
            </w:pPr>
            <w:r w:rsidRPr="00DB204C">
              <w:rPr>
                <w:rFonts w:ascii="Calibri" w:eastAsia="Times New Roman" w:hAnsi="Calibri" w:cs="Calibri"/>
                <w:color w:val="000000"/>
                <w:sz w:val="18"/>
                <w:szCs w:val="18"/>
                <w:lang w:eastAsia="en-AU"/>
              </w:rPr>
              <w:t>Championship Series</w:t>
            </w:r>
          </w:p>
        </w:tc>
        <w:tc>
          <w:tcPr>
            <w:tcW w:w="1843" w:type="dxa"/>
            <w:tcBorders>
              <w:top w:val="nil"/>
              <w:left w:val="nil"/>
              <w:bottom w:val="single" w:sz="4" w:space="0" w:color="008089"/>
              <w:right w:val="nil"/>
            </w:tcBorders>
            <w:shd w:val="clear" w:color="000000" w:fill="F2F2F2"/>
            <w:noWrap/>
            <w:vAlign w:val="center"/>
            <w:hideMark/>
          </w:tcPr>
          <w:p w14:paraId="0271A284" w14:textId="77777777" w:rsidR="00401088" w:rsidRPr="00F85D80" w:rsidRDefault="00401088" w:rsidP="00401088">
            <w:pPr>
              <w:suppressAutoHyphens w:val="0"/>
              <w:spacing w:before="0" w:after="0"/>
              <w:rPr>
                <w:rFonts w:ascii="Calibri" w:eastAsia="Times New Roman" w:hAnsi="Calibri" w:cs="Calibri"/>
                <w:color w:val="000000"/>
                <w:sz w:val="16"/>
                <w:szCs w:val="16"/>
                <w:lang w:eastAsia="en-AU"/>
              </w:rPr>
            </w:pPr>
            <w:r w:rsidRPr="00F85D80">
              <w:rPr>
                <w:rFonts w:ascii="Calibri" w:eastAsia="Times New Roman" w:hAnsi="Calibri" w:cs="Calibri"/>
                <w:color w:val="000000"/>
                <w:sz w:val="16"/>
                <w:szCs w:val="16"/>
                <w:lang w:eastAsia="en-AU"/>
              </w:rPr>
              <w:t>Average of all races excluding Bathurst</w:t>
            </w:r>
          </w:p>
        </w:tc>
        <w:tc>
          <w:tcPr>
            <w:tcW w:w="1015" w:type="dxa"/>
            <w:tcBorders>
              <w:top w:val="nil"/>
              <w:left w:val="nil"/>
              <w:bottom w:val="single" w:sz="4" w:space="0" w:color="008089"/>
              <w:right w:val="nil"/>
            </w:tcBorders>
            <w:shd w:val="clear" w:color="000000" w:fill="F2F2F2"/>
            <w:vAlign w:val="center"/>
            <w:hideMark/>
          </w:tcPr>
          <w:p w14:paraId="5C744A90"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403,000</w:t>
            </w:r>
          </w:p>
        </w:tc>
        <w:tc>
          <w:tcPr>
            <w:tcW w:w="1015" w:type="dxa"/>
            <w:tcBorders>
              <w:top w:val="nil"/>
              <w:left w:val="nil"/>
              <w:bottom w:val="single" w:sz="4" w:space="0" w:color="008089"/>
              <w:right w:val="nil"/>
            </w:tcBorders>
            <w:shd w:val="clear" w:color="000000" w:fill="F2F2F2"/>
            <w:vAlign w:val="center"/>
            <w:hideMark/>
          </w:tcPr>
          <w:p w14:paraId="745D6162"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329,000</w:t>
            </w:r>
          </w:p>
        </w:tc>
        <w:tc>
          <w:tcPr>
            <w:tcW w:w="1016" w:type="dxa"/>
            <w:tcBorders>
              <w:top w:val="nil"/>
              <w:left w:val="nil"/>
              <w:bottom w:val="single" w:sz="4" w:space="0" w:color="008089"/>
              <w:right w:val="nil"/>
            </w:tcBorders>
            <w:shd w:val="clear" w:color="000000" w:fill="F2F2F2"/>
            <w:vAlign w:val="center"/>
            <w:hideMark/>
          </w:tcPr>
          <w:p w14:paraId="3D6DF319"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277,000</w:t>
            </w:r>
          </w:p>
        </w:tc>
        <w:tc>
          <w:tcPr>
            <w:tcW w:w="1015" w:type="dxa"/>
            <w:tcBorders>
              <w:top w:val="nil"/>
              <w:left w:val="nil"/>
              <w:bottom w:val="single" w:sz="4" w:space="0" w:color="008089"/>
              <w:right w:val="nil"/>
            </w:tcBorders>
            <w:shd w:val="clear" w:color="000000" w:fill="F2F2F2"/>
            <w:vAlign w:val="center"/>
            <w:hideMark/>
          </w:tcPr>
          <w:p w14:paraId="3E13E1B8"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259,000</w:t>
            </w:r>
          </w:p>
        </w:tc>
        <w:tc>
          <w:tcPr>
            <w:tcW w:w="1015" w:type="dxa"/>
            <w:tcBorders>
              <w:top w:val="nil"/>
              <w:left w:val="nil"/>
              <w:bottom w:val="single" w:sz="4" w:space="0" w:color="008089"/>
              <w:right w:val="nil"/>
            </w:tcBorders>
            <w:shd w:val="clear" w:color="000000" w:fill="F2F2F2"/>
            <w:vAlign w:val="center"/>
            <w:hideMark/>
          </w:tcPr>
          <w:p w14:paraId="1BC72F4E"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276,000</w:t>
            </w:r>
          </w:p>
        </w:tc>
        <w:tc>
          <w:tcPr>
            <w:tcW w:w="1016" w:type="dxa"/>
            <w:tcBorders>
              <w:top w:val="nil"/>
              <w:left w:val="nil"/>
              <w:bottom w:val="single" w:sz="4" w:space="0" w:color="008089"/>
              <w:right w:val="nil"/>
            </w:tcBorders>
            <w:shd w:val="clear" w:color="000000" w:fill="F2F2F2"/>
            <w:vAlign w:val="center"/>
            <w:hideMark/>
          </w:tcPr>
          <w:p w14:paraId="436E868C"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177,000</w:t>
            </w:r>
          </w:p>
        </w:tc>
        <w:tc>
          <w:tcPr>
            <w:tcW w:w="1015" w:type="dxa"/>
            <w:tcBorders>
              <w:top w:val="nil"/>
              <w:left w:val="nil"/>
              <w:bottom w:val="single" w:sz="4" w:space="0" w:color="008089"/>
              <w:right w:val="nil"/>
            </w:tcBorders>
            <w:shd w:val="clear" w:color="000000" w:fill="F2F2F2"/>
            <w:vAlign w:val="center"/>
            <w:hideMark/>
          </w:tcPr>
          <w:p w14:paraId="022C8014"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210,000</w:t>
            </w:r>
          </w:p>
        </w:tc>
        <w:tc>
          <w:tcPr>
            <w:tcW w:w="1016" w:type="dxa"/>
            <w:tcBorders>
              <w:top w:val="nil"/>
              <w:left w:val="nil"/>
              <w:bottom w:val="single" w:sz="4" w:space="0" w:color="008089"/>
              <w:right w:val="single" w:sz="8" w:space="0" w:color="008089"/>
            </w:tcBorders>
            <w:shd w:val="clear" w:color="000000" w:fill="F2F2F2"/>
            <w:vAlign w:val="center"/>
            <w:hideMark/>
          </w:tcPr>
          <w:p w14:paraId="003A433B" w14:textId="77777777" w:rsidR="00401088" w:rsidRPr="00624169" w:rsidRDefault="00401088" w:rsidP="00401088">
            <w:pPr>
              <w:suppressAutoHyphens w:val="0"/>
              <w:spacing w:before="0" w:after="0"/>
              <w:jc w:val="right"/>
              <w:rPr>
                <w:rFonts w:ascii="Calibri" w:eastAsia="Times New Roman" w:hAnsi="Calibri" w:cs="Calibri"/>
                <w:i/>
                <w:iCs/>
                <w:color w:val="auto"/>
                <w:sz w:val="18"/>
                <w:szCs w:val="18"/>
                <w:lang w:eastAsia="en-AU"/>
              </w:rPr>
            </w:pPr>
            <w:r w:rsidRPr="00624169">
              <w:rPr>
                <w:rFonts w:ascii="Calibri" w:eastAsia="Times New Roman" w:hAnsi="Calibri" w:cs="Calibri"/>
                <w:i/>
                <w:iCs/>
                <w:color w:val="auto"/>
                <w:sz w:val="18"/>
                <w:szCs w:val="18"/>
                <w:lang w:eastAsia="en-AU"/>
              </w:rPr>
              <w:t>enc</w:t>
            </w:r>
          </w:p>
        </w:tc>
      </w:tr>
      <w:tr w:rsidR="00624169" w:rsidRPr="00401088" w14:paraId="0B77A276" w14:textId="77777777" w:rsidTr="00624169">
        <w:trPr>
          <w:trHeight w:val="300"/>
          <w:jc w:val="center"/>
        </w:trPr>
        <w:tc>
          <w:tcPr>
            <w:tcW w:w="1502" w:type="dxa"/>
            <w:vMerge/>
            <w:tcBorders>
              <w:top w:val="nil"/>
              <w:left w:val="single" w:sz="8" w:space="0" w:color="008089"/>
              <w:bottom w:val="single" w:sz="8" w:space="0" w:color="008089"/>
              <w:right w:val="nil"/>
            </w:tcBorders>
            <w:vAlign w:val="center"/>
            <w:hideMark/>
          </w:tcPr>
          <w:p w14:paraId="5141C0FF" w14:textId="77777777" w:rsidR="00401088" w:rsidRPr="00DB204C" w:rsidRDefault="00401088" w:rsidP="00401088">
            <w:pPr>
              <w:suppressAutoHyphens w:val="0"/>
              <w:spacing w:before="0" w:after="0"/>
              <w:rPr>
                <w:rFonts w:ascii="Calibri" w:eastAsia="Times New Roman" w:hAnsi="Calibri" w:cs="Calibri"/>
                <w:b/>
                <w:bCs/>
                <w:color w:val="000000"/>
                <w:sz w:val="18"/>
                <w:szCs w:val="18"/>
                <w:lang w:eastAsia="en-AU"/>
              </w:rPr>
            </w:pPr>
          </w:p>
        </w:tc>
        <w:tc>
          <w:tcPr>
            <w:tcW w:w="3308" w:type="dxa"/>
            <w:tcBorders>
              <w:top w:val="nil"/>
              <w:left w:val="nil"/>
              <w:bottom w:val="single" w:sz="8" w:space="0" w:color="008089"/>
              <w:right w:val="nil"/>
            </w:tcBorders>
            <w:shd w:val="clear" w:color="000000" w:fill="F2F2F2"/>
            <w:vAlign w:val="center"/>
            <w:hideMark/>
          </w:tcPr>
          <w:p w14:paraId="6295D798" w14:textId="77777777" w:rsidR="00401088" w:rsidRPr="00DB204C" w:rsidRDefault="00401088" w:rsidP="00401088">
            <w:pPr>
              <w:suppressAutoHyphens w:val="0"/>
              <w:spacing w:before="0" w:after="0"/>
              <w:rPr>
                <w:rFonts w:ascii="Calibri" w:eastAsia="Times New Roman" w:hAnsi="Calibri" w:cs="Calibri"/>
                <w:color w:val="000000"/>
                <w:sz w:val="18"/>
                <w:szCs w:val="18"/>
                <w:lang w:eastAsia="en-AU"/>
              </w:rPr>
            </w:pPr>
            <w:r w:rsidRPr="00DB204C">
              <w:rPr>
                <w:rFonts w:ascii="Calibri" w:eastAsia="Times New Roman" w:hAnsi="Calibri" w:cs="Calibri"/>
                <w:color w:val="000000"/>
                <w:sz w:val="18"/>
                <w:szCs w:val="18"/>
                <w:lang w:eastAsia="en-AU"/>
              </w:rPr>
              <w:t>Bathust 1000 Race</w:t>
            </w:r>
          </w:p>
        </w:tc>
        <w:tc>
          <w:tcPr>
            <w:tcW w:w="1843" w:type="dxa"/>
            <w:tcBorders>
              <w:top w:val="nil"/>
              <w:left w:val="nil"/>
              <w:bottom w:val="single" w:sz="8" w:space="0" w:color="008089"/>
              <w:right w:val="nil"/>
            </w:tcBorders>
            <w:shd w:val="clear" w:color="000000" w:fill="F2F2F2"/>
            <w:vAlign w:val="center"/>
            <w:hideMark/>
          </w:tcPr>
          <w:p w14:paraId="297CBDB5" w14:textId="77777777" w:rsidR="00401088" w:rsidRPr="00F85D80" w:rsidRDefault="00401088" w:rsidP="00401088">
            <w:pPr>
              <w:suppressAutoHyphens w:val="0"/>
              <w:spacing w:before="0" w:after="0"/>
              <w:rPr>
                <w:rFonts w:ascii="Calibri" w:eastAsia="Times New Roman" w:hAnsi="Calibri" w:cs="Calibri"/>
                <w:color w:val="000000"/>
                <w:sz w:val="16"/>
                <w:szCs w:val="16"/>
                <w:lang w:eastAsia="en-AU"/>
              </w:rPr>
            </w:pPr>
            <w:r w:rsidRPr="00F85D80">
              <w:rPr>
                <w:rFonts w:ascii="Calibri" w:eastAsia="Times New Roman" w:hAnsi="Calibri" w:cs="Calibri"/>
                <w:color w:val="000000"/>
                <w:sz w:val="16"/>
                <w:szCs w:val="16"/>
                <w:lang w:eastAsia="en-AU"/>
              </w:rPr>
              <w:t>Last 2 hours</w:t>
            </w:r>
          </w:p>
        </w:tc>
        <w:tc>
          <w:tcPr>
            <w:tcW w:w="1015" w:type="dxa"/>
            <w:tcBorders>
              <w:top w:val="nil"/>
              <w:left w:val="nil"/>
              <w:bottom w:val="single" w:sz="8" w:space="0" w:color="008089"/>
              <w:right w:val="nil"/>
            </w:tcBorders>
            <w:shd w:val="clear" w:color="000000" w:fill="F2F2F2"/>
            <w:vAlign w:val="center"/>
            <w:hideMark/>
          </w:tcPr>
          <w:p w14:paraId="31869A47"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1,099,000</w:t>
            </w:r>
          </w:p>
        </w:tc>
        <w:tc>
          <w:tcPr>
            <w:tcW w:w="1015" w:type="dxa"/>
            <w:tcBorders>
              <w:top w:val="nil"/>
              <w:left w:val="nil"/>
              <w:bottom w:val="single" w:sz="8" w:space="0" w:color="008089"/>
              <w:right w:val="nil"/>
            </w:tcBorders>
            <w:shd w:val="clear" w:color="000000" w:fill="F2F2F2"/>
            <w:vAlign w:val="center"/>
            <w:hideMark/>
          </w:tcPr>
          <w:p w14:paraId="13D96140"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1,007,000</w:t>
            </w:r>
          </w:p>
        </w:tc>
        <w:tc>
          <w:tcPr>
            <w:tcW w:w="1016" w:type="dxa"/>
            <w:tcBorders>
              <w:top w:val="nil"/>
              <w:left w:val="nil"/>
              <w:bottom w:val="single" w:sz="8" w:space="0" w:color="008089"/>
              <w:right w:val="nil"/>
            </w:tcBorders>
            <w:shd w:val="clear" w:color="000000" w:fill="F2F2F2"/>
            <w:vAlign w:val="center"/>
            <w:hideMark/>
          </w:tcPr>
          <w:p w14:paraId="1574845B"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1,151,000</w:t>
            </w:r>
          </w:p>
        </w:tc>
        <w:tc>
          <w:tcPr>
            <w:tcW w:w="1015" w:type="dxa"/>
            <w:tcBorders>
              <w:top w:val="nil"/>
              <w:left w:val="nil"/>
              <w:bottom w:val="single" w:sz="8" w:space="0" w:color="008089"/>
              <w:right w:val="nil"/>
            </w:tcBorders>
            <w:shd w:val="clear" w:color="000000" w:fill="F2F2F2"/>
            <w:vAlign w:val="center"/>
            <w:hideMark/>
          </w:tcPr>
          <w:p w14:paraId="32066210"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861,000</w:t>
            </w:r>
          </w:p>
        </w:tc>
        <w:tc>
          <w:tcPr>
            <w:tcW w:w="1015" w:type="dxa"/>
            <w:tcBorders>
              <w:top w:val="nil"/>
              <w:left w:val="nil"/>
              <w:bottom w:val="single" w:sz="8" w:space="0" w:color="008089"/>
              <w:right w:val="nil"/>
            </w:tcBorders>
            <w:shd w:val="clear" w:color="000000" w:fill="F2F2F2"/>
            <w:vAlign w:val="center"/>
            <w:hideMark/>
          </w:tcPr>
          <w:p w14:paraId="39ECD2D5"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1,024,000</w:t>
            </w:r>
          </w:p>
        </w:tc>
        <w:tc>
          <w:tcPr>
            <w:tcW w:w="1016" w:type="dxa"/>
            <w:tcBorders>
              <w:top w:val="nil"/>
              <w:left w:val="nil"/>
              <w:bottom w:val="single" w:sz="8" w:space="0" w:color="008089"/>
              <w:right w:val="nil"/>
            </w:tcBorders>
            <w:shd w:val="clear" w:color="000000" w:fill="F2F2F2"/>
            <w:vAlign w:val="center"/>
            <w:hideMark/>
          </w:tcPr>
          <w:p w14:paraId="4D61191C"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796,000</w:t>
            </w:r>
          </w:p>
        </w:tc>
        <w:tc>
          <w:tcPr>
            <w:tcW w:w="1015" w:type="dxa"/>
            <w:tcBorders>
              <w:top w:val="nil"/>
              <w:left w:val="nil"/>
              <w:bottom w:val="single" w:sz="8" w:space="0" w:color="008089"/>
              <w:right w:val="nil"/>
            </w:tcBorders>
            <w:shd w:val="clear" w:color="000000" w:fill="F2F2F2"/>
            <w:vAlign w:val="center"/>
            <w:hideMark/>
          </w:tcPr>
          <w:p w14:paraId="210D17F2"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915,000</w:t>
            </w:r>
          </w:p>
        </w:tc>
        <w:tc>
          <w:tcPr>
            <w:tcW w:w="1016" w:type="dxa"/>
            <w:tcBorders>
              <w:top w:val="nil"/>
              <w:left w:val="nil"/>
              <w:bottom w:val="single" w:sz="8" w:space="0" w:color="008089"/>
              <w:right w:val="single" w:sz="8" w:space="0" w:color="008089"/>
            </w:tcBorders>
            <w:shd w:val="clear" w:color="000000" w:fill="F2F2F2"/>
            <w:vAlign w:val="center"/>
            <w:hideMark/>
          </w:tcPr>
          <w:p w14:paraId="0E5C716A" w14:textId="77777777" w:rsidR="00401088" w:rsidRPr="00624169" w:rsidRDefault="00401088" w:rsidP="00401088">
            <w:pPr>
              <w:suppressAutoHyphens w:val="0"/>
              <w:spacing w:before="0" w:after="0"/>
              <w:jc w:val="right"/>
              <w:rPr>
                <w:rFonts w:ascii="Calibri" w:eastAsia="Times New Roman" w:hAnsi="Calibri" w:cs="Calibri"/>
                <w:i/>
                <w:iCs/>
                <w:color w:val="auto"/>
                <w:sz w:val="18"/>
                <w:szCs w:val="18"/>
                <w:lang w:eastAsia="en-AU"/>
              </w:rPr>
            </w:pPr>
            <w:r w:rsidRPr="00624169">
              <w:rPr>
                <w:rFonts w:ascii="Calibri" w:eastAsia="Times New Roman" w:hAnsi="Calibri" w:cs="Calibri"/>
                <w:i/>
                <w:iCs/>
                <w:color w:val="auto"/>
                <w:sz w:val="18"/>
                <w:szCs w:val="18"/>
                <w:lang w:eastAsia="en-AU"/>
              </w:rPr>
              <w:t>enc</w:t>
            </w:r>
          </w:p>
        </w:tc>
      </w:tr>
      <w:tr w:rsidR="00401088" w:rsidRPr="00401088" w14:paraId="2C2EAB80" w14:textId="77777777" w:rsidTr="00624169">
        <w:trPr>
          <w:trHeight w:val="300"/>
          <w:jc w:val="center"/>
        </w:trPr>
        <w:tc>
          <w:tcPr>
            <w:tcW w:w="14776" w:type="dxa"/>
            <w:gridSpan w:val="11"/>
            <w:tcBorders>
              <w:top w:val="single" w:sz="8" w:space="0" w:color="008089"/>
              <w:left w:val="single" w:sz="8" w:space="0" w:color="008089"/>
              <w:bottom w:val="single" w:sz="8" w:space="0" w:color="008089"/>
              <w:right w:val="single" w:sz="8" w:space="0" w:color="008089"/>
            </w:tcBorders>
            <w:shd w:val="clear" w:color="000000" w:fill="F2F6E8"/>
            <w:vAlign w:val="center"/>
            <w:hideMark/>
          </w:tcPr>
          <w:p w14:paraId="07A05021" w14:textId="77777777" w:rsidR="00401088" w:rsidRPr="00401088" w:rsidRDefault="00401088" w:rsidP="00401088">
            <w:pPr>
              <w:suppressAutoHyphens w:val="0"/>
              <w:spacing w:before="0" w:after="0"/>
              <w:rPr>
                <w:rFonts w:ascii="Calibri" w:eastAsia="Times New Roman" w:hAnsi="Calibri" w:cs="Calibri"/>
                <w:color w:val="000000"/>
                <w:lang w:eastAsia="en-AU"/>
              </w:rPr>
            </w:pPr>
            <w:r w:rsidRPr="00401088">
              <w:rPr>
                <w:rFonts w:ascii="Calibri" w:eastAsia="Times New Roman" w:hAnsi="Calibri" w:cs="Calibri"/>
                <w:color w:val="000000"/>
                <w:lang w:eastAsia="en-AU"/>
              </w:rPr>
              <w:t>GOLF</w:t>
            </w:r>
          </w:p>
        </w:tc>
      </w:tr>
      <w:tr w:rsidR="00624169" w:rsidRPr="00401088" w14:paraId="46087DEC" w14:textId="77777777" w:rsidTr="00624169">
        <w:trPr>
          <w:trHeight w:val="300"/>
          <w:jc w:val="center"/>
        </w:trPr>
        <w:tc>
          <w:tcPr>
            <w:tcW w:w="1502" w:type="dxa"/>
            <w:tcBorders>
              <w:top w:val="nil"/>
              <w:left w:val="single" w:sz="8" w:space="0" w:color="008089"/>
              <w:bottom w:val="single" w:sz="8" w:space="0" w:color="008089"/>
              <w:right w:val="nil"/>
            </w:tcBorders>
            <w:shd w:val="clear" w:color="000000" w:fill="F2F2F2"/>
            <w:vAlign w:val="center"/>
            <w:hideMark/>
          </w:tcPr>
          <w:p w14:paraId="1576191B" w14:textId="77777777" w:rsidR="00401088" w:rsidRPr="00DB204C" w:rsidRDefault="00401088" w:rsidP="00401088">
            <w:pPr>
              <w:suppressAutoHyphens w:val="0"/>
              <w:spacing w:before="0" w:after="0"/>
              <w:jc w:val="center"/>
              <w:rPr>
                <w:rFonts w:ascii="Calibri" w:eastAsia="Times New Roman" w:hAnsi="Calibri" w:cs="Calibri"/>
                <w:b/>
                <w:bCs/>
                <w:color w:val="000000"/>
                <w:sz w:val="18"/>
                <w:szCs w:val="18"/>
                <w:lang w:eastAsia="en-AU"/>
              </w:rPr>
            </w:pPr>
            <w:r w:rsidRPr="00DB204C">
              <w:rPr>
                <w:rFonts w:ascii="Calibri" w:eastAsia="Times New Roman" w:hAnsi="Calibri" w:cs="Calibri"/>
                <w:b/>
                <w:bCs/>
                <w:color w:val="000000"/>
                <w:sz w:val="18"/>
                <w:szCs w:val="18"/>
                <w:lang w:eastAsia="en-AU"/>
              </w:rPr>
              <w:t>US Masters</w:t>
            </w:r>
          </w:p>
        </w:tc>
        <w:tc>
          <w:tcPr>
            <w:tcW w:w="3308" w:type="dxa"/>
            <w:tcBorders>
              <w:top w:val="nil"/>
              <w:left w:val="nil"/>
              <w:bottom w:val="single" w:sz="8" w:space="0" w:color="008089"/>
              <w:right w:val="nil"/>
            </w:tcBorders>
            <w:shd w:val="clear" w:color="000000" w:fill="F2F2F2"/>
            <w:vAlign w:val="center"/>
            <w:hideMark/>
          </w:tcPr>
          <w:p w14:paraId="6EADDED9" w14:textId="77777777" w:rsidR="00401088" w:rsidRPr="00DB204C" w:rsidRDefault="00401088" w:rsidP="00401088">
            <w:pPr>
              <w:suppressAutoHyphens w:val="0"/>
              <w:spacing w:before="0" w:after="0"/>
              <w:rPr>
                <w:rFonts w:ascii="Calibri" w:eastAsia="Times New Roman" w:hAnsi="Calibri" w:cs="Calibri"/>
                <w:color w:val="000000"/>
                <w:sz w:val="18"/>
                <w:szCs w:val="18"/>
                <w:lang w:eastAsia="en-AU"/>
              </w:rPr>
            </w:pPr>
            <w:r w:rsidRPr="00DB204C">
              <w:rPr>
                <w:rFonts w:ascii="Calibri" w:eastAsia="Times New Roman" w:hAnsi="Calibri" w:cs="Calibri"/>
                <w:color w:val="000000"/>
                <w:sz w:val="18"/>
                <w:szCs w:val="18"/>
                <w:lang w:eastAsia="en-AU"/>
              </w:rPr>
              <w:t>US Masters Tournament</w:t>
            </w:r>
          </w:p>
        </w:tc>
        <w:tc>
          <w:tcPr>
            <w:tcW w:w="1843" w:type="dxa"/>
            <w:tcBorders>
              <w:top w:val="nil"/>
              <w:left w:val="nil"/>
              <w:bottom w:val="single" w:sz="8" w:space="0" w:color="008089"/>
              <w:right w:val="nil"/>
            </w:tcBorders>
            <w:shd w:val="clear" w:color="000000" w:fill="F2F2F2"/>
            <w:vAlign w:val="center"/>
            <w:hideMark/>
          </w:tcPr>
          <w:p w14:paraId="1F4B13F5" w14:textId="77777777" w:rsidR="00401088" w:rsidRPr="00F85D80" w:rsidRDefault="00401088" w:rsidP="00401088">
            <w:pPr>
              <w:suppressAutoHyphens w:val="0"/>
              <w:spacing w:before="0" w:after="0"/>
              <w:rPr>
                <w:rFonts w:ascii="Calibri" w:eastAsia="Times New Roman" w:hAnsi="Calibri" w:cs="Calibri"/>
                <w:color w:val="000000"/>
                <w:sz w:val="16"/>
                <w:szCs w:val="16"/>
                <w:lang w:eastAsia="en-AU"/>
              </w:rPr>
            </w:pPr>
            <w:r w:rsidRPr="00F85D80">
              <w:rPr>
                <w:rFonts w:ascii="Calibri" w:eastAsia="Times New Roman" w:hAnsi="Calibri" w:cs="Calibri"/>
                <w:color w:val="000000"/>
                <w:sz w:val="16"/>
                <w:szCs w:val="16"/>
                <w:lang w:eastAsia="en-AU"/>
              </w:rPr>
              <w:t>Last 2 hours of Day 4</w:t>
            </w:r>
          </w:p>
        </w:tc>
        <w:tc>
          <w:tcPr>
            <w:tcW w:w="1015" w:type="dxa"/>
            <w:tcBorders>
              <w:top w:val="nil"/>
              <w:left w:val="nil"/>
              <w:bottom w:val="single" w:sz="8" w:space="0" w:color="008089"/>
              <w:right w:val="nil"/>
            </w:tcBorders>
            <w:shd w:val="clear" w:color="000000" w:fill="F2F2F2"/>
            <w:vAlign w:val="center"/>
            <w:hideMark/>
          </w:tcPr>
          <w:p w14:paraId="1E4971DA"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130,000</w:t>
            </w:r>
          </w:p>
        </w:tc>
        <w:tc>
          <w:tcPr>
            <w:tcW w:w="1015" w:type="dxa"/>
            <w:tcBorders>
              <w:top w:val="nil"/>
              <w:left w:val="nil"/>
              <w:bottom w:val="single" w:sz="8" w:space="0" w:color="008089"/>
              <w:right w:val="nil"/>
            </w:tcBorders>
            <w:shd w:val="clear" w:color="000000" w:fill="F2F2F2"/>
            <w:vAlign w:val="center"/>
            <w:hideMark/>
          </w:tcPr>
          <w:p w14:paraId="02A1757E"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98,000</w:t>
            </w:r>
          </w:p>
        </w:tc>
        <w:tc>
          <w:tcPr>
            <w:tcW w:w="1016" w:type="dxa"/>
            <w:tcBorders>
              <w:top w:val="nil"/>
              <w:left w:val="nil"/>
              <w:bottom w:val="single" w:sz="8" w:space="0" w:color="008089"/>
              <w:right w:val="nil"/>
            </w:tcBorders>
            <w:shd w:val="clear" w:color="000000" w:fill="F2F2F2"/>
            <w:vAlign w:val="center"/>
            <w:hideMark/>
          </w:tcPr>
          <w:p w14:paraId="07250638"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104,000</w:t>
            </w:r>
          </w:p>
        </w:tc>
        <w:tc>
          <w:tcPr>
            <w:tcW w:w="1015" w:type="dxa"/>
            <w:tcBorders>
              <w:top w:val="nil"/>
              <w:left w:val="nil"/>
              <w:bottom w:val="single" w:sz="8" w:space="0" w:color="008089"/>
              <w:right w:val="nil"/>
            </w:tcBorders>
            <w:shd w:val="clear" w:color="000000" w:fill="F2F2F2"/>
            <w:vAlign w:val="center"/>
            <w:hideMark/>
          </w:tcPr>
          <w:p w14:paraId="326C429A"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55,000</w:t>
            </w:r>
          </w:p>
        </w:tc>
        <w:tc>
          <w:tcPr>
            <w:tcW w:w="1015" w:type="dxa"/>
            <w:tcBorders>
              <w:top w:val="nil"/>
              <w:left w:val="nil"/>
              <w:bottom w:val="single" w:sz="8" w:space="0" w:color="008089"/>
              <w:right w:val="nil"/>
            </w:tcBorders>
            <w:shd w:val="clear" w:color="000000" w:fill="F2F2F2"/>
            <w:vAlign w:val="center"/>
            <w:hideMark/>
          </w:tcPr>
          <w:p w14:paraId="7E43D783"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63,000</w:t>
            </w:r>
          </w:p>
        </w:tc>
        <w:tc>
          <w:tcPr>
            <w:tcW w:w="1016" w:type="dxa"/>
            <w:tcBorders>
              <w:top w:val="nil"/>
              <w:left w:val="nil"/>
              <w:bottom w:val="single" w:sz="8" w:space="0" w:color="008089"/>
              <w:right w:val="nil"/>
            </w:tcBorders>
            <w:shd w:val="clear" w:color="000000" w:fill="F2F2F2"/>
            <w:vAlign w:val="center"/>
            <w:hideMark/>
          </w:tcPr>
          <w:p w14:paraId="0BAFBBC9"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37,000</w:t>
            </w:r>
          </w:p>
        </w:tc>
        <w:tc>
          <w:tcPr>
            <w:tcW w:w="1015" w:type="dxa"/>
            <w:tcBorders>
              <w:top w:val="nil"/>
              <w:left w:val="nil"/>
              <w:bottom w:val="single" w:sz="8" w:space="0" w:color="008089"/>
              <w:right w:val="nil"/>
            </w:tcBorders>
            <w:shd w:val="clear" w:color="000000" w:fill="F2F2F2"/>
            <w:vAlign w:val="center"/>
            <w:hideMark/>
          </w:tcPr>
          <w:p w14:paraId="6FC3BB33"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80,000</w:t>
            </w:r>
          </w:p>
        </w:tc>
        <w:tc>
          <w:tcPr>
            <w:tcW w:w="1016" w:type="dxa"/>
            <w:tcBorders>
              <w:top w:val="nil"/>
              <w:left w:val="nil"/>
              <w:bottom w:val="single" w:sz="8" w:space="0" w:color="008089"/>
              <w:right w:val="single" w:sz="8" w:space="0" w:color="008089"/>
            </w:tcBorders>
            <w:shd w:val="clear" w:color="000000" w:fill="F2F2F2"/>
            <w:vAlign w:val="center"/>
            <w:hideMark/>
          </w:tcPr>
          <w:p w14:paraId="42F181AC" w14:textId="77777777" w:rsidR="00401088" w:rsidRPr="00624169" w:rsidRDefault="00401088" w:rsidP="00401088">
            <w:pPr>
              <w:suppressAutoHyphens w:val="0"/>
              <w:spacing w:before="0" w:after="0"/>
              <w:jc w:val="right"/>
              <w:rPr>
                <w:rFonts w:ascii="Calibri" w:eastAsia="Times New Roman" w:hAnsi="Calibri" w:cs="Calibri"/>
                <w:i/>
                <w:iCs/>
                <w:color w:val="auto"/>
                <w:sz w:val="18"/>
                <w:szCs w:val="18"/>
                <w:lang w:eastAsia="en-AU"/>
              </w:rPr>
            </w:pPr>
            <w:r w:rsidRPr="00624169">
              <w:rPr>
                <w:rFonts w:ascii="Calibri" w:eastAsia="Times New Roman" w:hAnsi="Calibri" w:cs="Calibri"/>
                <w:i/>
                <w:iCs/>
                <w:color w:val="auto"/>
                <w:sz w:val="18"/>
                <w:szCs w:val="18"/>
                <w:lang w:eastAsia="en-AU"/>
              </w:rPr>
              <w:t>enc</w:t>
            </w:r>
          </w:p>
        </w:tc>
      </w:tr>
      <w:tr w:rsidR="00624169" w:rsidRPr="00401088" w14:paraId="501156A1" w14:textId="77777777" w:rsidTr="00624169">
        <w:trPr>
          <w:trHeight w:val="300"/>
          <w:jc w:val="center"/>
        </w:trPr>
        <w:tc>
          <w:tcPr>
            <w:tcW w:w="1502" w:type="dxa"/>
            <w:tcBorders>
              <w:top w:val="nil"/>
              <w:left w:val="single" w:sz="8" w:space="0" w:color="008089"/>
              <w:bottom w:val="single" w:sz="8" w:space="0" w:color="008089"/>
              <w:right w:val="nil"/>
            </w:tcBorders>
            <w:shd w:val="clear" w:color="000000" w:fill="F2F2F2"/>
            <w:vAlign w:val="center"/>
            <w:hideMark/>
          </w:tcPr>
          <w:p w14:paraId="4ED3A9CA" w14:textId="77777777" w:rsidR="00401088" w:rsidRPr="00DB204C" w:rsidRDefault="00401088" w:rsidP="00401088">
            <w:pPr>
              <w:suppressAutoHyphens w:val="0"/>
              <w:spacing w:before="0" w:after="0"/>
              <w:jc w:val="center"/>
              <w:rPr>
                <w:rFonts w:ascii="Calibri" w:eastAsia="Times New Roman" w:hAnsi="Calibri" w:cs="Calibri"/>
                <w:b/>
                <w:bCs/>
                <w:color w:val="000000"/>
                <w:sz w:val="18"/>
                <w:szCs w:val="18"/>
                <w:lang w:eastAsia="en-AU"/>
              </w:rPr>
            </w:pPr>
            <w:r w:rsidRPr="00DB204C">
              <w:rPr>
                <w:rFonts w:ascii="Calibri" w:eastAsia="Times New Roman" w:hAnsi="Calibri" w:cs="Calibri"/>
                <w:b/>
                <w:bCs/>
                <w:color w:val="000000"/>
                <w:sz w:val="18"/>
                <w:szCs w:val="18"/>
                <w:lang w:eastAsia="en-AU"/>
              </w:rPr>
              <w:t>Australian Open</w:t>
            </w:r>
          </w:p>
        </w:tc>
        <w:tc>
          <w:tcPr>
            <w:tcW w:w="3308" w:type="dxa"/>
            <w:tcBorders>
              <w:top w:val="nil"/>
              <w:left w:val="nil"/>
              <w:bottom w:val="single" w:sz="8" w:space="0" w:color="008089"/>
              <w:right w:val="nil"/>
            </w:tcBorders>
            <w:shd w:val="clear" w:color="000000" w:fill="F2F2F2"/>
            <w:vAlign w:val="center"/>
            <w:hideMark/>
          </w:tcPr>
          <w:p w14:paraId="2925892B" w14:textId="77777777" w:rsidR="00401088" w:rsidRPr="00DB204C" w:rsidRDefault="00401088" w:rsidP="00401088">
            <w:pPr>
              <w:suppressAutoHyphens w:val="0"/>
              <w:spacing w:before="0" w:after="0"/>
              <w:rPr>
                <w:rFonts w:ascii="Calibri" w:eastAsia="Times New Roman" w:hAnsi="Calibri" w:cs="Calibri"/>
                <w:color w:val="000000"/>
                <w:sz w:val="18"/>
                <w:szCs w:val="18"/>
                <w:lang w:eastAsia="en-AU"/>
              </w:rPr>
            </w:pPr>
            <w:r w:rsidRPr="00DB204C">
              <w:rPr>
                <w:rFonts w:ascii="Calibri" w:eastAsia="Times New Roman" w:hAnsi="Calibri" w:cs="Calibri"/>
                <w:color w:val="000000"/>
                <w:sz w:val="18"/>
                <w:szCs w:val="18"/>
                <w:lang w:eastAsia="en-AU"/>
              </w:rPr>
              <w:t>Australian Open Tournament</w:t>
            </w:r>
          </w:p>
        </w:tc>
        <w:tc>
          <w:tcPr>
            <w:tcW w:w="1843" w:type="dxa"/>
            <w:tcBorders>
              <w:top w:val="nil"/>
              <w:left w:val="nil"/>
              <w:bottom w:val="single" w:sz="8" w:space="0" w:color="008089"/>
              <w:right w:val="nil"/>
            </w:tcBorders>
            <w:shd w:val="clear" w:color="000000" w:fill="F2F2F2"/>
            <w:vAlign w:val="center"/>
            <w:hideMark/>
          </w:tcPr>
          <w:p w14:paraId="200C07D8" w14:textId="77777777" w:rsidR="00401088" w:rsidRPr="00F85D80" w:rsidRDefault="00401088" w:rsidP="00401088">
            <w:pPr>
              <w:suppressAutoHyphens w:val="0"/>
              <w:spacing w:before="0" w:after="0"/>
              <w:rPr>
                <w:rFonts w:ascii="Calibri" w:eastAsia="Times New Roman" w:hAnsi="Calibri" w:cs="Calibri"/>
                <w:color w:val="000000"/>
                <w:sz w:val="16"/>
                <w:szCs w:val="16"/>
                <w:lang w:eastAsia="en-AU"/>
              </w:rPr>
            </w:pPr>
            <w:r w:rsidRPr="00F85D80">
              <w:rPr>
                <w:rFonts w:ascii="Calibri" w:eastAsia="Times New Roman" w:hAnsi="Calibri" w:cs="Calibri"/>
                <w:color w:val="000000"/>
                <w:sz w:val="16"/>
                <w:szCs w:val="16"/>
                <w:lang w:eastAsia="en-AU"/>
              </w:rPr>
              <w:t>Last 2 hours of Day 4</w:t>
            </w:r>
          </w:p>
        </w:tc>
        <w:tc>
          <w:tcPr>
            <w:tcW w:w="1015" w:type="dxa"/>
            <w:tcBorders>
              <w:top w:val="nil"/>
              <w:left w:val="nil"/>
              <w:bottom w:val="single" w:sz="8" w:space="0" w:color="008089"/>
              <w:right w:val="nil"/>
            </w:tcBorders>
            <w:shd w:val="clear" w:color="000000" w:fill="F2F2F2"/>
            <w:vAlign w:val="center"/>
            <w:hideMark/>
          </w:tcPr>
          <w:p w14:paraId="0895BF6A"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359,000</w:t>
            </w:r>
          </w:p>
        </w:tc>
        <w:tc>
          <w:tcPr>
            <w:tcW w:w="1015" w:type="dxa"/>
            <w:tcBorders>
              <w:top w:val="nil"/>
              <w:left w:val="nil"/>
              <w:bottom w:val="single" w:sz="8" w:space="0" w:color="008089"/>
              <w:right w:val="nil"/>
            </w:tcBorders>
            <w:shd w:val="clear" w:color="000000" w:fill="F2F2F2"/>
            <w:vAlign w:val="center"/>
            <w:hideMark/>
          </w:tcPr>
          <w:p w14:paraId="73DD0618"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439,000</w:t>
            </w:r>
          </w:p>
        </w:tc>
        <w:tc>
          <w:tcPr>
            <w:tcW w:w="1016" w:type="dxa"/>
            <w:tcBorders>
              <w:top w:val="nil"/>
              <w:left w:val="nil"/>
              <w:bottom w:val="single" w:sz="8" w:space="0" w:color="008089"/>
              <w:right w:val="nil"/>
            </w:tcBorders>
            <w:shd w:val="clear" w:color="000000" w:fill="F2F2F2"/>
            <w:vAlign w:val="center"/>
            <w:hideMark/>
          </w:tcPr>
          <w:p w14:paraId="013FB697"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167,000</w:t>
            </w:r>
          </w:p>
        </w:tc>
        <w:tc>
          <w:tcPr>
            <w:tcW w:w="1015" w:type="dxa"/>
            <w:tcBorders>
              <w:top w:val="nil"/>
              <w:left w:val="nil"/>
              <w:bottom w:val="single" w:sz="8" w:space="0" w:color="008089"/>
              <w:right w:val="nil"/>
            </w:tcBorders>
            <w:shd w:val="clear" w:color="000000" w:fill="F2F2F2"/>
            <w:vAlign w:val="center"/>
            <w:hideMark/>
          </w:tcPr>
          <w:p w14:paraId="044C79AE"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249,000</w:t>
            </w:r>
          </w:p>
        </w:tc>
        <w:tc>
          <w:tcPr>
            <w:tcW w:w="1015" w:type="dxa"/>
            <w:tcBorders>
              <w:top w:val="nil"/>
              <w:left w:val="nil"/>
              <w:bottom w:val="single" w:sz="8" w:space="0" w:color="008089"/>
              <w:right w:val="nil"/>
            </w:tcBorders>
            <w:shd w:val="clear" w:color="000000" w:fill="F2F2F2"/>
            <w:vAlign w:val="center"/>
            <w:hideMark/>
          </w:tcPr>
          <w:p w14:paraId="04E4ABE2" w14:textId="77777777" w:rsidR="00401088" w:rsidRPr="00624169" w:rsidRDefault="00401088" w:rsidP="00401088">
            <w:pPr>
              <w:suppressAutoHyphens w:val="0"/>
              <w:spacing w:before="0" w:after="0"/>
              <w:jc w:val="right"/>
              <w:rPr>
                <w:rFonts w:ascii="Calibri" w:eastAsia="Times New Roman" w:hAnsi="Calibri" w:cs="Calibri"/>
                <w:b/>
                <w:bCs/>
                <w:color w:val="auto"/>
                <w:sz w:val="18"/>
                <w:szCs w:val="18"/>
                <w:lang w:eastAsia="en-AU"/>
              </w:rPr>
            </w:pPr>
            <w:r w:rsidRPr="00624169">
              <w:rPr>
                <w:rFonts w:ascii="Calibri" w:eastAsia="Times New Roman" w:hAnsi="Calibri" w:cs="Calibri"/>
                <w:b/>
                <w:bCs/>
                <w:color w:val="auto"/>
                <w:sz w:val="18"/>
                <w:szCs w:val="18"/>
                <w:lang w:eastAsia="en-AU"/>
              </w:rPr>
              <w:t>267,000</w:t>
            </w:r>
          </w:p>
        </w:tc>
        <w:tc>
          <w:tcPr>
            <w:tcW w:w="1016" w:type="dxa"/>
            <w:tcBorders>
              <w:top w:val="nil"/>
              <w:left w:val="nil"/>
              <w:bottom w:val="single" w:sz="8" w:space="0" w:color="008089"/>
              <w:right w:val="nil"/>
            </w:tcBorders>
            <w:shd w:val="clear" w:color="000000" w:fill="F2F2F2"/>
            <w:vAlign w:val="center"/>
            <w:hideMark/>
          </w:tcPr>
          <w:p w14:paraId="53A2A765" w14:textId="77777777" w:rsidR="00401088" w:rsidRPr="00624169" w:rsidRDefault="00401088" w:rsidP="00401088">
            <w:pPr>
              <w:suppressAutoHyphens w:val="0"/>
              <w:spacing w:before="0" w:after="0"/>
              <w:jc w:val="right"/>
              <w:rPr>
                <w:rFonts w:ascii="Calibri" w:eastAsia="Times New Roman" w:hAnsi="Calibri" w:cs="Calibri"/>
                <w:i/>
                <w:iCs/>
                <w:color w:val="auto"/>
                <w:sz w:val="18"/>
                <w:szCs w:val="18"/>
                <w:lang w:eastAsia="en-AU"/>
              </w:rPr>
            </w:pPr>
            <w:r w:rsidRPr="00624169">
              <w:rPr>
                <w:rFonts w:ascii="Calibri" w:eastAsia="Times New Roman" w:hAnsi="Calibri" w:cs="Calibri"/>
                <w:i/>
                <w:iCs/>
                <w:color w:val="auto"/>
                <w:sz w:val="18"/>
                <w:szCs w:val="18"/>
                <w:lang w:eastAsia="en-AU"/>
              </w:rPr>
              <w:t>covid</w:t>
            </w:r>
          </w:p>
        </w:tc>
        <w:tc>
          <w:tcPr>
            <w:tcW w:w="1015" w:type="dxa"/>
            <w:tcBorders>
              <w:top w:val="nil"/>
              <w:left w:val="nil"/>
              <w:bottom w:val="single" w:sz="8" w:space="0" w:color="008089"/>
              <w:right w:val="nil"/>
            </w:tcBorders>
            <w:shd w:val="clear" w:color="000000" w:fill="F2F2F2"/>
            <w:vAlign w:val="center"/>
            <w:hideMark/>
          </w:tcPr>
          <w:p w14:paraId="21FCA14A" w14:textId="77777777" w:rsidR="00401088" w:rsidRPr="00624169" w:rsidRDefault="00401088" w:rsidP="00401088">
            <w:pPr>
              <w:suppressAutoHyphens w:val="0"/>
              <w:spacing w:before="0" w:after="0"/>
              <w:jc w:val="right"/>
              <w:rPr>
                <w:rFonts w:ascii="Calibri" w:eastAsia="Times New Roman" w:hAnsi="Calibri" w:cs="Calibri"/>
                <w:i/>
                <w:iCs/>
                <w:color w:val="auto"/>
                <w:sz w:val="18"/>
                <w:szCs w:val="18"/>
                <w:lang w:eastAsia="en-AU"/>
              </w:rPr>
            </w:pPr>
            <w:r w:rsidRPr="00624169">
              <w:rPr>
                <w:rFonts w:ascii="Calibri" w:eastAsia="Times New Roman" w:hAnsi="Calibri" w:cs="Calibri"/>
                <w:i/>
                <w:iCs/>
                <w:color w:val="auto"/>
                <w:sz w:val="18"/>
                <w:szCs w:val="18"/>
                <w:lang w:eastAsia="en-AU"/>
              </w:rPr>
              <w:t>covid</w:t>
            </w:r>
          </w:p>
        </w:tc>
        <w:tc>
          <w:tcPr>
            <w:tcW w:w="1016" w:type="dxa"/>
            <w:tcBorders>
              <w:top w:val="nil"/>
              <w:left w:val="nil"/>
              <w:bottom w:val="single" w:sz="8" w:space="0" w:color="008089"/>
              <w:right w:val="single" w:sz="8" w:space="0" w:color="008089"/>
            </w:tcBorders>
            <w:shd w:val="clear" w:color="000000" w:fill="F2F2F2"/>
            <w:vAlign w:val="center"/>
            <w:hideMark/>
          </w:tcPr>
          <w:p w14:paraId="73C462DB" w14:textId="77777777" w:rsidR="00401088" w:rsidRPr="00624169" w:rsidRDefault="00401088" w:rsidP="00401088">
            <w:pPr>
              <w:suppressAutoHyphens w:val="0"/>
              <w:spacing w:before="0" w:after="0"/>
              <w:jc w:val="right"/>
              <w:rPr>
                <w:rFonts w:ascii="Calibri" w:eastAsia="Times New Roman" w:hAnsi="Calibri" w:cs="Calibri"/>
                <w:i/>
                <w:iCs/>
                <w:color w:val="auto"/>
                <w:sz w:val="18"/>
                <w:szCs w:val="18"/>
                <w:lang w:eastAsia="en-AU"/>
              </w:rPr>
            </w:pPr>
            <w:r w:rsidRPr="00624169">
              <w:rPr>
                <w:rFonts w:ascii="Calibri" w:eastAsia="Times New Roman" w:hAnsi="Calibri" w:cs="Calibri"/>
                <w:i/>
                <w:iCs/>
                <w:color w:val="auto"/>
                <w:sz w:val="18"/>
                <w:szCs w:val="18"/>
                <w:lang w:eastAsia="en-AU"/>
              </w:rPr>
              <w:t>enc</w:t>
            </w:r>
          </w:p>
        </w:tc>
      </w:tr>
    </w:tbl>
    <w:p w14:paraId="4B0EA662" w14:textId="77777777" w:rsidR="0086091A" w:rsidRDefault="0086091A" w:rsidP="00923025">
      <w:pPr>
        <w:spacing w:before="0" w:after="0"/>
        <w:rPr>
          <w:sz w:val="18"/>
          <w:szCs w:val="18"/>
        </w:rPr>
      </w:pPr>
    </w:p>
    <w:tbl>
      <w:tblPr>
        <w:tblW w:w="0" w:type="auto"/>
        <w:jc w:val="center"/>
        <w:tblLayout w:type="fixed"/>
        <w:tblLook w:val="04A0" w:firstRow="1" w:lastRow="0" w:firstColumn="1" w:lastColumn="0" w:noHBand="0" w:noVBand="1"/>
      </w:tblPr>
      <w:tblGrid>
        <w:gridCol w:w="1502"/>
        <w:gridCol w:w="13274"/>
      </w:tblGrid>
      <w:tr w:rsidR="0059101F" w:rsidRPr="00401088" w14:paraId="5A0BEE7A" w14:textId="77777777" w:rsidTr="00923025">
        <w:trPr>
          <w:trHeight w:val="300"/>
          <w:jc w:val="center"/>
        </w:trPr>
        <w:tc>
          <w:tcPr>
            <w:tcW w:w="14776" w:type="dxa"/>
            <w:gridSpan w:val="2"/>
            <w:tcBorders>
              <w:top w:val="single" w:sz="8" w:space="0" w:color="008089"/>
              <w:left w:val="single" w:sz="8" w:space="0" w:color="008089"/>
              <w:bottom w:val="single" w:sz="8" w:space="0" w:color="008089"/>
              <w:right w:val="single" w:sz="8" w:space="0" w:color="008089"/>
            </w:tcBorders>
            <w:shd w:val="clear" w:color="000000" w:fill="081E3E"/>
            <w:vAlign w:val="center"/>
            <w:hideMark/>
          </w:tcPr>
          <w:p w14:paraId="7962B022" w14:textId="77777777" w:rsidR="0059101F" w:rsidRPr="00401088" w:rsidRDefault="0059101F" w:rsidP="00923025">
            <w:pPr>
              <w:suppressAutoHyphens w:val="0"/>
              <w:spacing w:before="0" w:after="0"/>
              <w:rPr>
                <w:rFonts w:ascii="Calibri" w:eastAsia="Times New Roman" w:hAnsi="Calibri" w:cs="Calibri"/>
                <w:b/>
                <w:bCs/>
                <w:color w:val="FFFFFF"/>
                <w:lang w:eastAsia="en-AU"/>
              </w:rPr>
            </w:pPr>
            <w:r w:rsidRPr="00401088">
              <w:rPr>
                <w:rFonts w:ascii="Calibri" w:eastAsia="Times New Roman" w:hAnsi="Calibri" w:cs="Calibri"/>
                <w:b/>
                <w:bCs/>
                <w:color w:val="FFFFFF"/>
                <w:lang w:eastAsia="en-AU"/>
              </w:rPr>
              <w:t>GENERAL NOTES</w:t>
            </w:r>
          </w:p>
        </w:tc>
      </w:tr>
      <w:tr w:rsidR="0059101F" w:rsidRPr="000A5CB2" w14:paraId="2BD5084A" w14:textId="77777777" w:rsidTr="00923025">
        <w:trPr>
          <w:trHeight w:val="1134"/>
          <w:jc w:val="center"/>
        </w:trPr>
        <w:tc>
          <w:tcPr>
            <w:tcW w:w="14776" w:type="dxa"/>
            <w:gridSpan w:val="2"/>
            <w:tcBorders>
              <w:top w:val="single" w:sz="8" w:space="0" w:color="008089"/>
              <w:left w:val="single" w:sz="8" w:space="0" w:color="008089"/>
              <w:bottom w:val="nil"/>
              <w:right w:val="single" w:sz="8" w:space="0" w:color="008089"/>
            </w:tcBorders>
            <w:shd w:val="clear" w:color="000000" w:fill="E7E6E6"/>
            <w:vAlign w:val="center"/>
            <w:hideMark/>
          </w:tcPr>
          <w:p w14:paraId="16C8AE57" w14:textId="77777777" w:rsidR="0059101F" w:rsidRPr="000A5CB2" w:rsidRDefault="0059101F" w:rsidP="00923025">
            <w:pPr>
              <w:suppressAutoHyphens w:val="0"/>
              <w:spacing w:before="0" w:after="0"/>
              <w:rPr>
                <w:rFonts w:ascii="Calibri" w:eastAsia="Times New Roman" w:hAnsi="Calibri" w:cs="Calibri"/>
                <w:color w:val="000000"/>
                <w:sz w:val="20"/>
                <w:szCs w:val="20"/>
                <w:lang w:eastAsia="en-AU"/>
              </w:rPr>
            </w:pPr>
            <w:r w:rsidRPr="0059101F">
              <w:rPr>
                <w:rFonts w:ascii="Calibri" w:eastAsia="Times New Roman" w:hAnsi="Calibri" w:cs="Calibri"/>
                <w:b/>
                <w:bCs/>
                <w:color w:val="000000"/>
                <w:sz w:val="18"/>
                <w:szCs w:val="18"/>
                <w:lang w:eastAsia="en-AU"/>
              </w:rPr>
              <w:t xml:space="preserve">Source: OzTAM 5 City Metro I Consolidated 7 I Audience total or average as detailed by row I  Dates as relevant to event | excludes Community TV and Subscription TV. </w:t>
            </w:r>
            <w:r w:rsidRPr="0059101F">
              <w:rPr>
                <w:rFonts w:ascii="Calibri" w:eastAsia="Times New Roman" w:hAnsi="Calibri" w:cs="Calibri"/>
                <w:b/>
                <w:bCs/>
                <w:color w:val="000000"/>
                <w:sz w:val="18"/>
                <w:szCs w:val="18"/>
                <w:lang w:eastAsia="en-AU"/>
              </w:rPr>
              <w:br/>
              <w:t>Data copyright © OzTAM 2022</w:t>
            </w:r>
            <w:r w:rsidRPr="0059101F">
              <w:rPr>
                <w:rFonts w:ascii="Calibri" w:eastAsia="Times New Roman" w:hAnsi="Calibri" w:cs="Calibri"/>
                <w:color w:val="000000"/>
                <w:sz w:val="18"/>
                <w:szCs w:val="18"/>
                <w:lang w:eastAsia="en-AU"/>
              </w:rPr>
              <w:br/>
              <w:t>All endeavours have been made to identify occurrences of matches and telecast arrangements on free-to-air broadcast. Any omissions from this table are not deliberate but reflect the  complexity of TV ratings information. Competitions that span two calendar years (e.g. beginning in December 2021 and ending in February 2022) have been listed under the calendar year of their completion (e.g. 2022). The size of TV audiences for international events may be affected by time zone differences for different host countries year on year.</w:t>
            </w:r>
          </w:p>
        </w:tc>
      </w:tr>
      <w:tr w:rsidR="0059101F" w:rsidRPr="000A5CB2" w14:paraId="522C4FBD" w14:textId="77777777" w:rsidTr="0059101F">
        <w:trPr>
          <w:trHeight w:val="284"/>
          <w:jc w:val="center"/>
        </w:trPr>
        <w:tc>
          <w:tcPr>
            <w:tcW w:w="1502" w:type="dxa"/>
            <w:tcBorders>
              <w:top w:val="single" w:sz="8" w:space="0" w:color="008089"/>
              <w:left w:val="single" w:sz="8" w:space="0" w:color="008089"/>
              <w:bottom w:val="single" w:sz="4" w:space="0" w:color="008089"/>
              <w:right w:val="nil"/>
            </w:tcBorders>
            <w:shd w:val="clear" w:color="000000" w:fill="E7E6E6"/>
            <w:vAlign w:val="center"/>
            <w:hideMark/>
          </w:tcPr>
          <w:p w14:paraId="26ABB9B4" w14:textId="77777777" w:rsidR="0059101F" w:rsidRPr="0059101F" w:rsidRDefault="0059101F" w:rsidP="00923025">
            <w:pPr>
              <w:suppressAutoHyphens w:val="0"/>
              <w:spacing w:before="0" w:after="0"/>
              <w:jc w:val="center"/>
              <w:rPr>
                <w:rFonts w:ascii="Calibri" w:eastAsia="Times New Roman" w:hAnsi="Calibri" w:cs="Calibri"/>
                <w:i/>
                <w:iCs/>
                <w:color w:val="auto"/>
                <w:sz w:val="18"/>
                <w:szCs w:val="18"/>
                <w:lang w:eastAsia="en-AU"/>
              </w:rPr>
            </w:pPr>
            <w:r w:rsidRPr="0059101F">
              <w:rPr>
                <w:rFonts w:ascii="Calibri" w:eastAsia="Times New Roman" w:hAnsi="Calibri" w:cs="Calibri"/>
                <w:i/>
                <w:iCs/>
                <w:color w:val="auto"/>
                <w:sz w:val="18"/>
                <w:szCs w:val="18"/>
                <w:lang w:eastAsia="en-AU"/>
              </w:rPr>
              <w:t>covid</w:t>
            </w:r>
          </w:p>
        </w:tc>
        <w:tc>
          <w:tcPr>
            <w:tcW w:w="13274" w:type="dxa"/>
            <w:tcBorders>
              <w:top w:val="single" w:sz="8" w:space="0" w:color="008089"/>
              <w:left w:val="nil"/>
              <w:bottom w:val="single" w:sz="4" w:space="0" w:color="008089"/>
              <w:right w:val="single" w:sz="8" w:space="0" w:color="008089"/>
            </w:tcBorders>
            <w:shd w:val="clear" w:color="000000" w:fill="E7E6E6"/>
            <w:noWrap/>
            <w:vAlign w:val="center"/>
            <w:hideMark/>
          </w:tcPr>
          <w:p w14:paraId="5FA4D92C" w14:textId="2D301FA4" w:rsidR="0059101F" w:rsidRPr="0059101F" w:rsidRDefault="0059101F" w:rsidP="0059101F">
            <w:pPr>
              <w:suppressAutoHyphens w:val="0"/>
              <w:spacing w:before="0" w:after="0"/>
              <w:rPr>
                <w:rFonts w:ascii="Calibri" w:eastAsia="Times New Roman" w:hAnsi="Calibri" w:cs="Calibri"/>
                <w:color w:val="000000"/>
                <w:sz w:val="18"/>
                <w:szCs w:val="18"/>
                <w:lang w:eastAsia="en-AU"/>
              </w:rPr>
            </w:pPr>
            <w:r w:rsidRPr="0059101F">
              <w:rPr>
                <w:rFonts w:ascii="Calibri" w:eastAsia="Times New Roman" w:hAnsi="Calibri" w:cs="Calibri"/>
                <w:color w:val="000000"/>
                <w:sz w:val="18"/>
                <w:szCs w:val="18"/>
                <w:lang w:eastAsia="en-AU"/>
              </w:rPr>
              <w:t>event cancelled due to COVID-19 </w:t>
            </w:r>
          </w:p>
        </w:tc>
      </w:tr>
      <w:tr w:rsidR="0059101F" w:rsidRPr="000A5CB2" w14:paraId="606CF579" w14:textId="77777777" w:rsidTr="0059101F">
        <w:trPr>
          <w:trHeight w:val="284"/>
          <w:jc w:val="center"/>
        </w:trPr>
        <w:tc>
          <w:tcPr>
            <w:tcW w:w="1502" w:type="dxa"/>
            <w:tcBorders>
              <w:top w:val="nil"/>
              <w:left w:val="single" w:sz="8" w:space="0" w:color="008089"/>
              <w:bottom w:val="single" w:sz="4" w:space="0" w:color="008089"/>
              <w:right w:val="nil"/>
            </w:tcBorders>
            <w:shd w:val="clear" w:color="000000" w:fill="E7E6E6"/>
            <w:vAlign w:val="center"/>
            <w:hideMark/>
          </w:tcPr>
          <w:p w14:paraId="08FBEEF0" w14:textId="77777777" w:rsidR="0059101F" w:rsidRPr="0059101F" w:rsidRDefault="0059101F" w:rsidP="00923025">
            <w:pPr>
              <w:suppressAutoHyphens w:val="0"/>
              <w:spacing w:before="0" w:after="0"/>
              <w:jc w:val="center"/>
              <w:rPr>
                <w:rFonts w:ascii="Calibri" w:eastAsia="Times New Roman" w:hAnsi="Calibri" w:cs="Calibri"/>
                <w:i/>
                <w:iCs/>
                <w:color w:val="auto"/>
                <w:sz w:val="18"/>
                <w:szCs w:val="18"/>
                <w:lang w:eastAsia="en-AU"/>
              </w:rPr>
            </w:pPr>
            <w:r w:rsidRPr="0059101F">
              <w:rPr>
                <w:rFonts w:ascii="Calibri" w:eastAsia="Times New Roman" w:hAnsi="Calibri" w:cs="Calibri"/>
                <w:i/>
                <w:iCs/>
                <w:color w:val="auto"/>
                <w:sz w:val="18"/>
                <w:szCs w:val="18"/>
                <w:lang w:eastAsia="en-AU"/>
              </w:rPr>
              <w:t>nda</w:t>
            </w:r>
          </w:p>
        </w:tc>
        <w:tc>
          <w:tcPr>
            <w:tcW w:w="13274" w:type="dxa"/>
            <w:tcBorders>
              <w:top w:val="single" w:sz="4" w:space="0" w:color="008089"/>
              <w:left w:val="nil"/>
              <w:bottom w:val="single" w:sz="4" w:space="0" w:color="008089"/>
              <w:right w:val="single" w:sz="8" w:space="0" w:color="008089"/>
            </w:tcBorders>
            <w:shd w:val="clear" w:color="000000" w:fill="E7E6E6"/>
            <w:noWrap/>
            <w:vAlign w:val="center"/>
            <w:hideMark/>
          </w:tcPr>
          <w:p w14:paraId="332D0030" w14:textId="616BF737" w:rsidR="0059101F" w:rsidRPr="0059101F" w:rsidRDefault="0059101F" w:rsidP="0059101F">
            <w:pPr>
              <w:suppressAutoHyphens w:val="0"/>
              <w:spacing w:before="0" w:after="0"/>
              <w:rPr>
                <w:rFonts w:ascii="Calibri" w:eastAsia="Times New Roman" w:hAnsi="Calibri" w:cs="Calibri"/>
                <w:color w:val="000000"/>
                <w:sz w:val="18"/>
                <w:szCs w:val="18"/>
                <w:lang w:eastAsia="en-AU"/>
              </w:rPr>
            </w:pPr>
            <w:r w:rsidRPr="0059101F">
              <w:rPr>
                <w:rFonts w:ascii="Calibri" w:eastAsia="Times New Roman" w:hAnsi="Calibri" w:cs="Calibri"/>
                <w:color w:val="000000"/>
                <w:sz w:val="18"/>
                <w:szCs w:val="18"/>
                <w:lang w:eastAsia="en-AU"/>
              </w:rPr>
              <w:t>data not sourced for this table, or occurrences of the event were unable to be identified </w:t>
            </w:r>
          </w:p>
        </w:tc>
      </w:tr>
      <w:tr w:rsidR="0059101F" w:rsidRPr="000A5CB2" w14:paraId="3A173736" w14:textId="77777777" w:rsidTr="0059101F">
        <w:trPr>
          <w:trHeight w:val="284"/>
          <w:jc w:val="center"/>
        </w:trPr>
        <w:tc>
          <w:tcPr>
            <w:tcW w:w="1502" w:type="dxa"/>
            <w:tcBorders>
              <w:top w:val="nil"/>
              <w:left w:val="single" w:sz="8" w:space="0" w:color="008089"/>
              <w:bottom w:val="single" w:sz="4" w:space="0" w:color="008089"/>
              <w:right w:val="nil"/>
            </w:tcBorders>
            <w:shd w:val="clear" w:color="000000" w:fill="E7E6E6"/>
            <w:vAlign w:val="center"/>
            <w:hideMark/>
          </w:tcPr>
          <w:p w14:paraId="4F11FA19" w14:textId="77777777" w:rsidR="0059101F" w:rsidRPr="0059101F" w:rsidRDefault="0059101F" w:rsidP="00923025">
            <w:pPr>
              <w:suppressAutoHyphens w:val="0"/>
              <w:spacing w:before="0" w:after="0"/>
              <w:jc w:val="center"/>
              <w:rPr>
                <w:rFonts w:ascii="Calibri" w:eastAsia="Times New Roman" w:hAnsi="Calibri" w:cs="Calibri"/>
                <w:i/>
                <w:iCs/>
                <w:color w:val="auto"/>
                <w:sz w:val="18"/>
                <w:szCs w:val="18"/>
                <w:lang w:eastAsia="en-AU"/>
              </w:rPr>
            </w:pPr>
            <w:r w:rsidRPr="0059101F">
              <w:rPr>
                <w:rFonts w:ascii="Calibri" w:eastAsia="Times New Roman" w:hAnsi="Calibri" w:cs="Calibri"/>
                <w:i/>
                <w:iCs/>
                <w:color w:val="auto"/>
                <w:sz w:val="18"/>
                <w:szCs w:val="18"/>
                <w:lang w:eastAsia="en-AU"/>
              </w:rPr>
              <w:t>nfta</w:t>
            </w:r>
          </w:p>
        </w:tc>
        <w:tc>
          <w:tcPr>
            <w:tcW w:w="13274" w:type="dxa"/>
            <w:tcBorders>
              <w:top w:val="nil"/>
              <w:left w:val="nil"/>
              <w:bottom w:val="single" w:sz="4" w:space="0" w:color="008089"/>
              <w:right w:val="single" w:sz="8" w:space="0" w:color="008089"/>
            </w:tcBorders>
            <w:shd w:val="clear" w:color="000000" w:fill="E7E6E6"/>
            <w:noWrap/>
            <w:vAlign w:val="center"/>
            <w:hideMark/>
          </w:tcPr>
          <w:p w14:paraId="12F0C737" w14:textId="5C355403" w:rsidR="0059101F" w:rsidRPr="0059101F" w:rsidRDefault="0059101F" w:rsidP="0059101F">
            <w:pPr>
              <w:suppressAutoHyphens w:val="0"/>
              <w:spacing w:before="0" w:after="0"/>
              <w:rPr>
                <w:rFonts w:ascii="Calibri" w:eastAsia="Times New Roman" w:hAnsi="Calibri" w:cs="Calibri"/>
                <w:color w:val="000000"/>
                <w:sz w:val="18"/>
                <w:szCs w:val="18"/>
                <w:lang w:eastAsia="en-AU"/>
              </w:rPr>
            </w:pPr>
            <w:r w:rsidRPr="0059101F">
              <w:rPr>
                <w:rFonts w:ascii="Calibri" w:eastAsia="Times New Roman" w:hAnsi="Calibri" w:cs="Calibri"/>
                <w:color w:val="000000"/>
                <w:sz w:val="18"/>
                <w:szCs w:val="18"/>
                <w:lang w:eastAsia="en-AU"/>
              </w:rPr>
              <w:t>event not broadcast on free-to-air television </w:t>
            </w:r>
          </w:p>
        </w:tc>
      </w:tr>
      <w:tr w:rsidR="0059101F" w:rsidRPr="000A5CB2" w14:paraId="38C36000" w14:textId="77777777" w:rsidTr="0059101F">
        <w:trPr>
          <w:trHeight w:val="284"/>
          <w:jc w:val="center"/>
        </w:trPr>
        <w:tc>
          <w:tcPr>
            <w:tcW w:w="1502" w:type="dxa"/>
            <w:tcBorders>
              <w:top w:val="nil"/>
              <w:left w:val="single" w:sz="8" w:space="0" w:color="008089"/>
              <w:bottom w:val="single" w:sz="4" w:space="0" w:color="008089"/>
              <w:right w:val="nil"/>
            </w:tcBorders>
            <w:shd w:val="clear" w:color="000000" w:fill="E7E6E6"/>
            <w:vAlign w:val="center"/>
            <w:hideMark/>
          </w:tcPr>
          <w:p w14:paraId="27ADEF3B" w14:textId="77777777" w:rsidR="0059101F" w:rsidRPr="0059101F" w:rsidRDefault="0059101F" w:rsidP="00923025">
            <w:pPr>
              <w:suppressAutoHyphens w:val="0"/>
              <w:spacing w:before="0" w:after="0"/>
              <w:jc w:val="center"/>
              <w:rPr>
                <w:rFonts w:ascii="Calibri" w:eastAsia="Times New Roman" w:hAnsi="Calibri" w:cs="Calibri"/>
                <w:i/>
                <w:iCs/>
                <w:color w:val="auto"/>
                <w:sz w:val="18"/>
                <w:szCs w:val="18"/>
                <w:lang w:eastAsia="en-AU"/>
              </w:rPr>
            </w:pPr>
            <w:r w:rsidRPr="0059101F">
              <w:rPr>
                <w:rFonts w:ascii="Calibri" w:eastAsia="Times New Roman" w:hAnsi="Calibri" w:cs="Calibri"/>
                <w:i/>
                <w:iCs/>
                <w:color w:val="auto"/>
                <w:sz w:val="18"/>
                <w:szCs w:val="18"/>
                <w:lang w:eastAsia="en-AU"/>
              </w:rPr>
              <w:lastRenderedPageBreak/>
              <w:t>enc</w:t>
            </w:r>
          </w:p>
        </w:tc>
        <w:tc>
          <w:tcPr>
            <w:tcW w:w="13274" w:type="dxa"/>
            <w:tcBorders>
              <w:top w:val="nil"/>
              <w:left w:val="nil"/>
              <w:bottom w:val="single" w:sz="4" w:space="0" w:color="008089"/>
              <w:right w:val="single" w:sz="8" w:space="0" w:color="008089"/>
            </w:tcBorders>
            <w:shd w:val="clear" w:color="000000" w:fill="E7E6E6"/>
            <w:noWrap/>
            <w:vAlign w:val="center"/>
            <w:hideMark/>
          </w:tcPr>
          <w:p w14:paraId="6D50330D" w14:textId="3BF300E5" w:rsidR="0059101F" w:rsidRPr="0059101F" w:rsidRDefault="0059101F" w:rsidP="0059101F">
            <w:pPr>
              <w:suppressAutoHyphens w:val="0"/>
              <w:spacing w:before="0" w:after="0"/>
              <w:rPr>
                <w:rFonts w:ascii="Calibri" w:eastAsia="Times New Roman" w:hAnsi="Calibri" w:cs="Calibri"/>
                <w:color w:val="000000"/>
                <w:sz w:val="18"/>
                <w:szCs w:val="18"/>
                <w:lang w:eastAsia="en-AU"/>
              </w:rPr>
            </w:pPr>
            <w:r w:rsidRPr="0059101F">
              <w:rPr>
                <w:rFonts w:ascii="Calibri" w:eastAsia="Times New Roman" w:hAnsi="Calibri" w:cs="Calibri"/>
                <w:color w:val="000000"/>
                <w:sz w:val="18"/>
                <w:szCs w:val="18"/>
                <w:lang w:eastAsia="en-AU"/>
              </w:rPr>
              <w:t>event or competition was not complete at the time of publication </w:t>
            </w:r>
          </w:p>
        </w:tc>
      </w:tr>
      <w:tr w:rsidR="0059101F" w:rsidRPr="000A5CB2" w14:paraId="3F682CE8" w14:textId="77777777" w:rsidTr="0059101F">
        <w:trPr>
          <w:trHeight w:val="284"/>
          <w:jc w:val="center"/>
        </w:trPr>
        <w:tc>
          <w:tcPr>
            <w:tcW w:w="1502" w:type="dxa"/>
            <w:tcBorders>
              <w:top w:val="nil"/>
              <w:left w:val="single" w:sz="8" w:space="0" w:color="008089"/>
              <w:bottom w:val="single" w:sz="4" w:space="0" w:color="008089"/>
              <w:right w:val="nil"/>
            </w:tcBorders>
            <w:shd w:val="clear" w:color="000000" w:fill="E7E6E6"/>
            <w:vAlign w:val="center"/>
            <w:hideMark/>
          </w:tcPr>
          <w:p w14:paraId="3A46B798" w14:textId="77777777" w:rsidR="0059101F" w:rsidRPr="0059101F" w:rsidRDefault="0059101F" w:rsidP="00923025">
            <w:pPr>
              <w:suppressAutoHyphens w:val="0"/>
              <w:spacing w:before="0" w:after="0"/>
              <w:jc w:val="center"/>
              <w:rPr>
                <w:rFonts w:ascii="Calibri" w:eastAsia="Times New Roman" w:hAnsi="Calibri" w:cs="Calibri"/>
                <w:i/>
                <w:iCs/>
                <w:color w:val="auto"/>
                <w:sz w:val="18"/>
                <w:szCs w:val="18"/>
                <w:lang w:eastAsia="en-AU"/>
              </w:rPr>
            </w:pPr>
            <w:r w:rsidRPr="0059101F">
              <w:rPr>
                <w:rFonts w:ascii="Calibri" w:eastAsia="Times New Roman" w:hAnsi="Calibri" w:cs="Calibri"/>
                <w:i/>
                <w:iCs/>
                <w:color w:val="auto"/>
                <w:sz w:val="18"/>
                <w:szCs w:val="18"/>
                <w:lang w:eastAsia="en-AU"/>
              </w:rPr>
              <w:t>nh</w:t>
            </w:r>
          </w:p>
        </w:tc>
        <w:tc>
          <w:tcPr>
            <w:tcW w:w="13274" w:type="dxa"/>
            <w:tcBorders>
              <w:top w:val="nil"/>
              <w:left w:val="nil"/>
              <w:bottom w:val="single" w:sz="4" w:space="0" w:color="008089"/>
              <w:right w:val="single" w:sz="8" w:space="0" w:color="008089"/>
            </w:tcBorders>
            <w:shd w:val="clear" w:color="000000" w:fill="E7E6E6"/>
            <w:noWrap/>
            <w:vAlign w:val="center"/>
            <w:hideMark/>
          </w:tcPr>
          <w:p w14:paraId="56B02AD6" w14:textId="3BA72074" w:rsidR="0059101F" w:rsidRPr="0059101F" w:rsidRDefault="0059101F" w:rsidP="0059101F">
            <w:pPr>
              <w:suppressAutoHyphens w:val="0"/>
              <w:spacing w:before="0" w:after="0"/>
              <w:rPr>
                <w:rFonts w:ascii="Calibri" w:eastAsia="Times New Roman" w:hAnsi="Calibri" w:cs="Calibri"/>
                <w:color w:val="000000"/>
                <w:sz w:val="18"/>
                <w:szCs w:val="18"/>
                <w:lang w:eastAsia="en-AU"/>
              </w:rPr>
            </w:pPr>
            <w:r w:rsidRPr="0059101F">
              <w:rPr>
                <w:rFonts w:ascii="Calibri" w:eastAsia="Times New Roman" w:hAnsi="Calibri" w:cs="Calibri"/>
                <w:color w:val="000000"/>
                <w:sz w:val="18"/>
                <w:szCs w:val="18"/>
                <w:lang w:eastAsia="en-AU"/>
              </w:rPr>
              <w:t>event not held  </w:t>
            </w:r>
          </w:p>
        </w:tc>
      </w:tr>
      <w:tr w:rsidR="0059101F" w:rsidRPr="000A5CB2" w14:paraId="541ABDA7" w14:textId="77777777" w:rsidTr="0059101F">
        <w:trPr>
          <w:trHeight w:val="284"/>
          <w:jc w:val="center"/>
        </w:trPr>
        <w:tc>
          <w:tcPr>
            <w:tcW w:w="1502" w:type="dxa"/>
            <w:tcBorders>
              <w:top w:val="nil"/>
              <w:left w:val="single" w:sz="8" w:space="0" w:color="008089"/>
              <w:bottom w:val="nil"/>
              <w:right w:val="nil"/>
            </w:tcBorders>
            <w:shd w:val="clear" w:color="000000" w:fill="E7E6E6"/>
            <w:vAlign w:val="center"/>
            <w:hideMark/>
          </w:tcPr>
          <w:p w14:paraId="1A8F9FF8" w14:textId="77777777" w:rsidR="0059101F" w:rsidRPr="0059101F" w:rsidRDefault="0059101F" w:rsidP="00923025">
            <w:pPr>
              <w:suppressAutoHyphens w:val="0"/>
              <w:spacing w:before="0" w:after="0"/>
              <w:jc w:val="center"/>
              <w:rPr>
                <w:rFonts w:ascii="Wingdings" w:eastAsia="Times New Roman" w:hAnsi="Wingdings" w:cs="Calibri"/>
                <w:color w:val="auto"/>
                <w:sz w:val="18"/>
                <w:szCs w:val="18"/>
                <w:lang w:eastAsia="en-AU"/>
              </w:rPr>
            </w:pPr>
            <w:r w:rsidRPr="0059101F">
              <w:rPr>
                <w:rFonts w:ascii="Wingdings" w:eastAsia="Times New Roman" w:hAnsi="Wingdings" w:cs="Calibri"/>
                <w:color w:val="auto"/>
                <w:sz w:val="18"/>
                <w:szCs w:val="18"/>
                <w:lang w:eastAsia="en-AU"/>
              </w:rPr>
              <w:t></w:t>
            </w:r>
          </w:p>
        </w:tc>
        <w:tc>
          <w:tcPr>
            <w:tcW w:w="13274" w:type="dxa"/>
            <w:tcBorders>
              <w:top w:val="nil"/>
              <w:left w:val="nil"/>
              <w:bottom w:val="nil"/>
              <w:right w:val="single" w:sz="8" w:space="0" w:color="008089"/>
            </w:tcBorders>
            <w:shd w:val="clear" w:color="000000" w:fill="E7E6E6"/>
            <w:noWrap/>
            <w:vAlign w:val="center"/>
            <w:hideMark/>
          </w:tcPr>
          <w:p w14:paraId="2DE20D08" w14:textId="6BC9C446" w:rsidR="0059101F" w:rsidRPr="0059101F" w:rsidRDefault="0059101F" w:rsidP="0059101F">
            <w:pPr>
              <w:suppressAutoHyphens w:val="0"/>
              <w:spacing w:before="0" w:after="0"/>
              <w:rPr>
                <w:rFonts w:ascii="Calibri" w:eastAsia="Times New Roman" w:hAnsi="Calibri" w:cs="Calibri"/>
                <w:color w:val="000000"/>
                <w:sz w:val="18"/>
                <w:szCs w:val="18"/>
                <w:lang w:eastAsia="en-AU"/>
              </w:rPr>
            </w:pPr>
            <w:r w:rsidRPr="0059101F">
              <w:rPr>
                <w:rFonts w:ascii="Calibri" w:eastAsia="Times New Roman" w:hAnsi="Calibri" w:cs="Calibri"/>
                <w:color w:val="000000"/>
                <w:sz w:val="18"/>
                <w:szCs w:val="18"/>
                <w:lang w:eastAsia="en-AU"/>
              </w:rPr>
              <w:t>event delayed until the following year </w:t>
            </w:r>
          </w:p>
        </w:tc>
      </w:tr>
      <w:tr w:rsidR="0059101F" w:rsidRPr="00401088" w14:paraId="61A426A5" w14:textId="77777777" w:rsidTr="00923025">
        <w:trPr>
          <w:trHeight w:val="300"/>
          <w:jc w:val="center"/>
        </w:trPr>
        <w:tc>
          <w:tcPr>
            <w:tcW w:w="14776" w:type="dxa"/>
            <w:gridSpan w:val="2"/>
            <w:tcBorders>
              <w:top w:val="single" w:sz="8" w:space="0" w:color="008089"/>
              <w:left w:val="single" w:sz="8" w:space="0" w:color="008089"/>
              <w:bottom w:val="single" w:sz="8" w:space="0" w:color="008089"/>
              <w:right w:val="single" w:sz="8" w:space="0" w:color="008089"/>
            </w:tcBorders>
            <w:shd w:val="clear" w:color="000000" w:fill="081E3E"/>
            <w:vAlign w:val="center"/>
            <w:hideMark/>
          </w:tcPr>
          <w:p w14:paraId="20EA9007" w14:textId="77777777" w:rsidR="0059101F" w:rsidRPr="00401088" w:rsidRDefault="0059101F" w:rsidP="00923025">
            <w:pPr>
              <w:suppressAutoHyphens w:val="0"/>
              <w:spacing w:before="0" w:after="0"/>
              <w:rPr>
                <w:rFonts w:ascii="Calibri" w:eastAsia="Times New Roman" w:hAnsi="Calibri" w:cs="Calibri"/>
                <w:b/>
                <w:bCs/>
                <w:color w:val="FFFFFF"/>
                <w:lang w:eastAsia="en-AU"/>
              </w:rPr>
            </w:pPr>
            <w:r w:rsidRPr="00401088">
              <w:rPr>
                <w:rFonts w:ascii="Calibri" w:eastAsia="Times New Roman" w:hAnsi="Calibri" w:cs="Calibri"/>
                <w:b/>
                <w:bCs/>
                <w:color w:val="FFFFFF"/>
                <w:lang w:eastAsia="en-AU"/>
              </w:rPr>
              <w:t>SPECIFIC NOTES</w:t>
            </w:r>
          </w:p>
        </w:tc>
      </w:tr>
      <w:tr w:rsidR="0059101F" w:rsidRPr="000A5CB2" w14:paraId="3F0B1102" w14:textId="77777777" w:rsidTr="0059101F">
        <w:trPr>
          <w:trHeight w:val="290"/>
          <w:jc w:val="center"/>
        </w:trPr>
        <w:tc>
          <w:tcPr>
            <w:tcW w:w="1502" w:type="dxa"/>
            <w:tcBorders>
              <w:top w:val="nil"/>
              <w:left w:val="single" w:sz="8" w:space="0" w:color="008089"/>
              <w:bottom w:val="single" w:sz="4" w:space="0" w:color="008089"/>
              <w:right w:val="nil"/>
            </w:tcBorders>
            <w:shd w:val="clear" w:color="000000" w:fill="E7E6E6"/>
            <w:vAlign w:val="center"/>
            <w:hideMark/>
          </w:tcPr>
          <w:p w14:paraId="716B7A6E" w14:textId="77777777" w:rsidR="0059101F" w:rsidRPr="0059101F" w:rsidRDefault="0059101F" w:rsidP="00923025">
            <w:pPr>
              <w:suppressAutoHyphens w:val="0"/>
              <w:spacing w:before="0" w:after="0"/>
              <w:jc w:val="center"/>
              <w:rPr>
                <w:rFonts w:ascii="Calibri" w:eastAsia="Times New Roman" w:hAnsi="Calibri" w:cs="Calibri"/>
                <w:color w:val="auto"/>
                <w:sz w:val="18"/>
                <w:szCs w:val="18"/>
                <w:lang w:eastAsia="en-AU"/>
              </w:rPr>
            </w:pPr>
            <w:r w:rsidRPr="0059101F">
              <w:rPr>
                <w:rFonts w:ascii="Calibri" w:eastAsia="Times New Roman" w:hAnsi="Calibri" w:cs="Calibri"/>
                <w:color w:val="auto"/>
                <w:sz w:val="18"/>
                <w:szCs w:val="18"/>
                <w:lang w:eastAsia="en-AU"/>
              </w:rPr>
              <w:t>1</w:t>
            </w:r>
          </w:p>
        </w:tc>
        <w:tc>
          <w:tcPr>
            <w:tcW w:w="13274" w:type="dxa"/>
            <w:tcBorders>
              <w:top w:val="single" w:sz="4" w:space="0" w:color="008089"/>
              <w:left w:val="nil"/>
              <w:bottom w:val="single" w:sz="4" w:space="0" w:color="008089"/>
              <w:right w:val="single" w:sz="8" w:space="0" w:color="008089"/>
            </w:tcBorders>
            <w:shd w:val="clear" w:color="000000" w:fill="E7E6E6"/>
            <w:noWrap/>
            <w:vAlign w:val="center"/>
            <w:hideMark/>
          </w:tcPr>
          <w:p w14:paraId="4344BCC8" w14:textId="6ED1F200" w:rsidR="0059101F" w:rsidRPr="0059101F" w:rsidRDefault="0059101F" w:rsidP="00923025">
            <w:pPr>
              <w:suppressAutoHyphens w:val="0"/>
              <w:spacing w:before="0" w:after="0"/>
              <w:rPr>
                <w:rFonts w:ascii="Calibri" w:eastAsia="Times New Roman" w:hAnsi="Calibri" w:cs="Calibri"/>
                <w:color w:val="000000"/>
                <w:sz w:val="18"/>
                <w:szCs w:val="18"/>
                <w:lang w:eastAsia="en-AU"/>
              </w:rPr>
            </w:pPr>
            <w:r w:rsidRPr="0059101F">
              <w:rPr>
                <w:rFonts w:ascii="Calibri" w:eastAsia="Times New Roman" w:hAnsi="Calibri" w:cs="Calibri"/>
                <w:color w:val="000000"/>
                <w:sz w:val="18"/>
                <w:szCs w:val="18"/>
                <w:lang w:eastAsia="en-AU"/>
              </w:rPr>
              <w:t>AFLW Premiership average reflects the average audience for all games played in a single timeslot that had the most games played in that year. </w:t>
            </w:r>
          </w:p>
        </w:tc>
      </w:tr>
      <w:tr w:rsidR="0059101F" w:rsidRPr="000A5CB2" w14:paraId="063CA796" w14:textId="77777777" w:rsidTr="0059101F">
        <w:trPr>
          <w:trHeight w:val="290"/>
          <w:jc w:val="center"/>
        </w:trPr>
        <w:tc>
          <w:tcPr>
            <w:tcW w:w="1502" w:type="dxa"/>
            <w:tcBorders>
              <w:top w:val="nil"/>
              <w:left w:val="single" w:sz="8" w:space="0" w:color="008089"/>
              <w:bottom w:val="single" w:sz="4" w:space="0" w:color="008089"/>
              <w:right w:val="nil"/>
            </w:tcBorders>
            <w:shd w:val="clear" w:color="000000" w:fill="E7E6E6"/>
            <w:vAlign w:val="center"/>
            <w:hideMark/>
          </w:tcPr>
          <w:p w14:paraId="26985717" w14:textId="77777777" w:rsidR="0059101F" w:rsidRPr="0059101F" w:rsidRDefault="0059101F" w:rsidP="00923025">
            <w:pPr>
              <w:suppressAutoHyphens w:val="0"/>
              <w:spacing w:before="0" w:after="0"/>
              <w:jc w:val="center"/>
              <w:rPr>
                <w:rFonts w:ascii="Calibri" w:eastAsia="Times New Roman" w:hAnsi="Calibri" w:cs="Calibri"/>
                <w:color w:val="auto"/>
                <w:sz w:val="18"/>
                <w:szCs w:val="18"/>
                <w:lang w:eastAsia="en-AU"/>
              </w:rPr>
            </w:pPr>
            <w:r w:rsidRPr="0059101F">
              <w:rPr>
                <w:rFonts w:ascii="Calibri" w:eastAsia="Times New Roman" w:hAnsi="Calibri" w:cs="Calibri"/>
                <w:color w:val="auto"/>
                <w:sz w:val="18"/>
                <w:szCs w:val="18"/>
                <w:lang w:eastAsia="en-AU"/>
              </w:rPr>
              <w:t>2</w:t>
            </w:r>
          </w:p>
        </w:tc>
        <w:tc>
          <w:tcPr>
            <w:tcW w:w="13274" w:type="dxa"/>
            <w:tcBorders>
              <w:top w:val="nil"/>
              <w:left w:val="nil"/>
              <w:bottom w:val="single" w:sz="4" w:space="0" w:color="008089"/>
              <w:right w:val="single" w:sz="8" w:space="0" w:color="008089"/>
            </w:tcBorders>
            <w:shd w:val="clear" w:color="000000" w:fill="E7E6E6"/>
            <w:noWrap/>
            <w:vAlign w:val="center"/>
            <w:hideMark/>
          </w:tcPr>
          <w:p w14:paraId="3D51CD45" w14:textId="77777777" w:rsidR="0059101F" w:rsidRPr="0059101F" w:rsidRDefault="0059101F" w:rsidP="00923025">
            <w:pPr>
              <w:suppressAutoHyphens w:val="0"/>
              <w:spacing w:before="0" w:after="0"/>
              <w:rPr>
                <w:rFonts w:ascii="Calibri" w:eastAsia="Times New Roman" w:hAnsi="Calibri" w:cs="Calibri"/>
                <w:color w:val="000000"/>
                <w:sz w:val="18"/>
                <w:szCs w:val="18"/>
                <w:lang w:eastAsia="en-AU"/>
              </w:rPr>
            </w:pPr>
            <w:r w:rsidRPr="0059101F">
              <w:rPr>
                <w:rFonts w:ascii="Calibri" w:eastAsia="Times New Roman" w:hAnsi="Calibri" w:cs="Calibri"/>
                <w:color w:val="000000"/>
                <w:sz w:val="18"/>
                <w:szCs w:val="18"/>
                <w:lang w:eastAsia="en-AU"/>
              </w:rPr>
              <w:t>The 2021 NRLW premiership was held in 2022. </w:t>
            </w:r>
          </w:p>
        </w:tc>
      </w:tr>
      <w:tr w:rsidR="0059101F" w:rsidRPr="000A5CB2" w14:paraId="5E1416D8" w14:textId="77777777" w:rsidTr="0059101F">
        <w:trPr>
          <w:trHeight w:val="290"/>
          <w:jc w:val="center"/>
        </w:trPr>
        <w:tc>
          <w:tcPr>
            <w:tcW w:w="1502" w:type="dxa"/>
            <w:tcBorders>
              <w:top w:val="nil"/>
              <w:left w:val="single" w:sz="8" w:space="0" w:color="008089"/>
              <w:bottom w:val="single" w:sz="4" w:space="0" w:color="008089"/>
              <w:right w:val="nil"/>
            </w:tcBorders>
            <w:shd w:val="clear" w:color="000000" w:fill="E7E6E6"/>
            <w:vAlign w:val="center"/>
            <w:hideMark/>
          </w:tcPr>
          <w:p w14:paraId="5FF5DEF6" w14:textId="77777777" w:rsidR="0059101F" w:rsidRPr="0059101F" w:rsidRDefault="0059101F" w:rsidP="00923025">
            <w:pPr>
              <w:suppressAutoHyphens w:val="0"/>
              <w:spacing w:before="0" w:after="0"/>
              <w:jc w:val="center"/>
              <w:rPr>
                <w:rFonts w:ascii="Calibri" w:eastAsia="Times New Roman" w:hAnsi="Calibri" w:cs="Calibri"/>
                <w:color w:val="auto"/>
                <w:sz w:val="18"/>
                <w:szCs w:val="18"/>
                <w:lang w:eastAsia="en-AU"/>
              </w:rPr>
            </w:pPr>
            <w:r w:rsidRPr="0059101F">
              <w:rPr>
                <w:rFonts w:ascii="Calibri" w:eastAsia="Times New Roman" w:hAnsi="Calibri" w:cs="Calibri"/>
                <w:color w:val="auto"/>
                <w:sz w:val="18"/>
                <w:szCs w:val="18"/>
                <w:lang w:eastAsia="en-AU"/>
              </w:rPr>
              <w:t>3</w:t>
            </w:r>
          </w:p>
        </w:tc>
        <w:tc>
          <w:tcPr>
            <w:tcW w:w="13274" w:type="dxa"/>
            <w:tcBorders>
              <w:top w:val="single" w:sz="4" w:space="0" w:color="008089"/>
              <w:left w:val="nil"/>
              <w:bottom w:val="single" w:sz="4" w:space="0" w:color="008089"/>
              <w:right w:val="single" w:sz="8" w:space="0" w:color="008089"/>
            </w:tcBorders>
            <w:shd w:val="clear" w:color="000000" w:fill="E7E6E6"/>
            <w:noWrap/>
            <w:vAlign w:val="center"/>
            <w:hideMark/>
          </w:tcPr>
          <w:p w14:paraId="7677696B" w14:textId="77777777" w:rsidR="0059101F" w:rsidRPr="0059101F" w:rsidRDefault="0059101F" w:rsidP="00923025">
            <w:pPr>
              <w:suppressAutoHyphens w:val="0"/>
              <w:spacing w:before="0" w:after="0"/>
              <w:rPr>
                <w:rFonts w:ascii="Calibri" w:eastAsia="Times New Roman" w:hAnsi="Calibri" w:cs="Calibri"/>
                <w:color w:val="000000"/>
                <w:sz w:val="18"/>
                <w:szCs w:val="18"/>
                <w:lang w:eastAsia="en-AU"/>
              </w:rPr>
            </w:pPr>
            <w:r w:rsidRPr="0059101F">
              <w:rPr>
                <w:rFonts w:ascii="Calibri" w:eastAsia="Times New Roman" w:hAnsi="Calibri" w:cs="Calibri"/>
                <w:color w:val="000000"/>
                <w:sz w:val="18"/>
                <w:szCs w:val="18"/>
                <w:lang w:eastAsia="en-AU"/>
              </w:rPr>
              <w:t>Rugby League international test matches do not include Four Nations tournament. </w:t>
            </w:r>
          </w:p>
        </w:tc>
      </w:tr>
      <w:tr w:rsidR="0059101F" w:rsidRPr="000A5CB2" w14:paraId="3E174501" w14:textId="77777777" w:rsidTr="0059101F">
        <w:trPr>
          <w:trHeight w:val="419"/>
          <w:jc w:val="center"/>
        </w:trPr>
        <w:tc>
          <w:tcPr>
            <w:tcW w:w="1502" w:type="dxa"/>
            <w:tcBorders>
              <w:top w:val="nil"/>
              <w:left w:val="single" w:sz="8" w:space="0" w:color="008089"/>
              <w:bottom w:val="single" w:sz="4" w:space="0" w:color="008089"/>
              <w:right w:val="nil"/>
            </w:tcBorders>
            <w:shd w:val="clear" w:color="000000" w:fill="E7E6E6"/>
            <w:vAlign w:val="center"/>
            <w:hideMark/>
          </w:tcPr>
          <w:p w14:paraId="43BD48BD" w14:textId="77777777" w:rsidR="0059101F" w:rsidRPr="0059101F" w:rsidRDefault="0059101F" w:rsidP="00923025">
            <w:pPr>
              <w:suppressAutoHyphens w:val="0"/>
              <w:spacing w:before="0" w:after="0"/>
              <w:jc w:val="center"/>
              <w:rPr>
                <w:rFonts w:ascii="Calibri" w:eastAsia="Times New Roman" w:hAnsi="Calibri" w:cs="Calibri"/>
                <w:color w:val="auto"/>
                <w:sz w:val="18"/>
                <w:szCs w:val="18"/>
                <w:lang w:eastAsia="en-AU"/>
              </w:rPr>
            </w:pPr>
            <w:r w:rsidRPr="0059101F">
              <w:rPr>
                <w:rFonts w:ascii="Calibri" w:eastAsia="Times New Roman" w:hAnsi="Calibri" w:cs="Calibri"/>
                <w:color w:val="auto"/>
                <w:sz w:val="18"/>
                <w:szCs w:val="18"/>
                <w:lang w:eastAsia="en-AU"/>
              </w:rPr>
              <w:t>4</w:t>
            </w:r>
          </w:p>
        </w:tc>
        <w:tc>
          <w:tcPr>
            <w:tcW w:w="13274" w:type="dxa"/>
            <w:tcBorders>
              <w:top w:val="single" w:sz="4" w:space="0" w:color="008089"/>
              <w:left w:val="nil"/>
              <w:bottom w:val="single" w:sz="4" w:space="0" w:color="008089"/>
              <w:right w:val="single" w:sz="8" w:space="0" w:color="008089"/>
            </w:tcBorders>
            <w:shd w:val="clear" w:color="000000" w:fill="E7E6E6"/>
            <w:vAlign w:val="center"/>
            <w:hideMark/>
          </w:tcPr>
          <w:p w14:paraId="4F9C668E" w14:textId="77777777" w:rsidR="0059101F" w:rsidRPr="0059101F" w:rsidRDefault="0059101F" w:rsidP="00923025">
            <w:pPr>
              <w:suppressAutoHyphens w:val="0"/>
              <w:spacing w:before="0" w:after="0"/>
              <w:rPr>
                <w:rFonts w:ascii="Calibri" w:eastAsia="Times New Roman" w:hAnsi="Calibri" w:cs="Calibri"/>
                <w:color w:val="000000"/>
                <w:sz w:val="18"/>
                <w:szCs w:val="18"/>
                <w:lang w:eastAsia="en-AU"/>
              </w:rPr>
            </w:pPr>
            <w:r w:rsidRPr="0059101F">
              <w:rPr>
                <w:rFonts w:ascii="Calibri" w:eastAsia="Times New Roman" w:hAnsi="Calibri" w:cs="Calibri"/>
                <w:color w:val="000000"/>
                <w:sz w:val="18"/>
                <w:szCs w:val="18"/>
                <w:lang w:eastAsia="en-AU"/>
              </w:rPr>
              <w:t>In 2018-2019 international cricket test matches were broadcast on both Nine and Seven networks. The average in this table reflects the network with the highest average audience for each year.</w:t>
            </w:r>
          </w:p>
        </w:tc>
      </w:tr>
      <w:tr w:rsidR="0059101F" w:rsidRPr="000A5CB2" w14:paraId="125F8B21" w14:textId="77777777" w:rsidTr="0059101F">
        <w:trPr>
          <w:trHeight w:val="284"/>
          <w:jc w:val="center"/>
        </w:trPr>
        <w:tc>
          <w:tcPr>
            <w:tcW w:w="1502" w:type="dxa"/>
            <w:tcBorders>
              <w:top w:val="nil"/>
              <w:left w:val="single" w:sz="8" w:space="0" w:color="008089"/>
              <w:bottom w:val="single" w:sz="4" w:space="0" w:color="008089"/>
              <w:right w:val="nil"/>
            </w:tcBorders>
            <w:shd w:val="clear" w:color="000000" w:fill="E7E6E6"/>
            <w:vAlign w:val="center"/>
            <w:hideMark/>
          </w:tcPr>
          <w:p w14:paraId="1DBF1507" w14:textId="77777777" w:rsidR="0059101F" w:rsidRPr="0059101F" w:rsidRDefault="0059101F" w:rsidP="00923025">
            <w:pPr>
              <w:suppressAutoHyphens w:val="0"/>
              <w:spacing w:before="0" w:after="0"/>
              <w:jc w:val="center"/>
              <w:rPr>
                <w:rFonts w:ascii="Calibri" w:eastAsia="Times New Roman" w:hAnsi="Calibri" w:cs="Calibri"/>
                <w:color w:val="auto"/>
                <w:sz w:val="18"/>
                <w:szCs w:val="18"/>
                <w:lang w:eastAsia="en-AU"/>
              </w:rPr>
            </w:pPr>
            <w:r w:rsidRPr="0059101F">
              <w:rPr>
                <w:rFonts w:ascii="Calibri" w:eastAsia="Times New Roman" w:hAnsi="Calibri" w:cs="Calibri"/>
                <w:color w:val="auto"/>
                <w:sz w:val="18"/>
                <w:szCs w:val="18"/>
                <w:lang w:eastAsia="en-AU"/>
              </w:rPr>
              <w:t>5</w:t>
            </w:r>
          </w:p>
        </w:tc>
        <w:tc>
          <w:tcPr>
            <w:tcW w:w="13274" w:type="dxa"/>
            <w:tcBorders>
              <w:top w:val="single" w:sz="4" w:space="0" w:color="008089"/>
              <w:left w:val="nil"/>
              <w:bottom w:val="single" w:sz="4" w:space="0" w:color="008089"/>
              <w:right w:val="single" w:sz="8" w:space="0" w:color="008089"/>
            </w:tcBorders>
            <w:shd w:val="clear" w:color="000000" w:fill="E7E6E6"/>
            <w:noWrap/>
            <w:vAlign w:val="center"/>
            <w:hideMark/>
          </w:tcPr>
          <w:p w14:paraId="469662F7" w14:textId="77777777" w:rsidR="0059101F" w:rsidRPr="0059101F" w:rsidRDefault="0059101F" w:rsidP="00923025">
            <w:pPr>
              <w:suppressAutoHyphens w:val="0"/>
              <w:spacing w:before="0" w:after="0"/>
              <w:rPr>
                <w:rFonts w:ascii="Calibri" w:eastAsia="Times New Roman" w:hAnsi="Calibri" w:cs="Calibri"/>
                <w:color w:val="000000"/>
                <w:sz w:val="18"/>
                <w:szCs w:val="18"/>
                <w:lang w:eastAsia="en-AU"/>
              </w:rPr>
            </w:pPr>
            <w:r w:rsidRPr="0059101F">
              <w:rPr>
                <w:rFonts w:ascii="Calibri" w:eastAsia="Times New Roman" w:hAnsi="Calibri" w:cs="Calibri"/>
                <w:color w:val="000000"/>
                <w:sz w:val="18"/>
                <w:szCs w:val="18"/>
                <w:lang w:eastAsia="en-AU"/>
              </w:rPr>
              <w:t>The 2019 men's One Day International Cricket figure reflects the ICC Cricket World Cup which was hosted in the UK. </w:t>
            </w:r>
          </w:p>
        </w:tc>
      </w:tr>
      <w:tr w:rsidR="0059101F" w:rsidRPr="000A5CB2" w14:paraId="09986687" w14:textId="77777777" w:rsidTr="0059101F">
        <w:trPr>
          <w:trHeight w:val="284"/>
          <w:jc w:val="center"/>
        </w:trPr>
        <w:tc>
          <w:tcPr>
            <w:tcW w:w="1502" w:type="dxa"/>
            <w:tcBorders>
              <w:top w:val="nil"/>
              <w:left w:val="single" w:sz="8" w:space="0" w:color="008089"/>
              <w:bottom w:val="single" w:sz="4" w:space="0" w:color="008089"/>
              <w:right w:val="nil"/>
            </w:tcBorders>
            <w:shd w:val="clear" w:color="000000" w:fill="E7E6E6"/>
            <w:vAlign w:val="center"/>
            <w:hideMark/>
          </w:tcPr>
          <w:p w14:paraId="76692BF4" w14:textId="77777777" w:rsidR="0059101F" w:rsidRPr="0059101F" w:rsidRDefault="0059101F" w:rsidP="00923025">
            <w:pPr>
              <w:suppressAutoHyphens w:val="0"/>
              <w:spacing w:before="0" w:after="0"/>
              <w:jc w:val="center"/>
              <w:rPr>
                <w:rFonts w:ascii="Calibri" w:eastAsia="Times New Roman" w:hAnsi="Calibri" w:cs="Calibri"/>
                <w:color w:val="auto"/>
                <w:sz w:val="18"/>
                <w:szCs w:val="18"/>
                <w:lang w:eastAsia="en-AU"/>
              </w:rPr>
            </w:pPr>
            <w:r w:rsidRPr="0059101F">
              <w:rPr>
                <w:rFonts w:ascii="Calibri" w:eastAsia="Times New Roman" w:hAnsi="Calibri" w:cs="Calibri"/>
                <w:color w:val="auto"/>
                <w:sz w:val="18"/>
                <w:szCs w:val="18"/>
                <w:lang w:eastAsia="en-AU"/>
              </w:rPr>
              <w:t>6</w:t>
            </w:r>
          </w:p>
        </w:tc>
        <w:tc>
          <w:tcPr>
            <w:tcW w:w="13274" w:type="dxa"/>
            <w:tcBorders>
              <w:top w:val="single" w:sz="4" w:space="0" w:color="008089"/>
              <w:left w:val="nil"/>
              <w:bottom w:val="single" w:sz="4" w:space="0" w:color="008089"/>
              <w:right w:val="single" w:sz="8" w:space="0" w:color="008089"/>
            </w:tcBorders>
            <w:shd w:val="clear" w:color="000000" w:fill="E7E6E6"/>
            <w:noWrap/>
            <w:vAlign w:val="center"/>
            <w:hideMark/>
          </w:tcPr>
          <w:p w14:paraId="3BC82DF8" w14:textId="77777777" w:rsidR="0059101F" w:rsidRPr="0059101F" w:rsidRDefault="0059101F" w:rsidP="00923025">
            <w:pPr>
              <w:suppressAutoHyphens w:val="0"/>
              <w:spacing w:before="0" w:after="0"/>
              <w:rPr>
                <w:rFonts w:ascii="Calibri" w:eastAsia="Times New Roman" w:hAnsi="Calibri" w:cs="Calibri"/>
                <w:color w:val="000000"/>
                <w:sz w:val="18"/>
                <w:szCs w:val="18"/>
                <w:lang w:eastAsia="en-AU"/>
              </w:rPr>
            </w:pPr>
            <w:r w:rsidRPr="0059101F">
              <w:rPr>
                <w:rFonts w:ascii="Calibri" w:eastAsia="Times New Roman" w:hAnsi="Calibri" w:cs="Calibri"/>
                <w:color w:val="000000"/>
                <w:sz w:val="18"/>
                <w:szCs w:val="18"/>
                <w:lang w:eastAsia="en-AU"/>
              </w:rPr>
              <w:t>In order to provide a comparison, audience figures for the 2014 FIFA World Cup are provided in the 2015 column.  </w:t>
            </w:r>
          </w:p>
        </w:tc>
      </w:tr>
      <w:tr w:rsidR="0059101F" w:rsidRPr="000A5CB2" w14:paraId="01E6DE3A" w14:textId="77777777" w:rsidTr="0059101F">
        <w:trPr>
          <w:trHeight w:val="420"/>
          <w:jc w:val="center"/>
        </w:trPr>
        <w:tc>
          <w:tcPr>
            <w:tcW w:w="1502" w:type="dxa"/>
            <w:tcBorders>
              <w:top w:val="nil"/>
              <w:left w:val="single" w:sz="8" w:space="0" w:color="008089"/>
              <w:bottom w:val="single" w:sz="4" w:space="0" w:color="008089"/>
              <w:right w:val="nil"/>
            </w:tcBorders>
            <w:shd w:val="clear" w:color="000000" w:fill="E7E6E6"/>
            <w:vAlign w:val="center"/>
            <w:hideMark/>
          </w:tcPr>
          <w:p w14:paraId="36A1FDF1" w14:textId="77777777" w:rsidR="0059101F" w:rsidRPr="0059101F" w:rsidRDefault="0059101F" w:rsidP="00923025">
            <w:pPr>
              <w:suppressAutoHyphens w:val="0"/>
              <w:spacing w:before="0" w:after="0"/>
              <w:jc w:val="center"/>
              <w:rPr>
                <w:rFonts w:ascii="Calibri" w:eastAsia="Times New Roman" w:hAnsi="Calibri" w:cs="Calibri"/>
                <w:color w:val="auto"/>
                <w:sz w:val="18"/>
                <w:szCs w:val="18"/>
                <w:lang w:eastAsia="en-AU"/>
              </w:rPr>
            </w:pPr>
            <w:r w:rsidRPr="0059101F">
              <w:rPr>
                <w:rFonts w:ascii="Calibri" w:eastAsia="Times New Roman" w:hAnsi="Calibri" w:cs="Calibri"/>
                <w:color w:val="auto"/>
                <w:sz w:val="18"/>
                <w:szCs w:val="18"/>
                <w:lang w:eastAsia="en-AU"/>
              </w:rPr>
              <w:t>7</w:t>
            </w:r>
          </w:p>
        </w:tc>
        <w:tc>
          <w:tcPr>
            <w:tcW w:w="13274" w:type="dxa"/>
            <w:tcBorders>
              <w:top w:val="single" w:sz="4" w:space="0" w:color="008089"/>
              <w:left w:val="nil"/>
              <w:bottom w:val="single" w:sz="4" w:space="0" w:color="008089"/>
              <w:right w:val="single" w:sz="8" w:space="0" w:color="008089"/>
            </w:tcBorders>
            <w:shd w:val="clear" w:color="000000" w:fill="E7E6E6"/>
            <w:vAlign w:val="center"/>
            <w:hideMark/>
          </w:tcPr>
          <w:p w14:paraId="7F97E987" w14:textId="77777777" w:rsidR="0059101F" w:rsidRPr="0059101F" w:rsidRDefault="0059101F" w:rsidP="00923025">
            <w:pPr>
              <w:suppressAutoHyphens w:val="0"/>
              <w:spacing w:before="0" w:after="0"/>
              <w:rPr>
                <w:rFonts w:ascii="Calibri" w:eastAsia="Times New Roman" w:hAnsi="Calibri" w:cs="Calibri"/>
                <w:color w:val="000000"/>
                <w:sz w:val="18"/>
                <w:szCs w:val="18"/>
                <w:lang w:eastAsia="en-AU"/>
              </w:rPr>
            </w:pPr>
            <w:r w:rsidRPr="0059101F">
              <w:rPr>
                <w:rFonts w:ascii="Calibri" w:eastAsia="Times New Roman" w:hAnsi="Calibri" w:cs="Calibri"/>
                <w:color w:val="000000"/>
                <w:sz w:val="18"/>
                <w:szCs w:val="18"/>
                <w:lang w:eastAsia="en-AU"/>
              </w:rPr>
              <w:t>Audience measures for the Matilda's games generally reflect audiences on the main network channel, except in 2017 and 2022. Multi-channel audiences better reflect the size of the audience for these years.</w:t>
            </w:r>
          </w:p>
        </w:tc>
      </w:tr>
      <w:tr w:rsidR="0059101F" w:rsidRPr="000A5CB2" w14:paraId="2DC1765C" w14:textId="77777777" w:rsidTr="0059101F">
        <w:trPr>
          <w:trHeight w:val="420"/>
          <w:jc w:val="center"/>
        </w:trPr>
        <w:tc>
          <w:tcPr>
            <w:tcW w:w="1502" w:type="dxa"/>
            <w:tcBorders>
              <w:top w:val="nil"/>
              <w:left w:val="single" w:sz="8" w:space="0" w:color="008089"/>
              <w:bottom w:val="single" w:sz="8" w:space="0" w:color="008089"/>
              <w:right w:val="nil"/>
            </w:tcBorders>
            <w:shd w:val="clear" w:color="000000" w:fill="E7E6E6"/>
            <w:vAlign w:val="center"/>
            <w:hideMark/>
          </w:tcPr>
          <w:p w14:paraId="10E8060E" w14:textId="77777777" w:rsidR="0059101F" w:rsidRPr="0059101F" w:rsidRDefault="0059101F" w:rsidP="00923025">
            <w:pPr>
              <w:suppressAutoHyphens w:val="0"/>
              <w:spacing w:before="0" w:after="0"/>
              <w:jc w:val="center"/>
              <w:rPr>
                <w:rFonts w:ascii="Calibri" w:eastAsia="Times New Roman" w:hAnsi="Calibri" w:cs="Calibri"/>
                <w:color w:val="auto"/>
                <w:sz w:val="18"/>
                <w:szCs w:val="18"/>
                <w:lang w:eastAsia="en-AU"/>
              </w:rPr>
            </w:pPr>
            <w:r w:rsidRPr="0059101F">
              <w:rPr>
                <w:rFonts w:ascii="Calibri" w:eastAsia="Times New Roman" w:hAnsi="Calibri" w:cs="Calibri"/>
                <w:color w:val="auto"/>
                <w:sz w:val="18"/>
                <w:szCs w:val="18"/>
                <w:lang w:eastAsia="en-AU"/>
              </w:rPr>
              <w:t>8</w:t>
            </w:r>
          </w:p>
        </w:tc>
        <w:tc>
          <w:tcPr>
            <w:tcW w:w="13274" w:type="dxa"/>
            <w:tcBorders>
              <w:top w:val="nil"/>
              <w:left w:val="nil"/>
              <w:bottom w:val="single" w:sz="8" w:space="0" w:color="008089"/>
              <w:right w:val="single" w:sz="8" w:space="0" w:color="008089"/>
            </w:tcBorders>
            <w:shd w:val="clear" w:color="000000" w:fill="E7E6E6"/>
            <w:vAlign w:val="center"/>
            <w:hideMark/>
          </w:tcPr>
          <w:p w14:paraId="303CF64B" w14:textId="77777777" w:rsidR="0059101F" w:rsidRPr="0059101F" w:rsidRDefault="0059101F" w:rsidP="00923025">
            <w:pPr>
              <w:suppressAutoHyphens w:val="0"/>
              <w:spacing w:before="0" w:after="0"/>
              <w:rPr>
                <w:rFonts w:ascii="Calibri" w:eastAsia="Times New Roman" w:hAnsi="Calibri" w:cs="Calibri"/>
                <w:color w:val="000000"/>
                <w:sz w:val="18"/>
                <w:szCs w:val="18"/>
                <w:lang w:eastAsia="en-AU"/>
              </w:rPr>
            </w:pPr>
            <w:r w:rsidRPr="0059101F">
              <w:rPr>
                <w:rFonts w:ascii="Calibri" w:eastAsia="Times New Roman" w:hAnsi="Calibri" w:cs="Calibri"/>
                <w:color w:val="000000"/>
                <w:sz w:val="18"/>
                <w:szCs w:val="18"/>
                <w:lang w:eastAsia="en-AU"/>
              </w:rPr>
              <w:t>Note that for Days 1-7 averages of the French Open, in 2018-2020 the network naming convention reflected Live and Late Live separately. The average for Live is reflected for these. For 2021 only Late Live data is available, therefore Late Live has been reflected in this cell.</w:t>
            </w:r>
          </w:p>
        </w:tc>
      </w:tr>
    </w:tbl>
    <w:p w14:paraId="04ABF7CE" w14:textId="77777777" w:rsidR="0086091A" w:rsidRDefault="0086091A" w:rsidP="00DB204C"/>
    <w:sectPr w:rsidR="0086091A" w:rsidSect="00707197">
      <w:headerReference w:type="even" r:id="rId51"/>
      <w:headerReference w:type="default" r:id="rId52"/>
      <w:headerReference w:type="first" r:id="rId53"/>
      <w:pgSz w:w="16838" w:h="11906" w:orient="landscape" w:code="9"/>
      <w:pgMar w:top="1021" w:right="1021" w:bottom="1021" w:left="1021" w:header="51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B22D14" w14:textId="77777777" w:rsidR="00440FD2" w:rsidRDefault="00440FD2" w:rsidP="008456D5">
      <w:pPr>
        <w:spacing w:before="0" w:after="0"/>
      </w:pPr>
      <w:r>
        <w:separator/>
      </w:r>
    </w:p>
  </w:endnote>
  <w:endnote w:type="continuationSeparator" w:id="0">
    <w:p w14:paraId="45C31A0C" w14:textId="77777777" w:rsidR="00440FD2" w:rsidRDefault="00440FD2" w:rsidP="008456D5">
      <w:pPr>
        <w:spacing w:before="0" w:after="0"/>
      </w:pPr>
      <w:r>
        <w:continuationSeparator/>
      </w:r>
    </w:p>
  </w:endnote>
  <w:endnote w:type="continuationNotice" w:id="1">
    <w:p w14:paraId="525DCED8" w14:textId="77777777" w:rsidR="00440FD2" w:rsidRDefault="00440FD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CDF4F" w14:textId="77777777" w:rsidR="00440FD2" w:rsidRDefault="00440FD2" w:rsidP="00E50D64">
    <w:pPr>
      <w:pStyle w:val="Footer"/>
      <w:spacing w:before="720"/>
      <w:jc w:val="right"/>
    </w:pPr>
    <w:r>
      <w:rPr>
        <w:noProof/>
        <w:lang w:eastAsia="en-AU"/>
      </w:rPr>
      <mc:AlternateContent>
        <mc:Choice Requires="wps">
          <w:drawing>
            <wp:anchor distT="0" distB="0" distL="114300" distR="114300" simplePos="0" relativeHeight="251662848" behindDoc="1" locked="1" layoutInCell="1" allowOverlap="1" wp14:anchorId="4AD764AC" wp14:editId="443DEA0F">
              <wp:simplePos x="0" y="0"/>
              <wp:positionH relativeFrom="page">
                <wp:align>left</wp:align>
              </wp:positionH>
              <wp:positionV relativeFrom="page">
                <wp:align>bottom</wp:align>
              </wp:positionV>
              <wp:extent cx="1007280" cy="539280"/>
              <wp:effectExtent l="0" t="0" r="2540" b="0"/>
              <wp:wrapNone/>
              <wp:docPr id="16" name="Text Box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07280" cy="539280"/>
                      </a:xfrm>
                      <a:prstGeom prst="rect">
                        <a:avLst/>
                      </a:prstGeom>
                      <a:noFill/>
                      <a:ln w="6350">
                        <a:noFill/>
                      </a:ln>
                    </wps:spPr>
                    <wps:txbx>
                      <w:txbxContent>
                        <w:p w14:paraId="74B22081" w14:textId="4638DECD" w:rsidR="00440FD2" w:rsidRPr="007A05BE" w:rsidRDefault="00440FD2" w:rsidP="00E50D64">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20</w:t>
                          </w:r>
                          <w:r w:rsidRPr="007A05BE">
                            <w:rPr>
                              <w:rStyle w:val="PageNumber"/>
                            </w:rPr>
                            <w:fldChar w:fldCharType="end"/>
                          </w:r>
                        </w:p>
                      </w:txbxContent>
                    </wps:txbx>
                    <wps:bodyPr rot="0" spcFirstLastPara="0" vertOverflow="overflow" horzOverflow="overflow" vert="horz" wrap="square" lIns="64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D764AC" id="_x0000_t202" coordsize="21600,21600" o:spt="202" path="m,l,21600r21600,l21600,xe">
              <v:stroke joinstyle="miter"/>
              <v:path gradientshapeok="t" o:connecttype="rect"/>
            </v:shapetype>
            <v:shape id="Text Box 16" o:spid="_x0000_s1026" type="#_x0000_t202" style="position:absolute;left:0;text-align:left;margin-left:0;margin-top:0;width:79.3pt;height:42.45pt;z-index:-251653632;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" filled="f" stroked="f" strokeweight=".5pt">
              <v:textbox inset="18mm,0,0,10mm">
                <w:txbxContent>
                  <w:p w14:paraId="74B22081" w14:textId="4638DECD" w:rsidR="00440FD2" w:rsidRPr="007A05BE" w:rsidRDefault="00440FD2" w:rsidP="00E50D64">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20</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61824" behindDoc="1" locked="1" layoutInCell="1" allowOverlap="1" wp14:anchorId="1649178B" wp14:editId="0D18FE06">
              <wp:simplePos x="0" y="0"/>
              <wp:positionH relativeFrom="page">
                <wp:align>left</wp:align>
              </wp:positionH>
              <wp:positionV relativeFrom="page">
                <wp:align>bottom</wp:align>
              </wp:positionV>
              <wp:extent cx="4320000" cy="539280"/>
              <wp:effectExtent l="0" t="0" r="4445" b="0"/>
              <wp:wrapNone/>
              <wp:docPr id="18" name="Text Box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20000" cy="539280"/>
                      </a:xfrm>
                      <a:prstGeom prst="rect">
                        <a:avLst/>
                      </a:prstGeom>
                      <a:noFill/>
                      <a:ln w="6350">
                        <a:noFill/>
                      </a:ln>
                    </wps:spPr>
                    <wps:txbx>
                      <w:txbxContent>
                        <w:sdt>
                          <w:sdtPr>
                            <w:alias w:val="Title"/>
                            <w:tag w:val=""/>
                            <w:id w:val="-2054678285"/>
                            <w:showingPlcHdr/>
                            <w:dataBinding w:prefixMappings="xmlns:ns0='http://purl.org/dc/elements/1.1/' xmlns:ns1='http://schemas.openxmlformats.org/package/2006/metadata/core-properties' " w:xpath="/ns1:coreProperties[1]/ns0:title[1]" w:storeItemID="{6C3C8BC8-F283-45AE-878A-BAB7291924A1}"/>
                            <w:text/>
                          </w:sdtPr>
                          <w:sdtEndPr/>
                          <w:sdtContent>
                            <w:p w14:paraId="40E7E161" w14:textId="14718AC5" w:rsidR="00440FD2" w:rsidRDefault="00440FD2" w:rsidP="00E50D64">
                              <w:pPr>
                                <w:pStyle w:val="Footer"/>
                              </w:pPr>
                              <w:r>
                                <w:t xml:space="preserve">     </w:t>
                              </w:r>
                            </w:p>
                          </w:sdtContent>
                        </w:sdt>
                      </w:txbxContent>
                    </wps:txbx>
                    <wps:bodyPr rot="0" spcFirstLastPara="0" vertOverflow="overflow" horzOverflow="overflow" vert="horz" wrap="square" lIns="100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49178B" id="Text Box 18" o:spid="_x0000_s1027" type="#_x0000_t202" style="position:absolute;left:0;text-align:left;margin-left:0;margin-top:0;width:340.15pt;height:42.45pt;z-index:-251654656;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" filled="f" stroked="f" strokeweight=".5pt">
              <v:textbox inset="28mm,0,0,10mm">
                <w:txbxContent>
                  <w:sdt>
                    <w:sdtPr>
                      <w:alias w:val="Title"/>
                      <w:tag w:val=""/>
                      <w:id w:val="-2054678285"/>
                      <w:showingPlcHdr/>
                      <w:dataBinding w:prefixMappings="xmlns:ns0='http://purl.org/dc/elements/1.1/' xmlns:ns1='http://schemas.openxmlformats.org/package/2006/metadata/core-properties' " w:xpath="/ns1:coreProperties[1]/ns0:title[1]" w:storeItemID="{6C3C8BC8-F283-45AE-878A-BAB7291924A1}"/>
                      <w:text/>
                    </w:sdtPr>
                    <w:sdtEndPr/>
                    <w:sdtContent>
                      <w:p w14:paraId="40E7E161" w14:textId="14718AC5" w:rsidR="00440FD2" w:rsidRDefault="00440FD2" w:rsidP="00E50D64">
                        <w:pPr>
                          <w:pStyle w:val="Footer"/>
                        </w:pPr>
                        <w:r>
                          <w:t xml:space="preserve">     </w:t>
                        </w:r>
                      </w:p>
                    </w:sdtContent>
                  </w:sdt>
                </w:txbxContent>
              </v:textbox>
              <w10:wrap anchorx="page" anchory="page"/>
              <w10:anchorlock/>
            </v:shape>
          </w:pict>
        </mc:Fallback>
      </mc:AlternateContent>
    </w:r>
    <w:r>
      <w:rPr>
        <w:noProof/>
        <w:lang w:eastAsia="en-AU"/>
      </w:rPr>
      <w:drawing>
        <wp:anchor distT="0" distB="0" distL="114300" distR="114300" simplePos="0" relativeHeight="251660800" behindDoc="1" locked="1" layoutInCell="1" allowOverlap="1" wp14:anchorId="12D5ED72" wp14:editId="3402E9E8">
          <wp:simplePos x="0" y="0"/>
          <wp:positionH relativeFrom="page">
            <wp:align>right</wp:align>
          </wp:positionH>
          <wp:positionV relativeFrom="page">
            <wp:align>bottom</wp:align>
          </wp:positionV>
          <wp:extent cx="10692000" cy="183240"/>
          <wp:effectExtent l="0" t="0" r="0" b="7620"/>
          <wp:wrapNone/>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CE520" w14:textId="77777777" w:rsidR="00440FD2" w:rsidRDefault="00440FD2" w:rsidP="00546218">
    <w:pPr>
      <w:pStyle w:val="Footer"/>
      <w:spacing w:before="720"/>
    </w:pPr>
    <w:r>
      <w:rPr>
        <w:noProof/>
        <w:lang w:eastAsia="en-AU"/>
      </w:rPr>
      <mc:AlternateContent>
        <mc:Choice Requires="wps">
          <w:drawing>
            <wp:anchor distT="0" distB="0" distL="114300" distR="114300" simplePos="0" relativeHeight="251653632" behindDoc="1" locked="1" layoutInCell="1" allowOverlap="1" wp14:anchorId="6ED44BA9" wp14:editId="61677F30">
              <wp:simplePos x="0" y="0"/>
              <wp:positionH relativeFrom="page">
                <wp:align>right</wp:align>
              </wp:positionH>
              <wp:positionV relativeFrom="page">
                <wp:align>bottom</wp:align>
              </wp:positionV>
              <wp:extent cx="1007640" cy="539640"/>
              <wp:effectExtent l="0" t="0" r="0" b="0"/>
              <wp:wrapNone/>
              <wp:docPr id="4" name="Text Box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07640" cy="539640"/>
                      </a:xfrm>
                      <a:prstGeom prst="rect">
                        <a:avLst/>
                      </a:prstGeom>
                      <a:noFill/>
                      <a:ln w="6350">
                        <a:noFill/>
                      </a:ln>
                    </wps:spPr>
                    <wps:txbx>
                      <w:txbxContent>
                        <w:p w14:paraId="08FE86AB" w14:textId="77777777" w:rsidR="00440FD2" w:rsidRPr="007A05BE" w:rsidRDefault="00440FD2" w:rsidP="007A05BE">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wps:txbx>
                    <wps:bodyPr rot="0" spcFirstLastPara="0" vertOverflow="overflow" horzOverflow="overflow" vert="horz" wrap="square" lIns="0" tIns="0" rIns="64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D44BA9" id="_x0000_t202" coordsize="21600,21600" o:spt="202" path="m,l,21600r21600,l21600,xe">
              <v:stroke joinstyle="miter"/>
              <v:path gradientshapeok="t" o:connecttype="rect"/>
            </v:shapetype>
            <v:shape id="Text Box 4" o:spid="_x0000_s1028" type="#_x0000_t202" style="position:absolute;margin-left:28.15pt;margin-top:0;width:79.35pt;height:42.5pt;z-index:-251662848;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" filled="f" stroked="f" strokeweight=".5pt">
              <v:textbox inset="0,0,18mm,10mm">
                <w:txbxContent>
                  <w:p w14:paraId="08FE86AB" w14:textId="77777777" w:rsidR="00440FD2" w:rsidRPr="007A05BE" w:rsidRDefault="00440FD2" w:rsidP="007A05BE">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52608" behindDoc="1" locked="1" layoutInCell="1" allowOverlap="1" wp14:anchorId="5A874ABF" wp14:editId="134B7A53">
              <wp:simplePos x="0" y="0"/>
              <wp:positionH relativeFrom="page">
                <wp:align>right</wp:align>
              </wp:positionH>
              <wp:positionV relativeFrom="page">
                <wp:align>bottom</wp:align>
              </wp:positionV>
              <wp:extent cx="4320000" cy="539640"/>
              <wp:effectExtent l="0" t="0" r="0" b="0"/>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20000" cy="539640"/>
                      </a:xfrm>
                      <a:prstGeom prst="rect">
                        <a:avLst/>
                      </a:prstGeom>
                      <a:noFill/>
                      <a:ln w="6350">
                        <a:noFill/>
                      </a:ln>
                    </wps:spPr>
                    <wps:txbx>
                      <w:txbxContent>
                        <w:sdt>
                          <w:sdtPr>
                            <w:alias w:val="Title"/>
                            <w:tag w:val=""/>
                            <w:id w:val="729659418"/>
                            <w:showingPlcHdr/>
                            <w:dataBinding w:prefixMappings="xmlns:ns0='http://purl.org/dc/elements/1.1/' xmlns:ns1='http://schemas.openxmlformats.org/package/2006/metadata/core-properties' " w:xpath="/ns1:coreProperties[1]/ns0:title[1]" w:storeItemID="{6C3C8BC8-F283-45AE-878A-BAB7291924A1}"/>
                            <w:text/>
                          </w:sdtPr>
                          <w:sdtEndPr/>
                          <w:sdtContent>
                            <w:p w14:paraId="1B5AD9EE" w14:textId="1518F8B4" w:rsidR="00440FD2" w:rsidRDefault="00440FD2" w:rsidP="007A05BE">
                              <w:pPr>
                                <w:pStyle w:val="Footer"/>
                                <w:jc w:val="right"/>
                              </w:pPr>
                              <w:r>
                                <w:t xml:space="preserve">     </w:t>
                              </w:r>
                            </w:p>
                          </w:sdtContent>
                        </w:sdt>
                      </w:txbxContent>
                    </wps:txbx>
                    <wps:bodyPr rot="0" spcFirstLastPara="0" vertOverflow="overflow" horzOverflow="overflow" vert="horz" wrap="square" lIns="0" tIns="0" rIns="100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874ABF" id="Text Box 3" o:spid="_x0000_s1029" type="#_x0000_t202" style="position:absolute;margin-left:288.95pt;margin-top:0;width:340.15pt;height:42.5pt;z-index:-251663872;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" filled="f" stroked="f" strokeweight=".5pt">
              <v:textbox inset="0,0,28mm,10mm">
                <w:txbxContent>
                  <w:sdt>
                    <w:sdtPr>
                      <w:alias w:val="Title"/>
                      <w:tag w:val=""/>
                      <w:id w:val="729659418"/>
                      <w:showingPlcHdr/>
                      <w:dataBinding w:prefixMappings="xmlns:ns0='http://purl.org/dc/elements/1.1/' xmlns:ns1='http://schemas.openxmlformats.org/package/2006/metadata/core-properties' " w:xpath="/ns1:coreProperties[1]/ns0:title[1]" w:storeItemID="{6C3C8BC8-F283-45AE-878A-BAB7291924A1}"/>
                      <w:text/>
                    </w:sdtPr>
                    <w:sdtEndPr/>
                    <w:sdtContent>
                      <w:p w14:paraId="1B5AD9EE" w14:textId="1518F8B4" w:rsidR="00440FD2" w:rsidRDefault="00440FD2" w:rsidP="007A05BE">
                        <w:pPr>
                          <w:pStyle w:val="Footer"/>
                          <w:jc w:val="right"/>
                        </w:pPr>
                        <w:r>
                          <w:t xml:space="preserve">     </w:t>
                        </w:r>
                      </w:p>
                    </w:sdtContent>
                  </w:sdt>
                </w:txbxContent>
              </v:textbox>
              <w10:wrap anchorx="page" anchory="page"/>
              <w10:anchorlock/>
            </v:shape>
          </w:pict>
        </mc:Fallback>
      </mc:AlternateContent>
    </w:r>
    <w:r>
      <w:rPr>
        <w:noProof/>
        <w:lang w:eastAsia="en-AU"/>
      </w:rPr>
      <w:drawing>
        <wp:anchor distT="0" distB="0" distL="114300" distR="114300" simplePos="0" relativeHeight="251651584" behindDoc="1" locked="1" layoutInCell="1" allowOverlap="1" wp14:anchorId="51A07C12" wp14:editId="14C4A80B">
          <wp:simplePos x="0" y="0"/>
          <wp:positionH relativeFrom="page">
            <wp:align>right</wp:align>
          </wp:positionH>
          <wp:positionV relativeFrom="page">
            <wp:align>bottom</wp:align>
          </wp:positionV>
          <wp:extent cx="10692000" cy="183240"/>
          <wp:effectExtent l="0" t="0" r="0" b="762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76F13" w14:textId="77777777" w:rsidR="00440FD2" w:rsidRDefault="00440FD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BE98D" w14:textId="3AF364BF" w:rsidR="00440FD2" w:rsidRDefault="00440FD2" w:rsidP="0020011B">
    <w:pPr>
      <w:pStyle w:val="Footer"/>
      <w:tabs>
        <w:tab w:val="clear" w:pos="4513"/>
        <w:tab w:val="clear" w:pos="9026"/>
        <w:tab w:val="left" w:pos="3221"/>
      </w:tabs>
      <w:spacing w:before="720"/>
    </w:pPr>
    <w:r>
      <w:rPr>
        <w:noProof/>
        <w:lang w:eastAsia="en-AU"/>
      </w:rPr>
      <mc:AlternateContent>
        <mc:Choice Requires="wps">
          <w:drawing>
            <wp:anchor distT="0" distB="0" distL="114300" distR="114300" simplePos="0" relativeHeight="251659776" behindDoc="1" locked="1" layoutInCell="1" allowOverlap="1" wp14:anchorId="576F57E1" wp14:editId="658B412E">
              <wp:simplePos x="0" y="0"/>
              <wp:positionH relativeFrom="page">
                <wp:align>right</wp:align>
              </wp:positionH>
              <wp:positionV relativeFrom="page">
                <wp:align>bottom</wp:align>
              </wp:positionV>
              <wp:extent cx="1007640" cy="539640"/>
              <wp:effectExtent l="0" t="0" r="0" b="0"/>
              <wp:wrapNone/>
              <wp:docPr id="11" name="Text Box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07640" cy="539640"/>
                      </a:xfrm>
                      <a:prstGeom prst="rect">
                        <a:avLst/>
                      </a:prstGeom>
                      <a:noFill/>
                      <a:ln w="6350">
                        <a:noFill/>
                      </a:ln>
                    </wps:spPr>
                    <wps:txbx>
                      <w:txbxContent>
                        <w:p w14:paraId="1D6A6F3E" w14:textId="1446F29D" w:rsidR="00440FD2" w:rsidRPr="007A05BE" w:rsidRDefault="00440FD2" w:rsidP="00546218">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49</w:t>
                          </w:r>
                          <w:r w:rsidRPr="007A05BE">
                            <w:rPr>
                              <w:rStyle w:val="PageNumber"/>
                            </w:rPr>
                            <w:fldChar w:fldCharType="end"/>
                          </w:r>
                        </w:p>
                      </w:txbxContent>
                    </wps:txbx>
                    <wps:bodyPr rot="0" spcFirstLastPara="0" vertOverflow="overflow" horzOverflow="overflow" vert="horz" wrap="square" lIns="0" tIns="0" rIns="64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6F57E1" id="_x0000_t202" coordsize="21600,21600" o:spt="202" path="m,l,21600r21600,l21600,xe">
              <v:stroke joinstyle="miter"/>
              <v:path gradientshapeok="t" o:connecttype="rect"/>
            </v:shapetype>
            <v:shape id="Text Box 11" o:spid="_x0000_s1030" type="#_x0000_t202" style="position:absolute;margin-left:28.15pt;margin-top:0;width:79.35pt;height:42.5pt;z-index:-25165670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" filled="f" stroked="f" strokeweight=".5pt">
              <v:textbox inset="0,0,18mm,10mm">
                <w:txbxContent>
                  <w:p w14:paraId="1D6A6F3E" w14:textId="1446F29D" w:rsidR="00440FD2" w:rsidRPr="007A05BE" w:rsidRDefault="00440FD2" w:rsidP="00546218">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49</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58752" behindDoc="1" locked="1" layoutInCell="1" allowOverlap="1" wp14:anchorId="2A5077E0" wp14:editId="6C139102">
              <wp:simplePos x="0" y="0"/>
              <wp:positionH relativeFrom="page">
                <wp:align>right</wp:align>
              </wp:positionH>
              <wp:positionV relativeFrom="page">
                <wp:align>bottom</wp:align>
              </wp:positionV>
              <wp:extent cx="4320000" cy="539640"/>
              <wp:effectExtent l="0" t="0" r="0" b="0"/>
              <wp:wrapNone/>
              <wp:docPr id="12" name="Text Box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20000" cy="539640"/>
                      </a:xfrm>
                      <a:prstGeom prst="rect">
                        <a:avLst/>
                      </a:prstGeom>
                      <a:noFill/>
                      <a:ln w="6350">
                        <a:noFill/>
                      </a:ln>
                    </wps:spPr>
                    <wps:txbx>
                      <w:txbxContent>
                        <w:p w14:paraId="33257FF7" w14:textId="76A074C9" w:rsidR="00440FD2" w:rsidRDefault="00440FD2" w:rsidP="00546218">
                          <w:pPr>
                            <w:pStyle w:val="Footer"/>
                            <w:jc w:val="right"/>
                          </w:pPr>
                        </w:p>
                      </w:txbxContent>
                    </wps:txbx>
                    <wps:bodyPr rot="0" spcFirstLastPara="0" vertOverflow="overflow" horzOverflow="overflow" vert="horz" wrap="square" lIns="0" tIns="0" rIns="100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5077E0" id="Text Box 12" o:spid="_x0000_s1031" type="#_x0000_t202" style="position:absolute;margin-left:288.95pt;margin-top:0;width:340.15pt;height:42.5pt;z-index:-251657728;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" filled="f" stroked="f" strokeweight=".5pt">
              <v:textbox inset="0,0,28mm,10mm">
                <w:txbxContent>
                  <w:p w14:paraId="33257FF7" w14:textId="76A074C9" w:rsidR="00440FD2" w:rsidRDefault="00440FD2" w:rsidP="00546218">
                    <w:pPr>
                      <w:pStyle w:val="Footer"/>
                      <w:jc w:val="right"/>
                    </w:pPr>
                  </w:p>
                </w:txbxContent>
              </v:textbox>
              <w10:wrap anchorx="page" anchory="page"/>
              <w10:anchorlock/>
            </v:shape>
          </w:pict>
        </mc:Fallback>
      </mc:AlternateContent>
    </w:r>
    <w:r>
      <w:rPr>
        <w:noProof/>
        <w:lang w:eastAsia="en-AU"/>
      </w:rPr>
      <w:drawing>
        <wp:anchor distT="0" distB="0" distL="114300" distR="114300" simplePos="0" relativeHeight="251657728" behindDoc="1" locked="1" layoutInCell="1" allowOverlap="1" wp14:anchorId="45AEE240" wp14:editId="612A9A13">
          <wp:simplePos x="0" y="0"/>
          <wp:positionH relativeFrom="page">
            <wp:align>right</wp:align>
          </wp:positionH>
          <wp:positionV relativeFrom="page">
            <wp:align>bottom</wp:align>
          </wp:positionV>
          <wp:extent cx="10692000" cy="183240"/>
          <wp:effectExtent l="0" t="0" r="0" b="7620"/>
          <wp:wrapNone/>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r>
      <w:t>Review of the anti-siphoning scheme</w:t>
    </w:r>
    <w: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56A170" w14:textId="77777777" w:rsidR="00440FD2" w:rsidRDefault="00440FD2" w:rsidP="00546218">
    <w:pPr>
      <w:pStyle w:val="Footer"/>
      <w:spacing w:before="720"/>
    </w:pPr>
    <w:r>
      <w:rPr>
        <w:noProof/>
        <w:lang w:eastAsia="en-AU"/>
      </w:rPr>
      <mc:AlternateContent>
        <mc:Choice Requires="wps">
          <w:drawing>
            <wp:anchor distT="0" distB="0" distL="114300" distR="114300" simplePos="0" relativeHeight="251656704" behindDoc="1" locked="1" layoutInCell="1" allowOverlap="1" wp14:anchorId="3A65A92A" wp14:editId="69177710">
              <wp:simplePos x="0" y="0"/>
              <wp:positionH relativeFrom="page">
                <wp:align>right</wp:align>
              </wp:positionH>
              <wp:positionV relativeFrom="page">
                <wp:align>bottom</wp:align>
              </wp:positionV>
              <wp:extent cx="1007640" cy="539640"/>
              <wp:effectExtent l="0" t="0" r="0" b="0"/>
              <wp:wrapNone/>
              <wp:docPr id="8" name="Text Box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07640" cy="539640"/>
                      </a:xfrm>
                      <a:prstGeom prst="rect">
                        <a:avLst/>
                      </a:prstGeom>
                      <a:noFill/>
                      <a:ln w="6350">
                        <a:noFill/>
                      </a:ln>
                    </wps:spPr>
                    <wps:txbx>
                      <w:txbxContent>
                        <w:p w14:paraId="7B9DAE92" w14:textId="77777777" w:rsidR="00440FD2" w:rsidRPr="007A05BE" w:rsidRDefault="00440FD2" w:rsidP="00546218">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wps:txbx>
                    <wps:bodyPr rot="0" spcFirstLastPara="0" vertOverflow="overflow" horzOverflow="overflow" vert="horz" wrap="square" lIns="0" tIns="0" rIns="64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65A92A" id="_x0000_t202" coordsize="21600,21600" o:spt="202" path="m,l,21600r21600,l21600,xe">
              <v:stroke joinstyle="miter"/>
              <v:path gradientshapeok="t" o:connecttype="rect"/>
            </v:shapetype>
            <v:shape id="Text Box 8" o:spid="_x0000_s1032" type="#_x0000_t202" style="position:absolute;margin-left:28.15pt;margin-top:0;width:79.35pt;height:42.5pt;z-index:-251659776;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" filled="f" stroked="f" strokeweight=".5pt">
              <v:textbox inset="0,0,18mm,10mm">
                <w:txbxContent>
                  <w:p w14:paraId="7B9DAE92" w14:textId="77777777" w:rsidR="00440FD2" w:rsidRPr="007A05BE" w:rsidRDefault="00440FD2" w:rsidP="00546218">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55680" behindDoc="1" locked="1" layoutInCell="1" allowOverlap="1" wp14:anchorId="443F939A" wp14:editId="560E5F46">
              <wp:simplePos x="0" y="0"/>
              <wp:positionH relativeFrom="page">
                <wp:align>right</wp:align>
              </wp:positionH>
              <wp:positionV relativeFrom="page">
                <wp:align>bottom</wp:align>
              </wp:positionV>
              <wp:extent cx="4320000" cy="539640"/>
              <wp:effectExtent l="0" t="0" r="0" b="0"/>
              <wp:wrapNone/>
              <wp:docPr id="9" name="Text Box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20000" cy="539640"/>
                      </a:xfrm>
                      <a:prstGeom prst="rect">
                        <a:avLst/>
                      </a:prstGeom>
                      <a:noFill/>
                      <a:ln w="6350">
                        <a:noFill/>
                      </a:ln>
                    </wps:spPr>
                    <wps:txbx>
                      <w:txbxContent>
                        <w:sdt>
                          <w:sdtPr>
                            <w:alias w:val="Title"/>
                            <w:tag w:val=""/>
                            <w:id w:val="962004615"/>
                            <w:showingPlcHdr/>
                            <w:dataBinding w:prefixMappings="xmlns:ns0='http://purl.org/dc/elements/1.1/' xmlns:ns1='http://schemas.openxmlformats.org/package/2006/metadata/core-properties' " w:xpath="/ns1:coreProperties[1]/ns0:title[1]" w:storeItemID="{6C3C8BC8-F283-45AE-878A-BAB7291924A1}"/>
                            <w:text/>
                          </w:sdtPr>
                          <w:sdtEndPr/>
                          <w:sdtContent>
                            <w:p w14:paraId="6BD65503" w14:textId="122B8C16" w:rsidR="00440FD2" w:rsidRDefault="00440FD2" w:rsidP="00546218">
                              <w:pPr>
                                <w:pStyle w:val="Footer"/>
                                <w:jc w:val="right"/>
                              </w:pPr>
                              <w:r>
                                <w:t xml:space="preserve">     </w:t>
                              </w:r>
                            </w:p>
                          </w:sdtContent>
                        </w:sdt>
                      </w:txbxContent>
                    </wps:txbx>
                    <wps:bodyPr rot="0" spcFirstLastPara="0" vertOverflow="overflow" horzOverflow="overflow" vert="horz" wrap="square" lIns="0" tIns="0" rIns="100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3F939A" id="Text Box 9" o:spid="_x0000_s1033" type="#_x0000_t202" style="position:absolute;margin-left:288.95pt;margin-top:0;width:340.15pt;height:42.5pt;z-index:-251660800;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" filled="f" stroked="f" strokeweight=".5pt">
              <v:textbox inset="0,0,28mm,10mm">
                <w:txbxContent>
                  <w:sdt>
                    <w:sdtPr>
                      <w:alias w:val="Title"/>
                      <w:tag w:val=""/>
                      <w:id w:val="962004615"/>
                      <w:showingPlcHdr/>
                      <w:dataBinding w:prefixMappings="xmlns:ns0='http://purl.org/dc/elements/1.1/' xmlns:ns1='http://schemas.openxmlformats.org/package/2006/metadata/core-properties' " w:xpath="/ns1:coreProperties[1]/ns0:title[1]" w:storeItemID="{6C3C8BC8-F283-45AE-878A-BAB7291924A1}"/>
                      <w:text/>
                    </w:sdtPr>
                    <w:sdtEndPr/>
                    <w:sdtContent>
                      <w:p w14:paraId="6BD65503" w14:textId="122B8C16" w:rsidR="00440FD2" w:rsidRDefault="00440FD2" w:rsidP="00546218">
                        <w:pPr>
                          <w:pStyle w:val="Footer"/>
                          <w:jc w:val="right"/>
                        </w:pPr>
                        <w:r>
                          <w:t xml:space="preserve">     </w:t>
                        </w:r>
                      </w:p>
                    </w:sdtContent>
                  </w:sdt>
                </w:txbxContent>
              </v:textbox>
              <w10:wrap anchorx="page" anchory="page"/>
              <w10:anchorlock/>
            </v:shape>
          </w:pict>
        </mc:Fallback>
      </mc:AlternateContent>
    </w:r>
    <w:r>
      <w:rPr>
        <w:noProof/>
        <w:lang w:eastAsia="en-AU"/>
      </w:rPr>
      <w:drawing>
        <wp:anchor distT="0" distB="0" distL="114300" distR="114300" simplePos="0" relativeHeight="251654656" behindDoc="1" locked="1" layoutInCell="1" allowOverlap="1" wp14:anchorId="0069E297" wp14:editId="79266C61">
          <wp:simplePos x="0" y="0"/>
          <wp:positionH relativeFrom="page">
            <wp:align>right</wp:align>
          </wp:positionH>
          <wp:positionV relativeFrom="page">
            <wp:align>bottom</wp:align>
          </wp:positionV>
          <wp:extent cx="10692000" cy="183240"/>
          <wp:effectExtent l="0" t="0" r="0" b="7620"/>
          <wp:wrapNone/>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768A83" w14:textId="77777777" w:rsidR="00440FD2" w:rsidRPr="005912BE" w:rsidRDefault="00440FD2" w:rsidP="005912BE">
      <w:pPr>
        <w:spacing w:before="300"/>
        <w:rPr>
          <w:color w:val="008089" w:themeColor="accent2"/>
        </w:rPr>
      </w:pPr>
      <w:r w:rsidRPr="004063DE">
        <w:rPr>
          <w:color w:val="004044" w:themeColor="accent2" w:themeShade="80"/>
        </w:rPr>
        <w:t>----------</w:t>
      </w:r>
    </w:p>
  </w:footnote>
  <w:footnote w:type="continuationSeparator" w:id="0">
    <w:p w14:paraId="180EEBE7" w14:textId="77777777" w:rsidR="00440FD2" w:rsidRDefault="00440FD2" w:rsidP="008456D5">
      <w:pPr>
        <w:spacing w:before="0" w:after="0"/>
      </w:pPr>
      <w:r>
        <w:continuationSeparator/>
      </w:r>
    </w:p>
  </w:footnote>
  <w:footnote w:type="continuationNotice" w:id="1">
    <w:p w14:paraId="3DF23F94" w14:textId="77777777" w:rsidR="00440FD2" w:rsidRDefault="00440FD2">
      <w:pPr>
        <w:spacing w:before="0" w:after="0"/>
      </w:pPr>
    </w:p>
  </w:footnote>
  <w:footnote w:id="2">
    <w:p w14:paraId="2F8EE64E" w14:textId="5DCD9587" w:rsidR="00440FD2" w:rsidRPr="00773DBE" w:rsidRDefault="00440FD2">
      <w:pPr>
        <w:pStyle w:val="FootnoteText"/>
        <w:rPr>
          <w:sz w:val="16"/>
          <w:szCs w:val="16"/>
          <w:lang w:val="en-US"/>
        </w:rPr>
      </w:pPr>
      <w:r>
        <w:rPr>
          <w:rStyle w:val="FootnoteReference"/>
        </w:rPr>
        <w:footnoteRef/>
      </w:r>
      <w:r>
        <w:t xml:space="preserve"> </w:t>
      </w:r>
      <w:r w:rsidRPr="00773DBE">
        <w:rPr>
          <w:sz w:val="16"/>
          <w:szCs w:val="16"/>
        </w:rPr>
        <w:t xml:space="preserve">Explanatory Memorandum to </w:t>
      </w:r>
      <w:r w:rsidRPr="004735C1">
        <w:rPr>
          <w:sz w:val="16"/>
          <w:szCs w:val="16"/>
        </w:rPr>
        <w:t>Broadcasting Services Bill 1992,</w:t>
      </w:r>
      <w:r w:rsidRPr="00773DBE">
        <w:rPr>
          <w:sz w:val="16"/>
          <w:szCs w:val="16"/>
        </w:rPr>
        <w:t xml:space="preserve"> page 67</w:t>
      </w:r>
    </w:p>
  </w:footnote>
  <w:footnote w:id="3">
    <w:p w14:paraId="333D9E7B" w14:textId="166C40E4" w:rsidR="00440FD2" w:rsidRPr="004735C1" w:rsidRDefault="00440FD2" w:rsidP="008D776A">
      <w:pPr>
        <w:pStyle w:val="FootnoteText"/>
        <w:rPr>
          <w:sz w:val="16"/>
          <w:szCs w:val="16"/>
        </w:rPr>
      </w:pPr>
      <w:r w:rsidRPr="004735C1">
        <w:rPr>
          <w:rStyle w:val="FootnoteReference"/>
          <w:sz w:val="16"/>
          <w:szCs w:val="16"/>
        </w:rPr>
        <w:footnoteRef/>
      </w:r>
      <w:r w:rsidRPr="004735C1">
        <w:rPr>
          <w:sz w:val="16"/>
          <w:szCs w:val="16"/>
        </w:rPr>
        <w:t xml:space="preserve"> </w:t>
      </w:r>
      <w:hyperlink r:id="rId1" w:history="1">
        <w:r w:rsidRPr="004735C1">
          <w:rPr>
            <w:rStyle w:val="Hyperlink"/>
            <w:sz w:val="16"/>
            <w:szCs w:val="16"/>
          </w:rPr>
          <w:t>AusPlay-Focus-Participation-in-Olympic-and-Paralympic-sports.pdf (clearinghouseforsport.gov.au)</w:t>
        </w:r>
      </w:hyperlink>
    </w:p>
  </w:footnote>
  <w:footnote w:id="4">
    <w:p w14:paraId="32977517" w14:textId="52021649" w:rsidR="00440FD2" w:rsidRPr="004735C1" w:rsidRDefault="00440FD2" w:rsidP="00F54EC6">
      <w:pPr>
        <w:pStyle w:val="FootnoteText"/>
        <w:rPr>
          <w:sz w:val="16"/>
          <w:szCs w:val="16"/>
        </w:rPr>
      </w:pPr>
      <w:r w:rsidRPr="004735C1">
        <w:rPr>
          <w:rStyle w:val="FootnoteReference"/>
          <w:sz w:val="16"/>
          <w:szCs w:val="16"/>
        </w:rPr>
        <w:footnoteRef/>
      </w:r>
      <w:r w:rsidRPr="004735C1">
        <w:rPr>
          <w:sz w:val="16"/>
          <w:szCs w:val="16"/>
        </w:rPr>
        <w:t xml:space="preserve"> AusPlay National Data Table 6, 7 &amp; 23</w:t>
      </w:r>
      <w:r w:rsidRPr="00BA5D34">
        <w:rPr>
          <w:sz w:val="16"/>
          <w:szCs w:val="16"/>
        </w:rPr>
        <w:t>, a</w:t>
      </w:r>
      <w:r w:rsidRPr="00A72C4B">
        <w:rPr>
          <w:sz w:val="16"/>
          <w:szCs w:val="16"/>
        </w:rPr>
        <w:t xml:space="preserve">vailable at </w:t>
      </w:r>
      <w:hyperlink r:id="rId2" w:history="1">
        <w:r>
          <w:rPr>
            <w:rStyle w:val="Hyperlink"/>
            <w:sz w:val="16"/>
            <w:szCs w:val="16"/>
          </w:rPr>
          <w:t>Clearing House for Sport</w:t>
        </w:r>
      </w:hyperlink>
    </w:p>
  </w:footnote>
  <w:footnote w:id="5">
    <w:p w14:paraId="7773B477" w14:textId="351DD5D9" w:rsidR="00440FD2" w:rsidRDefault="00440FD2" w:rsidP="00F54EC6">
      <w:pPr>
        <w:pStyle w:val="FootnoteText"/>
      </w:pPr>
      <w:r w:rsidRPr="004735C1">
        <w:rPr>
          <w:rStyle w:val="FootnoteReference"/>
          <w:sz w:val="16"/>
          <w:szCs w:val="16"/>
        </w:rPr>
        <w:footnoteRef/>
      </w:r>
      <w:r w:rsidRPr="004735C1">
        <w:rPr>
          <w:sz w:val="16"/>
          <w:szCs w:val="16"/>
        </w:rPr>
        <w:t xml:space="preserve"> </w:t>
      </w:r>
      <w:r>
        <w:rPr>
          <w:sz w:val="16"/>
          <w:szCs w:val="16"/>
        </w:rPr>
        <w:t xml:space="preserve">Clearing House for Sport (July 2022) </w:t>
      </w:r>
      <w:hyperlink r:id="rId3" w:history="1">
        <w:r>
          <w:rPr>
            <w:rStyle w:val="Hyperlink"/>
            <w:sz w:val="16"/>
            <w:szCs w:val="16"/>
          </w:rPr>
          <w:t>How Australians' participation in sport and physical activity is adapting to COVID normal</w:t>
        </w:r>
      </w:hyperlink>
    </w:p>
  </w:footnote>
  <w:footnote w:id="6">
    <w:p w14:paraId="756B2DE9" w14:textId="54A1ABD0" w:rsidR="00440FD2" w:rsidRPr="00C23E45" w:rsidRDefault="00440FD2" w:rsidP="00C23E45">
      <w:pPr>
        <w:pStyle w:val="FootnoteText"/>
        <w:ind w:left="113" w:hanging="113"/>
        <w:rPr>
          <w:sz w:val="16"/>
          <w:szCs w:val="16"/>
        </w:rPr>
      </w:pPr>
      <w:r w:rsidRPr="00C23E45">
        <w:rPr>
          <w:rStyle w:val="FootnoteReference"/>
          <w:sz w:val="16"/>
          <w:szCs w:val="16"/>
        </w:rPr>
        <w:footnoteRef/>
      </w:r>
      <w:r w:rsidRPr="00C23E45">
        <w:rPr>
          <w:sz w:val="16"/>
          <w:szCs w:val="16"/>
        </w:rPr>
        <w:t xml:space="preserve"> </w:t>
      </w:r>
      <w:r>
        <w:rPr>
          <w:sz w:val="16"/>
          <w:szCs w:val="16"/>
        </w:rPr>
        <w:t>Fox Sports (7 March 2022)</w:t>
      </w:r>
      <w:r w:rsidRPr="00C23E45">
        <w:rPr>
          <w:sz w:val="16"/>
          <w:szCs w:val="16"/>
        </w:rPr>
        <w:t xml:space="preserve"> </w:t>
      </w:r>
      <w:r>
        <w:rPr>
          <w:sz w:val="16"/>
          <w:szCs w:val="16"/>
        </w:rPr>
        <w:t>‘</w:t>
      </w:r>
      <w:hyperlink r:id="rId4" w:history="1">
        <w:r>
          <w:rPr>
            <w:rStyle w:val="Hyperlink"/>
            <w:sz w:val="16"/>
            <w:szCs w:val="16"/>
          </w:rPr>
          <w:t>Huge growth of Aussie love for women's sports revealed in new research</w:t>
        </w:r>
      </w:hyperlink>
      <w:r>
        <w:rPr>
          <w:sz w:val="16"/>
          <w:szCs w:val="16"/>
        </w:rPr>
        <w:t>’</w:t>
      </w:r>
    </w:p>
  </w:footnote>
  <w:footnote w:id="7">
    <w:p w14:paraId="798DC852" w14:textId="59493D6D" w:rsidR="00440FD2" w:rsidRPr="006C6218" w:rsidRDefault="00440FD2">
      <w:pPr>
        <w:pStyle w:val="FootnoteText"/>
        <w:rPr>
          <w:sz w:val="16"/>
          <w:szCs w:val="16"/>
          <w:lang w:val="en-US"/>
        </w:rPr>
      </w:pPr>
      <w:r w:rsidRPr="006C6218">
        <w:rPr>
          <w:rStyle w:val="FootnoteReference"/>
          <w:sz w:val="16"/>
          <w:szCs w:val="16"/>
        </w:rPr>
        <w:footnoteRef/>
      </w:r>
      <w:r w:rsidRPr="006C6218">
        <w:rPr>
          <w:sz w:val="16"/>
          <w:szCs w:val="16"/>
        </w:rPr>
        <w:t xml:space="preserve"> AFL (2014) </w:t>
      </w:r>
      <w:hyperlink r:id="rId5" w:history="1">
        <w:r w:rsidRPr="006C6218">
          <w:rPr>
            <w:rStyle w:val="Hyperlink"/>
            <w:sz w:val="16"/>
            <w:szCs w:val="16"/>
          </w:rPr>
          <w:t>2014-AFL-Annual-Report-min.pdf</w:t>
        </w:r>
      </w:hyperlink>
    </w:p>
  </w:footnote>
  <w:footnote w:id="8">
    <w:p w14:paraId="115AC015" w14:textId="69C669E5" w:rsidR="00440FD2" w:rsidRPr="006C6218" w:rsidRDefault="00440FD2">
      <w:pPr>
        <w:pStyle w:val="FootnoteText"/>
        <w:rPr>
          <w:sz w:val="16"/>
          <w:szCs w:val="16"/>
          <w:lang w:val="en-US"/>
        </w:rPr>
      </w:pPr>
      <w:r w:rsidRPr="006C6218">
        <w:rPr>
          <w:rStyle w:val="FootnoteReference"/>
          <w:sz w:val="16"/>
          <w:szCs w:val="16"/>
        </w:rPr>
        <w:footnoteRef/>
      </w:r>
      <w:r w:rsidRPr="006C6218">
        <w:rPr>
          <w:sz w:val="16"/>
          <w:szCs w:val="16"/>
        </w:rPr>
        <w:t xml:space="preserve"> Phelan J (13 October 2015) ‘</w:t>
      </w:r>
      <w:hyperlink r:id="rId6" w:history="1">
        <w:r w:rsidRPr="006C6218">
          <w:rPr>
            <w:rStyle w:val="Hyperlink"/>
            <w:sz w:val="16"/>
            <w:szCs w:val="16"/>
          </w:rPr>
          <w:t>Women’s participation soars in 2015</w:t>
        </w:r>
      </w:hyperlink>
      <w:r w:rsidRPr="006C6218">
        <w:rPr>
          <w:rStyle w:val="Hyperlink"/>
          <w:sz w:val="16"/>
          <w:szCs w:val="16"/>
        </w:rPr>
        <w:t xml:space="preserve">’ </w:t>
      </w:r>
      <w:r w:rsidRPr="006C6218">
        <w:rPr>
          <w:rStyle w:val="Hyperlink"/>
          <w:color w:val="auto"/>
          <w:sz w:val="16"/>
          <w:szCs w:val="16"/>
          <w:u w:val="none"/>
        </w:rPr>
        <w:t>AFL News</w:t>
      </w:r>
      <w:r w:rsidRPr="006C6218">
        <w:rPr>
          <w:sz w:val="16"/>
          <w:szCs w:val="16"/>
        </w:rPr>
        <w:t xml:space="preserve"> </w:t>
      </w:r>
    </w:p>
  </w:footnote>
  <w:footnote w:id="9">
    <w:p w14:paraId="6BBE53E0" w14:textId="7BD95439" w:rsidR="00440FD2" w:rsidRPr="006C6218" w:rsidRDefault="00440FD2">
      <w:pPr>
        <w:pStyle w:val="FootnoteText"/>
        <w:rPr>
          <w:sz w:val="16"/>
          <w:szCs w:val="16"/>
          <w:lang w:val="en-US"/>
        </w:rPr>
      </w:pPr>
      <w:r w:rsidRPr="006C6218">
        <w:rPr>
          <w:rStyle w:val="FootnoteReference"/>
          <w:sz w:val="16"/>
          <w:szCs w:val="16"/>
        </w:rPr>
        <w:footnoteRef/>
      </w:r>
      <w:r w:rsidRPr="006C6218">
        <w:rPr>
          <w:sz w:val="16"/>
          <w:szCs w:val="16"/>
        </w:rPr>
        <w:t xml:space="preserve"> AFL (2021) </w:t>
      </w:r>
      <w:hyperlink r:id="rId7" w:history="1">
        <w:r w:rsidRPr="006C6218">
          <w:rPr>
            <w:rStyle w:val="Hyperlink"/>
            <w:sz w:val="16"/>
            <w:szCs w:val="16"/>
          </w:rPr>
          <w:t>2021-AFL-Annual-Report.pdf</w:t>
        </w:r>
      </w:hyperlink>
    </w:p>
  </w:footnote>
  <w:footnote w:id="10">
    <w:p w14:paraId="389E810D" w14:textId="5B810D56" w:rsidR="00440FD2" w:rsidRPr="006C6218" w:rsidRDefault="00440FD2" w:rsidP="00C02FF4">
      <w:pPr>
        <w:pStyle w:val="FootnoteText"/>
        <w:rPr>
          <w:sz w:val="16"/>
          <w:szCs w:val="16"/>
          <w:lang w:val="en-US"/>
        </w:rPr>
      </w:pPr>
      <w:r w:rsidRPr="006C6218">
        <w:rPr>
          <w:rStyle w:val="FootnoteReference"/>
          <w:sz w:val="16"/>
          <w:szCs w:val="16"/>
        </w:rPr>
        <w:footnoteRef/>
      </w:r>
      <w:r w:rsidRPr="006C6218">
        <w:rPr>
          <w:sz w:val="16"/>
          <w:szCs w:val="16"/>
        </w:rPr>
        <w:t xml:space="preserve"> Shorthouse J (3 April 2022) </w:t>
      </w:r>
      <w:hyperlink r:id="rId8" w:history="1">
        <w:r w:rsidRPr="006C6218">
          <w:rPr>
            <w:rStyle w:val="Hyperlink"/>
            <w:sz w:val="16"/>
            <w:szCs w:val="16"/>
          </w:rPr>
          <w:t xml:space="preserve">Tennis boom across Australia as Barty, Alcott, Kyrgios and Kokkinakis success ‘breeds success’ </w:t>
        </w:r>
      </w:hyperlink>
      <w:r w:rsidRPr="006C6218">
        <w:rPr>
          <w:rStyle w:val="Hyperlink"/>
          <w:color w:val="auto"/>
          <w:sz w:val="16"/>
          <w:szCs w:val="16"/>
          <w:u w:val="none"/>
        </w:rPr>
        <w:t>ABC News</w:t>
      </w:r>
    </w:p>
  </w:footnote>
  <w:footnote w:id="11">
    <w:p w14:paraId="2176E984" w14:textId="174156DB" w:rsidR="00440FD2" w:rsidRPr="008B023B" w:rsidRDefault="00440FD2">
      <w:pPr>
        <w:pStyle w:val="FootnoteText"/>
        <w:rPr>
          <w:sz w:val="16"/>
          <w:szCs w:val="16"/>
          <w:lang w:val="en-US"/>
        </w:rPr>
      </w:pPr>
      <w:r w:rsidRPr="008B023B">
        <w:rPr>
          <w:rStyle w:val="FootnoteReference"/>
          <w:sz w:val="16"/>
          <w:szCs w:val="16"/>
        </w:rPr>
        <w:footnoteRef/>
      </w:r>
      <w:r w:rsidRPr="008B023B">
        <w:rPr>
          <w:sz w:val="16"/>
          <w:szCs w:val="16"/>
        </w:rPr>
        <w:t xml:space="preserve"> </w:t>
      </w:r>
      <w:r>
        <w:rPr>
          <w:sz w:val="16"/>
          <w:szCs w:val="16"/>
        </w:rPr>
        <w:t xml:space="preserve">Tu J (28 July 2022) </w:t>
      </w:r>
      <w:hyperlink r:id="rId9" w:history="1">
        <w:r>
          <w:rPr>
            <w:rStyle w:val="Hyperlink"/>
            <w:sz w:val="16"/>
            <w:szCs w:val="16"/>
          </w:rPr>
          <w:t>Female rugby league participants up by 3000 in NSW</w:t>
        </w:r>
      </w:hyperlink>
      <w:r>
        <w:rPr>
          <w:sz w:val="16"/>
          <w:szCs w:val="16"/>
        </w:rPr>
        <w:t xml:space="preserve"> Women’s Agenda;</w:t>
      </w:r>
      <w:r w:rsidRPr="008B023B">
        <w:rPr>
          <w:sz w:val="16"/>
          <w:szCs w:val="16"/>
        </w:rPr>
        <w:t xml:space="preserve"> </w:t>
      </w:r>
      <w:r>
        <w:rPr>
          <w:sz w:val="16"/>
          <w:szCs w:val="16"/>
        </w:rPr>
        <w:t xml:space="preserve">NRL </w:t>
      </w:r>
      <w:hyperlink r:id="rId10" w:history="1">
        <w:r>
          <w:rPr>
            <w:rStyle w:val="Hyperlink"/>
            <w:sz w:val="16"/>
            <w:szCs w:val="16"/>
          </w:rPr>
          <w:t>Women and Girls | Community</w:t>
        </w:r>
      </w:hyperlink>
    </w:p>
  </w:footnote>
  <w:footnote w:id="12">
    <w:p w14:paraId="4FA46D70" w14:textId="40ADCDAD" w:rsidR="00440FD2" w:rsidRPr="008B023B" w:rsidRDefault="00440FD2">
      <w:pPr>
        <w:pStyle w:val="FootnoteText"/>
        <w:rPr>
          <w:sz w:val="16"/>
          <w:szCs w:val="16"/>
          <w:lang w:val="en-US"/>
        </w:rPr>
      </w:pPr>
      <w:r w:rsidRPr="008B023B">
        <w:rPr>
          <w:rStyle w:val="FootnoteReference"/>
          <w:sz w:val="16"/>
          <w:szCs w:val="16"/>
        </w:rPr>
        <w:footnoteRef/>
      </w:r>
      <w:r w:rsidRPr="008B023B">
        <w:rPr>
          <w:sz w:val="16"/>
          <w:szCs w:val="16"/>
        </w:rPr>
        <w:t xml:space="preserve"> </w:t>
      </w:r>
      <w:r>
        <w:rPr>
          <w:sz w:val="16"/>
          <w:szCs w:val="16"/>
        </w:rPr>
        <w:t xml:space="preserve">Nine for Brands (4 October 2022) </w:t>
      </w:r>
      <w:hyperlink r:id="rId11" w:anchor=":~:text=Billed%20as%20the%20Battle%20of,audience%20to%202.756%20million%20viewers." w:history="1">
        <w:r>
          <w:rPr>
            <w:rStyle w:val="Hyperlink"/>
            <w:sz w:val="16"/>
            <w:szCs w:val="16"/>
          </w:rPr>
          <w:t>NRL Grand Final breaks streaming records on 9Now</w:t>
        </w:r>
      </w:hyperlink>
    </w:p>
  </w:footnote>
  <w:footnote w:id="13">
    <w:p w14:paraId="2A8ED2CB" w14:textId="66B83B14" w:rsidR="00440FD2" w:rsidRPr="00C23E45" w:rsidRDefault="00440FD2" w:rsidP="00C23E45">
      <w:pPr>
        <w:pStyle w:val="FootnoteText"/>
        <w:ind w:left="113" w:hanging="113"/>
        <w:rPr>
          <w:sz w:val="16"/>
          <w:szCs w:val="16"/>
        </w:rPr>
      </w:pPr>
      <w:r w:rsidRPr="00C23E45">
        <w:rPr>
          <w:rStyle w:val="FootnoteReference"/>
          <w:sz w:val="16"/>
          <w:szCs w:val="16"/>
        </w:rPr>
        <w:footnoteRef/>
      </w:r>
      <w:r w:rsidRPr="00C23E45">
        <w:rPr>
          <w:sz w:val="16"/>
          <w:szCs w:val="16"/>
        </w:rPr>
        <w:t xml:space="preserve"> </w:t>
      </w:r>
      <w:r>
        <w:rPr>
          <w:sz w:val="16"/>
          <w:szCs w:val="16"/>
        </w:rPr>
        <w:t>Colleypriest J (</w:t>
      </w:r>
      <w:r w:rsidRPr="00C23E45">
        <w:rPr>
          <w:sz w:val="16"/>
          <w:szCs w:val="16"/>
        </w:rPr>
        <w:t>4 March 2020</w:t>
      </w:r>
      <w:r>
        <w:rPr>
          <w:sz w:val="16"/>
          <w:szCs w:val="16"/>
        </w:rPr>
        <w:t>)</w:t>
      </w:r>
      <w:r w:rsidRPr="00C23E45">
        <w:rPr>
          <w:sz w:val="16"/>
          <w:szCs w:val="16"/>
        </w:rPr>
        <w:t xml:space="preserve"> </w:t>
      </w:r>
      <w:hyperlink r:id="rId12" w:history="1">
        <w:r>
          <w:rPr>
            <w:rStyle w:val="Hyperlink"/>
            <w:sz w:val="16"/>
            <w:szCs w:val="16"/>
          </w:rPr>
          <w:t>Does paywall coverage really damage grassroots participation?</w:t>
        </w:r>
      </w:hyperlink>
      <w:r>
        <w:rPr>
          <w:sz w:val="16"/>
          <w:szCs w:val="16"/>
        </w:rPr>
        <w:t xml:space="preserve"> The Underblog</w:t>
      </w:r>
    </w:p>
  </w:footnote>
  <w:footnote w:id="14">
    <w:p w14:paraId="019F3FF3" w14:textId="44BF4C87" w:rsidR="00440FD2" w:rsidRPr="00E600E2" w:rsidRDefault="00440FD2">
      <w:pPr>
        <w:pStyle w:val="FootnoteText"/>
        <w:rPr>
          <w:sz w:val="16"/>
          <w:szCs w:val="16"/>
          <w:lang w:val="en-US"/>
        </w:rPr>
      </w:pPr>
      <w:r w:rsidRPr="00E600E2">
        <w:rPr>
          <w:rStyle w:val="FootnoteReference"/>
          <w:sz w:val="16"/>
          <w:szCs w:val="16"/>
        </w:rPr>
        <w:footnoteRef/>
      </w:r>
      <w:r w:rsidRPr="00E600E2">
        <w:rPr>
          <w:sz w:val="16"/>
          <w:szCs w:val="16"/>
        </w:rPr>
        <w:t xml:space="preserve"> </w:t>
      </w:r>
      <w:r>
        <w:rPr>
          <w:sz w:val="16"/>
          <w:szCs w:val="16"/>
        </w:rPr>
        <w:t xml:space="preserve">Bull A (20 March 2019) </w:t>
      </w:r>
      <w:hyperlink r:id="rId13" w:history="1">
        <w:r>
          <w:rPr>
            <w:rStyle w:val="Hyperlink"/>
            <w:sz w:val="16"/>
            <w:szCs w:val="16"/>
          </w:rPr>
          <w:t xml:space="preserve">Keeping the Six Nations on free-to-air TV should not be up for debate </w:t>
        </w:r>
      </w:hyperlink>
      <w:r w:rsidRPr="008E1CF9">
        <w:rPr>
          <w:rStyle w:val="Hyperlink"/>
          <w:color w:val="auto"/>
          <w:sz w:val="16"/>
          <w:szCs w:val="16"/>
          <w:u w:val="none"/>
        </w:rPr>
        <w:t>The Guardian</w:t>
      </w:r>
    </w:p>
  </w:footnote>
  <w:footnote w:id="15">
    <w:p w14:paraId="7E2DE1AA" w14:textId="313E2D8C" w:rsidR="00440FD2" w:rsidRPr="00B60AC7" w:rsidRDefault="00440FD2" w:rsidP="007558A6">
      <w:pPr>
        <w:pStyle w:val="FootnoteText"/>
        <w:rPr>
          <w:sz w:val="16"/>
          <w:szCs w:val="16"/>
          <w:lang w:val="en-US"/>
        </w:rPr>
      </w:pPr>
      <w:r w:rsidRPr="00B60AC7">
        <w:rPr>
          <w:rStyle w:val="FootnoteReference"/>
          <w:sz w:val="16"/>
          <w:szCs w:val="16"/>
        </w:rPr>
        <w:footnoteRef/>
      </w:r>
      <w:r w:rsidRPr="00B60AC7">
        <w:rPr>
          <w:sz w:val="16"/>
          <w:szCs w:val="16"/>
        </w:rPr>
        <w:t xml:space="preserve"> </w:t>
      </w:r>
      <w:r w:rsidRPr="009C5E5F">
        <w:rPr>
          <w:i/>
          <w:sz w:val="16"/>
          <w:szCs w:val="16"/>
        </w:rPr>
        <w:t>Broadcasting</w:t>
      </w:r>
      <w:r>
        <w:rPr>
          <w:sz w:val="16"/>
          <w:szCs w:val="16"/>
        </w:rPr>
        <w:t xml:space="preserve"> </w:t>
      </w:r>
      <w:r w:rsidRPr="00B60AC7">
        <w:rPr>
          <w:i/>
          <w:sz w:val="16"/>
          <w:szCs w:val="16"/>
        </w:rPr>
        <w:t>Services Act 1992</w:t>
      </w:r>
      <w:r>
        <w:rPr>
          <w:i/>
          <w:sz w:val="16"/>
          <w:szCs w:val="16"/>
        </w:rPr>
        <w:t>,</w:t>
      </w:r>
      <w:r w:rsidRPr="009C5E5F">
        <w:rPr>
          <w:sz w:val="16"/>
          <w:szCs w:val="16"/>
        </w:rPr>
        <w:t xml:space="preserve"> </w:t>
      </w:r>
      <w:r w:rsidRPr="00B60AC7">
        <w:rPr>
          <w:sz w:val="16"/>
          <w:szCs w:val="16"/>
        </w:rPr>
        <w:t>Schedule 2, Part 6, paragraph 10(1)(e)</w:t>
      </w:r>
    </w:p>
  </w:footnote>
  <w:footnote w:id="16">
    <w:p w14:paraId="0CEB432A" w14:textId="3E52206C" w:rsidR="00440FD2" w:rsidRPr="00B60AC7" w:rsidRDefault="00440FD2">
      <w:pPr>
        <w:pStyle w:val="FootnoteText"/>
        <w:rPr>
          <w:sz w:val="16"/>
          <w:szCs w:val="16"/>
          <w:lang w:val="en-US"/>
        </w:rPr>
      </w:pPr>
      <w:r w:rsidRPr="00B60AC7">
        <w:rPr>
          <w:rStyle w:val="FootnoteReference"/>
          <w:sz w:val="16"/>
          <w:szCs w:val="16"/>
        </w:rPr>
        <w:footnoteRef/>
      </w:r>
      <w:r w:rsidRPr="00B60AC7">
        <w:rPr>
          <w:sz w:val="16"/>
          <w:szCs w:val="16"/>
        </w:rPr>
        <w:t xml:space="preserve"> </w:t>
      </w:r>
      <w:r w:rsidRPr="00B60AC7">
        <w:rPr>
          <w:i/>
          <w:sz w:val="16"/>
          <w:szCs w:val="16"/>
        </w:rPr>
        <w:t>Broadcasting Services Act 1992</w:t>
      </w:r>
      <w:r>
        <w:rPr>
          <w:i/>
          <w:sz w:val="16"/>
          <w:szCs w:val="16"/>
        </w:rPr>
        <w:t>,</w:t>
      </w:r>
      <w:r w:rsidRPr="009C5E5F">
        <w:rPr>
          <w:sz w:val="16"/>
          <w:szCs w:val="16"/>
        </w:rPr>
        <w:t xml:space="preserve"> </w:t>
      </w:r>
      <w:r w:rsidRPr="00B60AC7">
        <w:rPr>
          <w:sz w:val="16"/>
          <w:szCs w:val="16"/>
        </w:rPr>
        <w:t>Subsection 115(1AA)</w:t>
      </w:r>
    </w:p>
  </w:footnote>
  <w:footnote w:id="17">
    <w:p w14:paraId="0497A947" w14:textId="1DE297BF" w:rsidR="00440FD2" w:rsidRPr="007B2F00" w:rsidRDefault="00440FD2">
      <w:pPr>
        <w:pStyle w:val="FootnoteText"/>
        <w:rPr>
          <w:lang w:val="en-US"/>
        </w:rPr>
      </w:pPr>
      <w:r w:rsidRPr="00B60AC7">
        <w:rPr>
          <w:rStyle w:val="FootnoteReference"/>
          <w:sz w:val="16"/>
          <w:szCs w:val="16"/>
        </w:rPr>
        <w:footnoteRef/>
      </w:r>
      <w:r w:rsidRPr="00B60AC7">
        <w:rPr>
          <w:sz w:val="16"/>
          <w:szCs w:val="16"/>
        </w:rPr>
        <w:t xml:space="preserve"> </w:t>
      </w:r>
      <w:r w:rsidRPr="00B60AC7">
        <w:rPr>
          <w:i/>
          <w:sz w:val="16"/>
          <w:szCs w:val="16"/>
        </w:rPr>
        <w:t>Broadcasting Services Act 1992</w:t>
      </w:r>
      <w:r>
        <w:rPr>
          <w:i/>
          <w:sz w:val="16"/>
          <w:szCs w:val="16"/>
        </w:rPr>
        <w:t>,</w:t>
      </w:r>
      <w:r w:rsidRPr="009C5E5F">
        <w:rPr>
          <w:sz w:val="16"/>
          <w:szCs w:val="16"/>
        </w:rPr>
        <w:t xml:space="preserve"> </w:t>
      </w:r>
      <w:r w:rsidRPr="00B60AC7">
        <w:rPr>
          <w:sz w:val="16"/>
          <w:szCs w:val="16"/>
        </w:rPr>
        <w:t>Subsection 115(2)</w:t>
      </w:r>
    </w:p>
  </w:footnote>
  <w:footnote w:id="18">
    <w:p w14:paraId="37194553" w14:textId="1EE55ED2" w:rsidR="00440FD2" w:rsidRPr="00493922" w:rsidRDefault="00440FD2" w:rsidP="00AB5DF7">
      <w:pPr>
        <w:pStyle w:val="FootnoteText"/>
        <w:ind w:left="113" w:hanging="113"/>
        <w:rPr>
          <w:sz w:val="16"/>
          <w:szCs w:val="16"/>
          <w:lang w:val="en-US"/>
        </w:rPr>
      </w:pPr>
      <w:r w:rsidRPr="00B60AC7">
        <w:rPr>
          <w:rStyle w:val="FootnoteReference"/>
          <w:sz w:val="16"/>
          <w:szCs w:val="16"/>
        </w:rPr>
        <w:footnoteRef/>
      </w:r>
      <w:r w:rsidRPr="00B60AC7">
        <w:rPr>
          <w:sz w:val="16"/>
          <w:szCs w:val="16"/>
        </w:rPr>
        <w:t xml:space="preserve"> </w:t>
      </w:r>
      <w:r w:rsidRPr="00493922">
        <w:rPr>
          <w:sz w:val="16"/>
          <w:szCs w:val="16"/>
        </w:rPr>
        <w:t xml:space="preserve">For example, in </w:t>
      </w:r>
      <w:r w:rsidRPr="00287F81">
        <w:rPr>
          <w:i/>
          <w:sz w:val="16"/>
          <w:szCs w:val="16"/>
        </w:rPr>
        <w:t>Foxtel Cable Television Pty Ltd v Nine Network Australia Pty Ltd &amp; Australian Broadcasting Authority</w:t>
      </w:r>
      <w:r w:rsidRPr="00287F81">
        <w:rPr>
          <w:sz w:val="16"/>
          <w:szCs w:val="16"/>
        </w:rPr>
        <w:t xml:space="preserve"> [1997] FCA 185 (26 March 1997),</w:t>
      </w:r>
      <w:r w:rsidRPr="00493922">
        <w:rPr>
          <w:sz w:val="16"/>
          <w:szCs w:val="16"/>
        </w:rPr>
        <w:t xml:space="preserve"> the</w:t>
      </w:r>
      <w:r w:rsidRPr="00493922">
        <w:rPr>
          <w:sz w:val="16"/>
          <w:szCs w:val="16"/>
          <w:lang w:val="en-US"/>
        </w:rPr>
        <w:t xml:space="preserve"> court concluded that the effect of a contractual condition to delay the free-to-air broadcast of listed cricket matches by 7 days meant that the free-to-air broadcaster never acquired the right to televise any of the matches during the period they were on the list of declared events. The court found that it could not be said that a “national broadcaster or television broadcasting licensee has the “</w:t>
      </w:r>
      <w:r w:rsidRPr="00493922">
        <w:rPr>
          <w:i/>
          <w:sz w:val="16"/>
          <w:szCs w:val="16"/>
          <w:lang w:val="en-US"/>
        </w:rPr>
        <w:t>right to televise the event</w:t>
      </w:r>
      <w:r w:rsidRPr="00493922">
        <w:rPr>
          <w:sz w:val="16"/>
          <w:szCs w:val="16"/>
          <w:lang w:val="en-US"/>
        </w:rPr>
        <w:t>” unless that broadcaster or licensee can televise it as it happens, or as soon thereafter as is technically feasible.” Similarly, it concluded that a right limited to broadcasting one-hour of highlights could not be said to be a right to televise the event, as "the summary of a work is not the work itself”.</w:t>
      </w:r>
    </w:p>
  </w:footnote>
  <w:footnote w:id="19">
    <w:p w14:paraId="2F949E92" w14:textId="2489E670" w:rsidR="00440FD2" w:rsidRPr="00493922" w:rsidRDefault="00440FD2">
      <w:pPr>
        <w:pStyle w:val="FootnoteText"/>
        <w:rPr>
          <w:sz w:val="16"/>
          <w:szCs w:val="16"/>
          <w:lang w:val="en-US"/>
        </w:rPr>
      </w:pPr>
      <w:r w:rsidRPr="00493922">
        <w:rPr>
          <w:rStyle w:val="FootnoteReference"/>
          <w:sz w:val="16"/>
          <w:szCs w:val="16"/>
        </w:rPr>
        <w:footnoteRef/>
      </w:r>
      <w:r w:rsidRPr="00493922">
        <w:rPr>
          <w:sz w:val="16"/>
          <w:szCs w:val="16"/>
        </w:rPr>
        <w:t xml:space="preserve"> </w:t>
      </w:r>
      <w:r w:rsidRPr="00493922">
        <w:rPr>
          <w:i/>
          <w:sz w:val="16"/>
          <w:szCs w:val="16"/>
          <w:lang w:val="en-US"/>
        </w:rPr>
        <w:t>Broadcasting Services Act 1992</w:t>
      </w:r>
      <w:r>
        <w:rPr>
          <w:i/>
          <w:sz w:val="16"/>
          <w:szCs w:val="16"/>
          <w:lang w:val="en-US"/>
        </w:rPr>
        <w:t>,</w:t>
      </w:r>
      <w:r w:rsidRPr="009C5E5F">
        <w:rPr>
          <w:sz w:val="16"/>
          <w:szCs w:val="16"/>
          <w:lang w:val="en-US"/>
        </w:rPr>
        <w:t xml:space="preserve"> </w:t>
      </w:r>
      <w:r w:rsidRPr="00493922">
        <w:rPr>
          <w:sz w:val="16"/>
          <w:szCs w:val="16"/>
          <w:lang w:val="en-US"/>
        </w:rPr>
        <w:t>Subsection 115(1)</w:t>
      </w:r>
    </w:p>
  </w:footnote>
  <w:footnote w:id="20">
    <w:p w14:paraId="4DA3D8E5" w14:textId="2FC141B3" w:rsidR="00440FD2" w:rsidRPr="009C5E5F" w:rsidRDefault="00440FD2" w:rsidP="006C67B4">
      <w:pPr>
        <w:pStyle w:val="FootnoteText"/>
        <w:ind w:left="113" w:hanging="113"/>
        <w:rPr>
          <w:sz w:val="16"/>
          <w:lang w:val="en-US"/>
        </w:rPr>
      </w:pPr>
      <w:r w:rsidRPr="009C5E5F">
        <w:rPr>
          <w:rStyle w:val="FootnoteReference"/>
          <w:sz w:val="16"/>
        </w:rPr>
        <w:footnoteRef/>
      </w:r>
      <w:r w:rsidRPr="009C5E5F">
        <w:rPr>
          <w:sz w:val="16"/>
        </w:rPr>
        <w:t xml:space="preserve"> Independent reviews include: </w:t>
      </w:r>
      <w:r w:rsidRPr="009C5E5F">
        <w:rPr>
          <w:i/>
          <w:sz w:val="16"/>
        </w:rPr>
        <w:t>Productivity Commission</w:t>
      </w:r>
      <w:r w:rsidRPr="009C5E5F">
        <w:rPr>
          <w:sz w:val="16"/>
        </w:rPr>
        <w:t xml:space="preserve"> (2000),</w:t>
      </w:r>
      <w:r w:rsidRPr="009C5E5F">
        <w:rPr>
          <w:i/>
          <w:sz w:val="16"/>
        </w:rPr>
        <w:t xml:space="preserve"> Broadcasting Inquiry Report</w:t>
      </w:r>
      <w:r w:rsidRPr="009C5E5F">
        <w:rPr>
          <w:sz w:val="16"/>
        </w:rPr>
        <w:t xml:space="preserve">; </w:t>
      </w:r>
      <w:r w:rsidRPr="009C5E5F">
        <w:rPr>
          <w:sz w:val="16"/>
          <w:lang w:val="en-US"/>
        </w:rPr>
        <w:t>Australian Broadcasting Authority (2001),</w:t>
      </w:r>
      <w:r w:rsidRPr="009C5E5F">
        <w:rPr>
          <w:i/>
          <w:sz w:val="16"/>
        </w:rPr>
        <w:t xml:space="preserve"> Investigation into Events on the Anti-Siphoning List: Report to the Minister for Communications, Information Technology and the Arts</w:t>
      </w:r>
      <w:r w:rsidRPr="009C5E5F">
        <w:rPr>
          <w:sz w:val="16"/>
          <w:lang w:val="en-US"/>
        </w:rPr>
        <w:t>; Productivity Commission (2009),</w:t>
      </w:r>
      <w:r w:rsidRPr="009C5E5F">
        <w:rPr>
          <w:i/>
          <w:sz w:val="16"/>
          <w:lang w:val="en-US"/>
        </w:rPr>
        <w:t xml:space="preserve"> Annual Review of Regulatory Burdens on Business: Social and Economic Infrastructure Services.</w:t>
      </w:r>
    </w:p>
  </w:footnote>
  <w:footnote w:id="21">
    <w:p w14:paraId="39524279" w14:textId="26C0BBBB" w:rsidR="00440FD2" w:rsidRPr="00BA6B0F" w:rsidRDefault="00440FD2" w:rsidP="00253D3A">
      <w:pPr>
        <w:pStyle w:val="FootnoteText"/>
        <w:rPr>
          <w:sz w:val="16"/>
          <w:lang w:val="en-US"/>
        </w:rPr>
      </w:pPr>
      <w:r w:rsidRPr="00BA6B0F">
        <w:rPr>
          <w:rStyle w:val="FootnoteReference"/>
          <w:sz w:val="16"/>
        </w:rPr>
        <w:footnoteRef/>
      </w:r>
      <w:r w:rsidRPr="00BA6B0F">
        <w:rPr>
          <w:sz w:val="16"/>
        </w:rPr>
        <w:t xml:space="preserve"> Broadcasting Legislation Amendment (Broadcasting Reform) Bill 2017</w:t>
      </w:r>
    </w:p>
  </w:footnote>
  <w:footnote w:id="22">
    <w:p w14:paraId="1B4B25B0" w14:textId="70692187" w:rsidR="00440FD2" w:rsidRPr="00287F81" w:rsidRDefault="00440FD2">
      <w:pPr>
        <w:pStyle w:val="FootnoteText"/>
        <w:rPr>
          <w:sz w:val="16"/>
          <w:szCs w:val="16"/>
          <w:lang w:val="en-US"/>
        </w:rPr>
      </w:pPr>
      <w:r w:rsidRPr="00287F81">
        <w:rPr>
          <w:rStyle w:val="FootnoteReference"/>
          <w:sz w:val="16"/>
          <w:szCs w:val="16"/>
        </w:rPr>
        <w:footnoteRef/>
      </w:r>
      <w:r w:rsidRPr="00287F81">
        <w:rPr>
          <w:sz w:val="16"/>
          <w:szCs w:val="16"/>
        </w:rPr>
        <w:t xml:space="preserve"> </w:t>
      </w:r>
      <w:r w:rsidRPr="00287F81">
        <w:rPr>
          <w:i/>
          <w:sz w:val="16"/>
          <w:szCs w:val="16"/>
          <w:lang w:val="en-US"/>
        </w:rPr>
        <w:t>Broadcasting Services Act 1992,</w:t>
      </w:r>
      <w:r w:rsidRPr="00287F81">
        <w:rPr>
          <w:sz w:val="16"/>
          <w:szCs w:val="16"/>
          <w:lang w:val="en-US"/>
        </w:rPr>
        <w:t xml:space="preserve"> Part 10A</w:t>
      </w:r>
    </w:p>
  </w:footnote>
  <w:footnote w:id="23">
    <w:p w14:paraId="206F5373" w14:textId="57C79FDE" w:rsidR="00440FD2" w:rsidRPr="00287F81" w:rsidRDefault="00440FD2">
      <w:pPr>
        <w:pStyle w:val="FootnoteText"/>
        <w:rPr>
          <w:sz w:val="16"/>
          <w:szCs w:val="16"/>
          <w:lang w:val="en-US"/>
        </w:rPr>
      </w:pPr>
      <w:r w:rsidRPr="00287F81">
        <w:rPr>
          <w:rStyle w:val="FootnoteReference"/>
          <w:sz w:val="16"/>
          <w:szCs w:val="16"/>
        </w:rPr>
        <w:footnoteRef/>
      </w:r>
      <w:r w:rsidRPr="00287F81">
        <w:rPr>
          <w:i/>
          <w:sz w:val="16"/>
          <w:szCs w:val="16"/>
          <w:lang w:val="en-US"/>
        </w:rPr>
        <w:t xml:space="preserve"> Broadcasting Services Act 1992,</w:t>
      </w:r>
      <w:r w:rsidRPr="00287F81">
        <w:rPr>
          <w:sz w:val="16"/>
          <w:szCs w:val="16"/>
          <w:lang w:val="en-US"/>
        </w:rPr>
        <w:t xml:space="preserve"> Section 146C</w:t>
      </w:r>
    </w:p>
  </w:footnote>
  <w:footnote w:id="24">
    <w:p w14:paraId="6556B32F" w14:textId="3F4CE916" w:rsidR="00440FD2" w:rsidRPr="00915FFA" w:rsidRDefault="00440FD2">
      <w:pPr>
        <w:pStyle w:val="FootnoteText"/>
        <w:rPr>
          <w:sz w:val="16"/>
          <w:szCs w:val="16"/>
          <w:lang w:val="en-US"/>
        </w:rPr>
      </w:pPr>
      <w:r w:rsidRPr="00915FFA">
        <w:rPr>
          <w:rStyle w:val="FootnoteReference"/>
          <w:sz w:val="16"/>
          <w:szCs w:val="16"/>
        </w:rPr>
        <w:footnoteRef/>
      </w:r>
      <w:r w:rsidRPr="00915FFA">
        <w:rPr>
          <w:sz w:val="16"/>
          <w:szCs w:val="16"/>
        </w:rPr>
        <w:t xml:space="preserve"> </w:t>
      </w:r>
      <w:r w:rsidRPr="00915FFA">
        <w:rPr>
          <w:i/>
          <w:sz w:val="16"/>
          <w:szCs w:val="16"/>
          <w:lang w:val="en-US"/>
        </w:rPr>
        <w:t xml:space="preserve">Broadcasting Services Act 1992, </w:t>
      </w:r>
      <w:r w:rsidRPr="00915FFA">
        <w:rPr>
          <w:sz w:val="16"/>
          <w:szCs w:val="16"/>
          <w:lang w:val="en-US"/>
        </w:rPr>
        <w:t>Section</w:t>
      </w:r>
      <w:r>
        <w:rPr>
          <w:sz w:val="16"/>
          <w:szCs w:val="16"/>
          <w:lang w:val="en-US"/>
        </w:rPr>
        <w:t>s 146C and</w:t>
      </w:r>
      <w:r w:rsidRPr="00915FFA">
        <w:rPr>
          <w:sz w:val="16"/>
          <w:szCs w:val="16"/>
          <w:lang w:val="en-US"/>
        </w:rPr>
        <w:t xml:space="preserve"> 146H </w:t>
      </w:r>
    </w:p>
  </w:footnote>
  <w:footnote w:id="25">
    <w:p w14:paraId="23CAD0AE" w14:textId="0EF96165" w:rsidR="00440FD2" w:rsidRPr="00287F81" w:rsidRDefault="00440FD2">
      <w:pPr>
        <w:pStyle w:val="FootnoteText"/>
        <w:rPr>
          <w:sz w:val="16"/>
          <w:szCs w:val="16"/>
          <w:lang w:val="en-US"/>
        </w:rPr>
      </w:pPr>
      <w:r w:rsidRPr="00287F81">
        <w:rPr>
          <w:rStyle w:val="FootnoteReference"/>
          <w:sz w:val="16"/>
          <w:szCs w:val="16"/>
        </w:rPr>
        <w:footnoteRef/>
      </w:r>
      <w:r w:rsidRPr="00287F81">
        <w:rPr>
          <w:sz w:val="16"/>
          <w:szCs w:val="16"/>
        </w:rPr>
        <w:t xml:space="preserve"> </w:t>
      </w:r>
      <w:r w:rsidRPr="00287F81">
        <w:rPr>
          <w:i/>
          <w:sz w:val="16"/>
          <w:szCs w:val="16"/>
          <w:lang w:val="en-US"/>
        </w:rPr>
        <w:t>Broadcasting Services Act 1992,</w:t>
      </w:r>
      <w:r w:rsidRPr="00287F81">
        <w:rPr>
          <w:sz w:val="16"/>
          <w:szCs w:val="16"/>
          <w:lang w:val="en-US"/>
        </w:rPr>
        <w:t xml:space="preserve"> Section 146CA</w:t>
      </w:r>
    </w:p>
  </w:footnote>
  <w:footnote w:id="26">
    <w:p w14:paraId="1CFC9F4E" w14:textId="0CDF78CA" w:rsidR="00440FD2" w:rsidRPr="0069367F" w:rsidRDefault="00440FD2">
      <w:pPr>
        <w:pStyle w:val="FootnoteText"/>
        <w:rPr>
          <w:sz w:val="16"/>
          <w:szCs w:val="16"/>
          <w:lang w:val="en-US"/>
        </w:rPr>
      </w:pPr>
      <w:r w:rsidRPr="00287F81">
        <w:rPr>
          <w:rStyle w:val="FootnoteReference"/>
          <w:sz w:val="16"/>
          <w:szCs w:val="16"/>
        </w:rPr>
        <w:footnoteRef/>
      </w:r>
      <w:r w:rsidRPr="00287F81">
        <w:rPr>
          <w:sz w:val="16"/>
          <w:szCs w:val="16"/>
        </w:rPr>
        <w:t xml:space="preserve"> </w:t>
      </w:r>
      <w:r w:rsidRPr="00287F81">
        <w:rPr>
          <w:i/>
          <w:sz w:val="16"/>
          <w:szCs w:val="16"/>
          <w:lang w:val="en-US"/>
        </w:rPr>
        <w:t>Broadcasting services Act 1992,</w:t>
      </w:r>
      <w:r w:rsidRPr="00287F81">
        <w:rPr>
          <w:sz w:val="16"/>
          <w:szCs w:val="16"/>
          <w:lang w:val="en-US"/>
        </w:rPr>
        <w:t xml:space="preserve"> Sections 146E, 146F and 146L</w:t>
      </w:r>
    </w:p>
  </w:footnote>
  <w:footnote w:id="27">
    <w:p w14:paraId="448643F6" w14:textId="261BDC1A" w:rsidR="00440FD2" w:rsidRPr="0069367F" w:rsidRDefault="00440FD2">
      <w:pPr>
        <w:pStyle w:val="FootnoteText"/>
        <w:rPr>
          <w:sz w:val="16"/>
          <w:szCs w:val="16"/>
          <w:lang w:val="en-US"/>
        </w:rPr>
      </w:pPr>
      <w:r w:rsidRPr="0069367F">
        <w:rPr>
          <w:rStyle w:val="FootnoteReference"/>
          <w:sz w:val="16"/>
          <w:szCs w:val="16"/>
        </w:rPr>
        <w:footnoteRef/>
      </w:r>
      <w:r w:rsidRPr="0069367F">
        <w:rPr>
          <w:sz w:val="16"/>
          <w:szCs w:val="16"/>
        </w:rPr>
        <w:t xml:space="preserve"> </w:t>
      </w:r>
      <w:r w:rsidRPr="0069367F">
        <w:rPr>
          <w:i/>
          <w:sz w:val="16"/>
          <w:szCs w:val="16"/>
          <w:lang w:val="en-US"/>
        </w:rPr>
        <w:t>Broadcasting Services Act 1992</w:t>
      </w:r>
      <w:r>
        <w:rPr>
          <w:sz w:val="16"/>
          <w:szCs w:val="16"/>
          <w:lang w:val="en-US"/>
        </w:rPr>
        <w:t>,</w:t>
      </w:r>
      <w:r w:rsidRPr="00BA6B0F">
        <w:rPr>
          <w:sz w:val="16"/>
          <w:szCs w:val="16"/>
          <w:lang w:val="en-US"/>
        </w:rPr>
        <w:t xml:space="preserve"> </w:t>
      </w:r>
      <w:r w:rsidRPr="0069367F">
        <w:rPr>
          <w:sz w:val="16"/>
          <w:szCs w:val="16"/>
          <w:lang w:val="en-US"/>
        </w:rPr>
        <w:t>Sections 146G, 146H, 146M and 146N</w:t>
      </w:r>
    </w:p>
  </w:footnote>
  <w:footnote w:id="28">
    <w:p w14:paraId="1EF9F3E7" w14:textId="396690CE" w:rsidR="00440FD2" w:rsidRPr="00E87741" w:rsidRDefault="00440FD2">
      <w:pPr>
        <w:pStyle w:val="FootnoteText"/>
        <w:rPr>
          <w:sz w:val="16"/>
          <w:szCs w:val="16"/>
          <w:lang w:val="en-US"/>
        </w:rPr>
      </w:pPr>
      <w:r w:rsidRPr="00E87741">
        <w:rPr>
          <w:rStyle w:val="FootnoteReference"/>
          <w:sz w:val="16"/>
          <w:szCs w:val="16"/>
        </w:rPr>
        <w:footnoteRef/>
      </w:r>
      <w:r w:rsidRPr="00E87741">
        <w:rPr>
          <w:sz w:val="16"/>
          <w:szCs w:val="16"/>
        </w:rPr>
        <w:t xml:space="preserve"> </w:t>
      </w:r>
      <w:r w:rsidRPr="00E87741">
        <w:rPr>
          <w:i/>
          <w:sz w:val="16"/>
          <w:szCs w:val="16"/>
          <w:lang w:val="en-US"/>
        </w:rPr>
        <w:t>Broadcasting Services Act 1992</w:t>
      </w:r>
      <w:r w:rsidRPr="00E87741">
        <w:rPr>
          <w:sz w:val="16"/>
          <w:szCs w:val="16"/>
          <w:lang w:val="en-US"/>
        </w:rPr>
        <w:t>, Part 10, Division 3</w:t>
      </w:r>
      <w:r w:rsidRPr="00E87741">
        <w:rPr>
          <w:rFonts w:cstheme="minorHAnsi"/>
          <w:sz w:val="16"/>
          <w:szCs w:val="16"/>
          <w:lang w:val="en-US"/>
        </w:rPr>
        <w:t>—</w:t>
      </w:r>
      <w:r w:rsidRPr="00E87741">
        <w:rPr>
          <w:sz w:val="16"/>
          <w:szCs w:val="16"/>
          <w:lang w:val="en-US"/>
        </w:rPr>
        <w:t>Action in relation to breaches by licensees and Part 11</w:t>
      </w:r>
      <w:r w:rsidRPr="00E87741">
        <w:rPr>
          <w:rFonts w:cstheme="minorHAnsi"/>
          <w:sz w:val="16"/>
          <w:szCs w:val="16"/>
          <w:lang w:val="en-US"/>
        </w:rPr>
        <w:t>—</w:t>
      </w:r>
      <w:r w:rsidRPr="00E87741">
        <w:rPr>
          <w:sz w:val="16"/>
          <w:szCs w:val="16"/>
          <w:lang w:val="en-US"/>
        </w:rPr>
        <w:t>Complaints to the ACMA</w:t>
      </w:r>
    </w:p>
  </w:footnote>
  <w:footnote w:id="29">
    <w:p w14:paraId="3B8116B4" w14:textId="79E79DD9" w:rsidR="00440FD2" w:rsidRPr="008713A8" w:rsidRDefault="00440FD2" w:rsidP="008713A8">
      <w:pPr>
        <w:pStyle w:val="FootnoteText"/>
        <w:rPr>
          <w:sz w:val="16"/>
        </w:rPr>
      </w:pPr>
      <w:r w:rsidRPr="008713A8">
        <w:rPr>
          <w:rStyle w:val="FootnoteReference"/>
          <w:sz w:val="16"/>
        </w:rPr>
        <w:footnoteRef/>
      </w:r>
      <w:r w:rsidRPr="008713A8">
        <w:rPr>
          <w:sz w:val="16"/>
        </w:rPr>
        <w:t xml:space="preserve"> Google’s submission </w:t>
      </w:r>
      <w:hyperlink r:id="rId14" w:history="1">
        <w:r>
          <w:rPr>
            <w:rStyle w:val="Hyperlink"/>
            <w:sz w:val="16"/>
          </w:rPr>
          <w:t>Attachment C</w:t>
        </w:r>
      </w:hyperlink>
      <w:r w:rsidRPr="008713A8">
        <w:rPr>
          <w:sz w:val="16"/>
        </w:rPr>
        <w:t xml:space="preserve"> to the Australian content on broadcast, radio and streaming services Inquiry</w:t>
      </w:r>
    </w:p>
  </w:footnote>
  <w:footnote w:id="30">
    <w:p w14:paraId="72768714" w14:textId="459F809F" w:rsidR="00440FD2" w:rsidRPr="00A86EC7" w:rsidRDefault="00440FD2" w:rsidP="00DC2212">
      <w:pPr>
        <w:pStyle w:val="FootnoteText"/>
        <w:ind w:left="170" w:hanging="170"/>
        <w:rPr>
          <w:sz w:val="16"/>
          <w:szCs w:val="16"/>
          <w:lang w:val="en-US"/>
        </w:rPr>
      </w:pPr>
      <w:r w:rsidRPr="00A86EC7">
        <w:rPr>
          <w:rStyle w:val="FootnoteReference"/>
          <w:sz w:val="16"/>
          <w:szCs w:val="16"/>
        </w:rPr>
        <w:footnoteRef/>
      </w:r>
      <w:r w:rsidRPr="00A86EC7">
        <w:rPr>
          <w:sz w:val="16"/>
          <w:szCs w:val="16"/>
        </w:rPr>
        <w:t xml:space="preserve"> </w:t>
      </w:r>
      <w:r w:rsidRPr="00A86EC7">
        <w:rPr>
          <w:sz w:val="16"/>
          <w:szCs w:val="16"/>
          <w:lang w:val="en-US"/>
        </w:rPr>
        <w:t xml:space="preserve">Deloitte Access Economics (2022) </w:t>
      </w:r>
      <w:hyperlink r:id="rId15" w:history="1">
        <w:r w:rsidRPr="006863AE">
          <w:rPr>
            <w:rStyle w:val="Hyperlink"/>
            <w:sz w:val="16"/>
            <w:szCs w:val="16"/>
            <w:lang w:val="en-US"/>
          </w:rPr>
          <w:t>Everybody gets it: Revaluing the economic and social benefits of commercial television</w:t>
        </w:r>
      </w:hyperlink>
      <w:r w:rsidRPr="00A86EC7">
        <w:rPr>
          <w:sz w:val="16"/>
          <w:szCs w:val="16"/>
          <w:lang w:val="en-US"/>
        </w:rPr>
        <w:t>, p 3, commissioned by FreeTV</w:t>
      </w:r>
    </w:p>
  </w:footnote>
  <w:footnote w:id="31">
    <w:p w14:paraId="585C9228" w14:textId="13163818" w:rsidR="00440FD2" w:rsidRPr="004735C1" w:rsidRDefault="00440FD2" w:rsidP="004735C1">
      <w:pPr>
        <w:pStyle w:val="CommentText"/>
        <w:rPr>
          <w:rFonts w:asciiTheme="minorHAnsi" w:hAnsiTheme="minorHAnsi" w:cstheme="minorHAnsi"/>
          <w:color w:val="0046FF" w:themeColor="hyperlink"/>
          <w:sz w:val="16"/>
          <w:szCs w:val="16"/>
          <w:u w:val="single"/>
        </w:rPr>
      </w:pPr>
      <w:r w:rsidRPr="008713A8">
        <w:rPr>
          <w:rStyle w:val="FootnoteReference"/>
          <w:rFonts w:asciiTheme="minorHAnsi" w:hAnsiTheme="minorHAnsi" w:cstheme="minorHAnsi"/>
          <w:sz w:val="16"/>
          <w:szCs w:val="16"/>
        </w:rPr>
        <w:footnoteRef/>
      </w:r>
      <w:r w:rsidRPr="008713A8">
        <w:rPr>
          <w:rFonts w:asciiTheme="minorHAnsi" w:hAnsiTheme="minorHAnsi" w:cstheme="minorHAnsi"/>
          <w:sz w:val="16"/>
          <w:szCs w:val="16"/>
        </w:rPr>
        <w:t xml:space="preserve"> </w:t>
      </w:r>
      <w:r>
        <w:rPr>
          <w:rFonts w:asciiTheme="minorHAnsi" w:hAnsiTheme="minorHAnsi" w:cstheme="minorHAnsi"/>
          <w:sz w:val="16"/>
          <w:szCs w:val="16"/>
        </w:rPr>
        <w:t xml:space="preserve">Sydney Morning Herald </w:t>
      </w:r>
      <w:r w:rsidRPr="008713A8">
        <w:rPr>
          <w:rFonts w:asciiTheme="minorHAnsi" w:hAnsiTheme="minorHAnsi" w:cstheme="minorHAnsi"/>
          <w:sz w:val="16"/>
          <w:szCs w:val="16"/>
        </w:rPr>
        <w:t>(27 June 2022)</w:t>
      </w:r>
      <w:r>
        <w:rPr>
          <w:rFonts w:asciiTheme="minorHAnsi" w:hAnsiTheme="minorHAnsi" w:cstheme="minorHAnsi"/>
          <w:sz w:val="16"/>
          <w:szCs w:val="16"/>
        </w:rPr>
        <w:t>,</w:t>
      </w:r>
      <w:r w:rsidRPr="008713A8">
        <w:rPr>
          <w:rFonts w:asciiTheme="minorHAnsi" w:hAnsiTheme="minorHAnsi" w:cstheme="minorHAnsi"/>
          <w:sz w:val="16"/>
          <w:szCs w:val="16"/>
        </w:rPr>
        <w:t xml:space="preserve"> ‘</w:t>
      </w:r>
      <w:hyperlink r:id="rId16" w:history="1">
        <w:r w:rsidRPr="008713A8">
          <w:rPr>
            <w:rStyle w:val="Hyperlink"/>
            <w:rFonts w:asciiTheme="minorHAnsi" w:hAnsiTheme="minorHAnsi" w:cstheme="minorHAnsi"/>
            <w:sz w:val="16"/>
            <w:szCs w:val="16"/>
          </w:rPr>
          <w:t>Largest Origin TV audience since 2019 tunes in for game two rout</w:t>
        </w:r>
      </w:hyperlink>
      <w:r w:rsidRPr="008713A8">
        <w:rPr>
          <w:rFonts w:asciiTheme="minorHAnsi" w:hAnsiTheme="minorHAnsi" w:cstheme="minorHAnsi"/>
          <w:sz w:val="16"/>
          <w:szCs w:val="16"/>
        </w:rPr>
        <w:t xml:space="preserve">’ </w:t>
      </w:r>
    </w:p>
  </w:footnote>
  <w:footnote w:id="32">
    <w:p w14:paraId="2725200A" w14:textId="5672AC83" w:rsidR="00440FD2" w:rsidRPr="004735C1" w:rsidRDefault="00440FD2" w:rsidP="008713A8">
      <w:pPr>
        <w:pStyle w:val="FootnoteText"/>
        <w:rPr>
          <w:sz w:val="16"/>
          <w:szCs w:val="16"/>
        </w:rPr>
      </w:pPr>
      <w:r w:rsidRPr="004735C1">
        <w:rPr>
          <w:rStyle w:val="FootnoteReference"/>
          <w:sz w:val="16"/>
          <w:szCs w:val="16"/>
        </w:rPr>
        <w:footnoteRef/>
      </w:r>
      <w:r w:rsidRPr="004735C1">
        <w:rPr>
          <w:sz w:val="16"/>
          <w:szCs w:val="16"/>
        </w:rPr>
        <w:t xml:space="preserve"> B&amp;T Magazine (11 August 2021), ‘</w:t>
      </w:r>
      <w:hyperlink r:id="rId17" w:history="1">
        <w:r w:rsidRPr="004735C1">
          <w:rPr>
            <w:rStyle w:val="Hyperlink"/>
            <w:sz w:val="16"/>
            <w:szCs w:val="16"/>
          </w:rPr>
          <w:t>“Tokyo 2020 isn’t just Seven’s Win… It’s a Giant Endorsement for BVOD”: the Trade Desk’s James Bayes</w:t>
        </w:r>
      </w:hyperlink>
      <w:r w:rsidRPr="004735C1">
        <w:rPr>
          <w:sz w:val="16"/>
          <w:szCs w:val="16"/>
        </w:rPr>
        <w:t>’</w:t>
      </w:r>
    </w:p>
  </w:footnote>
  <w:footnote w:id="33">
    <w:p w14:paraId="20B55752" w14:textId="0850F57C" w:rsidR="00440FD2" w:rsidRPr="004735C1" w:rsidRDefault="00440FD2" w:rsidP="00BA7C27">
      <w:pPr>
        <w:pStyle w:val="FootnoteText"/>
        <w:ind w:left="170" w:hanging="170"/>
        <w:rPr>
          <w:sz w:val="16"/>
          <w:szCs w:val="16"/>
          <w:lang w:val="en-US"/>
        </w:rPr>
      </w:pPr>
      <w:r w:rsidRPr="004735C1">
        <w:rPr>
          <w:rStyle w:val="FootnoteReference"/>
          <w:sz w:val="16"/>
          <w:szCs w:val="16"/>
        </w:rPr>
        <w:footnoteRef/>
      </w:r>
      <w:r w:rsidRPr="004735C1">
        <w:rPr>
          <w:sz w:val="16"/>
          <w:szCs w:val="16"/>
        </w:rPr>
        <w:t xml:space="preserve"> </w:t>
      </w:r>
      <w:bookmarkStart w:id="154" w:name="_Hlk112064724"/>
      <w:r w:rsidRPr="004735C1">
        <w:rPr>
          <w:sz w:val="16"/>
          <w:szCs w:val="16"/>
        </w:rPr>
        <w:t xml:space="preserve">Social Research Centre (2021), </w:t>
      </w:r>
      <w:hyperlink r:id="rId18" w:history="1">
        <w:r w:rsidRPr="004735C1">
          <w:rPr>
            <w:rStyle w:val="Hyperlink"/>
            <w:sz w:val="16"/>
            <w:szCs w:val="16"/>
          </w:rPr>
          <w:t>Media Content Consumption Survey</w:t>
        </w:r>
      </w:hyperlink>
      <w:r w:rsidRPr="004735C1">
        <w:rPr>
          <w:sz w:val="16"/>
          <w:szCs w:val="16"/>
        </w:rPr>
        <w:t>, p 85, report to the Australian Government Department of Infrastructure, Transport, Regional Development, Communications and the Arts</w:t>
      </w:r>
      <w:bookmarkEnd w:id="154"/>
    </w:p>
  </w:footnote>
  <w:footnote w:id="34">
    <w:p w14:paraId="719C34A2" w14:textId="24E64BFF" w:rsidR="00440FD2" w:rsidRPr="004735C1" w:rsidRDefault="00440FD2" w:rsidP="00BA7C27">
      <w:pPr>
        <w:pStyle w:val="FootnoteText"/>
        <w:ind w:left="170" w:hanging="170"/>
        <w:rPr>
          <w:sz w:val="16"/>
          <w:szCs w:val="16"/>
          <w:lang w:val="en-US"/>
        </w:rPr>
      </w:pPr>
      <w:r w:rsidRPr="004735C1">
        <w:rPr>
          <w:rStyle w:val="FootnoteReference"/>
          <w:sz w:val="16"/>
          <w:szCs w:val="16"/>
        </w:rPr>
        <w:footnoteRef/>
      </w:r>
      <w:r w:rsidRPr="004735C1">
        <w:rPr>
          <w:sz w:val="16"/>
          <w:szCs w:val="16"/>
        </w:rPr>
        <w:t xml:space="preserve"> Social Research Centre (2021), </w:t>
      </w:r>
      <w:hyperlink r:id="rId19" w:history="1">
        <w:r w:rsidRPr="004735C1">
          <w:rPr>
            <w:rStyle w:val="Hyperlink"/>
            <w:sz w:val="16"/>
            <w:szCs w:val="16"/>
          </w:rPr>
          <w:t>Media Content Consumption Survey</w:t>
        </w:r>
      </w:hyperlink>
      <w:r w:rsidRPr="004735C1">
        <w:rPr>
          <w:sz w:val="16"/>
          <w:szCs w:val="16"/>
        </w:rPr>
        <w:t>, p 60, report to the Australian Government Department of Infrastructure, Transport, Regional Development, Communications and the Arts</w:t>
      </w:r>
    </w:p>
  </w:footnote>
  <w:footnote w:id="35">
    <w:p w14:paraId="44474D3A" w14:textId="53E7C0AD" w:rsidR="00440FD2" w:rsidRPr="004735C1" w:rsidRDefault="00440FD2">
      <w:pPr>
        <w:pStyle w:val="FootnoteText"/>
        <w:rPr>
          <w:sz w:val="16"/>
          <w:szCs w:val="16"/>
          <w:lang w:val="en-US"/>
        </w:rPr>
      </w:pPr>
      <w:r w:rsidRPr="004735C1">
        <w:rPr>
          <w:rStyle w:val="FootnoteReference"/>
          <w:sz w:val="16"/>
          <w:szCs w:val="16"/>
        </w:rPr>
        <w:footnoteRef/>
      </w:r>
      <w:r w:rsidRPr="004735C1">
        <w:rPr>
          <w:sz w:val="16"/>
          <w:szCs w:val="16"/>
        </w:rPr>
        <w:t xml:space="preserve"> </w:t>
      </w:r>
      <w:r>
        <w:rPr>
          <w:sz w:val="16"/>
          <w:szCs w:val="16"/>
        </w:rPr>
        <w:t>Ibid, p 24</w:t>
      </w:r>
    </w:p>
  </w:footnote>
  <w:footnote w:id="36">
    <w:p w14:paraId="07B16F6B" w14:textId="31FE4716" w:rsidR="00440FD2" w:rsidRPr="00013C15" w:rsidRDefault="00440FD2" w:rsidP="00BA7C27">
      <w:pPr>
        <w:pStyle w:val="FootnoteText"/>
        <w:ind w:left="170" w:hanging="170"/>
        <w:rPr>
          <w:sz w:val="16"/>
          <w:szCs w:val="16"/>
          <w:lang w:val="en-US"/>
        </w:rPr>
      </w:pPr>
      <w:r>
        <w:rPr>
          <w:rStyle w:val="FootnoteReference"/>
        </w:rPr>
        <w:footnoteRef/>
      </w:r>
      <w:r>
        <w:t xml:space="preserve"> </w:t>
      </w:r>
      <w:r w:rsidRPr="00A86EC7">
        <w:rPr>
          <w:sz w:val="16"/>
          <w:szCs w:val="16"/>
          <w:lang w:val="en-US"/>
        </w:rPr>
        <w:t xml:space="preserve">Deloitte Access Economics (2022) </w:t>
      </w:r>
      <w:hyperlink r:id="rId20" w:history="1">
        <w:r w:rsidRPr="006863AE">
          <w:rPr>
            <w:rStyle w:val="Hyperlink"/>
            <w:sz w:val="16"/>
            <w:szCs w:val="16"/>
            <w:lang w:val="en-US"/>
          </w:rPr>
          <w:t>Everybody gets it: Revaluing the economic and social benefits of commercial television</w:t>
        </w:r>
      </w:hyperlink>
      <w:r w:rsidRPr="00A86EC7">
        <w:rPr>
          <w:sz w:val="16"/>
          <w:szCs w:val="16"/>
          <w:lang w:val="en-US"/>
        </w:rPr>
        <w:t>, p 3, commissioned by FreeTV</w:t>
      </w:r>
    </w:p>
  </w:footnote>
  <w:footnote w:id="37">
    <w:p w14:paraId="164C8BCD" w14:textId="02F9DB7B" w:rsidR="00440FD2" w:rsidRPr="008A1CFB" w:rsidRDefault="00440FD2" w:rsidP="008A1CFB">
      <w:pPr>
        <w:pStyle w:val="FootnoteText"/>
        <w:rPr>
          <w:sz w:val="16"/>
        </w:rPr>
      </w:pPr>
      <w:r w:rsidRPr="008A1CFB">
        <w:rPr>
          <w:rStyle w:val="FootnoteReference"/>
          <w:sz w:val="16"/>
        </w:rPr>
        <w:footnoteRef/>
      </w:r>
      <w:r w:rsidRPr="008A1CFB">
        <w:rPr>
          <w:sz w:val="16"/>
        </w:rPr>
        <w:t xml:space="preserve"> </w:t>
      </w:r>
      <w:r w:rsidRPr="008A1CFB">
        <w:rPr>
          <w:sz w:val="16"/>
          <w:lang w:val="en-US"/>
        </w:rPr>
        <w:t xml:space="preserve">Seven West Media </w:t>
      </w:r>
      <w:hyperlink r:id="rId21" w:history="1">
        <w:r w:rsidRPr="008A1CFB">
          <w:rPr>
            <w:rStyle w:val="Hyperlink"/>
            <w:sz w:val="16"/>
            <w:lang w:val="en-US"/>
          </w:rPr>
          <w:t>address</w:t>
        </w:r>
      </w:hyperlink>
      <w:r w:rsidRPr="008A1CFB">
        <w:rPr>
          <w:sz w:val="16"/>
          <w:lang w:val="en-US"/>
        </w:rPr>
        <w:t xml:space="preserve"> to CEDA, June 2022, p 9</w:t>
      </w:r>
    </w:p>
  </w:footnote>
  <w:footnote w:id="38">
    <w:p w14:paraId="07617B30" w14:textId="4665B1E9" w:rsidR="00440FD2" w:rsidRPr="001541B9" w:rsidRDefault="00440FD2" w:rsidP="00011957">
      <w:pPr>
        <w:pStyle w:val="FootnoteText"/>
        <w:rPr>
          <w:color w:val="0046FF" w:themeColor="hyperlink"/>
          <w:sz w:val="16"/>
          <w:u w:val="single"/>
        </w:rPr>
      </w:pPr>
      <w:r w:rsidRPr="001541B9">
        <w:rPr>
          <w:rStyle w:val="FootnoteReference"/>
          <w:sz w:val="16"/>
        </w:rPr>
        <w:footnoteRef/>
      </w:r>
      <w:r w:rsidRPr="001541B9">
        <w:rPr>
          <w:sz w:val="16"/>
        </w:rPr>
        <w:t xml:space="preserve"> </w:t>
      </w:r>
      <w:r w:rsidRPr="001541B9">
        <w:rPr>
          <w:sz w:val="16"/>
          <w:lang w:val="en-US"/>
        </w:rPr>
        <w:t>Bruce J (20 December 2021)</w:t>
      </w:r>
      <w:r>
        <w:rPr>
          <w:sz w:val="16"/>
          <w:lang w:val="en-US"/>
        </w:rPr>
        <w:t>,</w:t>
      </w:r>
      <w:r w:rsidRPr="001541B9">
        <w:rPr>
          <w:sz w:val="16"/>
          <w:lang w:val="en-US"/>
        </w:rPr>
        <w:t xml:space="preserve"> ‘</w:t>
      </w:r>
      <w:hyperlink r:id="rId22" w:history="1">
        <w:r w:rsidRPr="001541B9">
          <w:rPr>
            <w:rStyle w:val="Hyperlink"/>
            <w:sz w:val="16"/>
            <w:lang w:val="en-US"/>
          </w:rPr>
          <w:t>Channel 9 signs $575 broadcast deal to retain NRL free-to-air rights</w:t>
        </w:r>
      </w:hyperlink>
      <w:r w:rsidRPr="001541B9">
        <w:rPr>
          <w:sz w:val="16"/>
          <w:lang w:val="en-US"/>
        </w:rPr>
        <w:t xml:space="preserve">’ </w:t>
      </w:r>
      <w:r>
        <w:rPr>
          <w:sz w:val="16"/>
          <w:lang w:val="en-US"/>
        </w:rPr>
        <w:t>N</w:t>
      </w:r>
      <w:r w:rsidRPr="001541B9">
        <w:rPr>
          <w:sz w:val="16"/>
          <w:lang w:val="en-US"/>
        </w:rPr>
        <w:t>ews.com.au</w:t>
      </w:r>
    </w:p>
  </w:footnote>
  <w:footnote w:id="39">
    <w:p w14:paraId="6C4F6469" w14:textId="46670246" w:rsidR="00440FD2" w:rsidRPr="00EB42C5" w:rsidRDefault="00440FD2">
      <w:pPr>
        <w:pStyle w:val="FootnoteText"/>
        <w:rPr>
          <w:sz w:val="16"/>
          <w:szCs w:val="16"/>
          <w:lang w:val="en-US"/>
        </w:rPr>
      </w:pPr>
      <w:r w:rsidRPr="00EB42C5">
        <w:rPr>
          <w:rStyle w:val="FootnoteReference"/>
          <w:sz w:val="16"/>
          <w:szCs w:val="16"/>
        </w:rPr>
        <w:footnoteRef/>
      </w:r>
      <w:r w:rsidRPr="00EB42C5">
        <w:rPr>
          <w:sz w:val="16"/>
          <w:szCs w:val="16"/>
        </w:rPr>
        <w:t xml:space="preserve"> </w:t>
      </w:r>
      <w:r w:rsidRPr="00EB42C5">
        <w:rPr>
          <w:sz w:val="16"/>
          <w:szCs w:val="16"/>
          <w:lang w:val="en-US"/>
        </w:rPr>
        <w:t xml:space="preserve">AFL (6 September 2022) </w:t>
      </w:r>
      <w:hyperlink r:id="rId23" w:history="1">
        <w:r w:rsidRPr="00EB42C5">
          <w:rPr>
            <w:rStyle w:val="Hyperlink"/>
            <w:sz w:val="16"/>
            <w:szCs w:val="16"/>
          </w:rPr>
          <w:t>Seven years, $4.5b: AFL reveals HUGE new broadcast rights deal</w:t>
        </w:r>
      </w:hyperlink>
    </w:p>
  </w:footnote>
  <w:footnote w:id="40">
    <w:p w14:paraId="13BCC3E0" w14:textId="03EF9341" w:rsidR="00440FD2" w:rsidRPr="00EB42C5" w:rsidRDefault="00440FD2">
      <w:pPr>
        <w:pStyle w:val="FootnoteText"/>
        <w:rPr>
          <w:sz w:val="16"/>
          <w:szCs w:val="16"/>
          <w:lang w:val="en-US"/>
        </w:rPr>
      </w:pPr>
      <w:r w:rsidRPr="00EB42C5">
        <w:rPr>
          <w:rStyle w:val="FootnoteReference"/>
          <w:sz w:val="16"/>
          <w:szCs w:val="16"/>
        </w:rPr>
        <w:footnoteRef/>
      </w:r>
      <w:r w:rsidRPr="00EB42C5">
        <w:rPr>
          <w:sz w:val="16"/>
          <w:szCs w:val="16"/>
        </w:rPr>
        <w:t xml:space="preserve"> </w:t>
      </w:r>
      <w:r w:rsidRPr="00EB42C5">
        <w:rPr>
          <w:sz w:val="16"/>
          <w:szCs w:val="16"/>
          <w:lang w:val="en-US"/>
        </w:rPr>
        <w:t>Ibid</w:t>
      </w:r>
    </w:p>
  </w:footnote>
  <w:footnote w:id="41">
    <w:p w14:paraId="21BF46F2" w14:textId="78CF24F9" w:rsidR="00440FD2" w:rsidRPr="0046559A" w:rsidRDefault="00440FD2">
      <w:pPr>
        <w:pStyle w:val="FootnoteText"/>
        <w:rPr>
          <w:sz w:val="16"/>
          <w:szCs w:val="16"/>
          <w:lang w:val="en-US"/>
        </w:rPr>
      </w:pPr>
      <w:r w:rsidRPr="0046559A">
        <w:rPr>
          <w:rStyle w:val="FootnoteReference"/>
          <w:sz w:val="16"/>
          <w:szCs w:val="16"/>
        </w:rPr>
        <w:footnoteRef/>
      </w:r>
      <w:r w:rsidRPr="0046559A">
        <w:rPr>
          <w:sz w:val="16"/>
          <w:szCs w:val="16"/>
        </w:rPr>
        <w:t xml:space="preserve"> </w:t>
      </w:r>
      <w:r w:rsidRPr="0046559A">
        <w:rPr>
          <w:sz w:val="16"/>
          <w:szCs w:val="16"/>
          <w:lang w:val="en-US"/>
        </w:rPr>
        <w:t xml:space="preserve">Sports Industry AU, </w:t>
      </w:r>
      <w:hyperlink r:id="rId24" w:history="1">
        <w:r w:rsidRPr="0046559A">
          <w:rPr>
            <w:rStyle w:val="Hyperlink"/>
            <w:sz w:val="16"/>
            <w:szCs w:val="16"/>
          </w:rPr>
          <w:t>Timeline of VFL/AFL Broadcast Rights</w:t>
        </w:r>
      </w:hyperlink>
      <w:r w:rsidRPr="0046559A">
        <w:rPr>
          <w:sz w:val="16"/>
          <w:szCs w:val="16"/>
        </w:rPr>
        <w:t xml:space="preserve"> as at 25 August 2022</w:t>
      </w:r>
    </w:p>
  </w:footnote>
  <w:footnote w:id="42">
    <w:p w14:paraId="42DFC35A" w14:textId="3DCA53BA" w:rsidR="00440FD2" w:rsidRPr="004735C1" w:rsidRDefault="00440FD2" w:rsidP="00DA5485">
      <w:pPr>
        <w:pStyle w:val="FootnoteText"/>
        <w:rPr>
          <w:sz w:val="16"/>
          <w:szCs w:val="16"/>
        </w:rPr>
      </w:pPr>
      <w:r w:rsidRPr="004735C1">
        <w:rPr>
          <w:rStyle w:val="FootnoteReference"/>
          <w:sz w:val="16"/>
          <w:szCs w:val="16"/>
        </w:rPr>
        <w:footnoteRef/>
      </w:r>
      <w:r w:rsidRPr="004735C1">
        <w:rPr>
          <w:sz w:val="16"/>
          <w:szCs w:val="16"/>
        </w:rPr>
        <w:t xml:space="preserve"> Walter B (20 December 2021) ‘</w:t>
      </w:r>
      <w:hyperlink r:id="rId25" w:history="1">
        <w:r w:rsidRPr="004735C1">
          <w:rPr>
            <w:rStyle w:val="Hyperlink"/>
            <w:sz w:val="16"/>
            <w:szCs w:val="16"/>
          </w:rPr>
          <w:t>Record broadcast deal a partnership to grow game</w:t>
        </w:r>
      </w:hyperlink>
      <w:r w:rsidRPr="004735C1">
        <w:rPr>
          <w:sz w:val="16"/>
          <w:szCs w:val="16"/>
        </w:rPr>
        <w:t>’, NRL News</w:t>
      </w:r>
    </w:p>
  </w:footnote>
  <w:footnote w:id="43">
    <w:p w14:paraId="40907AB4" w14:textId="15FAD65F" w:rsidR="00440FD2" w:rsidRPr="008A5023" w:rsidRDefault="00440FD2">
      <w:pPr>
        <w:pStyle w:val="FootnoteText"/>
        <w:rPr>
          <w:sz w:val="16"/>
          <w:szCs w:val="16"/>
          <w:lang w:val="en-US"/>
        </w:rPr>
      </w:pPr>
      <w:r w:rsidRPr="008A5023">
        <w:rPr>
          <w:rStyle w:val="FootnoteReference"/>
          <w:sz w:val="16"/>
          <w:szCs w:val="16"/>
        </w:rPr>
        <w:footnoteRef/>
      </w:r>
      <w:r w:rsidRPr="008A5023">
        <w:rPr>
          <w:sz w:val="16"/>
          <w:szCs w:val="16"/>
        </w:rPr>
        <w:t xml:space="preserve"> </w:t>
      </w:r>
      <w:r w:rsidRPr="008A5023">
        <w:rPr>
          <w:sz w:val="16"/>
          <w:szCs w:val="16"/>
          <w:lang w:val="en-US"/>
        </w:rPr>
        <w:t xml:space="preserve">Tennis Australia (29 March 2018) </w:t>
      </w:r>
      <w:hyperlink r:id="rId26" w:history="1">
        <w:r w:rsidRPr="008A5023">
          <w:rPr>
            <w:rStyle w:val="Hyperlink"/>
            <w:sz w:val="16"/>
            <w:szCs w:val="16"/>
          </w:rPr>
          <w:t>Tennis Australia signs landmark rights deal with Nine Network</w:t>
        </w:r>
      </w:hyperlink>
    </w:p>
  </w:footnote>
  <w:footnote w:id="44">
    <w:p w14:paraId="14E15BF0" w14:textId="52FEBF25" w:rsidR="00440FD2" w:rsidRPr="008A5023" w:rsidRDefault="00440FD2">
      <w:pPr>
        <w:pStyle w:val="FootnoteText"/>
        <w:rPr>
          <w:sz w:val="16"/>
          <w:szCs w:val="16"/>
          <w:lang w:val="en-US"/>
        </w:rPr>
      </w:pPr>
      <w:r w:rsidRPr="008A5023">
        <w:rPr>
          <w:rStyle w:val="FootnoteReference"/>
          <w:sz w:val="16"/>
          <w:szCs w:val="16"/>
        </w:rPr>
        <w:footnoteRef/>
      </w:r>
      <w:r w:rsidRPr="008A5023">
        <w:rPr>
          <w:sz w:val="16"/>
          <w:szCs w:val="16"/>
        </w:rPr>
        <w:t xml:space="preserve"> </w:t>
      </w:r>
      <w:r w:rsidRPr="008A5023">
        <w:rPr>
          <w:sz w:val="16"/>
          <w:szCs w:val="16"/>
          <w:lang w:val="en-US"/>
        </w:rPr>
        <w:t xml:space="preserve">Otto T (29 March 2018) </w:t>
      </w:r>
      <w:hyperlink r:id="rId27" w:history="1">
        <w:r w:rsidRPr="008A5023">
          <w:rPr>
            <w:rStyle w:val="Hyperlink"/>
            <w:sz w:val="16"/>
            <w:szCs w:val="16"/>
          </w:rPr>
          <w:t>Australian Open, Channel 9 in Tennis Australia TV rights bombshell</w:t>
        </w:r>
      </w:hyperlink>
      <w:r w:rsidRPr="008A5023">
        <w:rPr>
          <w:sz w:val="16"/>
          <w:szCs w:val="16"/>
        </w:rPr>
        <w:t xml:space="preserve"> News.com.au</w:t>
      </w:r>
    </w:p>
  </w:footnote>
  <w:footnote w:id="45">
    <w:p w14:paraId="6D3CE3C4" w14:textId="11F7D6F8" w:rsidR="00440FD2" w:rsidRPr="003C44BD" w:rsidRDefault="00440FD2">
      <w:pPr>
        <w:pStyle w:val="FootnoteText"/>
        <w:rPr>
          <w:sz w:val="16"/>
          <w:szCs w:val="16"/>
          <w:lang w:val="en-US"/>
        </w:rPr>
      </w:pPr>
      <w:r w:rsidRPr="003C44BD">
        <w:rPr>
          <w:rStyle w:val="FootnoteReference"/>
          <w:sz w:val="16"/>
          <w:szCs w:val="16"/>
        </w:rPr>
        <w:footnoteRef/>
      </w:r>
      <w:r w:rsidRPr="003C44BD">
        <w:rPr>
          <w:sz w:val="16"/>
          <w:szCs w:val="16"/>
        </w:rPr>
        <w:t xml:space="preserve"> </w:t>
      </w:r>
      <w:r w:rsidRPr="003C44BD">
        <w:rPr>
          <w:sz w:val="16"/>
          <w:szCs w:val="16"/>
          <w:lang w:val="en-US"/>
        </w:rPr>
        <w:t xml:space="preserve">R Peter (3 September 2018) </w:t>
      </w:r>
      <w:hyperlink r:id="rId28" w:history="1">
        <w:r>
          <w:rPr>
            <w:rStyle w:val="Hyperlink"/>
            <w:sz w:val="16"/>
            <w:szCs w:val="16"/>
          </w:rPr>
          <w:t>Channel 10 to take Melbourne Cup TV rights from Channel 7</w:t>
        </w:r>
      </w:hyperlink>
      <w:r>
        <w:rPr>
          <w:sz w:val="16"/>
          <w:szCs w:val="16"/>
        </w:rPr>
        <w:t xml:space="preserve"> Herald Sun</w:t>
      </w:r>
    </w:p>
  </w:footnote>
  <w:footnote w:id="46">
    <w:p w14:paraId="6945BB4B" w14:textId="6BFEAA7A" w:rsidR="00440FD2" w:rsidRPr="00011957" w:rsidRDefault="00440FD2">
      <w:pPr>
        <w:pStyle w:val="FootnoteText"/>
        <w:rPr>
          <w:sz w:val="16"/>
          <w:lang w:val="en-US"/>
        </w:rPr>
      </w:pPr>
      <w:r w:rsidRPr="00011957">
        <w:rPr>
          <w:rStyle w:val="FootnoteReference"/>
          <w:sz w:val="16"/>
        </w:rPr>
        <w:footnoteRef/>
      </w:r>
      <w:r w:rsidRPr="00011957">
        <w:rPr>
          <w:sz w:val="16"/>
        </w:rPr>
        <w:t xml:space="preserve"> Nine (n.d.) ‘</w:t>
      </w:r>
      <w:hyperlink r:id="rId29" w:history="1">
        <w:r w:rsidRPr="00011957">
          <w:rPr>
            <w:rStyle w:val="Hyperlink"/>
            <w:sz w:val="16"/>
          </w:rPr>
          <w:t>Cricket Australia signs broadcast deal with Seven and Foxtel</w:t>
        </w:r>
      </w:hyperlink>
      <w:r w:rsidRPr="00011957">
        <w:rPr>
          <w:sz w:val="16"/>
        </w:rPr>
        <w:t>’</w:t>
      </w:r>
    </w:p>
  </w:footnote>
  <w:footnote w:id="47">
    <w:p w14:paraId="4B5B5AD3" w14:textId="21A8401D" w:rsidR="00440FD2" w:rsidRPr="006A6C12" w:rsidRDefault="00440FD2">
      <w:pPr>
        <w:pStyle w:val="FootnoteText"/>
        <w:rPr>
          <w:sz w:val="16"/>
          <w:szCs w:val="16"/>
          <w:lang w:val="en-US"/>
        </w:rPr>
      </w:pPr>
      <w:r w:rsidRPr="006A6C12">
        <w:rPr>
          <w:rStyle w:val="FootnoteReference"/>
          <w:sz w:val="16"/>
          <w:szCs w:val="16"/>
        </w:rPr>
        <w:footnoteRef/>
      </w:r>
      <w:r w:rsidRPr="006A6C12">
        <w:rPr>
          <w:sz w:val="16"/>
          <w:szCs w:val="16"/>
        </w:rPr>
        <w:t xml:space="preserve"> </w:t>
      </w:r>
      <w:r w:rsidRPr="006A6C12">
        <w:rPr>
          <w:sz w:val="16"/>
          <w:szCs w:val="16"/>
          <w:lang w:val="en-US"/>
        </w:rPr>
        <w:t>Ibid</w:t>
      </w:r>
    </w:p>
  </w:footnote>
  <w:footnote w:id="48">
    <w:p w14:paraId="341D6585" w14:textId="23DF07FA" w:rsidR="00440FD2" w:rsidRPr="00F72EE8" w:rsidRDefault="00440FD2">
      <w:pPr>
        <w:pStyle w:val="FootnoteText"/>
        <w:rPr>
          <w:sz w:val="16"/>
          <w:szCs w:val="16"/>
          <w:lang w:val="en-US"/>
        </w:rPr>
      </w:pPr>
      <w:r w:rsidRPr="00F72EE8">
        <w:rPr>
          <w:rStyle w:val="FootnoteReference"/>
          <w:sz w:val="16"/>
          <w:szCs w:val="16"/>
        </w:rPr>
        <w:footnoteRef/>
      </w:r>
      <w:r w:rsidRPr="00F72EE8">
        <w:rPr>
          <w:sz w:val="16"/>
          <w:szCs w:val="16"/>
        </w:rPr>
        <w:t xml:space="preserve"> </w:t>
      </w:r>
      <w:r w:rsidRPr="00F72EE8">
        <w:rPr>
          <w:sz w:val="16"/>
          <w:szCs w:val="16"/>
          <w:lang w:val="en-US"/>
        </w:rPr>
        <w:t>Shepherd E, (6 April 2022) ‘</w:t>
      </w:r>
      <w:hyperlink r:id="rId30" w:history="1">
        <w:r w:rsidRPr="00F72EE8">
          <w:rPr>
            <w:rStyle w:val="Hyperlink"/>
            <w:sz w:val="16"/>
            <w:szCs w:val="16"/>
            <w:lang w:val="en-US"/>
          </w:rPr>
          <w:t>Karl Stefanovic spearheads Nine’s mission to take Olympics broadcast rights</w:t>
        </w:r>
      </w:hyperlink>
      <w:r w:rsidRPr="00F72EE8">
        <w:rPr>
          <w:sz w:val="16"/>
          <w:szCs w:val="16"/>
          <w:lang w:val="en-US"/>
        </w:rPr>
        <w:t>’, Mumbrella</w:t>
      </w:r>
    </w:p>
  </w:footnote>
  <w:footnote w:id="49">
    <w:p w14:paraId="12DF73B8" w14:textId="3E41CCD3" w:rsidR="00440FD2" w:rsidRPr="00011957" w:rsidRDefault="00440FD2">
      <w:pPr>
        <w:pStyle w:val="FootnoteText"/>
        <w:rPr>
          <w:sz w:val="16"/>
          <w:lang w:val="en-US"/>
        </w:rPr>
      </w:pPr>
      <w:r w:rsidRPr="00011957">
        <w:rPr>
          <w:rStyle w:val="FootnoteReference"/>
          <w:sz w:val="16"/>
        </w:rPr>
        <w:footnoteRef/>
      </w:r>
      <w:r w:rsidRPr="00011957">
        <w:rPr>
          <w:sz w:val="16"/>
          <w:lang w:val="en-US"/>
        </w:rPr>
        <w:t xml:space="preserve"> Christensen N (</w:t>
      </w:r>
      <w:r>
        <w:rPr>
          <w:sz w:val="16"/>
          <w:lang w:val="en-US"/>
        </w:rPr>
        <w:t>13 May 2013)</w:t>
      </w:r>
      <w:r w:rsidRPr="00011957">
        <w:rPr>
          <w:sz w:val="16"/>
          <w:lang w:val="en-US"/>
        </w:rPr>
        <w:t xml:space="preserve"> ‘</w:t>
      </w:r>
      <w:hyperlink r:id="rId31" w:history="1">
        <w:r w:rsidRPr="00011957">
          <w:rPr>
            <w:rStyle w:val="Hyperlink"/>
            <w:sz w:val="16"/>
            <w:lang w:val="en-US"/>
          </w:rPr>
          <w:t>Ten ‘picks up 2014 Winter Olympics for $20m’</w:t>
        </w:r>
      </w:hyperlink>
      <w:r w:rsidRPr="00011957">
        <w:rPr>
          <w:sz w:val="16"/>
          <w:lang w:val="en-US"/>
        </w:rPr>
        <w:t>’, Mumbrella</w:t>
      </w:r>
    </w:p>
  </w:footnote>
  <w:footnote w:id="50">
    <w:p w14:paraId="2781AA69" w14:textId="7D5B8DAB" w:rsidR="00440FD2" w:rsidRPr="00011957" w:rsidRDefault="00440FD2">
      <w:pPr>
        <w:pStyle w:val="FootnoteText"/>
        <w:rPr>
          <w:sz w:val="16"/>
          <w:lang w:val="en-US"/>
        </w:rPr>
      </w:pPr>
      <w:r w:rsidRPr="00011957">
        <w:rPr>
          <w:rStyle w:val="FootnoteReference"/>
          <w:sz w:val="16"/>
        </w:rPr>
        <w:footnoteRef/>
      </w:r>
      <w:r w:rsidRPr="00011957">
        <w:rPr>
          <w:sz w:val="16"/>
        </w:rPr>
        <w:t xml:space="preserve"> </w:t>
      </w:r>
      <w:r w:rsidRPr="00011957">
        <w:rPr>
          <w:sz w:val="16"/>
          <w:lang w:val="en-US"/>
        </w:rPr>
        <w:t>Shepherd E,</w:t>
      </w:r>
      <w:r>
        <w:rPr>
          <w:sz w:val="16"/>
          <w:lang w:val="en-US"/>
        </w:rPr>
        <w:t xml:space="preserve"> (6 April 2022)</w:t>
      </w:r>
      <w:r w:rsidRPr="00011957">
        <w:rPr>
          <w:sz w:val="16"/>
          <w:lang w:val="en-US"/>
        </w:rPr>
        <w:t xml:space="preserve"> ‘</w:t>
      </w:r>
      <w:hyperlink r:id="rId32" w:history="1">
        <w:r w:rsidRPr="00011957">
          <w:rPr>
            <w:rStyle w:val="Hyperlink"/>
            <w:sz w:val="16"/>
            <w:lang w:val="en-US"/>
          </w:rPr>
          <w:t>Karl Stefanovic spearheads Nine’s mission to take Olympics broadcast rights</w:t>
        </w:r>
      </w:hyperlink>
      <w:r w:rsidRPr="00011957">
        <w:rPr>
          <w:sz w:val="16"/>
          <w:lang w:val="en-US"/>
        </w:rPr>
        <w:t>’, Mumbrella</w:t>
      </w:r>
    </w:p>
  </w:footnote>
  <w:footnote w:id="51">
    <w:p w14:paraId="75999A6F" w14:textId="6667FDA8" w:rsidR="00440FD2" w:rsidRPr="00254580" w:rsidRDefault="00440FD2">
      <w:pPr>
        <w:pStyle w:val="FootnoteText"/>
        <w:rPr>
          <w:sz w:val="16"/>
          <w:lang w:val="en-US"/>
        </w:rPr>
      </w:pPr>
      <w:r w:rsidRPr="00254580">
        <w:rPr>
          <w:rStyle w:val="FootnoteReference"/>
          <w:sz w:val="16"/>
        </w:rPr>
        <w:footnoteRef/>
      </w:r>
      <w:r w:rsidRPr="00254580">
        <w:rPr>
          <w:sz w:val="16"/>
        </w:rPr>
        <w:t xml:space="preserve"> Nine Entertainment</w:t>
      </w:r>
      <w:r>
        <w:rPr>
          <w:sz w:val="16"/>
        </w:rPr>
        <w:t xml:space="preserve"> (2021)</w:t>
      </w:r>
      <w:r w:rsidRPr="00254580">
        <w:rPr>
          <w:sz w:val="16"/>
        </w:rPr>
        <w:t xml:space="preserve">, Annual Report 2021, </w:t>
      </w:r>
      <w:r>
        <w:rPr>
          <w:sz w:val="16"/>
        </w:rPr>
        <w:t>p</w:t>
      </w:r>
      <w:r w:rsidRPr="00254580">
        <w:rPr>
          <w:sz w:val="16"/>
        </w:rPr>
        <w:t xml:space="preserve"> 83</w:t>
      </w:r>
    </w:p>
  </w:footnote>
  <w:footnote w:id="52">
    <w:p w14:paraId="5FD890FB" w14:textId="66A45F3D" w:rsidR="00440FD2" w:rsidRPr="00254580" w:rsidRDefault="00440FD2">
      <w:pPr>
        <w:pStyle w:val="FootnoteText"/>
        <w:rPr>
          <w:sz w:val="16"/>
          <w:lang w:val="en-US"/>
        </w:rPr>
      </w:pPr>
      <w:r w:rsidRPr="00254580">
        <w:rPr>
          <w:rStyle w:val="FootnoteReference"/>
          <w:sz w:val="16"/>
        </w:rPr>
        <w:footnoteRef/>
      </w:r>
      <w:r w:rsidRPr="00254580">
        <w:rPr>
          <w:sz w:val="16"/>
        </w:rPr>
        <w:t xml:space="preserve"> Seven West Media</w:t>
      </w:r>
      <w:r>
        <w:rPr>
          <w:sz w:val="16"/>
        </w:rPr>
        <w:t xml:space="preserve"> (2021)</w:t>
      </w:r>
      <w:r w:rsidRPr="00254580">
        <w:rPr>
          <w:sz w:val="16"/>
        </w:rPr>
        <w:t xml:space="preserve">, Annual Report 2021, </w:t>
      </w:r>
      <w:r>
        <w:rPr>
          <w:sz w:val="16"/>
        </w:rPr>
        <w:t>p</w:t>
      </w:r>
      <w:r w:rsidRPr="00254580">
        <w:rPr>
          <w:sz w:val="16"/>
        </w:rPr>
        <w:t xml:space="preserve"> 77</w:t>
      </w:r>
    </w:p>
  </w:footnote>
  <w:footnote w:id="53">
    <w:p w14:paraId="1F5D0CF9" w14:textId="60EE0DD7" w:rsidR="00440FD2" w:rsidRPr="00254580" w:rsidRDefault="00440FD2">
      <w:pPr>
        <w:pStyle w:val="FootnoteText"/>
        <w:rPr>
          <w:sz w:val="16"/>
          <w:lang w:val="en-US"/>
        </w:rPr>
      </w:pPr>
      <w:r w:rsidRPr="00254580">
        <w:rPr>
          <w:rStyle w:val="FootnoteReference"/>
          <w:sz w:val="16"/>
        </w:rPr>
        <w:footnoteRef/>
      </w:r>
      <w:r w:rsidRPr="00254580">
        <w:rPr>
          <w:sz w:val="16"/>
        </w:rPr>
        <w:t xml:space="preserve"> News Corp</w:t>
      </w:r>
      <w:r>
        <w:rPr>
          <w:sz w:val="16"/>
        </w:rPr>
        <w:t xml:space="preserve"> (2021)</w:t>
      </w:r>
      <w:r w:rsidRPr="00254580">
        <w:rPr>
          <w:sz w:val="16"/>
        </w:rPr>
        <w:t xml:space="preserve">, Annual Report 2021, </w:t>
      </w:r>
      <w:r>
        <w:rPr>
          <w:sz w:val="16"/>
        </w:rPr>
        <w:t>p</w:t>
      </w:r>
      <w:r w:rsidRPr="00254580">
        <w:rPr>
          <w:sz w:val="16"/>
        </w:rPr>
        <w:t xml:space="preserve"> 52</w:t>
      </w:r>
    </w:p>
  </w:footnote>
  <w:footnote w:id="54">
    <w:p w14:paraId="56015CD2" w14:textId="35E44173" w:rsidR="00440FD2" w:rsidRPr="00254580" w:rsidRDefault="00440FD2">
      <w:pPr>
        <w:pStyle w:val="FootnoteText"/>
        <w:rPr>
          <w:sz w:val="16"/>
          <w:lang w:val="en-US"/>
        </w:rPr>
      </w:pPr>
      <w:r w:rsidRPr="00254580">
        <w:rPr>
          <w:rStyle w:val="FootnoteReference"/>
          <w:sz w:val="16"/>
        </w:rPr>
        <w:footnoteRef/>
      </w:r>
      <w:r w:rsidRPr="00254580">
        <w:rPr>
          <w:sz w:val="16"/>
        </w:rPr>
        <w:t xml:space="preserve"> News Corp</w:t>
      </w:r>
      <w:r>
        <w:rPr>
          <w:sz w:val="16"/>
        </w:rPr>
        <w:t xml:space="preserve"> (2021)</w:t>
      </w:r>
      <w:r w:rsidRPr="00254580">
        <w:rPr>
          <w:sz w:val="16"/>
        </w:rPr>
        <w:t xml:space="preserve">, Annual Report 2021, </w:t>
      </w:r>
      <w:r>
        <w:rPr>
          <w:sz w:val="16"/>
        </w:rPr>
        <w:t>p</w:t>
      </w:r>
      <w:r w:rsidRPr="00254580">
        <w:rPr>
          <w:sz w:val="16"/>
        </w:rPr>
        <w:t xml:space="preserve"> 52</w:t>
      </w:r>
    </w:p>
  </w:footnote>
  <w:footnote w:id="55">
    <w:p w14:paraId="572FC8B5" w14:textId="0F30AAE0" w:rsidR="00440FD2" w:rsidRPr="00254580" w:rsidRDefault="00440FD2">
      <w:pPr>
        <w:pStyle w:val="FootnoteText"/>
        <w:rPr>
          <w:sz w:val="16"/>
          <w:lang w:val="en-US"/>
        </w:rPr>
      </w:pPr>
      <w:r w:rsidRPr="00254580">
        <w:rPr>
          <w:rStyle w:val="FootnoteReference"/>
          <w:sz w:val="16"/>
        </w:rPr>
        <w:footnoteRef/>
      </w:r>
      <w:r w:rsidRPr="00254580">
        <w:rPr>
          <w:sz w:val="16"/>
        </w:rPr>
        <w:t xml:space="preserve"> Paramount (202</w:t>
      </w:r>
      <w:r>
        <w:rPr>
          <w:sz w:val="16"/>
        </w:rPr>
        <w:t>2</w:t>
      </w:r>
      <w:r w:rsidRPr="00254580">
        <w:rPr>
          <w:sz w:val="16"/>
        </w:rPr>
        <w:t>), United States Security and Exchange Commission Form 10-K, PII-60</w:t>
      </w:r>
    </w:p>
  </w:footnote>
  <w:footnote w:id="56">
    <w:p w14:paraId="29E10DB2" w14:textId="6910D55C" w:rsidR="00440FD2" w:rsidRPr="001541B9" w:rsidRDefault="00440FD2" w:rsidP="001541B9">
      <w:pPr>
        <w:pStyle w:val="FootnoteText"/>
        <w:rPr>
          <w:sz w:val="16"/>
          <w:lang w:val="en-US"/>
        </w:rPr>
      </w:pPr>
      <w:r w:rsidRPr="001541B9">
        <w:rPr>
          <w:rStyle w:val="FootnoteReference"/>
          <w:sz w:val="16"/>
        </w:rPr>
        <w:footnoteRef/>
      </w:r>
      <w:r w:rsidRPr="001541B9">
        <w:rPr>
          <w:sz w:val="16"/>
          <w:lang w:val="en-US"/>
        </w:rPr>
        <w:t xml:space="preserve"> Australian Football League (2021), Annual Report 2021</w:t>
      </w:r>
    </w:p>
  </w:footnote>
  <w:footnote w:id="57">
    <w:p w14:paraId="0752AED9" w14:textId="3C56E337" w:rsidR="00440FD2" w:rsidRPr="001541B9" w:rsidRDefault="00440FD2" w:rsidP="00652AEF">
      <w:pPr>
        <w:pStyle w:val="FootnoteText"/>
        <w:ind w:left="0" w:firstLine="0"/>
        <w:rPr>
          <w:sz w:val="16"/>
          <w:lang w:val="en-US"/>
        </w:rPr>
      </w:pPr>
      <w:r w:rsidRPr="001541B9">
        <w:rPr>
          <w:rStyle w:val="FootnoteReference"/>
          <w:sz w:val="16"/>
        </w:rPr>
        <w:footnoteRef/>
      </w:r>
      <w:r w:rsidRPr="001541B9">
        <w:rPr>
          <w:sz w:val="16"/>
        </w:rPr>
        <w:t xml:space="preserve"> NRL Media Release (28 February 2022), ‘</w:t>
      </w:r>
      <w:hyperlink r:id="rId33" w:history="1">
        <w:r w:rsidRPr="001541B9">
          <w:rPr>
            <w:rStyle w:val="Hyperlink"/>
            <w:sz w:val="16"/>
          </w:rPr>
          <w:t>2021 Financial Results</w:t>
        </w:r>
      </w:hyperlink>
      <w:r w:rsidRPr="001541B9">
        <w:rPr>
          <w:rStyle w:val="Hyperlink"/>
          <w:sz w:val="16"/>
        </w:rPr>
        <w:t>’</w:t>
      </w:r>
      <w:r w:rsidRPr="001541B9">
        <w:rPr>
          <w:sz w:val="16"/>
        </w:rPr>
        <w:t>, NRL</w:t>
      </w:r>
    </w:p>
  </w:footnote>
  <w:footnote w:id="58">
    <w:p w14:paraId="17CE3784" w14:textId="6C5785D3" w:rsidR="00440FD2" w:rsidRPr="004735C1" w:rsidRDefault="00440FD2" w:rsidP="006001ED">
      <w:pPr>
        <w:pStyle w:val="FootnoteText"/>
        <w:rPr>
          <w:sz w:val="16"/>
          <w:szCs w:val="16"/>
        </w:rPr>
      </w:pPr>
      <w:r w:rsidRPr="004735C1">
        <w:rPr>
          <w:rStyle w:val="FootnoteReference"/>
          <w:sz w:val="16"/>
          <w:szCs w:val="16"/>
        </w:rPr>
        <w:footnoteRef/>
      </w:r>
      <w:r w:rsidRPr="004735C1">
        <w:rPr>
          <w:sz w:val="16"/>
          <w:szCs w:val="16"/>
        </w:rPr>
        <w:t xml:space="preserve"> ThinkTV (8 August 2022), </w:t>
      </w:r>
      <w:hyperlink r:id="rId34" w:history="1">
        <w:r>
          <w:rPr>
            <w:rStyle w:val="Hyperlink"/>
            <w:sz w:val="16"/>
            <w:szCs w:val="16"/>
          </w:rPr>
          <w:t>Total TV advertising market records $4.3 billion for 12 months to June 2022</w:t>
        </w:r>
      </w:hyperlink>
    </w:p>
  </w:footnote>
  <w:footnote w:id="59">
    <w:p w14:paraId="1CBE4CFE" w14:textId="2541AFA5" w:rsidR="00440FD2" w:rsidRDefault="00440FD2">
      <w:pPr>
        <w:pStyle w:val="FootnoteText"/>
      </w:pPr>
      <w:r w:rsidRPr="004735C1">
        <w:rPr>
          <w:rStyle w:val="FootnoteReference"/>
          <w:sz w:val="16"/>
          <w:szCs w:val="16"/>
        </w:rPr>
        <w:footnoteRef/>
      </w:r>
      <w:r w:rsidRPr="004735C1">
        <w:rPr>
          <w:sz w:val="16"/>
          <w:szCs w:val="16"/>
        </w:rPr>
        <w:t xml:space="preserve"> Ibid</w:t>
      </w:r>
    </w:p>
  </w:footnote>
  <w:footnote w:id="60">
    <w:p w14:paraId="69C277C9" w14:textId="74B5EF7A" w:rsidR="00440FD2" w:rsidRPr="00AE59D4" w:rsidRDefault="00440FD2" w:rsidP="008B2D5F">
      <w:pPr>
        <w:pStyle w:val="FootnoteText"/>
        <w:rPr>
          <w:sz w:val="16"/>
        </w:rPr>
      </w:pPr>
      <w:r w:rsidRPr="00AE59D4">
        <w:rPr>
          <w:rStyle w:val="FootnoteReference"/>
          <w:sz w:val="16"/>
        </w:rPr>
        <w:footnoteRef/>
      </w:r>
      <w:r w:rsidRPr="00AE59D4">
        <w:rPr>
          <w:sz w:val="16"/>
        </w:rPr>
        <w:t xml:space="preserve"> Telsyte (2019), </w:t>
      </w:r>
      <w:hyperlink r:id="rId35" w:history="1">
        <w:r w:rsidRPr="008E1CF9">
          <w:rPr>
            <w:rStyle w:val="Hyperlink"/>
            <w:sz w:val="16"/>
            <w:szCs w:val="16"/>
          </w:rPr>
          <w:t>Australians turn to multiple subscriptions for entertainment</w:t>
        </w:r>
      </w:hyperlink>
      <w:r w:rsidRPr="008E1CF9">
        <w:rPr>
          <w:sz w:val="16"/>
          <w:szCs w:val="16"/>
        </w:rPr>
        <w:t xml:space="preserve"> </w:t>
      </w:r>
      <w:r>
        <w:rPr>
          <w:sz w:val="16"/>
          <w:szCs w:val="16"/>
        </w:rPr>
        <w:t>as at 25 August 2022</w:t>
      </w:r>
    </w:p>
  </w:footnote>
  <w:footnote w:id="61">
    <w:p w14:paraId="647A57BF" w14:textId="02B11708" w:rsidR="00440FD2" w:rsidRPr="00AE59D4" w:rsidRDefault="00440FD2" w:rsidP="008B2D5F">
      <w:pPr>
        <w:pStyle w:val="FootnoteText"/>
        <w:rPr>
          <w:sz w:val="16"/>
          <w:lang w:val="en-US"/>
        </w:rPr>
      </w:pPr>
      <w:r w:rsidRPr="00AE59D4">
        <w:rPr>
          <w:rStyle w:val="FootnoteReference"/>
          <w:sz w:val="16"/>
        </w:rPr>
        <w:footnoteRef/>
      </w:r>
      <w:r w:rsidRPr="00AE59D4">
        <w:rPr>
          <w:sz w:val="16"/>
        </w:rPr>
        <w:t xml:space="preserve"> </w:t>
      </w:r>
      <w:r w:rsidRPr="00AE59D4">
        <w:rPr>
          <w:sz w:val="16"/>
          <w:lang w:val="en-US"/>
        </w:rPr>
        <w:t xml:space="preserve">Telsyte (2021), </w:t>
      </w:r>
      <w:r>
        <w:rPr>
          <w:sz w:val="16"/>
        </w:rPr>
        <w:t xml:space="preserve">Australian Subscription Entertainment Study 2021; Jolly N (20 September 2021) </w:t>
      </w:r>
      <w:hyperlink r:id="rId36" w:history="1">
        <w:r>
          <w:rPr>
            <w:rStyle w:val="Hyperlink"/>
            <w:sz w:val="16"/>
            <w:szCs w:val="16"/>
          </w:rPr>
          <w:t>Four In Five Aussie Homes Have Streaming Subscriptions</w:t>
        </w:r>
      </w:hyperlink>
      <w:r w:rsidRPr="008E1CF9">
        <w:rPr>
          <w:sz w:val="16"/>
          <w:szCs w:val="16"/>
        </w:rPr>
        <w:t>, Channel News</w:t>
      </w:r>
    </w:p>
  </w:footnote>
  <w:footnote w:id="62">
    <w:p w14:paraId="1062C512" w14:textId="5ECD3D2F" w:rsidR="00440FD2" w:rsidRPr="00797849" w:rsidRDefault="00440FD2">
      <w:pPr>
        <w:pStyle w:val="FootnoteText"/>
        <w:rPr>
          <w:sz w:val="16"/>
          <w:szCs w:val="16"/>
          <w:lang w:val="en-US"/>
        </w:rPr>
      </w:pPr>
      <w:r w:rsidRPr="00797849">
        <w:rPr>
          <w:rStyle w:val="FootnoteReference"/>
          <w:sz w:val="16"/>
          <w:szCs w:val="16"/>
        </w:rPr>
        <w:footnoteRef/>
      </w:r>
      <w:r w:rsidRPr="00797849">
        <w:rPr>
          <w:sz w:val="16"/>
          <w:szCs w:val="16"/>
        </w:rPr>
        <w:t xml:space="preserve"> </w:t>
      </w:r>
      <w:r w:rsidRPr="00797849">
        <w:rPr>
          <w:sz w:val="16"/>
          <w:szCs w:val="16"/>
          <w:lang w:val="en-US"/>
        </w:rPr>
        <w:t xml:space="preserve">Hytner M (9 November 2020) </w:t>
      </w:r>
      <w:hyperlink r:id="rId37" w:history="1">
        <w:r w:rsidRPr="00797849">
          <w:rPr>
            <w:rStyle w:val="Hyperlink"/>
            <w:sz w:val="16"/>
            <w:szCs w:val="16"/>
          </w:rPr>
          <w:t>Rugby Australia signs $100m deal with Nine as broadcaster unveils Stan Sport</w:t>
        </w:r>
      </w:hyperlink>
      <w:r w:rsidRPr="00797849">
        <w:rPr>
          <w:sz w:val="16"/>
          <w:szCs w:val="16"/>
        </w:rPr>
        <w:t xml:space="preserve"> The Guardian</w:t>
      </w:r>
    </w:p>
  </w:footnote>
  <w:footnote w:id="63">
    <w:p w14:paraId="14241137" w14:textId="02B12586" w:rsidR="00440FD2" w:rsidRPr="008B13AA" w:rsidRDefault="00440FD2" w:rsidP="008B13AA">
      <w:pPr>
        <w:pStyle w:val="FootnoteText"/>
        <w:rPr>
          <w:sz w:val="16"/>
          <w:szCs w:val="16"/>
          <w:lang w:val="en-US"/>
        </w:rPr>
      </w:pPr>
      <w:r w:rsidRPr="008B13AA">
        <w:rPr>
          <w:rStyle w:val="FootnoteReference"/>
          <w:sz w:val="16"/>
          <w:szCs w:val="16"/>
        </w:rPr>
        <w:footnoteRef/>
      </w:r>
      <w:r w:rsidRPr="008B13AA">
        <w:rPr>
          <w:sz w:val="16"/>
          <w:szCs w:val="16"/>
        </w:rPr>
        <w:t xml:space="preserve"> </w:t>
      </w:r>
      <w:r w:rsidRPr="008B13AA">
        <w:rPr>
          <w:sz w:val="16"/>
          <w:szCs w:val="16"/>
          <w:lang w:val="en-US"/>
        </w:rPr>
        <w:t xml:space="preserve">Optus Sports </w:t>
      </w:r>
      <w:hyperlink r:id="rId38" w:history="1">
        <w:r w:rsidRPr="008B13AA">
          <w:rPr>
            <w:rStyle w:val="Hyperlink"/>
            <w:sz w:val="16"/>
            <w:szCs w:val="16"/>
          </w:rPr>
          <w:t>Optus Sport announces new PL &amp; FAWSL rights deals</w:t>
        </w:r>
      </w:hyperlink>
    </w:p>
  </w:footnote>
  <w:footnote w:id="64">
    <w:p w14:paraId="1810BF7E" w14:textId="60F929F1" w:rsidR="00440FD2" w:rsidRPr="008B13AA" w:rsidRDefault="00440FD2">
      <w:pPr>
        <w:pStyle w:val="FootnoteText"/>
        <w:rPr>
          <w:sz w:val="16"/>
          <w:szCs w:val="16"/>
          <w:lang w:val="en-US"/>
        </w:rPr>
      </w:pPr>
      <w:r w:rsidRPr="008B13AA">
        <w:rPr>
          <w:rStyle w:val="FootnoteReference"/>
          <w:sz w:val="16"/>
          <w:szCs w:val="16"/>
        </w:rPr>
        <w:footnoteRef/>
      </w:r>
      <w:r w:rsidRPr="008B13AA">
        <w:rPr>
          <w:sz w:val="16"/>
          <w:szCs w:val="16"/>
        </w:rPr>
        <w:t xml:space="preserve"> Netball Australia (3 February 2021) </w:t>
      </w:r>
      <w:hyperlink r:id="rId39" w:history="1">
        <w:r w:rsidRPr="008B13AA">
          <w:rPr>
            <w:rStyle w:val="Hyperlink"/>
            <w:sz w:val="16"/>
            <w:szCs w:val="16"/>
          </w:rPr>
          <w:t>New broadcast and rights deal announced for 2022</w:t>
        </w:r>
      </w:hyperlink>
    </w:p>
  </w:footnote>
  <w:footnote w:id="65">
    <w:p w14:paraId="711E49EB" w14:textId="51CAFF75" w:rsidR="00440FD2" w:rsidRPr="008B13AA" w:rsidRDefault="00440FD2">
      <w:pPr>
        <w:pStyle w:val="FootnoteText"/>
        <w:rPr>
          <w:sz w:val="16"/>
          <w:szCs w:val="16"/>
          <w:lang w:val="en-US"/>
        </w:rPr>
      </w:pPr>
      <w:r w:rsidRPr="008B13AA">
        <w:rPr>
          <w:rStyle w:val="FootnoteReference"/>
          <w:sz w:val="16"/>
          <w:szCs w:val="16"/>
        </w:rPr>
        <w:footnoteRef/>
      </w:r>
      <w:r w:rsidRPr="008B13AA">
        <w:rPr>
          <w:sz w:val="16"/>
          <w:szCs w:val="16"/>
        </w:rPr>
        <w:t xml:space="preserve"> </w:t>
      </w:r>
      <w:r w:rsidRPr="008B13AA">
        <w:rPr>
          <w:sz w:val="16"/>
          <w:szCs w:val="16"/>
          <w:lang w:val="en-US"/>
        </w:rPr>
        <w:t xml:space="preserve">Carp S (4 February 2021) </w:t>
      </w:r>
      <w:hyperlink r:id="rId40" w:history="1">
        <w:r w:rsidRPr="008B13AA">
          <w:rPr>
            <w:rStyle w:val="Hyperlink"/>
            <w:sz w:val="16"/>
            <w:szCs w:val="16"/>
          </w:rPr>
          <w:t>Amazon dips toe in Australian market with swimming streaming deal</w:t>
        </w:r>
      </w:hyperlink>
      <w:r w:rsidRPr="008B13AA">
        <w:rPr>
          <w:sz w:val="16"/>
          <w:szCs w:val="16"/>
        </w:rPr>
        <w:t xml:space="preserve"> Sports Pro Media</w:t>
      </w:r>
    </w:p>
  </w:footnote>
  <w:footnote w:id="66">
    <w:p w14:paraId="2088B2B4" w14:textId="17120989" w:rsidR="00440FD2" w:rsidRPr="004735C1" w:rsidRDefault="00440FD2">
      <w:pPr>
        <w:pStyle w:val="FootnoteText"/>
        <w:rPr>
          <w:sz w:val="16"/>
          <w:szCs w:val="16"/>
          <w:lang w:val="en-US"/>
        </w:rPr>
      </w:pPr>
      <w:r w:rsidRPr="004735C1">
        <w:rPr>
          <w:rStyle w:val="FootnoteReference"/>
          <w:sz w:val="16"/>
          <w:szCs w:val="16"/>
        </w:rPr>
        <w:footnoteRef/>
      </w:r>
      <w:r w:rsidRPr="004735C1">
        <w:rPr>
          <w:sz w:val="16"/>
          <w:szCs w:val="16"/>
        </w:rPr>
        <w:t xml:space="preserve"> </w:t>
      </w:r>
      <w:r w:rsidRPr="004735C1">
        <w:rPr>
          <w:sz w:val="16"/>
          <w:szCs w:val="16"/>
          <w:lang w:val="en-US"/>
        </w:rPr>
        <w:t>Nielsen (2022), Global Sports Marketing Report</w:t>
      </w:r>
    </w:p>
  </w:footnote>
  <w:footnote w:id="67">
    <w:p w14:paraId="44CB1766" w14:textId="4D780B52" w:rsidR="00440FD2" w:rsidRPr="004735C1" w:rsidRDefault="00440FD2" w:rsidP="00122A79">
      <w:pPr>
        <w:pStyle w:val="FootnoteText"/>
        <w:rPr>
          <w:sz w:val="16"/>
          <w:szCs w:val="16"/>
          <w:lang w:val="en-US"/>
        </w:rPr>
      </w:pPr>
      <w:r w:rsidRPr="004735C1">
        <w:rPr>
          <w:rStyle w:val="FootnoteReference"/>
          <w:sz w:val="16"/>
          <w:szCs w:val="16"/>
        </w:rPr>
        <w:footnoteRef/>
      </w:r>
      <w:r w:rsidRPr="004735C1">
        <w:rPr>
          <w:sz w:val="16"/>
          <w:szCs w:val="16"/>
        </w:rPr>
        <w:t xml:space="preserve"> Ampere Analysis (2022), 2022 Trends and Dynamics in the Sports Broadcasting Sector, Abridged Report for the UK Office of Communications</w:t>
      </w:r>
    </w:p>
  </w:footnote>
  <w:footnote w:id="68">
    <w:p w14:paraId="3E1F5C6E" w14:textId="31C78579" w:rsidR="00440FD2" w:rsidRPr="004735C1" w:rsidRDefault="00440FD2">
      <w:pPr>
        <w:pStyle w:val="FootnoteText"/>
        <w:rPr>
          <w:sz w:val="16"/>
          <w:szCs w:val="16"/>
          <w:lang w:val="en-US"/>
        </w:rPr>
      </w:pPr>
      <w:r w:rsidRPr="004735C1">
        <w:rPr>
          <w:rStyle w:val="FootnoteReference"/>
          <w:sz w:val="16"/>
          <w:szCs w:val="16"/>
        </w:rPr>
        <w:footnoteRef/>
      </w:r>
      <w:r w:rsidRPr="004735C1">
        <w:rPr>
          <w:sz w:val="16"/>
          <w:szCs w:val="16"/>
        </w:rPr>
        <w:t xml:space="preserve"> </w:t>
      </w:r>
      <w:r w:rsidRPr="004735C1">
        <w:rPr>
          <w:sz w:val="16"/>
          <w:szCs w:val="16"/>
          <w:lang w:val="en-US"/>
        </w:rPr>
        <w:t>Ibid</w:t>
      </w:r>
    </w:p>
  </w:footnote>
  <w:footnote w:id="69">
    <w:p w14:paraId="623DD9F6" w14:textId="73B7147A" w:rsidR="00440FD2" w:rsidRPr="004735C1" w:rsidRDefault="00440FD2" w:rsidP="001947D8">
      <w:pPr>
        <w:pStyle w:val="FootnoteText"/>
        <w:rPr>
          <w:sz w:val="16"/>
          <w:szCs w:val="16"/>
          <w:lang w:val="en-US"/>
        </w:rPr>
      </w:pPr>
      <w:r w:rsidRPr="004735C1">
        <w:rPr>
          <w:rStyle w:val="FootnoteReference"/>
          <w:sz w:val="16"/>
          <w:szCs w:val="16"/>
        </w:rPr>
        <w:footnoteRef/>
      </w:r>
      <w:r w:rsidRPr="004735C1">
        <w:rPr>
          <w:sz w:val="16"/>
          <w:szCs w:val="16"/>
          <w:lang w:val="en-US"/>
        </w:rPr>
        <w:t>Rao PS and Draper K (June 7 2018), ‘</w:t>
      </w:r>
      <w:hyperlink r:id="rId41" w:history="1">
        <w:r w:rsidRPr="004735C1">
          <w:rPr>
            <w:rStyle w:val="Hyperlink"/>
            <w:sz w:val="16"/>
            <w:szCs w:val="16"/>
            <w:lang w:val="en-US"/>
          </w:rPr>
          <w:t>Amazon Wins Exclusive U.K. Rights to Broadcast Some Premier League Matches</w:t>
        </w:r>
      </w:hyperlink>
      <w:r w:rsidRPr="004735C1">
        <w:rPr>
          <w:sz w:val="16"/>
          <w:szCs w:val="16"/>
          <w:lang w:val="en-US"/>
        </w:rPr>
        <w:t>’, The New York Times</w:t>
      </w:r>
    </w:p>
  </w:footnote>
  <w:footnote w:id="70">
    <w:p w14:paraId="6F6F9DBD" w14:textId="51997884" w:rsidR="00440FD2" w:rsidRPr="004735C1" w:rsidRDefault="00440FD2" w:rsidP="001947D8">
      <w:pPr>
        <w:pStyle w:val="FootnoteText"/>
        <w:rPr>
          <w:sz w:val="16"/>
          <w:szCs w:val="16"/>
          <w:lang w:val="en-US"/>
        </w:rPr>
      </w:pPr>
      <w:r w:rsidRPr="004735C1">
        <w:rPr>
          <w:rStyle w:val="FootnoteReference"/>
          <w:sz w:val="16"/>
          <w:szCs w:val="16"/>
        </w:rPr>
        <w:footnoteRef/>
      </w:r>
      <w:r w:rsidRPr="004735C1">
        <w:rPr>
          <w:sz w:val="16"/>
          <w:szCs w:val="16"/>
        </w:rPr>
        <w:t xml:space="preserve"> </w:t>
      </w:r>
      <w:r w:rsidRPr="004735C1">
        <w:rPr>
          <w:sz w:val="16"/>
          <w:szCs w:val="16"/>
          <w:lang w:val="en-US"/>
        </w:rPr>
        <w:t>Sweney M (13 May 2021), ‘</w:t>
      </w:r>
      <w:hyperlink r:id="rId42" w:history="1">
        <w:r w:rsidRPr="004735C1">
          <w:rPr>
            <w:rStyle w:val="Hyperlink"/>
            <w:sz w:val="16"/>
            <w:szCs w:val="16"/>
            <w:lang w:val="en-US"/>
          </w:rPr>
          <w:t xml:space="preserve">Premier League renews </w:t>
        </w:r>
        <w:r w:rsidRPr="004735C1">
          <w:rPr>
            <w:rStyle w:val="Hyperlink"/>
            <w:rFonts w:cstheme="minorHAnsi"/>
            <w:sz w:val="16"/>
            <w:szCs w:val="16"/>
            <w:lang w:val="en-US"/>
          </w:rPr>
          <w:t>£</w:t>
        </w:r>
        <w:r w:rsidRPr="004735C1">
          <w:rPr>
            <w:rStyle w:val="Hyperlink"/>
            <w:sz w:val="16"/>
            <w:szCs w:val="16"/>
            <w:lang w:val="en-US"/>
          </w:rPr>
          <w:t xml:space="preserve">4.8bn TV deal with extra </w:t>
        </w:r>
        <w:r w:rsidRPr="004735C1">
          <w:rPr>
            <w:rStyle w:val="Hyperlink"/>
            <w:rFonts w:cstheme="minorHAnsi"/>
            <w:sz w:val="16"/>
            <w:szCs w:val="16"/>
            <w:lang w:val="en-US"/>
          </w:rPr>
          <w:t>£</w:t>
        </w:r>
        <w:r w:rsidRPr="004735C1">
          <w:rPr>
            <w:rStyle w:val="Hyperlink"/>
            <w:sz w:val="16"/>
            <w:szCs w:val="16"/>
            <w:lang w:val="en-US"/>
          </w:rPr>
          <w:t>100m trickle-down funds</w:t>
        </w:r>
      </w:hyperlink>
      <w:r w:rsidRPr="004735C1">
        <w:rPr>
          <w:sz w:val="16"/>
          <w:szCs w:val="16"/>
          <w:lang w:val="en-US"/>
        </w:rPr>
        <w:t>’, The Guardian</w:t>
      </w:r>
    </w:p>
  </w:footnote>
  <w:footnote w:id="71">
    <w:p w14:paraId="5C8FBB5D" w14:textId="07B144E3" w:rsidR="00440FD2" w:rsidRPr="004735C1" w:rsidRDefault="00440FD2">
      <w:pPr>
        <w:pStyle w:val="FootnoteText"/>
        <w:rPr>
          <w:sz w:val="16"/>
          <w:szCs w:val="16"/>
          <w:lang w:val="en-US"/>
        </w:rPr>
      </w:pPr>
      <w:r w:rsidRPr="004735C1">
        <w:rPr>
          <w:rStyle w:val="FootnoteReference"/>
          <w:sz w:val="16"/>
          <w:szCs w:val="16"/>
        </w:rPr>
        <w:footnoteRef/>
      </w:r>
      <w:r w:rsidRPr="004735C1">
        <w:rPr>
          <w:sz w:val="16"/>
          <w:szCs w:val="16"/>
        </w:rPr>
        <w:t xml:space="preserve"> Sweney M (1 July 2022), </w:t>
      </w:r>
      <w:hyperlink r:id="rId43" w:history="1">
        <w:r w:rsidRPr="004735C1">
          <w:rPr>
            <w:rStyle w:val="Hyperlink"/>
            <w:sz w:val="16"/>
            <w:szCs w:val="16"/>
          </w:rPr>
          <w:t>Amazon close to deal over Champions League rights in UK</w:t>
        </w:r>
      </w:hyperlink>
      <w:r w:rsidRPr="004735C1">
        <w:rPr>
          <w:sz w:val="16"/>
          <w:szCs w:val="16"/>
        </w:rPr>
        <w:t>, The Guardian</w:t>
      </w:r>
    </w:p>
  </w:footnote>
  <w:footnote w:id="72">
    <w:p w14:paraId="79212F31" w14:textId="36AC5F47" w:rsidR="00440FD2" w:rsidRPr="004735C1" w:rsidRDefault="00440FD2">
      <w:pPr>
        <w:pStyle w:val="FootnoteText"/>
        <w:rPr>
          <w:sz w:val="16"/>
          <w:szCs w:val="16"/>
          <w:lang w:val="en-US"/>
        </w:rPr>
      </w:pPr>
      <w:r w:rsidRPr="004735C1">
        <w:rPr>
          <w:rStyle w:val="FootnoteReference"/>
          <w:sz w:val="16"/>
          <w:szCs w:val="16"/>
        </w:rPr>
        <w:footnoteRef/>
      </w:r>
      <w:r w:rsidRPr="004735C1">
        <w:rPr>
          <w:sz w:val="16"/>
          <w:szCs w:val="16"/>
        </w:rPr>
        <w:t xml:space="preserve"> Sweney M and Gibbs S (20 April 2018), ‘</w:t>
      </w:r>
      <w:hyperlink r:id="rId44" w:history="1">
        <w:r w:rsidRPr="004735C1">
          <w:rPr>
            <w:rStyle w:val="Hyperlink"/>
            <w:sz w:val="16"/>
            <w:szCs w:val="16"/>
          </w:rPr>
          <w:t>Amazon buys exclusive UK rights to US Open tennis tournament</w:t>
        </w:r>
      </w:hyperlink>
      <w:r w:rsidRPr="004735C1">
        <w:rPr>
          <w:sz w:val="16"/>
          <w:szCs w:val="16"/>
        </w:rPr>
        <w:t>’, The Guardian</w:t>
      </w:r>
    </w:p>
  </w:footnote>
  <w:footnote w:id="73">
    <w:p w14:paraId="34C402DF" w14:textId="0DD00415" w:rsidR="00440FD2" w:rsidRPr="004735C1" w:rsidRDefault="00440FD2">
      <w:pPr>
        <w:pStyle w:val="FootnoteText"/>
        <w:rPr>
          <w:sz w:val="16"/>
          <w:szCs w:val="16"/>
          <w:lang w:val="en-US"/>
        </w:rPr>
      </w:pPr>
      <w:r w:rsidRPr="004735C1">
        <w:rPr>
          <w:rStyle w:val="FootnoteReference"/>
          <w:sz w:val="16"/>
          <w:szCs w:val="16"/>
        </w:rPr>
        <w:footnoteRef/>
      </w:r>
      <w:r w:rsidRPr="004735C1">
        <w:rPr>
          <w:sz w:val="16"/>
          <w:szCs w:val="16"/>
        </w:rPr>
        <w:t xml:space="preserve"> Fraser S (2 April 2022), ‘</w:t>
      </w:r>
      <w:hyperlink r:id="rId45" w:history="1">
        <w:r w:rsidRPr="004735C1">
          <w:rPr>
            <w:rStyle w:val="Hyperlink"/>
            <w:sz w:val="16"/>
            <w:szCs w:val="16"/>
          </w:rPr>
          <w:t>Emma Raducanu factor entices Sky to seize US Open from Amazon</w:t>
        </w:r>
      </w:hyperlink>
      <w:r w:rsidRPr="004735C1">
        <w:rPr>
          <w:sz w:val="16"/>
          <w:szCs w:val="16"/>
        </w:rPr>
        <w:t>’, The Times</w:t>
      </w:r>
    </w:p>
  </w:footnote>
  <w:footnote w:id="74">
    <w:p w14:paraId="643C2780" w14:textId="00395294" w:rsidR="00440FD2" w:rsidRPr="00714478" w:rsidRDefault="00440FD2" w:rsidP="003D1F93">
      <w:pPr>
        <w:pStyle w:val="FootnoteText"/>
        <w:ind w:left="170" w:hanging="170"/>
        <w:rPr>
          <w:sz w:val="16"/>
          <w:szCs w:val="16"/>
          <w:lang w:val="en-US"/>
        </w:rPr>
      </w:pPr>
      <w:r w:rsidRPr="004735C1">
        <w:rPr>
          <w:rStyle w:val="FootnoteReference"/>
          <w:sz w:val="16"/>
          <w:szCs w:val="16"/>
        </w:rPr>
        <w:footnoteRef/>
      </w:r>
      <w:r w:rsidRPr="004735C1">
        <w:rPr>
          <w:sz w:val="16"/>
          <w:szCs w:val="16"/>
        </w:rPr>
        <w:t xml:space="preserve"> WTA Staff (12 June 2019), ‘</w:t>
      </w:r>
      <w:hyperlink r:id="rId46" w:history="1">
        <w:r w:rsidRPr="004735C1">
          <w:rPr>
            <w:rStyle w:val="Hyperlink"/>
            <w:sz w:val="16"/>
            <w:szCs w:val="16"/>
          </w:rPr>
          <w:t>Amazon wins exclusive rights to WTA in four-year deal, Prime Video to be the home for tennis in the UK and Ireland</w:t>
        </w:r>
      </w:hyperlink>
      <w:r w:rsidRPr="004735C1">
        <w:rPr>
          <w:sz w:val="16"/>
          <w:szCs w:val="16"/>
        </w:rPr>
        <w:t>’, Women’s Tennis Association</w:t>
      </w:r>
    </w:p>
  </w:footnote>
  <w:footnote w:id="75">
    <w:p w14:paraId="5A109826" w14:textId="3221AD0A" w:rsidR="00440FD2" w:rsidRPr="00FD526D" w:rsidRDefault="00440FD2">
      <w:pPr>
        <w:pStyle w:val="FootnoteText"/>
        <w:rPr>
          <w:sz w:val="16"/>
          <w:szCs w:val="16"/>
          <w:lang w:val="en-US"/>
        </w:rPr>
      </w:pPr>
      <w:r w:rsidRPr="00FD526D">
        <w:rPr>
          <w:rStyle w:val="FootnoteReference"/>
          <w:sz w:val="16"/>
          <w:szCs w:val="16"/>
        </w:rPr>
        <w:footnoteRef/>
      </w:r>
      <w:r w:rsidRPr="00FD526D">
        <w:rPr>
          <w:sz w:val="16"/>
          <w:szCs w:val="16"/>
        </w:rPr>
        <w:t xml:space="preserve"> Belson K and Draper K (18 March 2021), ‘</w:t>
      </w:r>
      <w:hyperlink r:id="rId47" w:anchor=":~:text=The%20N.F.L.,value%20of%20its%20previous%20contracts." w:history="1">
        <w:r w:rsidRPr="00FD526D">
          <w:rPr>
            <w:rStyle w:val="Hyperlink"/>
            <w:sz w:val="16"/>
            <w:szCs w:val="16"/>
          </w:rPr>
          <w:t>N.F.L. Signs Media Deals Worth Over $100 Billion</w:t>
        </w:r>
      </w:hyperlink>
      <w:r w:rsidRPr="00FD526D">
        <w:rPr>
          <w:sz w:val="16"/>
          <w:szCs w:val="16"/>
        </w:rPr>
        <w:t>’, The New York Times</w:t>
      </w:r>
    </w:p>
  </w:footnote>
  <w:footnote w:id="76">
    <w:p w14:paraId="21D95CD6" w14:textId="50F83818" w:rsidR="00440FD2" w:rsidRPr="00FD526D" w:rsidRDefault="00440FD2" w:rsidP="003D1F93">
      <w:pPr>
        <w:pStyle w:val="FootnoteText"/>
        <w:ind w:left="170" w:hanging="170"/>
        <w:rPr>
          <w:sz w:val="16"/>
          <w:szCs w:val="16"/>
          <w:lang w:val="en-US"/>
        </w:rPr>
      </w:pPr>
      <w:r w:rsidRPr="00FD526D">
        <w:rPr>
          <w:rStyle w:val="FootnoteReference"/>
          <w:sz w:val="16"/>
          <w:szCs w:val="16"/>
        </w:rPr>
        <w:footnoteRef/>
      </w:r>
      <w:r w:rsidRPr="00FD526D">
        <w:rPr>
          <w:sz w:val="16"/>
          <w:szCs w:val="16"/>
        </w:rPr>
        <w:t xml:space="preserve"> Skriver K (11 May 2022), </w:t>
      </w:r>
      <w:hyperlink r:id="rId48" w:history="1">
        <w:r w:rsidRPr="00FD526D">
          <w:rPr>
            <w:rStyle w:val="Hyperlink"/>
            <w:sz w:val="16"/>
            <w:szCs w:val="16"/>
          </w:rPr>
          <w:t>NFL on Amazon, explained: What to know about new 'Thursday Night Football' broadcasts for 2022</w:t>
        </w:r>
      </w:hyperlink>
      <w:r w:rsidRPr="00FD526D">
        <w:rPr>
          <w:sz w:val="16"/>
          <w:szCs w:val="16"/>
        </w:rPr>
        <w:t xml:space="preserve">, </w:t>
      </w:r>
      <w:r>
        <w:rPr>
          <w:sz w:val="16"/>
          <w:szCs w:val="16"/>
        </w:rPr>
        <w:t xml:space="preserve">The </w:t>
      </w:r>
      <w:r w:rsidRPr="00FD526D">
        <w:rPr>
          <w:sz w:val="16"/>
          <w:szCs w:val="16"/>
        </w:rPr>
        <w:t>Sporting News</w:t>
      </w:r>
    </w:p>
  </w:footnote>
  <w:footnote w:id="77">
    <w:p w14:paraId="1873E9CF" w14:textId="5D8CC250" w:rsidR="00440FD2" w:rsidRPr="00FD526D" w:rsidRDefault="00440FD2">
      <w:pPr>
        <w:pStyle w:val="FootnoteText"/>
        <w:rPr>
          <w:sz w:val="16"/>
          <w:szCs w:val="16"/>
          <w:lang w:val="en-US"/>
        </w:rPr>
      </w:pPr>
      <w:r w:rsidRPr="00FD526D">
        <w:rPr>
          <w:rStyle w:val="FootnoteReference"/>
          <w:sz w:val="16"/>
          <w:szCs w:val="16"/>
        </w:rPr>
        <w:footnoteRef/>
      </w:r>
      <w:r w:rsidRPr="00FD526D">
        <w:rPr>
          <w:sz w:val="16"/>
          <w:szCs w:val="16"/>
        </w:rPr>
        <w:t xml:space="preserve"> Sherman A (3 May 2021), ‘</w:t>
      </w:r>
      <w:hyperlink r:id="rId49" w:history="1">
        <w:r w:rsidRPr="00FD526D">
          <w:rPr>
            <w:rStyle w:val="Hyperlink"/>
            <w:sz w:val="16"/>
            <w:szCs w:val="16"/>
          </w:rPr>
          <w:t>Amazon's Thursday Night Football package will begin in 2022 instead of 2023</w:t>
        </w:r>
      </w:hyperlink>
      <w:r w:rsidRPr="00FD526D">
        <w:rPr>
          <w:sz w:val="16"/>
          <w:szCs w:val="16"/>
        </w:rPr>
        <w:t>’, CNBC</w:t>
      </w:r>
    </w:p>
  </w:footnote>
  <w:footnote w:id="78">
    <w:p w14:paraId="4433A35A" w14:textId="7C076FD8" w:rsidR="00440FD2" w:rsidRPr="00FD526D" w:rsidRDefault="00440FD2">
      <w:pPr>
        <w:pStyle w:val="FootnoteText"/>
        <w:rPr>
          <w:sz w:val="16"/>
          <w:szCs w:val="16"/>
          <w:lang w:val="en-US"/>
        </w:rPr>
      </w:pPr>
      <w:r w:rsidRPr="00FD526D">
        <w:rPr>
          <w:rStyle w:val="FootnoteReference"/>
          <w:sz w:val="16"/>
          <w:szCs w:val="16"/>
        </w:rPr>
        <w:footnoteRef/>
      </w:r>
      <w:r w:rsidRPr="00FD526D">
        <w:rPr>
          <w:sz w:val="16"/>
          <w:szCs w:val="16"/>
        </w:rPr>
        <w:t xml:space="preserve"> Sherman A and Young J (18 March 2021), </w:t>
      </w:r>
      <w:hyperlink r:id="rId50" w:history="1">
        <w:r w:rsidRPr="00FD526D">
          <w:rPr>
            <w:rStyle w:val="Hyperlink"/>
            <w:sz w:val="16"/>
            <w:szCs w:val="16"/>
          </w:rPr>
          <w:t>NFL media rights deal 2023-2033: Amazon gets exclusive Thursday Night</w:t>
        </w:r>
      </w:hyperlink>
      <w:r w:rsidRPr="00FD526D">
        <w:rPr>
          <w:sz w:val="16"/>
          <w:szCs w:val="16"/>
        </w:rPr>
        <w:t>, CNBC</w:t>
      </w:r>
    </w:p>
  </w:footnote>
  <w:footnote w:id="79">
    <w:p w14:paraId="5EC69480" w14:textId="445AAA2E" w:rsidR="00440FD2" w:rsidRPr="00FD526D" w:rsidRDefault="00440FD2">
      <w:pPr>
        <w:pStyle w:val="FootnoteText"/>
        <w:rPr>
          <w:sz w:val="16"/>
          <w:szCs w:val="16"/>
          <w:lang w:val="en-US"/>
        </w:rPr>
      </w:pPr>
      <w:r w:rsidRPr="00FD526D">
        <w:rPr>
          <w:rStyle w:val="FootnoteReference"/>
          <w:sz w:val="16"/>
          <w:szCs w:val="16"/>
        </w:rPr>
        <w:footnoteRef/>
      </w:r>
      <w:r w:rsidRPr="00FD526D">
        <w:rPr>
          <w:sz w:val="16"/>
          <w:szCs w:val="16"/>
        </w:rPr>
        <w:t xml:space="preserve"> </w:t>
      </w:r>
      <w:hyperlink r:id="rId51" w:history="1">
        <w:r w:rsidRPr="00FD526D">
          <w:rPr>
            <w:rStyle w:val="Hyperlink"/>
            <w:color w:val="auto"/>
            <w:sz w:val="16"/>
            <w:szCs w:val="16"/>
            <w:u w:val="none"/>
          </w:rPr>
          <w:t>Ibid</w:t>
        </w:r>
      </w:hyperlink>
    </w:p>
  </w:footnote>
  <w:footnote w:id="80">
    <w:p w14:paraId="064A01FC" w14:textId="653F7229" w:rsidR="00440FD2" w:rsidRPr="00FD526D" w:rsidRDefault="00440FD2">
      <w:pPr>
        <w:pStyle w:val="FootnoteText"/>
        <w:rPr>
          <w:sz w:val="16"/>
          <w:szCs w:val="16"/>
          <w:lang w:val="en-US"/>
        </w:rPr>
      </w:pPr>
      <w:r w:rsidRPr="00FD526D">
        <w:rPr>
          <w:rStyle w:val="FootnoteReference"/>
          <w:sz w:val="16"/>
          <w:szCs w:val="16"/>
        </w:rPr>
        <w:footnoteRef/>
      </w:r>
      <w:r w:rsidRPr="00FD526D">
        <w:rPr>
          <w:sz w:val="16"/>
          <w:szCs w:val="16"/>
        </w:rPr>
        <w:t>Reuters (4 September 2017), ‘</w:t>
      </w:r>
      <w:hyperlink r:id="rId52" w:anchor=":~:text=Star%20India%20will%20pay%20%C2%A3,rights%20from%202018%20to%202022." w:history="1">
        <w:r w:rsidRPr="00FD526D">
          <w:rPr>
            <w:rStyle w:val="Hyperlink"/>
            <w:sz w:val="16"/>
            <w:szCs w:val="16"/>
          </w:rPr>
          <w:t>IPL television and broadcast rights sold for massive £1.97bn to Star India</w:t>
        </w:r>
      </w:hyperlink>
      <w:r w:rsidRPr="00FD526D">
        <w:rPr>
          <w:sz w:val="16"/>
          <w:szCs w:val="16"/>
        </w:rPr>
        <w:t>’, The Guardian</w:t>
      </w:r>
    </w:p>
  </w:footnote>
  <w:footnote w:id="81">
    <w:p w14:paraId="7EEAA93C" w14:textId="4E0B8BB9" w:rsidR="00440FD2" w:rsidRPr="00D64EFE" w:rsidRDefault="00440FD2">
      <w:pPr>
        <w:pStyle w:val="FootnoteText"/>
        <w:rPr>
          <w:lang w:val="en-US"/>
        </w:rPr>
      </w:pPr>
      <w:r w:rsidRPr="00FD526D">
        <w:rPr>
          <w:rStyle w:val="FootnoteReference"/>
          <w:sz w:val="16"/>
          <w:szCs w:val="16"/>
        </w:rPr>
        <w:footnoteRef/>
      </w:r>
      <w:r w:rsidRPr="00FD526D">
        <w:rPr>
          <w:sz w:val="16"/>
          <w:szCs w:val="16"/>
        </w:rPr>
        <w:t xml:space="preserve"> </w:t>
      </w:r>
      <w:r>
        <w:rPr>
          <w:sz w:val="16"/>
          <w:szCs w:val="16"/>
        </w:rPr>
        <w:t xml:space="preserve">BBC staff </w:t>
      </w:r>
      <w:r w:rsidRPr="00FD526D">
        <w:rPr>
          <w:sz w:val="16"/>
          <w:szCs w:val="16"/>
        </w:rPr>
        <w:t>(15 June 2022), ‘</w:t>
      </w:r>
      <w:hyperlink r:id="rId53" w:history="1">
        <w:r w:rsidRPr="00FD526D">
          <w:rPr>
            <w:rStyle w:val="Hyperlink"/>
            <w:sz w:val="16"/>
            <w:szCs w:val="16"/>
          </w:rPr>
          <w:t>IPL media rights sold in record-breaking $6bn deal</w:t>
        </w:r>
      </w:hyperlink>
      <w:r w:rsidRPr="00FD526D">
        <w:rPr>
          <w:sz w:val="16"/>
          <w:szCs w:val="16"/>
        </w:rPr>
        <w:t>’, BBC News</w:t>
      </w:r>
    </w:p>
  </w:footnote>
  <w:footnote w:id="82">
    <w:p w14:paraId="587BD39B" w14:textId="37B83898" w:rsidR="00440FD2" w:rsidRPr="00EE2804" w:rsidRDefault="00440FD2">
      <w:pPr>
        <w:pStyle w:val="FootnoteText"/>
        <w:rPr>
          <w:sz w:val="16"/>
          <w:szCs w:val="16"/>
          <w:lang w:val="en-US"/>
        </w:rPr>
      </w:pPr>
      <w:r w:rsidRPr="00EE2804">
        <w:rPr>
          <w:rStyle w:val="FootnoteReference"/>
          <w:sz w:val="16"/>
          <w:szCs w:val="16"/>
        </w:rPr>
        <w:footnoteRef/>
      </w:r>
      <w:r w:rsidRPr="00EE2804">
        <w:rPr>
          <w:sz w:val="16"/>
          <w:szCs w:val="16"/>
        </w:rPr>
        <w:t xml:space="preserve"> Explanatory Memorandum to Broadcasting Services Bill 1992, page 67</w:t>
      </w:r>
    </w:p>
  </w:footnote>
  <w:footnote w:id="83">
    <w:p w14:paraId="1320B59F" w14:textId="295DE8A1" w:rsidR="00440FD2" w:rsidRPr="00EE2804" w:rsidRDefault="00440FD2">
      <w:pPr>
        <w:pStyle w:val="FootnoteText"/>
        <w:rPr>
          <w:sz w:val="16"/>
          <w:szCs w:val="16"/>
          <w:lang w:val="en-US"/>
        </w:rPr>
      </w:pPr>
      <w:r w:rsidRPr="00EE2804">
        <w:rPr>
          <w:rStyle w:val="FootnoteReference"/>
          <w:sz w:val="16"/>
          <w:szCs w:val="16"/>
        </w:rPr>
        <w:footnoteRef/>
      </w:r>
      <w:r w:rsidRPr="00EE2804">
        <w:rPr>
          <w:sz w:val="16"/>
          <w:szCs w:val="16"/>
        </w:rPr>
        <w:t xml:space="preserve"> </w:t>
      </w:r>
      <w:r w:rsidRPr="00EE2804">
        <w:rPr>
          <w:sz w:val="16"/>
          <w:szCs w:val="16"/>
          <w:lang w:val="en-US"/>
        </w:rPr>
        <w:t>Ibid</w:t>
      </w:r>
    </w:p>
  </w:footnote>
  <w:footnote w:id="84">
    <w:p w14:paraId="33CDBB02" w14:textId="2BFC2993" w:rsidR="00440FD2" w:rsidRPr="00BC7E36" w:rsidRDefault="00440FD2">
      <w:pPr>
        <w:pStyle w:val="FootnoteText"/>
        <w:rPr>
          <w:sz w:val="16"/>
          <w:szCs w:val="16"/>
          <w:lang w:val="en-US"/>
        </w:rPr>
      </w:pPr>
      <w:r w:rsidRPr="00BC7E36">
        <w:rPr>
          <w:rStyle w:val="FootnoteReference"/>
          <w:sz w:val="16"/>
          <w:szCs w:val="16"/>
        </w:rPr>
        <w:footnoteRef/>
      </w:r>
      <w:r w:rsidRPr="00BC7E36">
        <w:rPr>
          <w:sz w:val="16"/>
          <w:szCs w:val="16"/>
        </w:rPr>
        <w:t xml:space="preserve"> </w:t>
      </w:r>
      <w:r>
        <w:rPr>
          <w:sz w:val="16"/>
          <w:szCs w:val="16"/>
        </w:rPr>
        <w:t>Parliament of Australia (</w:t>
      </w:r>
      <w:r w:rsidRPr="00BC7E36">
        <w:rPr>
          <w:sz w:val="16"/>
          <w:szCs w:val="16"/>
          <w:lang w:val="en-US"/>
        </w:rPr>
        <w:t>31 May 1994</w:t>
      </w:r>
      <w:r>
        <w:rPr>
          <w:sz w:val="16"/>
          <w:szCs w:val="16"/>
          <w:lang w:val="en-US"/>
        </w:rPr>
        <w:t xml:space="preserve">, </w:t>
      </w:r>
      <w:hyperlink r:id="rId54" w:history="1">
        <w:r>
          <w:rPr>
            <w:rStyle w:val="Hyperlink"/>
            <w:sz w:val="16"/>
            <w:szCs w:val="16"/>
          </w:rPr>
          <w:t>ParlInfo - Major sporting events to remain on free to air television</w:t>
        </w:r>
      </w:hyperlink>
    </w:p>
  </w:footnote>
  <w:footnote w:id="85">
    <w:p w14:paraId="379D96D5" w14:textId="03D3BF6D" w:rsidR="00440FD2" w:rsidRPr="008035E5" w:rsidRDefault="00440FD2">
      <w:pPr>
        <w:pStyle w:val="FootnoteText"/>
        <w:rPr>
          <w:sz w:val="16"/>
          <w:szCs w:val="16"/>
          <w:lang w:val="en-US"/>
        </w:rPr>
      </w:pPr>
      <w:r w:rsidRPr="00C77E71">
        <w:rPr>
          <w:rStyle w:val="FootnoteReference"/>
          <w:sz w:val="16"/>
          <w:szCs w:val="16"/>
        </w:rPr>
        <w:footnoteRef/>
      </w:r>
      <w:r w:rsidRPr="00C77E71">
        <w:rPr>
          <w:sz w:val="16"/>
          <w:szCs w:val="16"/>
        </w:rPr>
        <w:t xml:space="preserve"> Free TV (2022),</w:t>
      </w:r>
      <w:r w:rsidRPr="008035E5">
        <w:rPr>
          <w:sz w:val="16"/>
          <w:szCs w:val="16"/>
        </w:rPr>
        <w:t xml:space="preserve"> </w:t>
      </w:r>
      <w:hyperlink r:id="rId55" w:history="1">
        <w:r w:rsidRPr="008035E5">
          <w:rPr>
            <w:rStyle w:val="Hyperlink"/>
            <w:sz w:val="16"/>
            <w:szCs w:val="16"/>
          </w:rPr>
          <w:t>FreeTV</w:t>
        </w:r>
        <w:r>
          <w:rPr>
            <w:rStyle w:val="Hyperlink"/>
            <w:sz w:val="16"/>
            <w:szCs w:val="16"/>
          </w:rPr>
          <w:t xml:space="preserve"> </w:t>
        </w:r>
        <w:r w:rsidRPr="008035E5">
          <w:rPr>
            <w:rStyle w:val="Hyperlink"/>
            <w:sz w:val="16"/>
            <w:szCs w:val="16"/>
          </w:rPr>
          <w:t>Policy Manifesto</w:t>
        </w:r>
      </w:hyperlink>
      <w:r w:rsidRPr="008035E5">
        <w:rPr>
          <w:sz w:val="16"/>
          <w:szCs w:val="16"/>
        </w:rPr>
        <w:t>, p3</w:t>
      </w:r>
    </w:p>
  </w:footnote>
  <w:footnote w:id="86">
    <w:p w14:paraId="3CA0D8E7" w14:textId="6D6375F6" w:rsidR="00440FD2" w:rsidRPr="004735C1" w:rsidRDefault="00440FD2" w:rsidP="00616EF0">
      <w:pPr>
        <w:pStyle w:val="FootnoteText"/>
        <w:rPr>
          <w:sz w:val="16"/>
          <w:szCs w:val="16"/>
          <w:lang w:val="en-US"/>
        </w:rPr>
      </w:pPr>
      <w:r w:rsidRPr="004735C1">
        <w:rPr>
          <w:rStyle w:val="FootnoteReference"/>
          <w:sz w:val="16"/>
          <w:szCs w:val="16"/>
        </w:rPr>
        <w:footnoteRef/>
      </w:r>
      <w:r w:rsidRPr="004735C1">
        <w:rPr>
          <w:sz w:val="16"/>
          <w:szCs w:val="16"/>
        </w:rPr>
        <w:t xml:space="preserve"> </w:t>
      </w:r>
      <w:r w:rsidRPr="004735C1">
        <w:rPr>
          <w:sz w:val="16"/>
          <w:szCs w:val="16"/>
          <w:lang w:val="en-US"/>
        </w:rPr>
        <w:t>Telsyte (</w:t>
      </w:r>
      <w:r w:rsidRPr="004735C1">
        <w:rPr>
          <w:sz w:val="16"/>
          <w:szCs w:val="16"/>
        </w:rPr>
        <w:t xml:space="preserve">2021), </w:t>
      </w:r>
      <w:hyperlink r:id="rId56" w:history="1">
        <w:r w:rsidRPr="004735C1">
          <w:rPr>
            <w:rStyle w:val="Hyperlink"/>
            <w:sz w:val="16"/>
            <w:szCs w:val="16"/>
          </w:rPr>
          <w:t>Subscription entertainment lifts in lockdown</w:t>
        </w:r>
      </w:hyperlink>
      <w:r w:rsidRPr="008E1CF9">
        <w:rPr>
          <w:rStyle w:val="Hyperlink"/>
          <w:color w:val="auto"/>
          <w:sz w:val="16"/>
          <w:szCs w:val="16"/>
          <w:u w:val="none"/>
        </w:rPr>
        <w:t>, as at 25 August 2022</w:t>
      </w:r>
    </w:p>
  </w:footnote>
  <w:footnote w:id="87">
    <w:p w14:paraId="0555BF5F" w14:textId="1BB15581" w:rsidR="00440FD2" w:rsidRPr="00BA1C14" w:rsidRDefault="00440FD2" w:rsidP="00616EF0">
      <w:pPr>
        <w:pStyle w:val="FootnoteText"/>
        <w:rPr>
          <w:lang w:val="en-US"/>
        </w:rPr>
      </w:pPr>
      <w:r w:rsidRPr="004735C1">
        <w:rPr>
          <w:rStyle w:val="FootnoteReference"/>
          <w:sz w:val="16"/>
          <w:szCs w:val="16"/>
        </w:rPr>
        <w:footnoteRef/>
      </w:r>
      <w:r w:rsidRPr="004735C1">
        <w:rPr>
          <w:sz w:val="16"/>
          <w:szCs w:val="16"/>
        </w:rPr>
        <w:t xml:space="preserve"> </w:t>
      </w:r>
      <w:r w:rsidRPr="004735C1">
        <w:rPr>
          <w:sz w:val="16"/>
          <w:szCs w:val="16"/>
          <w:lang w:val="en-US"/>
        </w:rPr>
        <w:t xml:space="preserve">ACMA (2021), </w:t>
      </w:r>
      <w:hyperlink r:id="rId57" w:history="1">
        <w:r w:rsidRPr="004735C1">
          <w:rPr>
            <w:rStyle w:val="Hyperlink"/>
            <w:sz w:val="16"/>
            <w:szCs w:val="16"/>
            <w:lang w:val="en-US"/>
          </w:rPr>
          <w:t>Trends in viewing and listening behaviour</w:t>
        </w:r>
      </w:hyperlink>
    </w:p>
  </w:footnote>
  <w:footnote w:id="88">
    <w:p w14:paraId="53ABDE38" w14:textId="7D2A0881" w:rsidR="00440FD2" w:rsidRPr="00767952" w:rsidRDefault="00440FD2" w:rsidP="008E5A49">
      <w:pPr>
        <w:pStyle w:val="FootnoteText"/>
        <w:ind w:left="170" w:hanging="170"/>
        <w:rPr>
          <w:sz w:val="16"/>
          <w:szCs w:val="16"/>
          <w:lang w:val="en-US"/>
        </w:rPr>
      </w:pPr>
      <w:r w:rsidRPr="00767952">
        <w:rPr>
          <w:rStyle w:val="FootnoteReference"/>
          <w:sz w:val="16"/>
          <w:szCs w:val="16"/>
        </w:rPr>
        <w:footnoteRef/>
      </w:r>
      <w:r w:rsidRPr="00767952">
        <w:rPr>
          <w:sz w:val="16"/>
          <w:szCs w:val="16"/>
        </w:rPr>
        <w:t xml:space="preserve"> Australian Government Productivity Commission (2009), </w:t>
      </w:r>
      <w:hyperlink r:id="rId58" w:history="1">
        <w:r w:rsidRPr="00C77E71">
          <w:rPr>
            <w:rStyle w:val="Hyperlink"/>
            <w:sz w:val="16"/>
            <w:szCs w:val="16"/>
          </w:rPr>
          <w:t>Annual Review of Regulatory Burdens on Business: Social and Economic Infrastructure Services</w:t>
        </w:r>
      </w:hyperlink>
      <w:r w:rsidRPr="00C77E71">
        <w:rPr>
          <w:sz w:val="16"/>
          <w:szCs w:val="16"/>
        </w:rPr>
        <w:t>, p163</w:t>
      </w:r>
    </w:p>
  </w:footnote>
  <w:footnote w:id="89">
    <w:p w14:paraId="62725083" w14:textId="4937F597" w:rsidR="00440FD2" w:rsidRPr="00A2354C" w:rsidRDefault="00440FD2" w:rsidP="00BA7C27">
      <w:pPr>
        <w:spacing w:before="0" w:after="0"/>
        <w:ind w:left="170" w:hanging="170"/>
        <w:rPr>
          <w:sz w:val="16"/>
          <w:szCs w:val="16"/>
        </w:rPr>
      </w:pPr>
      <w:r>
        <w:rPr>
          <w:rStyle w:val="FootnoteReference"/>
        </w:rPr>
        <w:footnoteRef/>
      </w:r>
      <w:r>
        <w:t xml:space="preserve"> </w:t>
      </w:r>
      <w:r w:rsidRPr="00101822">
        <w:rPr>
          <w:sz w:val="16"/>
          <w:szCs w:val="16"/>
        </w:rPr>
        <w:t>Under the rules the Minister may make a disallowable instrument designating an anti</w:t>
      </w:r>
      <w:r w:rsidRPr="00101822">
        <w:rPr>
          <w:sz w:val="16"/>
          <w:szCs w:val="16"/>
        </w:rPr>
        <w:noBreakHyphen/>
        <w:t xml:space="preserve">siphoning listed event to be subject to the </w:t>
      </w:r>
      <w:r>
        <w:rPr>
          <w:sz w:val="16"/>
          <w:szCs w:val="16"/>
        </w:rPr>
        <w:t xml:space="preserve">anti-hoarding </w:t>
      </w:r>
      <w:r w:rsidRPr="00101822">
        <w:rPr>
          <w:sz w:val="16"/>
          <w:szCs w:val="16"/>
        </w:rPr>
        <w:t>rules. Commercial television broadcasters who purchase the rights to a designated event, but do not intend to fully use them, must offer the unused portion to the ABC and SBS for a nominal charge. If the ABC or SBS purchase the rights to the event but do not intend to fully use them, they must offer the unused portion to each other.</w:t>
      </w:r>
      <w:r w:rsidRPr="00480A4D">
        <w:rPr>
          <w:sz w:val="16"/>
          <w:szCs w:val="16"/>
        </w:rPr>
        <w:t xml:space="preserve"> </w:t>
      </w:r>
      <w:r w:rsidRPr="00101822">
        <w:rPr>
          <w:sz w:val="16"/>
          <w:szCs w:val="16"/>
        </w:rPr>
        <w:t>To date, only the 2002 and 2006 FIFA World Cup finals tournaments have been designated under the anti-hoarding rules. The rights to the 2002 tournament were shared by the Nine Network and SBS, while the rights to the 2006 tournament were purchased by SBS which provided full coverage of the event. Neither acquisition was made under the provisions of the anti-hoarding rules.</w:t>
      </w:r>
    </w:p>
  </w:footnote>
  <w:footnote w:id="90">
    <w:p w14:paraId="0CB4DCA5" w14:textId="44A448FF" w:rsidR="00440FD2" w:rsidRPr="00BD507D" w:rsidRDefault="00440FD2" w:rsidP="00666F79">
      <w:pPr>
        <w:spacing w:before="0" w:after="0"/>
        <w:ind w:left="170" w:hanging="170"/>
        <w:rPr>
          <w:sz w:val="16"/>
          <w:szCs w:val="16"/>
          <w:lang w:val="en-US"/>
        </w:rPr>
      </w:pPr>
      <w:r w:rsidRPr="00BD507D">
        <w:rPr>
          <w:rStyle w:val="FootnoteReference"/>
          <w:sz w:val="16"/>
          <w:szCs w:val="16"/>
        </w:rPr>
        <w:footnoteRef/>
      </w:r>
      <w:r w:rsidRPr="00BD507D">
        <w:rPr>
          <w:sz w:val="16"/>
          <w:szCs w:val="16"/>
        </w:rPr>
        <w:t xml:space="preserve"> </w:t>
      </w:r>
      <w:r>
        <w:rPr>
          <w:sz w:val="16"/>
          <w:szCs w:val="16"/>
        </w:rPr>
        <w:t>Australian Government Department of Broadband, Communications and the Digital Economy (2010), Sport on television: A review of the anti</w:t>
      </w:r>
      <w:r>
        <w:rPr>
          <w:sz w:val="16"/>
          <w:szCs w:val="16"/>
        </w:rPr>
        <w:noBreakHyphen/>
        <w:t xml:space="preserve">siphoning scheme in the contemporary digital environment </w:t>
      </w:r>
    </w:p>
  </w:footnote>
  <w:footnote w:id="91">
    <w:p w14:paraId="093C1C78" w14:textId="2E8B25EC" w:rsidR="00440FD2" w:rsidRPr="002238B9" w:rsidRDefault="00440FD2" w:rsidP="00C77E71">
      <w:pPr>
        <w:spacing w:before="0" w:after="0"/>
        <w:ind w:left="170" w:hanging="170"/>
        <w:rPr>
          <w:sz w:val="16"/>
          <w:szCs w:val="16"/>
        </w:rPr>
      </w:pPr>
      <w:r>
        <w:rPr>
          <w:rStyle w:val="FootnoteReference"/>
        </w:rPr>
        <w:footnoteRef/>
      </w:r>
      <w:r>
        <w:t xml:space="preserve"> </w:t>
      </w:r>
      <w:r>
        <w:rPr>
          <w:sz w:val="16"/>
          <w:szCs w:val="16"/>
        </w:rPr>
        <w:t>Australian Government Department of Broadband, Communications and the Digital Economy (2010), Sport on television: A review of the anti-siphoning scheme in the contemporary digital environment</w:t>
      </w:r>
    </w:p>
  </w:footnote>
  <w:footnote w:id="92">
    <w:p w14:paraId="277D3664" w14:textId="02CE39E8" w:rsidR="00440FD2" w:rsidRPr="007B2F00" w:rsidRDefault="00440FD2" w:rsidP="000D6FC6">
      <w:pPr>
        <w:pStyle w:val="FootnoteText"/>
        <w:rPr>
          <w:lang w:val="en-US"/>
        </w:rPr>
      </w:pPr>
      <w:r>
        <w:rPr>
          <w:rStyle w:val="FootnoteReference"/>
        </w:rPr>
        <w:footnoteRef/>
      </w:r>
      <w:r>
        <w:t xml:space="preserve"> </w:t>
      </w:r>
      <w:r w:rsidRPr="00D65784">
        <w:rPr>
          <w:i/>
        </w:rPr>
        <w:t>Broadcasting Services Act 1992</w:t>
      </w:r>
      <w:r>
        <w:rPr>
          <w:i/>
        </w:rPr>
        <w:t xml:space="preserve">, </w:t>
      </w:r>
      <w:r>
        <w:t xml:space="preserve">Subsection 115(2)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CD5242" w14:textId="2429744A" w:rsidR="00440FD2" w:rsidRDefault="00985825" w:rsidP="00D87AD8">
    <w:pPr>
      <w:pStyle w:val="Header"/>
      <w:spacing w:after="1320"/>
      <w:jc w:val="left"/>
    </w:pPr>
    <w:fldSimple w:instr=" STYLEREF  &quot;Heading 1&quot;  \* MERGEFORMAT ">
      <w:r w:rsidR="009F7F4F">
        <w:rPr>
          <w:noProof/>
        </w:rPr>
        <w:t>Executive Summary</w:t>
      </w:r>
    </w:fldSimple>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9431E0" w14:textId="1467F0F6" w:rsidR="00440FD2" w:rsidRDefault="00440FD2">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C40561" w14:textId="2E915CEF" w:rsidR="00440FD2" w:rsidRDefault="00985825">
    <w:pPr>
      <w:pStyle w:val="Header"/>
    </w:pPr>
    <w:fldSimple w:instr=" STYLEREF  &quot;Heading 1&quot;  \* MERGEFORMAT ">
      <w:r w:rsidR="009F7F4F">
        <w:rPr>
          <w:noProof/>
        </w:rPr>
        <w:t>Attachment C: Average free-to-air audiences for major sports</w:t>
      </w:r>
    </w:fldSimple>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ABA1D" w14:textId="7D9A7A97" w:rsidR="00440FD2" w:rsidRDefault="00985825">
    <w:pPr>
      <w:pStyle w:val="Header"/>
    </w:pPr>
    <w:fldSimple w:instr=" STYLEREF  &quot;Heading 1&quot;  \* MERGEFORMAT ">
      <w:r w:rsidR="009F7F4F">
        <w:rPr>
          <w:noProof/>
        </w:rPr>
        <w:t>Attachment B: Current anti-siphoning list</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8200F" w14:textId="7C0ECC81" w:rsidR="00440FD2" w:rsidRDefault="00440FD2" w:rsidP="00546218">
    <w:pPr>
      <w:pStyle w:val="Header"/>
      <w:spacing w:after="13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C3DB3" w14:textId="5BC0FC47" w:rsidR="00440FD2" w:rsidRDefault="00440FD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E75234" w14:textId="4C3BB89D" w:rsidR="00440FD2" w:rsidRDefault="00440FD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D9FEF" w14:textId="2A2632CF" w:rsidR="00440FD2" w:rsidRPr="005912BE" w:rsidRDefault="00440FD2" w:rsidP="003A4B36">
    <w:pPr>
      <w:pStyle w:val="Header"/>
      <w:spacing w:after="96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002598" w14:textId="5EC87BA1" w:rsidR="00440FD2" w:rsidRDefault="00440FD2" w:rsidP="00546218">
    <w:pPr>
      <w:pStyle w:val="Header"/>
      <w:spacing w:after="132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23D443" w14:textId="10AD139C" w:rsidR="00440FD2" w:rsidRDefault="00440FD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92EE66" w14:textId="753B61EC" w:rsidR="00440FD2" w:rsidRDefault="00985825" w:rsidP="003A4B36">
    <w:pPr>
      <w:pStyle w:val="Header"/>
      <w:spacing w:after="960"/>
    </w:pPr>
    <w:fldSimple w:instr=" STYLEREF  &quot;Heading 1&quot;  \* MERGEFORMAT ">
      <w:r w:rsidR="009F7F4F">
        <w:rPr>
          <w:noProof/>
        </w:rPr>
        <w:t>Chapter 3: Trends in sports coverage and consumption</w:t>
      </w:r>
    </w:fldSimple>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093A5" w14:textId="25E5D135" w:rsidR="00440FD2" w:rsidRDefault="00985825" w:rsidP="005912BE">
    <w:pPr>
      <w:pStyle w:val="Header"/>
      <w:spacing w:after="1320"/>
    </w:pPr>
    <w:fldSimple w:instr=" STYLEREF  &quot;Heading 1&quot;  \* MERGEFORMAT ">
      <w:r w:rsidR="009F7F4F">
        <w:rPr>
          <w:noProof/>
        </w:rPr>
        <w:t>Make your views known</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BFCBDF6"/>
    <w:lvl w:ilvl="0">
      <w:start w:val="1"/>
      <w:numFmt w:val="bullet"/>
      <w:lvlText w:val=""/>
      <w:lvlJc w:val="left"/>
      <w:pPr>
        <w:tabs>
          <w:tab w:val="num" w:pos="502"/>
        </w:tabs>
        <w:ind w:left="502" w:hanging="360"/>
      </w:pPr>
      <w:rPr>
        <w:rFonts w:ascii="Symbol" w:hAnsi="Symbol" w:hint="default"/>
      </w:rPr>
    </w:lvl>
  </w:abstractNum>
  <w:abstractNum w:abstractNumId="1"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65C2014"/>
    <w:multiLevelType w:val="multilevel"/>
    <w:tmpl w:val="922C15F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D2619E8"/>
    <w:multiLevelType w:val="hybridMultilevel"/>
    <w:tmpl w:val="85AE0A52"/>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D621AED"/>
    <w:multiLevelType w:val="multilevel"/>
    <w:tmpl w:val="C2EED61A"/>
    <w:numStyleLink w:val="NumberedHeadings"/>
  </w:abstractNum>
  <w:abstractNum w:abstractNumId="5" w15:restartNumberingAfterBreak="0">
    <w:nsid w:val="0D7C79FD"/>
    <w:multiLevelType w:val="hybridMultilevel"/>
    <w:tmpl w:val="5AC847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1F51A11"/>
    <w:multiLevelType w:val="hybridMultilevel"/>
    <w:tmpl w:val="067056A2"/>
    <w:lvl w:ilvl="0" w:tplc="898A0A4A">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12D93987"/>
    <w:multiLevelType w:val="multilevel"/>
    <w:tmpl w:val="5FEA013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3C05B4F"/>
    <w:multiLevelType w:val="hybridMultilevel"/>
    <w:tmpl w:val="5D04E9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49D0804"/>
    <w:multiLevelType w:val="hybridMultilevel"/>
    <w:tmpl w:val="506CD2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51E5370"/>
    <w:multiLevelType w:val="hybridMultilevel"/>
    <w:tmpl w:val="92BCC5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5911EF9"/>
    <w:multiLevelType w:val="hybridMultilevel"/>
    <w:tmpl w:val="F210D4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68825CF"/>
    <w:multiLevelType w:val="hybridMultilevel"/>
    <w:tmpl w:val="B3880CCC"/>
    <w:lvl w:ilvl="0" w:tplc="0C09000F">
      <w:start w:val="1"/>
      <w:numFmt w:val="decimal"/>
      <w:lvlText w:val="%1."/>
      <w:lvlJc w:val="left"/>
      <w:pPr>
        <w:tabs>
          <w:tab w:val="num" w:pos="360"/>
        </w:tabs>
        <w:ind w:left="360" w:hanging="360"/>
      </w:pPr>
    </w:lvl>
    <w:lvl w:ilvl="1" w:tplc="0C090001">
      <w:start w:val="1"/>
      <w:numFmt w:val="bullet"/>
      <w:lvlText w:val=""/>
      <w:lvlJc w:val="left"/>
      <w:pPr>
        <w:tabs>
          <w:tab w:val="num" w:pos="1080"/>
        </w:tabs>
        <w:ind w:left="1080" w:hanging="360"/>
      </w:pPr>
      <w:rPr>
        <w:rFonts w:ascii="Symbol" w:hAnsi="Symbol" w:hint="default"/>
      </w:rPr>
    </w:lvl>
    <w:lvl w:ilvl="2" w:tplc="0C09001B">
      <w:start w:val="1"/>
      <w:numFmt w:val="lowerRoman"/>
      <w:lvlText w:val="%3."/>
      <w:lvlJc w:val="right"/>
      <w:pPr>
        <w:tabs>
          <w:tab w:val="num" w:pos="1800"/>
        </w:tabs>
        <w:ind w:left="1800" w:hanging="180"/>
      </w:pPr>
    </w:lvl>
    <w:lvl w:ilvl="3" w:tplc="0C09000F">
      <w:start w:val="1"/>
      <w:numFmt w:val="decimal"/>
      <w:lvlText w:val="%4."/>
      <w:lvlJc w:val="left"/>
      <w:pPr>
        <w:tabs>
          <w:tab w:val="num" w:pos="2520"/>
        </w:tabs>
        <w:ind w:left="2520" w:hanging="360"/>
      </w:pPr>
    </w:lvl>
    <w:lvl w:ilvl="4" w:tplc="0C090019">
      <w:start w:val="1"/>
      <w:numFmt w:val="lowerLetter"/>
      <w:lvlText w:val="%5."/>
      <w:lvlJc w:val="left"/>
      <w:pPr>
        <w:tabs>
          <w:tab w:val="num" w:pos="3240"/>
        </w:tabs>
        <w:ind w:left="3240" w:hanging="360"/>
      </w:pPr>
    </w:lvl>
    <w:lvl w:ilvl="5" w:tplc="0C09001B">
      <w:start w:val="1"/>
      <w:numFmt w:val="lowerRoman"/>
      <w:lvlText w:val="%6."/>
      <w:lvlJc w:val="right"/>
      <w:pPr>
        <w:tabs>
          <w:tab w:val="num" w:pos="3960"/>
        </w:tabs>
        <w:ind w:left="3960" w:hanging="180"/>
      </w:pPr>
    </w:lvl>
    <w:lvl w:ilvl="6" w:tplc="0C09000F">
      <w:start w:val="1"/>
      <w:numFmt w:val="decimal"/>
      <w:lvlText w:val="%7."/>
      <w:lvlJc w:val="left"/>
      <w:pPr>
        <w:tabs>
          <w:tab w:val="num" w:pos="4680"/>
        </w:tabs>
        <w:ind w:left="4680" w:hanging="360"/>
      </w:pPr>
    </w:lvl>
    <w:lvl w:ilvl="7" w:tplc="0C090019">
      <w:start w:val="1"/>
      <w:numFmt w:val="lowerLetter"/>
      <w:lvlText w:val="%8."/>
      <w:lvlJc w:val="left"/>
      <w:pPr>
        <w:tabs>
          <w:tab w:val="num" w:pos="5400"/>
        </w:tabs>
        <w:ind w:left="5400" w:hanging="360"/>
      </w:pPr>
    </w:lvl>
    <w:lvl w:ilvl="8" w:tplc="0C09001B">
      <w:start w:val="1"/>
      <w:numFmt w:val="lowerRoman"/>
      <w:lvlText w:val="%9."/>
      <w:lvlJc w:val="right"/>
      <w:pPr>
        <w:tabs>
          <w:tab w:val="num" w:pos="6120"/>
        </w:tabs>
        <w:ind w:left="6120" w:hanging="180"/>
      </w:pPr>
    </w:lvl>
  </w:abstractNum>
  <w:abstractNum w:abstractNumId="13" w15:restartNumberingAfterBreak="0">
    <w:nsid w:val="184117F8"/>
    <w:multiLevelType w:val="hybridMultilevel"/>
    <w:tmpl w:val="85AE0A52"/>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18F51EBE"/>
    <w:multiLevelType w:val="hybridMultilevel"/>
    <w:tmpl w:val="0E66DA4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190D3C9A"/>
    <w:multiLevelType w:val="hybridMultilevel"/>
    <w:tmpl w:val="D1B0C41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9BE42DE"/>
    <w:multiLevelType w:val="hybridMultilevel"/>
    <w:tmpl w:val="572EFF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A3068FC"/>
    <w:multiLevelType w:val="hybridMultilevel"/>
    <w:tmpl w:val="C2B672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1A43329B"/>
    <w:multiLevelType w:val="hybridMultilevel"/>
    <w:tmpl w:val="53A082D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1B471739"/>
    <w:multiLevelType w:val="hybridMultilevel"/>
    <w:tmpl w:val="67EC59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1CD249E6"/>
    <w:multiLevelType w:val="hybridMultilevel"/>
    <w:tmpl w:val="8EF0FA72"/>
    <w:lvl w:ilvl="0" w:tplc="0C09000F">
      <w:start w:val="1"/>
      <w:numFmt w:val="decimal"/>
      <w:lvlText w:val="%1."/>
      <w:lvlJc w:val="left"/>
      <w:pPr>
        <w:tabs>
          <w:tab w:val="num" w:pos="720"/>
        </w:tabs>
        <w:ind w:left="720" w:hanging="360"/>
      </w:p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21" w15:restartNumberingAfterBreak="0">
    <w:nsid w:val="1D614D52"/>
    <w:multiLevelType w:val="hybridMultilevel"/>
    <w:tmpl w:val="E5A21938"/>
    <w:lvl w:ilvl="0" w:tplc="003074B6">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E795062"/>
    <w:multiLevelType w:val="hybridMultilevel"/>
    <w:tmpl w:val="F18C25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1F861FF6"/>
    <w:multiLevelType w:val="hybridMultilevel"/>
    <w:tmpl w:val="9DDCAE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21457AE6"/>
    <w:multiLevelType w:val="hybridMultilevel"/>
    <w:tmpl w:val="190A0B3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214C0E5B"/>
    <w:multiLevelType w:val="hybridMultilevel"/>
    <w:tmpl w:val="EB42CD4C"/>
    <w:lvl w:ilvl="0" w:tplc="0C09000F">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222F2D20"/>
    <w:multiLevelType w:val="hybridMultilevel"/>
    <w:tmpl w:val="1AC69F2C"/>
    <w:lvl w:ilvl="0" w:tplc="8DEAB1F2">
      <w:start w:val="1"/>
      <w:numFmt w:val="bullet"/>
      <w:pStyle w:val="Bulletlevel1"/>
      <w:lvlText w:val=""/>
      <w:lvlJc w:val="left"/>
      <w:pPr>
        <w:ind w:left="360" w:hanging="360"/>
      </w:pPr>
      <w:rPr>
        <w:rFonts w:ascii="Symbol" w:hAnsi="Symbol" w:cs="Calibri" w:hint="default"/>
        <w:bCs w:val="0"/>
        <w:iCs w:val="0"/>
        <w:caps w:val="0"/>
        <w:strike w:val="0"/>
        <w:dstrike w:val="0"/>
        <w:vanish w:val="0"/>
        <w:color w:val="0F293A"/>
        <w:sz w:val="22"/>
        <w:szCs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2CB094A"/>
    <w:multiLevelType w:val="hybridMultilevel"/>
    <w:tmpl w:val="F6ACB0AE"/>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8" w15:restartNumberingAfterBreak="0">
    <w:nsid w:val="24161714"/>
    <w:multiLevelType w:val="hybridMultilevel"/>
    <w:tmpl w:val="FB883116"/>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1B">
      <w:start w:val="1"/>
      <w:numFmt w:val="lowerRoman"/>
      <w:lvlText w:val="%3."/>
      <w:lvlJc w:val="right"/>
      <w:pPr>
        <w:tabs>
          <w:tab w:val="num" w:pos="1800"/>
        </w:tabs>
        <w:ind w:left="1800" w:hanging="180"/>
      </w:pPr>
    </w:lvl>
    <w:lvl w:ilvl="3" w:tplc="0C09000F">
      <w:start w:val="1"/>
      <w:numFmt w:val="decimal"/>
      <w:lvlText w:val="%4."/>
      <w:lvlJc w:val="left"/>
      <w:pPr>
        <w:tabs>
          <w:tab w:val="num" w:pos="2520"/>
        </w:tabs>
        <w:ind w:left="2520" w:hanging="360"/>
      </w:pPr>
    </w:lvl>
    <w:lvl w:ilvl="4" w:tplc="0C090019">
      <w:start w:val="1"/>
      <w:numFmt w:val="lowerLetter"/>
      <w:lvlText w:val="%5."/>
      <w:lvlJc w:val="left"/>
      <w:pPr>
        <w:tabs>
          <w:tab w:val="num" w:pos="3240"/>
        </w:tabs>
        <w:ind w:left="3240" w:hanging="360"/>
      </w:pPr>
    </w:lvl>
    <w:lvl w:ilvl="5" w:tplc="0C09001B">
      <w:start w:val="1"/>
      <w:numFmt w:val="lowerRoman"/>
      <w:lvlText w:val="%6."/>
      <w:lvlJc w:val="right"/>
      <w:pPr>
        <w:tabs>
          <w:tab w:val="num" w:pos="3960"/>
        </w:tabs>
        <w:ind w:left="3960" w:hanging="180"/>
      </w:pPr>
    </w:lvl>
    <w:lvl w:ilvl="6" w:tplc="0C09000F">
      <w:start w:val="1"/>
      <w:numFmt w:val="decimal"/>
      <w:lvlText w:val="%7."/>
      <w:lvlJc w:val="left"/>
      <w:pPr>
        <w:tabs>
          <w:tab w:val="num" w:pos="4680"/>
        </w:tabs>
        <w:ind w:left="4680" w:hanging="360"/>
      </w:pPr>
    </w:lvl>
    <w:lvl w:ilvl="7" w:tplc="0C090019">
      <w:start w:val="1"/>
      <w:numFmt w:val="lowerLetter"/>
      <w:lvlText w:val="%8."/>
      <w:lvlJc w:val="left"/>
      <w:pPr>
        <w:tabs>
          <w:tab w:val="num" w:pos="5400"/>
        </w:tabs>
        <w:ind w:left="5400" w:hanging="360"/>
      </w:pPr>
    </w:lvl>
    <w:lvl w:ilvl="8" w:tplc="0C09001B">
      <w:start w:val="1"/>
      <w:numFmt w:val="lowerRoman"/>
      <w:lvlText w:val="%9."/>
      <w:lvlJc w:val="right"/>
      <w:pPr>
        <w:tabs>
          <w:tab w:val="num" w:pos="6120"/>
        </w:tabs>
        <w:ind w:left="6120" w:hanging="180"/>
      </w:pPr>
    </w:lvl>
  </w:abstractNum>
  <w:abstractNum w:abstractNumId="29" w15:restartNumberingAfterBreak="0">
    <w:nsid w:val="246B63DD"/>
    <w:multiLevelType w:val="hybridMultilevel"/>
    <w:tmpl w:val="E17CE4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24E92756"/>
    <w:multiLevelType w:val="hybridMultilevel"/>
    <w:tmpl w:val="A1BAFA00"/>
    <w:lvl w:ilvl="0" w:tplc="5DC016A6">
      <w:start w:val="1"/>
      <w:numFmt w:val="bullet"/>
      <w:pStyle w:val="Listparagraphbullets"/>
      <w:lvlText w:val=""/>
      <w:lvlJc w:val="left"/>
      <w:pPr>
        <w:ind w:left="720" w:hanging="360"/>
      </w:pPr>
      <w:rPr>
        <w:rFonts w:ascii="Symbol" w:hAnsi="Symbol" w:hint="default"/>
      </w:rPr>
    </w:lvl>
    <w:lvl w:ilvl="1" w:tplc="0C090003">
      <w:start w:val="1"/>
      <w:numFmt w:val="bullet"/>
      <w:lvlText w:val="o"/>
      <w:lvlJc w:val="left"/>
      <w:pPr>
        <w:ind w:left="928"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261067EA"/>
    <w:multiLevelType w:val="hybridMultilevel"/>
    <w:tmpl w:val="85AE0A52"/>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2A065E55"/>
    <w:multiLevelType w:val="hybridMultilevel"/>
    <w:tmpl w:val="85AE0A52"/>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2C4A5541"/>
    <w:multiLevelType w:val="hybridMultilevel"/>
    <w:tmpl w:val="E09660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2E070597"/>
    <w:multiLevelType w:val="hybridMultilevel"/>
    <w:tmpl w:val="5D9224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2E6C264D"/>
    <w:multiLevelType w:val="hybridMultilevel"/>
    <w:tmpl w:val="184EB8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2F004A72"/>
    <w:multiLevelType w:val="hybridMultilevel"/>
    <w:tmpl w:val="85AE0A52"/>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305A2DE7"/>
    <w:multiLevelType w:val="hybridMultilevel"/>
    <w:tmpl w:val="A2FE55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32325C0E"/>
    <w:multiLevelType w:val="hybridMultilevel"/>
    <w:tmpl w:val="A4F4A22E"/>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0" w15:restartNumberingAfterBreak="0">
    <w:nsid w:val="328B341E"/>
    <w:multiLevelType w:val="hybridMultilevel"/>
    <w:tmpl w:val="527241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334E651F"/>
    <w:multiLevelType w:val="hybridMultilevel"/>
    <w:tmpl w:val="404C0A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34277510"/>
    <w:multiLevelType w:val="hybridMultilevel"/>
    <w:tmpl w:val="361AF75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34FD7E5C"/>
    <w:multiLevelType w:val="hybridMultilevel"/>
    <w:tmpl w:val="3E5494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366449EC"/>
    <w:multiLevelType w:val="hybridMultilevel"/>
    <w:tmpl w:val="35046B8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5" w15:restartNumberingAfterBreak="0">
    <w:nsid w:val="38281044"/>
    <w:multiLevelType w:val="hybridMultilevel"/>
    <w:tmpl w:val="48FE94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392454E4"/>
    <w:multiLevelType w:val="hybridMultilevel"/>
    <w:tmpl w:val="EE2485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3AA51938"/>
    <w:multiLevelType w:val="multilevel"/>
    <w:tmpl w:val="298C34E4"/>
    <w:numStyleLink w:val="AppendixNumbers"/>
  </w:abstractNum>
  <w:abstractNum w:abstractNumId="48" w15:restartNumberingAfterBreak="0">
    <w:nsid w:val="3D703CFF"/>
    <w:multiLevelType w:val="hybridMultilevel"/>
    <w:tmpl w:val="7C2E5D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4173295E"/>
    <w:multiLevelType w:val="multilevel"/>
    <w:tmpl w:val="4B0EC748"/>
    <w:styleLink w:val="Bullets"/>
    <w:lvl w:ilvl="0">
      <w:start w:val="1"/>
      <w:numFmt w:val="lowerLetter"/>
      <w:lvlText w:val="%1)"/>
      <w:lvlJc w:val="left"/>
      <w:pPr>
        <w:ind w:left="284" w:hanging="284"/>
      </w:pPr>
      <w:rPr>
        <w:rFonts w:hint="default"/>
        <w:color w:val="auto"/>
      </w:rPr>
    </w:lvl>
    <w:lvl w:ilvl="1">
      <w:start w:val="1"/>
      <w:numFmt w:val="bullet"/>
      <w:lvlText w:val="–"/>
      <w:lvlJc w:val="left"/>
      <w:pPr>
        <w:ind w:left="568" w:hanging="284"/>
      </w:pPr>
      <w:rPr>
        <w:rFonts w:ascii="Calibri" w:hAnsi="Calibri" w:hint="default"/>
        <w:color w:val="auto"/>
      </w:rPr>
    </w:lvl>
    <w:lvl w:ilvl="2">
      <w:start w:val="1"/>
      <w:numFmt w:val="bullet"/>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1" w15:restartNumberingAfterBreak="0">
    <w:nsid w:val="41BB5F91"/>
    <w:multiLevelType w:val="hybridMultilevel"/>
    <w:tmpl w:val="1A1047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43722570"/>
    <w:multiLevelType w:val="hybridMultilevel"/>
    <w:tmpl w:val="FEA6D0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3" w15:restartNumberingAfterBreak="0">
    <w:nsid w:val="45B60CC6"/>
    <w:multiLevelType w:val="hybridMultilevel"/>
    <w:tmpl w:val="651EABA4"/>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499B1408"/>
    <w:multiLevelType w:val="hybridMultilevel"/>
    <w:tmpl w:val="4634A8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4A4C13F6"/>
    <w:multiLevelType w:val="hybridMultilevel"/>
    <w:tmpl w:val="59F69BF8"/>
    <w:lvl w:ilvl="0" w:tplc="E5BE373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4C4E1232"/>
    <w:multiLevelType w:val="hybridMultilevel"/>
    <w:tmpl w:val="29B68CF6"/>
    <w:lvl w:ilvl="0" w:tplc="0C09000F">
      <w:start w:val="1"/>
      <w:numFmt w:val="decimal"/>
      <w:lvlText w:val="%1."/>
      <w:lvlJc w:val="left"/>
      <w:pPr>
        <w:tabs>
          <w:tab w:val="num" w:pos="360"/>
        </w:tabs>
        <w:ind w:left="360" w:hanging="360"/>
      </w:pPr>
    </w:lvl>
    <w:lvl w:ilvl="1" w:tplc="3122617C">
      <w:start w:val="1"/>
      <w:numFmt w:val="lowerRoman"/>
      <w:lvlText w:val="%2."/>
      <w:lvlJc w:val="left"/>
      <w:pPr>
        <w:tabs>
          <w:tab w:val="num" w:pos="1080"/>
        </w:tabs>
        <w:ind w:left="1080" w:hanging="360"/>
      </w:pPr>
      <w:rPr>
        <w:rFonts w:ascii="Times New Roman" w:eastAsia="Times New Roman" w:hAnsi="Times New Roman" w:cs="Times New Roman"/>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57" w15:restartNumberingAfterBreak="0">
    <w:nsid w:val="4D6B5237"/>
    <w:multiLevelType w:val="hybridMultilevel"/>
    <w:tmpl w:val="A3A21D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8" w15:restartNumberingAfterBreak="0">
    <w:nsid w:val="565C5015"/>
    <w:multiLevelType w:val="hybridMultilevel"/>
    <w:tmpl w:val="E0409EA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9" w15:restartNumberingAfterBreak="0">
    <w:nsid w:val="5B4A5F66"/>
    <w:multiLevelType w:val="hybridMultilevel"/>
    <w:tmpl w:val="219A731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60"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5D7178D3"/>
    <w:multiLevelType w:val="hybridMultilevel"/>
    <w:tmpl w:val="1834E3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2" w15:restartNumberingAfterBreak="0">
    <w:nsid w:val="60E7485E"/>
    <w:multiLevelType w:val="multilevel"/>
    <w:tmpl w:val="BB32FFE0"/>
    <w:styleLink w:val="BoxedBullets"/>
    <w:lvl w:ilvl="0">
      <w:start w:val="1"/>
      <w:numFmt w:val="bullet"/>
      <w:pStyle w:val="Box1Bullet1"/>
      <w:lvlText w:val=""/>
      <w:lvlJc w:val="left"/>
      <w:pPr>
        <w:ind w:left="283" w:hanging="283"/>
      </w:pPr>
      <w:rPr>
        <w:rFonts w:ascii="Symbol" w:hAnsi="Symbol" w:hint="default"/>
        <w:color w:val="auto"/>
      </w:rPr>
    </w:lvl>
    <w:lvl w:ilvl="1">
      <w:start w:val="1"/>
      <w:numFmt w:val="decimal"/>
      <w:pStyle w:val="Box2Bullet1"/>
      <w:lvlText w:val="%2."/>
      <w:lvlJc w:val="left"/>
      <w:pPr>
        <w:ind w:left="4394" w:hanging="283"/>
      </w:pPr>
      <w:rPr>
        <w:rFonts w:hint="default"/>
        <w:color w:val="auto"/>
      </w:rPr>
    </w:lvl>
    <w:lvl w:ilvl="2">
      <w:start w:val="1"/>
      <w:numFmt w:val="bullet"/>
      <w:pStyle w:val="Box2Checklist"/>
      <w:lvlText w:val="□"/>
      <w:lvlJc w:val="left"/>
      <w:pPr>
        <w:ind w:left="567" w:hanging="283"/>
      </w:pPr>
      <w:rPr>
        <w:rFonts w:ascii="Calibri" w:hAnsi="Calibr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616D5601"/>
    <w:multiLevelType w:val="hybridMultilevel"/>
    <w:tmpl w:val="52B097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4" w15:restartNumberingAfterBreak="0">
    <w:nsid w:val="65930A5A"/>
    <w:multiLevelType w:val="hybridMultilevel"/>
    <w:tmpl w:val="8C2C03CE"/>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65" w15:restartNumberingAfterBreak="0">
    <w:nsid w:val="67E878A3"/>
    <w:multiLevelType w:val="hybridMultilevel"/>
    <w:tmpl w:val="5A142B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6" w15:restartNumberingAfterBreak="0">
    <w:nsid w:val="692614AE"/>
    <w:multiLevelType w:val="hybridMultilevel"/>
    <w:tmpl w:val="23DC19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7" w15:restartNumberingAfterBreak="0">
    <w:nsid w:val="6B4F06A2"/>
    <w:multiLevelType w:val="hybridMultilevel"/>
    <w:tmpl w:val="6D6657A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8" w15:restartNumberingAfterBreak="0">
    <w:nsid w:val="6CF24EA2"/>
    <w:multiLevelType w:val="hybridMultilevel"/>
    <w:tmpl w:val="ACF6083A"/>
    <w:lvl w:ilvl="0" w:tplc="202C8898">
      <w:start w:val="1"/>
      <w:numFmt w:val="bullet"/>
      <w:lvlText w:val=""/>
      <w:lvlJc w:val="left"/>
      <w:pPr>
        <w:ind w:left="284" w:hanging="284"/>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6E9932B2"/>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700675DA"/>
    <w:multiLevelType w:val="hybridMultilevel"/>
    <w:tmpl w:val="F502D9E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1" w15:restartNumberingAfterBreak="0">
    <w:nsid w:val="7027527F"/>
    <w:multiLevelType w:val="hybridMultilevel"/>
    <w:tmpl w:val="373209A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2" w15:restartNumberingAfterBreak="0">
    <w:nsid w:val="74663B77"/>
    <w:multiLevelType w:val="hybridMultilevel"/>
    <w:tmpl w:val="E2AC665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3" w15:restartNumberingAfterBreak="0">
    <w:nsid w:val="7A9916AC"/>
    <w:multiLevelType w:val="hybridMultilevel"/>
    <w:tmpl w:val="004494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4"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75" w15:restartNumberingAfterBreak="0">
    <w:nsid w:val="7F5A625E"/>
    <w:multiLevelType w:val="hybridMultilevel"/>
    <w:tmpl w:val="CDACD97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6" w15:restartNumberingAfterBreak="0">
    <w:nsid w:val="7F7C05AA"/>
    <w:multiLevelType w:val="hybridMultilevel"/>
    <w:tmpl w:val="1B9C86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50"/>
  </w:num>
  <w:num w:numId="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4"/>
  </w:num>
  <w:num w:numId="4">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9"/>
  </w:num>
  <w:num w:numId="8">
    <w:abstractNumId w:val="4"/>
  </w:num>
  <w:num w:numId="9">
    <w:abstractNumId w:val="37"/>
  </w:num>
  <w:num w:numId="10">
    <w:abstractNumId w:val="47"/>
  </w:num>
  <w:num w:numId="11">
    <w:abstractNumId w:val="60"/>
  </w:num>
  <w:num w:numId="12">
    <w:abstractNumId w:val="62"/>
  </w:num>
  <w:num w:numId="13">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8"/>
  </w:num>
  <w:num w:numId="15">
    <w:abstractNumId w:val="42"/>
  </w:num>
  <w:num w:numId="16">
    <w:abstractNumId w:val="25"/>
  </w:num>
  <w:num w:numId="17">
    <w:abstractNumId w:val="29"/>
  </w:num>
  <w:num w:numId="18">
    <w:abstractNumId w:val="62"/>
  </w:num>
  <w:num w:numId="19">
    <w:abstractNumId w:val="62"/>
  </w:num>
  <w:num w:numId="20">
    <w:abstractNumId w:val="62"/>
  </w:num>
  <w:num w:numId="21">
    <w:abstractNumId w:val="62"/>
  </w:num>
  <w:num w:numId="22">
    <w:abstractNumId w:val="62"/>
  </w:num>
  <w:num w:numId="23">
    <w:abstractNumId w:val="62"/>
  </w:num>
  <w:num w:numId="24">
    <w:abstractNumId w:val="62"/>
  </w:num>
  <w:num w:numId="25">
    <w:abstractNumId w:val="62"/>
  </w:num>
  <w:num w:numId="26">
    <w:abstractNumId w:val="62"/>
  </w:num>
  <w:num w:numId="27">
    <w:abstractNumId w:val="62"/>
  </w:num>
  <w:num w:numId="28">
    <w:abstractNumId w:val="61"/>
  </w:num>
  <w:num w:numId="29">
    <w:abstractNumId w:val="50"/>
  </w:num>
  <w:num w:numId="3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2"/>
  </w:num>
  <w:num w:numId="32">
    <w:abstractNumId w:val="26"/>
  </w:num>
  <w:num w:numId="33">
    <w:abstractNumId w:val="62"/>
  </w:num>
  <w:num w:numId="34">
    <w:abstractNumId w:val="66"/>
  </w:num>
  <w:num w:numId="35">
    <w:abstractNumId w:val="30"/>
  </w:num>
  <w:num w:numId="36">
    <w:abstractNumId w:val="50"/>
  </w:num>
  <w:num w:numId="37">
    <w:abstractNumId w:val="62"/>
  </w:num>
  <w:num w:numId="38">
    <w:abstractNumId w:val="62"/>
  </w:num>
  <w:num w:numId="39">
    <w:abstractNumId w:val="62"/>
  </w:num>
  <w:num w:numId="40">
    <w:abstractNumId w:val="62"/>
  </w:num>
  <w:num w:numId="41">
    <w:abstractNumId w:val="62"/>
  </w:num>
  <w:num w:numId="42">
    <w:abstractNumId w:val="62"/>
  </w:num>
  <w:num w:numId="43">
    <w:abstractNumId w:val="62"/>
  </w:num>
  <w:num w:numId="44">
    <w:abstractNumId w:val="50"/>
  </w:num>
  <w:num w:numId="45">
    <w:abstractNumId w:val="50"/>
  </w:num>
  <w:num w:numId="46">
    <w:abstractNumId w:val="50"/>
  </w:num>
  <w:num w:numId="47">
    <w:abstractNumId w:val="15"/>
  </w:num>
  <w:num w:numId="48">
    <w:abstractNumId w:val="64"/>
  </w:num>
  <w:num w:numId="49">
    <w:abstractNumId w:val="76"/>
  </w:num>
  <w:num w:numId="50">
    <w:abstractNumId w:val="31"/>
  </w:num>
  <w:num w:numId="51">
    <w:abstractNumId w:val="71"/>
  </w:num>
  <w:num w:numId="52">
    <w:abstractNumId w:val="73"/>
  </w:num>
  <w:num w:numId="53">
    <w:abstractNumId w:val="40"/>
  </w:num>
  <w:num w:numId="54">
    <w:abstractNumId w:val="38"/>
  </w:num>
  <w:num w:numId="55">
    <w:abstractNumId w:val="17"/>
  </w:num>
  <w:num w:numId="56">
    <w:abstractNumId w:val="45"/>
  </w:num>
  <w:num w:numId="57">
    <w:abstractNumId w:val="35"/>
  </w:num>
  <w:num w:numId="58">
    <w:abstractNumId w:val="14"/>
  </w:num>
  <w:num w:numId="59">
    <w:abstractNumId w:val="32"/>
  </w:num>
  <w:num w:numId="60">
    <w:abstractNumId w:val="3"/>
  </w:num>
  <w:num w:numId="61">
    <w:abstractNumId w:val="36"/>
  </w:num>
  <w:num w:numId="62">
    <w:abstractNumId w:val="52"/>
  </w:num>
  <w:num w:numId="63">
    <w:abstractNumId w:val="72"/>
  </w:num>
  <w:num w:numId="64">
    <w:abstractNumId w:val="13"/>
  </w:num>
  <w:num w:numId="65">
    <w:abstractNumId w:val="18"/>
  </w:num>
  <w:num w:numId="66">
    <w:abstractNumId w:val="16"/>
  </w:num>
  <w:num w:numId="67">
    <w:abstractNumId w:val="53"/>
  </w:num>
  <w:num w:numId="68">
    <w:abstractNumId w:val="5"/>
  </w:num>
  <w:num w:numId="69">
    <w:abstractNumId w:val="54"/>
  </w:num>
  <w:num w:numId="70">
    <w:abstractNumId w:val="58"/>
  </w:num>
  <w:num w:numId="71">
    <w:abstractNumId w:val="44"/>
  </w:num>
  <w:num w:numId="72">
    <w:abstractNumId w:val="11"/>
  </w:num>
  <w:num w:numId="73">
    <w:abstractNumId w:val="62"/>
  </w:num>
  <w:num w:numId="74">
    <w:abstractNumId w:val="62"/>
  </w:num>
  <w:num w:numId="75">
    <w:abstractNumId w:val="62"/>
  </w:num>
  <w:num w:numId="76">
    <w:abstractNumId w:val="50"/>
    <w:lvlOverride w:ilvl="0">
      <w:startOverride w:val="1"/>
      <w:lvl w:ilvl="0">
        <w:start w:val="1"/>
        <w:numFmt w:val="lowerLetter"/>
        <w:lvlText w:val="%1)"/>
        <w:lvlJc w:val="left"/>
        <w:pPr>
          <w:ind w:left="284" w:hanging="284"/>
        </w:pPr>
        <w:rPr>
          <w:rFonts w:hint="default"/>
          <w:color w:val="FF0000"/>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77">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56"/>
  </w:num>
  <w:num w:numId="79">
    <w:abstractNumId w:val="0"/>
  </w:num>
  <w:num w:numId="80">
    <w:abstractNumId w:val="65"/>
  </w:num>
  <w:num w:numId="81">
    <w:abstractNumId w:val="50"/>
    <w:lvlOverride w:ilvl="0">
      <w:startOverride w:val="1"/>
      <w:lvl w:ilvl="0">
        <w:start w:val="1"/>
        <w:numFmt w:val="lowerLetter"/>
        <w:lvlText w:val="%1)"/>
        <w:lvlJc w:val="left"/>
        <w:pPr>
          <w:ind w:left="284" w:hanging="284"/>
        </w:pPr>
        <w:rPr>
          <w:rFonts w:hint="default"/>
          <w:color w:val="FF0000"/>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82">
    <w:abstractNumId w:val="22"/>
  </w:num>
  <w:num w:numId="83">
    <w:abstractNumId w:val="43"/>
  </w:num>
  <w:num w:numId="84">
    <w:abstractNumId w:val="34"/>
  </w:num>
  <w:num w:numId="8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46"/>
  </w:num>
  <w:num w:numId="87">
    <w:abstractNumId w:val="8"/>
  </w:num>
  <w:num w:numId="88">
    <w:abstractNumId w:val="57"/>
  </w:num>
  <w:num w:numId="89">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2"/>
  </w:num>
  <w:num w:numId="93">
    <w:abstractNumId w:val="24"/>
  </w:num>
  <w:num w:numId="94">
    <w:abstractNumId w:val="7"/>
  </w:num>
  <w:num w:numId="95">
    <w:abstractNumId w:val="67"/>
  </w:num>
  <w:num w:numId="9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9"/>
  </w:num>
  <w:num w:numId="98">
    <w:abstractNumId w:val="10"/>
  </w:num>
  <w:num w:numId="99">
    <w:abstractNumId w:val="59"/>
  </w:num>
  <w:num w:numId="100">
    <w:abstractNumId w:val="27"/>
  </w:num>
  <w:num w:numId="101">
    <w:abstractNumId w:val="23"/>
  </w:num>
  <w:num w:numId="102">
    <w:abstractNumId w:val="62"/>
  </w:num>
  <w:num w:numId="103">
    <w:abstractNumId w:val="62"/>
  </w:num>
  <w:num w:numId="104">
    <w:abstractNumId w:val="62"/>
  </w:num>
  <w:num w:numId="105">
    <w:abstractNumId w:val="55"/>
  </w:num>
  <w:num w:numId="106">
    <w:abstractNumId w:val="21"/>
  </w:num>
  <w:num w:numId="107">
    <w:abstractNumId w:val="48"/>
  </w:num>
  <w:num w:numId="108">
    <w:abstractNumId w:val="33"/>
  </w:num>
  <w:num w:numId="109">
    <w:abstractNumId w:val="6"/>
  </w:num>
  <w:num w:numId="110">
    <w:abstractNumId w:val="63"/>
  </w:num>
  <w:num w:numId="111">
    <w:abstractNumId w:val="70"/>
  </w:num>
  <w:num w:numId="112">
    <w:abstractNumId w:val="19"/>
  </w:num>
  <w:num w:numId="113">
    <w:abstractNumId w:val="75"/>
  </w:num>
  <w:num w:numId="114">
    <w:abstractNumId w:val="41"/>
  </w:num>
  <w:num w:numId="115">
    <w:abstractNumId w:val="9"/>
  </w:num>
  <w:num w:numId="116">
    <w:abstractNumId w:val="51"/>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characterSpacingControl w:val="doNotCompress"/>
  <w:hdrShapeDefaults>
    <o:shapedefaults v:ext="edit" spidmax="942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449"/>
    <w:rsid w:val="000002E6"/>
    <w:rsid w:val="000029D0"/>
    <w:rsid w:val="00002BAC"/>
    <w:rsid w:val="0000304D"/>
    <w:rsid w:val="0000388F"/>
    <w:rsid w:val="00004F4E"/>
    <w:rsid w:val="000053D7"/>
    <w:rsid w:val="00005CAB"/>
    <w:rsid w:val="00005D02"/>
    <w:rsid w:val="0000606C"/>
    <w:rsid w:val="00006349"/>
    <w:rsid w:val="000064C4"/>
    <w:rsid w:val="00006F09"/>
    <w:rsid w:val="00007588"/>
    <w:rsid w:val="00007E84"/>
    <w:rsid w:val="000101B3"/>
    <w:rsid w:val="000104B3"/>
    <w:rsid w:val="000104F3"/>
    <w:rsid w:val="000106E2"/>
    <w:rsid w:val="00010E90"/>
    <w:rsid w:val="00010ED3"/>
    <w:rsid w:val="000117F7"/>
    <w:rsid w:val="00011957"/>
    <w:rsid w:val="00011A60"/>
    <w:rsid w:val="00012BC1"/>
    <w:rsid w:val="00013016"/>
    <w:rsid w:val="0001430B"/>
    <w:rsid w:val="00014CD4"/>
    <w:rsid w:val="00015472"/>
    <w:rsid w:val="00015611"/>
    <w:rsid w:val="00015CBA"/>
    <w:rsid w:val="00016BB8"/>
    <w:rsid w:val="000202F8"/>
    <w:rsid w:val="000206B0"/>
    <w:rsid w:val="00020A61"/>
    <w:rsid w:val="0002194B"/>
    <w:rsid w:val="00022DA6"/>
    <w:rsid w:val="000231FE"/>
    <w:rsid w:val="00023530"/>
    <w:rsid w:val="00024B2A"/>
    <w:rsid w:val="00024C15"/>
    <w:rsid w:val="0002570F"/>
    <w:rsid w:val="00025C61"/>
    <w:rsid w:val="00025C6D"/>
    <w:rsid w:val="00026130"/>
    <w:rsid w:val="000265D1"/>
    <w:rsid w:val="000303FC"/>
    <w:rsid w:val="00030F98"/>
    <w:rsid w:val="000327F8"/>
    <w:rsid w:val="000340EE"/>
    <w:rsid w:val="000348B4"/>
    <w:rsid w:val="00035BB7"/>
    <w:rsid w:val="00041240"/>
    <w:rsid w:val="0004129B"/>
    <w:rsid w:val="00041E97"/>
    <w:rsid w:val="00042BAE"/>
    <w:rsid w:val="00042BC6"/>
    <w:rsid w:val="00042FF7"/>
    <w:rsid w:val="00045591"/>
    <w:rsid w:val="0004647E"/>
    <w:rsid w:val="0004677E"/>
    <w:rsid w:val="00046C80"/>
    <w:rsid w:val="00046E8E"/>
    <w:rsid w:val="0005005C"/>
    <w:rsid w:val="000500B8"/>
    <w:rsid w:val="00051515"/>
    <w:rsid w:val="00051B03"/>
    <w:rsid w:val="00051E52"/>
    <w:rsid w:val="00051F05"/>
    <w:rsid w:val="00051FF7"/>
    <w:rsid w:val="00053463"/>
    <w:rsid w:val="0005373C"/>
    <w:rsid w:val="0005399F"/>
    <w:rsid w:val="000561E4"/>
    <w:rsid w:val="00056769"/>
    <w:rsid w:val="00056D63"/>
    <w:rsid w:val="00057F8F"/>
    <w:rsid w:val="000600D9"/>
    <w:rsid w:val="00060308"/>
    <w:rsid w:val="00060523"/>
    <w:rsid w:val="000613DA"/>
    <w:rsid w:val="00061DE6"/>
    <w:rsid w:val="00063DF8"/>
    <w:rsid w:val="00063FEF"/>
    <w:rsid w:val="0006444B"/>
    <w:rsid w:val="00064653"/>
    <w:rsid w:val="00064DB8"/>
    <w:rsid w:val="0006648A"/>
    <w:rsid w:val="0006753C"/>
    <w:rsid w:val="000678F3"/>
    <w:rsid w:val="00067A11"/>
    <w:rsid w:val="0007090E"/>
    <w:rsid w:val="00070A23"/>
    <w:rsid w:val="00070CBA"/>
    <w:rsid w:val="000717A6"/>
    <w:rsid w:val="00071C9E"/>
    <w:rsid w:val="00071DF1"/>
    <w:rsid w:val="00072AFE"/>
    <w:rsid w:val="00073929"/>
    <w:rsid w:val="00073D4B"/>
    <w:rsid w:val="0007409C"/>
    <w:rsid w:val="000741C8"/>
    <w:rsid w:val="0007438A"/>
    <w:rsid w:val="000746A4"/>
    <w:rsid w:val="00075F7C"/>
    <w:rsid w:val="00077137"/>
    <w:rsid w:val="00077E44"/>
    <w:rsid w:val="0008028C"/>
    <w:rsid w:val="00080D4C"/>
    <w:rsid w:val="000821A3"/>
    <w:rsid w:val="000841A2"/>
    <w:rsid w:val="00085622"/>
    <w:rsid w:val="00085C1C"/>
    <w:rsid w:val="000861F1"/>
    <w:rsid w:val="00086AE3"/>
    <w:rsid w:val="00086CBE"/>
    <w:rsid w:val="00086F33"/>
    <w:rsid w:val="00086FB8"/>
    <w:rsid w:val="000870F8"/>
    <w:rsid w:val="00090B74"/>
    <w:rsid w:val="000910FB"/>
    <w:rsid w:val="000915D3"/>
    <w:rsid w:val="00092A82"/>
    <w:rsid w:val="00092B5A"/>
    <w:rsid w:val="00093008"/>
    <w:rsid w:val="0009358F"/>
    <w:rsid w:val="00093657"/>
    <w:rsid w:val="00093A33"/>
    <w:rsid w:val="00093D27"/>
    <w:rsid w:val="0009405B"/>
    <w:rsid w:val="0009436B"/>
    <w:rsid w:val="000948A9"/>
    <w:rsid w:val="00094BE9"/>
    <w:rsid w:val="00095136"/>
    <w:rsid w:val="00095CAF"/>
    <w:rsid w:val="000965F7"/>
    <w:rsid w:val="00096DAD"/>
    <w:rsid w:val="000A0A9C"/>
    <w:rsid w:val="000A1036"/>
    <w:rsid w:val="000A14F6"/>
    <w:rsid w:val="000A207F"/>
    <w:rsid w:val="000A29E7"/>
    <w:rsid w:val="000A2B37"/>
    <w:rsid w:val="000A41A7"/>
    <w:rsid w:val="000A47F0"/>
    <w:rsid w:val="000A4A68"/>
    <w:rsid w:val="000A5B88"/>
    <w:rsid w:val="000A5CB2"/>
    <w:rsid w:val="000A74C2"/>
    <w:rsid w:val="000A74DE"/>
    <w:rsid w:val="000A790C"/>
    <w:rsid w:val="000A7BBF"/>
    <w:rsid w:val="000B20F1"/>
    <w:rsid w:val="000B2AA0"/>
    <w:rsid w:val="000B2C56"/>
    <w:rsid w:val="000B3E6C"/>
    <w:rsid w:val="000B3EAC"/>
    <w:rsid w:val="000B41A0"/>
    <w:rsid w:val="000B46C6"/>
    <w:rsid w:val="000B49A7"/>
    <w:rsid w:val="000B5054"/>
    <w:rsid w:val="000B5BAD"/>
    <w:rsid w:val="000B5E97"/>
    <w:rsid w:val="000B6164"/>
    <w:rsid w:val="000B6688"/>
    <w:rsid w:val="000B6A6B"/>
    <w:rsid w:val="000B6AD0"/>
    <w:rsid w:val="000B6CFB"/>
    <w:rsid w:val="000B6EE1"/>
    <w:rsid w:val="000B7C5E"/>
    <w:rsid w:val="000B7F82"/>
    <w:rsid w:val="000C011D"/>
    <w:rsid w:val="000C0313"/>
    <w:rsid w:val="000C0F99"/>
    <w:rsid w:val="000C1103"/>
    <w:rsid w:val="000C14B4"/>
    <w:rsid w:val="000C14DF"/>
    <w:rsid w:val="000C1937"/>
    <w:rsid w:val="000C2508"/>
    <w:rsid w:val="000C25B5"/>
    <w:rsid w:val="000C29D7"/>
    <w:rsid w:val="000C3904"/>
    <w:rsid w:val="000C4529"/>
    <w:rsid w:val="000C45F7"/>
    <w:rsid w:val="000C4B2D"/>
    <w:rsid w:val="000C56A5"/>
    <w:rsid w:val="000C5D39"/>
    <w:rsid w:val="000C6F5A"/>
    <w:rsid w:val="000C749F"/>
    <w:rsid w:val="000D0988"/>
    <w:rsid w:val="000D180E"/>
    <w:rsid w:val="000D1B4D"/>
    <w:rsid w:val="000D274E"/>
    <w:rsid w:val="000D2B15"/>
    <w:rsid w:val="000D2C68"/>
    <w:rsid w:val="000D2F76"/>
    <w:rsid w:val="000D3424"/>
    <w:rsid w:val="000D62EF"/>
    <w:rsid w:val="000D6993"/>
    <w:rsid w:val="000D6B3B"/>
    <w:rsid w:val="000D6FC6"/>
    <w:rsid w:val="000D7601"/>
    <w:rsid w:val="000D76C2"/>
    <w:rsid w:val="000D7AF6"/>
    <w:rsid w:val="000D7D09"/>
    <w:rsid w:val="000D7FA7"/>
    <w:rsid w:val="000E1293"/>
    <w:rsid w:val="000E175D"/>
    <w:rsid w:val="000E2419"/>
    <w:rsid w:val="000E24BA"/>
    <w:rsid w:val="000E28E0"/>
    <w:rsid w:val="000E291F"/>
    <w:rsid w:val="000E2D0A"/>
    <w:rsid w:val="000E40AB"/>
    <w:rsid w:val="000E452C"/>
    <w:rsid w:val="000E5674"/>
    <w:rsid w:val="000E5A94"/>
    <w:rsid w:val="000E6000"/>
    <w:rsid w:val="000E64C0"/>
    <w:rsid w:val="000E6AF5"/>
    <w:rsid w:val="000F0221"/>
    <w:rsid w:val="000F05A1"/>
    <w:rsid w:val="000F2668"/>
    <w:rsid w:val="000F29EC"/>
    <w:rsid w:val="000F3B2A"/>
    <w:rsid w:val="000F3D2A"/>
    <w:rsid w:val="000F3D9B"/>
    <w:rsid w:val="000F43C6"/>
    <w:rsid w:val="000F43FA"/>
    <w:rsid w:val="000F4AF0"/>
    <w:rsid w:val="000F4B77"/>
    <w:rsid w:val="000F559D"/>
    <w:rsid w:val="000F68A2"/>
    <w:rsid w:val="0010047D"/>
    <w:rsid w:val="001009BF"/>
    <w:rsid w:val="00100F8E"/>
    <w:rsid w:val="00101FBE"/>
    <w:rsid w:val="001028FA"/>
    <w:rsid w:val="00102C7E"/>
    <w:rsid w:val="00103067"/>
    <w:rsid w:val="00103510"/>
    <w:rsid w:val="0010351E"/>
    <w:rsid w:val="00103C12"/>
    <w:rsid w:val="00103C44"/>
    <w:rsid w:val="001041F2"/>
    <w:rsid w:val="001044F5"/>
    <w:rsid w:val="00104974"/>
    <w:rsid w:val="00105112"/>
    <w:rsid w:val="00105393"/>
    <w:rsid w:val="001053D5"/>
    <w:rsid w:val="00105CB9"/>
    <w:rsid w:val="00105FFE"/>
    <w:rsid w:val="00106000"/>
    <w:rsid w:val="0010692A"/>
    <w:rsid w:val="00106A78"/>
    <w:rsid w:val="00106B48"/>
    <w:rsid w:val="0011067B"/>
    <w:rsid w:val="001106D5"/>
    <w:rsid w:val="00112434"/>
    <w:rsid w:val="00112A6D"/>
    <w:rsid w:val="00113559"/>
    <w:rsid w:val="00113ABB"/>
    <w:rsid w:val="001144AE"/>
    <w:rsid w:val="00114F0C"/>
    <w:rsid w:val="001152A3"/>
    <w:rsid w:val="001154EF"/>
    <w:rsid w:val="00116D9F"/>
    <w:rsid w:val="00117916"/>
    <w:rsid w:val="00120375"/>
    <w:rsid w:val="00121A55"/>
    <w:rsid w:val="00122A79"/>
    <w:rsid w:val="00122AF3"/>
    <w:rsid w:val="00122DA2"/>
    <w:rsid w:val="00125B2F"/>
    <w:rsid w:val="00126442"/>
    <w:rsid w:val="00126565"/>
    <w:rsid w:val="00126ACF"/>
    <w:rsid w:val="00131218"/>
    <w:rsid w:val="001315AA"/>
    <w:rsid w:val="00132A3E"/>
    <w:rsid w:val="00132BF6"/>
    <w:rsid w:val="00132C32"/>
    <w:rsid w:val="00133585"/>
    <w:rsid w:val="00133636"/>
    <w:rsid w:val="001348C5"/>
    <w:rsid w:val="0013493E"/>
    <w:rsid w:val="001349C6"/>
    <w:rsid w:val="0013523B"/>
    <w:rsid w:val="00135771"/>
    <w:rsid w:val="00136812"/>
    <w:rsid w:val="00136E0E"/>
    <w:rsid w:val="00136FBD"/>
    <w:rsid w:val="00137260"/>
    <w:rsid w:val="001407E7"/>
    <w:rsid w:val="00141731"/>
    <w:rsid w:val="0014247E"/>
    <w:rsid w:val="00142F9E"/>
    <w:rsid w:val="001434C2"/>
    <w:rsid w:val="00143549"/>
    <w:rsid w:val="001438C6"/>
    <w:rsid w:val="00144A49"/>
    <w:rsid w:val="00145D13"/>
    <w:rsid w:val="0014601C"/>
    <w:rsid w:val="0014618B"/>
    <w:rsid w:val="00146CA9"/>
    <w:rsid w:val="001477C1"/>
    <w:rsid w:val="0015056B"/>
    <w:rsid w:val="00150F17"/>
    <w:rsid w:val="001524B6"/>
    <w:rsid w:val="001529BE"/>
    <w:rsid w:val="00152C11"/>
    <w:rsid w:val="0015358C"/>
    <w:rsid w:val="00153F53"/>
    <w:rsid w:val="001541B9"/>
    <w:rsid w:val="00154F99"/>
    <w:rsid w:val="0015579C"/>
    <w:rsid w:val="001564C9"/>
    <w:rsid w:val="0015686E"/>
    <w:rsid w:val="001572FF"/>
    <w:rsid w:val="00160278"/>
    <w:rsid w:val="00164352"/>
    <w:rsid w:val="001659B7"/>
    <w:rsid w:val="001664B9"/>
    <w:rsid w:val="00166B00"/>
    <w:rsid w:val="0016763B"/>
    <w:rsid w:val="00167771"/>
    <w:rsid w:val="00167BF8"/>
    <w:rsid w:val="001705D1"/>
    <w:rsid w:val="0017086B"/>
    <w:rsid w:val="00171BD3"/>
    <w:rsid w:val="001724B1"/>
    <w:rsid w:val="00172735"/>
    <w:rsid w:val="00172A27"/>
    <w:rsid w:val="00173490"/>
    <w:rsid w:val="001736DF"/>
    <w:rsid w:val="001739DF"/>
    <w:rsid w:val="00173FA6"/>
    <w:rsid w:val="001743B3"/>
    <w:rsid w:val="001749EF"/>
    <w:rsid w:val="00174DC3"/>
    <w:rsid w:val="0017523C"/>
    <w:rsid w:val="0017564C"/>
    <w:rsid w:val="00176512"/>
    <w:rsid w:val="00176643"/>
    <w:rsid w:val="00177192"/>
    <w:rsid w:val="00177474"/>
    <w:rsid w:val="00177865"/>
    <w:rsid w:val="00177CC8"/>
    <w:rsid w:val="00180F5C"/>
    <w:rsid w:val="001817D1"/>
    <w:rsid w:val="0018260D"/>
    <w:rsid w:val="00183DD4"/>
    <w:rsid w:val="00184C8F"/>
    <w:rsid w:val="00184CED"/>
    <w:rsid w:val="0018546A"/>
    <w:rsid w:val="0018567B"/>
    <w:rsid w:val="001856DB"/>
    <w:rsid w:val="00185799"/>
    <w:rsid w:val="00185801"/>
    <w:rsid w:val="00185FCD"/>
    <w:rsid w:val="00186427"/>
    <w:rsid w:val="00186700"/>
    <w:rsid w:val="0018743D"/>
    <w:rsid w:val="00191B86"/>
    <w:rsid w:val="001925F6"/>
    <w:rsid w:val="00193175"/>
    <w:rsid w:val="00193361"/>
    <w:rsid w:val="001933C3"/>
    <w:rsid w:val="00193B7F"/>
    <w:rsid w:val="00194736"/>
    <w:rsid w:val="001947D8"/>
    <w:rsid w:val="00197C54"/>
    <w:rsid w:val="001A0968"/>
    <w:rsid w:val="001A0D56"/>
    <w:rsid w:val="001A133E"/>
    <w:rsid w:val="001A1A8F"/>
    <w:rsid w:val="001A255C"/>
    <w:rsid w:val="001A291B"/>
    <w:rsid w:val="001A2B9D"/>
    <w:rsid w:val="001A2C1D"/>
    <w:rsid w:val="001A3182"/>
    <w:rsid w:val="001A38E4"/>
    <w:rsid w:val="001A3F8F"/>
    <w:rsid w:val="001A44E4"/>
    <w:rsid w:val="001A4C19"/>
    <w:rsid w:val="001A59B0"/>
    <w:rsid w:val="001A6797"/>
    <w:rsid w:val="001A7218"/>
    <w:rsid w:val="001A7698"/>
    <w:rsid w:val="001B14E6"/>
    <w:rsid w:val="001B1F0B"/>
    <w:rsid w:val="001B1FE3"/>
    <w:rsid w:val="001B32B6"/>
    <w:rsid w:val="001B4142"/>
    <w:rsid w:val="001B485F"/>
    <w:rsid w:val="001B5227"/>
    <w:rsid w:val="001B6482"/>
    <w:rsid w:val="001B6E26"/>
    <w:rsid w:val="001B7367"/>
    <w:rsid w:val="001B785B"/>
    <w:rsid w:val="001B78B4"/>
    <w:rsid w:val="001B7C9C"/>
    <w:rsid w:val="001C0218"/>
    <w:rsid w:val="001C0728"/>
    <w:rsid w:val="001C12B0"/>
    <w:rsid w:val="001C1322"/>
    <w:rsid w:val="001C1789"/>
    <w:rsid w:val="001C1C19"/>
    <w:rsid w:val="001C2349"/>
    <w:rsid w:val="001C3229"/>
    <w:rsid w:val="001C3416"/>
    <w:rsid w:val="001C3AF5"/>
    <w:rsid w:val="001C42E5"/>
    <w:rsid w:val="001C67DD"/>
    <w:rsid w:val="001C6D50"/>
    <w:rsid w:val="001C6F1F"/>
    <w:rsid w:val="001C75FE"/>
    <w:rsid w:val="001C78FD"/>
    <w:rsid w:val="001D0E8F"/>
    <w:rsid w:val="001D10A0"/>
    <w:rsid w:val="001D15CF"/>
    <w:rsid w:val="001D2360"/>
    <w:rsid w:val="001D4114"/>
    <w:rsid w:val="001D436B"/>
    <w:rsid w:val="001D48F7"/>
    <w:rsid w:val="001D4AC5"/>
    <w:rsid w:val="001D4C58"/>
    <w:rsid w:val="001D4D98"/>
    <w:rsid w:val="001D4ECA"/>
    <w:rsid w:val="001D59CE"/>
    <w:rsid w:val="001D639A"/>
    <w:rsid w:val="001D6ABE"/>
    <w:rsid w:val="001D7101"/>
    <w:rsid w:val="001E1BEA"/>
    <w:rsid w:val="001E1F88"/>
    <w:rsid w:val="001E229F"/>
    <w:rsid w:val="001E232E"/>
    <w:rsid w:val="001E39B1"/>
    <w:rsid w:val="001E4475"/>
    <w:rsid w:val="001E547B"/>
    <w:rsid w:val="001E5C7A"/>
    <w:rsid w:val="001E5CBA"/>
    <w:rsid w:val="001E61E4"/>
    <w:rsid w:val="001E634A"/>
    <w:rsid w:val="001E6A2A"/>
    <w:rsid w:val="001F0A83"/>
    <w:rsid w:val="001F0BDB"/>
    <w:rsid w:val="001F1B50"/>
    <w:rsid w:val="001F251D"/>
    <w:rsid w:val="001F37E4"/>
    <w:rsid w:val="001F3D0F"/>
    <w:rsid w:val="001F48BD"/>
    <w:rsid w:val="001F4FD0"/>
    <w:rsid w:val="001F55C1"/>
    <w:rsid w:val="001F5A12"/>
    <w:rsid w:val="001F5E55"/>
    <w:rsid w:val="001F767E"/>
    <w:rsid w:val="0020011B"/>
    <w:rsid w:val="002003AC"/>
    <w:rsid w:val="00200A01"/>
    <w:rsid w:val="00200C66"/>
    <w:rsid w:val="00203FC5"/>
    <w:rsid w:val="002045E2"/>
    <w:rsid w:val="00205D7B"/>
    <w:rsid w:val="00206DF0"/>
    <w:rsid w:val="002074CC"/>
    <w:rsid w:val="00207A43"/>
    <w:rsid w:val="00207DF0"/>
    <w:rsid w:val="002102AD"/>
    <w:rsid w:val="00210637"/>
    <w:rsid w:val="00211516"/>
    <w:rsid w:val="002124EE"/>
    <w:rsid w:val="002125A3"/>
    <w:rsid w:val="002126EC"/>
    <w:rsid w:val="002143CB"/>
    <w:rsid w:val="00214CF0"/>
    <w:rsid w:val="002158F2"/>
    <w:rsid w:val="00216CF7"/>
    <w:rsid w:val="00217BCE"/>
    <w:rsid w:val="00220F82"/>
    <w:rsid w:val="00220F85"/>
    <w:rsid w:val="00221134"/>
    <w:rsid w:val="00221329"/>
    <w:rsid w:val="0022165F"/>
    <w:rsid w:val="002224F7"/>
    <w:rsid w:val="00222AFB"/>
    <w:rsid w:val="002238B9"/>
    <w:rsid w:val="002239F5"/>
    <w:rsid w:val="0022502A"/>
    <w:rsid w:val="002253C6"/>
    <w:rsid w:val="002254D5"/>
    <w:rsid w:val="002255D0"/>
    <w:rsid w:val="0022611D"/>
    <w:rsid w:val="00226F1F"/>
    <w:rsid w:val="0022770A"/>
    <w:rsid w:val="00227A02"/>
    <w:rsid w:val="00231B2B"/>
    <w:rsid w:val="0023335C"/>
    <w:rsid w:val="0023498A"/>
    <w:rsid w:val="00234EB1"/>
    <w:rsid w:val="002352A4"/>
    <w:rsid w:val="00235B36"/>
    <w:rsid w:val="00235CCA"/>
    <w:rsid w:val="00236CB2"/>
    <w:rsid w:val="00236F3C"/>
    <w:rsid w:val="00237162"/>
    <w:rsid w:val="00237C37"/>
    <w:rsid w:val="00237CD7"/>
    <w:rsid w:val="00237DCD"/>
    <w:rsid w:val="00241242"/>
    <w:rsid w:val="002413A2"/>
    <w:rsid w:val="0024167B"/>
    <w:rsid w:val="00241A99"/>
    <w:rsid w:val="002429E9"/>
    <w:rsid w:val="00242C96"/>
    <w:rsid w:val="00242EA2"/>
    <w:rsid w:val="00243A86"/>
    <w:rsid w:val="00244349"/>
    <w:rsid w:val="00244CE4"/>
    <w:rsid w:val="00245F03"/>
    <w:rsid w:val="0024720D"/>
    <w:rsid w:val="002477A2"/>
    <w:rsid w:val="002517B9"/>
    <w:rsid w:val="00251A6D"/>
    <w:rsid w:val="00251E4B"/>
    <w:rsid w:val="0025301C"/>
    <w:rsid w:val="0025384C"/>
    <w:rsid w:val="00253D3A"/>
    <w:rsid w:val="00254537"/>
    <w:rsid w:val="00254580"/>
    <w:rsid w:val="002554FA"/>
    <w:rsid w:val="00255577"/>
    <w:rsid w:val="00255CD8"/>
    <w:rsid w:val="0025611F"/>
    <w:rsid w:val="002569C2"/>
    <w:rsid w:val="00256BBE"/>
    <w:rsid w:val="002576B9"/>
    <w:rsid w:val="00257B93"/>
    <w:rsid w:val="00257F62"/>
    <w:rsid w:val="002602B8"/>
    <w:rsid w:val="002606C7"/>
    <w:rsid w:val="00260A91"/>
    <w:rsid w:val="00260C87"/>
    <w:rsid w:val="00261BD7"/>
    <w:rsid w:val="00262733"/>
    <w:rsid w:val="00262AA7"/>
    <w:rsid w:val="00262E37"/>
    <w:rsid w:val="002638D6"/>
    <w:rsid w:val="002642D1"/>
    <w:rsid w:val="002649E4"/>
    <w:rsid w:val="00264C4E"/>
    <w:rsid w:val="00265EDD"/>
    <w:rsid w:val="00266128"/>
    <w:rsid w:val="002668FB"/>
    <w:rsid w:val="00266CB7"/>
    <w:rsid w:val="00266DF5"/>
    <w:rsid w:val="0027052C"/>
    <w:rsid w:val="00271128"/>
    <w:rsid w:val="00271492"/>
    <w:rsid w:val="00271A0D"/>
    <w:rsid w:val="002729ED"/>
    <w:rsid w:val="00272FB6"/>
    <w:rsid w:val="002732AA"/>
    <w:rsid w:val="00273D67"/>
    <w:rsid w:val="00273FA1"/>
    <w:rsid w:val="00274780"/>
    <w:rsid w:val="00274D39"/>
    <w:rsid w:val="002755A1"/>
    <w:rsid w:val="002769F1"/>
    <w:rsid w:val="00276A9A"/>
    <w:rsid w:val="00276CBE"/>
    <w:rsid w:val="00276F86"/>
    <w:rsid w:val="00280945"/>
    <w:rsid w:val="00280E6C"/>
    <w:rsid w:val="00281D46"/>
    <w:rsid w:val="00282076"/>
    <w:rsid w:val="002824F4"/>
    <w:rsid w:val="00282A99"/>
    <w:rsid w:val="0028322E"/>
    <w:rsid w:val="00284164"/>
    <w:rsid w:val="00284F37"/>
    <w:rsid w:val="002854E4"/>
    <w:rsid w:val="002858EC"/>
    <w:rsid w:val="00285BF0"/>
    <w:rsid w:val="00285C83"/>
    <w:rsid w:val="00286362"/>
    <w:rsid w:val="002868B6"/>
    <w:rsid w:val="0028748B"/>
    <w:rsid w:val="00287F81"/>
    <w:rsid w:val="002909CF"/>
    <w:rsid w:val="00290FF5"/>
    <w:rsid w:val="00291050"/>
    <w:rsid w:val="00292651"/>
    <w:rsid w:val="002926C6"/>
    <w:rsid w:val="00292F3C"/>
    <w:rsid w:val="002939BF"/>
    <w:rsid w:val="00293AA9"/>
    <w:rsid w:val="00294090"/>
    <w:rsid w:val="00294493"/>
    <w:rsid w:val="002948EC"/>
    <w:rsid w:val="002950A8"/>
    <w:rsid w:val="002954A4"/>
    <w:rsid w:val="002966EE"/>
    <w:rsid w:val="00297056"/>
    <w:rsid w:val="0029729F"/>
    <w:rsid w:val="00297EFC"/>
    <w:rsid w:val="002A08B7"/>
    <w:rsid w:val="002A0D0E"/>
    <w:rsid w:val="002A1B95"/>
    <w:rsid w:val="002A21E3"/>
    <w:rsid w:val="002A3515"/>
    <w:rsid w:val="002A35B2"/>
    <w:rsid w:val="002A458C"/>
    <w:rsid w:val="002A46E3"/>
    <w:rsid w:val="002A5334"/>
    <w:rsid w:val="002A5BA7"/>
    <w:rsid w:val="002B06D6"/>
    <w:rsid w:val="002B1B59"/>
    <w:rsid w:val="002B3569"/>
    <w:rsid w:val="002B3FCD"/>
    <w:rsid w:val="002B4245"/>
    <w:rsid w:val="002B42D4"/>
    <w:rsid w:val="002B4AB2"/>
    <w:rsid w:val="002B4EDA"/>
    <w:rsid w:val="002B521B"/>
    <w:rsid w:val="002B5AE5"/>
    <w:rsid w:val="002B5BE4"/>
    <w:rsid w:val="002B5C0F"/>
    <w:rsid w:val="002B69B6"/>
    <w:rsid w:val="002B7197"/>
    <w:rsid w:val="002C06C9"/>
    <w:rsid w:val="002C0907"/>
    <w:rsid w:val="002C0ED8"/>
    <w:rsid w:val="002C14F6"/>
    <w:rsid w:val="002C1663"/>
    <w:rsid w:val="002C19FC"/>
    <w:rsid w:val="002C1EFF"/>
    <w:rsid w:val="002C20C2"/>
    <w:rsid w:val="002C21E2"/>
    <w:rsid w:val="002C24CD"/>
    <w:rsid w:val="002C39AA"/>
    <w:rsid w:val="002C4D50"/>
    <w:rsid w:val="002C578E"/>
    <w:rsid w:val="002C68B4"/>
    <w:rsid w:val="002C6BEC"/>
    <w:rsid w:val="002C6F43"/>
    <w:rsid w:val="002C70DC"/>
    <w:rsid w:val="002D047A"/>
    <w:rsid w:val="002D0F54"/>
    <w:rsid w:val="002D1097"/>
    <w:rsid w:val="002D1133"/>
    <w:rsid w:val="002D1256"/>
    <w:rsid w:val="002D21DE"/>
    <w:rsid w:val="002D2A7A"/>
    <w:rsid w:val="002D3DC8"/>
    <w:rsid w:val="002D4EA1"/>
    <w:rsid w:val="002D6641"/>
    <w:rsid w:val="002D7C26"/>
    <w:rsid w:val="002E05D7"/>
    <w:rsid w:val="002E183D"/>
    <w:rsid w:val="002E1ADA"/>
    <w:rsid w:val="002E1B66"/>
    <w:rsid w:val="002E225F"/>
    <w:rsid w:val="002E2C38"/>
    <w:rsid w:val="002E2D50"/>
    <w:rsid w:val="002E306B"/>
    <w:rsid w:val="002E30B8"/>
    <w:rsid w:val="002E3510"/>
    <w:rsid w:val="002E4894"/>
    <w:rsid w:val="002E4CC4"/>
    <w:rsid w:val="002E53FE"/>
    <w:rsid w:val="002E665F"/>
    <w:rsid w:val="002E6B7D"/>
    <w:rsid w:val="002E765B"/>
    <w:rsid w:val="002E7AFB"/>
    <w:rsid w:val="002E7E20"/>
    <w:rsid w:val="002F0847"/>
    <w:rsid w:val="002F0D51"/>
    <w:rsid w:val="002F0D5B"/>
    <w:rsid w:val="002F1533"/>
    <w:rsid w:val="002F264B"/>
    <w:rsid w:val="002F2D5F"/>
    <w:rsid w:val="002F38C9"/>
    <w:rsid w:val="002F4E61"/>
    <w:rsid w:val="002F55C4"/>
    <w:rsid w:val="002F573A"/>
    <w:rsid w:val="002F58C3"/>
    <w:rsid w:val="002F6894"/>
    <w:rsid w:val="002F6EA4"/>
    <w:rsid w:val="002F73E7"/>
    <w:rsid w:val="002F7576"/>
    <w:rsid w:val="002F7F07"/>
    <w:rsid w:val="003009CA"/>
    <w:rsid w:val="00300A80"/>
    <w:rsid w:val="00302183"/>
    <w:rsid w:val="0030218B"/>
    <w:rsid w:val="003021DE"/>
    <w:rsid w:val="0030238D"/>
    <w:rsid w:val="003027DC"/>
    <w:rsid w:val="003029A4"/>
    <w:rsid w:val="00302A03"/>
    <w:rsid w:val="003035B4"/>
    <w:rsid w:val="00303C00"/>
    <w:rsid w:val="003040E8"/>
    <w:rsid w:val="00305291"/>
    <w:rsid w:val="00305312"/>
    <w:rsid w:val="00305338"/>
    <w:rsid w:val="0030565C"/>
    <w:rsid w:val="0030575A"/>
    <w:rsid w:val="00305C51"/>
    <w:rsid w:val="003060B2"/>
    <w:rsid w:val="00306106"/>
    <w:rsid w:val="00306B6B"/>
    <w:rsid w:val="00310EDE"/>
    <w:rsid w:val="00310F3F"/>
    <w:rsid w:val="003117DE"/>
    <w:rsid w:val="0031202B"/>
    <w:rsid w:val="00312B06"/>
    <w:rsid w:val="0031304A"/>
    <w:rsid w:val="00314B4B"/>
    <w:rsid w:val="00315173"/>
    <w:rsid w:val="003154BC"/>
    <w:rsid w:val="003156CA"/>
    <w:rsid w:val="003157D9"/>
    <w:rsid w:val="003164F9"/>
    <w:rsid w:val="003169EF"/>
    <w:rsid w:val="00316B55"/>
    <w:rsid w:val="00316D3B"/>
    <w:rsid w:val="00316E22"/>
    <w:rsid w:val="00321744"/>
    <w:rsid w:val="00322268"/>
    <w:rsid w:val="003222C5"/>
    <w:rsid w:val="0032232F"/>
    <w:rsid w:val="00322418"/>
    <w:rsid w:val="00322785"/>
    <w:rsid w:val="00322956"/>
    <w:rsid w:val="00322C7C"/>
    <w:rsid w:val="00322F6C"/>
    <w:rsid w:val="00323369"/>
    <w:rsid w:val="0032419A"/>
    <w:rsid w:val="003242C3"/>
    <w:rsid w:val="00324643"/>
    <w:rsid w:val="00325EA4"/>
    <w:rsid w:val="003261CF"/>
    <w:rsid w:val="00326370"/>
    <w:rsid w:val="0032697D"/>
    <w:rsid w:val="00327C9F"/>
    <w:rsid w:val="00327DED"/>
    <w:rsid w:val="00330D29"/>
    <w:rsid w:val="00330EF6"/>
    <w:rsid w:val="003322C8"/>
    <w:rsid w:val="00332592"/>
    <w:rsid w:val="00332CFE"/>
    <w:rsid w:val="0033314B"/>
    <w:rsid w:val="00333C6C"/>
    <w:rsid w:val="00334883"/>
    <w:rsid w:val="00334F9F"/>
    <w:rsid w:val="003363F8"/>
    <w:rsid w:val="0033641A"/>
    <w:rsid w:val="00337F3A"/>
    <w:rsid w:val="00340043"/>
    <w:rsid w:val="0034129D"/>
    <w:rsid w:val="003417E8"/>
    <w:rsid w:val="00342267"/>
    <w:rsid w:val="003425F4"/>
    <w:rsid w:val="00343283"/>
    <w:rsid w:val="003435F0"/>
    <w:rsid w:val="00343F9C"/>
    <w:rsid w:val="0034498D"/>
    <w:rsid w:val="00344EFC"/>
    <w:rsid w:val="00346B1D"/>
    <w:rsid w:val="00347ED4"/>
    <w:rsid w:val="003503D5"/>
    <w:rsid w:val="0035042F"/>
    <w:rsid w:val="00351918"/>
    <w:rsid w:val="00352494"/>
    <w:rsid w:val="00352EA4"/>
    <w:rsid w:val="0035426E"/>
    <w:rsid w:val="00355091"/>
    <w:rsid w:val="0035568A"/>
    <w:rsid w:val="00355914"/>
    <w:rsid w:val="00355E86"/>
    <w:rsid w:val="0035663E"/>
    <w:rsid w:val="003574C8"/>
    <w:rsid w:val="00360F75"/>
    <w:rsid w:val="00361F7C"/>
    <w:rsid w:val="00362764"/>
    <w:rsid w:val="00362A8D"/>
    <w:rsid w:val="00362D88"/>
    <w:rsid w:val="0036348C"/>
    <w:rsid w:val="00363677"/>
    <w:rsid w:val="00363D8C"/>
    <w:rsid w:val="00363F69"/>
    <w:rsid w:val="00364477"/>
    <w:rsid w:val="0036459B"/>
    <w:rsid w:val="0036482D"/>
    <w:rsid w:val="0036519B"/>
    <w:rsid w:val="0036729B"/>
    <w:rsid w:val="00370001"/>
    <w:rsid w:val="003709E6"/>
    <w:rsid w:val="00370C1A"/>
    <w:rsid w:val="003714A2"/>
    <w:rsid w:val="003718C0"/>
    <w:rsid w:val="00371D0F"/>
    <w:rsid w:val="003720E9"/>
    <w:rsid w:val="0037222C"/>
    <w:rsid w:val="00372501"/>
    <w:rsid w:val="00372B82"/>
    <w:rsid w:val="00372C7E"/>
    <w:rsid w:val="0037307D"/>
    <w:rsid w:val="00373B72"/>
    <w:rsid w:val="00373EB1"/>
    <w:rsid w:val="003745B9"/>
    <w:rsid w:val="003749CA"/>
    <w:rsid w:val="00375227"/>
    <w:rsid w:val="00376044"/>
    <w:rsid w:val="00376363"/>
    <w:rsid w:val="0037666A"/>
    <w:rsid w:val="00377103"/>
    <w:rsid w:val="0037760D"/>
    <w:rsid w:val="0038173E"/>
    <w:rsid w:val="00381906"/>
    <w:rsid w:val="003822DC"/>
    <w:rsid w:val="00384288"/>
    <w:rsid w:val="003857EB"/>
    <w:rsid w:val="003863E7"/>
    <w:rsid w:val="00387AF8"/>
    <w:rsid w:val="00387D84"/>
    <w:rsid w:val="003913BB"/>
    <w:rsid w:val="00393364"/>
    <w:rsid w:val="0039361C"/>
    <w:rsid w:val="00393B3D"/>
    <w:rsid w:val="00393C83"/>
    <w:rsid w:val="00393CC4"/>
    <w:rsid w:val="003947A7"/>
    <w:rsid w:val="003949EA"/>
    <w:rsid w:val="00394DAF"/>
    <w:rsid w:val="00395399"/>
    <w:rsid w:val="003966BD"/>
    <w:rsid w:val="00396D87"/>
    <w:rsid w:val="00397558"/>
    <w:rsid w:val="003A05B1"/>
    <w:rsid w:val="003A0689"/>
    <w:rsid w:val="003A14BF"/>
    <w:rsid w:val="003A2DA8"/>
    <w:rsid w:val="003A4041"/>
    <w:rsid w:val="003A4705"/>
    <w:rsid w:val="003A4B36"/>
    <w:rsid w:val="003A4FFF"/>
    <w:rsid w:val="003A5F1A"/>
    <w:rsid w:val="003A5FD2"/>
    <w:rsid w:val="003A6A35"/>
    <w:rsid w:val="003A7B72"/>
    <w:rsid w:val="003A7C51"/>
    <w:rsid w:val="003B0CEE"/>
    <w:rsid w:val="003B13AE"/>
    <w:rsid w:val="003B3034"/>
    <w:rsid w:val="003B3919"/>
    <w:rsid w:val="003B4729"/>
    <w:rsid w:val="003B56F5"/>
    <w:rsid w:val="003B67C5"/>
    <w:rsid w:val="003C0213"/>
    <w:rsid w:val="003C07A7"/>
    <w:rsid w:val="003C0BC7"/>
    <w:rsid w:val="003C0F70"/>
    <w:rsid w:val="003C1324"/>
    <w:rsid w:val="003C1774"/>
    <w:rsid w:val="003C177B"/>
    <w:rsid w:val="003C1B17"/>
    <w:rsid w:val="003C2E4E"/>
    <w:rsid w:val="003C44BD"/>
    <w:rsid w:val="003C49E4"/>
    <w:rsid w:val="003C5BDB"/>
    <w:rsid w:val="003C5E15"/>
    <w:rsid w:val="003C5F78"/>
    <w:rsid w:val="003C625A"/>
    <w:rsid w:val="003C633C"/>
    <w:rsid w:val="003C6CB5"/>
    <w:rsid w:val="003D0310"/>
    <w:rsid w:val="003D0448"/>
    <w:rsid w:val="003D0E6A"/>
    <w:rsid w:val="003D0E8C"/>
    <w:rsid w:val="003D1409"/>
    <w:rsid w:val="003D149C"/>
    <w:rsid w:val="003D1E01"/>
    <w:rsid w:val="003D1E7E"/>
    <w:rsid w:val="003D1F93"/>
    <w:rsid w:val="003D1FD2"/>
    <w:rsid w:val="003D2028"/>
    <w:rsid w:val="003D2126"/>
    <w:rsid w:val="003D24D4"/>
    <w:rsid w:val="003D26D0"/>
    <w:rsid w:val="003D3066"/>
    <w:rsid w:val="003D340F"/>
    <w:rsid w:val="003D3560"/>
    <w:rsid w:val="003D42E4"/>
    <w:rsid w:val="003D4EF0"/>
    <w:rsid w:val="003D56F0"/>
    <w:rsid w:val="003D6FD1"/>
    <w:rsid w:val="003D7960"/>
    <w:rsid w:val="003D7DAA"/>
    <w:rsid w:val="003E00BA"/>
    <w:rsid w:val="003E049C"/>
    <w:rsid w:val="003E0B00"/>
    <w:rsid w:val="003E0BC6"/>
    <w:rsid w:val="003E0E30"/>
    <w:rsid w:val="003E36B4"/>
    <w:rsid w:val="003E3B44"/>
    <w:rsid w:val="003E3E70"/>
    <w:rsid w:val="003E57C8"/>
    <w:rsid w:val="003E663B"/>
    <w:rsid w:val="003E6C5B"/>
    <w:rsid w:val="003E6F76"/>
    <w:rsid w:val="003E711A"/>
    <w:rsid w:val="003F117F"/>
    <w:rsid w:val="003F138D"/>
    <w:rsid w:val="003F1572"/>
    <w:rsid w:val="003F1CB8"/>
    <w:rsid w:val="003F2D9C"/>
    <w:rsid w:val="003F30E8"/>
    <w:rsid w:val="003F441A"/>
    <w:rsid w:val="003F5FF5"/>
    <w:rsid w:val="003F65F4"/>
    <w:rsid w:val="003F66C0"/>
    <w:rsid w:val="003F775D"/>
    <w:rsid w:val="003F7908"/>
    <w:rsid w:val="003F7A90"/>
    <w:rsid w:val="00401088"/>
    <w:rsid w:val="00401B8E"/>
    <w:rsid w:val="00401FC1"/>
    <w:rsid w:val="0040204E"/>
    <w:rsid w:val="0040247B"/>
    <w:rsid w:val="00403080"/>
    <w:rsid w:val="00403189"/>
    <w:rsid w:val="00403939"/>
    <w:rsid w:val="004046EC"/>
    <w:rsid w:val="00405D65"/>
    <w:rsid w:val="00406269"/>
    <w:rsid w:val="004063DE"/>
    <w:rsid w:val="004078A8"/>
    <w:rsid w:val="00410456"/>
    <w:rsid w:val="00410A36"/>
    <w:rsid w:val="00410B16"/>
    <w:rsid w:val="00410B93"/>
    <w:rsid w:val="00410FAC"/>
    <w:rsid w:val="004113F8"/>
    <w:rsid w:val="004120B8"/>
    <w:rsid w:val="0041261D"/>
    <w:rsid w:val="00412E2C"/>
    <w:rsid w:val="004131A1"/>
    <w:rsid w:val="004146BA"/>
    <w:rsid w:val="004148B2"/>
    <w:rsid w:val="00414CCC"/>
    <w:rsid w:val="0041575F"/>
    <w:rsid w:val="00415914"/>
    <w:rsid w:val="00416F4C"/>
    <w:rsid w:val="0041736D"/>
    <w:rsid w:val="00417891"/>
    <w:rsid w:val="004179E9"/>
    <w:rsid w:val="00417C5B"/>
    <w:rsid w:val="004201DC"/>
    <w:rsid w:val="004204E9"/>
    <w:rsid w:val="00420520"/>
    <w:rsid w:val="0042078D"/>
    <w:rsid w:val="00420F04"/>
    <w:rsid w:val="004211A4"/>
    <w:rsid w:val="00421225"/>
    <w:rsid w:val="00422335"/>
    <w:rsid w:val="00423189"/>
    <w:rsid w:val="004239C9"/>
    <w:rsid w:val="004239E9"/>
    <w:rsid w:val="00423CE2"/>
    <w:rsid w:val="00423E63"/>
    <w:rsid w:val="00424028"/>
    <w:rsid w:val="004240F9"/>
    <w:rsid w:val="00424EC3"/>
    <w:rsid w:val="004254B2"/>
    <w:rsid w:val="004256BC"/>
    <w:rsid w:val="00425C23"/>
    <w:rsid w:val="00426537"/>
    <w:rsid w:val="00426C32"/>
    <w:rsid w:val="00427D3D"/>
    <w:rsid w:val="0043005D"/>
    <w:rsid w:val="004306CC"/>
    <w:rsid w:val="00430D0C"/>
    <w:rsid w:val="00430F2D"/>
    <w:rsid w:val="0043293F"/>
    <w:rsid w:val="004332FA"/>
    <w:rsid w:val="00434FE8"/>
    <w:rsid w:val="00435014"/>
    <w:rsid w:val="004355F2"/>
    <w:rsid w:val="004366EB"/>
    <w:rsid w:val="00436CE0"/>
    <w:rsid w:val="00437BB6"/>
    <w:rsid w:val="00440577"/>
    <w:rsid w:val="00440FD2"/>
    <w:rsid w:val="00441085"/>
    <w:rsid w:val="004416C4"/>
    <w:rsid w:val="00441AEA"/>
    <w:rsid w:val="0044209B"/>
    <w:rsid w:val="0044233D"/>
    <w:rsid w:val="00442648"/>
    <w:rsid w:val="00443EFB"/>
    <w:rsid w:val="00444B91"/>
    <w:rsid w:val="004452DE"/>
    <w:rsid w:val="00445F22"/>
    <w:rsid w:val="00446937"/>
    <w:rsid w:val="00446BBF"/>
    <w:rsid w:val="00446E81"/>
    <w:rsid w:val="00446EE9"/>
    <w:rsid w:val="00450260"/>
    <w:rsid w:val="0045077D"/>
    <w:rsid w:val="004507EC"/>
    <w:rsid w:val="00450D37"/>
    <w:rsid w:val="004512D6"/>
    <w:rsid w:val="00451412"/>
    <w:rsid w:val="00451926"/>
    <w:rsid w:val="004527B5"/>
    <w:rsid w:val="00452EB1"/>
    <w:rsid w:val="0045494A"/>
    <w:rsid w:val="00454F1D"/>
    <w:rsid w:val="00455047"/>
    <w:rsid w:val="00457282"/>
    <w:rsid w:val="00457519"/>
    <w:rsid w:val="00457813"/>
    <w:rsid w:val="0046052A"/>
    <w:rsid w:val="004609A1"/>
    <w:rsid w:val="00460C83"/>
    <w:rsid w:val="00460DEB"/>
    <w:rsid w:val="00461616"/>
    <w:rsid w:val="00461736"/>
    <w:rsid w:val="004619F8"/>
    <w:rsid w:val="004624C9"/>
    <w:rsid w:val="00462904"/>
    <w:rsid w:val="0046299D"/>
    <w:rsid w:val="00462AA6"/>
    <w:rsid w:val="004633D2"/>
    <w:rsid w:val="004635BA"/>
    <w:rsid w:val="00463F01"/>
    <w:rsid w:val="00464B85"/>
    <w:rsid w:val="0046521E"/>
    <w:rsid w:val="004652C2"/>
    <w:rsid w:val="0046559A"/>
    <w:rsid w:val="00465D70"/>
    <w:rsid w:val="00465EAC"/>
    <w:rsid w:val="00465F76"/>
    <w:rsid w:val="00466F45"/>
    <w:rsid w:val="00467A51"/>
    <w:rsid w:val="004706C8"/>
    <w:rsid w:val="00470F05"/>
    <w:rsid w:val="00471D0D"/>
    <w:rsid w:val="0047200F"/>
    <w:rsid w:val="00472418"/>
    <w:rsid w:val="004724BA"/>
    <w:rsid w:val="004727BF"/>
    <w:rsid w:val="00472E6E"/>
    <w:rsid w:val="0047352C"/>
    <w:rsid w:val="004735C1"/>
    <w:rsid w:val="00474899"/>
    <w:rsid w:val="00476336"/>
    <w:rsid w:val="00476835"/>
    <w:rsid w:val="00476B83"/>
    <w:rsid w:val="004772A9"/>
    <w:rsid w:val="004773E5"/>
    <w:rsid w:val="00477649"/>
    <w:rsid w:val="00477E77"/>
    <w:rsid w:val="00480A4D"/>
    <w:rsid w:val="004812DA"/>
    <w:rsid w:val="00482307"/>
    <w:rsid w:val="00483630"/>
    <w:rsid w:val="0048371E"/>
    <w:rsid w:val="00485106"/>
    <w:rsid w:val="0048526F"/>
    <w:rsid w:val="00485315"/>
    <w:rsid w:val="004853C3"/>
    <w:rsid w:val="00485C26"/>
    <w:rsid w:val="00485D56"/>
    <w:rsid w:val="00487110"/>
    <w:rsid w:val="00487D07"/>
    <w:rsid w:val="00487FE3"/>
    <w:rsid w:val="00490DED"/>
    <w:rsid w:val="004930E7"/>
    <w:rsid w:val="00493428"/>
    <w:rsid w:val="00493922"/>
    <w:rsid w:val="00493EEE"/>
    <w:rsid w:val="004941C4"/>
    <w:rsid w:val="00494607"/>
    <w:rsid w:val="00494B99"/>
    <w:rsid w:val="00494EE2"/>
    <w:rsid w:val="00495E44"/>
    <w:rsid w:val="004962B8"/>
    <w:rsid w:val="004972C0"/>
    <w:rsid w:val="0049784D"/>
    <w:rsid w:val="00497872"/>
    <w:rsid w:val="004A08B8"/>
    <w:rsid w:val="004A1226"/>
    <w:rsid w:val="004A15D1"/>
    <w:rsid w:val="004A1832"/>
    <w:rsid w:val="004A1916"/>
    <w:rsid w:val="004A1A40"/>
    <w:rsid w:val="004A2AAA"/>
    <w:rsid w:val="004A2B42"/>
    <w:rsid w:val="004A2E4C"/>
    <w:rsid w:val="004A310D"/>
    <w:rsid w:val="004A3726"/>
    <w:rsid w:val="004A3B4A"/>
    <w:rsid w:val="004A3F38"/>
    <w:rsid w:val="004A44BC"/>
    <w:rsid w:val="004A49CE"/>
    <w:rsid w:val="004A49DE"/>
    <w:rsid w:val="004A4C8E"/>
    <w:rsid w:val="004A4DA0"/>
    <w:rsid w:val="004A5449"/>
    <w:rsid w:val="004A5C73"/>
    <w:rsid w:val="004A70E2"/>
    <w:rsid w:val="004A7294"/>
    <w:rsid w:val="004B0765"/>
    <w:rsid w:val="004B12E8"/>
    <w:rsid w:val="004B1C6A"/>
    <w:rsid w:val="004B1D21"/>
    <w:rsid w:val="004B1D96"/>
    <w:rsid w:val="004B24E4"/>
    <w:rsid w:val="004B281D"/>
    <w:rsid w:val="004B28DC"/>
    <w:rsid w:val="004B2AF4"/>
    <w:rsid w:val="004B31EB"/>
    <w:rsid w:val="004B3581"/>
    <w:rsid w:val="004B3CCA"/>
    <w:rsid w:val="004B3FBE"/>
    <w:rsid w:val="004B400B"/>
    <w:rsid w:val="004B433E"/>
    <w:rsid w:val="004B46BE"/>
    <w:rsid w:val="004B47F3"/>
    <w:rsid w:val="004B4C8B"/>
    <w:rsid w:val="004B520C"/>
    <w:rsid w:val="004B5255"/>
    <w:rsid w:val="004B5A9C"/>
    <w:rsid w:val="004B61E7"/>
    <w:rsid w:val="004B6342"/>
    <w:rsid w:val="004B6758"/>
    <w:rsid w:val="004B688B"/>
    <w:rsid w:val="004B6AAE"/>
    <w:rsid w:val="004B6C2C"/>
    <w:rsid w:val="004B6E6C"/>
    <w:rsid w:val="004B7021"/>
    <w:rsid w:val="004B7B0E"/>
    <w:rsid w:val="004C014F"/>
    <w:rsid w:val="004C03FB"/>
    <w:rsid w:val="004C0B5F"/>
    <w:rsid w:val="004C144E"/>
    <w:rsid w:val="004C1995"/>
    <w:rsid w:val="004C1E8A"/>
    <w:rsid w:val="004C227C"/>
    <w:rsid w:val="004C33D0"/>
    <w:rsid w:val="004C3634"/>
    <w:rsid w:val="004C424A"/>
    <w:rsid w:val="004C4C29"/>
    <w:rsid w:val="004C4C38"/>
    <w:rsid w:val="004C5254"/>
    <w:rsid w:val="004C59E2"/>
    <w:rsid w:val="004C5AE8"/>
    <w:rsid w:val="004C695F"/>
    <w:rsid w:val="004D0E99"/>
    <w:rsid w:val="004D19C8"/>
    <w:rsid w:val="004D1D34"/>
    <w:rsid w:val="004D2F4D"/>
    <w:rsid w:val="004D304A"/>
    <w:rsid w:val="004D35A7"/>
    <w:rsid w:val="004D385E"/>
    <w:rsid w:val="004D41A8"/>
    <w:rsid w:val="004D420F"/>
    <w:rsid w:val="004D4CEB"/>
    <w:rsid w:val="004D4D67"/>
    <w:rsid w:val="004D55E1"/>
    <w:rsid w:val="004D6CAA"/>
    <w:rsid w:val="004D7009"/>
    <w:rsid w:val="004D75F4"/>
    <w:rsid w:val="004E0099"/>
    <w:rsid w:val="004E0A66"/>
    <w:rsid w:val="004E4154"/>
    <w:rsid w:val="004E4F59"/>
    <w:rsid w:val="004E545E"/>
    <w:rsid w:val="004E7AE0"/>
    <w:rsid w:val="004F0265"/>
    <w:rsid w:val="004F0ED3"/>
    <w:rsid w:val="004F1096"/>
    <w:rsid w:val="004F1401"/>
    <w:rsid w:val="004F18B7"/>
    <w:rsid w:val="004F2663"/>
    <w:rsid w:val="004F2996"/>
    <w:rsid w:val="004F2FC2"/>
    <w:rsid w:val="004F382C"/>
    <w:rsid w:val="004F42F8"/>
    <w:rsid w:val="004F4925"/>
    <w:rsid w:val="004F6FE4"/>
    <w:rsid w:val="004F70AB"/>
    <w:rsid w:val="004F7625"/>
    <w:rsid w:val="004F7A2F"/>
    <w:rsid w:val="0050086D"/>
    <w:rsid w:val="00502025"/>
    <w:rsid w:val="005033DD"/>
    <w:rsid w:val="00504900"/>
    <w:rsid w:val="00504AD5"/>
    <w:rsid w:val="005055A5"/>
    <w:rsid w:val="00505D93"/>
    <w:rsid w:val="005072A3"/>
    <w:rsid w:val="00507780"/>
    <w:rsid w:val="00507834"/>
    <w:rsid w:val="00507936"/>
    <w:rsid w:val="00507FC4"/>
    <w:rsid w:val="00512ABA"/>
    <w:rsid w:val="00512B30"/>
    <w:rsid w:val="00512EB6"/>
    <w:rsid w:val="005131A1"/>
    <w:rsid w:val="005143DF"/>
    <w:rsid w:val="005148BE"/>
    <w:rsid w:val="00514AF2"/>
    <w:rsid w:val="005151FA"/>
    <w:rsid w:val="005159ED"/>
    <w:rsid w:val="00515AC5"/>
    <w:rsid w:val="00515C3D"/>
    <w:rsid w:val="0051609E"/>
    <w:rsid w:val="005167BD"/>
    <w:rsid w:val="0052044A"/>
    <w:rsid w:val="005204DD"/>
    <w:rsid w:val="00520E0B"/>
    <w:rsid w:val="00521031"/>
    <w:rsid w:val="00521830"/>
    <w:rsid w:val="0052271D"/>
    <w:rsid w:val="00523059"/>
    <w:rsid w:val="00523394"/>
    <w:rsid w:val="00524233"/>
    <w:rsid w:val="005248FC"/>
    <w:rsid w:val="005252EC"/>
    <w:rsid w:val="00525E68"/>
    <w:rsid w:val="00525EE5"/>
    <w:rsid w:val="005265AC"/>
    <w:rsid w:val="00526610"/>
    <w:rsid w:val="00526730"/>
    <w:rsid w:val="00526B46"/>
    <w:rsid w:val="00530256"/>
    <w:rsid w:val="00530C1A"/>
    <w:rsid w:val="00530E92"/>
    <w:rsid w:val="00531C76"/>
    <w:rsid w:val="00531EA5"/>
    <w:rsid w:val="00532B74"/>
    <w:rsid w:val="00533AE4"/>
    <w:rsid w:val="00533AFD"/>
    <w:rsid w:val="00533CFF"/>
    <w:rsid w:val="00534760"/>
    <w:rsid w:val="00535308"/>
    <w:rsid w:val="00535B0F"/>
    <w:rsid w:val="00535E60"/>
    <w:rsid w:val="00535FFA"/>
    <w:rsid w:val="005370AE"/>
    <w:rsid w:val="00537149"/>
    <w:rsid w:val="00540820"/>
    <w:rsid w:val="00541213"/>
    <w:rsid w:val="00541996"/>
    <w:rsid w:val="00541A8F"/>
    <w:rsid w:val="0054282A"/>
    <w:rsid w:val="005428E7"/>
    <w:rsid w:val="00542A05"/>
    <w:rsid w:val="00543C3B"/>
    <w:rsid w:val="00545634"/>
    <w:rsid w:val="005459B9"/>
    <w:rsid w:val="00545FCE"/>
    <w:rsid w:val="00546218"/>
    <w:rsid w:val="005473D6"/>
    <w:rsid w:val="00547771"/>
    <w:rsid w:val="00547CB4"/>
    <w:rsid w:val="00550E63"/>
    <w:rsid w:val="0055143E"/>
    <w:rsid w:val="00551ED6"/>
    <w:rsid w:val="00552342"/>
    <w:rsid w:val="005524AB"/>
    <w:rsid w:val="00552DDF"/>
    <w:rsid w:val="005538B5"/>
    <w:rsid w:val="0055400F"/>
    <w:rsid w:val="00555F9D"/>
    <w:rsid w:val="0055699B"/>
    <w:rsid w:val="005571DF"/>
    <w:rsid w:val="00557D4E"/>
    <w:rsid w:val="00557ED6"/>
    <w:rsid w:val="00560398"/>
    <w:rsid w:val="0056061B"/>
    <w:rsid w:val="00560D56"/>
    <w:rsid w:val="0056114A"/>
    <w:rsid w:val="00561CFC"/>
    <w:rsid w:val="00563193"/>
    <w:rsid w:val="00563DD0"/>
    <w:rsid w:val="00564593"/>
    <w:rsid w:val="00565B34"/>
    <w:rsid w:val="00565F87"/>
    <w:rsid w:val="0056785A"/>
    <w:rsid w:val="00570011"/>
    <w:rsid w:val="0057041A"/>
    <w:rsid w:val="00570B02"/>
    <w:rsid w:val="00570C55"/>
    <w:rsid w:val="00570D8A"/>
    <w:rsid w:val="0057138F"/>
    <w:rsid w:val="005715B9"/>
    <w:rsid w:val="00571D6B"/>
    <w:rsid w:val="00571EE4"/>
    <w:rsid w:val="0057358B"/>
    <w:rsid w:val="00573EA7"/>
    <w:rsid w:val="00573F06"/>
    <w:rsid w:val="00574305"/>
    <w:rsid w:val="00574DDB"/>
    <w:rsid w:val="005751FC"/>
    <w:rsid w:val="0057596F"/>
    <w:rsid w:val="005769C2"/>
    <w:rsid w:val="00576DA7"/>
    <w:rsid w:val="00577B06"/>
    <w:rsid w:val="00577E20"/>
    <w:rsid w:val="00580131"/>
    <w:rsid w:val="0058015A"/>
    <w:rsid w:val="00580D9A"/>
    <w:rsid w:val="0058174B"/>
    <w:rsid w:val="0058186A"/>
    <w:rsid w:val="00581AAD"/>
    <w:rsid w:val="00581ACB"/>
    <w:rsid w:val="00581F11"/>
    <w:rsid w:val="00582224"/>
    <w:rsid w:val="00582F49"/>
    <w:rsid w:val="00584E5E"/>
    <w:rsid w:val="00584E89"/>
    <w:rsid w:val="00584EE6"/>
    <w:rsid w:val="005852BC"/>
    <w:rsid w:val="00586D63"/>
    <w:rsid w:val="00586FDA"/>
    <w:rsid w:val="00587500"/>
    <w:rsid w:val="00587A88"/>
    <w:rsid w:val="00590503"/>
    <w:rsid w:val="0059101F"/>
    <w:rsid w:val="005912BE"/>
    <w:rsid w:val="005914C9"/>
    <w:rsid w:val="00591600"/>
    <w:rsid w:val="00592DB8"/>
    <w:rsid w:val="0059323D"/>
    <w:rsid w:val="0059378B"/>
    <w:rsid w:val="00593DBE"/>
    <w:rsid w:val="00594164"/>
    <w:rsid w:val="0059441B"/>
    <w:rsid w:val="00594B91"/>
    <w:rsid w:val="00594F60"/>
    <w:rsid w:val="0059597D"/>
    <w:rsid w:val="00595A6E"/>
    <w:rsid w:val="00595CF1"/>
    <w:rsid w:val="0059630D"/>
    <w:rsid w:val="00596529"/>
    <w:rsid w:val="00596BB2"/>
    <w:rsid w:val="00596C05"/>
    <w:rsid w:val="00596EF7"/>
    <w:rsid w:val="00597606"/>
    <w:rsid w:val="00597728"/>
    <w:rsid w:val="00597BF0"/>
    <w:rsid w:val="00597DC5"/>
    <w:rsid w:val="005A11E4"/>
    <w:rsid w:val="005A1BC2"/>
    <w:rsid w:val="005A3256"/>
    <w:rsid w:val="005A3387"/>
    <w:rsid w:val="005A3613"/>
    <w:rsid w:val="005A3F75"/>
    <w:rsid w:val="005A47C6"/>
    <w:rsid w:val="005A4F5F"/>
    <w:rsid w:val="005A5363"/>
    <w:rsid w:val="005A53EF"/>
    <w:rsid w:val="005A56D8"/>
    <w:rsid w:val="005A5A2D"/>
    <w:rsid w:val="005A5DF7"/>
    <w:rsid w:val="005A623F"/>
    <w:rsid w:val="005A66C8"/>
    <w:rsid w:val="005A6937"/>
    <w:rsid w:val="005A69F1"/>
    <w:rsid w:val="005A6A24"/>
    <w:rsid w:val="005A6A67"/>
    <w:rsid w:val="005A7357"/>
    <w:rsid w:val="005A7590"/>
    <w:rsid w:val="005B0B96"/>
    <w:rsid w:val="005B0BEC"/>
    <w:rsid w:val="005B107B"/>
    <w:rsid w:val="005B3227"/>
    <w:rsid w:val="005B3B80"/>
    <w:rsid w:val="005B3EE6"/>
    <w:rsid w:val="005B4593"/>
    <w:rsid w:val="005B46D5"/>
    <w:rsid w:val="005B4E9B"/>
    <w:rsid w:val="005B6368"/>
    <w:rsid w:val="005B6891"/>
    <w:rsid w:val="005B79C4"/>
    <w:rsid w:val="005B7C8F"/>
    <w:rsid w:val="005C0464"/>
    <w:rsid w:val="005C0D7D"/>
    <w:rsid w:val="005C21FC"/>
    <w:rsid w:val="005C2401"/>
    <w:rsid w:val="005C24A7"/>
    <w:rsid w:val="005C286C"/>
    <w:rsid w:val="005C38F3"/>
    <w:rsid w:val="005C395A"/>
    <w:rsid w:val="005C43B5"/>
    <w:rsid w:val="005C4BD4"/>
    <w:rsid w:val="005C60C5"/>
    <w:rsid w:val="005C6521"/>
    <w:rsid w:val="005C6A87"/>
    <w:rsid w:val="005C6D78"/>
    <w:rsid w:val="005C6D95"/>
    <w:rsid w:val="005C745F"/>
    <w:rsid w:val="005C765D"/>
    <w:rsid w:val="005C7AB6"/>
    <w:rsid w:val="005D0270"/>
    <w:rsid w:val="005D0407"/>
    <w:rsid w:val="005D0611"/>
    <w:rsid w:val="005D0F59"/>
    <w:rsid w:val="005D22CE"/>
    <w:rsid w:val="005D2658"/>
    <w:rsid w:val="005D2945"/>
    <w:rsid w:val="005D2D71"/>
    <w:rsid w:val="005D321F"/>
    <w:rsid w:val="005D3851"/>
    <w:rsid w:val="005D4693"/>
    <w:rsid w:val="005D555C"/>
    <w:rsid w:val="005D66D1"/>
    <w:rsid w:val="005D672A"/>
    <w:rsid w:val="005D6B35"/>
    <w:rsid w:val="005E035E"/>
    <w:rsid w:val="005E080A"/>
    <w:rsid w:val="005E162D"/>
    <w:rsid w:val="005E1D2B"/>
    <w:rsid w:val="005E20BC"/>
    <w:rsid w:val="005E2718"/>
    <w:rsid w:val="005E2AC2"/>
    <w:rsid w:val="005E35C9"/>
    <w:rsid w:val="005E361D"/>
    <w:rsid w:val="005E41B8"/>
    <w:rsid w:val="005E5E5D"/>
    <w:rsid w:val="005E7299"/>
    <w:rsid w:val="005E7F7F"/>
    <w:rsid w:val="005F08FB"/>
    <w:rsid w:val="005F0A3B"/>
    <w:rsid w:val="005F0A7F"/>
    <w:rsid w:val="005F0EDE"/>
    <w:rsid w:val="005F21B3"/>
    <w:rsid w:val="005F2230"/>
    <w:rsid w:val="005F22A8"/>
    <w:rsid w:val="005F3355"/>
    <w:rsid w:val="005F4D3A"/>
    <w:rsid w:val="005F542A"/>
    <w:rsid w:val="005F5576"/>
    <w:rsid w:val="005F5883"/>
    <w:rsid w:val="005F59BE"/>
    <w:rsid w:val="005F5D85"/>
    <w:rsid w:val="005F659A"/>
    <w:rsid w:val="005F6764"/>
    <w:rsid w:val="005F794B"/>
    <w:rsid w:val="005F7D7B"/>
    <w:rsid w:val="006001ED"/>
    <w:rsid w:val="00602D95"/>
    <w:rsid w:val="00603777"/>
    <w:rsid w:val="00603A56"/>
    <w:rsid w:val="006042E1"/>
    <w:rsid w:val="006044C6"/>
    <w:rsid w:val="00604D85"/>
    <w:rsid w:val="00605BBA"/>
    <w:rsid w:val="00605ECA"/>
    <w:rsid w:val="006060E5"/>
    <w:rsid w:val="006064F4"/>
    <w:rsid w:val="00606ED2"/>
    <w:rsid w:val="00610148"/>
    <w:rsid w:val="00610E24"/>
    <w:rsid w:val="00610E8E"/>
    <w:rsid w:val="006114A4"/>
    <w:rsid w:val="006121BD"/>
    <w:rsid w:val="00613650"/>
    <w:rsid w:val="00613F49"/>
    <w:rsid w:val="00615F1D"/>
    <w:rsid w:val="00616096"/>
    <w:rsid w:val="00616159"/>
    <w:rsid w:val="00616B2A"/>
    <w:rsid w:val="00616B53"/>
    <w:rsid w:val="00616C6B"/>
    <w:rsid w:val="00616EF0"/>
    <w:rsid w:val="0061794C"/>
    <w:rsid w:val="00617A93"/>
    <w:rsid w:val="00620C7F"/>
    <w:rsid w:val="00621F10"/>
    <w:rsid w:val="00623733"/>
    <w:rsid w:val="0062391D"/>
    <w:rsid w:val="00624169"/>
    <w:rsid w:val="00624816"/>
    <w:rsid w:val="00625341"/>
    <w:rsid w:val="00625643"/>
    <w:rsid w:val="006258F4"/>
    <w:rsid w:val="006309FF"/>
    <w:rsid w:val="00631422"/>
    <w:rsid w:val="0063177E"/>
    <w:rsid w:val="006319DB"/>
    <w:rsid w:val="006327EC"/>
    <w:rsid w:val="00632855"/>
    <w:rsid w:val="006330F0"/>
    <w:rsid w:val="006332ED"/>
    <w:rsid w:val="0063330B"/>
    <w:rsid w:val="00633474"/>
    <w:rsid w:val="00634DF0"/>
    <w:rsid w:val="006356FD"/>
    <w:rsid w:val="00635A9F"/>
    <w:rsid w:val="00635DC3"/>
    <w:rsid w:val="006365C4"/>
    <w:rsid w:val="00636B03"/>
    <w:rsid w:val="00636BB4"/>
    <w:rsid w:val="00637801"/>
    <w:rsid w:val="00640060"/>
    <w:rsid w:val="006404FE"/>
    <w:rsid w:val="0064086C"/>
    <w:rsid w:val="0064230B"/>
    <w:rsid w:val="00642435"/>
    <w:rsid w:val="00643655"/>
    <w:rsid w:val="00644C6F"/>
    <w:rsid w:val="0064534D"/>
    <w:rsid w:val="006454B2"/>
    <w:rsid w:val="0064659A"/>
    <w:rsid w:val="00647580"/>
    <w:rsid w:val="00647765"/>
    <w:rsid w:val="00647C25"/>
    <w:rsid w:val="00647CA6"/>
    <w:rsid w:val="00647E48"/>
    <w:rsid w:val="00650941"/>
    <w:rsid w:val="0065160E"/>
    <w:rsid w:val="006526A8"/>
    <w:rsid w:val="00652AB6"/>
    <w:rsid w:val="00652AEF"/>
    <w:rsid w:val="00652DCE"/>
    <w:rsid w:val="006536FD"/>
    <w:rsid w:val="00653EFA"/>
    <w:rsid w:val="00655644"/>
    <w:rsid w:val="0065661B"/>
    <w:rsid w:val="006568C1"/>
    <w:rsid w:val="00656B1D"/>
    <w:rsid w:val="00657383"/>
    <w:rsid w:val="00660519"/>
    <w:rsid w:val="0066269A"/>
    <w:rsid w:val="00662843"/>
    <w:rsid w:val="00662E46"/>
    <w:rsid w:val="00665419"/>
    <w:rsid w:val="00665641"/>
    <w:rsid w:val="006659B6"/>
    <w:rsid w:val="00665B0A"/>
    <w:rsid w:val="00665D0D"/>
    <w:rsid w:val="00666F79"/>
    <w:rsid w:val="00667B9D"/>
    <w:rsid w:val="006707C7"/>
    <w:rsid w:val="0067085F"/>
    <w:rsid w:val="006718ED"/>
    <w:rsid w:val="00671CE1"/>
    <w:rsid w:val="00672ED3"/>
    <w:rsid w:val="00672FA6"/>
    <w:rsid w:val="00673CE9"/>
    <w:rsid w:val="00673FDD"/>
    <w:rsid w:val="006742B0"/>
    <w:rsid w:val="00675B92"/>
    <w:rsid w:val="00675F31"/>
    <w:rsid w:val="0067602D"/>
    <w:rsid w:val="006763F4"/>
    <w:rsid w:val="00676452"/>
    <w:rsid w:val="0067670E"/>
    <w:rsid w:val="006768AC"/>
    <w:rsid w:val="0068003A"/>
    <w:rsid w:val="006807F1"/>
    <w:rsid w:val="00680AAC"/>
    <w:rsid w:val="00680E07"/>
    <w:rsid w:val="00681167"/>
    <w:rsid w:val="00681CAD"/>
    <w:rsid w:val="00681EC8"/>
    <w:rsid w:val="00681F87"/>
    <w:rsid w:val="00682067"/>
    <w:rsid w:val="006825D3"/>
    <w:rsid w:val="00682A13"/>
    <w:rsid w:val="0068364A"/>
    <w:rsid w:val="0068418A"/>
    <w:rsid w:val="0068473D"/>
    <w:rsid w:val="006855C1"/>
    <w:rsid w:val="006863AE"/>
    <w:rsid w:val="0068691D"/>
    <w:rsid w:val="00686A62"/>
    <w:rsid w:val="006871D3"/>
    <w:rsid w:val="006873DF"/>
    <w:rsid w:val="00687526"/>
    <w:rsid w:val="00690BEB"/>
    <w:rsid w:val="00691580"/>
    <w:rsid w:val="00691652"/>
    <w:rsid w:val="006920B1"/>
    <w:rsid w:val="00692288"/>
    <w:rsid w:val="006924C1"/>
    <w:rsid w:val="0069361B"/>
    <w:rsid w:val="0069367F"/>
    <w:rsid w:val="00694A8A"/>
    <w:rsid w:val="00694BE9"/>
    <w:rsid w:val="00695564"/>
    <w:rsid w:val="00695626"/>
    <w:rsid w:val="006959C6"/>
    <w:rsid w:val="00696ECD"/>
    <w:rsid w:val="00697B84"/>
    <w:rsid w:val="006A0D65"/>
    <w:rsid w:val="006A11AB"/>
    <w:rsid w:val="006A1269"/>
    <w:rsid w:val="006A205E"/>
    <w:rsid w:val="006A2FF6"/>
    <w:rsid w:val="006A3F1F"/>
    <w:rsid w:val="006A4136"/>
    <w:rsid w:val="006A42FC"/>
    <w:rsid w:val="006A4369"/>
    <w:rsid w:val="006A47D5"/>
    <w:rsid w:val="006A4956"/>
    <w:rsid w:val="006A4C6C"/>
    <w:rsid w:val="006A594E"/>
    <w:rsid w:val="006A65CB"/>
    <w:rsid w:val="006A6C12"/>
    <w:rsid w:val="006A7791"/>
    <w:rsid w:val="006A7AB4"/>
    <w:rsid w:val="006B057F"/>
    <w:rsid w:val="006B0FC7"/>
    <w:rsid w:val="006B1B31"/>
    <w:rsid w:val="006B2445"/>
    <w:rsid w:val="006B2695"/>
    <w:rsid w:val="006B27EB"/>
    <w:rsid w:val="006B28D5"/>
    <w:rsid w:val="006B2F18"/>
    <w:rsid w:val="006B3211"/>
    <w:rsid w:val="006B381B"/>
    <w:rsid w:val="006B39C0"/>
    <w:rsid w:val="006B3A0C"/>
    <w:rsid w:val="006B3E0F"/>
    <w:rsid w:val="006B4012"/>
    <w:rsid w:val="006B405A"/>
    <w:rsid w:val="006B5314"/>
    <w:rsid w:val="006B74F6"/>
    <w:rsid w:val="006B7BC6"/>
    <w:rsid w:val="006C015A"/>
    <w:rsid w:val="006C0378"/>
    <w:rsid w:val="006C13C4"/>
    <w:rsid w:val="006C2E9B"/>
    <w:rsid w:val="006C33B9"/>
    <w:rsid w:val="006C3D6D"/>
    <w:rsid w:val="006C43DA"/>
    <w:rsid w:val="006C4D73"/>
    <w:rsid w:val="006C5591"/>
    <w:rsid w:val="006C6218"/>
    <w:rsid w:val="006C67B4"/>
    <w:rsid w:val="006D11FA"/>
    <w:rsid w:val="006D2151"/>
    <w:rsid w:val="006D3DB0"/>
    <w:rsid w:val="006D47E1"/>
    <w:rsid w:val="006D4ACE"/>
    <w:rsid w:val="006D6918"/>
    <w:rsid w:val="006D6A78"/>
    <w:rsid w:val="006D6A8D"/>
    <w:rsid w:val="006D6B8A"/>
    <w:rsid w:val="006D74C0"/>
    <w:rsid w:val="006E0184"/>
    <w:rsid w:val="006E03C0"/>
    <w:rsid w:val="006E0C60"/>
    <w:rsid w:val="006E0CE4"/>
    <w:rsid w:val="006E1179"/>
    <w:rsid w:val="006E1ECA"/>
    <w:rsid w:val="006E2DB5"/>
    <w:rsid w:val="006E36C0"/>
    <w:rsid w:val="006E3B82"/>
    <w:rsid w:val="006E41EB"/>
    <w:rsid w:val="006E4346"/>
    <w:rsid w:val="006E49CC"/>
    <w:rsid w:val="006E4DF1"/>
    <w:rsid w:val="006E4F64"/>
    <w:rsid w:val="006E57A0"/>
    <w:rsid w:val="006E57EC"/>
    <w:rsid w:val="006E6894"/>
    <w:rsid w:val="006E6957"/>
    <w:rsid w:val="006E70CA"/>
    <w:rsid w:val="006E79F9"/>
    <w:rsid w:val="006E7BF9"/>
    <w:rsid w:val="006F0AEF"/>
    <w:rsid w:val="006F1511"/>
    <w:rsid w:val="006F15FC"/>
    <w:rsid w:val="006F1D2F"/>
    <w:rsid w:val="006F2081"/>
    <w:rsid w:val="006F2C91"/>
    <w:rsid w:val="006F2EC4"/>
    <w:rsid w:val="006F333B"/>
    <w:rsid w:val="006F3BAD"/>
    <w:rsid w:val="006F4444"/>
    <w:rsid w:val="006F444D"/>
    <w:rsid w:val="006F5275"/>
    <w:rsid w:val="006F5392"/>
    <w:rsid w:val="006F5982"/>
    <w:rsid w:val="006F6765"/>
    <w:rsid w:val="006F677C"/>
    <w:rsid w:val="006F6DD4"/>
    <w:rsid w:val="006F6E68"/>
    <w:rsid w:val="007005CD"/>
    <w:rsid w:val="00701FFF"/>
    <w:rsid w:val="007025D3"/>
    <w:rsid w:val="0070287F"/>
    <w:rsid w:val="00702995"/>
    <w:rsid w:val="00703347"/>
    <w:rsid w:val="007037BF"/>
    <w:rsid w:val="00704017"/>
    <w:rsid w:val="00704D34"/>
    <w:rsid w:val="00705001"/>
    <w:rsid w:val="00705925"/>
    <w:rsid w:val="00705D67"/>
    <w:rsid w:val="00707197"/>
    <w:rsid w:val="007077FE"/>
    <w:rsid w:val="00707E7A"/>
    <w:rsid w:val="00707FEB"/>
    <w:rsid w:val="007104B8"/>
    <w:rsid w:val="00711172"/>
    <w:rsid w:val="007114A6"/>
    <w:rsid w:val="007127AB"/>
    <w:rsid w:val="0071315D"/>
    <w:rsid w:val="00714332"/>
    <w:rsid w:val="00714478"/>
    <w:rsid w:val="00714F28"/>
    <w:rsid w:val="007152B6"/>
    <w:rsid w:val="0071653C"/>
    <w:rsid w:val="0071688B"/>
    <w:rsid w:val="0071759B"/>
    <w:rsid w:val="0072006D"/>
    <w:rsid w:val="0072025D"/>
    <w:rsid w:val="0072126E"/>
    <w:rsid w:val="00721974"/>
    <w:rsid w:val="00721AD6"/>
    <w:rsid w:val="00721BEC"/>
    <w:rsid w:val="00721CFA"/>
    <w:rsid w:val="00721D6F"/>
    <w:rsid w:val="007222C5"/>
    <w:rsid w:val="00722D43"/>
    <w:rsid w:val="0072479E"/>
    <w:rsid w:val="00724D55"/>
    <w:rsid w:val="0072583D"/>
    <w:rsid w:val="007278E9"/>
    <w:rsid w:val="00727CE2"/>
    <w:rsid w:val="00730048"/>
    <w:rsid w:val="00730D15"/>
    <w:rsid w:val="00731291"/>
    <w:rsid w:val="007317B6"/>
    <w:rsid w:val="00731803"/>
    <w:rsid w:val="00731CAC"/>
    <w:rsid w:val="00733979"/>
    <w:rsid w:val="007339F8"/>
    <w:rsid w:val="00734A1E"/>
    <w:rsid w:val="00734FBB"/>
    <w:rsid w:val="0073542B"/>
    <w:rsid w:val="007361AE"/>
    <w:rsid w:val="00736355"/>
    <w:rsid w:val="0073692F"/>
    <w:rsid w:val="00736BA9"/>
    <w:rsid w:val="00736E58"/>
    <w:rsid w:val="007372A8"/>
    <w:rsid w:val="00740038"/>
    <w:rsid w:val="00740289"/>
    <w:rsid w:val="007407D9"/>
    <w:rsid w:val="0074132D"/>
    <w:rsid w:val="0074199E"/>
    <w:rsid w:val="00741FB1"/>
    <w:rsid w:val="00743ACA"/>
    <w:rsid w:val="00743E42"/>
    <w:rsid w:val="00744190"/>
    <w:rsid w:val="00744C4A"/>
    <w:rsid w:val="00744EE2"/>
    <w:rsid w:val="007476E0"/>
    <w:rsid w:val="00747798"/>
    <w:rsid w:val="00747CDA"/>
    <w:rsid w:val="0075057C"/>
    <w:rsid w:val="007508BB"/>
    <w:rsid w:val="00750FA6"/>
    <w:rsid w:val="00751080"/>
    <w:rsid w:val="00751C2B"/>
    <w:rsid w:val="00752094"/>
    <w:rsid w:val="007530B1"/>
    <w:rsid w:val="0075353F"/>
    <w:rsid w:val="00753B44"/>
    <w:rsid w:val="00753BD2"/>
    <w:rsid w:val="00753EA6"/>
    <w:rsid w:val="00753ED2"/>
    <w:rsid w:val="00753F62"/>
    <w:rsid w:val="007548BD"/>
    <w:rsid w:val="007558A6"/>
    <w:rsid w:val="00757004"/>
    <w:rsid w:val="00757676"/>
    <w:rsid w:val="007602BC"/>
    <w:rsid w:val="00760DF7"/>
    <w:rsid w:val="0076124C"/>
    <w:rsid w:val="00761E29"/>
    <w:rsid w:val="0076371F"/>
    <w:rsid w:val="00763FFD"/>
    <w:rsid w:val="007650C6"/>
    <w:rsid w:val="007651B6"/>
    <w:rsid w:val="00765952"/>
    <w:rsid w:val="007662F7"/>
    <w:rsid w:val="007676A7"/>
    <w:rsid w:val="00767952"/>
    <w:rsid w:val="00767E6F"/>
    <w:rsid w:val="00770A0E"/>
    <w:rsid w:val="00770D09"/>
    <w:rsid w:val="0077185C"/>
    <w:rsid w:val="00771E21"/>
    <w:rsid w:val="007722EE"/>
    <w:rsid w:val="007722F1"/>
    <w:rsid w:val="00772507"/>
    <w:rsid w:val="00772D2F"/>
    <w:rsid w:val="00773458"/>
    <w:rsid w:val="00773DBE"/>
    <w:rsid w:val="007742B7"/>
    <w:rsid w:val="00774575"/>
    <w:rsid w:val="00774BA8"/>
    <w:rsid w:val="00774BE7"/>
    <w:rsid w:val="007756F8"/>
    <w:rsid w:val="00775BCF"/>
    <w:rsid w:val="00775D32"/>
    <w:rsid w:val="00777396"/>
    <w:rsid w:val="00777898"/>
    <w:rsid w:val="00777916"/>
    <w:rsid w:val="007803DB"/>
    <w:rsid w:val="0078106E"/>
    <w:rsid w:val="007815DE"/>
    <w:rsid w:val="007824DA"/>
    <w:rsid w:val="00782C56"/>
    <w:rsid w:val="00782DA9"/>
    <w:rsid w:val="00783A97"/>
    <w:rsid w:val="0078433E"/>
    <w:rsid w:val="00784548"/>
    <w:rsid w:val="0078485A"/>
    <w:rsid w:val="00784920"/>
    <w:rsid w:val="007856B6"/>
    <w:rsid w:val="0078580A"/>
    <w:rsid w:val="007864C3"/>
    <w:rsid w:val="00786CED"/>
    <w:rsid w:val="0078782B"/>
    <w:rsid w:val="00787D00"/>
    <w:rsid w:val="00790007"/>
    <w:rsid w:val="00790C48"/>
    <w:rsid w:val="00790E93"/>
    <w:rsid w:val="007913F0"/>
    <w:rsid w:val="007916D2"/>
    <w:rsid w:val="00791BC4"/>
    <w:rsid w:val="00792140"/>
    <w:rsid w:val="00792705"/>
    <w:rsid w:val="0079290A"/>
    <w:rsid w:val="00793583"/>
    <w:rsid w:val="007941C8"/>
    <w:rsid w:val="0079462E"/>
    <w:rsid w:val="0079538D"/>
    <w:rsid w:val="00795985"/>
    <w:rsid w:val="00795F43"/>
    <w:rsid w:val="007960CB"/>
    <w:rsid w:val="00796319"/>
    <w:rsid w:val="007969C4"/>
    <w:rsid w:val="00796E66"/>
    <w:rsid w:val="007975D7"/>
    <w:rsid w:val="00797747"/>
    <w:rsid w:val="00797849"/>
    <w:rsid w:val="0079788B"/>
    <w:rsid w:val="007A05BE"/>
    <w:rsid w:val="007A12C0"/>
    <w:rsid w:val="007A181C"/>
    <w:rsid w:val="007A2123"/>
    <w:rsid w:val="007A21A8"/>
    <w:rsid w:val="007A2622"/>
    <w:rsid w:val="007A388D"/>
    <w:rsid w:val="007A4514"/>
    <w:rsid w:val="007A4ECA"/>
    <w:rsid w:val="007A5640"/>
    <w:rsid w:val="007A5928"/>
    <w:rsid w:val="007A6648"/>
    <w:rsid w:val="007B0344"/>
    <w:rsid w:val="007B03FE"/>
    <w:rsid w:val="007B0DA0"/>
    <w:rsid w:val="007B1599"/>
    <w:rsid w:val="007B1C22"/>
    <w:rsid w:val="007B28CA"/>
    <w:rsid w:val="007B2F00"/>
    <w:rsid w:val="007B3CBC"/>
    <w:rsid w:val="007B3EB4"/>
    <w:rsid w:val="007B3EF5"/>
    <w:rsid w:val="007B422D"/>
    <w:rsid w:val="007B452A"/>
    <w:rsid w:val="007B544D"/>
    <w:rsid w:val="007B594B"/>
    <w:rsid w:val="007B6436"/>
    <w:rsid w:val="007B6F63"/>
    <w:rsid w:val="007B718F"/>
    <w:rsid w:val="007B7BD7"/>
    <w:rsid w:val="007B7ED9"/>
    <w:rsid w:val="007C0108"/>
    <w:rsid w:val="007C0139"/>
    <w:rsid w:val="007C018C"/>
    <w:rsid w:val="007C06EA"/>
    <w:rsid w:val="007C1083"/>
    <w:rsid w:val="007C13FD"/>
    <w:rsid w:val="007C1F54"/>
    <w:rsid w:val="007C270C"/>
    <w:rsid w:val="007C2A5B"/>
    <w:rsid w:val="007C3A54"/>
    <w:rsid w:val="007C3CA4"/>
    <w:rsid w:val="007C3CBD"/>
    <w:rsid w:val="007C4159"/>
    <w:rsid w:val="007C4EFD"/>
    <w:rsid w:val="007C5953"/>
    <w:rsid w:val="007C5AAD"/>
    <w:rsid w:val="007C5CB1"/>
    <w:rsid w:val="007C5CC1"/>
    <w:rsid w:val="007C642A"/>
    <w:rsid w:val="007C6D95"/>
    <w:rsid w:val="007C715C"/>
    <w:rsid w:val="007C7967"/>
    <w:rsid w:val="007C7D30"/>
    <w:rsid w:val="007D0967"/>
    <w:rsid w:val="007D16D3"/>
    <w:rsid w:val="007D2DB8"/>
    <w:rsid w:val="007D4071"/>
    <w:rsid w:val="007D4417"/>
    <w:rsid w:val="007D5197"/>
    <w:rsid w:val="007D52E3"/>
    <w:rsid w:val="007D5B66"/>
    <w:rsid w:val="007D630F"/>
    <w:rsid w:val="007D6532"/>
    <w:rsid w:val="007D6F04"/>
    <w:rsid w:val="007D7F3C"/>
    <w:rsid w:val="007E0D65"/>
    <w:rsid w:val="007E2341"/>
    <w:rsid w:val="007E2C45"/>
    <w:rsid w:val="007E3324"/>
    <w:rsid w:val="007E3D0F"/>
    <w:rsid w:val="007E40AB"/>
    <w:rsid w:val="007E4E4A"/>
    <w:rsid w:val="007E616A"/>
    <w:rsid w:val="007E6D22"/>
    <w:rsid w:val="007E719E"/>
    <w:rsid w:val="007E7241"/>
    <w:rsid w:val="007F0830"/>
    <w:rsid w:val="007F20A3"/>
    <w:rsid w:val="007F20D6"/>
    <w:rsid w:val="007F233D"/>
    <w:rsid w:val="007F24EB"/>
    <w:rsid w:val="007F25F6"/>
    <w:rsid w:val="007F2D46"/>
    <w:rsid w:val="007F3378"/>
    <w:rsid w:val="007F3944"/>
    <w:rsid w:val="007F3D8E"/>
    <w:rsid w:val="007F421C"/>
    <w:rsid w:val="007F4699"/>
    <w:rsid w:val="007F59B6"/>
    <w:rsid w:val="007F5CA3"/>
    <w:rsid w:val="007F601D"/>
    <w:rsid w:val="007F639F"/>
    <w:rsid w:val="00800388"/>
    <w:rsid w:val="00800D0E"/>
    <w:rsid w:val="00801121"/>
    <w:rsid w:val="00801256"/>
    <w:rsid w:val="008019D4"/>
    <w:rsid w:val="00802553"/>
    <w:rsid w:val="00802572"/>
    <w:rsid w:val="008035E5"/>
    <w:rsid w:val="00803B25"/>
    <w:rsid w:val="0080401E"/>
    <w:rsid w:val="008046C8"/>
    <w:rsid w:val="00804C3D"/>
    <w:rsid w:val="00805618"/>
    <w:rsid w:val="00806173"/>
    <w:rsid w:val="008067A1"/>
    <w:rsid w:val="0080714B"/>
    <w:rsid w:val="008077F8"/>
    <w:rsid w:val="00807D9B"/>
    <w:rsid w:val="00811280"/>
    <w:rsid w:val="00812CAD"/>
    <w:rsid w:val="00812EAA"/>
    <w:rsid w:val="00812FCB"/>
    <w:rsid w:val="008137F0"/>
    <w:rsid w:val="008155BB"/>
    <w:rsid w:val="00815715"/>
    <w:rsid w:val="00815FA4"/>
    <w:rsid w:val="008166A5"/>
    <w:rsid w:val="00816E40"/>
    <w:rsid w:val="00817151"/>
    <w:rsid w:val="00817C9F"/>
    <w:rsid w:val="00820A7B"/>
    <w:rsid w:val="00821247"/>
    <w:rsid w:val="008218CF"/>
    <w:rsid w:val="00821B52"/>
    <w:rsid w:val="0082211D"/>
    <w:rsid w:val="0082239E"/>
    <w:rsid w:val="008224A9"/>
    <w:rsid w:val="00822C8E"/>
    <w:rsid w:val="008246EA"/>
    <w:rsid w:val="00824E1D"/>
    <w:rsid w:val="00824F1F"/>
    <w:rsid w:val="00825161"/>
    <w:rsid w:val="008252C3"/>
    <w:rsid w:val="008258E4"/>
    <w:rsid w:val="00825988"/>
    <w:rsid w:val="00825E73"/>
    <w:rsid w:val="008301BA"/>
    <w:rsid w:val="0083025C"/>
    <w:rsid w:val="00830798"/>
    <w:rsid w:val="00830915"/>
    <w:rsid w:val="008310A0"/>
    <w:rsid w:val="00831234"/>
    <w:rsid w:val="00831322"/>
    <w:rsid w:val="00832A88"/>
    <w:rsid w:val="00832A92"/>
    <w:rsid w:val="00832EBE"/>
    <w:rsid w:val="008331E2"/>
    <w:rsid w:val="008332A5"/>
    <w:rsid w:val="00833DE7"/>
    <w:rsid w:val="0083446B"/>
    <w:rsid w:val="00834D34"/>
    <w:rsid w:val="008352B4"/>
    <w:rsid w:val="0083532F"/>
    <w:rsid w:val="00837CE6"/>
    <w:rsid w:val="008400B1"/>
    <w:rsid w:val="00841290"/>
    <w:rsid w:val="0084160B"/>
    <w:rsid w:val="0084223E"/>
    <w:rsid w:val="00842B3E"/>
    <w:rsid w:val="008439D7"/>
    <w:rsid w:val="00843C6E"/>
    <w:rsid w:val="00844A84"/>
    <w:rsid w:val="0084521A"/>
    <w:rsid w:val="008456D5"/>
    <w:rsid w:val="00845AD8"/>
    <w:rsid w:val="00845F79"/>
    <w:rsid w:val="0084634B"/>
    <w:rsid w:val="00846D09"/>
    <w:rsid w:val="00846F08"/>
    <w:rsid w:val="00846FA4"/>
    <w:rsid w:val="008508D7"/>
    <w:rsid w:val="00850CB9"/>
    <w:rsid w:val="008519CD"/>
    <w:rsid w:val="00852033"/>
    <w:rsid w:val="008555A6"/>
    <w:rsid w:val="0085591E"/>
    <w:rsid w:val="00856960"/>
    <w:rsid w:val="00856F0B"/>
    <w:rsid w:val="00857307"/>
    <w:rsid w:val="008574DB"/>
    <w:rsid w:val="00857A66"/>
    <w:rsid w:val="008607C6"/>
    <w:rsid w:val="0086091A"/>
    <w:rsid w:val="00862646"/>
    <w:rsid w:val="008626A1"/>
    <w:rsid w:val="0086561F"/>
    <w:rsid w:val="00865D03"/>
    <w:rsid w:val="00866791"/>
    <w:rsid w:val="0086755B"/>
    <w:rsid w:val="00867909"/>
    <w:rsid w:val="008679EC"/>
    <w:rsid w:val="00870565"/>
    <w:rsid w:val="008713A8"/>
    <w:rsid w:val="00871471"/>
    <w:rsid w:val="008714E0"/>
    <w:rsid w:val="00871BEA"/>
    <w:rsid w:val="00873514"/>
    <w:rsid w:val="00873876"/>
    <w:rsid w:val="008747A2"/>
    <w:rsid w:val="00875B97"/>
    <w:rsid w:val="00876865"/>
    <w:rsid w:val="0087709C"/>
    <w:rsid w:val="008809D5"/>
    <w:rsid w:val="00881262"/>
    <w:rsid w:val="0088210D"/>
    <w:rsid w:val="00882709"/>
    <w:rsid w:val="00882C0B"/>
    <w:rsid w:val="00882EF9"/>
    <w:rsid w:val="00883420"/>
    <w:rsid w:val="008835F5"/>
    <w:rsid w:val="00883D35"/>
    <w:rsid w:val="00884EB2"/>
    <w:rsid w:val="00885464"/>
    <w:rsid w:val="008859C0"/>
    <w:rsid w:val="00885B4F"/>
    <w:rsid w:val="00885CFE"/>
    <w:rsid w:val="00885D2B"/>
    <w:rsid w:val="008865D8"/>
    <w:rsid w:val="00886AE8"/>
    <w:rsid w:val="00886D5E"/>
    <w:rsid w:val="00887017"/>
    <w:rsid w:val="00887601"/>
    <w:rsid w:val="0089009B"/>
    <w:rsid w:val="00890B83"/>
    <w:rsid w:val="008930A4"/>
    <w:rsid w:val="008933A1"/>
    <w:rsid w:val="00893B9A"/>
    <w:rsid w:val="00893F43"/>
    <w:rsid w:val="00894C15"/>
    <w:rsid w:val="00895DBA"/>
    <w:rsid w:val="008966BC"/>
    <w:rsid w:val="00897D82"/>
    <w:rsid w:val="008A0015"/>
    <w:rsid w:val="008A0CAD"/>
    <w:rsid w:val="008A1441"/>
    <w:rsid w:val="008A1887"/>
    <w:rsid w:val="008A1CFB"/>
    <w:rsid w:val="008A203B"/>
    <w:rsid w:val="008A26F6"/>
    <w:rsid w:val="008A2D26"/>
    <w:rsid w:val="008A3D70"/>
    <w:rsid w:val="008A3E38"/>
    <w:rsid w:val="008A3ED5"/>
    <w:rsid w:val="008A5023"/>
    <w:rsid w:val="008A5DD6"/>
    <w:rsid w:val="008A5E75"/>
    <w:rsid w:val="008A6056"/>
    <w:rsid w:val="008A6441"/>
    <w:rsid w:val="008A697C"/>
    <w:rsid w:val="008A6C7A"/>
    <w:rsid w:val="008A7497"/>
    <w:rsid w:val="008A781F"/>
    <w:rsid w:val="008B023B"/>
    <w:rsid w:val="008B05A5"/>
    <w:rsid w:val="008B0737"/>
    <w:rsid w:val="008B0AEF"/>
    <w:rsid w:val="008B0DCE"/>
    <w:rsid w:val="008B0FE9"/>
    <w:rsid w:val="008B1149"/>
    <w:rsid w:val="008B13AA"/>
    <w:rsid w:val="008B2950"/>
    <w:rsid w:val="008B2ABC"/>
    <w:rsid w:val="008B2C5D"/>
    <w:rsid w:val="008B2D5F"/>
    <w:rsid w:val="008B3121"/>
    <w:rsid w:val="008B4DBE"/>
    <w:rsid w:val="008B4E39"/>
    <w:rsid w:val="008B4F25"/>
    <w:rsid w:val="008B526F"/>
    <w:rsid w:val="008B5A2A"/>
    <w:rsid w:val="008B5B55"/>
    <w:rsid w:val="008B6A81"/>
    <w:rsid w:val="008B6D9B"/>
    <w:rsid w:val="008B747C"/>
    <w:rsid w:val="008B7B49"/>
    <w:rsid w:val="008C04E5"/>
    <w:rsid w:val="008C0A56"/>
    <w:rsid w:val="008C0CB0"/>
    <w:rsid w:val="008C1358"/>
    <w:rsid w:val="008C3238"/>
    <w:rsid w:val="008C40DA"/>
    <w:rsid w:val="008C4230"/>
    <w:rsid w:val="008C4275"/>
    <w:rsid w:val="008C4626"/>
    <w:rsid w:val="008C584C"/>
    <w:rsid w:val="008C59A5"/>
    <w:rsid w:val="008C68AD"/>
    <w:rsid w:val="008C79BA"/>
    <w:rsid w:val="008D0C4F"/>
    <w:rsid w:val="008D12D4"/>
    <w:rsid w:val="008D1395"/>
    <w:rsid w:val="008D1C98"/>
    <w:rsid w:val="008D1F25"/>
    <w:rsid w:val="008D2437"/>
    <w:rsid w:val="008D45A4"/>
    <w:rsid w:val="008D4791"/>
    <w:rsid w:val="008D635F"/>
    <w:rsid w:val="008D650E"/>
    <w:rsid w:val="008D6764"/>
    <w:rsid w:val="008D6B1A"/>
    <w:rsid w:val="008D776A"/>
    <w:rsid w:val="008D7CA9"/>
    <w:rsid w:val="008E09BB"/>
    <w:rsid w:val="008E160F"/>
    <w:rsid w:val="008E1BDE"/>
    <w:rsid w:val="008E1D02"/>
    <w:rsid w:val="008E1E13"/>
    <w:rsid w:val="008E2A0D"/>
    <w:rsid w:val="008E3280"/>
    <w:rsid w:val="008E374A"/>
    <w:rsid w:val="008E39A6"/>
    <w:rsid w:val="008E4178"/>
    <w:rsid w:val="008E532D"/>
    <w:rsid w:val="008E57F2"/>
    <w:rsid w:val="008E58AD"/>
    <w:rsid w:val="008E5A49"/>
    <w:rsid w:val="008E5B05"/>
    <w:rsid w:val="008E5E4D"/>
    <w:rsid w:val="008E61E9"/>
    <w:rsid w:val="008E61F6"/>
    <w:rsid w:val="008E63B6"/>
    <w:rsid w:val="008E6D68"/>
    <w:rsid w:val="008F0370"/>
    <w:rsid w:val="008F1153"/>
    <w:rsid w:val="008F1CC9"/>
    <w:rsid w:val="008F2F80"/>
    <w:rsid w:val="008F31FD"/>
    <w:rsid w:val="008F4184"/>
    <w:rsid w:val="008F44F2"/>
    <w:rsid w:val="008F4F6F"/>
    <w:rsid w:val="008F56D7"/>
    <w:rsid w:val="008F58BA"/>
    <w:rsid w:val="008F6900"/>
    <w:rsid w:val="008F6B51"/>
    <w:rsid w:val="008F782D"/>
    <w:rsid w:val="008F787A"/>
    <w:rsid w:val="008F7DBB"/>
    <w:rsid w:val="008F7F41"/>
    <w:rsid w:val="009001EB"/>
    <w:rsid w:val="0090050B"/>
    <w:rsid w:val="00901643"/>
    <w:rsid w:val="00904090"/>
    <w:rsid w:val="0090495A"/>
    <w:rsid w:val="00904AB6"/>
    <w:rsid w:val="00904D07"/>
    <w:rsid w:val="00905B3F"/>
    <w:rsid w:val="00906284"/>
    <w:rsid w:val="009062B0"/>
    <w:rsid w:val="009072B5"/>
    <w:rsid w:val="009076BD"/>
    <w:rsid w:val="00907E0D"/>
    <w:rsid w:val="009103E6"/>
    <w:rsid w:val="0091047A"/>
    <w:rsid w:val="00910F0F"/>
    <w:rsid w:val="009118AC"/>
    <w:rsid w:val="00911B05"/>
    <w:rsid w:val="00911EB8"/>
    <w:rsid w:val="00912BC8"/>
    <w:rsid w:val="00912BD4"/>
    <w:rsid w:val="00912CEA"/>
    <w:rsid w:val="00913960"/>
    <w:rsid w:val="00914AA1"/>
    <w:rsid w:val="00915510"/>
    <w:rsid w:val="0091563A"/>
    <w:rsid w:val="00915FFA"/>
    <w:rsid w:val="00916FA7"/>
    <w:rsid w:val="009175B1"/>
    <w:rsid w:val="00921208"/>
    <w:rsid w:val="0092135B"/>
    <w:rsid w:val="00921BED"/>
    <w:rsid w:val="00922AA3"/>
    <w:rsid w:val="00923025"/>
    <w:rsid w:val="00923C95"/>
    <w:rsid w:val="00923ECD"/>
    <w:rsid w:val="00924117"/>
    <w:rsid w:val="009243C9"/>
    <w:rsid w:val="009249C6"/>
    <w:rsid w:val="0092534D"/>
    <w:rsid w:val="00926A1D"/>
    <w:rsid w:val="00926E75"/>
    <w:rsid w:val="009277D1"/>
    <w:rsid w:val="00927DF5"/>
    <w:rsid w:val="00931003"/>
    <w:rsid w:val="00931602"/>
    <w:rsid w:val="00931B3B"/>
    <w:rsid w:val="00932281"/>
    <w:rsid w:val="00933C99"/>
    <w:rsid w:val="00936148"/>
    <w:rsid w:val="00936B6A"/>
    <w:rsid w:val="00936D78"/>
    <w:rsid w:val="00936F28"/>
    <w:rsid w:val="009375B0"/>
    <w:rsid w:val="00937EA4"/>
    <w:rsid w:val="00940160"/>
    <w:rsid w:val="009407CD"/>
    <w:rsid w:val="009409CA"/>
    <w:rsid w:val="00940E87"/>
    <w:rsid w:val="0094107A"/>
    <w:rsid w:val="00941BC6"/>
    <w:rsid w:val="00942299"/>
    <w:rsid w:val="009424F9"/>
    <w:rsid w:val="009426F3"/>
    <w:rsid w:val="0094286A"/>
    <w:rsid w:val="009435DE"/>
    <w:rsid w:val="009437D6"/>
    <w:rsid w:val="00943A27"/>
    <w:rsid w:val="00943A79"/>
    <w:rsid w:val="00943AD4"/>
    <w:rsid w:val="00943C16"/>
    <w:rsid w:val="009441B3"/>
    <w:rsid w:val="00944628"/>
    <w:rsid w:val="0094495C"/>
    <w:rsid w:val="00944DD8"/>
    <w:rsid w:val="00945A6F"/>
    <w:rsid w:val="00945EDD"/>
    <w:rsid w:val="00946F82"/>
    <w:rsid w:val="009473A2"/>
    <w:rsid w:val="00950CE8"/>
    <w:rsid w:val="00950D9C"/>
    <w:rsid w:val="00951297"/>
    <w:rsid w:val="0095185E"/>
    <w:rsid w:val="00951F40"/>
    <w:rsid w:val="00951FB0"/>
    <w:rsid w:val="00952216"/>
    <w:rsid w:val="009528D4"/>
    <w:rsid w:val="00953482"/>
    <w:rsid w:val="00953551"/>
    <w:rsid w:val="00953F06"/>
    <w:rsid w:val="0095551E"/>
    <w:rsid w:val="00955B05"/>
    <w:rsid w:val="00956364"/>
    <w:rsid w:val="00957264"/>
    <w:rsid w:val="00957D18"/>
    <w:rsid w:val="0096081B"/>
    <w:rsid w:val="00960E8E"/>
    <w:rsid w:val="009617DF"/>
    <w:rsid w:val="00962354"/>
    <w:rsid w:val="009624C1"/>
    <w:rsid w:val="00963358"/>
    <w:rsid w:val="0096358A"/>
    <w:rsid w:val="00963CC7"/>
    <w:rsid w:val="00964F5B"/>
    <w:rsid w:val="00964FDF"/>
    <w:rsid w:val="009657C2"/>
    <w:rsid w:val="00965CD3"/>
    <w:rsid w:val="00965DA8"/>
    <w:rsid w:val="00965E11"/>
    <w:rsid w:val="00966303"/>
    <w:rsid w:val="00967909"/>
    <w:rsid w:val="00970326"/>
    <w:rsid w:val="009708D4"/>
    <w:rsid w:val="00970E88"/>
    <w:rsid w:val="00970FD9"/>
    <w:rsid w:val="009713D2"/>
    <w:rsid w:val="00972A3A"/>
    <w:rsid w:val="00972C50"/>
    <w:rsid w:val="00972E95"/>
    <w:rsid w:val="00973366"/>
    <w:rsid w:val="00973AA6"/>
    <w:rsid w:val="00973E1B"/>
    <w:rsid w:val="00974009"/>
    <w:rsid w:val="0097424D"/>
    <w:rsid w:val="00974DA3"/>
    <w:rsid w:val="0097561C"/>
    <w:rsid w:val="0097586B"/>
    <w:rsid w:val="00976CF3"/>
    <w:rsid w:val="0097758E"/>
    <w:rsid w:val="00977695"/>
    <w:rsid w:val="009776ED"/>
    <w:rsid w:val="009777AA"/>
    <w:rsid w:val="009806FC"/>
    <w:rsid w:val="00980DEF"/>
    <w:rsid w:val="00981288"/>
    <w:rsid w:val="0098162B"/>
    <w:rsid w:val="009819AD"/>
    <w:rsid w:val="009820DA"/>
    <w:rsid w:val="009823BC"/>
    <w:rsid w:val="00982C42"/>
    <w:rsid w:val="00983AC6"/>
    <w:rsid w:val="00985825"/>
    <w:rsid w:val="00985A20"/>
    <w:rsid w:val="009864CB"/>
    <w:rsid w:val="0098714F"/>
    <w:rsid w:val="00990D2E"/>
    <w:rsid w:val="00990E01"/>
    <w:rsid w:val="00991315"/>
    <w:rsid w:val="00991C54"/>
    <w:rsid w:val="00991FE6"/>
    <w:rsid w:val="009921A4"/>
    <w:rsid w:val="009935A1"/>
    <w:rsid w:val="009937F7"/>
    <w:rsid w:val="00994C3E"/>
    <w:rsid w:val="00994E0F"/>
    <w:rsid w:val="0099508D"/>
    <w:rsid w:val="0099560D"/>
    <w:rsid w:val="00995737"/>
    <w:rsid w:val="00995F21"/>
    <w:rsid w:val="00996A65"/>
    <w:rsid w:val="00997034"/>
    <w:rsid w:val="009978E4"/>
    <w:rsid w:val="00997F69"/>
    <w:rsid w:val="009A0B11"/>
    <w:rsid w:val="009A1A04"/>
    <w:rsid w:val="009A22B3"/>
    <w:rsid w:val="009A2B07"/>
    <w:rsid w:val="009A3BE4"/>
    <w:rsid w:val="009A3D4C"/>
    <w:rsid w:val="009A429D"/>
    <w:rsid w:val="009A516D"/>
    <w:rsid w:val="009A5FA7"/>
    <w:rsid w:val="009A6B0A"/>
    <w:rsid w:val="009A78FB"/>
    <w:rsid w:val="009B00F2"/>
    <w:rsid w:val="009B0F58"/>
    <w:rsid w:val="009B2473"/>
    <w:rsid w:val="009B249B"/>
    <w:rsid w:val="009B37B8"/>
    <w:rsid w:val="009B3A49"/>
    <w:rsid w:val="009B4485"/>
    <w:rsid w:val="009B511E"/>
    <w:rsid w:val="009B5717"/>
    <w:rsid w:val="009B5A4C"/>
    <w:rsid w:val="009B5C0F"/>
    <w:rsid w:val="009B684E"/>
    <w:rsid w:val="009B6965"/>
    <w:rsid w:val="009B6B68"/>
    <w:rsid w:val="009B71B4"/>
    <w:rsid w:val="009B7400"/>
    <w:rsid w:val="009C015F"/>
    <w:rsid w:val="009C0460"/>
    <w:rsid w:val="009C0EB1"/>
    <w:rsid w:val="009C1214"/>
    <w:rsid w:val="009C138F"/>
    <w:rsid w:val="009C1C32"/>
    <w:rsid w:val="009C1DD9"/>
    <w:rsid w:val="009C2C2A"/>
    <w:rsid w:val="009C490B"/>
    <w:rsid w:val="009C4CA3"/>
    <w:rsid w:val="009C549B"/>
    <w:rsid w:val="009C5655"/>
    <w:rsid w:val="009C5781"/>
    <w:rsid w:val="009C5E5F"/>
    <w:rsid w:val="009C7190"/>
    <w:rsid w:val="009C7A99"/>
    <w:rsid w:val="009C7EEC"/>
    <w:rsid w:val="009D072F"/>
    <w:rsid w:val="009D0E9E"/>
    <w:rsid w:val="009D108B"/>
    <w:rsid w:val="009D1935"/>
    <w:rsid w:val="009D1E1E"/>
    <w:rsid w:val="009D1E5C"/>
    <w:rsid w:val="009D204A"/>
    <w:rsid w:val="009D46D2"/>
    <w:rsid w:val="009D5279"/>
    <w:rsid w:val="009D58CD"/>
    <w:rsid w:val="009D6299"/>
    <w:rsid w:val="009D6D3D"/>
    <w:rsid w:val="009D6E6D"/>
    <w:rsid w:val="009D7C40"/>
    <w:rsid w:val="009D7C7A"/>
    <w:rsid w:val="009D7CCE"/>
    <w:rsid w:val="009E01C2"/>
    <w:rsid w:val="009E0F88"/>
    <w:rsid w:val="009E15AE"/>
    <w:rsid w:val="009E1F06"/>
    <w:rsid w:val="009E20A4"/>
    <w:rsid w:val="009E25DF"/>
    <w:rsid w:val="009E269A"/>
    <w:rsid w:val="009E2A7B"/>
    <w:rsid w:val="009E2F8B"/>
    <w:rsid w:val="009E3229"/>
    <w:rsid w:val="009E4F02"/>
    <w:rsid w:val="009E4F33"/>
    <w:rsid w:val="009E4F85"/>
    <w:rsid w:val="009E5910"/>
    <w:rsid w:val="009E5AB3"/>
    <w:rsid w:val="009E5BB9"/>
    <w:rsid w:val="009E5EB6"/>
    <w:rsid w:val="009E6449"/>
    <w:rsid w:val="009E72EF"/>
    <w:rsid w:val="009E79A3"/>
    <w:rsid w:val="009E7DA1"/>
    <w:rsid w:val="009E7DCF"/>
    <w:rsid w:val="009E7F8C"/>
    <w:rsid w:val="009F0429"/>
    <w:rsid w:val="009F1864"/>
    <w:rsid w:val="009F1AE6"/>
    <w:rsid w:val="009F23D9"/>
    <w:rsid w:val="009F2DCE"/>
    <w:rsid w:val="009F3613"/>
    <w:rsid w:val="009F489D"/>
    <w:rsid w:val="009F63E6"/>
    <w:rsid w:val="009F63F6"/>
    <w:rsid w:val="009F6709"/>
    <w:rsid w:val="009F6935"/>
    <w:rsid w:val="009F69C8"/>
    <w:rsid w:val="009F7302"/>
    <w:rsid w:val="009F7F4F"/>
    <w:rsid w:val="00A003AA"/>
    <w:rsid w:val="00A00B87"/>
    <w:rsid w:val="00A017AD"/>
    <w:rsid w:val="00A01C0A"/>
    <w:rsid w:val="00A02AF3"/>
    <w:rsid w:val="00A030FD"/>
    <w:rsid w:val="00A03449"/>
    <w:rsid w:val="00A03988"/>
    <w:rsid w:val="00A03BF6"/>
    <w:rsid w:val="00A03D2F"/>
    <w:rsid w:val="00A05690"/>
    <w:rsid w:val="00A05703"/>
    <w:rsid w:val="00A060E9"/>
    <w:rsid w:val="00A06731"/>
    <w:rsid w:val="00A070A2"/>
    <w:rsid w:val="00A070CF"/>
    <w:rsid w:val="00A07411"/>
    <w:rsid w:val="00A074E5"/>
    <w:rsid w:val="00A07552"/>
    <w:rsid w:val="00A07BFB"/>
    <w:rsid w:val="00A07E86"/>
    <w:rsid w:val="00A101AA"/>
    <w:rsid w:val="00A11EAA"/>
    <w:rsid w:val="00A11FA6"/>
    <w:rsid w:val="00A1236E"/>
    <w:rsid w:val="00A12CE9"/>
    <w:rsid w:val="00A132DB"/>
    <w:rsid w:val="00A1381B"/>
    <w:rsid w:val="00A13822"/>
    <w:rsid w:val="00A13E30"/>
    <w:rsid w:val="00A13F74"/>
    <w:rsid w:val="00A14905"/>
    <w:rsid w:val="00A15B75"/>
    <w:rsid w:val="00A15F30"/>
    <w:rsid w:val="00A15FB7"/>
    <w:rsid w:val="00A16036"/>
    <w:rsid w:val="00A16843"/>
    <w:rsid w:val="00A170B3"/>
    <w:rsid w:val="00A17B6D"/>
    <w:rsid w:val="00A207E2"/>
    <w:rsid w:val="00A20A71"/>
    <w:rsid w:val="00A20FE4"/>
    <w:rsid w:val="00A2182B"/>
    <w:rsid w:val="00A21FC7"/>
    <w:rsid w:val="00A2223E"/>
    <w:rsid w:val="00A22B7F"/>
    <w:rsid w:val="00A2317D"/>
    <w:rsid w:val="00A23430"/>
    <w:rsid w:val="00A2354C"/>
    <w:rsid w:val="00A23EB9"/>
    <w:rsid w:val="00A241CD"/>
    <w:rsid w:val="00A24C3C"/>
    <w:rsid w:val="00A24DCE"/>
    <w:rsid w:val="00A2524F"/>
    <w:rsid w:val="00A25C72"/>
    <w:rsid w:val="00A26FBD"/>
    <w:rsid w:val="00A2759C"/>
    <w:rsid w:val="00A27717"/>
    <w:rsid w:val="00A27C92"/>
    <w:rsid w:val="00A27ED2"/>
    <w:rsid w:val="00A307FC"/>
    <w:rsid w:val="00A31778"/>
    <w:rsid w:val="00A32571"/>
    <w:rsid w:val="00A32633"/>
    <w:rsid w:val="00A3285C"/>
    <w:rsid w:val="00A32F99"/>
    <w:rsid w:val="00A33016"/>
    <w:rsid w:val="00A333B9"/>
    <w:rsid w:val="00A33991"/>
    <w:rsid w:val="00A340D0"/>
    <w:rsid w:val="00A34650"/>
    <w:rsid w:val="00A35314"/>
    <w:rsid w:val="00A35EE1"/>
    <w:rsid w:val="00A368EE"/>
    <w:rsid w:val="00A36FA9"/>
    <w:rsid w:val="00A375E5"/>
    <w:rsid w:val="00A37961"/>
    <w:rsid w:val="00A37FAE"/>
    <w:rsid w:val="00A40CE2"/>
    <w:rsid w:val="00A426A8"/>
    <w:rsid w:val="00A437F1"/>
    <w:rsid w:val="00A443AB"/>
    <w:rsid w:val="00A45436"/>
    <w:rsid w:val="00A4580E"/>
    <w:rsid w:val="00A46963"/>
    <w:rsid w:val="00A46E51"/>
    <w:rsid w:val="00A47560"/>
    <w:rsid w:val="00A475DB"/>
    <w:rsid w:val="00A477BA"/>
    <w:rsid w:val="00A47EBD"/>
    <w:rsid w:val="00A5097C"/>
    <w:rsid w:val="00A51815"/>
    <w:rsid w:val="00A519AC"/>
    <w:rsid w:val="00A5212F"/>
    <w:rsid w:val="00A52698"/>
    <w:rsid w:val="00A52CAB"/>
    <w:rsid w:val="00A53AF8"/>
    <w:rsid w:val="00A53E79"/>
    <w:rsid w:val="00A5472E"/>
    <w:rsid w:val="00A549D2"/>
    <w:rsid w:val="00A553AB"/>
    <w:rsid w:val="00A55563"/>
    <w:rsid w:val="00A55A48"/>
    <w:rsid w:val="00A56439"/>
    <w:rsid w:val="00A56843"/>
    <w:rsid w:val="00A570B2"/>
    <w:rsid w:val="00A571E2"/>
    <w:rsid w:val="00A57428"/>
    <w:rsid w:val="00A57AEA"/>
    <w:rsid w:val="00A57EB6"/>
    <w:rsid w:val="00A60616"/>
    <w:rsid w:val="00A62359"/>
    <w:rsid w:val="00A62530"/>
    <w:rsid w:val="00A625F6"/>
    <w:rsid w:val="00A62FE0"/>
    <w:rsid w:val="00A632C9"/>
    <w:rsid w:val="00A6380A"/>
    <w:rsid w:val="00A6391E"/>
    <w:rsid w:val="00A63F99"/>
    <w:rsid w:val="00A65239"/>
    <w:rsid w:val="00A6594D"/>
    <w:rsid w:val="00A678ED"/>
    <w:rsid w:val="00A67D92"/>
    <w:rsid w:val="00A7012F"/>
    <w:rsid w:val="00A707C3"/>
    <w:rsid w:val="00A71051"/>
    <w:rsid w:val="00A713E0"/>
    <w:rsid w:val="00A72C4B"/>
    <w:rsid w:val="00A72D26"/>
    <w:rsid w:val="00A73836"/>
    <w:rsid w:val="00A75DB5"/>
    <w:rsid w:val="00A75F47"/>
    <w:rsid w:val="00A7674C"/>
    <w:rsid w:val="00A769B6"/>
    <w:rsid w:val="00A8003C"/>
    <w:rsid w:val="00A80253"/>
    <w:rsid w:val="00A80399"/>
    <w:rsid w:val="00A80E94"/>
    <w:rsid w:val="00A80EA1"/>
    <w:rsid w:val="00A81CF3"/>
    <w:rsid w:val="00A81DC1"/>
    <w:rsid w:val="00A81ECA"/>
    <w:rsid w:val="00A83044"/>
    <w:rsid w:val="00A83F85"/>
    <w:rsid w:val="00A8455C"/>
    <w:rsid w:val="00A849FF"/>
    <w:rsid w:val="00A84A69"/>
    <w:rsid w:val="00A85242"/>
    <w:rsid w:val="00A8609C"/>
    <w:rsid w:val="00A86A72"/>
    <w:rsid w:val="00A86B48"/>
    <w:rsid w:val="00A86EC7"/>
    <w:rsid w:val="00A871DA"/>
    <w:rsid w:val="00A87836"/>
    <w:rsid w:val="00A87ACC"/>
    <w:rsid w:val="00A87F0A"/>
    <w:rsid w:val="00A912D6"/>
    <w:rsid w:val="00A913A6"/>
    <w:rsid w:val="00A914AE"/>
    <w:rsid w:val="00A91A35"/>
    <w:rsid w:val="00A91B75"/>
    <w:rsid w:val="00A91C45"/>
    <w:rsid w:val="00A92188"/>
    <w:rsid w:val="00A927EE"/>
    <w:rsid w:val="00A9284A"/>
    <w:rsid w:val="00A932E5"/>
    <w:rsid w:val="00A94124"/>
    <w:rsid w:val="00A94C2D"/>
    <w:rsid w:val="00A9510D"/>
    <w:rsid w:val="00A95970"/>
    <w:rsid w:val="00A960E9"/>
    <w:rsid w:val="00A966B0"/>
    <w:rsid w:val="00AA0C3C"/>
    <w:rsid w:val="00AA1686"/>
    <w:rsid w:val="00AA1B20"/>
    <w:rsid w:val="00AA21EF"/>
    <w:rsid w:val="00AA2B25"/>
    <w:rsid w:val="00AA2B72"/>
    <w:rsid w:val="00AA2EEB"/>
    <w:rsid w:val="00AA303E"/>
    <w:rsid w:val="00AA3078"/>
    <w:rsid w:val="00AA32AC"/>
    <w:rsid w:val="00AA33C6"/>
    <w:rsid w:val="00AA4315"/>
    <w:rsid w:val="00AA45B8"/>
    <w:rsid w:val="00AA47B6"/>
    <w:rsid w:val="00AA4C17"/>
    <w:rsid w:val="00AA4D6B"/>
    <w:rsid w:val="00AA5719"/>
    <w:rsid w:val="00AA590A"/>
    <w:rsid w:val="00AA5C3B"/>
    <w:rsid w:val="00AA5CFE"/>
    <w:rsid w:val="00AA6221"/>
    <w:rsid w:val="00AA751D"/>
    <w:rsid w:val="00AB0231"/>
    <w:rsid w:val="00AB028B"/>
    <w:rsid w:val="00AB0DE4"/>
    <w:rsid w:val="00AB0FF0"/>
    <w:rsid w:val="00AB1374"/>
    <w:rsid w:val="00AB13BA"/>
    <w:rsid w:val="00AB1773"/>
    <w:rsid w:val="00AB28AC"/>
    <w:rsid w:val="00AB2AB2"/>
    <w:rsid w:val="00AB348D"/>
    <w:rsid w:val="00AB3A97"/>
    <w:rsid w:val="00AB3F73"/>
    <w:rsid w:val="00AB42A8"/>
    <w:rsid w:val="00AB446E"/>
    <w:rsid w:val="00AB4A14"/>
    <w:rsid w:val="00AB5AFB"/>
    <w:rsid w:val="00AB5DF7"/>
    <w:rsid w:val="00AB65FF"/>
    <w:rsid w:val="00AB67B9"/>
    <w:rsid w:val="00AB68F9"/>
    <w:rsid w:val="00AB728A"/>
    <w:rsid w:val="00AB7806"/>
    <w:rsid w:val="00AB796E"/>
    <w:rsid w:val="00AC016D"/>
    <w:rsid w:val="00AC02B1"/>
    <w:rsid w:val="00AC02FC"/>
    <w:rsid w:val="00AC032E"/>
    <w:rsid w:val="00AC04A6"/>
    <w:rsid w:val="00AC125C"/>
    <w:rsid w:val="00AC1302"/>
    <w:rsid w:val="00AC168F"/>
    <w:rsid w:val="00AC1A86"/>
    <w:rsid w:val="00AC201F"/>
    <w:rsid w:val="00AC2251"/>
    <w:rsid w:val="00AC2AAB"/>
    <w:rsid w:val="00AC2E87"/>
    <w:rsid w:val="00AC3429"/>
    <w:rsid w:val="00AC3820"/>
    <w:rsid w:val="00AC4F52"/>
    <w:rsid w:val="00AC56F9"/>
    <w:rsid w:val="00AC5A3F"/>
    <w:rsid w:val="00AC5C78"/>
    <w:rsid w:val="00AC629C"/>
    <w:rsid w:val="00AC6341"/>
    <w:rsid w:val="00AC63A7"/>
    <w:rsid w:val="00AC6C34"/>
    <w:rsid w:val="00AC7115"/>
    <w:rsid w:val="00AC7D85"/>
    <w:rsid w:val="00AD144F"/>
    <w:rsid w:val="00AD1BE9"/>
    <w:rsid w:val="00AD1C93"/>
    <w:rsid w:val="00AD264F"/>
    <w:rsid w:val="00AD3C08"/>
    <w:rsid w:val="00AD3DFB"/>
    <w:rsid w:val="00AD4118"/>
    <w:rsid w:val="00AD5681"/>
    <w:rsid w:val="00AD5DC4"/>
    <w:rsid w:val="00AD6920"/>
    <w:rsid w:val="00AD736C"/>
    <w:rsid w:val="00AD7463"/>
    <w:rsid w:val="00AD7703"/>
    <w:rsid w:val="00AE05C4"/>
    <w:rsid w:val="00AE0ED1"/>
    <w:rsid w:val="00AE118B"/>
    <w:rsid w:val="00AE12CF"/>
    <w:rsid w:val="00AE19F9"/>
    <w:rsid w:val="00AE1C9A"/>
    <w:rsid w:val="00AE24C5"/>
    <w:rsid w:val="00AE2599"/>
    <w:rsid w:val="00AE2F7E"/>
    <w:rsid w:val="00AE2FE6"/>
    <w:rsid w:val="00AE3DBF"/>
    <w:rsid w:val="00AE4417"/>
    <w:rsid w:val="00AE4E04"/>
    <w:rsid w:val="00AE59D4"/>
    <w:rsid w:val="00AE60B0"/>
    <w:rsid w:val="00AE6C69"/>
    <w:rsid w:val="00AE73A5"/>
    <w:rsid w:val="00AE7AF2"/>
    <w:rsid w:val="00AF0331"/>
    <w:rsid w:val="00AF0B07"/>
    <w:rsid w:val="00AF0CCC"/>
    <w:rsid w:val="00AF0F9A"/>
    <w:rsid w:val="00AF139B"/>
    <w:rsid w:val="00AF17A2"/>
    <w:rsid w:val="00AF2E57"/>
    <w:rsid w:val="00AF33E5"/>
    <w:rsid w:val="00AF3BF5"/>
    <w:rsid w:val="00AF6E01"/>
    <w:rsid w:val="00AF76D5"/>
    <w:rsid w:val="00AF7AE8"/>
    <w:rsid w:val="00AF7CA2"/>
    <w:rsid w:val="00B00BF1"/>
    <w:rsid w:val="00B01034"/>
    <w:rsid w:val="00B0125E"/>
    <w:rsid w:val="00B01BA1"/>
    <w:rsid w:val="00B0205D"/>
    <w:rsid w:val="00B02D6F"/>
    <w:rsid w:val="00B0300F"/>
    <w:rsid w:val="00B03272"/>
    <w:rsid w:val="00B036A7"/>
    <w:rsid w:val="00B04080"/>
    <w:rsid w:val="00B04465"/>
    <w:rsid w:val="00B044F1"/>
    <w:rsid w:val="00B0479C"/>
    <w:rsid w:val="00B04E51"/>
    <w:rsid w:val="00B0559E"/>
    <w:rsid w:val="00B05CAE"/>
    <w:rsid w:val="00B06388"/>
    <w:rsid w:val="00B067B5"/>
    <w:rsid w:val="00B06C40"/>
    <w:rsid w:val="00B06D65"/>
    <w:rsid w:val="00B06D96"/>
    <w:rsid w:val="00B07473"/>
    <w:rsid w:val="00B07567"/>
    <w:rsid w:val="00B077CA"/>
    <w:rsid w:val="00B07BBC"/>
    <w:rsid w:val="00B107DA"/>
    <w:rsid w:val="00B11804"/>
    <w:rsid w:val="00B11BDE"/>
    <w:rsid w:val="00B122D5"/>
    <w:rsid w:val="00B1294B"/>
    <w:rsid w:val="00B12BAD"/>
    <w:rsid w:val="00B13282"/>
    <w:rsid w:val="00B13868"/>
    <w:rsid w:val="00B138B3"/>
    <w:rsid w:val="00B14381"/>
    <w:rsid w:val="00B147D1"/>
    <w:rsid w:val="00B15662"/>
    <w:rsid w:val="00B15AAB"/>
    <w:rsid w:val="00B161CE"/>
    <w:rsid w:val="00B1758E"/>
    <w:rsid w:val="00B177A5"/>
    <w:rsid w:val="00B221B0"/>
    <w:rsid w:val="00B22819"/>
    <w:rsid w:val="00B237B6"/>
    <w:rsid w:val="00B23E41"/>
    <w:rsid w:val="00B2427A"/>
    <w:rsid w:val="00B244B4"/>
    <w:rsid w:val="00B24B29"/>
    <w:rsid w:val="00B25DBA"/>
    <w:rsid w:val="00B26426"/>
    <w:rsid w:val="00B2731E"/>
    <w:rsid w:val="00B27711"/>
    <w:rsid w:val="00B3008A"/>
    <w:rsid w:val="00B31BA1"/>
    <w:rsid w:val="00B31EAB"/>
    <w:rsid w:val="00B322F7"/>
    <w:rsid w:val="00B33F8D"/>
    <w:rsid w:val="00B34366"/>
    <w:rsid w:val="00B34409"/>
    <w:rsid w:val="00B34DF9"/>
    <w:rsid w:val="00B35368"/>
    <w:rsid w:val="00B355E5"/>
    <w:rsid w:val="00B356AF"/>
    <w:rsid w:val="00B3647A"/>
    <w:rsid w:val="00B36BF1"/>
    <w:rsid w:val="00B36FA5"/>
    <w:rsid w:val="00B40057"/>
    <w:rsid w:val="00B427A0"/>
    <w:rsid w:val="00B428A3"/>
    <w:rsid w:val="00B42AC2"/>
    <w:rsid w:val="00B42B1B"/>
    <w:rsid w:val="00B42DAA"/>
    <w:rsid w:val="00B43038"/>
    <w:rsid w:val="00B43337"/>
    <w:rsid w:val="00B4437C"/>
    <w:rsid w:val="00B448F8"/>
    <w:rsid w:val="00B44A80"/>
    <w:rsid w:val="00B45320"/>
    <w:rsid w:val="00B453CF"/>
    <w:rsid w:val="00B459BE"/>
    <w:rsid w:val="00B45FC6"/>
    <w:rsid w:val="00B4684C"/>
    <w:rsid w:val="00B46F86"/>
    <w:rsid w:val="00B470C4"/>
    <w:rsid w:val="00B477DA"/>
    <w:rsid w:val="00B47C2D"/>
    <w:rsid w:val="00B50740"/>
    <w:rsid w:val="00B50D1F"/>
    <w:rsid w:val="00B51264"/>
    <w:rsid w:val="00B513C7"/>
    <w:rsid w:val="00B51D8A"/>
    <w:rsid w:val="00B53821"/>
    <w:rsid w:val="00B53B1A"/>
    <w:rsid w:val="00B53BD4"/>
    <w:rsid w:val="00B5421C"/>
    <w:rsid w:val="00B548DC"/>
    <w:rsid w:val="00B54CC5"/>
    <w:rsid w:val="00B5518F"/>
    <w:rsid w:val="00B55A60"/>
    <w:rsid w:val="00B55C17"/>
    <w:rsid w:val="00B560F3"/>
    <w:rsid w:val="00B568DD"/>
    <w:rsid w:val="00B57B80"/>
    <w:rsid w:val="00B602F9"/>
    <w:rsid w:val="00B60AC7"/>
    <w:rsid w:val="00B60B03"/>
    <w:rsid w:val="00B60E02"/>
    <w:rsid w:val="00B61DE2"/>
    <w:rsid w:val="00B6322E"/>
    <w:rsid w:val="00B63665"/>
    <w:rsid w:val="00B6385E"/>
    <w:rsid w:val="00B638DF"/>
    <w:rsid w:val="00B6396B"/>
    <w:rsid w:val="00B63E65"/>
    <w:rsid w:val="00B64E9B"/>
    <w:rsid w:val="00B6507E"/>
    <w:rsid w:val="00B656F9"/>
    <w:rsid w:val="00B65B62"/>
    <w:rsid w:val="00B65CCD"/>
    <w:rsid w:val="00B6605D"/>
    <w:rsid w:val="00B66DC3"/>
    <w:rsid w:val="00B66EBA"/>
    <w:rsid w:val="00B67F79"/>
    <w:rsid w:val="00B71C0C"/>
    <w:rsid w:val="00B720BB"/>
    <w:rsid w:val="00B720F1"/>
    <w:rsid w:val="00B7211C"/>
    <w:rsid w:val="00B72E5B"/>
    <w:rsid w:val="00B74563"/>
    <w:rsid w:val="00B76291"/>
    <w:rsid w:val="00B777E5"/>
    <w:rsid w:val="00B77E64"/>
    <w:rsid w:val="00B809B5"/>
    <w:rsid w:val="00B80CAB"/>
    <w:rsid w:val="00B816D9"/>
    <w:rsid w:val="00B82DCE"/>
    <w:rsid w:val="00B83570"/>
    <w:rsid w:val="00B83594"/>
    <w:rsid w:val="00B8448E"/>
    <w:rsid w:val="00B84538"/>
    <w:rsid w:val="00B85C77"/>
    <w:rsid w:val="00B864C3"/>
    <w:rsid w:val="00B903E8"/>
    <w:rsid w:val="00B90963"/>
    <w:rsid w:val="00B9141B"/>
    <w:rsid w:val="00B92023"/>
    <w:rsid w:val="00B92704"/>
    <w:rsid w:val="00B92784"/>
    <w:rsid w:val="00B9283A"/>
    <w:rsid w:val="00B92895"/>
    <w:rsid w:val="00B93137"/>
    <w:rsid w:val="00B9338C"/>
    <w:rsid w:val="00B95068"/>
    <w:rsid w:val="00B95078"/>
    <w:rsid w:val="00B965A3"/>
    <w:rsid w:val="00B96AAA"/>
    <w:rsid w:val="00B97132"/>
    <w:rsid w:val="00B97B74"/>
    <w:rsid w:val="00BA013D"/>
    <w:rsid w:val="00BA05A6"/>
    <w:rsid w:val="00BA070D"/>
    <w:rsid w:val="00BA0DB9"/>
    <w:rsid w:val="00BA1564"/>
    <w:rsid w:val="00BA1AA1"/>
    <w:rsid w:val="00BA1D02"/>
    <w:rsid w:val="00BA4D4C"/>
    <w:rsid w:val="00BA53FF"/>
    <w:rsid w:val="00BA5849"/>
    <w:rsid w:val="00BA5AA2"/>
    <w:rsid w:val="00BA5C82"/>
    <w:rsid w:val="00BA5D34"/>
    <w:rsid w:val="00BA5E90"/>
    <w:rsid w:val="00BA6794"/>
    <w:rsid w:val="00BA6B0F"/>
    <w:rsid w:val="00BA76A3"/>
    <w:rsid w:val="00BA7798"/>
    <w:rsid w:val="00BA7C27"/>
    <w:rsid w:val="00BA7F9C"/>
    <w:rsid w:val="00BB028A"/>
    <w:rsid w:val="00BB02F6"/>
    <w:rsid w:val="00BB2BB1"/>
    <w:rsid w:val="00BB371B"/>
    <w:rsid w:val="00BB3AAC"/>
    <w:rsid w:val="00BB3CA8"/>
    <w:rsid w:val="00BB4FBB"/>
    <w:rsid w:val="00BB65DB"/>
    <w:rsid w:val="00BB6AEC"/>
    <w:rsid w:val="00BB731F"/>
    <w:rsid w:val="00BB7C07"/>
    <w:rsid w:val="00BC0779"/>
    <w:rsid w:val="00BC19A7"/>
    <w:rsid w:val="00BC1B05"/>
    <w:rsid w:val="00BC1B93"/>
    <w:rsid w:val="00BC1F71"/>
    <w:rsid w:val="00BC2494"/>
    <w:rsid w:val="00BC2E39"/>
    <w:rsid w:val="00BC3C0E"/>
    <w:rsid w:val="00BC3E65"/>
    <w:rsid w:val="00BC4672"/>
    <w:rsid w:val="00BC49AD"/>
    <w:rsid w:val="00BC5821"/>
    <w:rsid w:val="00BC621F"/>
    <w:rsid w:val="00BC7238"/>
    <w:rsid w:val="00BC771F"/>
    <w:rsid w:val="00BC7915"/>
    <w:rsid w:val="00BC7A88"/>
    <w:rsid w:val="00BC7E36"/>
    <w:rsid w:val="00BD009D"/>
    <w:rsid w:val="00BD0637"/>
    <w:rsid w:val="00BD213C"/>
    <w:rsid w:val="00BD2E77"/>
    <w:rsid w:val="00BD3236"/>
    <w:rsid w:val="00BD350E"/>
    <w:rsid w:val="00BD3579"/>
    <w:rsid w:val="00BD39B1"/>
    <w:rsid w:val="00BD3A55"/>
    <w:rsid w:val="00BD41B3"/>
    <w:rsid w:val="00BD41DA"/>
    <w:rsid w:val="00BD4B7D"/>
    <w:rsid w:val="00BD507D"/>
    <w:rsid w:val="00BD520F"/>
    <w:rsid w:val="00BD5606"/>
    <w:rsid w:val="00BD5AFC"/>
    <w:rsid w:val="00BD5B7F"/>
    <w:rsid w:val="00BD5DBA"/>
    <w:rsid w:val="00BD6A9B"/>
    <w:rsid w:val="00BD70AE"/>
    <w:rsid w:val="00BE0CE3"/>
    <w:rsid w:val="00BE0F2B"/>
    <w:rsid w:val="00BE154A"/>
    <w:rsid w:val="00BE1B4C"/>
    <w:rsid w:val="00BE1CE2"/>
    <w:rsid w:val="00BE22CB"/>
    <w:rsid w:val="00BE2FDD"/>
    <w:rsid w:val="00BE3064"/>
    <w:rsid w:val="00BE4D8B"/>
    <w:rsid w:val="00BE5ABF"/>
    <w:rsid w:val="00BE64BA"/>
    <w:rsid w:val="00BE64CF"/>
    <w:rsid w:val="00BE6619"/>
    <w:rsid w:val="00BE6E3A"/>
    <w:rsid w:val="00BF1969"/>
    <w:rsid w:val="00BF220B"/>
    <w:rsid w:val="00BF290B"/>
    <w:rsid w:val="00BF3129"/>
    <w:rsid w:val="00BF3B8A"/>
    <w:rsid w:val="00BF3C65"/>
    <w:rsid w:val="00BF4ADD"/>
    <w:rsid w:val="00BF5BCB"/>
    <w:rsid w:val="00BF5F87"/>
    <w:rsid w:val="00BF6068"/>
    <w:rsid w:val="00BF67C9"/>
    <w:rsid w:val="00BF73FD"/>
    <w:rsid w:val="00BF7BFF"/>
    <w:rsid w:val="00BF7CBA"/>
    <w:rsid w:val="00C00A71"/>
    <w:rsid w:val="00C01814"/>
    <w:rsid w:val="00C01929"/>
    <w:rsid w:val="00C0260F"/>
    <w:rsid w:val="00C02CDC"/>
    <w:rsid w:val="00C02EBE"/>
    <w:rsid w:val="00C02FF4"/>
    <w:rsid w:val="00C033BF"/>
    <w:rsid w:val="00C034CD"/>
    <w:rsid w:val="00C044F1"/>
    <w:rsid w:val="00C047F7"/>
    <w:rsid w:val="00C07029"/>
    <w:rsid w:val="00C10762"/>
    <w:rsid w:val="00C11C9C"/>
    <w:rsid w:val="00C11F39"/>
    <w:rsid w:val="00C1287B"/>
    <w:rsid w:val="00C12CBD"/>
    <w:rsid w:val="00C135C5"/>
    <w:rsid w:val="00C136B0"/>
    <w:rsid w:val="00C1385E"/>
    <w:rsid w:val="00C142D0"/>
    <w:rsid w:val="00C14A30"/>
    <w:rsid w:val="00C151F5"/>
    <w:rsid w:val="00C1566A"/>
    <w:rsid w:val="00C1580C"/>
    <w:rsid w:val="00C15C23"/>
    <w:rsid w:val="00C15CE2"/>
    <w:rsid w:val="00C15F52"/>
    <w:rsid w:val="00C1641D"/>
    <w:rsid w:val="00C17A5C"/>
    <w:rsid w:val="00C17B94"/>
    <w:rsid w:val="00C17D45"/>
    <w:rsid w:val="00C2034C"/>
    <w:rsid w:val="00C205CF"/>
    <w:rsid w:val="00C20E9B"/>
    <w:rsid w:val="00C20E9D"/>
    <w:rsid w:val="00C21621"/>
    <w:rsid w:val="00C21D25"/>
    <w:rsid w:val="00C22313"/>
    <w:rsid w:val="00C2260F"/>
    <w:rsid w:val="00C22ECB"/>
    <w:rsid w:val="00C22F9C"/>
    <w:rsid w:val="00C23E45"/>
    <w:rsid w:val="00C24211"/>
    <w:rsid w:val="00C264E1"/>
    <w:rsid w:val="00C26BE2"/>
    <w:rsid w:val="00C278E3"/>
    <w:rsid w:val="00C30680"/>
    <w:rsid w:val="00C3104D"/>
    <w:rsid w:val="00C3167C"/>
    <w:rsid w:val="00C31BC6"/>
    <w:rsid w:val="00C31E47"/>
    <w:rsid w:val="00C33908"/>
    <w:rsid w:val="00C33DAD"/>
    <w:rsid w:val="00C33E19"/>
    <w:rsid w:val="00C34F71"/>
    <w:rsid w:val="00C3593C"/>
    <w:rsid w:val="00C36698"/>
    <w:rsid w:val="00C36CC5"/>
    <w:rsid w:val="00C36CC8"/>
    <w:rsid w:val="00C36DBC"/>
    <w:rsid w:val="00C36FA1"/>
    <w:rsid w:val="00C37B1D"/>
    <w:rsid w:val="00C400AC"/>
    <w:rsid w:val="00C410FA"/>
    <w:rsid w:val="00C42F76"/>
    <w:rsid w:val="00C430A5"/>
    <w:rsid w:val="00C431DA"/>
    <w:rsid w:val="00C4322E"/>
    <w:rsid w:val="00C43429"/>
    <w:rsid w:val="00C43C47"/>
    <w:rsid w:val="00C43C6B"/>
    <w:rsid w:val="00C4566C"/>
    <w:rsid w:val="00C45749"/>
    <w:rsid w:val="00C4587E"/>
    <w:rsid w:val="00C4652F"/>
    <w:rsid w:val="00C4759E"/>
    <w:rsid w:val="00C47A06"/>
    <w:rsid w:val="00C50EA2"/>
    <w:rsid w:val="00C50FF4"/>
    <w:rsid w:val="00C51694"/>
    <w:rsid w:val="00C51790"/>
    <w:rsid w:val="00C533C5"/>
    <w:rsid w:val="00C54613"/>
    <w:rsid w:val="00C54B37"/>
    <w:rsid w:val="00C54F32"/>
    <w:rsid w:val="00C5504A"/>
    <w:rsid w:val="00C55306"/>
    <w:rsid w:val="00C5577C"/>
    <w:rsid w:val="00C5580F"/>
    <w:rsid w:val="00C55AA0"/>
    <w:rsid w:val="00C55D03"/>
    <w:rsid w:val="00C56256"/>
    <w:rsid w:val="00C5643C"/>
    <w:rsid w:val="00C566DA"/>
    <w:rsid w:val="00C56EB1"/>
    <w:rsid w:val="00C5754E"/>
    <w:rsid w:val="00C60950"/>
    <w:rsid w:val="00C60EDF"/>
    <w:rsid w:val="00C6237F"/>
    <w:rsid w:val="00C62BB4"/>
    <w:rsid w:val="00C63E18"/>
    <w:rsid w:val="00C6410A"/>
    <w:rsid w:val="00C6432A"/>
    <w:rsid w:val="00C644B0"/>
    <w:rsid w:val="00C65E3B"/>
    <w:rsid w:val="00C67413"/>
    <w:rsid w:val="00C67626"/>
    <w:rsid w:val="00C67728"/>
    <w:rsid w:val="00C67801"/>
    <w:rsid w:val="00C67B7F"/>
    <w:rsid w:val="00C7049F"/>
    <w:rsid w:val="00C704DA"/>
    <w:rsid w:val="00C712B8"/>
    <w:rsid w:val="00C72103"/>
    <w:rsid w:val="00C72538"/>
    <w:rsid w:val="00C737D9"/>
    <w:rsid w:val="00C73BEA"/>
    <w:rsid w:val="00C7477D"/>
    <w:rsid w:val="00C7574D"/>
    <w:rsid w:val="00C76016"/>
    <w:rsid w:val="00C760A3"/>
    <w:rsid w:val="00C76C79"/>
    <w:rsid w:val="00C76DFB"/>
    <w:rsid w:val="00C76E22"/>
    <w:rsid w:val="00C7721E"/>
    <w:rsid w:val="00C77929"/>
    <w:rsid w:val="00C77E71"/>
    <w:rsid w:val="00C8005D"/>
    <w:rsid w:val="00C80737"/>
    <w:rsid w:val="00C80EB9"/>
    <w:rsid w:val="00C81088"/>
    <w:rsid w:val="00C810A3"/>
    <w:rsid w:val="00C818E3"/>
    <w:rsid w:val="00C81B12"/>
    <w:rsid w:val="00C820CB"/>
    <w:rsid w:val="00C820E9"/>
    <w:rsid w:val="00C82614"/>
    <w:rsid w:val="00C83004"/>
    <w:rsid w:val="00C83926"/>
    <w:rsid w:val="00C83977"/>
    <w:rsid w:val="00C83B88"/>
    <w:rsid w:val="00C83CE0"/>
    <w:rsid w:val="00C843B8"/>
    <w:rsid w:val="00C85686"/>
    <w:rsid w:val="00C86393"/>
    <w:rsid w:val="00C864E8"/>
    <w:rsid w:val="00C86680"/>
    <w:rsid w:val="00C86BD5"/>
    <w:rsid w:val="00C908A5"/>
    <w:rsid w:val="00C90E44"/>
    <w:rsid w:val="00C91182"/>
    <w:rsid w:val="00C91671"/>
    <w:rsid w:val="00C92536"/>
    <w:rsid w:val="00C935C2"/>
    <w:rsid w:val="00C9446F"/>
    <w:rsid w:val="00C946DB"/>
    <w:rsid w:val="00C9497E"/>
    <w:rsid w:val="00C94CF6"/>
    <w:rsid w:val="00C94E8F"/>
    <w:rsid w:val="00C9576F"/>
    <w:rsid w:val="00C95EF5"/>
    <w:rsid w:val="00C960E8"/>
    <w:rsid w:val="00CA0A1E"/>
    <w:rsid w:val="00CA0FE5"/>
    <w:rsid w:val="00CA12E0"/>
    <w:rsid w:val="00CA161E"/>
    <w:rsid w:val="00CA1668"/>
    <w:rsid w:val="00CA312C"/>
    <w:rsid w:val="00CA3162"/>
    <w:rsid w:val="00CA36BE"/>
    <w:rsid w:val="00CA4012"/>
    <w:rsid w:val="00CA42EF"/>
    <w:rsid w:val="00CA45EE"/>
    <w:rsid w:val="00CA52B8"/>
    <w:rsid w:val="00CA6129"/>
    <w:rsid w:val="00CA650E"/>
    <w:rsid w:val="00CA6A40"/>
    <w:rsid w:val="00CA6FCF"/>
    <w:rsid w:val="00CA7850"/>
    <w:rsid w:val="00CB19BF"/>
    <w:rsid w:val="00CB1EC7"/>
    <w:rsid w:val="00CB3D60"/>
    <w:rsid w:val="00CB435C"/>
    <w:rsid w:val="00CB5269"/>
    <w:rsid w:val="00CB5271"/>
    <w:rsid w:val="00CB5A70"/>
    <w:rsid w:val="00CB5C6B"/>
    <w:rsid w:val="00CB6516"/>
    <w:rsid w:val="00CB7569"/>
    <w:rsid w:val="00CB7EDC"/>
    <w:rsid w:val="00CC1878"/>
    <w:rsid w:val="00CC1F5B"/>
    <w:rsid w:val="00CC2902"/>
    <w:rsid w:val="00CC2CB1"/>
    <w:rsid w:val="00CC3461"/>
    <w:rsid w:val="00CC404D"/>
    <w:rsid w:val="00CC4366"/>
    <w:rsid w:val="00CC569C"/>
    <w:rsid w:val="00CC5EBB"/>
    <w:rsid w:val="00CC5EBE"/>
    <w:rsid w:val="00CC697B"/>
    <w:rsid w:val="00CC70D0"/>
    <w:rsid w:val="00CC74B0"/>
    <w:rsid w:val="00CD08E6"/>
    <w:rsid w:val="00CD0993"/>
    <w:rsid w:val="00CD1C6F"/>
    <w:rsid w:val="00CD1CC5"/>
    <w:rsid w:val="00CD1D67"/>
    <w:rsid w:val="00CD2011"/>
    <w:rsid w:val="00CD233E"/>
    <w:rsid w:val="00CD23F7"/>
    <w:rsid w:val="00CD330C"/>
    <w:rsid w:val="00CD37D7"/>
    <w:rsid w:val="00CD3B92"/>
    <w:rsid w:val="00CD46E9"/>
    <w:rsid w:val="00CD622B"/>
    <w:rsid w:val="00CD6EAC"/>
    <w:rsid w:val="00CD7331"/>
    <w:rsid w:val="00CD77B5"/>
    <w:rsid w:val="00CD7FFB"/>
    <w:rsid w:val="00CE1538"/>
    <w:rsid w:val="00CE16D6"/>
    <w:rsid w:val="00CE1792"/>
    <w:rsid w:val="00CE1D53"/>
    <w:rsid w:val="00CE1DFD"/>
    <w:rsid w:val="00CE24C1"/>
    <w:rsid w:val="00CE2A7C"/>
    <w:rsid w:val="00CE2B4D"/>
    <w:rsid w:val="00CE3470"/>
    <w:rsid w:val="00CE35B2"/>
    <w:rsid w:val="00CE3B52"/>
    <w:rsid w:val="00CE43B3"/>
    <w:rsid w:val="00CE48E2"/>
    <w:rsid w:val="00CE48E3"/>
    <w:rsid w:val="00CE6320"/>
    <w:rsid w:val="00CE6A45"/>
    <w:rsid w:val="00CE6C18"/>
    <w:rsid w:val="00CE7AFB"/>
    <w:rsid w:val="00CE7D51"/>
    <w:rsid w:val="00CF0236"/>
    <w:rsid w:val="00CF0DBC"/>
    <w:rsid w:val="00CF0FB1"/>
    <w:rsid w:val="00CF2152"/>
    <w:rsid w:val="00CF2824"/>
    <w:rsid w:val="00CF29DF"/>
    <w:rsid w:val="00CF3122"/>
    <w:rsid w:val="00CF3C3A"/>
    <w:rsid w:val="00CF3EFF"/>
    <w:rsid w:val="00CF44CE"/>
    <w:rsid w:val="00CF457F"/>
    <w:rsid w:val="00CF4634"/>
    <w:rsid w:val="00CF479C"/>
    <w:rsid w:val="00CF4C46"/>
    <w:rsid w:val="00CF641F"/>
    <w:rsid w:val="00CF6CFD"/>
    <w:rsid w:val="00CF778B"/>
    <w:rsid w:val="00D000EB"/>
    <w:rsid w:val="00D008F1"/>
    <w:rsid w:val="00D00B77"/>
    <w:rsid w:val="00D02492"/>
    <w:rsid w:val="00D02628"/>
    <w:rsid w:val="00D03206"/>
    <w:rsid w:val="00D03AB6"/>
    <w:rsid w:val="00D03C95"/>
    <w:rsid w:val="00D03D4B"/>
    <w:rsid w:val="00D03E81"/>
    <w:rsid w:val="00D0413E"/>
    <w:rsid w:val="00D042AA"/>
    <w:rsid w:val="00D04618"/>
    <w:rsid w:val="00D04DEB"/>
    <w:rsid w:val="00D05218"/>
    <w:rsid w:val="00D057B3"/>
    <w:rsid w:val="00D0600B"/>
    <w:rsid w:val="00D06AB1"/>
    <w:rsid w:val="00D06DDB"/>
    <w:rsid w:val="00D07160"/>
    <w:rsid w:val="00D0735F"/>
    <w:rsid w:val="00D07A10"/>
    <w:rsid w:val="00D10B9A"/>
    <w:rsid w:val="00D11361"/>
    <w:rsid w:val="00D117E4"/>
    <w:rsid w:val="00D11838"/>
    <w:rsid w:val="00D12208"/>
    <w:rsid w:val="00D123BC"/>
    <w:rsid w:val="00D126D0"/>
    <w:rsid w:val="00D13126"/>
    <w:rsid w:val="00D133A3"/>
    <w:rsid w:val="00D134DE"/>
    <w:rsid w:val="00D14721"/>
    <w:rsid w:val="00D1472F"/>
    <w:rsid w:val="00D14EC5"/>
    <w:rsid w:val="00D1618D"/>
    <w:rsid w:val="00D16804"/>
    <w:rsid w:val="00D1738A"/>
    <w:rsid w:val="00D174A4"/>
    <w:rsid w:val="00D2003E"/>
    <w:rsid w:val="00D20A5B"/>
    <w:rsid w:val="00D21779"/>
    <w:rsid w:val="00D238BC"/>
    <w:rsid w:val="00D239DF"/>
    <w:rsid w:val="00D245AC"/>
    <w:rsid w:val="00D24A27"/>
    <w:rsid w:val="00D25D61"/>
    <w:rsid w:val="00D265D8"/>
    <w:rsid w:val="00D26F01"/>
    <w:rsid w:val="00D270B7"/>
    <w:rsid w:val="00D27194"/>
    <w:rsid w:val="00D30467"/>
    <w:rsid w:val="00D3186E"/>
    <w:rsid w:val="00D33051"/>
    <w:rsid w:val="00D33EAA"/>
    <w:rsid w:val="00D34063"/>
    <w:rsid w:val="00D34608"/>
    <w:rsid w:val="00D353FE"/>
    <w:rsid w:val="00D3584B"/>
    <w:rsid w:val="00D35A2B"/>
    <w:rsid w:val="00D35FDB"/>
    <w:rsid w:val="00D37181"/>
    <w:rsid w:val="00D37607"/>
    <w:rsid w:val="00D37D8F"/>
    <w:rsid w:val="00D40451"/>
    <w:rsid w:val="00D41F65"/>
    <w:rsid w:val="00D423AA"/>
    <w:rsid w:val="00D42553"/>
    <w:rsid w:val="00D4289C"/>
    <w:rsid w:val="00D429BB"/>
    <w:rsid w:val="00D43083"/>
    <w:rsid w:val="00D43AA8"/>
    <w:rsid w:val="00D43B73"/>
    <w:rsid w:val="00D44EB2"/>
    <w:rsid w:val="00D46DBC"/>
    <w:rsid w:val="00D47F73"/>
    <w:rsid w:val="00D506DF"/>
    <w:rsid w:val="00D506F0"/>
    <w:rsid w:val="00D5100A"/>
    <w:rsid w:val="00D51158"/>
    <w:rsid w:val="00D517D0"/>
    <w:rsid w:val="00D5216C"/>
    <w:rsid w:val="00D52231"/>
    <w:rsid w:val="00D522D5"/>
    <w:rsid w:val="00D52335"/>
    <w:rsid w:val="00D525A3"/>
    <w:rsid w:val="00D52803"/>
    <w:rsid w:val="00D531BB"/>
    <w:rsid w:val="00D532E1"/>
    <w:rsid w:val="00D53AB5"/>
    <w:rsid w:val="00D53B69"/>
    <w:rsid w:val="00D54E1B"/>
    <w:rsid w:val="00D5570A"/>
    <w:rsid w:val="00D55850"/>
    <w:rsid w:val="00D55DC5"/>
    <w:rsid w:val="00D56140"/>
    <w:rsid w:val="00D5646A"/>
    <w:rsid w:val="00D5655E"/>
    <w:rsid w:val="00D565B0"/>
    <w:rsid w:val="00D56994"/>
    <w:rsid w:val="00D569F3"/>
    <w:rsid w:val="00D56A1F"/>
    <w:rsid w:val="00D56CFB"/>
    <w:rsid w:val="00D57110"/>
    <w:rsid w:val="00D57B24"/>
    <w:rsid w:val="00D60012"/>
    <w:rsid w:val="00D6066F"/>
    <w:rsid w:val="00D60A10"/>
    <w:rsid w:val="00D60D1A"/>
    <w:rsid w:val="00D60D43"/>
    <w:rsid w:val="00D62270"/>
    <w:rsid w:val="00D62A89"/>
    <w:rsid w:val="00D630EF"/>
    <w:rsid w:val="00D63833"/>
    <w:rsid w:val="00D6392F"/>
    <w:rsid w:val="00D63F80"/>
    <w:rsid w:val="00D64844"/>
    <w:rsid w:val="00D64D4F"/>
    <w:rsid w:val="00D64D80"/>
    <w:rsid w:val="00D64EFE"/>
    <w:rsid w:val="00D6503E"/>
    <w:rsid w:val="00D65447"/>
    <w:rsid w:val="00D65784"/>
    <w:rsid w:val="00D66440"/>
    <w:rsid w:val="00D665CD"/>
    <w:rsid w:val="00D6669B"/>
    <w:rsid w:val="00D7061B"/>
    <w:rsid w:val="00D70B2B"/>
    <w:rsid w:val="00D7155E"/>
    <w:rsid w:val="00D72495"/>
    <w:rsid w:val="00D72CAE"/>
    <w:rsid w:val="00D731CA"/>
    <w:rsid w:val="00D737F6"/>
    <w:rsid w:val="00D73C72"/>
    <w:rsid w:val="00D7505B"/>
    <w:rsid w:val="00D75E91"/>
    <w:rsid w:val="00D7602B"/>
    <w:rsid w:val="00D7605E"/>
    <w:rsid w:val="00D766F9"/>
    <w:rsid w:val="00D76C5D"/>
    <w:rsid w:val="00D773BE"/>
    <w:rsid w:val="00D80993"/>
    <w:rsid w:val="00D80CE0"/>
    <w:rsid w:val="00D81D3B"/>
    <w:rsid w:val="00D836ED"/>
    <w:rsid w:val="00D8401A"/>
    <w:rsid w:val="00D84762"/>
    <w:rsid w:val="00D84D30"/>
    <w:rsid w:val="00D85675"/>
    <w:rsid w:val="00D861DF"/>
    <w:rsid w:val="00D863D4"/>
    <w:rsid w:val="00D86A0A"/>
    <w:rsid w:val="00D873DB"/>
    <w:rsid w:val="00D8763F"/>
    <w:rsid w:val="00D87AD8"/>
    <w:rsid w:val="00D9051B"/>
    <w:rsid w:val="00D90EB7"/>
    <w:rsid w:val="00D90FD7"/>
    <w:rsid w:val="00D91501"/>
    <w:rsid w:val="00D917ED"/>
    <w:rsid w:val="00D922E1"/>
    <w:rsid w:val="00D9253E"/>
    <w:rsid w:val="00D9255D"/>
    <w:rsid w:val="00D92825"/>
    <w:rsid w:val="00D930C6"/>
    <w:rsid w:val="00D933D5"/>
    <w:rsid w:val="00D93A88"/>
    <w:rsid w:val="00D93AB1"/>
    <w:rsid w:val="00D94191"/>
    <w:rsid w:val="00D948A3"/>
    <w:rsid w:val="00D94FF8"/>
    <w:rsid w:val="00D95A37"/>
    <w:rsid w:val="00D96A07"/>
    <w:rsid w:val="00DA0AA3"/>
    <w:rsid w:val="00DA0D67"/>
    <w:rsid w:val="00DA1BC2"/>
    <w:rsid w:val="00DA1CA2"/>
    <w:rsid w:val="00DA3854"/>
    <w:rsid w:val="00DA3E3A"/>
    <w:rsid w:val="00DA3E51"/>
    <w:rsid w:val="00DA3EDB"/>
    <w:rsid w:val="00DA4380"/>
    <w:rsid w:val="00DA4F1E"/>
    <w:rsid w:val="00DA5318"/>
    <w:rsid w:val="00DA5485"/>
    <w:rsid w:val="00DA7661"/>
    <w:rsid w:val="00DA7BEE"/>
    <w:rsid w:val="00DB0416"/>
    <w:rsid w:val="00DB140E"/>
    <w:rsid w:val="00DB204C"/>
    <w:rsid w:val="00DB22BA"/>
    <w:rsid w:val="00DB25AA"/>
    <w:rsid w:val="00DB3744"/>
    <w:rsid w:val="00DB42F5"/>
    <w:rsid w:val="00DB437B"/>
    <w:rsid w:val="00DB49F5"/>
    <w:rsid w:val="00DB6B21"/>
    <w:rsid w:val="00DB740C"/>
    <w:rsid w:val="00DB797B"/>
    <w:rsid w:val="00DB7A68"/>
    <w:rsid w:val="00DC019D"/>
    <w:rsid w:val="00DC0C04"/>
    <w:rsid w:val="00DC0C3E"/>
    <w:rsid w:val="00DC0CE3"/>
    <w:rsid w:val="00DC17BB"/>
    <w:rsid w:val="00DC2212"/>
    <w:rsid w:val="00DC27B1"/>
    <w:rsid w:val="00DC2ACE"/>
    <w:rsid w:val="00DC2C37"/>
    <w:rsid w:val="00DC2FC6"/>
    <w:rsid w:val="00DC3DC6"/>
    <w:rsid w:val="00DC514F"/>
    <w:rsid w:val="00DC53FA"/>
    <w:rsid w:val="00DC5A71"/>
    <w:rsid w:val="00DC5D8F"/>
    <w:rsid w:val="00DC617F"/>
    <w:rsid w:val="00DC6B43"/>
    <w:rsid w:val="00DC6F8E"/>
    <w:rsid w:val="00DC703C"/>
    <w:rsid w:val="00DC719B"/>
    <w:rsid w:val="00DD0736"/>
    <w:rsid w:val="00DD1C86"/>
    <w:rsid w:val="00DD2334"/>
    <w:rsid w:val="00DD26E8"/>
    <w:rsid w:val="00DD2E74"/>
    <w:rsid w:val="00DD323F"/>
    <w:rsid w:val="00DD394A"/>
    <w:rsid w:val="00DD516C"/>
    <w:rsid w:val="00DD570B"/>
    <w:rsid w:val="00DD649F"/>
    <w:rsid w:val="00DD6784"/>
    <w:rsid w:val="00DD67E2"/>
    <w:rsid w:val="00DD6E6C"/>
    <w:rsid w:val="00DD750D"/>
    <w:rsid w:val="00DD77D7"/>
    <w:rsid w:val="00DD792E"/>
    <w:rsid w:val="00DD79CB"/>
    <w:rsid w:val="00DD79FF"/>
    <w:rsid w:val="00DE02F0"/>
    <w:rsid w:val="00DE0D8C"/>
    <w:rsid w:val="00DE4362"/>
    <w:rsid w:val="00DE47A0"/>
    <w:rsid w:val="00DE4B1D"/>
    <w:rsid w:val="00DE4FE2"/>
    <w:rsid w:val="00DE58A8"/>
    <w:rsid w:val="00DE5A80"/>
    <w:rsid w:val="00DE5F3B"/>
    <w:rsid w:val="00DE6C31"/>
    <w:rsid w:val="00DE6FC4"/>
    <w:rsid w:val="00DE7491"/>
    <w:rsid w:val="00DE7F4B"/>
    <w:rsid w:val="00DF011A"/>
    <w:rsid w:val="00DF198D"/>
    <w:rsid w:val="00DF2421"/>
    <w:rsid w:val="00DF2C76"/>
    <w:rsid w:val="00DF385B"/>
    <w:rsid w:val="00DF4486"/>
    <w:rsid w:val="00DF448E"/>
    <w:rsid w:val="00DF46C5"/>
    <w:rsid w:val="00DF48A3"/>
    <w:rsid w:val="00DF5859"/>
    <w:rsid w:val="00DF5B28"/>
    <w:rsid w:val="00DF5D8D"/>
    <w:rsid w:val="00DF60C5"/>
    <w:rsid w:val="00DF6165"/>
    <w:rsid w:val="00DF70F5"/>
    <w:rsid w:val="00DF77C3"/>
    <w:rsid w:val="00DF7A35"/>
    <w:rsid w:val="00E0024B"/>
    <w:rsid w:val="00E00C48"/>
    <w:rsid w:val="00E01019"/>
    <w:rsid w:val="00E01124"/>
    <w:rsid w:val="00E022D7"/>
    <w:rsid w:val="00E02B65"/>
    <w:rsid w:val="00E03394"/>
    <w:rsid w:val="00E033D6"/>
    <w:rsid w:val="00E035A9"/>
    <w:rsid w:val="00E0449E"/>
    <w:rsid w:val="00E04908"/>
    <w:rsid w:val="00E0577B"/>
    <w:rsid w:val="00E05863"/>
    <w:rsid w:val="00E0600E"/>
    <w:rsid w:val="00E06246"/>
    <w:rsid w:val="00E07946"/>
    <w:rsid w:val="00E07AFB"/>
    <w:rsid w:val="00E07D92"/>
    <w:rsid w:val="00E103CD"/>
    <w:rsid w:val="00E11665"/>
    <w:rsid w:val="00E12A1F"/>
    <w:rsid w:val="00E12CBA"/>
    <w:rsid w:val="00E13AC5"/>
    <w:rsid w:val="00E13DF3"/>
    <w:rsid w:val="00E14C39"/>
    <w:rsid w:val="00E14C63"/>
    <w:rsid w:val="00E157E1"/>
    <w:rsid w:val="00E15BFC"/>
    <w:rsid w:val="00E15C34"/>
    <w:rsid w:val="00E1605A"/>
    <w:rsid w:val="00E1618B"/>
    <w:rsid w:val="00E16272"/>
    <w:rsid w:val="00E16D88"/>
    <w:rsid w:val="00E17131"/>
    <w:rsid w:val="00E1769F"/>
    <w:rsid w:val="00E178CE"/>
    <w:rsid w:val="00E20202"/>
    <w:rsid w:val="00E204E5"/>
    <w:rsid w:val="00E20956"/>
    <w:rsid w:val="00E20FEA"/>
    <w:rsid w:val="00E2159F"/>
    <w:rsid w:val="00E216D3"/>
    <w:rsid w:val="00E22022"/>
    <w:rsid w:val="00E22AFD"/>
    <w:rsid w:val="00E22E40"/>
    <w:rsid w:val="00E22E56"/>
    <w:rsid w:val="00E2323E"/>
    <w:rsid w:val="00E240BD"/>
    <w:rsid w:val="00E242E4"/>
    <w:rsid w:val="00E24783"/>
    <w:rsid w:val="00E24949"/>
    <w:rsid w:val="00E25630"/>
    <w:rsid w:val="00E25AF3"/>
    <w:rsid w:val="00E2772F"/>
    <w:rsid w:val="00E30CAB"/>
    <w:rsid w:val="00E3100C"/>
    <w:rsid w:val="00E317B5"/>
    <w:rsid w:val="00E31995"/>
    <w:rsid w:val="00E31CBF"/>
    <w:rsid w:val="00E325D1"/>
    <w:rsid w:val="00E3285F"/>
    <w:rsid w:val="00E328ED"/>
    <w:rsid w:val="00E32B9F"/>
    <w:rsid w:val="00E334DD"/>
    <w:rsid w:val="00E33F19"/>
    <w:rsid w:val="00E34979"/>
    <w:rsid w:val="00E352A8"/>
    <w:rsid w:val="00E355E1"/>
    <w:rsid w:val="00E35693"/>
    <w:rsid w:val="00E358B5"/>
    <w:rsid w:val="00E36A7A"/>
    <w:rsid w:val="00E402DD"/>
    <w:rsid w:val="00E40DEE"/>
    <w:rsid w:val="00E41010"/>
    <w:rsid w:val="00E41822"/>
    <w:rsid w:val="00E418C2"/>
    <w:rsid w:val="00E419D4"/>
    <w:rsid w:val="00E41A36"/>
    <w:rsid w:val="00E41DFA"/>
    <w:rsid w:val="00E4405B"/>
    <w:rsid w:val="00E44EB4"/>
    <w:rsid w:val="00E45505"/>
    <w:rsid w:val="00E45D49"/>
    <w:rsid w:val="00E46AF6"/>
    <w:rsid w:val="00E46EA3"/>
    <w:rsid w:val="00E46EF2"/>
    <w:rsid w:val="00E46EF3"/>
    <w:rsid w:val="00E50009"/>
    <w:rsid w:val="00E50109"/>
    <w:rsid w:val="00E5027A"/>
    <w:rsid w:val="00E50D64"/>
    <w:rsid w:val="00E50DE9"/>
    <w:rsid w:val="00E5121D"/>
    <w:rsid w:val="00E524F5"/>
    <w:rsid w:val="00E52681"/>
    <w:rsid w:val="00E5306A"/>
    <w:rsid w:val="00E54725"/>
    <w:rsid w:val="00E54869"/>
    <w:rsid w:val="00E5494F"/>
    <w:rsid w:val="00E55015"/>
    <w:rsid w:val="00E552E0"/>
    <w:rsid w:val="00E56332"/>
    <w:rsid w:val="00E56467"/>
    <w:rsid w:val="00E567AC"/>
    <w:rsid w:val="00E57688"/>
    <w:rsid w:val="00E578FF"/>
    <w:rsid w:val="00E600E2"/>
    <w:rsid w:val="00E6108B"/>
    <w:rsid w:val="00E61357"/>
    <w:rsid w:val="00E61659"/>
    <w:rsid w:val="00E61E11"/>
    <w:rsid w:val="00E63488"/>
    <w:rsid w:val="00E63F2F"/>
    <w:rsid w:val="00E65BAA"/>
    <w:rsid w:val="00E65EE1"/>
    <w:rsid w:val="00E66688"/>
    <w:rsid w:val="00E66810"/>
    <w:rsid w:val="00E66829"/>
    <w:rsid w:val="00E6705C"/>
    <w:rsid w:val="00E67073"/>
    <w:rsid w:val="00E67426"/>
    <w:rsid w:val="00E6744D"/>
    <w:rsid w:val="00E678DD"/>
    <w:rsid w:val="00E703C9"/>
    <w:rsid w:val="00E707D6"/>
    <w:rsid w:val="00E71B73"/>
    <w:rsid w:val="00E71F79"/>
    <w:rsid w:val="00E72197"/>
    <w:rsid w:val="00E72826"/>
    <w:rsid w:val="00E7303F"/>
    <w:rsid w:val="00E737AC"/>
    <w:rsid w:val="00E73B13"/>
    <w:rsid w:val="00E73D0F"/>
    <w:rsid w:val="00E747CB"/>
    <w:rsid w:val="00E75043"/>
    <w:rsid w:val="00E755EC"/>
    <w:rsid w:val="00E759D8"/>
    <w:rsid w:val="00E76209"/>
    <w:rsid w:val="00E76B05"/>
    <w:rsid w:val="00E77A22"/>
    <w:rsid w:val="00E77D9A"/>
    <w:rsid w:val="00E77DF7"/>
    <w:rsid w:val="00E80BDA"/>
    <w:rsid w:val="00E81C58"/>
    <w:rsid w:val="00E81DAD"/>
    <w:rsid w:val="00E82DEE"/>
    <w:rsid w:val="00E82EFC"/>
    <w:rsid w:val="00E83077"/>
    <w:rsid w:val="00E836B2"/>
    <w:rsid w:val="00E83BF3"/>
    <w:rsid w:val="00E8447C"/>
    <w:rsid w:val="00E85213"/>
    <w:rsid w:val="00E85F8C"/>
    <w:rsid w:val="00E864DF"/>
    <w:rsid w:val="00E87741"/>
    <w:rsid w:val="00E901FE"/>
    <w:rsid w:val="00E90AF2"/>
    <w:rsid w:val="00E916F4"/>
    <w:rsid w:val="00E91EB5"/>
    <w:rsid w:val="00E927A2"/>
    <w:rsid w:val="00E930FA"/>
    <w:rsid w:val="00E9389E"/>
    <w:rsid w:val="00E93945"/>
    <w:rsid w:val="00E95951"/>
    <w:rsid w:val="00E96B21"/>
    <w:rsid w:val="00E96EDC"/>
    <w:rsid w:val="00E97406"/>
    <w:rsid w:val="00EA00AA"/>
    <w:rsid w:val="00EA0309"/>
    <w:rsid w:val="00EA0F20"/>
    <w:rsid w:val="00EA101A"/>
    <w:rsid w:val="00EA18E4"/>
    <w:rsid w:val="00EA1A54"/>
    <w:rsid w:val="00EA1B5A"/>
    <w:rsid w:val="00EA205E"/>
    <w:rsid w:val="00EA287B"/>
    <w:rsid w:val="00EA2A84"/>
    <w:rsid w:val="00EA358C"/>
    <w:rsid w:val="00EA4394"/>
    <w:rsid w:val="00EA4517"/>
    <w:rsid w:val="00EA4902"/>
    <w:rsid w:val="00EA722A"/>
    <w:rsid w:val="00EA7407"/>
    <w:rsid w:val="00EA7F75"/>
    <w:rsid w:val="00EB05C2"/>
    <w:rsid w:val="00EB0623"/>
    <w:rsid w:val="00EB0B12"/>
    <w:rsid w:val="00EB0BE5"/>
    <w:rsid w:val="00EB1423"/>
    <w:rsid w:val="00EB19D2"/>
    <w:rsid w:val="00EB1CEF"/>
    <w:rsid w:val="00EB2C21"/>
    <w:rsid w:val="00EB309C"/>
    <w:rsid w:val="00EB34E6"/>
    <w:rsid w:val="00EB3985"/>
    <w:rsid w:val="00EB3A7A"/>
    <w:rsid w:val="00EB42C5"/>
    <w:rsid w:val="00EB47E0"/>
    <w:rsid w:val="00EB4810"/>
    <w:rsid w:val="00EB4909"/>
    <w:rsid w:val="00EB513B"/>
    <w:rsid w:val="00EB5739"/>
    <w:rsid w:val="00EB7C20"/>
    <w:rsid w:val="00EC0FE9"/>
    <w:rsid w:val="00EC191A"/>
    <w:rsid w:val="00EC1B17"/>
    <w:rsid w:val="00EC2177"/>
    <w:rsid w:val="00EC516C"/>
    <w:rsid w:val="00EC6318"/>
    <w:rsid w:val="00EC66AD"/>
    <w:rsid w:val="00EC6805"/>
    <w:rsid w:val="00ED0495"/>
    <w:rsid w:val="00ED07BE"/>
    <w:rsid w:val="00ED0D9F"/>
    <w:rsid w:val="00ED11B3"/>
    <w:rsid w:val="00ED1BF9"/>
    <w:rsid w:val="00ED1C51"/>
    <w:rsid w:val="00ED2647"/>
    <w:rsid w:val="00ED3116"/>
    <w:rsid w:val="00ED4AAE"/>
    <w:rsid w:val="00ED4B15"/>
    <w:rsid w:val="00ED4E13"/>
    <w:rsid w:val="00ED560B"/>
    <w:rsid w:val="00ED5638"/>
    <w:rsid w:val="00ED65EB"/>
    <w:rsid w:val="00ED6908"/>
    <w:rsid w:val="00ED69B9"/>
    <w:rsid w:val="00ED6DE3"/>
    <w:rsid w:val="00ED7173"/>
    <w:rsid w:val="00ED751C"/>
    <w:rsid w:val="00EE04A5"/>
    <w:rsid w:val="00EE0E57"/>
    <w:rsid w:val="00EE120F"/>
    <w:rsid w:val="00EE1494"/>
    <w:rsid w:val="00EE2804"/>
    <w:rsid w:val="00EE2880"/>
    <w:rsid w:val="00EE44AF"/>
    <w:rsid w:val="00EE4561"/>
    <w:rsid w:val="00EE48B2"/>
    <w:rsid w:val="00EE495A"/>
    <w:rsid w:val="00EE4EB6"/>
    <w:rsid w:val="00EE501D"/>
    <w:rsid w:val="00EE5022"/>
    <w:rsid w:val="00EE5462"/>
    <w:rsid w:val="00EE5E1C"/>
    <w:rsid w:val="00EE5F67"/>
    <w:rsid w:val="00EE5FA2"/>
    <w:rsid w:val="00EE6A14"/>
    <w:rsid w:val="00EE6DB7"/>
    <w:rsid w:val="00EE6E37"/>
    <w:rsid w:val="00EE71D2"/>
    <w:rsid w:val="00EE71E5"/>
    <w:rsid w:val="00EF0F08"/>
    <w:rsid w:val="00EF1421"/>
    <w:rsid w:val="00EF158E"/>
    <w:rsid w:val="00EF1D5F"/>
    <w:rsid w:val="00EF213D"/>
    <w:rsid w:val="00EF2B27"/>
    <w:rsid w:val="00EF3B04"/>
    <w:rsid w:val="00EF3D68"/>
    <w:rsid w:val="00EF3DB7"/>
    <w:rsid w:val="00EF45A0"/>
    <w:rsid w:val="00EF47FF"/>
    <w:rsid w:val="00EF4A63"/>
    <w:rsid w:val="00EF5FBA"/>
    <w:rsid w:val="00EF68A7"/>
    <w:rsid w:val="00EF6A93"/>
    <w:rsid w:val="00EF77C3"/>
    <w:rsid w:val="00F0022F"/>
    <w:rsid w:val="00F012A1"/>
    <w:rsid w:val="00F0155B"/>
    <w:rsid w:val="00F01DD4"/>
    <w:rsid w:val="00F02EFE"/>
    <w:rsid w:val="00F02F90"/>
    <w:rsid w:val="00F0330E"/>
    <w:rsid w:val="00F03577"/>
    <w:rsid w:val="00F0364C"/>
    <w:rsid w:val="00F03EED"/>
    <w:rsid w:val="00F04174"/>
    <w:rsid w:val="00F0485A"/>
    <w:rsid w:val="00F04D10"/>
    <w:rsid w:val="00F051A5"/>
    <w:rsid w:val="00F052B5"/>
    <w:rsid w:val="00F061A0"/>
    <w:rsid w:val="00F06212"/>
    <w:rsid w:val="00F06CB2"/>
    <w:rsid w:val="00F06ECD"/>
    <w:rsid w:val="00F06EEF"/>
    <w:rsid w:val="00F06F05"/>
    <w:rsid w:val="00F06FDF"/>
    <w:rsid w:val="00F07EF6"/>
    <w:rsid w:val="00F1006E"/>
    <w:rsid w:val="00F10BE6"/>
    <w:rsid w:val="00F12A9F"/>
    <w:rsid w:val="00F12D8E"/>
    <w:rsid w:val="00F12D8F"/>
    <w:rsid w:val="00F12FBF"/>
    <w:rsid w:val="00F1428D"/>
    <w:rsid w:val="00F142F2"/>
    <w:rsid w:val="00F14629"/>
    <w:rsid w:val="00F14C0B"/>
    <w:rsid w:val="00F14C92"/>
    <w:rsid w:val="00F156B1"/>
    <w:rsid w:val="00F1645E"/>
    <w:rsid w:val="00F1699D"/>
    <w:rsid w:val="00F16CCC"/>
    <w:rsid w:val="00F1719A"/>
    <w:rsid w:val="00F2061E"/>
    <w:rsid w:val="00F20920"/>
    <w:rsid w:val="00F20C64"/>
    <w:rsid w:val="00F20C7B"/>
    <w:rsid w:val="00F2143F"/>
    <w:rsid w:val="00F25009"/>
    <w:rsid w:val="00F25077"/>
    <w:rsid w:val="00F25173"/>
    <w:rsid w:val="00F25BDF"/>
    <w:rsid w:val="00F266F9"/>
    <w:rsid w:val="00F26D25"/>
    <w:rsid w:val="00F2716F"/>
    <w:rsid w:val="00F2758F"/>
    <w:rsid w:val="00F278EF"/>
    <w:rsid w:val="00F30191"/>
    <w:rsid w:val="00F30BD1"/>
    <w:rsid w:val="00F311CC"/>
    <w:rsid w:val="00F31B3B"/>
    <w:rsid w:val="00F325E7"/>
    <w:rsid w:val="00F32E40"/>
    <w:rsid w:val="00F3303E"/>
    <w:rsid w:val="00F333DB"/>
    <w:rsid w:val="00F338EA"/>
    <w:rsid w:val="00F33960"/>
    <w:rsid w:val="00F33EF2"/>
    <w:rsid w:val="00F34704"/>
    <w:rsid w:val="00F358D9"/>
    <w:rsid w:val="00F358F9"/>
    <w:rsid w:val="00F35D73"/>
    <w:rsid w:val="00F36723"/>
    <w:rsid w:val="00F37B86"/>
    <w:rsid w:val="00F4198A"/>
    <w:rsid w:val="00F4231E"/>
    <w:rsid w:val="00F4252C"/>
    <w:rsid w:val="00F425CF"/>
    <w:rsid w:val="00F4313A"/>
    <w:rsid w:val="00F4392C"/>
    <w:rsid w:val="00F43EF1"/>
    <w:rsid w:val="00F440C3"/>
    <w:rsid w:val="00F444C9"/>
    <w:rsid w:val="00F45C0C"/>
    <w:rsid w:val="00F45CDA"/>
    <w:rsid w:val="00F46D75"/>
    <w:rsid w:val="00F472D5"/>
    <w:rsid w:val="00F47CBA"/>
    <w:rsid w:val="00F50501"/>
    <w:rsid w:val="00F50651"/>
    <w:rsid w:val="00F50FAF"/>
    <w:rsid w:val="00F512AE"/>
    <w:rsid w:val="00F516B0"/>
    <w:rsid w:val="00F51CB4"/>
    <w:rsid w:val="00F52583"/>
    <w:rsid w:val="00F52FFA"/>
    <w:rsid w:val="00F53233"/>
    <w:rsid w:val="00F532D0"/>
    <w:rsid w:val="00F54060"/>
    <w:rsid w:val="00F54EC6"/>
    <w:rsid w:val="00F55CD6"/>
    <w:rsid w:val="00F55D7F"/>
    <w:rsid w:val="00F56AE7"/>
    <w:rsid w:val="00F570D5"/>
    <w:rsid w:val="00F578AD"/>
    <w:rsid w:val="00F578B6"/>
    <w:rsid w:val="00F579E8"/>
    <w:rsid w:val="00F57C5E"/>
    <w:rsid w:val="00F57F21"/>
    <w:rsid w:val="00F63080"/>
    <w:rsid w:val="00F63723"/>
    <w:rsid w:val="00F64047"/>
    <w:rsid w:val="00F647C3"/>
    <w:rsid w:val="00F64BB8"/>
    <w:rsid w:val="00F64FA1"/>
    <w:rsid w:val="00F6514A"/>
    <w:rsid w:val="00F653CF"/>
    <w:rsid w:val="00F66F92"/>
    <w:rsid w:val="00F67625"/>
    <w:rsid w:val="00F67639"/>
    <w:rsid w:val="00F678AA"/>
    <w:rsid w:val="00F67CDB"/>
    <w:rsid w:val="00F67E1A"/>
    <w:rsid w:val="00F7060B"/>
    <w:rsid w:val="00F7070A"/>
    <w:rsid w:val="00F71F8A"/>
    <w:rsid w:val="00F72579"/>
    <w:rsid w:val="00F72AFA"/>
    <w:rsid w:val="00F72EE8"/>
    <w:rsid w:val="00F735C1"/>
    <w:rsid w:val="00F73D9C"/>
    <w:rsid w:val="00F73DDA"/>
    <w:rsid w:val="00F7423C"/>
    <w:rsid w:val="00F74C58"/>
    <w:rsid w:val="00F75198"/>
    <w:rsid w:val="00F755D4"/>
    <w:rsid w:val="00F75673"/>
    <w:rsid w:val="00F76EDC"/>
    <w:rsid w:val="00F80506"/>
    <w:rsid w:val="00F807C1"/>
    <w:rsid w:val="00F80B24"/>
    <w:rsid w:val="00F81636"/>
    <w:rsid w:val="00F81A4E"/>
    <w:rsid w:val="00F81F16"/>
    <w:rsid w:val="00F833CE"/>
    <w:rsid w:val="00F83877"/>
    <w:rsid w:val="00F83C08"/>
    <w:rsid w:val="00F84317"/>
    <w:rsid w:val="00F852A0"/>
    <w:rsid w:val="00F85655"/>
    <w:rsid w:val="00F85D80"/>
    <w:rsid w:val="00F8640E"/>
    <w:rsid w:val="00F864CE"/>
    <w:rsid w:val="00F8700E"/>
    <w:rsid w:val="00F87CAD"/>
    <w:rsid w:val="00F87DE3"/>
    <w:rsid w:val="00F905E2"/>
    <w:rsid w:val="00F90EFE"/>
    <w:rsid w:val="00F914D8"/>
    <w:rsid w:val="00F91563"/>
    <w:rsid w:val="00F918DF"/>
    <w:rsid w:val="00F926D3"/>
    <w:rsid w:val="00F93F35"/>
    <w:rsid w:val="00F94D06"/>
    <w:rsid w:val="00F954C0"/>
    <w:rsid w:val="00F9557B"/>
    <w:rsid w:val="00F95F8F"/>
    <w:rsid w:val="00F966C0"/>
    <w:rsid w:val="00F96ADB"/>
    <w:rsid w:val="00F96F03"/>
    <w:rsid w:val="00FA19F4"/>
    <w:rsid w:val="00FA1AEC"/>
    <w:rsid w:val="00FA1E38"/>
    <w:rsid w:val="00FA2852"/>
    <w:rsid w:val="00FA2D98"/>
    <w:rsid w:val="00FA35D7"/>
    <w:rsid w:val="00FA37BC"/>
    <w:rsid w:val="00FA5123"/>
    <w:rsid w:val="00FA51C3"/>
    <w:rsid w:val="00FA5C6D"/>
    <w:rsid w:val="00FA6A7A"/>
    <w:rsid w:val="00FA6C52"/>
    <w:rsid w:val="00FA7A67"/>
    <w:rsid w:val="00FA7C30"/>
    <w:rsid w:val="00FA7D86"/>
    <w:rsid w:val="00FB00E1"/>
    <w:rsid w:val="00FB08AE"/>
    <w:rsid w:val="00FB124E"/>
    <w:rsid w:val="00FB176A"/>
    <w:rsid w:val="00FB1F7B"/>
    <w:rsid w:val="00FB2955"/>
    <w:rsid w:val="00FB2B70"/>
    <w:rsid w:val="00FB2D04"/>
    <w:rsid w:val="00FB2EE9"/>
    <w:rsid w:val="00FB330F"/>
    <w:rsid w:val="00FB4370"/>
    <w:rsid w:val="00FB4968"/>
    <w:rsid w:val="00FB5126"/>
    <w:rsid w:val="00FB586C"/>
    <w:rsid w:val="00FB5BCF"/>
    <w:rsid w:val="00FB678D"/>
    <w:rsid w:val="00FB6A68"/>
    <w:rsid w:val="00FB74D4"/>
    <w:rsid w:val="00FB78BE"/>
    <w:rsid w:val="00FB7AF8"/>
    <w:rsid w:val="00FB7C15"/>
    <w:rsid w:val="00FC0F12"/>
    <w:rsid w:val="00FC16FF"/>
    <w:rsid w:val="00FC225D"/>
    <w:rsid w:val="00FC23A1"/>
    <w:rsid w:val="00FC26A3"/>
    <w:rsid w:val="00FC2804"/>
    <w:rsid w:val="00FC2B79"/>
    <w:rsid w:val="00FC32B2"/>
    <w:rsid w:val="00FC34AF"/>
    <w:rsid w:val="00FC3D18"/>
    <w:rsid w:val="00FC3F18"/>
    <w:rsid w:val="00FC45D0"/>
    <w:rsid w:val="00FC614D"/>
    <w:rsid w:val="00FC68C0"/>
    <w:rsid w:val="00FC79E7"/>
    <w:rsid w:val="00FD043D"/>
    <w:rsid w:val="00FD0F76"/>
    <w:rsid w:val="00FD1A36"/>
    <w:rsid w:val="00FD1B38"/>
    <w:rsid w:val="00FD1E20"/>
    <w:rsid w:val="00FD1E7F"/>
    <w:rsid w:val="00FD29C3"/>
    <w:rsid w:val="00FD2C14"/>
    <w:rsid w:val="00FD46F5"/>
    <w:rsid w:val="00FD526D"/>
    <w:rsid w:val="00FD5BAA"/>
    <w:rsid w:val="00FD6136"/>
    <w:rsid w:val="00FD624A"/>
    <w:rsid w:val="00FD68BB"/>
    <w:rsid w:val="00FD7109"/>
    <w:rsid w:val="00FE025A"/>
    <w:rsid w:val="00FE065F"/>
    <w:rsid w:val="00FE1968"/>
    <w:rsid w:val="00FE2DAE"/>
    <w:rsid w:val="00FE3716"/>
    <w:rsid w:val="00FE47B1"/>
    <w:rsid w:val="00FE4B2D"/>
    <w:rsid w:val="00FE6714"/>
    <w:rsid w:val="00FE69E7"/>
    <w:rsid w:val="00FE6EFD"/>
    <w:rsid w:val="00FE71E8"/>
    <w:rsid w:val="00FE73FD"/>
    <w:rsid w:val="00FE7EE6"/>
    <w:rsid w:val="00FF0415"/>
    <w:rsid w:val="00FF0B3D"/>
    <w:rsid w:val="00FF168B"/>
    <w:rsid w:val="00FF21F3"/>
    <w:rsid w:val="00FF2AE1"/>
    <w:rsid w:val="00FF3371"/>
    <w:rsid w:val="00FF3BFF"/>
    <w:rsid w:val="00FF53C3"/>
    <w:rsid w:val="00FF561E"/>
    <w:rsid w:val="00FF5A29"/>
    <w:rsid w:val="00FF5DDC"/>
    <w:rsid w:val="00FF6369"/>
    <w:rsid w:val="00FF6389"/>
    <w:rsid w:val="00FF6A5B"/>
    <w:rsid w:val="00FF6F8D"/>
    <w:rsid w:val="00FF786F"/>
    <w:rsid w:val="00FF7E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609E61A5"/>
  <w15:chartTrackingRefBased/>
  <w15:docId w15:val="{7C8F1203-A57F-4954-876E-F594B28E3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000000" w:themeColor="text1"/>
        <w:sz w:val="22"/>
        <w:szCs w:val="22"/>
        <w:lang w:val="en-AU" w:eastAsia="en-US" w:bidi="ar-SA"/>
      </w:rPr>
    </w:rPrDefault>
    <w:pPrDefault>
      <w:pPr>
        <w:spacing w:before="160"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8"/>
    <w:lsdException w:name="Emphasis" w:uiPriority="2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63DE"/>
    <w:pPr>
      <w:suppressAutoHyphens/>
    </w:pPr>
  </w:style>
  <w:style w:type="paragraph" w:styleId="Heading1">
    <w:name w:val="heading 1"/>
    <w:basedOn w:val="Normal"/>
    <w:next w:val="Normal"/>
    <w:link w:val="Heading1Char"/>
    <w:uiPriority w:val="9"/>
    <w:qFormat/>
    <w:rsid w:val="00DE4362"/>
    <w:pPr>
      <w:keepNext/>
      <w:keepLines/>
      <w:spacing w:before="480" w:after="160"/>
      <w:contextualSpacing/>
      <w:outlineLvl w:val="0"/>
    </w:pPr>
    <w:rPr>
      <w:rFonts w:asciiTheme="majorHAnsi" w:eastAsiaTheme="majorEastAsia" w:hAnsiTheme="majorHAnsi" w:cstheme="majorBidi"/>
      <w:color w:val="081E3E" w:themeColor="text2"/>
      <w:sz w:val="44"/>
      <w:szCs w:val="32"/>
    </w:rPr>
  </w:style>
  <w:style w:type="paragraph" w:styleId="Heading2">
    <w:name w:val="heading 2"/>
    <w:basedOn w:val="Heading3"/>
    <w:next w:val="Normal"/>
    <w:link w:val="Heading2Char"/>
    <w:autoRedefine/>
    <w:uiPriority w:val="9"/>
    <w:unhideWhenUsed/>
    <w:qFormat/>
    <w:rsid w:val="00B22819"/>
    <w:pPr>
      <w:keepNext w:val="0"/>
      <w:keepLines w:val="0"/>
      <w:suppressAutoHyphens w:val="0"/>
      <w:spacing w:before="160" w:after="80"/>
      <w:outlineLvl w:val="1"/>
    </w:pPr>
    <w:rPr>
      <w:color w:val="6D7989" w:themeColor="accent4" w:themeShade="BF"/>
      <w:sz w:val="36"/>
      <w:szCs w:val="26"/>
      <w:lang w:val="en-US"/>
    </w:rPr>
  </w:style>
  <w:style w:type="paragraph" w:styleId="Heading3">
    <w:name w:val="heading 3"/>
    <w:basedOn w:val="CoverDate"/>
    <w:next w:val="Normal"/>
    <w:link w:val="Heading3Char"/>
    <w:uiPriority w:val="9"/>
    <w:unhideWhenUsed/>
    <w:qFormat/>
    <w:rsid w:val="009D6D3D"/>
    <w:pPr>
      <w:keepNext/>
      <w:keepLines/>
      <w:spacing w:before="240" w:after="160"/>
      <w:outlineLvl w:val="2"/>
    </w:pPr>
    <w:rPr>
      <w:rFonts w:asciiTheme="majorHAnsi" w:eastAsiaTheme="majorEastAsia" w:hAnsiTheme="majorHAnsi" w:cstheme="majorBidi"/>
      <w:color w:val="auto"/>
      <w:sz w:val="24"/>
      <w:szCs w:val="24"/>
    </w:rPr>
  </w:style>
  <w:style w:type="paragraph" w:styleId="Heading4">
    <w:name w:val="heading 4"/>
    <w:basedOn w:val="Normal"/>
    <w:next w:val="Normal"/>
    <w:link w:val="Heading4Char"/>
    <w:autoRedefine/>
    <w:uiPriority w:val="9"/>
    <w:unhideWhenUsed/>
    <w:qFormat/>
    <w:rsid w:val="001C1C19"/>
    <w:pPr>
      <w:keepNext/>
      <w:keepLines/>
      <w:spacing w:before="240" w:after="160"/>
      <w:outlineLvl w:val="3"/>
    </w:pPr>
    <w:rPr>
      <w:rFonts w:asciiTheme="majorHAnsi" w:eastAsiaTheme="majorEastAsia" w:hAnsiTheme="majorHAnsi" w:cstheme="majorBidi"/>
      <w:iCs/>
      <w:color w:val="49515C" w:themeColor="accent4" w:themeShade="80"/>
      <w:u w:val="single"/>
    </w:rPr>
  </w:style>
  <w:style w:type="paragraph" w:styleId="Heading5">
    <w:name w:val="heading 5"/>
    <w:basedOn w:val="Normal"/>
    <w:next w:val="Normal"/>
    <w:link w:val="Heading5Char"/>
    <w:uiPriority w:val="9"/>
    <w:unhideWhenUsed/>
    <w:rsid w:val="005F794B"/>
    <w:pPr>
      <w:keepNext/>
      <w:keepLines/>
      <w:spacing w:before="240" w:after="160"/>
      <w:outlineLvl w:val="4"/>
    </w:pPr>
    <w:rPr>
      <w:rFonts w:asciiTheme="majorHAnsi" w:eastAsiaTheme="majorEastAsia" w:hAnsiTheme="majorHAnsi" w:cstheme="majorBidi"/>
      <w:b/>
      <w:color w:val="081E3E" w:themeColor="text2"/>
    </w:rPr>
  </w:style>
  <w:style w:type="paragraph" w:styleId="Heading6">
    <w:name w:val="heading 6"/>
    <w:basedOn w:val="Normal"/>
    <w:next w:val="Normal"/>
    <w:link w:val="Heading6Char"/>
    <w:uiPriority w:val="9"/>
    <w:semiHidden/>
    <w:unhideWhenUsed/>
    <w:rsid w:val="005F794B"/>
    <w:pPr>
      <w:keepNext/>
      <w:keepLines/>
      <w:spacing w:before="240" w:after="160"/>
      <w:outlineLvl w:val="5"/>
    </w:pPr>
    <w:rPr>
      <w:rFonts w:asciiTheme="majorHAnsi" w:eastAsiaTheme="majorEastAsia" w:hAnsiTheme="majorHAnsi" w:cstheme="majorBidi"/>
      <w:i/>
      <w:color w:val="081E3E"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7"/>
    <w:qFormat/>
    <w:rsid w:val="003261CF"/>
    <w:pPr>
      <w:spacing w:before="1680" w:after="480"/>
    </w:pPr>
    <w:rPr>
      <w:rFonts w:asciiTheme="majorHAnsi" w:eastAsiaTheme="majorEastAsia" w:hAnsiTheme="majorHAnsi" w:cstheme="majorBidi"/>
      <w:b/>
      <w:sz w:val="60"/>
      <w:szCs w:val="56"/>
    </w:rPr>
  </w:style>
  <w:style w:type="character" w:customStyle="1" w:styleId="TitleChar">
    <w:name w:val="Title Char"/>
    <w:basedOn w:val="DefaultParagraphFont"/>
    <w:link w:val="Title"/>
    <w:uiPriority w:val="17"/>
    <w:rsid w:val="003261CF"/>
    <w:rPr>
      <w:rFonts w:asciiTheme="majorHAnsi" w:eastAsiaTheme="majorEastAsia" w:hAnsiTheme="majorHAnsi" w:cstheme="majorBidi"/>
      <w:b/>
      <w:kern w:val="12"/>
      <w:sz w:val="60"/>
      <w:szCs w:val="56"/>
    </w:rPr>
  </w:style>
  <w:style w:type="paragraph" w:styleId="Subtitle">
    <w:name w:val="Subtitle"/>
    <w:basedOn w:val="Normal"/>
    <w:next w:val="Normal"/>
    <w:link w:val="SubtitleChar"/>
    <w:uiPriority w:val="18"/>
    <w:qFormat/>
    <w:rsid w:val="003261CF"/>
    <w:pPr>
      <w:numPr>
        <w:ilvl w:val="1"/>
      </w:numPr>
      <w:spacing w:before="480" w:after="160"/>
    </w:pPr>
    <w:rPr>
      <w:rFonts w:asciiTheme="majorHAnsi" w:eastAsiaTheme="minorEastAsia" w:hAnsiTheme="majorHAnsi"/>
      <w:color w:val="377B88"/>
      <w:sz w:val="44"/>
    </w:rPr>
  </w:style>
  <w:style w:type="character" w:customStyle="1" w:styleId="SubtitleChar">
    <w:name w:val="Subtitle Char"/>
    <w:basedOn w:val="DefaultParagraphFont"/>
    <w:link w:val="Subtitle"/>
    <w:uiPriority w:val="18"/>
    <w:rsid w:val="003261CF"/>
    <w:rPr>
      <w:rFonts w:asciiTheme="majorHAnsi" w:eastAsiaTheme="minorEastAsia" w:hAnsiTheme="majorHAnsi"/>
      <w:color w:val="377B88"/>
      <w:kern w:val="12"/>
      <w:sz w:val="44"/>
      <w:szCs w:val="22"/>
    </w:rPr>
  </w:style>
  <w:style w:type="paragraph" w:customStyle="1" w:styleId="CoverDate">
    <w:name w:val="Cover Date"/>
    <w:basedOn w:val="Normal"/>
    <w:uiPriority w:val="19"/>
    <w:qFormat/>
    <w:rsid w:val="003261CF"/>
    <w:rPr>
      <w:b/>
    </w:rPr>
  </w:style>
  <w:style w:type="paragraph" w:styleId="Header">
    <w:name w:val="header"/>
    <w:basedOn w:val="Normal"/>
    <w:link w:val="HeaderChar"/>
    <w:uiPriority w:val="99"/>
    <w:unhideWhenUsed/>
    <w:rsid w:val="005912BE"/>
    <w:pPr>
      <w:tabs>
        <w:tab w:val="center" w:pos="4513"/>
        <w:tab w:val="right" w:pos="9026"/>
      </w:tabs>
      <w:spacing w:before="0"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before="0"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after="160"/>
    </w:pPr>
  </w:style>
  <w:style w:type="paragraph" w:styleId="NoSpacing">
    <w:name w:val="No Spacing"/>
    <w:uiPriority w:val="1"/>
    <w:qFormat/>
    <w:rsid w:val="000E5674"/>
    <w:pPr>
      <w:suppressAutoHyphens/>
      <w:contextualSpacing/>
    </w:pPr>
    <w:rPr>
      <w:kern w:val="12"/>
    </w:rPr>
  </w:style>
  <w:style w:type="paragraph" w:customStyle="1" w:styleId="ImprintHeading">
    <w:name w:val="Imprint Heading"/>
    <w:basedOn w:val="Normal"/>
    <w:uiPriority w:val="12"/>
    <w:rsid w:val="000E5674"/>
    <w:pPr>
      <w:spacing w:before="240" w:after="160"/>
      <w:outlineLvl w:val="1"/>
    </w:pPr>
    <w:rPr>
      <w:b/>
      <w:lang w:val="x-none"/>
    </w:rPr>
  </w:style>
  <w:style w:type="character" w:styleId="Hyperlink">
    <w:name w:val="Hyperlink"/>
    <w:basedOn w:val="DefaultParagraphFont"/>
    <w:uiPriority w:val="99"/>
    <w:unhideWhenUsed/>
    <w:rsid w:val="000E5674"/>
    <w:rPr>
      <w:color w:val="0046FF" w:themeColor="hyperlink"/>
      <w:u w:val="single"/>
    </w:rPr>
  </w:style>
  <w:style w:type="table" w:styleId="TableGrid">
    <w:name w:val="Table Grid"/>
    <w:aliases w:val="none,McLL Table General Text,SGS Numeric Table,GTA"/>
    <w:basedOn w:val="TableNormal"/>
    <w:uiPriority w:val="5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ACMA Footnote Text,ACMA Footnote Text Char1,Footnote Text Char Char,Footnote Text Char Char Char Char,Footnote Text Char1,Footnote Text Char1 Char Char,Footnote Text Char1 Char Char Char Char,Footnote text,footnote text"/>
    <w:basedOn w:val="Normal"/>
    <w:link w:val="FootnoteTextChar"/>
    <w:uiPriority w:val="99"/>
    <w:qFormat/>
    <w:rsid w:val="005912BE"/>
    <w:pPr>
      <w:spacing w:before="0" w:after="0"/>
      <w:ind w:left="284" w:hanging="284"/>
    </w:pPr>
    <w:rPr>
      <w:sz w:val="18"/>
    </w:rPr>
  </w:style>
  <w:style w:type="character" w:customStyle="1" w:styleId="FootnoteTextChar">
    <w:name w:val="Footnote Text Char"/>
    <w:aliases w:val="ACMA Footnote Text Char,ACMA Footnote Text Char1 Char,Footnote Text Char Char Char,Footnote Text Char Char Char Char Char,Footnote Text Char1 Char,Footnote Text Char1 Char Char Char,Footnote Text Char1 Char Char Char Char Char"/>
    <w:basedOn w:val="DefaultParagraphFont"/>
    <w:link w:val="FootnoteText"/>
    <w:uiPriority w:val="99"/>
    <w:qFormat/>
    <w:rsid w:val="005912BE"/>
    <w:rPr>
      <w:kern w:val="12"/>
      <w:sz w:val="18"/>
    </w:rPr>
  </w:style>
  <w:style w:type="character" w:styleId="FootnoteReference">
    <w:name w:val="footnote reference"/>
    <w:aliases w:val="(NECG) Footnote Reference,Appel note de bas de p,Appel note de bas de p + 11 pt,Appel note de bas de p1,Appel note de bas de p2,Appel note de bas de p3,Footnote,Footnote Reference/,Footnote symbol,Italic,Style 12,Style 124,fr,o"/>
    <w:basedOn w:val="DefaultParagraphFont"/>
    <w:uiPriority w:val="99"/>
    <w:unhideWhenUsed/>
    <w:qFormat/>
    <w:rsid w:val="005F794B"/>
    <w:rPr>
      <w:vertAlign w:val="superscript"/>
    </w:rPr>
  </w:style>
  <w:style w:type="character" w:customStyle="1" w:styleId="Heading1Char">
    <w:name w:val="Heading 1 Char"/>
    <w:basedOn w:val="DefaultParagraphFont"/>
    <w:link w:val="Heading1"/>
    <w:uiPriority w:val="9"/>
    <w:rsid w:val="00DE4362"/>
    <w:rPr>
      <w:rFonts w:asciiTheme="majorHAnsi" w:eastAsiaTheme="majorEastAsia" w:hAnsiTheme="majorHAnsi" w:cstheme="majorBidi"/>
      <w:color w:val="081E3E" w:themeColor="text2"/>
      <w:kern w:val="12"/>
      <w:sz w:val="44"/>
      <w:szCs w:val="32"/>
    </w:rPr>
  </w:style>
  <w:style w:type="character" w:customStyle="1" w:styleId="Heading2Char">
    <w:name w:val="Heading 2 Char"/>
    <w:basedOn w:val="DefaultParagraphFont"/>
    <w:link w:val="Heading2"/>
    <w:uiPriority w:val="9"/>
    <w:rsid w:val="00B22819"/>
    <w:rPr>
      <w:rFonts w:asciiTheme="majorHAnsi" w:eastAsiaTheme="majorEastAsia" w:hAnsiTheme="majorHAnsi" w:cstheme="majorBidi"/>
      <w:b/>
      <w:color w:val="6D7989" w:themeColor="accent4" w:themeShade="BF"/>
      <w:sz w:val="36"/>
      <w:szCs w:val="26"/>
      <w:lang w:val="en-US"/>
    </w:rPr>
  </w:style>
  <w:style w:type="paragraph" w:customStyle="1" w:styleId="Introduction">
    <w:name w:val="Introduction"/>
    <w:basedOn w:val="Normal"/>
    <w:uiPriority w:val="2"/>
    <w:qFormat/>
    <w:rsid w:val="003261CF"/>
    <w:pPr>
      <w:spacing w:before="240" w:after="240"/>
    </w:pPr>
    <w:rPr>
      <w:color w:val="377B88"/>
      <w:sz w:val="26"/>
      <w:lang w:val="x-none"/>
    </w:rPr>
  </w:style>
  <w:style w:type="character" w:customStyle="1" w:styleId="Heading3Char">
    <w:name w:val="Heading 3 Char"/>
    <w:basedOn w:val="DefaultParagraphFont"/>
    <w:link w:val="Heading3"/>
    <w:uiPriority w:val="9"/>
    <w:rsid w:val="004063DE"/>
    <w:rPr>
      <w:rFonts w:asciiTheme="majorHAnsi" w:eastAsiaTheme="majorEastAsia" w:hAnsiTheme="majorHAnsi" w:cstheme="majorBidi"/>
      <w:b/>
      <w:color w:val="auto"/>
      <w:sz w:val="24"/>
      <w:szCs w:val="24"/>
    </w:rPr>
  </w:style>
  <w:style w:type="character" w:customStyle="1" w:styleId="Heading4Char">
    <w:name w:val="Heading 4 Char"/>
    <w:basedOn w:val="DefaultParagraphFont"/>
    <w:link w:val="Heading4"/>
    <w:uiPriority w:val="9"/>
    <w:rsid w:val="001C1C19"/>
    <w:rPr>
      <w:rFonts w:asciiTheme="majorHAnsi" w:eastAsiaTheme="majorEastAsia" w:hAnsiTheme="majorHAnsi" w:cstheme="majorBidi"/>
      <w:iCs/>
      <w:color w:val="49515C" w:themeColor="accent4" w:themeShade="80"/>
      <w:u w:val="single"/>
    </w:rPr>
  </w:style>
  <w:style w:type="character" w:customStyle="1" w:styleId="Heading5Char">
    <w:name w:val="Heading 5 Char"/>
    <w:basedOn w:val="DefaultParagraphFont"/>
    <w:link w:val="Heading5"/>
    <w:uiPriority w:val="9"/>
    <w:rsid w:val="005F794B"/>
    <w:rPr>
      <w:rFonts w:asciiTheme="majorHAnsi" w:eastAsiaTheme="majorEastAsia" w:hAnsiTheme="majorHAnsi" w:cstheme="majorBidi"/>
      <w:b/>
      <w:color w:val="081E3E" w:themeColor="text2"/>
      <w:kern w:val="12"/>
      <w:sz w:val="22"/>
    </w:rPr>
  </w:style>
  <w:style w:type="character" w:customStyle="1" w:styleId="Heading6Char">
    <w:name w:val="Heading 6 Char"/>
    <w:basedOn w:val="DefaultParagraphFont"/>
    <w:link w:val="Heading6"/>
    <w:uiPriority w:val="9"/>
    <w:semiHidden/>
    <w:rsid w:val="005F794B"/>
    <w:rPr>
      <w:rFonts w:asciiTheme="majorHAnsi" w:eastAsiaTheme="majorEastAsia" w:hAnsiTheme="majorHAnsi" w:cstheme="majorBidi"/>
      <w:i/>
      <w:color w:val="081E3E" w:themeColor="text2"/>
      <w:kern w:val="12"/>
      <w:sz w:val="22"/>
    </w:rPr>
  </w:style>
  <w:style w:type="paragraph" w:styleId="Caption">
    <w:name w:val="caption"/>
    <w:basedOn w:val="Normal"/>
    <w:next w:val="Normal"/>
    <w:uiPriority w:val="14"/>
    <w:qFormat/>
    <w:rsid w:val="005F794B"/>
    <w:pPr>
      <w:spacing w:before="240" w:after="160"/>
    </w:pPr>
    <w:rPr>
      <w:b/>
      <w:iCs/>
      <w:szCs w:val="18"/>
    </w:rPr>
  </w:style>
  <w:style w:type="table" w:customStyle="1" w:styleId="DefaultTable1">
    <w:name w:val="Default Table 1"/>
    <w:basedOn w:val="TableNormal"/>
    <w:uiPriority w:val="99"/>
    <w:rsid w:val="00D5655E"/>
    <w:pPr>
      <w:spacing w:before="80"/>
    </w:pPr>
    <w:tblPr>
      <w:tblStyleRowBandSize w:val="1"/>
      <w:tblStyleColBandSize w:val="1"/>
      <w:tblBorders>
        <w:top w:val="single" w:sz="4" w:space="0" w:color="008089" w:themeColor="accent2"/>
        <w:bottom w:val="single" w:sz="4" w:space="0" w:color="008089" w:themeColor="accent2"/>
        <w:insideH w:val="single" w:sz="4" w:space="0" w:color="008089"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1349C6"/>
    <w:pPr>
      <w:spacing w:before="120"/>
    </w:pPr>
    <w:rPr>
      <w:sz w:val="16"/>
      <w:lang w:val="x-none"/>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numPr>
        <w:numId w:val="3"/>
      </w:numPr>
      <w:spacing w:before="80"/>
    </w:pPr>
    <w:rPr>
      <w:lang w:val="x-none"/>
    </w:r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FC32B2"/>
    <w:pPr>
      <w:numPr>
        <w:numId w:val="5"/>
      </w:numPr>
      <w:spacing w:before="80"/>
    </w:pPr>
    <w:rPr>
      <w:lang w:val="x-none"/>
    </w:rPr>
  </w:style>
  <w:style w:type="paragraph" w:customStyle="1" w:styleId="ListNumbered21">
    <w:name w:val="List Numbered 2.1"/>
    <w:basedOn w:val="ListNumbered1"/>
    <w:uiPriority w:val="3"/>
    <w:rsid w:val="00FC32B2"/>
    <w:pPr>
      <w:numPr>
        <w:ilvl w:val="1"/>
      </w:numPr>
    </w:pPr>
  </w:style>
  <w:style w:type="paragraph" w:customStyle="1" w:styleId="ListNumbered311">
    <w:name w:val="List Numbered 3.1.1"/>
    <w:basedOn w:val="ListNumbered21"/>
    <w:uiPriority w:val="3"/>
    <w:rsid w:val="00FC32B2"/>
    <w:pPr>
      <w:numPr>
        <w:ilvl w:val="2"/>
      </w:numPr>
    </w:pPr>
  </w:style>
  <w:style w:type="paragraph" w:customStyle="1" w:styleId="Bullet1">
    <w:name w:val="Bullet 1"/>
    <w:basedOn w:val="Normal"/>
    <w:uiPriority w:val="3"/>
    <w:qFormat/>
    <w:rsid w:val="00CF6CFD"/>
    <w:pPr>
      <w:spacing w:before="80"/>
    </w:pPr>
    <w:rPr>
      <w:lang w:val="x-none"/>
    </w:rPr>
  </w:style>
  <w:style w:type="paragraph" w:customStyle="1" w:styleId="Bullet2">
    <w:name w:val="Bullet 2"/>
    <w:basedOn w:val="Bullet1"/>
    <w:uiPriority w:val="3"/>
    <w:rsid w:val="00CF6CFD"/>
  </w:style>
  <w:style w:type="paragraph" w:customStyle="1" w:styleId="Bullet3">
    <w:name w:val="Bullet 3"/>
    <w:basedOn w:val="Bullet2"/>
    <w:uiPriority w:val="3"/>
    <w:rsid w:val="00CF6CFD"/>
  </w:style>
  <w:style w:type="paragraph" w:styleId="TOCHeading">
    <w:name w:val="TOC Heading"/>
    <w:basedOn w:val="Heading1"/>
    <w:next w:val="Normal"/>
    <w:uiPriority w:val="38"/>
    <w:qFormat/>
    <w:rsid w:val="00CF6CFD"/>
    <w:pPr>
      <w:spacing w:before="0"/>
    </w:pPr>
  </w:style>
  <w:style w:type="paragraph" w:customStyle="1" w:styleId="Box1Text">
    <w:name w:val="Box 1 Text"/>
    <w:basedOn w:val="Normal"/>
    <w:uiPriority w:val="23"/>
    <w:qFormat/>
    <w:rsid w:val="00CF6CFD"/>
    <w:pPr>
      <w:pBdr>
        <w:top w:val="single" w:sz="4" w:space="14" w:color="008089" w:themeColor="accent2"/>
        <w:left w:val="single" w:sz="4" w:space="14" w:color="008089" w:themeColor="accent2"/>
        <w:bottom w:val="single" w:sz="4" w:space="14" w:color="008089" w:themeColor="accent2"/>
        <w:right w:val="single" w:sz="4" w:space="14" w:color="008089" w:themeColor="accent2"/>
      </w:pBdr>
      <w:ind w:left="284" w:right="284"/>
    </w:pPr>
    <w:rPr>
      <w:lang w:val="x-none"/>
    </w:rPr>
  </w:style>
  <w:style w:type="paragraph" w:customStyle="1" w:styleId="Box1Heading">
    <w:name w:val="Box 1 Heading"/>
    <w:basedOn w:val="Box1Text"/>
    <w:uiPriority w:val="23"/>
    <w:qFormat/>
    <w:rsid w:val="00CF6CFD"/>
    <w:rPr>
      <w:b/>
    </w:rPr>
  </w:style>
  <w:style w:type="paragraph" w:customStyle="1" w:styleId="Box1Bullet1">
    <w:name w:val="Box 1 Bullet 1"/>
    <w:basedOn w:val="Box1Text"/>
    <w:uiPriority w:val="24"/>
    <w:qFormat/>
    <w:rsid w:val="002576B9"/>
    <w:pPr>
      <w:numPr>
        <w:numId w:val="12"/>
      </w:numPr>
      <w:spacing w:before="80"/>
    </w:pPr>
    <w:rPr>
      <w:kern w:val="12"/>
      <w:sz w:val="20"/>
      <w:szCs w:val="20"/>
    </w:rPr>
  </w:style>
  <w:style w:type="paragraph" w:customStyle="1" w:styleId="Box2Text">
    <w:name w:val="Box 2 Text"/>
    <w:basedOn w:val="Normal"/>
    <w:uiPriority w:val="24"/>
    <w:qFormat/>
    <w:rsid w:val="009D7CCE"/>
    <w:pPr>
      <w:pBdr>
        <w:top w:val="single" w:sz="4" w:space="14" w:color="F2F6E8" w:themeColor="accent5" w:themeTint="33"/>
        <w:left w:val="single" w:sz="4" w:space="14" w:color="F2F6E8" w:themeColor="accent5" w:themeTint="33"/>
        <w:bottom w:val="single" w:sz="4" w:space="14" w:color="F2F6E8" w:themeColor="accent5" w:themeTint="33"/>
        <w:right w:val="single" w:sz="4" w:space="14" w:color="F2F6E8" w:themeColor="accent5" w:themeTint="33"/>
      </w:pBdr>
      <w:shd w:val="clear" w:color="auto" w:fill="F2F6E8" w:themeFill="accent5" w:themeFillTint="33"/>
      <w:ind w:left="284" w:right="284"/>
    </w:pPr>
    <w:rPr>
      <w:lang w:val="x-none"/>
    </w:rPr>
  </w:style>
  <w:style w:type="paragraph" w:customStyle="1" w:styleId="Box2Heading">
    <w:name w:val="Box 2 Heading"/>
    <w:basedOn w:val="Box2Text"/>
    <w:uiPriority w:val="24"/>
    <w:qFormat/>
    <w:rsid w:val="00541213"/>
    <w:rPr>
      <w:b/>
    </w:rPr>
  </w:style>
  <w:style w:type="paragraph" w:customStyle="1" w:styleId="Box2Bullet1">
    <w:name w:val="Box 2 Bullet 1"/>
    <w:basedOn w:val="Box2Text"/>
    <w:uiPriority w:val="25"/>
    <w:qFormat/>
    <w:rsid w:val="002576B9"/>
    <w:pPr>
      <w:numPr>
        <w:ilvl w:val="1"/>
        <w:numId w:val="12"/>
      </w:numPr>
      <w:spacing w:before="80"/>
    </w:pPr>
    <w:rPr>
      <w:kern w:val="12"/>
      <w:sz w:val="20"/>
      <w:szCs w:val="20"/>
    </w:r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1"/>
      </w:numPr>
    </w:pPr>
  </w:style>
  <w:style w:type="numbering" w:customStyle="1" w:styleId="ListLegal">
    <w:name w:val="List Legal"/>
    <w:uiPriority w:val="99"/>
    <w:rsid w:val="00477E77"/>
    <w:pPr>
      <w:numPr>
        <w:numId w:val="3"/>
      </w:numPr>
    </w:pPr>
  </w:style>
  <w:style w:type="numbering" w:customStyle="1" w:styleId="ListNumbered">
    <w:name w:val="List Numbered"/>
    <w:uiPriority w:val="99"/>
    <w:rsid w:val="00477E77"/>
    <w:pPr>
      <w:numPr>
        <w:numId w:val="5"/>
      </w:numPr>
    </w:pPr>
  </w:style>
  <w:style w:type="paragraph" w:customStyle="1" w:styleId="Heading1Numbered">
    <w:name w:val="Heading 1 Numbered"/>
    <w:basedOn w:val="Heading1"/>
    <w:uiPriority w:val="10"/>
    <w:rsid w:val="003F775D"/>
    <w:pPr>
      <w:numPr>
        <w:numId w:val="8"/>
      </w:numPr>
    </w:pPr>
  </w:style>
  <w:style w:type="paragraph" w:customStyle="1" w:styleId="Heading2Numbered">
    <w:name w:val="Heading 2 Numbered"/>
    <w:basedOn w:val="Heading2"/>
    <w:uiPriority w:val="10"/>
    <w:rsid w:val="003F775D"/>
    <w:pPr>
      <w:numPr>
        <w:ilvl w:val="1"/>
        <w:numId w:val="8"/>
      </w:numPr>
    </w:pPr>
  </w:style>
  <w:style w:type="paragraph" w:customStyle="1" w:styleId="Heading3Numbered">
    <w:name w:val="Heading 3 Numbered"/>
    <w:basedOn w:val="Heading3"/>
    <w:uiPriority w:val="10"/>
    <w:rsid w:val="003F775D"/>
    <w:pPr>
      <w:numPr>
        <w:ilvl w:val="2"/>
        <w:numId w:val="8"/>
      </w:numPr>
    </w:pPr>
  </w:style>
  <w:style w:type="paragraph" w:customStyle="1" w:styleId="Heading4Numbered">
    <w:name w:val="Heading 4 Numbered"/>
    <w:basedOn w:val="Heading4"/>
    <w:uiPriority w:val="10"/>
    <w:rsid w:val="003F775D"/>
    <w:pPr>
      <w:numPr>
        <w:ilvl w:val="3"/>
        <w:numId w:val="8"/>
      </w:numPr>
    </w:pPr>
  </w:style>
  <w:style w:type="paragraph" w:customStyle="1" w:styleId="Heading5Numbered">
    <w:name w:val="Heading 5 Numbered"/>
    <w:basedOn w:val="Heading5"/>
    <w:uiPriority w:val="10"/>
    <w:rsid w:val="003F775D"/>
    <w:pPr>
      <w:numPr>
        <w:ilvl w:val="4"/>
        <w:numId w:val="8"/>
      </w:numPr>
    </w:pPr>
  </w:style>
  <w:style w:type="numbering" w:customStyle="1" w:styleId="NumberedHeadings">
    <w:name w:val="Numbered Headings"/>
    <w:uiPriority w:val="99"/>
    <w:rsid w:val="003F775D"/>
    <w:pPr>
      <w:numPr>
        <w:numId w:val="7"/>
      </w:numPr>
    </w:pPr>
  </w:style>
  <w:style w:type="paragraph" w:customStyle="1" w:styleId="AppendixHeading1">
    <w:name w:val="Appendix Heading 1"/>
    <w:basedOn w:val="Heading1"/>
    <w:uiPriority w:val="11"/>
    <w:qFormat/>
    <w:rsid w:val="0001430B"/>
    <w:pPr>
      <w:numPr>
        <w:numId w:val="10"/>
      </w:numPr>
    </w:pPr>
  </w:style>
  <w:style w:type="paragraph" w:customStyle="1" w:styleId="AppendixHeading2">
    <w:name w:val="Appendix Heading 2"/>
    <w:basedOn w:val="Heading2"/>
    <w:uiPriority w:val="11"/>
    <w:rsid w:val="0001430B"/>
    <w:pPr>
      <w:numPr>
        <w:ilvl w:val="1"/>
        <w:numId w:val="10"/>
      </w:numPr>
    </w:pPr>
  </w:style>
  <w:style w:type="paragraph" w:customStyle="1" w:styleId="AttachmentHeading1">
    <w:name w:val="Attachment Heading 1"/>
    <w:basedOn w:val="Heading1"/>
    <w:uiPriority w:val="11"/>
    <w:qFormat/>
    <w:rsid w:val="0001430B"/>
    <w:pPr>
      <w:numPr>
        <w:numId w:val="11"/>
      </w:numPr>
    </w:pPr>
  </w:style>
  <w:style w:type="paragraph" w:customStyle="1" w:styleId="AttachmentHeading2">
    <w:name w:val="Attachment Heading 2"/>
    <w:basedOn w:val="Heading2"/>
    <w:uiPriority w:val="11"/>
    <w:rsid w:val="0001430B"/>
    <w:pPr>
      <w:numPr>
        <w:ilvl w:val="1"/>
        <w:numId w:val="11"/>
      </w:numPr>
    </w:pPr>
  </w:style>
  <w:style w:type="numbering" w:customStyle="1" w:styleId="AppendixNumbers">
    <w:name w:val="Appendix Numbers"/>
    <w:uiPriority w:val="99"/>
    <w:rsid w:val="0001430B"/>
    <w:pPr>
      <w:numPr>
        <w:numId w:val="9"/>
      </w:numPr>
    </w:pPr>
  </w:style>
  <w:style w:type="numbering" w:customStyle="1" w:styleId="AttachmentNumbers">
    <w:name w:val="Attachment Numbers"/>
    <w:uiPriority w:val="99"/>
    <w:rsid w:val="0001430B"/>
    <w:pPr>
      <w:numPr>
        <w:numId w:val="11"/>
      </w:numPr>
    </w:pPr>
  </w:style>
  <w:style w:type="paragraph" w:styleId="Quote">
    <w:name w:val="Quote"/>
    <w:basedOn w:val="Normal"/>
    <w:next w:val="Normal"/>
    <w:link w:val="QuoteChar"/>
    <w:uiPriority w:val="29"/>
    <w:qFormat/>
    <w:rsid w:val="00B06D96"/>
    <w:pPr>
      <w:pBdr>
        <w:left w:val="single" w:sz="48" w:space="22" w:color="4BB3B5"/>
      </w:pBdr>
      <w:spacing w:after="160"/>
      <w:ind w:left="567" w:right="567"/>
    </w:pPr>
    <w:rPr>
      <w:b/>
      <w:iCs/>
      <w:color w:val="404040" w:themeColor="text1" w:themeTint="BF"/>
    </w:rPr>
  </w:style>
  <w:style w:type="character" w:customStyle="1" w:styleId="QuoteChar">
    <w:name w:val="Quote Char"/>
    <w:basedOn w:val="DefaultParagraphFont"/>
    <w:link w:val="Quote"/>
    <w:uiPriority w:val="29"/>
    <w:rsid w:val="00B06D96"/>
    <w:rPr>
      <w:b/>
      <w:iCs/>
      <w:color w:val="404040" w:themeColor="text1" w:themeTint="BF"/>
    </w:rPr>
  </w:style>
  <w:style w:type="paragraph" w:styleId="TOC1">
    <w:name w:val="toc 1"/>
    <w:basedOn w:val="Normal"/>
    <w:next w:val="Normal"/>
    <w:autoRedefine/>
    <w:uiPriority w:val="39"/>
    <w:rsid w:val="00744EE2"/>
    <w:pPr>
      <w:keepLines/>
      <w:tabs>
        <w:tab w:val="right" w:pos="9854"/>
      </w:tabs>
      <w:spacing w:before="240"/>
      <w:ind w:left="567" w:hanging="567"/>
    </w:pPr>
    <w:rPr>
      <w:b/>
      <w:sz w:val="24"/>
      <w:u w:val="single" w:color="008089" w:themeColor="accent2"/>
    </w:rPr>
  </w:style>
  <w:style w:type="paragraph" w:styleId="TOC2">
    <w:name w:val="toc 2"/>
    <w:basedOn w:val="Normal"/>
    <w:next w:val="Normal"/>
    <w:autoRedefine/>
    <w:uiPriority w:val="39"/>
    <w:rsid w:val="008D776A"/>
    <w:pPr>
      <w:keepLines/>
      <w:tabs>
        <w:tab w:val="right" w:pos="9854"/>
      </w:tabs>
      <w:spacing w:before="120" w:after="120"/>
      <w:ind w:left="567" w:hanging="567"/>
    </w:pPr>
  </w:style>
  <w:style w:type="paragraph" w:styleId="TOC3">
    <w:name w:val="toc 3"/>
    <w:basedOn w:val="Normal"/>
    <w:next w:val="Normal"/>
    <w:autoRedefine/>
    <w:uiPriority w:val="39"/>
    <w:rsid w:val="00C77E71"/>
    <w:pPr>
      <w:tabs>
        <w:tab w:val="left" w:pos="1134"/>
        <w:tab w:val="right" w:pos="9854"/>
      </w:tabs>
      <w:spacing w:before="80"/>
      <w:ind w:left="1134" w:hanging="567"/>
    </w:pPr>
  </w:style>
  <w:style w:type="paragraph" w:styleId="TableofFigures">
    <w:name w:val="table of figures"/>
    <w:basedOn w:val="Normal"/>
    <w:next w:val="Normal"/>
    <w:uiPriority w:val="99"/>
    <w:unhideWhenUsed/>
    <w:rsid w:val="006E1ECA"/>
    <w:pPr>
      <w:spacing w:before="80"/>
    </w:pPr>
  </w:style>
  <w:style w:type="paragraph" w:customStyle="1" w:styleId="AreaHeading">
    <w:name w:val="Area Heading"/>
    <w:basedOn w:val="Normal"/>
    <w:qFormat/>
    <w:rsid w:val="004063DE"/>
    <w:pPr>
      <w:spacing w:before="0"/>
      <w:ind w:left="-1020" w:firstLine="1020"/>
    </w:pPr>
    <w:rPr>
      <w:rFonts w:cs="Times New Roman (Body CS)"/>
      <w:caps/>
      <w:color w:val="49515C" w:themeColor="accent4" w:themeShade="80"/>
    </w:rPr>
  </w:style>
  <w:style w:type="paragraph" w:customStyle="1" w:styleId="Box2Checklist">
    <w:name w:val="Box 2 Checklist"/>
    <w:basedOn w:val="Box2Text"/>
    <w:uiPriority w:val="26"/>
    <w:qFormat/>
    <w:rsid w:val="002576B9"/>
    <w:pPr>
      <w:numPr>
        <w:ilvl w:val="2"/>
        <w:numId w:val="12"/>
      </w:numPr>
    </w:pPr>
    <w:rPr>
      <w:kern w:val="12"/>
      <w:sz w:val="20"/>
      <w:szCs w:val="20"/>
    </w:rPr>
  </w:style>
  <w:style w:type="numbering" w:customStyle="1" w:styleId="BoxedBullets">
    <w:name w:val="Boxed Bullets"/>
    <w:uiPriority w:val="99"/>
    <w:rsid w:val="002576B9"/>
    <w:pPr>
      <w:numPr>
        <w:numId w:val="12"/>
      </w:numPr>
    </w:pPr>
  </w:style>
  <w:style w:type="paragraph" w:styleId="ListParagraph">
    <w:name w:val="List Paragraph"/>
    <w:aliases w:val="Bullet Points,CAB - List Bullet,CV text,Dot pt,F5 List Paragraph,Indicator Text,L,List Bullet Cab,List Paragraph Char Char Char,List Paragraph1,List Paragraph11,List Paragraph12,MAIN CONTENT,No Spacing1,Numbered Para 1,リスト段落,列出段"/>
    <w:basedOn w:val="Normal"/>
    <w:link w:val="ListParagraphChar"/>
    <w:uiPriority w:val="34"/>
    <w:qFormat/>
    <w:rsid w:val="00D80993"/>
    <w:pPr>
      <w:suppressAutoHyphens w:val="0"/>
      <w:spacing w:before="0" w:after="160" w:line="256" w:lineRule="auto"/>
      <w:ind w:left="720"/>
      <w:contextualSpacing/>
    </w:pPr>
    <w:rPr>
      <w:color w:val="auto"/>
    </w:rPr>
  </w:style>
  <w:style w:type="character" w:customStyle="1" w:styleId="ListParagraphChar">
    <w:name w:val="List Paragraph Char"/>
    <w:aliases w:val="Bullet Points Char,CAB - List Bullet Char,CV text Char,Dot pt Char,F5 List Paragraph Char,Indicator Text Char,L Char,List Bullet Cab Char,List Paragraph Char Char Char Char,List Paragraph1 Char,List Paragraph11 Char,MAIN CONTENT Char"/>
    <w:link w:val="ListParagraph"/>
    <w:uiPriority w:val="34"/>
    <w:qFormat/>
    <w:rsid w:val="00180F5C"/>
    <w:rPr>
      <w:color w:val="auto"/>
    </w:rPr>
  </w:style>
  <w:style w:type="character" w:styleId="CommentReference">
    <w:name w:val="annotation reference"/>
    <w:basedOn w:val="DefaultParagraphFont"/>
    <w:uiPriority w:val="99"/>
    <w:semiHidden/>
    <w:unhideWhenUsed/>
    <w:rsid w:val="000A47F0"/>
    <w:rPr>
      <w:sz w:val="16"/>
      <w:szCs w:val="16"/>
    </w:rPr>
  </w:style>
  <w:style w:type="paragraph" w:styleId="CommentText">
    <w:name w:val="annotation text"/>
    <w:basedOn w:val="Normal"/>
    <w:link w:val="CommentTextChar"/>
    <w:uiPriority w:val="99"/>
    <w:unhideWhenUsed/>
    <w:rsid w:val="000A47F0"/>
    <w:pPr>
      <w:suppressAutoHyphens w:val="0"/>
      <w:spacing w:before="0" w:after="200" w:line="276" w:lineRule="auto"/>
    </w:pPr>
    <w:rPr>
      <w:rFonts w:ascii="Arial" w:hAnsi="Arial"/>
      <w:color w:val="auto"/>
      <w:sz w:val="20"/>
      <w:szCs w:val="20"/>
    </w:rPr>
  </w:style>
  <w:style w:type="character" w:customStyle="1" w:styleId="CommentTextChar">
    <w:name w:val="Comment Text Char"/>
    <w:basedOn w:val="DefaultParagraphFont"/>
    <w:link w:val="CommentText"/>
    <w:uiPriority w:val="99"/>
    <w:rsid w:val="000A47F0"/>
    <w:rPr>
      <w:rFonts w:ascii="Arial" w:hAnsi="Arial"/>
      <w:color w:val="auto"/>
      <w:sz w:val="20"/>
      <w:szCs w:val="20"/>
    </w:rPr>
  </w:style>
  <w:style w:type="paragraph" w:styleId="BalloonText">
    <w:name w:val="Balloon Text"/>
    <w:basedOn w:val="Normal"/>
    <w:link w:val="BalloonTextChar"/>
    <w:uiPriority w:val="99"/>
    <w:semiHidden/>
    <w:unhideWhenUsed/>
    <w:rsid w:val="000A47F0"/>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47F0"/>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A11EAA"/>
    <w:pPr>
      <w:suppressAutoHyphens/>
      <w:spacing w:before="160" w:after="80" w:line="240" w:lineRule="auto"/>
    </w:pPr>
    <w:rPr>
      <w:rFonts w:asciiTheme="minorHAnsi" w:hAnsiTheme="minorHAnsi"/>
      <w:b/>
      <w:bCs/>
      <w:color w:val="000000" w:themeColor="text1"/>
    </w:rPr>
  </w:style>
  <w:style w:type="character" w:customStyle="1" w:styleId="CommentSubjectChar">
    <w:name w:val="Comment Subject Char"/>
    <w:basedOn w:val="CommentTextChar"/>
    <w:link w:val="CommentSubject"/>
    <w:uiPriority w:val="99"/>
    <w:semiHidden/>
    <w:rsid w:val="00A11EAA"/>
    <w:rPr>
      <w:rFonts w:ascii="Arial" w:hAnsi="Arial"/>
      <w:b/>
      <w:bCs/>
      <w:color w:val="auto"/>
      <w:sz w:val="20"/>
      <w:szCs w:val="20"/>
    </w:rPr>
  </w:style>
  <w:style w:type="paragraph" w:customStyle="1" w:styleId="Functionbriefbodytext">
    <w:name w:val="Function brief body text"/>
    <w:basedOn w:val="Normal"/>
    <w:link w:val="FunctionbriefbodytextChar"/>
    <w:qFormat/>
    <w:rsid w:val="00A07BFB"/>
    <w:pPr>
      <w:suppressAutoHyphens w:val="0"/>
      <w:spacing w:before="0" w:after="0"/>
    </w:pPr>
    <w:rPr>
      <w:rFonts w:ascii="Times New Roman" w:eastAsia="Times New Roman" w:hAnsi="Times New Roman" w:cs="Times New Roman"/>
      <w:color w:val="auto"/>
      <w:sz w:val="24"/>
      <w:szCs w:val="24"/>
      <w:lang w:eastAsia="en-AU"/>
    </w:rPr>
  </w:style>
  <w:style w:type="character" w:customStyle="1" w:styleId="FunctionbriefbodytextChar">
    <w:name w:val="Function brief body text Char"/>
    <w:basedOn w:val="DefaultParagraphFont"/>
    <w:link w:val="Functionbriefbodytext"/>
    <w:rsid w:val="00A07BFB"/>
    <w:rPr>
      <w:rFonts w:ascii="Times New Roman" w:eastAsia="Times New Roman" w:hAnsi="Times New Roman" w:cs="Times New Roman"/>
      <w:color w:val="auto"/>
      <w:sz w:val="24"/>
      <w:szCs w:val="24"/>
      <w:lang w:eastAsia="en-AU"/>
    </w:rPr>
  </w:style>
  <w:style w:type="paragraph" w:customStyle="1" w:styleId="Resources">
    <w:name w:val="Resources"/>
    <w:basedOn w:val="Normal"/>
    <w:rsid w:val="00355E86"/>
    <w:pPr>
      <w:suppressAutoHyphens w:val="0"/>
      <w:spacing w:before="0"/>
    </w:pPr>
    <w:rPr>
      <w:rFonts w:ascii="Georgia" w:eastAsia="Times New Roman" w:hAnsi="Georgia" w:cs="Microsoft Sans Serif"/>
      <w:b/>
      <w:color w:val="auto"/>
      <w:lang w:eastAsia="en-AU"/>
    </w:rPr>
  </w:style>
  <w:style w:type="character" w:styleId="IntenseEmphasis">
    <w:name w:val="Intense Emphasis"/>
    <w:basedOn w:val="DefaultParagraphFont"/>
    <w:uiPriority w:val="21"/>
    <w:qFormat/>
    <w:rsid w:val="00FF786F"/>
    <w:rPr>
      <w:i/>
      <w:iCs/>
      <w:color w:val="081E3E" w:themeColor="accent1"/>
    </w:rPr>
  </w:style>
  <w:style w:type="character" w:styleId="FollowedHyperlink">
    <w:name w:val="FollowedHyperlink"/>
    <w:basedOn w:val="DefaultParagraphFont"/>
    <w:uiPriority w:val="99"/>
    <w:semiHidden/>
    <w:unhideWhenUsed/>
    <w:rsid w:val="00150F17"/>
    <w:rPr>
      <w:color w:val="0046FF" w:themeColor="followedHyperlink"/>
      <w:u w:val="single"/>
    </w:rPr>
  </w:style>
  <w:style w:type="paragraph" w:customStyle="1" w:styleId="acthead1">
    <w:name w:val="acthead1"/>
    <w:basedOn w:val="Normal"/>
    <w:rsid w:val="00141731"/>
    <w:pPr>
      <w:suppressAutoHyphens w:val="0"/>
      <w:spacing w:before="100" w:beforeAutospacing="1" w:after="100" w:afterAutospacing="1"/>
    </w:pPr>
    <w:rPr>
      <w:rFonts w:ascii="Times New Roman" w:eastAsia="Times New Roman" w:hAnsi="Times New Roman" w:cs="Times New Roman"/>
      <w:color w:val="auto"/>
      <w:sz w:val="24"/>
      <w:szCs w:val="24"/>
      <w:lang w:eastAsia="en-AU"/>
    </w:rPr>
  </w:style>
  <w:style w:type="character" w:customStyle="1" w:styleId="charchapno">
    <w:name w:val="charchapno"/>
    <w:basedOn w:val="DefaultParagraphFont"/>
    <w:rsid w:val="00141731"/>
  </w:style>
  <w:style w:type="paragraph" w:customStyle="1" w:styleId="acthead5">
    <w:name w:val="acthead5"/>
    <w:basedOn w:val="Normal"/>
    <w:rsid w:val="00141731"/>
    <w:pPr>
      <w:suppressAutoHyphens w:val="0"/>
      <w:spacing w:before="100" w:beforeAutospacing="1" w:after="100" w:afterAutospacing="1"/>
    </w:pPr>
    <w:rPr>
      <w:rFonts w:ascii="Times New Roman" w:eastAsia="Times New Roman" w:hAnsi="Times New Roman" w:cs="Times New Roman"/>
      <w:color w:val="auto"/>
      <w:sz w:val="24"/>
      <w:szCs w:val="24"/>
      <w:lang w:eastAsia="en-AU"/>
    </w:rPr>
  </w:style>
  <w:style w:type="character" w:customStyle="1" w:styleId="charsectno">
    <w:name w:val="charsectno"/>
    <w:basedOn w:val="DefaultParagraphFont"/>
    <w:rsid w:val="00141731"/>
  </w:style>
  <w:style w:type="paragraph" w:customStyle="1" w:styleId="subsection">
    <w:name w:val="subsection"/>
    <w:basedOn w:val="Normal"/>
    <w:rsid w:val="00141731"/>
    <w:pPr>
      <w:suppressAutoHyphens w:val="0"/>
      <w:spacing w:before="100" w:beforeAutospacing="1" w:after="100" w:afterAutospacing="1"/>
    </w:pPr>
    <w:rPr>
      <w:rFonts w:ascii="Times New Roman" w:eastAsia="Times New Roman" w:hAnsi="Times New Roman" w:cs="Times New Roman"/>
      <w:color w:val="auto"/>
      <w:sz w:val="24"/>
      <w:szCs w:val="24"/>
      <w:lang w:eastAsia="en-AU"/>
    </w:rPr>
  </w:style>
  <w:style w:type="paragraph" w:customStyle="1" w:styleId="paragraph">
    <w:name w:val="paragraph"/>
    <w:basedOn w:val="Normal"/>
    <w:rsid w:val="00141731"/>
    <w:pPr>
      <w:suppressAutoHyphens w:val="0"/>
      <w:spacing w:before="100" w:beforeAutospacing="1" w:after="100" w:afterAutospacing="1"/>
    </w:pPr>
    <w:rPr>
      <w:rFonts w:ascii="Times New Roman" w:eastAsia="Times New Roman" w:hAnsi="Times New Roman" w:cs="Times New Roman"/>
      <w:color w:val="auto"/>
      <w:sz w:val="24"/>
      <w:szCs w:val="24"/>
      <w:lang w:eastAsia="en-AU"/>
    </w:rPr>
  </w:style>
  <w:style w:type="paragraph" w:customStyle="1" w:styleId="paragraphsub">
    <w:name w:val="paragraphsub"/>
    <w:basedOn w:val="Normal"/>
    <w:rsid w:val="00141731"/>
    <w:pPr>
      <w:suppressAutoHyphens w:val="0"/>
      <w:spacing w:before="100" w:beforeAutospacing="1" w:after="100" w:afterAutospacing="1"/>
    </w:pPr>
    <w:rPr>
      <w:rFonts w:ascii="Times New Roman" w:eastAsia="Times New Roman" w:hAnsi="Times New Roman" w:cs="Times New Roman"/>
      <w:color w:val="auto"/>
      <w:sz w:val="24"/>
      <w:szCs w:val="24"/>
      <w:lang w:eastAsia="en-AU"/>
    </w:rPr>
  </w:style>
  <w:style w:type="paragraph" w:customStyle="1" w:styleId="Bulletlevel1">
    <w:name w:val="Bullet level 1"/>
    <w:basedOn w:val="Normal"/>
    <w:qFormat/>
    <w:rsid w:val="00B036A7"/>
    <w:pPr>
      <w:numPr>
        <w:numId w:val="32"/>
      </w:numPr>
      <w:suppressAutoHyphens w:val="0"/>
      <w:spacing w:before="0" w:after="240"/>
      <w:ind w:left="567" w:hanging="567"/>
      <w:contextualSpacing/>
    </w:pPr>
    <w:rPr>
      <w:color w:val="auto"/>
    </w:rPr>
  </w:style>
  <w:style w:type="character" w:customStyle="1" w:styleId="UnresolvedMention1">
    <w:name w:val="Unresolved Mention1"/>
    <w:basedOn w:val="DefaultParagraphFont"/>
    <w:uiPriority w:val="99"/>
    <w:semiHidden/>
    <w:unhideWhenUsed/>
    <w:rsid w:val="001A2C1D"/>
    <w:rPr>
      <w:color w:val="605E5C"/>
      <w:shd w:val="clear" w:color="auto" w:fill="E1DFDD"/>
    </w:rPr>
  </w:style>
  <w:style w:type="paragraph" w:customStyle="1" w:styleId="Listparagraphbullets">
    <w:name w:val="List paragraph—bullets"/>
    <w:basedOn w:val="ListParagraph"/>
    <w:qFormat/>
    <w:rsid w:val="00796E66"/>
    <w:pPr>
      <w:numPr>
        <w:numId w:val="35"/>
      </w:numPr>
      <w:spacing w:after="200" w:line="240" w:lineRule="auto"/>
    </w:pPr>
    <w:rPr>
      <w:lang w:eastAsia="zh-TW"/>
    </w:rPr>
  </w:style>
  <w:style w:type="paragraph" w:customStyle="1" w:styleId="Heading2notshowing">
    <w:name w:val="Heading 2—not showing"/>
    <w:basedOn w:val="Normal"/>
    <w:next w:val="Normal"/>
    <w:qFormat/>
    <w:rsid w:val="0086091A"/>
    <w:pPr>
      <w:keepNext/>
      <w:suppressAutoHyphens w:val="0"/>
      <w:spacing w:before="0" w:after="120"/>
      <w:outlineLvl w:val="1"/>
    </w:pPr>
    <w:rPr>
      <w:rFonts w:ascii="Segoe UI Semibold" w:eastAsia="MingLiU" w:hAnsi="Segoe UI Semibold" w:cs="Segoe UI Semibold"/>
      <w:b/>
      <w:color w:val="4C5564"/>
      <w:sz w:val="32"/>
      <w:szCs w:val="26"/>
    </w:rPr>
  </w:style>
  <w:style w:type="paragraph" w:customStyle="1" w:styleId="Normaldisclaimerpage">
    <w:name w:val="Normal—disclaimer page"/>
    <w:basedOn w:val="Normal"/>
    <w:qFormat/>
    <w:rsid w:val="0086091A"/>
    <w:pPr>
      <w:suppressAutoHyphens w:val="0"/>
      <w:spacing w:before="0" w:after="120"/>
    </w:pPr>
    <w:rPr>
      <w:rFonts w:ascii="Segoe UI" w:hAnsi="Segoe UI"/>
      <w:color w:val="auto"/>
      <w:sz w:val="20"/>
      <w:szCs w:val="20"/>
    </w:rPr>
  </w:style>
  <w:style w:type="paragraph" w:styleId="Revision">
    <w:name w:val="Revision"/>
    <w:hidden/>
    <w:uiPriority w:val="99"/>
    <w:semiHidden/>
    <w:rsid w:val="00DE4B1D"/>
    <w:pPr>
      <w:spacing w:before="0" w:after="0"/>
    </w:pPr>
  </w:style>
  <w:style w:type="paragraph" w:customStyle="1" w:styleId="notetext">
    <w:name w:val="notetext"/>
    <w:basedOn w:val="Normal"/>
    <w:rsid w:val="00E03394"/>
    <w:pPr>
      <w:suppressAutoHyphens w:val="0"/>
      <w:spacing w:before="100" w:beforeAutospacing="1" w:after="100" w:afterAutospacing="1"/>
    </w:pPr>
    <w:rPr>
      <w:rFonts w:ascii="Times New Roman" w:eastAsia="Times New Roman" w:hAnsi="Times New Roman" w:cs="Times New Roman"/>
      <w:color w:val="auto"/>
      <w:sz w:val="24"/>
      <w:szCs w:val="24"/>
      <w:lang w:eastAsia="en-AU"/>
    </w:rPr>
  </w:style>
  <w:style w:type="paragraph" w:customStyle="1" w:styleId="Tablefigureheading">
    <w:name w:val="Table/figure heading"/>
    <w:basedOn w:val="Normal"/>
    <w:next w:val="Normal"/>
    <w:qFormat/>
    <w:rsid w:val="006E0CE4"/>
    <w:pPr>
      <w:keepNext/>
      <w:suppressAutoHyphens w:val="0"/>
      <w:spacing w:before="0" w:after="0"/>
    </w:pPr>
    <w:rPr>
      <w:rFonts w:ascii="Segoe UI Semibold" w:hAnsi="Segoe UI Semibold"/>
      <w:color w:val="002D72"/>
      <w:sz w:val="20"/>
    </w:rPr>
  </w:style>
  <w:style w:type="table" w:customStyle="1" w:styleId="DefaultTable11">
    <w:name w:val="Default Table 11"/>
    <w:basedOn w:val="TableNormal"/>
    <w:uiPriority w:val="99"/>
    <w:rsid w:val="00AB13BA"/>
    <w:pPr>
      <w:spacing w:before="80"/>
    </w:pPr>
    <w:tblPr>
      <w:tblStyleRowBandSize w:val="1"/>
      <w:tblStyleColBandSize w:val="1"/>
      <w:tblBorders>
        <w:top w:val="single" w:sz="4" w:space="0" w:color="008089" w:themeColor="accent2"/>
        <w:bottom w:val="single" w:sz="4" w:space="0" w:color="008089" w:themeColor="accent2"/>
        <w:insideH w:val="single" w:sz="4" w:space="0" w:color="008089"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character" w:customStyle="1" w:styleId="UnresolvedMention2">
    <w:name w:val="Unresolved Mention2"/>
    <w:basedOn w:val="DefaultParagraphFont"/>
    <w:uiPriority w:val="99"/>
    <w:semiHidden/>
    <w:unhideWhenUsed/>
    <w:rsid w:val="004D55E1"/>
    <w:rPr>
      <w:color w:val="605E5C"/>
      <w:shd w:val="clear" w:color="auto" w:fill="E1DFDD"/>
    </w:rPr>
  </w:style>
  <w:style w:type="paragraph" w:customStyle="1" w:styleId="Sourcenote">
    <w:name w:val="Source / note"/>
    <w:basedOn w:val="Normal"/>
    <w:qFormat/>
    <w:rsid w:val="006E0CE4"/>
    <w:pPr>
      <w:suppressAutoHyphens w:val="0"/>
      <w:spacing w:before="0" w:after="160"/>
    </w:pPr>
    <w:rPr>
      <w:rFonts w:ascii="Segoe UI" w:eastAsia="PMingLiU" w:hAnsi="Segoe UI" w:cs="Mangal"/>
      <w:color w:val="4C5564"/>
      <w:sz w:val="20"/>
      <w:szCs w:val="20"/>
      <w:lang w:eastAsia="zh-TW"/>
    </w:rPr>
  </w:style>
  <w:style w:type="character" w:customStyle="1" w:styleId="UnresolvedMention3">
    <w:name w:val="Unresolved Mention3"/>
    <w:basedOn w:val="DefaultParagraphFont"/>
    <w:uiPriority w:val="99"/>
    <w:semiHidden/>
    <w:unhideWhenUsed/>
    <w:rsid w:val="004A1832"/>
    <w:rPr>
      <w:color w:val="605E5C"/>
      <w:shd w:val="clear" w:color="auto" w:fill="E1DFDD"/>
    </w:rPr>
  </w:style>
  <w:style w:type="character" w:customStyle="1" w:styleId="UnresolvedMention4">
    <w:name w:val="Unresolved Mention4"/>
    <w:basedOn w:val="DefaultParagraphFont"/>
    <w:uiPriority w:val="99"/>
    <w:semiHidden/>
    <w:unhideWhenUsed/>
    <w:rsid w:val="000202F8"/>
    <w:rPr>
      <w:color w:val="605E5C"/>
      <w:shd w:val="clear" w:color="auto" w:fill="E1DFDD"/>
    </w:rPr>
  </w:style>
  <w:style w:type="paragraph" w:customStyle="1" w:styleId="msonormal0">
    <w:name w:val="msonormal"/>
    <w:basedOn w:val="Normal"/>
    <w:rsid w:val="008D1395"/>
    <w:pPr>
      <w:suppressAutoHyphens w:val="0"/>
      <w:spacing w:before="100" w:beforeAutospacing="1" w:after="100" w:afterAutospacing="1"/>
    </w:pPr>
    <w:rPr>
      <w:rFonts w:ascii="Times New Roman" w:eastAsia="Times New Roman" w:hAnsi="Times New Roman" w:cs="Times New Roman"/>
      <w:color w:val="auto"/>
      <w:sz w:val="24"/>
      <w:szCs w:val="24"/>
      <w:lang w:eastAsia="en-AU"/>
    </w:rPr>
  </w:style>
  <w:style w:type="paragraph" w:customStyle="1" w:styleId="font5">
    <w:name w:val="font5"/>
    <w:basedOn w:val="Normal"/>
    <w:rsid w:val="008D1395"/>
    <w:pPr>
      <w:suppressAutoHyphens w:val="0"/>
      <w:spacing w:before="100" w:beforeAutospacing="1" w:after="100" w:afterAutospacing="1"/>
    </w:pPr>
    <w:rPr>
      <w:rFonts w:ascii="Tahoma" w:eastAsia="Times New Roman" w:hAnsi="Tahoma" w:cs="Tahoma"/>
      <w:color w:val="000000"/>
      <w:sz w:val="18"/>
      <w:szCs w:val="18"/>
      <w:lang w:eastAsia="en-AU"/>
    </w:rPr>
  </w:style>
  <w:style w:type="paragraph" w:customStyle="1" w:styleId="font6">
    <w:name w:val="font6"/>
    <w:basedOn w:val="Normal"/>
    <w:rsid w:val="008D1395"/>
    <w:pPr>
      <w:suppressAutoHyphens w:val="0"/>
      <w:spacing w:before="100" w:beforeAutospacing="1" w:after="100" w:afterAutospacing="1"/>
    </w:pPr>
    <w:rPr>
      <w:rFonts w:ascii="Tahoma" w:eastAsia="Times New Roman" w:hAnsi="Tahoma" w:cs="Tahoma"/>
      <w:b/>
      <w:bCs/>
      <w:color w:val="000000"/>
      <w:sz w:val="18"/>
      <w:szCs w:val="18"/>
      <w:lang w:eastAsia="en-AU"/>
    </w:rPr>
  </w:style>
  <w:style w:type="paragraph" w:customStyle="1" w:styleId="xl65">
    <w:name w:val="xl65"/>
    <w:basedOn w:val="Normal"/>
    <w:rsid w:val="008D1395"/>
    <w:pPr>
      <w:shd w:val="clear" w:color="000000" w:fill="081E3E"/>
      <w:suppressAutoHyphens w:val="0"/>
      <w:spacing w:before="100" w:beforeAutospacing="1" w:after="100" w:afterAutospacing="1"/>
      <w:textAlignment w:val="center"/>
    </w:pPr>
    <w:rPr>
      <w:rFonts w:ascii="Times New Roman" w:eastAsia="Times New Roman" w:hAnsi="Times New Roman" w:cs="Times New Roman"/>
      <w:b/>
      <w:bCs/>
      <w:color w:val="FFFFFF"/>
      <w:sz w:val="24"/>
      <w:szCs w:val="24"/>
      <w:lang w:eastAsia="en-AU"/>
    </w:rPr>
  </w:style>
  <w:style w:type="paragraph" w:customStyle="1" w:styleId="xl66">
    <w:name w:val="xl66"/>
    <w:basedOn w:val="Normal"/>
    <w:rsid w:val="008D1395"/>
    <w:pPr>
      <w:pBdr>
        <w:top w:val="single" w:sz="8" w:space="0" w:color="008089"/>
      </w:pBdr>
      <w:shd w:val="clear" w:color="000000" w:fill="F2F2F2"/>
      <w:suppressAutoHyphens w:val="0"/>
      <w:spacing w:before="100" w:beforeAutospacing="1" w:after="100" w:afterAutospacing="1"/>
      <w:jc w:val="center"/>
      <w:textAlignment w:val="center"/>
    </w:pPr>
    <w:rPr>
      <w:rFonts w:ascii="Times New Roman" w:eastAsia="Times New Roman" w:hAnsi="Times New Roman" w:cs="Times New Roman"/>
      <w:color w:val="000000"/>
      <w:sz w:val="24"/>
      <w:szCs w:val="24"/>
      <w:lang w:eastAsia="en-AU"/>
    </w:rPr>
  </w:style>
  <w:style w:type="paragraph" w:customStyle="1" w:styleId="xl67">
    <w:name w:val="xl67"/>
    <w:basedOn w:val="Normal"/>
    <w:rsid w:val="008D1395"/>
    <w:pPr>
      <w:pBdr>
        <w:bottom w:val="single" w:sz="8" w:space="0" w:color="008089"/>
      </w:pBdr>
      <w:shd w:val="clear" w:color="000000" w:fill="F2F2F2"/>
      <w:suppressAutoHyphens w:val="0"/>
      <w:spacing w:before="100" w:beforeAutospacing="1" w:after="100" w:afterAutospacing="1"/>
      <w:textAlignment w:val="center"/>
    </w:pPr>
    <w:rPr>
      <w:rFonts w:ascii="Times New Roman" w:eastAsia="Times New Roman" w:hAnsi="Times New Roman" w:cs="Times New Roman"/>
      <w:color w:val="000000"/>
      <w:sz w:val="24"/>
      <w:szCs w:val="24"/>
      <w:lang w:eastAsia="en-AU"/>
    </w:rPr>
  </w:style>
  <w:style w:type="paragraph" w:customStyle="1" w:styleId="xl68">
    <w:name w:val="xl68"/>
    <w:basedOn w:val="Normal"/>
    <w:rsid w:val="008D1395"/>
    <w:pPr>
      <w:pBdr>
        <w:bottom w:val="single" w:sz="8" w:space="0" w:color="008089"/>
      </w:pBdr>
      <w:shd w:val="clear" w:color="000000" w:fill="F2F2F2"/>
      <w:suppressAutoHyphens w:val="0"/>
      <w:spacing w:before="100" w:beforeAutospacing="1" w:after="100" w:afterAutospacing="1"/>
      <w:jc w:val="center"/>
      <w:textAlignment w:val="center"/>
    </w:pPr>
    <w:rPr>
      <w:rFonts w:ascii="Times New Roman" w:eastAsia="Times New Roman" w:hAnsi="Times New Roman" w:cs="Times New Roman"/>
      <w:color w:val="000000"/>
      <w:sz w:val="24"/>
      <w:szCs w:val="24"/>
      <w:lang w:eastAsia="en-AU"/>
    </w:rPr>
  </w:style>
  <w:style w:type="paragraph" w:customStyle="1" w:styleId="xl69">
    <w:name w:val="xl69"/>
    <w:basedOn w:val="Normal"/>
    <w:rsid w:val="008D1395"/>
    <w:pPr>
      <w:pBdr>
        <w:top w:val="single" w:sz="8" w:space="0" w:color="008089"/>
        <w:bottom w:val="single" w:sz="4" w:space="0" w:color="008089"/>
      </w:pBdr>
      <w:shd w:val="clear" w:color="000000" w:fill="F2F2F2"/>
      <w:suppressAutoHyphens w:val="0"/>
      <w:spacing w:before="100" w:beforeAutospacing="1" w:after="100" w:afterAutospacing="1"/>
      <w:textAlignment w:val="center"/>
    </w:pPr>
    <w:rPr>
      <w:rFonts w:ascii="Times New Roman" w:eastAsia="Times New Roman" w:hAnsi="Times New Roman" w:cs="Times New Roman"/>
      <w:color w:val="000000"/>
      <w:sz w:val="24"/>
      <w:szCs w:val="24"/>
      <w:lang w:eastAsia="en-AU"/>
    </w:rPr>
  </w:style>
  <w:style w:type="paragraph" w:customStyle="1" w:styleId="xl70">
    <w:name w:val="xl70"/>
    <w:basedOn w:val="Normal"/>
    <w:rsid w:val="008D1395"/>
    <w:pPr>
      <w:shd w:val="clear" w:color="000000" w:fill="F2F2F2"/>
      <w:suppressAutoHyphens w:val="0"/>
      <w:spacing w:before="100" w:beforeAutospacing="1" w:after="100" w:afterAutospacing="1"/>
      <w:jc w:val="center"/>
      <w:textAlignment w:val="center"/>
    </w:pPr>
    <w:rPr>
      <w:rFonts w:ascii="Times New Roman" w:eastAsia="Times New Roman" w:hAnsi="Times New Roman" w:cs="Times New Roman"/>
      <w:color w:val="000000"/>
      <w:sz w:val="24"/>
      <w:szCs w:val="24"/>
      <w:lang w:eastAsia="en-AU"/>
    </w:rPr>
  </w:style>
  <w:style w:type="paragraph" w:customStyle="1" w:styleId="xl71">
    <w:name w:val="xl71"/>
    <w:basedOn w:val="Normal"/>
    <w:rsid w:val="008D1395"/>
    <w:pPr>
      <w:shd w:val="clear" w:color="000000" w:fill="F2F2F2"/>
      <w:suppressAutoHyphens w:val="0"/>
      <w:spacing w:before="100" w:beforeAutospacing="1" w:after="100" w:afterAutospacing="1"/>
      <w:textAlignment w:val="center"/>
    </w:pPr>
    <w:rPr>
      <w:rFonts w:ascii="Times New Roman" w:eastAsia="Times New Roman" w:hAnsi="Times New Roman" w:cs="Times New Roman"/>
      <w:color w:val="000000"/>
      <w:sz w:val="24"/>
      <w:szCs w:val="24"/>
      <w:lang w:eastAsia="en-AU"/>
    </w:rPr>
  </w:style>
  <w:style w:type="paragraph" w:customStyle="1" w:styleId="xl72">
    <w:name w:val="xl72"/>
    <w:basedOn w:val="Normal"/>
    <w:rsid w:val="008D1395"/>
    <w:pPr>
      <w:pBdr>
        <w:top w:val="single" w:sz="4" w:space="0" w:color="008089"/>
        <w:bottom w:val="single" w:sz="4" w:space="0" w:color="008089"/>
      </w:pBdr>
      <w:shd w:val="clear" w:color="000000" w:fill="F2F2F2"/>
      <w:suppressAutoHyphens w:val="0"/>
      <w:spacing w:before="100" w:beforeAutospacing="1" w:after="100" w:afterAutospacing="1"/>
      <w:textAlignment w:val="center"/>
    </w:pPr>
    <w:rPr>
      <w:rFonts w:ascii="Times New Roman" w:eastAsia="Times New Roman" w:hAnsi="Times New Roman" w:cs="Times New Roman"/>
      <w:color w:val="000000"/>
      <w:sz w:val="24"/>
      <w:szCs w:val="24"/>
      <w:lang w:eastAsia="en-AU"/>
    </w:rPr>
  </w:style>
  <w:style w:type="paragraph" w:customStyle="1" w:styleId="xl73">
    <w:name w:val="xl73"/>
    <w:basedOn w:val="Normal"/>
    <w:rsid w:val="008D1395"/>
    <w:pPr>
      <w:pBdr>
        <w:bottom w:val="single" w:sz="4" w:space="0" w:color="008089"/>
      </w:pBdr>
      <w:shd w:val="clear" w:color="000000" w:fill="F2F2F2"/>
      <w:suppressAutoHyphens w:val="0"/>
      <w:spacing w:before="100" w:beforeAutospacing="1" w:after="100" w:afterAutospacing="1"/>
      <w:textAlignment w:val="center"/>
    </w:pPr>
    <w:rPr>
      <w:rFonts w:ascii="Times New Roman" w:eastAsia="Times New Roman" w:hAnsi="Times New Roman" w:cs="Times New Roman"/>
      <w:color w:val="000000"/>
      <w:sz w:val="24"/>
      <w:szCs w:val="24"/>
      <w:lang w:eastAsia="en-AU"/>
    </w:rPr>
  </w:style>
  <w:style w:type="paragraph" w:customStyle="1" w:styleId="xl74">
    <w:name w:val="xl74"/>
    <w:basedOn w:val="Normal"/>
    <w:rsid w:val="008D1395"/>
    <w:pPr>
      <w:pBdr>
        <w:top w:val="single" w:sz="8" w:space="0" w:color="008089"/>
        <w:bottom w:val="single" w:sz="4" w:space="0" w:color="008089"/>
      </w:pBdr>
      <w:shd w:val="clear" w:color="000000" w:fill="F2F2F2"/>
      <w:suppressAutoHyphens w:val="0"/>
      <w:spacing w:before="100" w:beforeAutospacing="1" w:after="100" w:afterAutospacing="1"/>
      <w:textAlignment w:val="center"/>
    </w:pPr>
    <w:rPr>
      <w:rFonts w:ascii="Times New Roman" w:eastAsia="Times New Roman" w:hAnsi="Times New Roman" w:cs="Times New Roman"/>
      <w:color w:val="FF0000"/>
      <w:sz w:val="24"/>
      <w:szCs w:val="24"/>
      <w:lang w:eastAsia="en-AU"/>
    </w:rPr>
  </w:style>
  <w:style w:type="paragraph" w:customStyle="1" w:styleId="xl75">
    <w:name w:val="xl75"/>
    <w:basedOn w:val="Normal"/>
    <w:rsid w:val="008D1395"/>
    <w:pPr>
      <w:pBdr>
        <w:top w:val="single" w:sz="4" w:space="0" w:color="008089"/>
        <w:bottom w:val="single" w:sz="4" w:space="0" w:color="008089"/>
      </w:pBdr>
      <w:shd w:val="clear" w:color="000000" w:fill="F2F2F2"/>
      <w:suppressAutoHyphens w:val="0"/>
      <w:spacing w:before="100" w:beforeAutospacing="1" w:after="100" w:afterAutospacing="1"/>
      <w:textAlignment w:val="center"/>
    </w:pPr>
    <w:rPr>
      <w:rFonts w:ascii="Times New Roman" w:eastAsia="Times New Roman" w:hAnsi="Times New Roman" w:cs="Times New Roman"/>
      <w:color w:val="FF0000"/>
      <w:sz w:val="24"/>
      <w:szCs w:val="24"/>
      <w:lang w:eastAsia="en-AU"/>
    </w:rPr>
  </w:style>
  <w:style w:type="paragraph" w:customStyle="1" w:styleId="xl76">
    <w:name w:val="xl76"/>
    <w:basedOn w:val="Normal"/>
    <w:rsid w:val="008D1395"/>
    <w:pPr>
      <w:pBdr>
        <w:bottom w:val="single" w:sz="4" w:space="0" w:color="008089"/>
      </w:pBdr>
      <w:shd w:val="clear" w:color="000000" w:fill="F2F2F2"/>
      <w:suppressAutoHyphens w:val="0"/>
      <w:spacing w:before="100" w:beforeAutospacing="1" w:after="100" w:afterAutospacing="1"/>
      <w:textAlignment w:val="center"/>
    </w:pPr>
    <w:rPr>
      <w:rFonts w:ascii="Times New Roman" w:eastAsia="Times New Roman" w:hAnsi="Times New Roman" w:cs="Times New Roman"/>
      <w:color w:val="FF0000"/>
      <w:sz w:val="24"/>
      <w:szCs w:val="24"/>
      <w:lang w:eastAsia="en-AU"/>
    </w:rPr>
  </w:style>
  <w:style w:type="paragraph" w:customStyle="1" w:styleId="xl77">
    <w:name w:val="xl77"/>
    <w:basedOn w:val="Normal"/>
    <w:rsid w:val="008D1395"/>
    <w:pPr>
      <w:pBdr>
        <w:bottom w:val="single" w:sz="8" w:space="0" w:color="008089"/>
      </w:pBdr>
      <w:shd w:val="clear" w:color="000000" w:fill="F2F2F2"/>
      <w:suppressAutoHyphens w:val="0"/>
      <w:spacing w:before="100" w:beforeAutospacing="1" w:after="100" w:afterAutospacing="1"/>
      <w:textAlignment w:val="center"/>
    </w:pPr>
    <w:rPr>
      <w:rFonts w:ascii="Times New Roman" w:eastAsia="Times New Roman" w:hAnsi="Times New Roman" w:cs="Times New Roman"/>
      <w:color w:val="FF0000"/>
      <w:sz w:val="24"/>
      <w:szCs w:val="24"/>
      <w:lang w:eastAsia="en-AU"/>
    </w:rPr>
  </w:style>
  <w:style w:type="paragraph" w:customStyle="1" w:styleId="xl78">
    <w:name w:val="xl78"/>
    <w:basedOn w:val="Normal"/>
    <w:rsid w:val="008D1395"/>
    <w:pPr>
      <w:pBdr>
        <w:bottom w:val="single" w:sz="8" w:space="0" w:color="008089"/>
      </w:pBdr>
      <w:shd w:val="clear" w:color="000000" w:fill="F2F2F2"/>
      <w:suppressAutoHyphens w:val="0"/>
      <w:spacing w:before="100" w:beforeAutospacing="1" w:after="100" w:afterAutospacing="1"/>
      <w:textAlignment w:val="center"/>
    </w:pPr>
    <w:rPr>
      <w:rFonts w:ascii="Times New Roman" w:eastAsia="Times New Roman" w:hAnsi="Times New Roman" w:cs="Times New Roman"/>
      <w:color w:val="auto"/>
      <w:sz w:val="24"/>
      <w:szCs w:val="24"/>
      <w:lang w:eastAsia="en-AU"/>
    </w:rPr>
  </w:style>
  <w:style w:type="paragraph" w:customStyle="1" w:styleId="xl79">
    <w:name w:val="xl79"/>
    <w:basedOn w:val="Normal"/>
    <w:rsid w:val="008D1395"/>
    <w:pPr>
      <w:pBdr>
        <w:bottom w:val="single" w:sz="8" w:space="0" w:color="008089"/>
      </w:pBdr>
      <w:shd w:val="clear" w:color="000000" w:fill="F2F2F2"/>
      <w:suppressAutoHyphens w:val="0"/>
      <w:spacing w:before="100" w:beforeAutospacing="1" w:after="100" w:afterAutospacing="1"/>
      <w:textAlignment w:val="center"/>
    </w:pPr>
    <w:rPr>
      <w:rFonts w:ascii="Times New Roman" w:eastAsia="Times New Roman" w:hAnsi="Times New Roman" w:cs="Times New Roman"/>
      <w:color w:val="auto"/>
      <w:sz w:val="24"/>
      <w:szCs w:val="24"/>
      <w:lang w:eastAsia="en-AU"/>
    </w:rPr>
  </w:style>
  <w:style w:type="paragraph" w:customStyle="1" w:styleId="xl80">
    <w:name w:val="xl80"/>
    <w:basedOn w:val="Normal"/>
    <w:rsid w:val="008D1395"/>
    <w:pPr>
      <w:shd w:val="clear" w:color="000000" w:fill="F2F2F2"/>
      <w:suppressAutoHyphens w:val="0"/>
      <w:spacing w:before="100" w:beforeAutospacing="1" w:after="100" w:afterAutospacing="1"/>
      <w:textAlignment w:val="center"/>
    </w:pPr>
    <w:rPr>
      <w:rFonts w:ascii="Times New Roman" w:eastAsia="Times New Roman" w:hAnsi="Times New Roman" w:cs="Times New Roman"/>
      <w:color w:val="FF0000"/>
      <w:sz w:val="24"/>
      <w:szCs w:val="24"/>
      <w:lang w:eastAsia="en-AU"/>
    </w:rPr>
  </w:style>
  <w:style w:type="paragraph" w:customStyle="1" w:styleId="xl81">
    <w:name w:val="xl81"/>
    <w:basedOn w:val="Normal"/>
    <w:rsid w:val="008D1395"/>
    <w:pPr>
      <w:pBdr>
        <w:bottom w:val="single" w:sz="4" w:space="0" w:color="008089"/>
      </w:pBdr>
      <w:shd w:val="clear" w:color="000000" w:fill="F2F2F2"/>
      <w:suppressAutoHyphens w:val="0"/>
      <w:spacing w:before="100" w:beforeAutospacing="1" w:after="100" w:afterAutospacing="1"/>
      <w:jc w:val="center"/>
      <w:textAlignment w:val="center"/>
    </w:pPr>
    <w:rPr>
      <w:rFonts w:ascii="Times New Roman" w:eastAsia="Times New Roman" w:hAnsi="Times New Roman" w:cs="Times New Roman"/>
      <w:color w:val="000000"/>
      <w:sz w:val="24"/>
      <w:szCs w:val="24"/>
      <w:lang w:eastAsia="en-AU"/>
    </w:rPr>
  </w:style>
  <w:style w:type="paragraph" w:customStyle="1" w:styleId="xl82">
    <w:name w:val="xl82"/>
    <w:basedOn w:val="Normal"/>
    <w:rsid w:val="008D1395"/>
    <w:pPr>
      <w:pBdr>
        <w:top w:val="single" w:sz="4" w:space="0" w:color="008089"/>
        <w:bottom w:val="single" w:sz="4" w:space="0" w:color="008089"/>
      </w:pBdr>
      <w:shd w:val="clear" w:color="000000" w:fill="F2F2F2"/>
      <w:suppressAutoHyphens w:val="0"/>
      <w:spacing w:before="100" w:beforeAutospacing="1" w:after="100" w:afterAutospacing="1"/>
      <w:jc w:val="center"/>
      <w:textAlignment w:val="center"/>
    </w:pPr>
    <w:rPr>
      <w:rFonts w:ascii="Times New Roman" w:eastAsia="Times New Roman" w:hAnsi="Times New Roman" w:cs="Times New Roman"/>
      <w:color w:val="000000"/>
      <w:sz w:val="24"/>
      <w:szCs w:val="24"/>
      <w:lang w:eastAsia="en-AU"/>
    </w:rPr>
  </w:style>
  <w:style w:type="paragraph" w:customStyle="1" w:styleId="xl83">
    <w:name w:val="xl83"/>
    <w:basedOn w:val="Normal"/>
    <w:rsid w:val="008D1395"/>
    <w:pPr>
      <w:pBdr>
        <w:top w:val="single" w:sz="8" w:space="0" w:color="008089"/>
        <w:bottom w:val="single" w:sz="4" w:space="0" w:color="008089"/>
      </w:pBdr>
      <w:shd w:val="clear" w:color="000000" w:fill="F2F2F2"/>
      <w:suppressAutoHyphens w:val="0"/>
      <w:spacing w:before="100" w:beforeAutospacing="1" w:after="100" w:afterAutospacing="1"/>
      <w:jc w:val="center"/>
      <w:textAlignment w:val="center"/>
    </w:pPr>
    <w:rPr>
      <w:rFonts w:ascii="Times New Roman" w:eastAsia="Times New Roman" w:hAnsi="Times New Roman" w:cs="Times New Roman"/>
      <w:color w:val="000000"/>
      <w:sz w:val="24"/>
      <w:szCs w:val="24"/>
      <w:lang w:eastAsia="en-AU"/>
    </w:rPr>
  </w:style>
  <w:style w:type="paragraph" w:customStyle="1" w:styleId="xl84">
    <w:name w:val="xl84"/>
    <w:basedOn w:val="Normal"/>
    <w:rsid w:val="008D1395"/>
    <w:pPr>
      <w:pBdr>
        <w:top w:val="single" w:sz="4" w:space="0" w:color="008089"/>
        <w:bottom w:val="single" w:sz="8" w:space="0" w:color="008089"/>
      </w:pBdr>
      <w:shd w:val="clear" w:color="000000" w:fill="F2F2F2"/>
      <w:suppressAutoHyphens w:val="0"/>
      <w:spacing w:before="100" w:beforeAutospacing="1" w:after="100" w:afterAutospacing="1"/>
      <w:textAlignment w:val="center"/>
    </w:pPr>
    <w:rPr>
      <w:rFonts w:ascii="Times New Roman" w:eastAsia="Times New Roman" w:hAnsi="Times New Roman" w:cs="Times New Roman"/>
      <w:color w:val="FF0000"/>
      <w:sz w:val="24"/>
      <w:szCs w:val="24"/>
      <w:lang w:eastAsia="en-AU"/>
    </w:rPr>
  </w:style>
  <w:style w:type="paragraph" w:customStyle="1" w:styleId="xl85">
    <w:name w:val="xl85"/>
    <w:basedOn w:val="Normal"/>
    <w:rsid w:val="008D1395"/>
    <w:pPr>
      <w:pBdr>
        <w:top w:val="single" w:sz="4" w:space="0" w:color="008089"/>
        <w:bottom w:val="single" w:sz="8" w:space="0" w:color="008089"/>
      </w:pBdr>
      <w:shd w:val="clear" w:color="000000" w:fill="F2F2F2"/>
      <w:suppressAutoHyphens w:val="0"/>
      <w:spacing w:before="100" w:beforeAutospacing="1" w:after="100" w:afterAutospacing="1"/>
      <w:textAlignment w:val="center"/>
    </w:pPr>
    <w:rPr>
      <w:rFonts w:ascii="Times New Roman" w:eastAsia="Times New Roman" w:hAnsi="Times New Roman" w:cs="Times New Roman"/>
      <w:color w:val="000000"/>
      <w:sz w:val="24"/>
      <w:szCs w:val="24"/>
      <w:lang w:eastAsia="en-AU"/>
    </w:rPr>
  </w:style>
  <w:style w:type="paragraph" w:customStyle="1" w:styleId="xl86">
    <w:name w:val="xl86"/>
    <w:basedOn w:val="Normal"/>
    <w:rsid w:val="008D1395"/>
    <w:pPr>
      <w:pBdr>
        <w:top w:val="single" w:sz="4" w:space="0" w:color="008089"/>
        <w:bottom w:val="single" w:sz="4" w:space="0" w:color="008089"/>
      </w:pBdr>
      <w:shd w:val="clear" w:color="000000" w:fill="F2F2F2"/>
      <w:suppressAutoHyphens w:val="0"/>
      <w:spacing w:before="100" w:beforeAutospacing="1" w:after="100" w:afterAutospacing="1"/>
      <w:textAlignment w:val="center"/>
    </w:pPr>
    <w:rPr>
      <w:rFonts w:ascii="Times New Roman" w:eastAsia="Times New Roman" w:hAnsi="Times New Roman" w:cs="Times New Roman"/>
      <w:color w:val="auto"/>
      <w:sz w:val="24"/>
      <w:szCs w:val="24"/>
      <w:lang w:eastAsia="en-AU"/>
    </w:rPr>
  </w:style>
  <w:style w:type="paragraph" w:customStyle="1" w:styleId="xl87">
    <w:name w:val="xl87"/>
    <w:basedOn w:val="Normal"/>
    <w:rsid w:val="008D1395"/>
    <w:pPr>
      <w:pBdr>
        <w:top w:val="single" w:sz="4" w:space="0" w:color="008089"/>
        <w:bottom w:val="single" w:sz="8" w:space="0" w:color="008089"/>
      </w:pBdr>
      <w:shd w:val="clear" w:color="000000" w:fill="F2F2F2"/>
      <w:suppressAutoHyphens w:val="0"/>
      <w:spacing w:before="100" w:beforeAutospacing="1" w:after="100" w:afterAutospacing="1"/>
      <w:jc w:val="center"/>
      <w:textAlignment w:val="center"/>
    </w:pPr>
    <w:rPr>
      <w:rFonts w:ascii="Times New Roman" w:eastAsia="Times New Roman" w:hAnsi="Times New Roman" w:cs="Times New Roman"/>
      <w:color w:val="000000"/>
      <w:sz w:val="24"/>
      <w:szCs w:val="24"/>
      <w:lang w:eastAsia="en-AU"/>
    </w:rPr>
  </w:style>
  <w:style w:type="paragraph" w:customStyle="1" w:styleId="xl88">
    <w:name w:val="xl88"/>
    <w:basedOn w:val="Normal"/>
    <w:rsid w:val="008D1395"/>
    <w:pPr>
      <w:pBdr>
        <w:top w:val="single" w:sz="4" w:space="0" w:color="008089"/>
        <w:bottom w:val="single" w:sz="4" w:space="0" w:color="008089"/>
      </w:pBdr>
      <w:shd w:val="clear" w:color="000000" w:fill="F2F2F2"/>
      <w:suppressAutoHyphens w:val="0"/>
      <w:spacing w:before="100" w:beforeAutospacing="1" w:after="100" w:afterAutospacing="1"/>
      <w:jc w:val="center"/>
      <w:textAlignment w:val="center"/>
    </w:pPr>
    <w:rPr>
      <w:rFonts w:ascii="Times New Roman" w:eastAsia="Times New Roman" w:hAnsi="Times New Roman" w:cs="Times New Roman"/>
      <w:color w:val="FF0000"/>
      <w:sz w:val="24"/>
      <w:szCs w:val="24"/>
      <w:lang w:eastAsia="en-AU"/>
    </w:rPr>
  </w:style>
  <w:style w:type="paragraph" w:customStyle="1" w:styleId="xl89">
    <w:name w:val="xl89"/>
    <w:basedOn w:val="Normal"/>
    <w:rsid w:val="008D1395"/>
    <w:pPr>
      <w:pBdr>
        <w:top w:val="single" w:sz="8" w:space="0" w:color="008089"/>
        <w:bottom w:val="single" w:sz="8" w:space="0" w:color="008089"/>
      </w:pBdr>
      <w:shd w:val="clear" w:color="000000" w:fill="F2F2F2"/>
      <w:suppressAutoHyphens w:val="0"/>
      <w:spacing w:before="100" w:beforeAutospacing="1" w:after="100" w:afterAutospacing="1"/>
      <w:textAlignment w:val="center"/>
    </w:pPr>
    <w:rPr>
      <w:rFonts w:ascii="Times New Roman" w:eastAsia="Times New Roman" w:hAnsi="Times New Roman" w:cs="Times New Roman"/>
      <w:color w:val="FF0000"/>
      <w:sz w:val="24"/>
      <w:szCs w:val="24"/>
      <w:lang w:eastAsia="en-AU"/>
    </w:rPr>
  </w:style>
  <w:style w:type="paragraph" w:customStyle="1" w:styleId="xl90">
    <w:name w:val="xl90"/>
    <w:basedOn w:val="Normal"/>
    <w:rsid w:val="008D1395"/>
    <w:pPr>
      <w:pBdr>
        <w:top w:val="single" w:sz="8" w:space="0" w:color="008089"/>
        <w:bottom w:val="single" w:sz="8" w:space="0" w:color="008089"/>
      </w:pBdr>
      <w:shd w:val="clear" w:color="000000" w:fill="F2F2F2"/>
      <w:suppressAutoHyphens w:val="0"/>
      <w:spacing w:before="100" w:beforeAutospacing="1" w:after="100" w:afterAutospacing="1"/>
      <w:textAlignment w:val="center"/>
    </w:pPr>
    <w:rPr>
      <w:rFonts w:ascii="Times New Roman" w:eastAsia="Times New Roman" w:hAnsi="Times New Roman" w:cs="Times New Roman"/>
      <w:color w:val="000000"/>
      <w:sz w:val="24"/>
      <w:szCs w:val="24"/>
      <w:lang w:eastAsia="en-AU"/>
    </w:rPr>
  </w:style>
  <w:style w:type="paragraph" w:customStyle="1" w:styleId="xl91">
    <w:name w:val="xl91"/>
    <w:basedOn w:val="Normal"/>
    <w:rsid w:val="008D1395"/>
    <w:pPr>
      <w:pBdr>
        <w:top w:val="single" w:sz="8" w:space="0" w:color="008089"/>
        <w:bottom w:val="single" w:sz="8" w:space="0" w:color="008089"/>
      </w:pBdr>
      <w:shd w:val="clear" w:color="000000" w:fill="F2F2F2"/>
      <w:suppressAutoHyphens w:val="0"/>
      <w:spacing w:before="100" w:beforeAutospacing="1" w:after="100" w:afterAutospacing="1"/>
      <w:textAlignment w:val="center"/>
    </w:pPr>
    <w:rPr>
      <w:rFonts w:ascii="Times New Roman" w:eastAsia="Times New Roman" w:hAnsi="Times New Roman" w:cs="Times New Roman"/>
      <w:color w:val="FF0000"/>
      <w:sz w:val="24"/>
      <w:szCs w:val="24"/>
      <w:lang w:eastAsia="en-AU"/>
    </w:rPr>
  </w:style>
  <w:style w:type="paragraph" w:customStyle="1" w:styleId="xl92">
    <w:name w:val="xl92"/>
    <w:basedOn w:val="Normal"/>
    <w:rsid w:val="008D1395"/>
    <w:pPr>
      <w:pBdr>
        <w:top w:val="single" w:sz="8" w:space="0" w:color="008089"/>
        <w:bottom w:val="single" w:sz="8" w:space="0" w:color="008089"/>
      </w:pBdr>
      <w:shd w:val="clear" w:color="000000" w:fill="F2F2F2"/>
      <w:suppressAutoHyphens w:val="0"/>
      <w:spacing w:before="100" w:beforeAutospacing="1" w:after="100" w:afterAutospacing="1"/>
      <w:jc w:val="center"/>
      <w:textAlignment w:val="center"/>
    </w:pPr>
    <w:rPr>
      <w:rFonts w:ascii="Times New Roman" w:eastAsia="Times New Roman" w:hAnsi="Times New Roman" w:cs="Times New Roman"/>
      <w:color w:val="000000"/>
      <w:sz w:val="24"/>
      <w:szCs w:val="24"/>
      <w:lang w:eastAsia="en-AU"/>
    </w:rPr>
  </w:style>
  <w:style w:type="paragraph" w:customStyle="1" w:styleId="xl93">
    <w:name w:val="xl93"/>
    <w:basedOn w:val="Normal"/>
    <w:rsid w:val="008D1395"/>
    <w:pPr>
      <w:pBdr>
        <w:top w:val="single" w:sz="8" w:space="0" w:color="008089"/>
        <w:bottom w:val="single" w:sz="8" w:space="0" w:color="008089"/>
      </w:pBdr>
      <w:shd w:val="clear" w:color="000000" w:fill="F2F2F2"/>
      <w:suppressAutoHyphens w:val="0"/>
      <w:spacing w:before="100" w:beforeAutospacing="1" w:after="100" w:afterAutospacing="1"/>
      <w:textAlignment w:val="center"/>
    </w:pPr>
    <w:rPr>
      <w:rFonts w:ascii="Times New Roman" w:eastAsia="Times New Roman" w:hAnsi="Times New Roman" w:cs="Times New Roman"/>
      <w:color w:val="auto"/>
      <w:sz w:val="24"/>
      <w:szCs w:val="24"/>
      <w:lang w:eastAsia="en-AU"/>
    </w:rPr>
  </w:style>
  <w:style w:type="paragraph" w:customStyle="1" w:styleId="xl94">
    <w:name w:val="xl94"/>
    <w:basedOn w:val="Normal"/>
    <w:rsid w:val="008D1395"/>
    <w:pPr>
      <w:pBdr>
        <w:top w:val="single" w:sz="8" w:space="0" w:color="008089"/>
        <w:bottom w:val="single" w:sz="4" w:space="0" w:color="008089"/>
      </w:pBdr>
      <w:shd w:val="clear" w:color="000000" w:fill="F2F2F2"/>
      <w:suppressAutoHyphens w:val="0"/>
      <w:spacing w:before="100" w:beforeAutospacing="1" w:after="100" w:afterAutospacing="1"/>
      <w:textAlignment w:val="center"/>
    </w:pPr>
    <w:rPr>
      <w:rFonts w:ascii="Times New Roman" w:eastAsia="Times New Roman" w:hAnsi="Times New Roman" w:cs="Times New Roman"/>
      <w:color w:val="auto"/>
      <w:sz w:val="24"/>
      <w:szCs w:val="24"/>
      <w:lang w:eastAsia="en-AU"/>
    </w:rPr>
  </w:style>
  <w:style w:type="paragraph" w:customStyle="1" w:styleId="xl95">
    <w:name w:val="xl95"/>
    <w:basedOn w:val="Normal"/>
    <w:rsid w:val="008D1395"/>
    <w:pPr>
      <w:shd w:val="clear" w:color="000000" w:fill="F2F2F2"/>
      <w:suppressAutoHyphens w:val="0"/>
      <w:spacing w:before="100" w:beforeAutospacing="1" w:after="100" w:afterAutospacing="1"/>
      <w:textAlignment w:val="center"/>
    </w:pPr>
    <w:rPr>
      <w:rFonts w:ascii="Times New Roman" w:eastAsia="Times New Roman" w:hAnsi="Times New Roman" w:cs="Times New Roman"/>
      <w:color w:val="auto"/>
      <w:sz w:val="24"/>
      <w:szCs w:val="24"/>
      <w:lang w:eastAsia="en-AU"/>
    </w:rPr>
  </w:style>
  <w:style w:type="paragraph" w:customStyle="1" w:styleId="xl96">
    <w:name w:val="xl96"/>
    <w:basedOn w:val="Normal"/>
    <w:rsid w:val="008D1395"/>
    <w:pPr>
      <w:pBdr>
        <w:top w:val="single" w:sz="4" w:space="0" w:color="008089"/>
        <w:bottom w:val="single" w:sz="8" w:space="0" w:color="008089"/>
      </w:pBdr>
      <w:shd w:val="clear" w:color="000000" w:fill="F2F2F2"/>
      <w:suppressAutoHyphens w:val="0"/>
      <w:spacing w:before="100" w:beforeAutospacing="1" w:after="100" w:afterAutospacing="1"/>
      <w:textAlignment w:val="center"/>
    </w:pPr>
    <w:rPr>
      <w:rFonts w:ascii="Times New Roman" w:eastAsia="Times New Roman" w:hAnsi="Times New Roman" w:cs="Times New Roman"/>
      <w:color w:val="auto"/>
      <w:sz w:val="24"/>
      <w:szCs w:val="24"/>
      <w:lang w:eastAsia="en-AU"/>
    </w:rPr>
  </w:style>
  <w:style w:type="paragraph" w:customStyle="1" w:styleId="xl97">
    <w:name w:val="xl97"/>
    <w:basedOn w:val="Normal"/>
    <w:rsid w:val="008D1395"/>
    <w:pPr>
      <w:pBdr>
        <w:bottom w:val="single" w:sz="4" w:space="0" w:color="008089"/>
      </w:pBdr>
      <w:shd w:val="clear" w:color="000000" w:fill="F2F2F2"/>
      <w:suppressAutoHyphens w:val="0"/>
      <w:spacing w:before="100" w:beforeAutospacing="1" w:after="100" w:afterAutospacing="1"/>
      <w:textAlignment w:val="center"/>
    </w:pPr>
    <w:rPr>
      <w:rFonts w:ascii="Times New Roman" w:eastAsia="Times New Roman" w:hAnsi="Times New Roman" w:cs="Times New Roman"/>
      <w:color w:val="auto"/>
      <w:sz w:val="24"/>
      <w:szCs w:val="24"/>
      <w:lang w:eastAsia="en-AU"/>
    </w:rPr>
  </w:style>
  <w:style w:type="paragraph" w:customStyle="1" w:styleId="xl98">
    <w:name w:val="xl98"/>
    <w:basedOn w:val="Normal"/>
    <w:rsid w:val="008D1395"/>
    <w:pPr>
      <w:pBdr>
        <w:top w:val="single" w:sz="4" w:space="0" w:color="008089"/>
        <w:bottom w:val="single" w:sz="4" w:space="0" w:color="008089"/>
      </w:pBdr>
      <w:shd w:val="clear" w:color="000000" w:fill="F2F2F2"/>
      <w:suppressAutoHyphens w:val="0"/>
      <w:spacing w:before="100" w:beforeAutospacing="1" w:after="100" w:afterAutospacing="1"/>
      <w:textAlignment w:val="center"/>
    </w:pPr>
    <w:rPr>
      <w:rFonts w:ascii="Times New Roman" w:eastAsia="Times New Roman" w:hAnsi="Times New Roman" w:cs="Times New Roman"/>
      <w:color w:val="FF0000"/>
      <w:sz w:val="24"/>
      <w:szCs w:val="24"/>
      <w:lang w:eastAsia="en-AU"/>
    </w:rPr>
  </w:style>
  <w:style w:type="paragraph" w:customStyle="1" w:styleId="xl99">
    <w:name w:val="xl99"/>
    <w:basedOn w:val="Normal"/>
    <w:rsid w:val="008D1395"/>
    <w:pPr>
      <w:pBdr>
        <w:top w:val="single" w:sz="4" w:space="0" w:color="008089"/>
        <w:bottom w:val="single" w:sz="4" w:space="0" w:color="008089"/>
      </w:pBdr>
      <w:shd w:val="clear" w:color="000000" w:fill="F2F2F2"/>
      <w:suppressAutoHyphens w:val="0"/>
      <w:spacing w:before="100" w:beforeAutospacing="1" w:after="100" w:afterAutospacing="1"/>
      <w:textAlignment w:val="center"/>
    </w:pPr>
    <w:rPr>
      <w:rFonts w:ascii="Times New Roman" w:eastAsia="Times New Roman" w:hAnsi="Times New Roman" w:cs="Times New Roman"/>
      <w:color w:val="auto"/>
      <w:sz w:val="24"/>
      <w:szCs w:val="24"/>
      <w:lang w:eastAsia="en-AU"/>
    </w:rPr>
  </w:style>
  <w:style w:type="paragraph" w:customStyle="1" w:styleId="xl100">
    <w:name w:val="xl100"/>
    <w:basedOn w:val="Normal"/>
    <w:rsid w:val="008D1395"/>
    <w:pPr>
      <w:shd w:val="clear" w:color="000000" w:fill="FFC000"/>
      <w:suppressAutoHyphens w:val="0"/>
      <w:spacing w:before="100" w:beforeAutospacing="1" w:after="100" w:afterAutospacing="1"/>
      <w:textAlignment w:val="center"/>
    </w:pPr>
    <w:rPr>
      <w:rFonts w:ascii="Times New Roman" w:eastAsia="Times New Roman" w:hAnsi="Times New Roman" w:cs="Times New Roman"/>
      <w:b/>
      <w:bCs/>
      <w:color w:val="FFFFFF"/>
      <w:sz w:val="24"/>
      <w:szCs w:val="24"/>
      <w:lang w:eastAsia="en-AU"/>
    </w:rPr>
  </w:style>
  <w:style w:type="paragraph" w:customStyle="1" w:styleId="xl101">
    <w:name w:val="xl101"/>
    <w:basedOn w:val="Normal"/>
    <w:rsid w:val="008D1395"/>
    <w:pPr>
      <w:shd w:val="clear" w:color="000000" w:fill="081E3E"/>
      <w:suppressAutoHyphens w:val="0"/>
      <w:spacing w:before="100" w:beforeAutospacing="1" w:after="100" w:afterAutospacing="1"/>
      <w:textAlignment w:val="center"/>
    </w:pPr>
    <w:rPr>
      <w:rFonts w:ascii="Times New Roman" w:eastAsia="Times New Roman" w:hAnsi="Times New Roman" w:cs="Times New Roman"/>
      <w:b/>
      <w:bCs/>
      <w:color w:val="FFFFFF"/>
      <w:sz w:val="24"/>
      <w:szCs w:val="24"/>
      <w:lang w:eastAsia="en-AU"/>
    </w:rPr>
  </w:style>
  <w:style w:type="paragraph" w:customStyle="1" w:styleId="xl102">
    <w:name w:val="xl102"/>
    <w:basedOn w:val="Normal"/>
    <w:rsid w:val="008D1395"/>
    <w:pPr>
      <w:pBdr>
        <w:bottom w:val="single" w:sz="8" w:space="0" w:color="008089"/>
      </w:pBdr>
      <w:shd w:val="clear" w:color="000000" w:fill="F2F2F2"/>
      <w:suppressAutoHyphens w:val="0"/>
      <w:spacing w:before="100" w:beforeAutospacing="1" w:after="100" w:afterAutospacing="1"/>
      <w:textAlignment w:val="center"/>
    </w:pPr>
    <w:rPr>
      <w:rFonts w:ascii="Times New Roman" w:eastAsia="Times New Roman" w:hAnsi="Times New Roman" w:cs="Times New Roman"/>
      <w:color w:val="FF0000"/>
      <w:sz w:val="24"/>
      <w:szCs w:val="24"/>
      <w:lang w:eastAsia="en-AU"/>
    </w:rPr>
  </w:style>
  <w:style w:type="paragraph" w:customStyle="1" w:styleId="xl103">
    <w:name w:val="xl103"/>
    <w:basedOn w:val="Normal"/>
    <w:rsid w:val="008D1395"/>
    <w:pPr>
      <w:pBdr>
        <w:top w:val="single" w:sz="8" w:space="0" w:color="008089"/>
        <w:bottom w:val="single" w:sz="4" w:space="0" w:color="008089"/>
      </w:pBdr>
      <w:shd w:val="clear" w:color="000000" w:fill="F2F2F2"/>
      <w:suppressAutoHyphens w:val="0"/>
      <w:spacing w:before="100" w:beforeAutospacing="1" w:after="100" w:afterAutospacing="1"/>
      <w:textAlignment w:val="center"/>
    </w:pPr>
    <w:rPr>
      <w:rFonts w:ascii="Times New Roman" w:eastAsia="Times New Roman" w:hAnsi="Times New Roman" w:cs="Times New Roman"/>
      <w:color w:val="auto"/>
      <w:sz w:val="24"/>
      <w:szCs w:val="24"/>
      <w:lang w:eastAsia="en-AU"/>
    </w:rPr>
  </w:style>
  <w:style w:type="paragraph" w:customStyle="1" w:styleId="xl104">
    <w:name w:val="xl104"/>
    <w:basedOn w:val="Normal"/>
    <w:rsid w:val="008D1395"/>
    <w:pPr>
      <w:pBdr>
        <w:top w:val="single" w:sz="8" w:space="0" w:color="008089"/>
        <w:bottom w:val="single" w:sz="4" w:space="0" w:color="008089"/>
      </w:pBdr>
      <w:shd w:val="clear" w:color="000000" w:fill="F2F2F2"/>
      <w:suppressAutoHyphens w:val="0"/>
      <w:spacing w:before="100" w:beforeAutospacing="1" w:after="100" w:afterAutospacing="1"/>
      <w:jc w:val="center"/>
      <w:textAlignment w:val="center"/>
    </w:pPr>
    <w:rPr>
      <w:rFonts w:ascii="Times New Roman" w:eastAsia="Times New Roman" w:hAnsi="Times New Roman" w:cs="Times New Roman"/>
      <w:color w:val="auto"/>
      <w:sz w:val="24"/>
      <w:szCs w:val="24"/>
      <w:lang w:eastAsia="en-AU"/>
    </w:rPr>
  </w:style>
  <w:style w:type="paragraph" w:customStyle="1" w:styleId="xl105">
    <w:name w:val="xl105"/>
    <w:basedOn w:val="Normal"/>
    <w:rsid w:val="008D1395"/>
    <w:pPr>
      <w:pBdr>
        <w:top w:val="single" w:sz="4" w:space="0" w:color="008089"/>
        <w:bottom w:val="single" w:sz="4" w:space="0" w:color="008089"/>
      </w:pBdr>
      <w:shd w:val="clear" w:color="000000" w:fill="F2F2F2"/>
      <w:suppressAutoHyphens w:val="0"/>
      <w:spacing w:before="100" w:beforeAutospacing="1" w:after="100" w:afterAutospacing="1"/>
      <w:jc w:val="center"/>
      <w:textAlignment w:val="center"/>
    </w:pPr>
    <w:rPr>
      <w:rFonts w:ascii="Times New Roman" w:eastAsia="Times New Roman" w:hAnsi="Times New Roman" w:cs="Times New Roman"/>
      <w:color w:val="auto"/>
      <w:sz w:val="24"/>
      <w:szCs w:val="24"/>
      <w:lang w:eastAsia="en-AU"/>
    </w:rPr>
  </w:style>
  <w:style w:type="paragraph" w:customStyle="1" w:styleId="xl106">
    <w:name w:val="xl106"/>
    <w:basedOn w:val="Normal"/>
    <w:rsid w:val="008D1395"/>
    <w:pPr>
      <w:pBdr>
        <w:top w:val="single" w:sz="8" w:space="0" w:color="008089"/>
        <w:bottom w:val="single" w:sz="4" w:space="0" w:color="008089"/>
      </w:pBdr>
      <w:shd w:val="clear" w:color="000000" w:fill="F2F2F2"/>
      <w:suppressAutoHyphens w:val="0"/>
      <w:spacing w:before="100" w:beforeAutospacing="1" w:after="100" w:afterAutospacing="1"/>
      <w:textAlignment w:val="center"/>
    </w:pPr>
    <w:rPr>
      <w:rFonts w:ascii="Times New Roman" w:eastAsia="Times New Roman" w:hAnsi="Times New Roman" w:cs="Times New Roman"/>
      <w:color w:val="FF0000"/>
      <w:sz w:val="24"/>
      <w:szCs w:val="24"/>
      <w:lang w:eastAsia="en-AU"/>
    </w:rPr>
  </w:style>
  <w:style w:type="paragraph" w:customStyle="1" w:styleId="xl107">
    <w:name w:val="xl107"/>
    <w:basedOn w:val="Normal"/>
    <w:rsid w:val="008D1395"/>
    <w:pPr>
      <w:pBdr>
        <w:top w:val="single" w:sz="4" w:space="0" w:color="008089"/>
        <w:bottom w:val="single" w:sz="4" w:space="0" w:color="008089"/>
      </w:pBdr>
      <w:shd w:val="clear" w:color="000000" w:fill="F2F2F2"/>
      <w:suppressAutoHyphens w:val="0"/>
      <w:spacing w:before="100" w:beforeAutospacing="1" w:after="100" w:afterAutospacing="1"/>
      <w:textAlignment w:val="center"/>
    </w:pPr>
    <w:rPr>
      <w:rFonts w:ascii="Times New Roman" w:eastAsia="Times New Roman" w:hAnsi="Times New Roman" w:cs="Times New Roman"/>
      <w:color w:val="000000"/>
      <w:sz w:val="24"/>
      <w:szCs w:val="24"/>
      <w:lang w:eastAsia="en-AU"/>
    </w:rPr>
  </w:style>
  <w:style w:type="paragraph" w:customStyle="1" w:styleId="xl108">
    <w:name w:val="xl108"/>
    <w:basedOn w:val="Normal"/>
    <w:rsid w:val="008D1395"/>
    <w:pPr>
      <w:suppressAutoHyphens w:val="0"/>
      <w:spacing w:before="100" w:beforeAutospacing="1" w:after="100" w:afterAutospacing="1"/>
    </w:pPr>
    <w:rPr>
      <w:rFonts w:ascii="Times New Roman" w:eastAsia="Times New Roman" w:hAnsi="Times New Roman" w:cs="Times New Roman"/>
      <w:b/>
      <w:bCs/>
      <w:color w:val="auto"/>
      <w:sz w:val="24"/>
      <w:szCs w:val="24"/>
      <w:lang w:eastAsia="en-AU"/>
    </w:rPr>
  </w:style>
  <w:style w:type="paragraph" w:customStyle="1" w:styleId="xl109">
    <w:name w:val="xl109"/>
    <w:basedOn w:val="Normal"/>
    <w:rsid w:val="008D1395"/>
    <w:pPr>
      <w:pBdr>
        <w:top w:val="single" w:sz="8" w:space="0" w:color="008089"/>
        <w:bottom w:val="single" w:sz="4" w:space="0" w:color="008089"/>
      </w:pBdr>
      <w:shd w:val="clear" w:color="000000" w:fill="F2F2F2"/>
      <w:suppressAutoHyphens w:val="0"/>
      <w:spacing w:before="100" w:beforeAutospacing="1" w:after="100" w:afterAutospacing="1"/>
      <w:textAlignment w:val="center"/>
    </w:pPr>
    <w:rPr>
      <w:rFonts w:ascii="Times New Roman" w:eastAsia="Times New Roman" w:hAnsi="Times New Roman" w:cs="Times New Roman"/>
      <w:b/>
      <w:bCs/>
      <w:color w:val="auto"/>
      <w:sz w:val="24"/>
      <w:szCs w:val="24"/>
      <w:lang w:eastAsia="en-AU"/>
    </w:rPr>
  </w:style>
  <w:style w:type="paragraph" w:customStyle="1" w:styleId="xl110">
    <w:name w:val="xl110"/>
    <w:basedOn w:val="Normal"/>
    <w:rsid w:val="008D1395"/>
    <w:pPr>
      <w:pBdr>
        <w:top w:val="single" w:sz="4" w:space="0" w:color="008089"/>
        <w:bottom w:val="single" w:sz="4" w:space="0" w:color="008089"/>
      </w:pBdr>
      <w:shd w:val="clear" w:color="000000" w:fill="F2F2F2"/>
      <w:suppressAutoHyphens w:val="0"/>
      <w:spacing w:before="100" w:beforeAutospacing="1" w:after="100" w:afterAutospacing="1"/>
      <w:textAlignment w:val="center"/>
    </w:pPr>
    <w:rPr>
      <w:rFonts w:ascii="Times New Roman" w:eastAsia="Times New Roman" w:hAnsi="Times New Roman" w:cs="Times New Roman"/>
      <w:b/>
      <w:bCs/>
      <w:color w:val="auto"/>
      <w:sz w:val="24"/>
      <w:szCs w:val="24"/>
      <w:lang w:eastAsia="en-AU"/>
    </w:rPr>
  </w:style>
  <w:style w:type="paragraph" w:customStyle="1" w:styleId="xl111">
    <w:name w:val="xl111"/>
    <w:basedOn w:val="Normal"/>
    <w:rsid w:val="008D1395"/>
    <w:pPr>
      <w:pBdr>
        <w:bottom w:val="single" w:sz="4" w:space="0" w:color="008089"/>
      </w:pBdr>
      <w:shd w:val="clear" w:color="000000" w:fill="F2F2F2"/>
      <w:suppressAutoHyphens w:val="0"/>
      <w:spacing w:before="100" w:beforeAutospacing="1" w:after="100" w:afterAutospacing="1"/>
      <w:textAlignment w:val="center"/>
    </w:pPr>
    <w:rPr>
      <w:rFonts w:ascii="Times New Roman" w:eastAsia="Times New Roman" w:hAnsi="Times New Roman" w:cs="Times New Roman"/>
      <w:b/>
      <w:bCs/>
      <w:color w:val="FF0000"/>
      <w:sz w:val="24"/>
      <w:szCs w:val="24"/>
      <w:lang w:eastAsia="en-AU"/>
    </w:rPr>
  </w:style>
  <w:style w:type="paragraph" w:customStyle="1" w:styleId="xl112">
    <w:name w:val="xl112"/>
    <w:basedOn w:val="Normal"/>
    <w:rsid w:val="008D1395"/>
    <w:pPr>
      <w:pBdr>
        <w:bottom w:val="single" w:sz="8" w:space="0" w:color="008089"/>
      </w:pBdr>
      <w:shd w:val="clear" w:color="000000" w:fill="F2F2F2"/>
      <w:suppressAutoHyphens w:val="0"/>
      <w:spacing w:before="100" w:beforeAutospacing="1" w:after="100" w:afterAutospacing="1"/>
      <w:textAlignment w:val="center"/>
    </w:pPr>
    <w:rPr>
      <w:rFonts w:ascii="Times New Roman" w:eastAsia="Times New Roman" w:hAnsi="Times New Roman" w:cs="Times New Roman"/>
      <w:b/>
      <w:bCs/>
      <w:color w:val="auto"/>
      <w:sz w:val="24"/>
      <w:szCs w:val="24"/>
      <w:lang w:eastAsia="en-AU"/>
    </w:rPr>
  </w:style>
  <w:style w:type="paragraph" w:customStyle="1" w:styleId="xl113">
    <w:name w:val="xl113"/>
    <w:basedOn w:val="Normal"/>
    <w:rsid w:val="008D1395"/>
    <w:pPr>
      <w:pBdr>
        <w:top w:val="single" w:sz="4" w:space="0" w:color="008089"/>
        <w:bottom w:val="single" w:sz="4" w:space="0" w:color="008089"/>
      </w:pBdr>
      <w:shd w:val="clear" w:color="000000" w:fill="F2F2F2"/>
      <w:suppressAutoHyphens w:val="0"/>
      <w:spacing w:before="100" w:beforeAutospacing="1" w:after="100" w:afterAutospacing="1"/>
      <w:textAlignment w:val="center"/>
    </w:pPr>
    <w:rPr>
      <w:rFonts w:ascii="Times New Roman" w:eastAsia="Times New Roman" w:hAnsi="Times New Roman" w:cs="Times New Roman"/>
      <w:b/>
      <w:bCs/>
      <w:color w:val="FF0000"/>
      <w:sz w:val="24"/>
      <w:szCs w:val="24"/>
      <w:lang w:eastAsia="en-AU"/>
    </w:rPr>
  </w:style>
  <w:style w:type="paragraph" w:customStyle="1" w:styleId="xl114">
    <w:name w:val="xl114"/>
    <w:basedOn w:val="Normal"/>
    <w:rsid w:val="008D1395"/>
    <w:pPr>
      <w:pBdr>
        <w:top w:val="single" w:sz="4" w:space="0" w:color="008089"/>
        <w:bottom w:val="single" w:sz="8" w:space="0" w:color="008089"/>
      </w:pBdr>
      <w:shd w:val="clear" w:color="000000" w:fill="F2F2F2"/>
      <w:suppressAutoHyphens w:val="0"/>
      <w:spacing w:before="100" w:beforeAutospacing="1" w:after="100" w:afterAutospacing="1"/>
      <w:textAlignment w:val="center"/>
    </w:pPr>
    <w:rPr>
      <w:rFonts w:ascii="Times New Roman" w:eastAsia="Times New Roman" w:hAnsi="Times New Roman" w:cs="Times New Roman"/>
      <w:b/>
      <w:bCs/>
      <w:color w:val="auto"/>
      <w:sz w:val="24"/>
      <w:szCs w:val="24"/>
      <w:lang w:eastAsia="en-AU"/>
    </w:rPr>
  </w:style>
  <w:style w:type="paragraph" w:customStyle="1" w:styleId="xl115">
    <w:name w:val="xl115"/>
    <w:basedOn w:val="Normal"/>
    <w:rsid w:val="008D1395"/>
    <w:pPr>
      <w:shd w:val="clear" w:color="000000" w:fill="F2F2F2"/>
      <w:suppressAutoHyphens w:val="0"/>
      <w:spacing w:before="100" w:beforeAutospacing="1" w:after="100" w:afterAutospacing="1"/>
      <w:textAlignment w:val="center"/>
    </w:pPr>
    <w:rPr>
      <w:rFonts w:ascii="Times New Roman" w:eastAsia="Times New Roman" w:hAnsi="Times New Roman" w:cs="Times New Roman"/>
      <w:b/>
      <w:bCs/>
      <w:color w:val="FF0000"/>
      <w:sz w:val="24"/>
      <w:szCs w:val="24"/>
      <w:lang w:eastAsia="en-AU"/>
    </w:rPr>
  </w:style>
  <w:style w:type="paragraph" w:customStyle="1" w:styleId="xl116">
    <w:name w:val="xl116"/>
    <w:basedOn w:val="Normal"/>
    <w:rsid w:val="008D1395"/>
    <w:pPr>
      <w:pBdr>
        <w:top w:val="single" w:sz="8" w:space="0" w:color="008089"/>
        <w:bottom w:val="single" w:sz="4" w:space="0" w:color="008089"/>
      </w:pBdr>
      <w:shd w:val="clear" w:color="000000" w:fill="F2F2F2"/>
      <w:suppressAutoHyphens w:val="0"/>
      <w:spacing w:before="100" w:beforeAutospacing="1" w:after="100" w:afterAutospacing="1"/>
      <w:textAlignment w:val="center"/>
    </w:pPr>
    <w:rPr>
      <w:rFonts w:ascii="Times New Roman" w:eastAsia="Times New Roman" w:hAnsi="Times New Roman" w:cs="Times New Roman"/>
      <w:b/>
      <w:bCs/>
      <w:color w:val="FF0000"/>
      <w:sz w:val="24"/>
      <w:szCs w:val="24"/>
      <w:lang w:eastAsia="en-AU"/>
    </w:rPr>
  </w:style>
  <w:style w:type="paragraph" w:customStyle="1" w:styleId="xl117">
    <w:name w:val="xl117"/>
    <w:basedOn w:val="Normal"/>
    <w:rsid w:val="008D1395"/>
    <w:pPr>
      <w:pBdr>
        <w:top w:val="single" w:sz="4" w:space="0" w:color="008089"/>
        <w:bottom w:val="single" w:sz="4" w:space="0" w:color="008089"/>
      </w:pBdr>
      <w:shd w:val="clear" w:color="000000" w:fill="F2F2F2"/>
      <w:suppressAutoHyphens w:val="0"/>
      <w:spacing w:before="100" w:beforeAutospacing="1" w:after="100" w:afterAutospacing="1"/>
      <w:textAlignment w:val="center"/>
    </w:pPr>
    <w:rPr>
      <w:rFonts w:ascii="Times New Roman" w:eastAsia="Times New Roman" w:hAnsi="Times New Roman" w:cs="Times New Roman"/>
      <w:b/>
      <w:bCs/>
      <w:color w:val="FF0000"/>
      <w:sz w:val="24"/>
      <w:szCs w:val="24"/>
      <w:lang w:eastAsia="en-AU"/>
    </w:rPr>
  </w:style>
  <w:style w:type="paragraph" w:customStyle="1" w:styleId="xl118">
    <w:name w:val="xl118"/>
    <w:basedOn w:val="Normal"/>
    <w:rsid w:val="008D1395"/>
    <w:pPr>
      <w:pBdr>
        <w:top w:val="single" w:sz="4" w:space="0" w:color="008089"/>
        <w:bottom w:val="single" w:sz="4" w:space="0" w:color="008089"/>
      </w:pBdr>
      <w:shd w:val="clear" w:color="000000" w:fill="F2F2F2"/>
      <w:suppressAutoHyphens w:val="0"/>
      <w:spacing w:before="100" w:beforeAutospacing="1" w:after="100" w:afterAutospacing="1"/>
      <w:jc w:val="center"/>
      <w:textAlignment w:val="center"/>
    </w:pPr>
    <w:rPr>
      <w:rFonts w:ascii="Times New Roman" w:eastAsia="Times New Roman" w:hAnsi="Times New Roman" w:cs="Times New Roman"/>
      <w:b/>
      <w:bCs/>
      <w:color w:val="auto"/>
      <w:sz w:val="24"/>
      <w:szCs w:val="24"/>
      <w:lang w:eastAsia="en-AU"/>
    </w:rPr>
  </w:style>
  <w:style w:type="paragraph" w:customStyle="1" w:styleId="xl119">
    <w:name w:val="xl119"/>
    <w:basedOn w:val="Normal"/>
    <w:rsid w:val="008D1395"/>
    <w:pPr>
      <w:pBdr>
        <w:top w:val="single" w:sz="8" w:space="0" w:color="008089"/>
        <w:bottom w:val="single" w:sz="4" w:space="0" w:color="008089"/>
      </w:pBdr>
      <w:shd w:val="clear" w:color="000000" w:fill="F2F2F2"/>
      <w:suppressAutoHyphens w:val="0"/>
      <w:spacing w:before="100" w:beforeAutospacing="1" w:after="100" w:afterAutospacing="1"/>
      <w:jc w:val="center"/>
      <w:textAlignment w:val="center"/>
    </w:pPr>
    <w:rPr>
      <w:rFonts w:ascii="Times New Roman" w:eastAsia="Times New Roman" w:hAnsi="Times New Roman" w:cs="Times New Roman"/>
      <w:b/>
      <w:bCs/>
      <w:color w:val="auto"/>
      <w:sz w:val="24"/>
      <w:szCs w:val="24"/>
      <w:lang w:eastAsia="en-AU"/>
    </w:rPr>
  </w:style>
  <w:style w:type="paragraph" w:customStyle="1" w:styleId="xl120">
    <w:name w:val="xl120"/>
    <w:basedOn w:val="Normal"/>
    <w:rsid w:val="008D1395"/>
    <w:pPr>
      <w:pBdr>
        <w:top w:val="single" w:sz="4" w:space="0" w:color="008089"/>
        <w:bottom w:val="single" w:sz="4" w:space="0" w:color="008089"/>
      </w:pBdr>
      <w:shd w:val="clear" w:color="000000" w:fill="F2F2F2"/>
      <w:suppressAutoHyphens w:val="0"/>
      <w:spacing w:before="100" w:beforeAutospacing="1" w:after="100" w:afterAutospacing="1"/>
      <w:jc w:val="center"/>
      <w:textAlignment w:val="center"/>
    </w:pPr>
    <w:rPr>
      <w:rFonts w:ascii="Times New Roman" w:eastAsia="Times New Roman" w:hAnsi="Times New Roman" w:cs="Times New Roman"/>
      <w:b/>
      <w:bCs/>
      <w:color w:val="000000"/>
      <w:sz w:val="24"/>
      <w:szCs w:val="24"/>
      <w:lang w:eastAsia="en-AU"/>
    </w:rPr>
  </w:style>
  <w:style w:type="paragraph" w:customStyle="1" w:styleId="xl121">
    <w:name w:val="xl121"/>
    <w:basedOn w:val="Normal"/>
    <w:rsid w:val="008D1395"/>
    <w:pPr>
      <w:pBdr>
        <w:top w:val="single" w:sz="4" w:space="0" w:color="008089"/>
        <w:bottom w:val="single" w:sz="8" w:space="0" w:color="008089"/>
      </w:pBdr>
      <w:shd w:val="clear" w:color="000000" w:fill="F2F2F2"/>
      <w:suppressAutoHyphens w:val="0"/>
      <w:spacing w:before="100" w:beforeAutospacing="1" w:after="100" w:afterAutospacing="1"/>
      <w:textAlignment w:val="center"/>
    </w:pPr>
    <w:rPr>
      <w:rFonts w:ascii="Times New Roman" w:eastAsia="Times New Roman" w:hAnsi="Times New Roman" w:cs="Times New Roman"/>
      <w:b/>
      <w:bCs/>
      <w:color w:val="FF0000"/>
      <w:sz w:val="24"/>
      <w:szCs w:val="24"/>
      <w:lang w:eastAsia="en-AU"/>
    </w:rPr>
  </w:style>
  <w:style w:type="paragraph" w:customStyle="1" w:styleId="xl122">
    <w:name w:val="xl122"/>
    <w:basedOn w:val="Normal"/>
    <w:rsid w:val="008D1395"/>
    <w:pPr>
      <w:pBdr>
        <w:top w:val="single" w:sz="8" w:space="0" w:color="008089"/>
        <w:bottom w:val="single" w:sz="8" w:space="0" w:color="008089"/>
      </w:pBdr>
      <w:shd w:val="clear" w:color="000000" w:fill="F2F2F2"/>
      <w:suppressAutoHyphens w:val="0"/>
      <w:spacing w:before="100" w:beforeAutospacing="1" w:after="100" w:afterAutospacing="1"/>
      <w:textAlignment w:val="center"/>
    </w:pPr>
    <w:rPr>
      <w:rFonts w:ascii="Times New Roman" w:eastAsia="Times New Roman" w:hAnsi="Times New Roman" w:cs="Times New Roman"/>
      <w:b/>
      <w:bCs/>
      <w:color w:val="FF0000"/>
      <w:sz w:val="24"/>
      <w:szCs w:val="24"/>
      <w:lang w:eastAsia="en-AU"/>
    </w:rPr>
  </w:style>
  <w:style w:type="paragraph" w:customStyle="1" w:styleId="xl123">
    <w:name w:val="xl123"/>
    <w:basedOn w:val="Normal"/>
    <w:rsid w:val="008D1395"/>
    <w:pPr>
      <w:pBdr>
        <w:top w:val="single" w:sz="8" w:space="0" w:color="008089"/>
        <w:bottom w:val="single" w:sz="8" w:space="0" w:color="008089"/>
      </w:pBdr>
      <w:shd w:val="clear" w:color="000000" w:fill="F2F2F2"/>
      <w:suppressAutoHyphens w:val="0"/>
      <w:spacing w:before="100" w:beforeAutospacing="1" w:after="100" w:afterAutospacing="1"/>
      <w:textAlignment w:val="center"/>
    </w:pPr>
    <w:rPr>
      <w:rFonts w:ascii="Times New Roman" w:eastAsia="Times New Roman" w:hAnsi="Times New Roman" w:cs="Times New Roman"/>
      <w:b/>
      <w:bCs/>
      <w:color w:val="FF0000"/>
      <w:sz w:val="24"/>
      <w:szCs w:val="24"/>
      <w:lang w:eastAsia="en-AU"/>
    </w:rPr>
  </w:style>
  <w:style w:type="paragraph" w:customStyle="1" w:styleId="xl124">
    <w:name w:val="xl124"/>
    <w:basedOn w:val="Normal"/>
    <w:rsid w:val="008D1395"/>
    <w:pPr>
      <w:pBdr>
        <w:bottom w:val="single" w:sz="8" w:space="0" w:color="008089"/>
      </w:pBdr>
      <w:shd w:val="clear" w:color="000000" w:fill="F2F2F2"/>
      <w:suppressAutoHyphens w:val="0"/>
      <w:spacing w:before="100" w:beforeAutospacing="1" w:after="100" w:afterAutospacing="1"/>
      <w:textAlignment w:val="center"/>
    </w:pPr>
    <w:rPr>
      <w:rFonts w:ascii="Times New Roman" w:eastAsia="Times New Roman" w:hAnsi="Times New Roman" w:cs="Times New Roman"/>
      <w:b/>
      <w:bCs/>
      <w:color w:val="FF0000"/>
      <w:sz w:val="24"/>
      <w:szCs w:val="24"/>
      <w:lang w:eastAsia="en-AU"/>
    </w:rPr>
  </w:style>
  <w:style w:type="paragraph" w:customStyle="1" w:styleId="xl125">
    <w:name w:val="xl125"/>
    <w:basedOn w:val="Normal"/>
    <w:rsid w:val="008D1395"/>
    <w:pPr>
      <w:pBdr>
        <w:bottom w:val="single" w:sz="4" w:space="0" w:color="008089"/>
      </w:pBdr>
      <w:shd w:val="clear" w:color="000000" w:fill="F2F2F2"/>
      <w:suppressAutoHyphens w:val="0"/>
      <w:spacing w:before="100" w:beforeAutospacing="1" w:after="100" w:afterAutospacing="1"/>
      <w:jc w:val="center"/>
      <w:textAlignment w:val="center"/>
    </w:pPr>
    <w:rPr>
      <w:rFonts w:ascii="Times New Roman" w:eastAsia="Times New Roman" w:hAnsi="Times New Roman" w:cs="Times New Roman"/>
      <w:b/>
      <w:bCs/>
      <w:color w:val="auto"/>
      <w:sz w:val="24"/>
      <w:szCs w:val="24"/>
      <w:lang w:eastAsia="en-AU"/>
    </w:rPr>
  </w:style>
  <w:style w:type="paragraph" w:customStyle="1" w:styleId="xl126">
    <w:name w:val="xl126"/>
    <w:basedOn w:val="Normal"/>
    <w:rsid w:val="008D1395"/>
    <w:pPr>
      <w:pBdr>
        <w:bottom w:val="single" w:sz="8" w:space="0" w:color="008089"/>
      </w:pBdr>
      <w:shd w:val="clear" w:color="000000" w:fill="F2F2F2"/>
      <w:suppressAutoHyphens w:val="0"/>
      <w:spacing w:before="100" w:beforeAutospacing="1" w:after="100" w:afterAutospacing="1"/>
      <w:jc w:val="center"/>
      <w:textAlignment w:val="center"/>
    </w:pPr>
    <w:rPr>
      <w:rFonts w:ascii="Times New Roman" w:eastAsia="Times New Roman" w:hAnsi="Times New Roman" w:cs="Times New Roman"/>
      <w:b/>
      <w:bCs/>
      <w:color w:val="auto"/>
      <w:sz w:val="24"/>
      <w:szCs w:val="24"/>
      <w:lang w:eastAsia="en-AU"/>
    </w:rPr>
  </w:style>
  <w:style w:type="paragraph" w:customStyle="1" w:styleId="xl127">
    <w:name w:val="xl127"/>
    <w:basedOn w:val="Normal"/>
    <w:rsid w:val="008D1395"/>
    <w:pPr>
      <w:pBdr>
        <w:top w:val="single" w:sz="4" w:space="0" w:color="008089"/>
        <w:bottom w:val="single" w:sz="8" w:space="0" w:color="008089"/>
      </w:pBdr>
      <w:shd w:val="clear" w:color="000000" w:fill="F2F2F2"/>
      <w:suppressAutoHyphens w:val="0"/>
      <w:spacing w:before="100" w:beforeAutospacing="1" w:after="100" w:afterAutospacing="1"/>
      <w:jc w:val="center"/>
      <w:textAlignment w:val="center"/>
    </w:pPr>
    <w:rPr>
      <w:rFonts w:ascii="Times New Roman" w:eastAsia="Times New Roman" w:hAnsi="Times New Roman" w:cs="Times New Roman"/>
      <w:b/>
      <w:bCs/>
      <w:color w:val="auto"/>
      <w:sz w:val="24"/>
      <w:szCs w:val="24"/>
      <w:lang w:eastAsia="en-AU"/>
    </w:rPr>
  </w:style>
  <w:style w:type="paragraph" w:customStyle="1" w:styleId="xl128">
    <w:name w:val="xl128"/>
    <w:basedOn w:val="Normal"/>
    <w:rsid w:val="008D1395"/>
    <w:pPr>
      <w:pBdr>
        <w:bottom w:val="single" w:sz="8" w:space="0" w:color="008089"/>
      </w:pBdr>
      <w:shd w:val="clear" w:color="000000" w:fill="F2F2F2"/>
      <w:suppressAutoHyphens w:val="0"/>
      <w:spacing w:before="100" w:beforeAutospacing="1" w:after="100" w:afterAutospacing="1"/>
      <w:jc w:val="center"/>
      <w:textAlignment w:val="center"/>
    </w:pPr>
    <w:rPr>
      <w:rFonts w:ascii="Times New Roman" w:eastAsia="Times New Roman" w:hAnsi="Times New Roman" w:cs="Times New Roman"/>
      <w:b/>
      <w:bCs/>
      <w:color w:val="auto"/>
      <w:sz w:val="24"/>
      <w:szCs w:val="24"/>
      <w:lang w:eastAsia="en-AU"/>
    </w:rPr>
  </w:style>
  <w:style w:type="paragraph" w:customStyle="1" w:styleId="xl129">
    <w:name w:val="xl129"/>
    <w:basedOn w:val="Normal"/>
    <w:rsid w:val="008D1395"/>
    <w:pPr>
      <w:shd w:val="clear" w:color="000000" w:fill="F2F2F2"/>
      <w:suppressAutoHyphens w:val="0"/>
      <w:spacing w:before="100" w:beforeAutospacing="1" w:after="100" w:afterAutospacing="1"/>
      <w:textAlignment w:val="center"/>
    </w:pPr>
    <w:rPr>
      <w:rFonts w:ascii="Times New Roman" w:eastAsia="Times New Roman" w:hAnsi="Times New Roman" w:cs="Times New Roman"/>
      <w:b/>
      <w:bCs/>
      <w:color w:val="auto"/>
      <w:sz w:val="24"/>
      <w:szCs w:val="24"/>
      <w:lang w:eastAsia="en-AU"/>
    </w:rPr>
  </w:style>
  <w:style w:type="paragraph" w:customStyle="1" w:styleId="xl130">
    <w:name w:val="xl130"/>
    <w:basedOn w:val="Normal"/>
    <w:rsid w:val="008D1395"/>
    <w:pPr>
      <w:shd w:val="clear" w:color="000000" w:fill="F2F2F2"/>
      <w:suppressAutoHyphens w:val="0"/>
      <w:spacing w:before="100" w:beforeAutospacing="1" w:after="100" w:afterAutospacing="1"/>
      <w:jc w:val="center"/>
      <w:textAlignment w:val="center"/>
    </w:pPr>
    <w:rPr>
      <w:rFonts w:ascii="Times New Roman" w:eastAsia="Times New Roman" w:hAnsi="Times New Roman" w:cs="Times New Roman"/>
      <w:b/>
      <w:bCs/>
      <w:color w:val="auto"/>
      <w:sz w:val="24"/>
      <w:szCs w:val="24"/>
      <w:lang w:eastAsia="en-AU"/>
    </w:rPr>
  </w:style>
  <w:style w:type="paragraph" w:customStyle="1" w:styleId="xl131">
    <w:name w:val="xl131"/>
    <w:basedOn w:val="Normal"/>
    <w:rsid w:val="008D1395"/>
    <w:pPr>
      <w:pBdr>
        <w:top w:val="single" w:sz="8" w:space="0" w:color="008089"/>
        <w:bottom w:val="single" w:sz="8" w:space="0" w:color="008089"/>
      </w:pBdr>
      <w:shd w:val="clear" w:color="000000" w:fill="F2F2F2"/>
      <w:suppressAutoHyphens w:val="0"/>
      <w:spacing w:before="100" w:beforeAutospacing="1" w:after="100" w:afterAutospacing="1"/>
      <w:jc w:val="center"/>
      <w:textAlignment w:val="center"/>
    </w:pPr>
    <w:rPr>
      <w:rFonts w:ascii="Times New Roman" w:eastAsia="Times New Roman" w:hAnsi="Times New Roman" w:cs="Times New Roman"/>
      <w:color w:val="auto"/>
      <w:sz w:val="24"/>
      <w:szCs w:val="24"/>
      <w:lang w:eastAsia="en-AU"/>
    </w:rPr>
  </w:style>
  <w:style w:type="paragraph" w:customStyle="1" w:styleId="xl132">
    <w:name w:val="xl132"/>
    <w:basedOn w:val="Normal"/>
    <w:rsid w:val="008D1395"/>
    <w:pPr>
      <w:pBdr>
        <w:top w:val="single" w:sz="8" w:space="0" w:color="008089"/>
        <w:bottom w:val="single" w:sz="8" w:space="0" w:color="008089"/>
      </w:pBdr>
      <w:shd w:val="clear" w:color="000000" w:fill="F2F2F2"/>
      <w:suppressAutoHyphens w:val="0"/>
      <w:spacing w:before="100" w:beforeAutospacing="1" w:after="100" w:afterAutospacing="1"/>
      <w:textAlignment w:val="center"/>
    </w:pPr>
    <w:rPr>
      <w:rFonts w:ascii="Times New Roman" w:eastAsia="Times New Roman" w:hAnsi="Times New Roman" w:cs="Times New Roman"/>
      <w:b/>
      <w:bCs/>
      <w:color w:val="auto"/>
      <w:sz w:val="24"/>
      <w:szCs w:val="24"/>
      <w:lang w:eastAsia="en-AU"/>
    </w:rPr>
  </w:style>
  <w:style w:type="paragraph" w:customStyle="1" w:styleId="xl133">
    <w:name w:val="xl133"/>
    <w:basedOn w:val="Normal"/>
    <w:rsid w:val="008D1395"/>
    <w:pPr>
      <w:pBdr>
        <w:top w:val="single" w:sz="8" w:space="0" w:color="008089"/>
        <w:bottom w:val="single" w:sz="8" w:space="0" w:color="008089"/>
      </w:pBdr>
      <w:shd w:val="clear" w:color="000000" w:fill="F2F2F2"/>
      <w:suppressAutoHyphens w:val="0"/>
      <w:spacing w:before="100" w:beforeAutospacing="1" w:after="100" w:afterAutospacing="1"/>
      <w:textAlignment w:val="center"/>
    </w:pPr>
    <w:rPr>
      <w:rFonts w:ascii="Times New Roman" w:eastAsia="Times New Roman" w:hAnsi="Times New Roman" w:cs="Times New Roman"/>
      <w:color w:val="auto"/>
      <w:sz w:val="24"/>
      <w:szCs w:val="24"/>
      <w:lang w:eastAsia="en-AU"/>
    </w:rPr>
  </w:style>
  <w:style w:type="paragraph" w:customStyle="1" w:styleId="xl134">
    <w:name w:val="xl134"/>
    <w:basedOn w:val="Normal"/>
    <w:rsid w:val="008D1395"/>
    <w:pPr>
      <w:pBdr>
        <w:top w:val="single" w:sz="8" w:space="0" w:color="008089"/>
      </w:pBdr>
      <w:shd w:val="clear" w:color="000000" w:fill="F2F2F2"/>
      <w:suppressAutoHyphens w:val="0"/>
      <w:spacing w:before="100" w:beforeAutospacing="1" w:after="100" w:afterAutospacing="1"/>
      <w:jc w:val="center"/>
      <w:textAlignment w:val="center"/>
    </w:pPr>
    <w:rPr>
      <w:rFonts w:ascii="Times New Roman" w:eastAsia="Times New Roman" w:hAnsi="Times New Roman" w:cs="Times New Roman"/>
      <w:b/>
      <w:bCs/>
      <w:color w:val="000000"/>
      <w:sz w:val="24"/>
      <w:szCs w:val="24"/>
      <w:lang w:eastAsia="en-AU"/>
    </w:rPr>
  </w:style>
  <w:style w:type="paragraph" w:customStyle="1" w:styleId="xl135">
    <w:name w:val="xl135"/>
    <w:basedOn w:val="Normal"/>
    <w:rsid w:val="008D1395"/>
    <w:pPr>
      <w:pBdr>
        <w:bottom w:val="single" w:sz="8" w:space="0" w:color="008089"/>
      </w:pBdr>
      <w:shd w:val="clear" w:color="000000" w:fill="F2F2F2"/>
      <w:suppressAutoHyphens w:val="0"/>
      <w:spacing w:before="100" w:beforeAutospacing="1" w:after="100" w:afterAutospacing="1"/>
      <w:jc w:val="center"/>
      <w:textAlignment w:val="center"/>
    </w:pPr>
    <w:rPr>
      <w:rFonts w:ascii="Times New Roman" w:eastAsia="Times New Roman" w:hAnsi="Times New Roman" w:cs="Times New Roman"/>
      <w:b/>
      <w:bCs/>
      <w:color w:val="000000"/>
      <w:sz w:val="24"/>
      <w:szCs w:val="24"/>
      <w:lang w:eastAsia="en-AU"/>
    </w:rPr>
  </w:style>
  <w:style w:type="paragraph" w:customStyle="1" w:styleId="xl136">
    <w:name w:val="xl136"/>
    <w:basedOn w:val="Normal"/>
    <w:rsid w:val="008D1395"/>
    <w:pPr>
      <w:pBdr>
        <w:top w:val="single" w:sz="4" w:space="0" w:color="008089"/>
        <w:bottom w:val="single" w:sz="8" w:space="0" w:color="008089"/>
      </w:pBdr>
      <w:shd w:val="clear" w:color="000000" w:fill="F2F2F2"/>
      <w:suppressAutoHyphens w:val="0"/>
      <w:spacing w:before="100" w:beforeAutospacing="1" w:after="100" w:afterAutospacing="1"/>
      <w:jc w:val="center"/>
      <w:textAlignment w:val="center"/>
    </w:pPr>
    <w:rPr>
      <w:rFonts w:ascii="Times New Roman" w:eastAsia="Times New Roman" w:hAnsi="Times New Roman" w:cs="Times New Roman"/>
      <w:color w:val="auto"/>
      <w:sz w:val="24"/>
      <w:szCs w:val="24"/>
      <w:lang w:eastAsia="en-AU"/>
    </w:rPr>
  </w:style>
  <w:style w:type="paragraph" w:customStyle="1" w:styleId="xl137">
    <w:name w:val="xl137"/>
    <w:basedOn w:val="Normal"/>
    <w:rsid w:val="008D1395"/>
    <w:pPr>
      <w:pBdr>
        <w:top w:val="single" w:sz="4" w:space="0" w:color="008089"/>
        <w:bottom w:val="single" w:sz="8" w:space="0" w:color="008089"/>
      </w:pBdr>
      <w:shd w:val="clear" w:color="000000" w:fill="F2F2F2"/>
      <w:suppressAutoHyphens w:val="0"/>
      <w:spacing w:before="100" w:beforeAutospacing="1" w:after="100" w:afterAutospacing="1"/>
      <w:textAlignment w:val="center"/>
    </w:pPr>
    <w:rPr>
      <w:rFonts w:ascii="Times New Roman" w:eastAsia="Times New Roman" w:hAnsi="Times New Roman" w:cs="Times New Roman"/>
      <w:color w:val="auto"/>
      <w:sz w:val="24"/>
      <w:szCs w:val="24"/>
      <w:lang w:eastAsia="en-AU"/>
    </w:rPr>
  </w:style>
  <w:style w:type="paragraph" w:customStyle="1" w:styleId="xl138">
    <w:name w:val="xl138"/>
    <w:basedOn w:val="Normal"/>
    <w:rsid w:val="008D1395"/>
    <w:pPr>
      <w:pBdr>
        <w:top w:val="single" w:sz="4" w:space="0" w:color="008089"/>
        <w:bottom w:val="single" w:sz="4" w:space="0" w:color="008089"/>
      </w:pBdr>
      <w:shd w:val="clear" w:color="000000" w:fill="F2F2F2"/>
      <w:suppressAutoHyphens w:val="0"/>
      <w:spacing w:before="100" w:beforeAutospacing="1" w:after="100" w:afterAutospacing="1"/>
      <w:jc w:val="center"/>
      <w:textAlignment w:val="center"/>
    </w:pPr>
    <w:rPr>
      <w:rFonts w:ascii="Times New Roman" w:eastAsia="Times New Roman" w:hAnsi="Times New Roman" w:cs="Times New Roman"/>
      <w:color w:val="auto"/>
      <w:sz w:val="24"/>
      <w:szCs w:val="24"/>
      <w:lang w:eastAsia="en-AU"/>
    </w:rPr>
  </w:style>
  <w:style w:type="paragraph" w:customStyle="1" w:styleId="xl139">
    <w:name w:val="xl139"/>
    <w:basedOn w:val="Normal"/>
    <w:rsid w:val="008D1395"/>
    <w:pPr>
      <w:pBdr>
        <w:bottom w:val="single" w:sz="8" w:space="0" w:color="008089"/>
      </w:pBdr>
      <w:shd w:val="clear" w:color="000000" w:fill="F2F2F2"/>
      <w:suppressAutoHyphens w:val="0"/>
      <w:spacing w:before="100" w:beforeAutospacing="1" w:after="100" w:afterAutospacing="1"/>
      <w:jc w:val="center"/>
      <w:textAlignment w:val="center"/>
    </w:pPr>
    <w:rPr>
      <w:rFonts w:ascii="Times New Roman" w:eastAsia="Times New Roman" w:hAnsi="Times New Roman" w:cs="Times New Roman"/>
      <w:color w:val="auto"/>
      <w:sz w:val="24"/>
      <w:szCs w:val="24"/>
      <w:lang w:eastAsia="en-AU"/>
    </w:rPr>
  </w:style>
  <w:style w:type="paragraph" w:customStyle="1" w:styleId="xl140">
    <w:name w:val="xl140"/>
    <w:basedOn w:val="Normal"/>
    <w:rsid w:val="008D1395"/>
    <w:pPr>
      <w:shd w:val="clear" w:color="000000" w:fill="F2F2F2"/>
      <w:suppressAutoHyphens w:val="0"/>
      <w:spacing w:before="100" w:beforeAutospacing="1" w:after="100" w:afterAutospacing="1"/>
      <w:textAlignment w:val="center"/>
    </w:pPr>
    <w:rPr>
      <w:rFonts w:ascii="Times New Roman" w:eastAsia="Times New Roman" w:hAnsi="Times New Roman" w:cs="Times New Roman"/>
      <w:color w:val="auto"/>
      <w:sz w:val="24"/>
      <w:szCs w:val="24"/>
      <w:lang w:eastAsia="en-AU"/>
    </w:rPr>
  </w:style>
  <w:style w:type="paragraph" w:customStyle="1" w:styleId="xl141">
    <w:name w:val="xl141"/>
    <w:basedOn w:val="Normal"/>
    <w:rsid w:val="008D1395"/>
    <w:pPr>
      <w:pBdr>
        <w:bottom w:val="single" w:sz="4" w:space="0" w:color="008089"/>
      </w:pBdr>
      <w:shd w:val="clear" w:color="000000" w:fill="F2F2F2"/>
      <w:suppressAutoHyphens w:val="0"/>
      <w:spacing w:before="100" w:beforeAutospacing="1" w:after="100" w:afterAutospacing="1"/>
      <w:textAlignment w:val="center"/>
    </w:pPr>
    <w:rPr>
      <w:rFonts w:ascii="Times New Roman" w:eastAsia="Times New Roman" w:hAnsi="Times New Roman" w:cs="Times New Roman"/>
      <w:color w:val="auto"/>
      <w:sz w:val="24"/>
      <w:szCs w:val="24"/>
      <w:lang w:eastAsia="en-AU"/>
    </w:rPr>
  </w:style>
  <w:style w:type="paragraph" w:customStyle="1" w:styleId="xl142">
    <w:name w:val="xl142"/>
    <w:basedOn w:val="Normal"/>
    <w:rsid w:val="008D1395"/>
    <w:pPr>
      <w:pBdr>
        <w:bottom w:val="single" w:sz="4" w:space="0" w:color="008089"/>
      </w:pBdr>
      <w:shd w:val="clear" w:color="000000" w:fill="F2F2F2"/>
      <w:suppressAutoHyphens w:val="0"/>
      <w:spacing w:before="100" w:beforeAutospacing="1" w:after="100" w:afterAutospacing="1"/>
      <w:textAlignment w:val="center"/>
    </w:pPr>
    <w:rPr>
      <w:rFonts w:ascii="Times New Roman" w:eastAsia="Times New Roman" w:hAnsi="Times New Roman" w:cs="Times New Roman"/>
      <w:b/>
      <w:bCs/>
      <w:color w:val="auto"/>
      <w:sz w:val="24"/>
      <w:szCs w:val="24"/>
      <w:lang w:eastAsia="en-AU"/>
    </w:rPr>
  </w:style>
  <w:style w:type="paragraph" w:customStyle="1" w:styleId="xl143">
    <w:name w:val="xl143"/>
    <w:basedOn w:val="Normal"/>
    <w:rsid w:val="008D1395"/>
    <w:pPr>
      <w:pBdr>
        <w:top w:val="single" w:sz="8" w:space="0" w:color="008089"/>
        <w:bottom w:val="single" w:sz="8" w:space="0" w:color="008089"/>
      </w:pBdr>
      <w:shd w:val="clear" w:color="000000" w:fill="F2F6E8"/>
      <w:suppressAutoHyphens w:val="0"/>
      <w:spacing w:before="100" w:beforeAutospacing="1" w:after="100" w:afterAutospacing="1"/>
      <w:textAlignment w:val="center"/>
    </w:pPr>
    <w:rPr>
      <w:rFonts w:ascii="Times New Roman" w:eastAsia="Times New Roman" w:hAnsi="Times New Roman" w:cs="Times New Roman"/>
      <w:color w:val="000000"/>
      <w:sz w:val="24"/>
      <w:szCs w:val="24"/>
      <w:lang w:eastAsia="en-AU"/>
    </w:rPr>
  </w:style>
  <w:style w:type="paragraph" w:customStyle="1" w:styleId="xl144">
    <w:name w:val="xl144"/>
    <w:basedOn w:val="Normal"/>
    <w:rsid w:val="008D1395"/>
    <w:pPr>
      <w:shd w:val="clear" w:color="000000" w:fill="F2F2F2"/>
      <w:suppressAutoHyphens w:val="0"/>
      <w:spacing w:before="100" w:beforeAutospacing="1" w:after="100" w:afterAutospacing="1"/>
      <w:jc w:val="center"/>
      <w:textAlignment w:val="center"/>
    </w:pPr>
    <w:rPr>
      <w:rFonts w:ascii="Times New Roman" w:eastAsia="Times New Roman" w:hAnsi="Times New Roman" w:cs="Times New Roman"/>
      <w:b/>
      <w:bCs/>
      <w:color w:val="000000"/>
      <w:sz w:val="24"/>
      <w:szCs w:val="24"/>
      <w:lang w:eastAsia="en-AU"/>
    </w:rPr>
  </w:style>
  <w:style w:type="paragraph" w:customStyle="1" w:styleId="xl145">
    <w:name w:val="xl145"/>
    <w:basedOn w:val="Normal"/>
    <w:rsid w:val="008D1395"/>
    <w:pPr>
      <w:pBdr>
        <w:top w:val="single" w:sz="4" w:space="0" w:color="008089"/>
      </w:pBdr>
      <w:shd w:val="clear" w:color="000000" w:fill="F2F2F2"/>
      <w:suppressAutoHyphens w:val="0"/>
      <w:spacing w:before="100" w:beforeAutospacing="1" w:after="100" w:afterAutospacing="1"/>
      <w:jc w:val="center"/>
      <w:textAlignment w:val="center"/>
    </w:pPr>
    <w:rPr>
      <w:rFonts w:ascii="Times New Roman" w:eastAsia="Times New Roman" w:hAnsi="Times New Roman" w:cs="Times New Roman"/>
      <w:color w:val="000000"/>
      <w:sz w:val="24"/>
      <w:szCs w:val="24"/>
      <w:lang w:eastAsia="en-AU"/>
    </w:rPr>
  </w:style>
  <w:style w:type="paragraph" w:customStyle="1" w:styleId="xl146">
    <w:name w:val="xl146"/>
    <w:basedOn w:val="Normal"/>
    <w:rsid w:val="008D1395"/>
    <w:pPr>
      <w:pBdr>
        <w:bottom w:val="single" w:sz="8" w:space="0" w:color="008089"/>
      </w:pBdr>
      <w:shd w:val="clear" w:color="000000" w:fill="F2F6E8"/>
      <w:suppressAutoHyphens w:val="0"/>
      <w:spacing w:before="100" w:beforeAutospacing="1" w:after="100" w:afterAutospacing="1"/>
      <w:textAlignment w:val="center"/>
    </w:pPr>
    <w:rPr>
      <w:rFonts w:ascii="Times New Roman" w:eastAsia="Times New Roman" w:hAnsi="Times New Roman" w:cs="Times New Roman"/>
      <w:color w:val="000000"/>
      <w:sz w:val="24"/>
      <w:szCs w:val="24"/>
      <w:lang w:eastAsia="en-AU"/>
    </w:rPr>
  </w:style>
  <w:style w:type="paragraph" w:customStyle="1" w:styleId="xl147">
    <w:name w:val="xl147"/>
    <w:basedOn w:val="Normal"/>
    <w:rsid w:val="008D1395"/>
    <w:pPr>
      <w:pBdr>
        <w:top w:val="single" w:sz="4" w:space="0" w:color="008089"/>
      </w:pBdr>
      <w:shd w:val="clear" w:color="000000" w:fill="F2F2F2"/>
      <w:suppressAutoHyphens w:val="0"/>
      <w:spacing w:before="100" w:beforeAutospacing="1" w:after="100" w:afterAutospacing="1"/>
      <w:jc w:val="center"/>
      <w:textAlignment w:val="center"/>
    </w:pPr>
    <w:rPr>
      <w:rFonts w:ascii="Times New Roman" w:eastAsia="Times New Roman" w:hAnsi="Times New Roman" w:cs="Times New Roman"/>
      <w:color w:val="FF0000"/>
      <w:sz w:val="24"/>
      <w:szCs w:val="24"/>
      <w:lang w:eastAsia="en-AU"/>
    </w:rPr>
  </w:style>
  <w:style w:type="paragraph" w:customStyle="1" w:styleId="xl148">
    <w:name w:val="xl148"/>
    <w:basedOn w:val="Normal"/>
    <w:rsid w:val="008D1395"/>
    <w:pPr>
      <w:pBdr>
        <w:bottom w:val="single" w:sz="4" w:space="0" w:color="008089"/>
      </w:pBdr>
      <w:shd w:val="clear" w:color="000000" w:fill="F2F2F2"/>
      <w:suppressAutoHyphens w:val="0"/>
      <w:spacing w:before="100" w:beforeAutospacing="1" w:after="100" w:afterAutospacing="1"/>
      <w:jc w:val="center"/>
      <w:textAlignment w:val="center"/>
    </w:pPr>
    <w:rPr>
      <w:rFonts w:ascii="Times New Roman" w:eastAsia="Times New Roman" w:hAnsi="Times New Roman" w:cs="Times New Roman"/>
      <w:color w:val="FF0000"/>
      <w:sz w:val="24"/>
      <w:szCs w:val="24"/>
      <w:lang w:eastAsia="en-AU"/>
    </w:rPr>
  </w:style>
  <w:style w:type="character" w:customStyle="1" w:styleId="UnresolvedMention5">
    <w:name w:val="Unresolved Mention5"/>
    <w:basedOn w:val="DefaultParagraphFont"/>
    <w:uiPriority w:val="99"/>
    <w:semiHidden/>
    <w:unhideWhenUsed/>
    <w:rsid w:val="006863AE"/>
    <w:rPr>
      <w:color w:val="605E5C"/>
      <w:shd w:val="clear" w:color="auto" w:fill="E1DFDD"/>
    </w:rPr>
  </w:style>
  <w:style w:type="paragraph" w:customStyle="1" w:styleId="font0">
    <w:name w:val="font0"/>
    <w:basedOn w:val="Normal"/>
    <w:rsid w:val="005715B9"/>
    <w:pPr>
      <w:suppressAutoHyphens w:val="0"/>
      <w:spacing w:before="100" w:beforeAutospacing="1" w:after="100" w:afterAutospacing="1"/>
    </w:pPr>
    <w:rPr>
      <w:rFonts w:ascii="Calibri" w:eastAsia="Times New Roman" w:hAnsi="Calibri" w:cs="Calibri"/>
      <w:color w:val="000000"/>
      <w:lang w:eastAsia="en-AU"/>
    </w:rPr>
  </w:style>
  <w:style w:type="paragraph" w:customStyle="1" w:styleId="font7">
    <w:name w:val="font7"/>
    <w:basedOn w:val="Normal"/>
    <w:rsid w:val="005715B9"/>
    <w:pPr>
      <w:suppressAutoHyphens w:val="0"/>
      <w:spacing w:before="100" w:beforeAutospacing="1" w:after="100" w:afterAutospacing="1"/>
    </w:pPr>
    <w:rPr>
      <w:rFonts w:ascii="Calibri" w:eastAsia="Times New Roman" w:hAnsi="Calibri" w:cs="Calibri"/>
      <w:b/>
      <w:bCs/>
      <w:color w:val="000000"/>
      <w:lang w:eastAsia="en-AU"/>
    </w:rPr>
  </w:style>
  <w:style w:type="paragraph" w:customStyle="1" w:styleId="font8">
    <w:name w:val="font8"/>
    <w:basedOn w:val="Normal"/>
    <w:rsid w:val="005715B9"/>
    <w:pPr>
      <w:suppressAutoHyphens w:val="0"/>
      <w:spacing w:before="100" w:beforeAutospacing="1" w:after="100" w:afterAutospacing="1"/>
    </w:pPr>
    <w:rPr>
      <w:rFonts w:ascii="Calibri" w:eastAsia="Times New Roman" w:hAnsi="Calibri" w:cs="Calibri"/>
      <w:color w:val="000000"/>
      <w:lang w:eastAsia="en-AU"/>
    </w:rPr>
  </w:style>
  <w:style w:type="paragraph" w:customStyle="1" w:styleId="font9">
    <w:name w:val="font9"/>
    <w:basedOn w:val="Normal"/>
    <w:rsid w:val="005715B9"/>
    <w:pPr>
      <w:suppressAutoHyphens w:val="0"/>
      <w:spacing w:before="100" w:beforeAutospacing="1" w:after="100" w:afterAutospacing="1"/>
    </w:pPr>
    <w:rPr>
      <w:rFonts w:ascii="Calibri" w:eastAsia="Times New Roman" w:hAnsi="Calibri" w:cs="Calibri"/>
      <w:color w:val="auto"/>
      <w:lang w:eastAsia="en-AU"/>
    </w:rPr>
  </w:style>
  <w:style w:type="paragraph" w:customStyle="1" w:styleId="font10">
    <w:name w:val="font10"/>
    <w:basedOn w:val="Normal"/>
    <w:rsid w:val="005715B9"/>
    <w:pPr>
      <w:suppressAutoHyphens w:val="0"/>
      <w:spacing w:before="100" w:beforeAutospacing="1" w:after="100" w:afterAutospacing="1"/>
    </w:pPr>
    <w:rPr>
      <w:rFonts w:ascii="Calibri" w:eastAsia="Times New Roman" w:hAnsi="Calibri" w:cs="Calibri"/>
      <w:b/>
      <w:bCs/>
      <w:color w:val="000000"/>
      <w:lang w:eastAsia="en-AU"/>
    </w:rPr>
  </w:style>
  <w:style w:type="paragraph" w:customStyle="1" w:styleId="xl149">
    <w:name w:val="xl149"/>
    <w:basedOn w:val="Normal"/>
    <w:rsid w:val="005715B9"/>
    <w:pPr>
      <w:pBdr>
        <w:right w:val="single" w:sz="8" w:space="0" w:color="008089"/>
      </w:pBdr>
      <w:shd w:val="clear" w:color="000000" w:fill="F2F2F2"/>
      <w:suppressAutoHyphens w:val="0"/>
      <w:spacing w:before="100" w:beforeAutospacing="1" w:after="100" w:afterAutospacing="1"/>
      <w:jc w:val="right"/>
      <w:textAlignment w:val="center"/>
    </w:pPr>
    <w:rPr>
      <w:rFonts w:ascii="Times New Roman" w:eastAsia="Times New Roman" w:hAnsi="Times New Roman" w:cs="Times New Roman"/>
      <w:color w:val="FF0000"/>
      <w:sz w:val="24"/>
      <w:szCs w:val="24"/>
      <w:lang w:eastAsia="en-AU"/>
    </w:rPr>
  </w:style>
  <w:style w:type="paragraph" w:customStyle="1" w:styleId="xl150">
    <w:name w:val="xl150"/>
    <w:basedOn w:val="Normal"/>
    <w:rsid w:val="005715B9"/>
    <w:pPr>
      <w:pBdr>
        <w:top w:val="single" w:sz="8" w:space="0" w:color="008089"/>
        <w:bottom w:val="single" w:sz="4" w:space="0" w:color="008089"/>
        <w:right w:val="single" w:sz="8" w:space="0" w:color="008089"/>
      </w:pBdr>
      <w:shd w:val="clear" w:color="000000" w:fill="F2F2F2"/>
      <w:suppressAutoHyphens w:val="0"/>
      <w:spacing w:before="100" w:beforeAutospacing="1" w:after="100" w:afterAutospacing="1"/>
      <w:jc w:val="right"/>
      <w:textAlignment w:val="center"/>
    </w:pPr>
    <w:rPr>
      <w:rFonts w:ascii="Times New Roman" w:eastAsia="Times New Roman" w:hAnsi="Times New Roman" w:cs="Times New Roman"/>
      <w:color w:val="FF0000"/>
      <w:sz w:val="24"/>
      <w:szCs w:val="24"/>
      <w:lang w:eastAsia="en-AU"/>
    </w:rPr>
  </w:style>
  <w:style w:type="paragraph" w:customStyle="1" w:styleId="xl151">
    <w:name w:val="xl151"/>
    <w:basedOn w:val="Normal"/>
    <w:rsid w:val="005715B9"/>
    <w:pPr>
      <w:pBdr>
        <w:bottom w:val="single" w:sz="4" w:space="0" w:color="008089"/>
        <w:right w:val="single" w:sz="8" w:space="0" w:color="008089"/>
      </w:pBdr>
      <w:shd w:val="clear" w:color="000000" w:fill="F2F2F2"/>
      <w:suppressAutoHyphens w:val="0"/>
      <w:spacing w:before="100" w:beforeAutospacing="1" w:after="100" w:afterAutospacing="1"/>
      <w:jc w:val="right"/>
      <w:textAlignment w:val="center"/>
    </w:pPr>
    <w:rPr>
      <w:rFonts w:ascii="Times New Roman" w:eastAsia="Times New Roman" w:hAnsi="Times New Roman" w:cs="Times New Roman"/>
      <w:color w:val="FF0000"/>
      <w:sz w:val="24"/>
      <w:szCs w:val="24"/>
      <w:lang w:eastAsia="en-AU"/>
    </w:rPr>
  </w:style>
  <w:style w:type="paragraph" w:customStyle="1" w:styleId="xl152">
    <w:name w:val="xl152"/>
    <w:basedOn w:val="Normal"/>
    <w:rsid w:val="005715B9"/>
    <w:pPr>
      <w:pBdr>
        <w:top w:val="single" w:sz="8" w:space="0" w:color="008089"/>
        <w:bottom w:val="single" w:sz="8" w:space="0" w:color="008089"/>
        <w:right w:val="single" w:sz="8" w:space="0" w:color="008089"/>
      </w:pBdr>
      <w:shd w:val="clear" w:color="000000" w:fill="F2F2F2"/>
      <w:suppressAutoHyphens w:val="0"/>
      <w:spacing w:before="100" w:beforeAutospacing="1" w:after="100" w:afterAutospacing="1"/>
      <w:jc w:val="right"/>
      <w:textAlignment w:val="center"/>
    </w:pPr>
    <w:rPr>
      <w:rFonts w:ascii="Times New Roman" w:eastAsia="Times New Roman" w:hAnsi="Times New Roman" w:cs="Times New Roman"/>
      <w:i/>
      <w:iCs/>
      <w:color w:val="auto"/>
      <w:sz w:val="24"/>
      <w:szCs w:val="24"/>
      <w:lang w:eastAsia="en-AU"/>
    </w:rPr>
  </w:style>
  <w:style w:type="paragraph" w:customStyle="1" w:styleId="xl153">
    <w:name w:val="xl153"/>
    <w:basedOn w:val="Normal"/>
    <w:rsid w:val="005715B9"/>
    <w:pPr>
      <w:pBdr>
        <w:left w:val="single" w:sz="8" w:space="0" w:color="008089"/>
        <w:bottom w:val="single" w:sz="8" w:space="0" w:color="008089"/>
      </w:pBdr>
      <w:shd w:val="clear" w:color="000000" w:fill="F2F2F2"/>
      <w:suppressAutoHyphens w:val="0"/>
      <w:spacing w:before="100" w:beforeAutospacing="1" w:after="100" w:afterAutospacing="1"/>
      <w:jc w:val="center"/>
      <w:textAlignment w:val="center"/>
    </w:pPr>
    <w:rPr>
      <w:rFonts w:ascii="Times New Roman" w:eastAsia="Times New Roman" w:hAnsi="Times New Roman" w:cs="Times New Roman"/>
      <w:b/>
      <w:bCs/>
      <w:color w:val="000000"/>
      <w:sz w:val="24"/>
      <w:szCs w:val="24"/>
      <w:lang w:eastAsia="en-AU"/>
    </w:rPr>
  </w:style>
  <w:style w:type="paragraph" w:customStyle="1" w:styleId="xl154">
    <w:name w:val="xl154"/>
    <w:basedOn w:val="Normal"/>
    <w:rsid w:val="005715B9"/>
    <w:pPr>
      <w:pBdr>
        <w:bottom w:val="single" w:sz="8" w:space="0" w:color="008089"/>
        <w:right w:val="single" w:sz="8" w:space="0" w:color="008089"/>
      </w:pBdr>
      <w:shd w:val="clear" w:color="000000" w:fill="F2F2F2"/>
      <w:suppressAutoHyphens w:val="0"/>
      <w:spacing w:before="100" w:beforeAutospacing="1" w:after="100" w:afterAutospacing="1"/>
      <w:jc w:val="right"/>
      <w:textAlignment w:val="center"/>
    </w:pPr>
    <w:rPr>
      <w:rFonts w:ascii="Times New Roman" w:eastAsia="Times New Roman" w:hAnsi="Times New Roman" w:cs="Times New Roman"/>
      <w:i/>
      <w:iCs/>
      <w:color w:val="auto"/>
      <w:sz w:val="24"/>
      <w:szCs w:val="24"/>
      <w:lang w:eastAsia="en-AU"/>
    </w:rPr>
  </w:style>
  <w:style w:type="paragraph" w:customStyle="1" w:styleId="xl155">
    <w:name w:val="xl155"/>
    <w:basedOn w:val="Normal"/>
    <w:rsid w:val="005715B9"/>
    <w:pPr>
      <w:pBdr>
        <w:top w:val="single" w:sz="8" w:space="0" w:color="008089"/>
        <w:left w:val="single" w:sz="8" w:space="0" w:color="008089"/>
        <w:bottom w:val="single" w:sz="8" w:space="0" w:color="008089"/>
      </w:pBdr>
      <w:shd w:val="clear" w:color="000000" w:fill="081E3E"/>
      <w:suppressAutoHyphens w:val="0"/>
      <w:spacing w:before="100" w:beforeAutospacing="1" w:after="100" w:afterAutospacing="1"/>
      <w:textAlignment w:val="center"/>
    </w:pPr>
    <w:rPr>
      <w:rFonts w:ascii="Times New Roman" w:eastAsia="Times New Roman" w:hAnsi="Times New Roman" w:cs="Times New Roman"/>
      <w:b/>
      <w:bCs/>
      <w:color w:val="FFFFFF"/>
      <w:sz w:val="24"/>
      <w:szCs w:val="24"/>
      <w:lang w:eastAsia="en-AU"/>
    </w:rPr>
  </w:style>
  <w:style w:type="paragraph" w:customStyle="1" w:styleId="xl156">
    <w:name w:val="xl156"/>
    <w:basedOn w:val="Normal"/>
    <w:rsid w:val="005715B9"/>
    <w:pPr>
      <w:pBdr>
        <w:top w:val="single" w:sz="8" w:space="0" w:color="008089"/>
        <w:bottom w:val="single" w:sz="8" w:space="0" w:color="008089"/>
      </w:pBdr>
      <w:shd w:val="clear" w:color="000000" w:fill="081E3E"/>
      <w:suppressAutoHyphens w:val="0"/>
      <w:spacing w:before="100" w:beforeAutospacing="1" w:after="100" w:afterAutospacing="1"/>
      <w:textAlignment w:val="center"/>
    </w:pPr>
    <w:rPr>
      <w:rFonts w:ascii="Times New Roman" w:eastAsia="Times New Roman" w:hAnsi="Times New Roman" w:cs="Times New Roman"/>
      <w:b/>
      <w:bCs/>
      <w:color w:val="FFFFFF"/>
      <w:sz w:val="24"/>
      <w:szCs w:val="24"/>
      <w:lang w:eastAsia="en-AU"/>
    </w:rPr>
  </w:style>
  <w:style w:type="paragraph" w:customStyle="1" w:styleId="xl157">
    <w:name w:val="xl157"/>
    <w:basedOn w:val="Normal"/>
    <w:rsid w:val="005715B9"/>
    <w:pPr>
      <w:pBdr>
        <w:top w:val="single" w:sz="8" w:space="0" w:color="008089"/>
        <w:bottom w:val="single" w:sz="8" w:space="0" w:color="008089"/>
      </w:pBdr>
      <w:shd w:val="clear" w:color="000000" w:fill="081E3E"/>
      <w:suppressAutoHyphens w:val="0"/>
      <w:spacing w:before="100" w:beforeAutospacing="1" w:after="100" w:afterAutospacing="1"/>
      <w:jc w:val="right"/>
      <w:textAlignment w:val="center"/>
    </w:pPr>
    <w:rPr>
      <w:rFonts w:ascii="Times New Roman" w:eastAsia="Times New Roman" w:hAnsi="Times New Roman" w:cs="Times New Roman"/>
      <w:b/>
      <w:bCs/>
      <w:color w:val="FFFFFF"/>
      <w:sz w:val="24"/>
      <w:szCs w:val="24"/>
      <w:lang w:eastAsia="en-AU"/>
    </w:rPr>
  </w:style>
  <w:style w:type="paragraph" w:customStyle="1" w:styleId="xl158">
    <w:name w:val="xl158"/>
    <w:basedOn w:val="Normal"/>
    <w:rsid w:val="005715B9"/>
    <w:pPr>
      <w:pBdr>
        <w:top w:val="single" w:sz="8" w:space="0" w:color="008089"/>
        <w:bottom w:val="single" w:sz="8" w:space="0" w:color="008089"/>
        <w:right w:val="single" w:sz="8" w:space="0" w:color="008089"/>
      </w:pBdr>
      <w:shd w:val="clear" w:color="000000" w:fill="081E3E"/>
      <w:suppressAutoHyphens w:val="0"/>
      <w:spacing w:before="100" w:beforeAutospacing="1" w:after="100" w:afterAutospacing="1"/>
      <w:jc w:val="right"/>
      <w:textAlignment w:val="center"/>
    </w:pPr>
    <w:rPr>
      <w:rFonts w:ascii="Times New Roman" w:eastAsia="Times New Roman" w:hAnsi="Times New Roman" w:cs="Times New Roman"/>
      <w:b/>
      <w:bCs/>
      <w:color w:val="FFFFFF"/>
      <w:sz w:val="24"/>
      <w:szCs w:val="24"/>
      <w:lang w:eastAsia="en-AU"/>
    </w:rPr>
  </w:style>
  <w:style w:type="paragraph" w:customStyle="1" w:styleId="xl159">
    <w:name w:val="xl159"/>
    <w:basedOn w:val="Normal"/>
    <w:rsid w:val="005715B9"/>
    <w:pPr>
      <w:pBdr>
        <w:top w:val="single" w:sz="4" w:space="0" w:color="008089"/>
        <w:left w:val="single" w:sz="8" w:space="0" w:color="008089"/>
      </w:pBdr>
      <w:shd w:val="clear" w:color="000000" w:fill="E7E6E6"/>
      <w:suppressAutoHyphens w:val="0"/>
      <w:spacing w:before="100" w:beforeAutospacing="1" w:after="100" w:afterAutospacing="1"/>
      <w:jc w:val="center"/>
      <w:textAlignment w:val="center"/>
    </w:pPr>
    <w:rPr>
      <w:rFonts w:ascii="Wingdings" w:eastAsia="Times New Roman" w:hAnsi="Wingdings" w:cs="Times New Roman"/>
      <w:color w:val="auto"/>
      <w:sz w:val="24"/>
      <w:szCs w:val="24"/>
      <w:lang w:eastAsia="en-AU"/>
    </w:rPr>
  </w:style>
  <w:style w:type="paragraph" w:customStyle="1" w:styleId="xl160">
    <w:name w:val="xl160"/>
    <w:basedOn w:val="Normal"/>
    <w:rsid w:val="005715B9"/>
    <w:pPr>
      <w:pBdr>
        <w:top w:val="single" w:sz="4" w:space="0" w:color="008089"/>
      </w:pBdr>
      <w:shd w:val="clear" w:color="000000" w:fill="E7E6E6"/>
      <w:suppressAutoHyphens w:val="0"/>
      <w:spacing w:before="100" w:beforeAutospacing="1" w:after="100" w:afterAutospacing="1"/>
    </w:pPr>
    <w:rPr>
      <w:rFonts w:ascii="Times New Roman" w:eastAsia="Times New Roman" w:hAnsi="Times New Roman" w:cs="Times New Roman"/>
      <w:color w:val="auto"/>
      <w:sz w:val="24"/>
      <w:szCs w:val="24"/>
      <w:lang w:eastAsia="en-AU"/>
    </w:rPr>
  </w:style>
  <w:style w:type="paragraph" w:customStyle="1" w:styleId="xl161">
    <w:name w:val="xl161"/>
    <w:basedOn w:val="Normal"/>
    <w:rsid w:val="005715B9"/>
    <w:pPr>
      <w:pBdr>
        <w:top w:val="single" w:sz="4" w:space="0" w:color="008089"/>
      </w:pBdr>
      <w:shd w:val="clear" w:color="000000" w:fill="E7E6E6"/>
      <w:suppressAutoHyphens w:val="0"/>
      <w:spacing w:before="100" w:beforeAutospacing="1" w:after="100" w:afterAutospacing="1"/>
      <w:jc w:val="right"/>
    </w:pPr>
    <w:rPr>
      <w:rFonts w:ascii="Times New Roman" w:eastAsia="Times New Roman" w:hAnsi="Times New Roman" w:cs="Times New Roman"/>
      <w:color w:val="auto"/>
      <w:sz w:val="24"/>
      <w:szCs w:val="24"/>
      <w:lang w:eastAsia="en-AU"/>
    </w:rPr>
  </w:style>
  <w:style w:type="paragraph" w:customStyle="1" w:styleId="xl162">
    <w:name w:val="xl162"/>
    <w:basedOn w:val="Normal"/>
    <w:rsid w:val="005715B9"/>
    <w:pPr>
      <w:pBdr>
        <w:top w:val="single" w:sz="4" w:space="0" w:color="008089"/>
        <w:right w:val="single" w:sz="8" w:space="0" w:color="008089"/>
      </w:pBdr>
      <w:shd w:val="clear" w:color="000000" w:fill="E7E6E6"/>
      <w:suppressAutoHyphens w:val="0"/>
      <w:spacing w:before="100" w:beforeAutospacing="1" w:after="100" w:afterAutospacing="1"/>
      <w:jc w:val="right"/>
    </w:pPr>
    <w:rPr>
      <w:rFonts w:ascii="Times New Roman" w:eastAsia="Times New Roman" w:hAnsi="Times New Roman" w:cs="Times New Roman"/>
      <w:color w:val="auto"/>
      <w:sz w:val="24"/>
      <w:szCs w:val="24"/>
      <w:lang w:eastAsia="en-AU"/>
    </w:rPr>
  </w:style>
  <w:style w:type="paragraph" w:customStyle="1" w:styleId="xl163">
    <w:name w:val="xl163"/>
    <w:basedOn w:val="Normal"/>
    <w:rsid w:val="005715B9"/>
    <w:pPr>
      <w:pBdr>
        <w:bottom w:val="single" w:sz="8" w:space="0" w:color="008089"/>
        <w:right w:val="single" w:sz="8" w:space="0" w:color="008089"/>
      </w:pBdr>
      <w:shd w:val="clear" w:color="000000" w:fill="F2F2F2"/>
      <w:suppressAutoHyphens w:val="0"/>
      <w:spacing w:before="100" w:beforeAutospacing="1" w:after="100" w:afterAutospacing="1"/>
      <w:jc w:val="right"/>
      <w:textAlignment w:val="center"/>
    </w:pPr>
    <w:rPr>
      <w:rFonts w:ascii="Times New Roman" w:eastAsia="Times New Roman" w:hAnsi="Times New Roman" w:cs="Times New Roman"/>
      <w:color w:val="FF0000"/>
      <w:sz w:val="24"/>
      <w:szCs w:val="24"/>
      <w:lang w:eastAsia="en-AU"/>
    </w:rPr>
  </w:style>
  <w:style w:type="paragraph" w:customStyle="1" w:styleId="xl164">
    <w:name w:val="xl164"/>
    <w:basedOn w:val="Normal"/>
    <w:rsid w:val="005715B9"/>
    <w:pPr>
      <w:pBdr>
        <w:top w:val="single" w:sz="4" w:space="0" w:color="008089"/>
        <w:bottom w:val="single" w:sz="8" w:space="0" w:color="008089"/>
      </w:pBdr>
      <w:shd w:val="clear" w:color="000000" w:fill="F2F2F2"/>
      <w:suppressAutoHyphens w:val="0"/>
      <w:spacing w:before="100" w:beforeAutospacing="1" w:after="100" w:afterAutospacing="1"/>
      <w:jc w:val="right"/>
      <w:textAlignment w:val="center"/>
    </w:pPr>
    <w:rPr>
      <w:rFonts w:ascii="Times New Roman" w:eastAsia="Times New Roman" w:hAnsi="Times New Roman" w:cs="Times New Roman"/>
      <w:i/>
      <w:iCs/>
      <w:color w:val="auto"/>
      <w:sz w:val="24"/>
      <w:szCs w:val="24"/>
      <w:lang w:eastAsia="en-AU"/>
    </w:rPr>
  </w:style>
  <w:style w:type="paragraph" w:customStyle="1" w:styleId="xl165">
    <w:name w:val="xl165"/>
    <w:basedOn w:val="Normal"/>
    <w:rsid w:val="005715B9"/>
    <w:pPr>
      <w:pBdr>
        <w:bottom w:val="single" w:sz="4" w:space="0" w:color="008089"/>
      </w:pBdr>
      <w:shd w:val="clear" w:color="000000" w:fill="F2F2F2"/>
      <w:suppressAutoHyphens w:val="0"/>
      <w:spacing w:before="100" w:beforeAutospacing="1" w:after="100" w:afterAutospacing="1"/>
      <w:textAlignment w:val="center"/>
    </w:pPr>
    <w:rPr>
      <w:rFonts w:ascii="Times New Roman" w:eastAsia="Times New Roman" w:hAnsi="Times New Roman" w:cs="Times New Roman"/>
      <w:i/>
      <w:iCs/>
      <w:color w:val="auto"/>
      <w:sz w:val="24"/>
      <w:szCs w:val="24"/>
      <w:lang w:eastAsia="en-AU"/>
    </w:rPr>
  </w:style>
  <w:style w:type="paragraph" w:customStyle="1" w:styleId="xl166">
    <w:name w:val="xl166"/>
    <w:basedOn w:val="Normal"/>
    <w:rsid w:val="005715B9"/>
    <w:pPr>
      <w:pBdr>
        <w:top w:val="single" w:sz="8" w:space="0" w:color="008089"/>
        <w:left w:val="single" w:sz="8" w:space="0" w:color="008089"/>
        <w:bottom w:val="single" w:sz="8" w:space="0" w:color="008089"/>
      </w:pBdr>
      <w:shd w:val="clear" w:color="000000" w:fill="F2F2F2"/>
      <w:suppressAutoHyphens w:val="0"/>
      <w:spacing w:before="100" w:beforeAutospacing="1" w:after="100" w:afterAutospacing="1"/>
      <w:jc w:val="center"/>
      <w:textAlignment w:val="center"/>
    </w:pPr>
    <w:rPr>
      <w:rFonts w:ascii="Times New Roman" w:eastAsia="Times New Roman" w:hAnsi="Times New Roman" w:cs="Times New Roman"/>
      <w:b/>
      <w:bCs/>
      <w:color w:val="000000"/>
      <w:sz w:val="24"/>
      <w:szCs w:val="24"/>
      <w:lang w:eastAsia="en-AU"/>
    </w:rPr>
  </w:style>
  <w:style w:type="paragraph" w:customStyle="1" w:styleId="xl167">
    <w:name w:val="xl167"/>
    <w:basedOn w:val="Normal"/>
    <w:rsid w:val="005715B9"/>
    <w:pPr>
      <w:pBdr>
        <w:top w:val="single" w:sz="8" w:space="0" w:color="008089"/>
        <w:bottom w:val="single" w:sz="8" w:space="0" w:color="008089"/>
        <w:right w:val="single" w:sz="8" w:space="0" w:color="008089"/>
      </w:pBdr>
      <w:shd w:val="clear" w:color="000000" w:fill="F2F2F2"/>
      <w:suppressAutoHyphens w:val="0"/>
      <w:spacing w:before="100" w:beforeAutospacing="1" w:after="100" w:afterAutospacing="1"/>
      <w:jc w:val="right"/>
      <w:textAlignment w:val="center"/>
    </w:pPr>
    <w:rPr>
      <w:rFonts w:ascii="Times New Roman" w:eastAsia="Times New Roman" w:hAnsi="Times New Roman" w:cs="Times New Roman"/>
      <w:i/>
      <w:iCs/>
      <w:color w:val="auto"/>
      <w:sz w:val="24"/>
      <w:szCs w:val="24"/>
      <w:lang w:eastAsia="en-AU"/>
    </w:rPr>
  </w:style>
  <w:style w:type="paragraph" w:customStyle="1" w:styleId="xl168">
    <w:name w:val="xl168"/>
    <w:basedOn w:val="Normal"/>
    <w:rsid w:val="005715B9"/>
    <w:pPr>
      <w:pBdr>
        <w:top w:val="single" w:sz="8" w:space="0" w:color="008089"/>
        <w:bottom w:val="single" w:sz="4" w:space="0" w:color="008089"/>
      </w:pBdr>
      <w:shd w:val="clear" w:color="000000" w:fill="F2F2F2"/>
      <w:suppressAutoHyphens w:val="0"/>
      <w:spacing w:before="100" w:beforeAutospacing="1" w:after="100" w:afterAutospacing="1"/>
      <w:textAlignment w:val="center"/>
    </w:pPr>
    <w:rPr>
      <w:rFonts w:ascii="Times New Roman" w:eastAsia="Times New Roman" w:hAnsi="Times New Roman" w:cs="Times New Roman"/>
      <w:color w:val="auto"/>
      <w:sz w:val="24"/>
      <w:szCs w:val="24"/>
      <w:lang w:eastAsia="en-AU"/>
    </w:rPr>
  </w:style>
  <w:style w:type="paragraph" w:customStyle="1" w:styleId="xl169">
    <w:name w:val="xl169"/>
    <w:basedOn w:val="Normal"/>
    <w:rsid w:val="005715B9"/>
    <w:pPr>
      <w:shd w:val="clear" w:color="000000" w:fill="F2F2F2"/>
      <w:suppressAutoHyphens w:val="0"/>
      <w:spacing w:before="100" w:beforeAutospacing="1" w:after="100" w:afterAutospacing="1"/>
      <w:textAlignment w:val="center"/>
    </w:pPr>
    <w:rPr>
      <w:rFonts w:ascii="Times New Roman" w:eastAsia="Times New Roman" w:hAnsi="Times New Roman" w:cs="Times New Roman"/>
      <w:color w:val="000000"/>
      <w:sz w:val="24"/>
      <w:szCs w:val="24"/>
      <w:lang w:eastAsia="en-AU"/>
    </w:rPr>
  </w:style>
  <w:style w:type="paragraph" w:customStyle="1" w:styleId="xl170">
    <w:name w:val="xl170"/>
    <w:basedOn w:val="Normal"/>
    <w:rsid w:val="005715B9"/>
    <w:pPr>
      <w:pBdr>
        <w:bottom w:val="single" w:sz="4" w:space="0" w:color="008089"/>
        <w:right w:val="single" w:sz="8" w:space="0" w:color="008089"/>
      </w:pBdr>
      <w:shd w:val="clear" w:color="000000" w:fill="F2F2F2"/>
      <w:suppressAutoHyphens w:val="0"/>
      <w:spacing w:before="100" w:beforeAutospacing="1" w:after="100" w:afterAutospacing="1"/>
      <w:jc w:val="right"/>
      <w:textAlignment w:val="center"/>
    </w:pPr>
    <w:rPr>
      <w:rFonts w:ascii="Times New Roman" w:eastAsia="Times New Roman" w:hAnsi="Times New Roman" w:cs="Times New Roman"/>
      <w:b/>
      <w:bCs/>
      <w:color w:val="auto"/>
      <w:sz w:val="24"/>
      <w:szCs w:val="24"/>
      <w:lang w:eastAsia="en-AU"/>
    </w:rPr>
  </w:style>
  <w:style w:type="paragraph" w:customStyle="1" w:styleId="xl171">
    <w:name w:val="xl171"/>
    <w:basedOn w:val="Normal"/>
    <w:rsid w:val="005715B9"/>
    <w:pPr>
      <w:pBdr>
        <w:bottom w:val="single" w:sz="8" w:space="0" w:color="008089"/>
        <w:right w:val="single" w:sz="8" w:space="0" w:color="008089"/>
      </w:pBdr>
      <w:shd w:val="clear" w:color="000000" w:fill="F2F2F2"/>
      <w:suppressAutoHyphens w:val="0"/>
      <w:spacing w:before="100" w:beforeAutospacing="1" w:after="100" w:afterAutospacing="1"/>
      <w:jc w:val="right"/>
      <w:textAlignment w:val="center"/>
    </w:pPr>
    <w:rPr>
      <w:rFonts w:ascii="Times New Roman" w:eastAsia="Times New Roman" w:hAnsi="Times New Roman" w:cs="Times New Roman"/>
      <w:b/>
      <w:bCs/>
      <w:color w:val="auto"/>
      <w:sz w:val="24"/>
      <w:szCs w:val="24"/>
      <w:lang w:eastAsia="en-AU"/>
    </w:rPr>
  </w:style>
  <w:style w:type="paragraph" w:customStyle="1" w:styleId="xl172">
    <w:name w:val="xl172"/>
    <w:basedOn w:val="Normal"/>
    <w:rsid w:val="005715B9"/>
    <w:pPr>
      <w:pBdr>
        <w:top w:val="single" w:sz="4" w:space="0" w:color="008089"/>
        <w:bottom w:val="single" w:sz="4" w:space="0" w:color="008089"/>
        <w:right w:val="single" w:sz="8" w:space="0" w:color="008089"/>
      </w:pBdr>
      <w:shd w:val="clear" w:color="000000" w:fill="F2F2F2"/>
      <w:suppressAutoHyphens w:val="0"/>
      <w:spacing w:before="100" w:beforeAutospacing="1" w:after="100" w:afterAutospacing="1"/>
      <w:jc w:val="right"/>
      <w:textAlignment w:val="center"/>
    </w:pPr>
    <w:rPr>
      <w:rFonts w:ascii="Times New Roman" w:eastAsia="Times New Roman" w:hAnsi="Times New Roman" w:cs="Times New Roman"/>
      <w:b/>
      <w:bCs/>
      <w:color w:val="auto"/>
      <w:sz w:val="24"/>
      <w:szCs w:val="24"/>
      <w:lang w:eastAsia="en-AU"/>
    </w:rPr>
  </w:style>
  <w:style w:type="paragraph" w:customStyle="1" w:styleId="xl173">
    <w:name w:val="xl173"/>
    <w:basedOn w:val="Normal"/>
    <w:rsid w:val="005715B9"/>
    <w:pPr>
      <w:pBdr>
        <w:top w:val="single" w:sz="4" w:space="0" w:color="008089"/>
        <w:bottom w:val="single" w:sz="8" w:space="0" w:color="008089"/>
        <w:right w:val="single" w:sz="8" w:space="0" w:color="008089"/>
      </w:pBdr>
      <w:shd w:val="clear" w:color="000000" w:fill="F2F2F2"/>
      <w:suppressAutoHyphens w:val="0"/>
      <w:spacing w:before="100" w:beforeAutospacing="1" w:after="100" w:afterAutospacing="1"/>
      <w:jc w:val="right"/>
      <w:textAlignment w:val="center"/>
    </w:pPr>
    <w:rPr>
      <w:rFonts w:ascii="Times New Roman" w:eastAsia="Times New Roman" w:hAnsi="Times New Roman" w:cs="Times New Roman"/>
      <w:b/>
      <w:bCs/>
      <w:color w:val="000000"/>
      <w:sz w:val="24"/>
      <w:szCs w:val="24"/>
      <w:lang w:eastAsia="en-AU"/>
    </w:rPr>
  </w:style>
  <w:style w:type="paragraph" w:customStyle="1" w:styleId="xl174">
    <w:name w:val="xl174"/>
    <w:basedOn w:val="Normal"/>
    <w:rsid w:val="005715B9"/>
    <w:pPr>
      <w:pBdr>
        <w:top w:val="single" w:sz="4" w:space="0" w:color="008089"/>
        <w:bottom w:val="single" w:sz="4" w:space="0" w:color="008089"/>
        <w:right w:val="single" w:sz="8" w:space="0" w:color="008089"/>
      </w:pBdr>
      <w:shd w:val="clear" w:color="000000" w:fill="F2F2F2"/>
      <w:suppressAutoHyphens w:val="0"/>
      <w:spacing w:before="100" w:beforeAutospacing="1" w:after="100" w:afterAutospacing="1"/>
      <w:jc w:val="right"/>
      <w:textAlignment w:val="center"/>
    </w:pPr>
    <w:rPr>
      <w:rFonts w:ascii="Times New Roman" w:eastAsia="Times New Roman" w:hAnsi="Times New Roman" w:cs="Times New Roman"/>
      <w:b/>
      <w:bCs/>
      <w:color w:val="auto"/>
      <w:sz w:val="24"/>
      <w:szCs w:val="24"/>
      <w:lang w:eastAsia="en-AU"/>
    </w:rPr>
  </w:style>
  <w:style w:type="paragraph" w:customStyle="1" w:styleId="xl175">
    <w:name w:val="xl175"/>
    <w:basedOn w:val="Normal"/>
    <w:rsid w:val="005715B9"/>
    <w:pPr>
      <w:pBdr>
        <w:bottom w:val="single" w:sz="8" w:space="0" w:color="008089"/>
        <w:right w:val="single" w:sz="8" w:space="0" w:color="008089"/>
      </w:pBdr>
      <w:shd w:val="clear" w:color="000000" w:fill="F2F2F2"/>
      <w:suppressAutoHyphens w:val="0"/>
      <w:spacing w:before="100" w:beforeAutospacing="1" w:after="100" w:afterAutospacing="1"/>
      <w:jc w:val="right"/>
      <w:textAlignment w:val="center"/>
    </w:pPr>
    <w:rPr>
      <w:rFonts w:ascii="Times New Roman" w:eastAsia="Times New Roman" w:hAnsi="Times New Roman" w:cs="Times New Roman"/>
      <w:b/>
      <w:bCs/>
      <w:color w:val="auto"/>
      <w:sz w:val="24"/>
      <w:szCs w:val="24"/>
      <w:lang w:eastAsia="en-AU"/>
    </w:rPr>
  </w:style>
  <w:style w:type="paragraph" w:customStyle="1" w:styleId="xl176">
    <w:name w:val="xl176"/>
    <w:basedOn w:val="Normal"/>
    <w:rsid w:val="005715B9"/>
    <w:pPr>
      <w:pBdr>
        <w:top w:val="single" w:sz="4" w:space="0" w:color="008089"/>
        <w:bottom w:val="single" w:sz="4" w:space="0" w:color="008089"/>
        <w:right w:val="single" w:sz="8" w:space="0" w:color="008089"/>
      </w:pBdr>
      <w:shd w:val="clear" w:color="000000" w:fill="F2F2F2"/>
      <w:suppressAutoHyphens w:val="0"/>
      <w:spacing w:before="100" w:beforeAutospacing="1" w:after="100" w:afterAutospacing="1"/>
      <w:jc w:val="right"/>
      <w:textAlignment w:val="center"/>
    </w:pPr>
    <w:rPr>
      <w:rFonts w:ascii="Times New Roman" w:eastAsia="Times New Roman" w:hAnsi="Times New Roman" w:cs="Times New Roman"/>
      <w:b/>
      <w:bCs/>
      <w:color w:val="000000"/>
      <w:sz w:val="24"/>
      <w:szCs w:val="24"/>
      <w:lang w:eastAsia="en-AU"/>
    </w:rPr>
  </w:style>
  <w:style w:type="paragraph" w:customStyle="1" w:styleId="xl177">
    <w:name w:val="xl177"/>
    <w:basedOn w:val="Normal"/>
    <w:rsid w:val="005715B9"/>
    <w:pPr>
      <w:pBdr>
        <w:top w:val="single" w:sz="8" w:space="0" w:color="008089"/>
        <w:bottom w:val="single" w:sz="4" w:space="0" w:color="008089"/>
        <w:right w:val="single" w:sz="8" w:space="0" w:color="008089"/>
      </w:pBdr>
      <w:shd w:val="clear" w:color="000000" w:fill="F2F2F2"/>
      <w:suppressAutoHyphens w:val="0"/>
      <w:spacing w:before="100" w:beforeAutospacing="1" w:after="100" w:afterAutospacing="1"/>
      <w:jc w:val="right"/>
      <w:textAlignment w:val="center"/>
    </w:pPr>
    <w:rPr>
      <w:rFonts w:ascii="Times New Roman" w:eastAsia="Times New Roman" w:hAnsi="Times New Roman" w:cs="Times New Roman"/>
      <w:b/>
      <w:bCs/>
      <w:color w:val="auto"/>
      <w:sz w:val="24"/>
      <w:szCs w:val="24"/>
      <w:lang w:eastAsia="en-AU"/>
    </w:rPr>
  </w:style>
  <w:style w:type="paragraph" w:customStyle="1" w:styleId="xl178">
    <w:name w:val="xl178"/>
    <w:basedOn w:val="Normal"/>
    <w:rsid w:val="005715B9"/>
    <w:pPr>
      <w:pBdr>
        <w:top w:val="single" w:sz="4" w:space="0" w:color="008089"/>
        <w:bottom w:val="single" w:sz="8" w:space="0" w:color="008089"/>
        <w:right w:val="single" w:sz="8" w:space="0" w:color="008089"/>
      </w:pBdr>
      <w:shd w:val="clear" w:color="000000" w:fill="F2F2F2"/>
      <w:suppressAutoHyphens w:val="0"/>
      <w:spacing w:before="100" w:beforeAutospacing="1" w:after="100" w:afterAutospacing="1"/>
      <w:jc w:val="right"/>
      <w:textAlignment w:val="center"/>
    </w:pPr>
    <w:rPr>
      <w:rFonts w:ascii="Times New Roman" w:eastAsia="Times New Roman" w:hAnsi="Times New Roman" w:cs="Times New Roman"/>
      <w:b/>
      <w:bCs/>
      <w:color w:val="auto"/>
      <w:sz w:val="24"/>
      <w:szCs w:val="24"/>
      <w:lang w:eastAsia="en-AU"/>
    </w:rPr>
  </w:style>
  <w:style w:type="paragraph" w:customStyle="1" w:styleId="xl179">
    <w:name w:val="xl179"/>
    <w:basedOn w:val="Normal"/>
    <w:rsid w:val="005715B9"/>
    <w:pPr>
      <w:pBdr>
        <w:right w:val="single" w:sz="8" w:space="0" w:color="008089"/>
      </w:pBdr>
      <w:shd w:val="clear" w:color="000000" w:fill="F2F2F2"/>
      <w:suppressAutoHyphens w:val="0"/>
      <w:spacing w:before="100" w:beforeAutospacing="1" w:after="100" w:afterAutospacing="1"/>
      <w:jc w:val="right"/>
      <w:textAlignment w:val="center"/>
    </w:pPr>
    <w:rPr>
      <w:rFonts w:ascii="Times New Roman" w:eastAsia="Times New Roman" w:hAnsi="Times New Roman" w:cs="Times New Roman"/>
      <w:b/>
      <w:bCs/>
      <w:color w:val="auto"/>
      <w:sz w:val="24"/>
      <w:szCs w:val="24"/>
      <w:lang w:eastAsia="en-AU"/>
    </w:rPr>
  </w:style>
  <w:style w:type="paragraph" w:customStyle="1" w:styleId="xl180">
    <w:name w:val="xl180"/>
    <w:basedOn w:val="Normal"/>
    <w:rsid w:val="005715B9"/>
    <w:pPr>
      <w:pBdr>
        <w:top w:val="single" w:sz="8" w:space="0" w:color="008089"/>
        <w:left w:val="single" w:sz="8" w:space="0" w:color="008089"/>
        <w:bottom w:val="single" w:sz="8" w:space="0" w:color="008089"/>
      </w:pBdr>
      <w:shd w:val="clear" w:color="000000" w:fill="F2F6E8"/>
      <w:suppressAutoHyphens w:val="0"/>
      <w:spacing w:before="100" w:beforeAutospacing="1" w:after="100" w:afterAutospacing="1"/>
      <w:textAlignment w:val="center"/>
    </w:pPr>
    <w:rPr>
      <w:rFonts w:ascii="Times New Roman" w:eastAsia="Times New Roman" w:hAnsi="Times New Roman" w:cs="Times New Roman"/>
      <w:color w:val="000000"/>
      <w:sz w:val="24"/>
      <w:szCs w:val="24"/>
      <w:lang w:eastAsia="en-AU"/>
    </w:rPr>
  </w:style>
  <w:style w:type="paragraph" w:customStyle="1" w:styleId="xl181">
    <w:name w:val="xl181"/>
    <w:basedOn w:val="Normal"/>
    <w:rsid w:val="005715B9"/>
    <w:pPr>
      <w:pBdr>
        <w:top w:val="single" w:sz="8" w:space="0" w:color="008089"/>
        <w:bottom w:val="single" w:sz="8" w:space="0" w:color="008089"/>
      </w:pBdr>
      <w:shd w:val="clear" w:color="000000" w:fill="F2F6E8"/>
      <w:suppressAutoHyphens w:val="0"/>
      <w:spacing w:before="100" w:beforeAutospacing="1" w:after="100" w:afterAutospacing="1"/>
      <w:textAlignment w:val="center"/>
    </w:pPr>
    <w:rPr>
      <w:rFonts w:ascii="Times New Roman" w:eastAsia="Times New Roman" w:hAnsi="Times New Roman" w:cs="Times New Roman"/>
      <w:color w:val="000000"/>
      <w:sz w:val="24"/>
      <w:szCs w:val="24"/>
      <w:lang w:eastAsia="en-AU"/>
    </w:rPr>
  </w:style>
  <w:style w:type="paragraph" w:customStyle="1" w:styleId="xl182">
    <w:name w:val="xl182"/>
    <w:basedOn w:val="Normal"/>
    <w:rsid w:val="005715B9"/>
    <w:pPr>
      <w:pBdr>
        <w:top w:val="single" w:sz="8" w:space="0" w:color="008089"/>
        <w:bottom w:val="single" w:sz="8" w:space="0" w:color="008089"/>
        <w:right w:val="single" w:sz="8" w:space="0" w:color="008089"/>
      </w:pBdr>
      <w:shd w:val="clear" w:color="000000" w:fill="F2F6E8"/>
      <w:suppressAutoHyphens w:val="0"/>
      <w:spacing w:before="100" w:beforeAutospacing="1" w:after="100" w:afterAutospacing="1"/>
      <w:textAlignment w:val="center"/>
    </w:pPr>
    <w:rPr>
      <w:rFonts w:ascii="Times New Roman" w:eastAsia="Times New Roman" w:hAnsi="Times New Roman" w:cs="Times New Roman"/>
      <w:color w:val="000000"/>
      <w:sz w:val="24"/>
      <w:szCs w:val="24"/>
      <w:lang w:eastAsia="en-AU"/>
    </w:rPr>
  </w:style>
  <w:style w:type="paragraph" w:customStyle="1" w:styleId="xl183">
    <w:name w:val="xl183"/>
    <w:basedOn w:val="Normal"/>
    <w:rsid w:val="005715B9"/>
    <w:pPr>
      <w:pBdr>
        <w:left w:val="single" w:sz="8" w:space="0" w:color="008089"/>
      </w:pBdr>
      <w:shd w:val="clear" w:color="000000" w:fill="F2F2F2"/>
      <w:suppressAutoHyphens w:val="0"/>
      <w:spacing w:before="100" w:beforeAutospacing="1" w:after="100" w:afterAutospacing="1"/>
      <w:jc w:val="center"/>
      <w:textAlignment w:val="center"/>
    </w:pPr>
    <w:rPr>
      <w:rFonts w:ascii="Times New Roman" w:eastAsia="Times New Roman" w:hAnsi="Times New Roman" w:cs="Times New Roman"/>
      <w:b/>
      <w:bCs/>
      <w:color w:val="000000"/>
      <w:sz w:val="24"/>
      <w:szCs w:val="24"/>
      <w:lang w:eastAsia="en-AU"/>
    </w:rPr>
  </w:style>
  <w:style w:type="paragraph" w:customStyle="1" w:styleId="xl184">
    <w:name w:val="xl184"/>
    <w:basedOn w:val="Normal"/>
    <w:rsid w:val="005715B9"/>
    <w:pPr>
      <w:pBdr>
        <w:bottom w:val="single" w:sz="8" w:space="0" w:color="008089"/>
      </w:pBdr>
      <w:shd w:val="clear" w:color="000000" w:fill="E7E6E6"/>
      <w:suppressAutoHyphens w:val="0"/>
      <w:spacing w:before="100" w:beforeAutospacing="1" w:after="100" w:afterAutospacing="1"/>
    </w:pPr>
    <w:rPr>
      <w:rFonts w:ascii="Times New Roman" w:eastAsia="Times New Roman" w:hAnsi="Times New Roman" w:cs="Times New Roman"/>
      <w:color w:val="auto"/>
      <w:sz w:val="24"/>
      <w:szCs w:val="24"/>
      <w:lang w:eastAsia="en-AU"/>
    </w:rPr>
  </w:style>
  <w:style w:type="paragraph" w:customStyle="1" w:styleId="xl185">
    <w:name w:val="xl185"/>
    <w:basedOn w:val="Normal"/>
    <w:rsid w:val="005715B9"/>
    <w:pPr>
      <w:pBdr>
        <w:bottom w:val="single" w:sz="8" w:space="0" w:color="008089"/>
        <w:right w:val="single" w:sz="8" w:space="0" w:color="008089"/>
      </w:pBdr>
      <w:shd w:val="clear" w:color="000000" w:fill="E7E6E6"/>
      <w:suppressAutoHyphens w:val="0"/>
      <w:spacing w:before="100" w:beforeAutospacing="1" w:after="100" w:afterAutospacing="1"/>
    </w:pPr>
    <w:rPr>
      <w:rFonts w:ascii="Times New Roman" w:eastAsia="Times New Roman" w:hAnsi="Times New Roman" w:cs="Times New Roman"/>
      <w:color w:val="auto"/>
      <w:sz w:val="24"/>
      <w:szCs w:val="24"/>
      <w:lang w:eastAsia="en-AU"/>
    </w:rPr>
  </w:style>
  <w:style w:type="paragraph" w:customStyle="1" w:styleId="xl186">
    <w:name w:val="xl186"/>
    <w:basedOn w:val="Normal"/>
    <w:rsid w:val="005715B9"/>
    <w:pPr>
      <w:pBdr>
        <w:top w:val="single" w:sz="8" w:space="0" w:color="008089"/>
        <w:bottom w:val="single" w:sz="8" w:space="0" w:color="008089"/>
        <w:right w:val="single" w:sz="8" w:space="0" w:color="008089"/>
      </w:pBdr>
      <w:shd w:val="clear" w:color="000000" w:fill="081E3E"/>
      <w:suppressAutoHyphens w:val="0"/>
      <w:spacing w:before="100" w:beforeAutospacing="1" w:after="100" w:afterAutospacing="1"/>
      <w:textAlignment w:val="center"/>
    </w:pPr>
    <w:rPr>
      <w:rFonts w:ascii="Times New Roman" w:eastAsia="Times New Roman" w:hAnsi="Times New Roman" w:cs="Times New Roman"/>
      <w:b/>
      <w:bCs/>
      <w:color w:val="FFFFFF"/>
      <w:sz w:val="24"/>
      <w:szCs w:val="24"/>
      <w:lang w:eastAsia="en-AU"/>
    </w:rPr>
  </w:style>
  <w:style w:type="paragraph" w:customStyle="1" w:styleId="xl187">
    <w:name w:val="xl187"/>
    <w:basedOn w:val="Normal"/>
    <w:rsid w:val="005715B9"/>
    <w:pPr>
      <w:pBdr>
        <w:top w:val="single" w:sz="8" w:space="0" w:color="008089"/>
        <w:left w:val="single" w:sz="8" w:space="0" w:color="008089"/>
      </w:pBdr>
      <w:shd w:val="clear" w:color="000000" w:fill="E7E6E6"/>
      <w:suppressAutoHyphens w:val="0"/>
      <w:spacing w:before="100" w:beforeAutospacing="1" w:after="100" w:afterAutospacing="1"/>
    </w:pPr>
    <w:rPr>
      <w:rFonts w:ascii="Times New Roman" w:eastAsia="Times New Roman" w:hAnsi="Times New Roman" w:cs="Times New Roman"/>
      <w:color w:val="auto"/>
      <w:sz w:val="24"/>
      <w:szCs w:val="24"/>
      <w:lang w:eastAsia="en-AU"/>
    </w:rPr>
  </w:style>
  <w:style w:type="paragraph" w:customStyle="1" w:styleId="xl188">
    <w:name w:val="xl188"/>
    <w:basedOn w:val="Normal"/>
    <w:rsid w:val="005715B9"/>
    <w:pPr>
      <w:pBdr>
        <w:top w:val="single" w:sz="8" w:space="0" w:color="008089"/>
      </w:pBdr>
      <w:shd w:val="clear" w:color="000000" w:fill="E7E6E6"/>
      <w:suppressAutoHyphens w:val="0"/>
      <w:spacing w:before="100" w:beforeAutospacing="1" w:after="100" w:afterAutospacing="1"/>
    </w:pPr>
    <w:rPr>
      <w:rFonts w:ascii="Times New Roman" w:eastAsia="Times New Roman" w:hAnsi="Times New Roman" w:cs="Times New Roman"/>
      <w:color w:val="auto"/>
      <w:sz w:val="24"/>
      <w:szCs w:val="24"/>
      <w:lang w:eastAsia="en-AU"/>
    </w:rPr>
  </w:style>
  <w:style w:type="paragraph" w:customStyle="1" w:styleId="xl189">
    <w:name w:val="xl189"/>
    <w:basedOn w:val="Normal"/>
    <w:rsid w:val="005715B9"/>
    <w:pPr>
      <w:pBdr>
        <w:top w:val="single" w:sz="8" w:space="0" w:color="008089"/>
        <w:right w:val="single" w:sz="8" w:space="0" w:color="008089"/>
      </w:pBdr>
      <w:shd w:val="clear" w:color="000000" w:fill="E7E6E6"/>
      <w:suppressAutoHyphens w:val="0"/>
      <w:spacing w:before="100" w:beforeAutospacing="1" w:after="100" w:afterAutospacing="1"/>
    </w:pPr>
    <w:rPr>
      <w:rFonts w:ascii="Times New Roman" w:eastAsia="Times New Roman" w:hAnsi="Times New Roman" w:cs="Times New Roman"/>
      <w:color w:val="auto"/>
      <w:sz w:val="24"/>
      <w:szCs w:val="24"/>
      <w:lang w:eastAsia="en-AU"/>
    </w:rPr>
  </w:style>
  <w:style w:type="paragraph" w:customStyle="1" w:styleId="xl190">
    <w:name w:val="xl190"/>
    <w:basedOn w:val="Normal"/>
    <w:rsid w:val="005715B9"/>
    <w:pPr>
      <w:pBdr>
        <w:top w:val="single" w:sz="4" w:space="0" w:color="008089"/>
        <w:bottom w:val="single" w:sz="4" w:space="0" w:color="008089"/>
      </w:pBdr>
      <w:shd w:val="clear" w:color="000000" w:fill="E7E6E6"/>
      <w:suppressAutoHyphens w:val="0"/>
      <w:spacing w:before="100" w:beforeAutospacing="1" w:after="100" w:afterAutospacing="1"/>
    </w:pPr>
    <w:rPr>
      <w:rFonts w:ascii="Times New Roman" w:eastAsia="Times New Roman" w:hAnsi="Times New Roman" w:cs="Times New Roman"/>
      <w:color w:val="auto"/>
      <w:sz w:val="24"/>
      <w:szCs w:val="24"/>
      <w:lang w:eastAsia="en-AU"/>
    </w:rPr>
  </w:style>
  <w:style w:type="paragraph" w:customStyle="1" w:styleId="xl191">
    <w:name w:val="xl191"/>
    <w:basedOn w:val="Normal"/>
    <w:rsid w:val="005715B9"/>
    <w:pPr>
      <w:pBdr>
        <w:top w:val="single" w:sz="4" w:space="0" w:color="008089"/>
        <w:bottom w:val="single" w:sz="4" w:space="0" w:color="008089"/>
        <w:right w:val="single" w:sz="8" w:space="0" w:color="008089"/>
      </w:pBdr>
      <w:shd w:val="clear" w:color="000000" w:fill="E7E6E6"/>
      <w:suppressAutoHyphens w:val="0"/>
      <w:spacing w:before="100" w:beforeAutospacing="1" w:after="100" w:afterAutospacing="1"/>
    </w:pPr>
    <w:rPr>
      <w:rFonts w:ascii="Times New Roman" w:eastAsia="Times New Roman" w:hAnsi="Times New Roman" w:cs="Times New Roman"/>
      <w:color w:val="auto"/>
      <w:sz w:val="24"/>
      <w:szCs w:val="24"/>
      <w:lang w:eastAsia="en-AU"/>
    </w:rPr>
  </w:style>
  <w:style w:type="paragraph" w:customStyle="1" w:styleId="xl192">
    <w:name w:val="xl192"/>
    <w:basedOn w:val="Normal"/>
    <w:rsid w:val="005715B9"/>
    <w:pPr>
      <w:pBdr>
        <w:top w:val="single" w:sz="4" w:space="0" w:color="008089"/>
        <w:bottom w:val="single" w:sz="4" w:space="0" w:color="008089"/>
      </w:pBdr>
      <w:shd w:val="clear" w:color="000000" w:fill="E7E6E6"/>
      <w:suppressAutoHyphens w:val="0"/>
      <w:spacing w:before="100" w:beforeAutospacing="1" w:after="100" w:afterAutospacing="1"/>
    </w:pPr>
    <w:rPr>
      <w:rFonts w:ascii="Times New Roman" w:eastAsia="Times New Roman" w:hAnsi="Times New Roman" w:cs="Times New Roman"/>
      <w:color w:val="auto"/>
      <w:sz w:val="24"/>
      <w:szCs w:val="24"/>
      <w:lang w:eastAsia="en-AU"/>
    </w:rPr>
  </w:style>
  <w:style w:type="paragraph" w:customStyle="1" w:styleId="xl193">
    <w:name w:val="xl193"/>
    <w:basedOn w:val="Normal"/>
    <w:rsid w:val="005715B9"/>
    <w:pPr>
      <w:pBdr>
        <w:top w:val="single" w:sz="4" w:space="0" w:color="008089"/>
        <w:bottom w:val="single" w:sz="4" w:space="0" w:color="008089"/>
        <w:right w:val="single" w:sz="8" w:space="0" w:color="008089"/>
      </w:pBdr>
      <w:shd w:val="clear" w:color="000000" w:fill="E7E6E6"/>
      <w:suppressAutoHyphens w:val="0"/>
      <w:spacing w:before="100" w:beforeAutospacing="1" w:after="100" w:afterAutospacing="1"/>
    </w:pPr>
    <w:rPr>
      <w:rFonts w:ascii="Times New Roman" w:eastAsia="Times New Roman" w:hAnsi="Times New Roman" w:cs="Times New Roman"/>
      <w:color w:val="auto"/>
      <w:sz w:val="24"/>
      <w:szCs w:val="24"/>
      <w:lang w:eastAsia="en-AU"/>
    </w:rPr>
  </w:style>
  <w:style w:type="paragraph" w:customStyle="1" w:styleId="xl194">
    <w:name w:val="xl194"/>
    <w:basedOn w:val="Normal"/>
    <w:rsid w:val="005715B9"/>
    <w:pPr>
      <w:pBdr>
        <w:top w:val="single" w:sz="8" w:space="0" w:color="008089"/>
        <w:left w:val="single" w:sz="8" w:space="0" w:color="008089"/>
        <w:bottom w:val="single" w:sz="8" w:space="0" w:color="008089"/>
      </w:pBdr>
      <w:shd w:val="clear" w:color="000000" w:fill="F2F6E8"/>
      <w:suppressAutoHyphens w:val="0"/>
      <w:spacing w:before="100" w:beforeAutospacing="1" w:after="100" w:afterAutospacing="1"/>
      <w:textAlignment w:val="center"/>
    </w:pPr>
    <w:rPr>
      <w:rFonts w:ascii="Times New Roman" w:eastAsia="Times New Roman" w:hAnsi="Times New Roman" w:cs="Times New Roman"/>
      <w:color w:val="000000"/>
      <w:sz w:val="24"/>
      <w:szCs w:val="24"/>
      <w:lang w:eastAsia="en-AU"/>
    </w:rPr>
  </w:style>
  <w:style w:type="paragraph" w:customStyle="1" w:styleId="xl195">
    <w:name w:val="xl195"/>
    <w:basedOn w:val="Normal"/>
    <w:rsid w:val="005715B9"/>
    <w:pPr>
      <w:pBdr>
        <w:top w:val="single" w:sz="8" w:space="0" w:color="008089"/>
        <w:bottom w:val="single" w:sz="8" w:space="0" w:color="008089"/>
      </w:pBdr>
      <w:shd w:val="clear" w:color="000000" w:fill="F2F6E8"/>
      <w:suppressAutoHyphens w:val="0"/>
      <w:spacing w:before="100" w:beforeAutospacing="1" w:after="100" w:afterAutospacing="1"/>
      <w:textAlignment w:val="center"/>
    </w:pPr>
    <w:rPr>
      <w:rFonts w:ascii="Times New Roman" w:eastAsia="Times New Roman" w:hAnsi="Times New Roman" w:cs="Times New Roman"/>
      <w:color w:val="000000"/>
      <w:sz w:val="24"/>
      <w:szCs w:val="24"/>
      <w:lang w:eastAsia="en-AU"/>
    </w:rPr>
  </w:style>
  <w:style w:type="paragraph" w:customStyle="1" w:styleId="xl196">
    <w:name w:val="xl196"/>
    <w:basedOn w:val="Normal"/>
    <w:rsid w:val="005715B9"/>
    <w:pPr>
      <w:pBdr>
        <w:top w:val="single" w:sz="8" w:space="0" w:color="008089"/>
        <w:bottom w:val="single" w:sz="8" w:space="0" w:color="008089"/>
        <w:right w:val="single" w:sz="8" w:space="0" w:color="008089"/>
      </w:pBdr>
      <w:shd w:val="clear" w:color="000000" w:fill="F2F6E8"/>
      <w:suppressAutoHyphens w:val="0"/>
      <w:spacing w:before="100" w:beforeAutospacing="1" w:after="100" w:afterAutospacing="1"/>
      <w:textAlignment w:val="center"/>
    </w:pPr>
    <w:rPr>
      <w:rFonts w:ascii="Times New Roman" w:eastAsia="Times New Roman" w:hAnsi="Times New Roman" w:cs="Times New Roman"/>
      <w:color w:val="000000"/>
      <w:sz w:val="24"/>
      <w:szCs w:val="24"/>
      <w:lang w:eastAsia="en-AU"/>
    </w:rPr>
  </w:style>
  <w:style w:type="paragraph" w:customStyle="1" w:styleId="xl197">
    <w:name w:val="xl197"/>
    <w:basedOn w:val="Normal"/>
    <w:rsid w:val="005715B9"/>
    <w:pPr>
      <w:pBdr>
        <w:top w:val="single" w:sz="8" w:space="0" w:color="008089"/>
        <w:left w:val="single" w:sz="8" w:space="0" w:color="008089"/>
      </w:pBdr>
      <w:shd w:val="clear" w:color="000000" w:fill="F2F2F2"/>
      <w:suppressAutoHyphens w:val="0"/>
      <w:spacing w:before="100" w:beforeAutospacing="1" w:after="100" w:afterAutospacing="1"/>
      <w:jc w:val="center"/>
      <w:textAlignment w:val="center"/>
    </w:pPr>
    <w:rPr>
      <w:rFonts w:ascii="Times New Roman" w:eastAsia="Times New Roman" w:hAnsi="Times New Roman" w:cs="Times New Roman"/>
      <w:b/>
      <w:bCs/>
      <w:color w:val="000000"/>
      <w:sz w:val="24"/>
      <w:szCs w:val="24"/>
      <w:lang w:eastAsia="en-AU"/>
    </w:rPr>
  </w:style>
  <w:style w:type="paragraph" w:customStyle="1" w:styleId="xl198">
    <w:name w:val="xl198"/>
    <w:basedOn w:val="Normal"/>
    <w:rsid w:val="005715B9"/>
    <w:pPr>
      <w:pBdr>
        <w:left w:val="single" w:sz="8" w:space="0" w:color="008089"/>
      </w:pBdr>
      <w:shd w:val="clear" w:color="000000" w:fill="F2F2F2"/>
      <w:suppressAutoHyphens w:val="0"/>
      <w:spacing w:before="100" w:beforeAutospacing="1" w:after="100" w:afterAutospacing="1"/>
      <w:jc w:val="center"/>
      <w:textAlignment w:val="center"/>
    </w:pPr>
    <w:rPr>
      <w:rFonts w:ascii="Times New Roman" w:eastAsia="Times New Roman" w:hAnsi="Times New Roman" w:cs="Times New Roman"/>
      <w:b/>
      <w:bCs/>
      <w:color w:val="000000"/>
      <w:sz w:val="24"/>
      <w:szCs w:val="24"/>
      <w:lang w:eastAsia="en-AU"/>
    </w:rPr>
  </w:style>
  <w:style w:type="paragraph" w:customStyle="1" w:styleId="xl199">
    <w:name w:val="xl199"/>
    <w:basedOn w:val="Normal"/>
    <w:rsid w:val="005715B9"/>
    <w:pPr>
      <w:pBdr>
        <w:left w:val="single" w:sz="8" w:space="0" w:color="008089"/>
        <w:bottom w:val="single" w:sz="8" w:space="0" w:color="008089"/>
      </w:pBdr>
      <w:shd w:val="clear" w:color="000000" w:fill="F2F2F2"/>
      <w:suppressAutoHyphens w:val="0"/>
      <w:spacing w:before="100" w:beforeAutospacing="1" w:after="100" w:afterAutospacing="1"/>
      <w:jc w:val="center"/>
      <w:textAlignment w:val="center"/>
    </w:pPr>
    <w:rPr>
      <w:rFonts w:ascii="Times New Roman" w:eastAsia="Times New Roman" w:hAnsi="Times New Roman" w:cs="Times New Roman"/>
      <w:b/>
      <w:bCs/>
      <w:color w:val="000000"/>
      <w:sz w:val="24"/>
      <w:szCs w:val="24"/>
      <w:lang w:eastAsia="en-AU"/>
    </w:rPr>
  </w:style>
  <w:style w:type="paragraph" w:customStyle="1" w:styleId="xl200">
    <w:name w:val="xl200"/>
    <w:basedOn w:val="Normal"/>
    <w:rsid w:val="00401088"/>
    <w:pPr>
      <w:pBdr>
        <w:left w:val="single" w:sz="8" w:space="0" w:color="008089"/>
        <w:bottom w:val="single" w:sz="8" w:space="0" w:color="008089"/>
      </w:pBdr>
      <w:shd w:val="clear" w:color="000000" w:fill="F2F2F2"/>
      <w:suppressAutoHyphens w:val="0"/>
      <w:spacing w:before="100" w:beforeAutospacing="1" w:after="100" w:afterAutospacing="1"/>
      <w:jc w:val="center"/>
      <w:textAlignment w:val="center"/>
    </w:pPr>
    <w:rPr>
      <w:rFonts w:ascii="Times New Roman" w:eastAsia="Times New Roman" w:hAnsi="Times New Roman" w:cs="Times New Roman"/>
      <w:b/>
      <w:bCs/>
      <w:color w:val="000000"/>
      <w:sz w:val="24"/>
      <w:szCs w:val="24"/>
      <w:lang w:eastAsia="en-AU"/>
    </w:rPr>
  </w:style>
  <w:style w:type="paragraph" w:styleId="NormalWeb">
    <w:name w:val="Normal (Web)"/>
    <w:basedOn w:val="Normal"/>
    <w:uiPriority w:val="99"/>
    <w:semiHidden/>
    <w:unhideWhenUsed/>
    <w:rsid w:val="00E1605A"/>
    <w:pPr>
      <w:suppressAutoHyphens w:val="0"/>
      <w:spacing w:before="100" w:beforeAutospacing="1" w:after="100" w:afterAutospacing="1"/>
    </w:pPr>
    <w:rPr>
      <w:rFonts w:ascii="Times New Roman" w:hAnsi="Times New Roman" w:cs="Times New Roman"/>
      <w:color w:val="auto"/>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018469">
      <w:bodyDiv w:val="1"/>
      <w:marLeft w:val="0"/>
      <w:marRight w:val="0"/>
      <w:marTop w:val="0"/>
      <w:marBottom w:val="0"/>
      <w:divBdr>
        <w:top w:val="none" w:sz="0" w:space="0" w:color="auto"/>
        <w:left w:val="none" w:sz="0" w:space="0" w:color="auto"/>
        <w:bottom w:val="none" w:sz="0" w:space="0" w:color="auto"/>
        <w:right w:val="none" w:sz="0" w:space="0" w:color="auto"/>
      </w:divBdr>
    </w:div>
    <w:div w:id="121271310">
      <w:bodyDiv w:val="1"/>
      <w:marLeft w:val="0"/>
      <w:marRight w:val="0"/>
      <w:marTop w:val="0"/>
      <w:marBottom w:val="0"/>
      <w:divBdr>
        <w:top w:val="none" w:sz="0" w:space="0" w:color="auto"/>
        <w:left w:val="none" w:sz="0" w:space="0" w:color="auto"/>
        <w:bottom w:val="none" w:sz="0" w:space="0" w:color="auto"/>
        <w:right w:val="none" w:sz="0" w:space="0" w:color="auto"/>
      </w:divBdr>
    </w:div>
    <w:div w:id="186599833">
      <w:bodyDiv w:val="1"/>
      <w:marLeft w:val="0"/>
      <w:marRight w:val="0"/>
      <w:marTop w:val="0"/>
      <w:marBottom w:val="0"/>
      <w:divBdr>
        <w:top w:val="none" w:sz="0" w:space="0" w:color="auto"/>
        <w:left w:val="none" w:sz="0" w:space="0" w:color="auto"/>
        <w:bottom w:val="none" w:sz="0" w:space="0" w:color="auto"/>
        <w:right w:val="none" w:sz="0" w:space="0" w:color="auto"/>
      </w:divBdr>
    </w:div>
    <w:div w:id="221908117">
      <w:bodyDiv w:val="1"/>
      <w:marLeft w:val="0"/>
      <w:marRight w:val="0"/>
      <w:marTop w:val="0"/>
      <w:marBottom w:val="0"/>
      <w:divBdr>
        <w:top w:val="none" w:sz="0" w:space="0" w:color="auto"/>
        <w:left w:val="none" w:sz="0" w:space="0" w:color="auto"/>
        <w:bottom w:val="none" w:sz="0" w:space="0" w:color="auto"/>
        <w:right w:val="none" w:sz="0" w:space="0" w:color="auto"/>
      </w:divBdr>
    </w:div>
    <w:div w:id="305285405">
      <w:bodyDiv w:val="1"/>
      <w:marLeft w:val="0"/>
      <w:marRight w:val="0"/>
      <w:marTop w:val="0"/>
      <w:marBottom w:val="0"/>
      <w:divBdr>
        <w:top w:val="none" w:sz="0" w:space="0" w:color="auto"/>
        <w:left w:val="none" w:sz="0" w:space="0" w:color="auto"/>
        <w:bottom w:val="none" w:sz="0" w:space="0" w:color="auto"/>
        <w:right w:val="none" w:sz="0" w:space="0" w:color="auto"/>
      </w:divBdr>
    </w:div>
    <w:div w:id="309479947">
      <w:bodyDiv w:val="1"/>
      <w:marLeft w:val="0"/>
      <w:marRight w:val="0"/>
      <w:marTop w:val="0"/>
      <w:marBottom w:val="0"/>
      <w:divBdr>
        <w:top w:val="none" w:sz="0" w:space="0" w:color="auto"/>
        <w:left w:val="none" w:sz="0" w:space="0" w:color="auto"/>
        <w:bottom w:val="none" w:sz="0" w:space="0" w:color="auto"/>
        <w:right w:val="none" w:sz="0" w:space="0" w:color="auto"/>
      </w:divBdr>
      <w:divsChild>
        <w:div w:id="533152255">
          <w:marLeft w:val="0"/>
          <w:marRight w:val="0"/>
          <w:marTop w:val="15"/>
          <w:marBottom w:val="0"/>
          <w:divBdr>
            <w:top w:val="single" w:sz="48" w:space="0" w:color="auto"/>
            <w:left w:val="single" w:sz="48" w:space="0" w:color="auto"/>
            <w:bottom w:val="single" w:sz="48" w:space="0" w:color="auto"/>
            <w:right w:val="single" w:sz="48" w:space="0" w:color="auto"/>
          </w:divBdr>
          <w:divsChild>
            <w:div w:id="1815485910">
              <w:marLeft w:val="0"/>
              <w:marRight w:val="0"/>
              <w:marTop w:val="0"/>
              <w:marBottom w:val="0"/>
              <w:divBdr>
                <w:top w:val="none" w:sz="0" w:space="0" w:color="auto"/>
                <w:left w:val="none" w:sz="0" w:space="0" w:color="auto"/>
                <w:bottom w:val="none" w:sz="0" w:space="0" w:color="auto"/>
                <w:right w:val="none" w:sz="0" w:space="0" w:color="auto"/>
              </w:divBdr>
              <w:divsChild>
                <w:div w:id="14111803">
                  <w:marLeft w:val="0"/>
                  <w:marRight w:val="0"/>
                  <w:marTop w:val="0"/>
                  <w:marBottom w:val="0"/>
                  <w:divBdr>
                    <w:top w:val="none" w:sz="0" w:space="0" w:color="auto"/>
                    <w:left w:val="none" w:sz="0" w:space="0" w:color="auto"/>
                    <w:bottom w:val="none" w:sz="0" w:space="0" w:color="auto"/>
                    <w:right w:val="none" w:sz="0" w:space="0" w:color="auto"/>
                  </w:divBdr>
                </w:div>
                <w:div w:id="47461206">
                  <w:marLeft w:val="0"/>
                  <w:marRight w:val="0"/>
                  <w:marTop w:val="0"/>
                  <w:marBottom w:val="0"/>
                  <w:divBdr>
                    <w:top w:val="none" w:sz="0" w:space="0" w:color="auto"/>
                    <w:left w:val="none" w:sz="0" w:space="0" w:color="auto"/>
                    <w:bottom w:val="none" w:sz="0" w:space="0" w:color="auto"/>
                    <w:right w:val="none" w:sz="0" w:space="0" w:color="auto"/>
                  </w:divBdr>
                </w:div>
                <w:div w:id="98379185">
                  <w:marLeft w:val="0"/>
                  <w:marRight w:val="0"/>
                  <w:marTop w:val="0"/>
                  <w:marBottom w:val="0"/>
                  <w:divBdr>
                    <w:top w:val="none" w:sz="0" w:space="0" w:color="auto"/>
                    <w:left w:val="none" w:sz="0" w:space="0" w:color="auto"/>
                    <w:bottom w:val="none" w:sz="0" w:space="0" w:color="auto"/>
                    <w:right w:val="none" w:sz="0" w:space="0" w:color="auto"/>
                  </w:divBdr>
                </w:div>
                <w:div w:id="109471774">
                  <w:marLeft w:val="0"/>
                  <w:marRight w:val="0"/>
                  <w:marTop w:val="0"/>
                  <w:marBottom w:val="0"/>
                  <w:divBdr>
                    <w:top w:val="none" w:sz="0" w:space="0" w:color="auto"/>
                    <w:left w:val="none" w:sz="0" w:space="0" w:color="auto"/>
                    <w:bottom w:val="none" w:sz="0" w:space="0" w:color="auto"/>
                    <w:right w:val="none" w:sz="0" w:space="0" w:color="auto"/>
                  </w:divBdr>
                </w:div>
                <w:div w:id="139006915">
                  <w:marLeft w:val="0"/>
                  <w:marRight w:val="0"/>
                  <w:marTop w:val="0"/>
                  <w:marBottom w:val="0"/>
                  <w:divBdr>
                    <w:top w:val="none" w:sz="0" w:space="0" w:color="auto"/>
                    <w:left w:val="none" w:sz="0" w:space="0" w:color="auto"/>
                    <w:bottom w:val="none" w:sz="0" w:space="0" w:color="auto"/>
                    <w:right w:val="none" w:sz="0" w:space="0" w:color="auto"/>
                  </w:divBdr>
                </w:div>
                <w:div w:id="250045867">
                  <w:marLeft w:val="0"/>
                  <w:marRight w:val="0"/>
                  <w:marTop w:val="0"/>
                  <w:marBottom w:val="0"/>
                  <w:divBdr>
                    <w:top w:val="none" w:sz="0" w:space="0" w:color="auto"/>
                    <w:left w:val="none" w:sz="0" w:space="0" w:color="auto"/>
                    <w:bottom w:val="none" w:sz="0" w:space="0" w:color="auto"/>
                    <w:right w:val="none" w:sz="0" w:space="0" w:color="auto"/>
                  </w:divBdr>
                </w:div>
                <w:div w:id="301037957">
                  <w:marLeft w:val="0"/>
                  <w:marRight w:val="0"/>
                  <w:marTop w:val="0"/>
                  <w:marBottom w:val="0"/>
                  <w:divBdr>
                    <w:top w:val="none" w:sz="0" w:space="0" w:color="auto"/>
                    <w:left w:val="none" w:sz="0" w:space="0" w:color="auto"/>
                    <w:bottom w:val="none" w:sz="0" w:space="0" w:color="auto"/>
                    <w:right w:val="none" w:sz="0" w:space="0" w:color="auto"/>
                  </w:divBdr>
                </w:div>
                <w:div w:id="344017756">
                  <w:marLeft w:val="0"/>
                  <w:marRight w:val="0"/>
                  <w:marTop w:val="0"/>
                  <w:marBottom w:val="0"/>
                  <w:divBdr>
                    <w:top w:val="none" w:sz="0" w:space="0" w:color="auto"/>
                    <w:left w:val="none" w:sz="0" w:space="0" w:color="auto"/>
                    <w:bottom w:val="none" w:sz="0" w:space="0" w:color="auto"/>
                    <w:right w:val="none" w:sz="0" w:space="0" w:color="auto"/>
                  </w:divBdr>
                </w:div>
                <w:div w:id="755052617">
                  <w:marLeft w:val="0"/>
                  <w:marRight w:val="0"/>
                  <w:marTop w:val="0"/>
                  <w:marBottom w:val="0"/>
                  <w:divBdr>
                    <w:top w:val="none" w:sz="0" w:space="0" w:color="auto"/>
                    <w:left w:val="none" w:sz="0" w:space="0" w:color="auto"/>
                    <w:bottom w:val="none" w:sz="0" w:space="0" w:color="auto"/>
                    <w:right w:val="none" w:sz="0" w:space="0" w:color="auto"/>
                  </w:divBdr>
                </w:div>
                <w:div w:id="761412119">
                  <w:marLeft w:val="0"/>
                  <w:marRight w:val="0"/>
                  <w:marTop w:val="0"/>
                  <w:marBottom w:val="0"/>
                  <w:divBdr>
                    <w:top w:val="none" w:sz="0" w:space="0" w:color="auto"/>
                    <w:left w:val="none" w:sz="0" w:space="0" w:color="auto"/>
                    <w:bottom w:val="none" w:sz="0" w:space="0" w:color="auto"/>
                    <w:right w:val="none" w:sz="0" w:space="0" w:color="auto"/>
                  </w:divBdr>
                </w:div>
                <w:div w:id="943538331">
                  <w:marLeft w:val="0"/>
                  <w:marRight w:val="0"/>
                  <w:marTop w:val="0"/>
                  <w:marBottom w:val="0"/>
                  <w:divBdr>
                    <w:top w:val="none" w:sz="0" w:space="0" w:color="auto"/>
                    <w:left w:val="none" w:sz="0" w:space="0" w:color="auto"/>
                    <w:bottom w:val="none" w:sz="0" w:space="0" w:color="auto"/>
                    <w:right w:val="none" w:sz="0" w:space="0" w:color="auto"/>
                  </w:divBdr>
                </w:div>
                <w:div w:id="956134354">
                  <w:marLeft w:val="0"/>
                  <w:marRight w:val="0"/>
                  <w:marTop w:val="0"/>
                  <w:marBottom w:val="0"/>
                  <w:divBdr>
                    <w:top w:val="none" w:sz="0" w:space="0" w:color="auto"/>
                    <w:left w:val="none" w:sz="0" w:space="0" w:color="auto"/>
                    <w:bottom w:val="none" w:sz="0" w:space="0" w:color="auto"/>
                    <w:right w:val="none" w:sz="0" w:space="0" w:color="auto"/>
                  </w:divBdr>
                </w:div>
                <w:div w:id="1021005699">
                  <w:marLeft w:val="0"/>
                  <w:marRight w:val="0"/>
                  <w:marTop w:val="0"/>
                  <w:marBottom w:val="0"/>
                  <w:divBdr>
                    <w:top w:val="none" w:sz="0" w:space="0" w:color="auto"/>
                    <w:left w:val="none" w:sz="0" w:space="0" w:color="auto"/>
                    <w:bottom w:val="none" w:sz="0" w:space="0" w:color="auto"/>
                    <w:right w:val="none" w:sz="0" w:space="0" w:color="auto"/>
                  </w:divBdr>
                </w:div>
                <w:div w:id="1710035213">
                  <w:marLeft w:val="0"/>
                  <w:marRight w:val="0"/>
                  <w:marTop w:val="0"/>
                  <w:marBottom w:val="0"/>
                  <w:divBdr>
                    <w:top w:val="none" w:sz="0" w:space="0" w:color="auto"/>
                    <w:left w:val="none" w:sz="0" w:space="0" w:color="auto"/>
                    <w:bottom w:val="none" w:sz="0" w:space="0" w:color="auto"/>
                    <w:right w:val="none" w:sz="0" w:space="0" w:color="auto"/>
                  </w:divBdr>
                </w:div>
                <w:div w:id="1882982629">
                  <w:marLeft w:val="0"/>
                  <w:marRight w:val="0"/>
                  <w:marTop w:val="0"/>
                  <w:marBottom w:val="0"/>
                  <w:divBdr>
                    <w:top w:val="none" w:sz="0" w:space="0" w:color="auto"/>
                    <w:left w:val="none" w:sz="0" w:space="0" w:color="auto"/>
                    <w:bottom w:val="none" w:sz="0" w:space="0" w:color="auto"/>
                    <w:right w:val="none" w:sz="0" w:space="0" w:color="auto"/>
                  </w:divBdr>
                </w:div>
                <w:div w:id="1893425552">
                  <w:marLeft w:val="0"/>
                  <w:marRight w:val="0"/>
                  <w:marTop w:val="0"/>
                  <w:marBottom w:val="0"/>
                  <w:divBdr>
                    <w:top w:val="none" w:sz="0" w:space="0" w:color="auto"/>
                    <w:left w:val="none" w:sz="0" w:space="0" w:color="auto"/>
                    <w:bottom w:val="none" w:sz="0" w:space="0" w:color="auto"/>
                    <w:right w:val="none" w:sz="0" w:space="0" w:color="auto"/>
                  </w:divBdr>
                </w:div>
                <w:div w:id="1937905279">
                  <w:marLeft w:val="0"/>
                  <w:marRight w:val="0"/>
                  <w:marTop w:val="0"/>
                  <w:marBottom w:val="0"/>
                  <w:divBdr>
                    <w:top w:val="none" w:sz="0" w:space="0" w:color="auto"/>
                    <w:left w:val="none" w:sz="0" w:space="0" w:color="auto"/>
                    <w:bottom w:val="none" w:sz="0" w:space="0" w:color="auto"/>
                    <w:right w:val="none" w:sz="0" w:space="0" w:color="auto"/>
                  </w:divBdr>
                </w:div>
                <w:div w:id="211382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218721">
      <w:bodyDiv w:val="1"/>
      <w:marLeft w:val="0"/>
      <w:marRight w:val="0"/>
      <w:marTop w:val="0"/>
      <w:marBottom w:val="0"/>
      <w:divBdr>
        <w:top w:val="none" w:sz="0" w:space="0" w:color="auto"/>
        <w:left w:val="none" w:sz="0" w:space="0" w:color="auto"/>
        <w:bottom w:val="none" w:sz="0" w:space="0" w:color="auto"/>
        <w:right w:val="none" w:sz="0" w:space="0" w:color="auto"/>
      </w:divBdr>
    </w:div>
    <w:div w:id="434517625">
      <w:bodyDiv w:val="1"/>
      <w:marLeft w:val="0"/>
      <w:marRight w:val="0"/>
      <w:marTop w:val="0"/>
      <w:marBottom w:val="0"/>
      <w:divBdr>
        <w:top w:val="none" w:sz="0" w:space="0" w:color="auto"/>
        <w:left w:val="none" w:sz="0" w:space="0" w:color="auto"/>
        <w:bottom w:val="none" w:sz="0" w:space="0" w:color="auto"/>
        <w:right w:val="none" w:sz="0" w:space="0" w:color="auto"/>
      </w:divBdr>
    </w:div>
    <w:div w:id="597255473">
      <w:bodyDiv w:val="1"/>
      <w:marLeft w:val="0"/>
      <w:marRight w:val="0"/>
      <w:marTop w:val="0"/>
      <w:marBottom w:val="0"/>
      <w:divBdr>
        <w:top w:val="none" w:sz="0" w:space="0" w:color="auto"/>
        <w:left w:val="none" w:sz="0" w:space="0" w:color="auto"/>
        <w:bottom w:val="none" w:sz="0" w:space="0" w:color="auto"/>
        <w:right w:val="none" w:sz="0" w:space="0" w:color="auto"/>
      </w:divBdr>
    </w:div>
    <w:div w:id="661465582">
      <w:bodyDiv w:val="1"/>
      <w:marLeft w:val="0"/>
      <w:marRight w:val="0"/>
      <w:marTop w:val="0"/>
      <w:marBottom w:val="0"/>
      <w:divBdr>
        <w:top w:val="none" w:sz="0" w:space="0" w:color="auto"/>
        <w:left w:val="none" w:sz="0" w:space="0" w:color="auto"/>
        <w:bottom w:val="none" w:sz="0" w:space="0" w:color="auto"/>
        <w:right w:val="none" w:sz="0" w:space="0" w:color="auto"/>
      </w:divBdr>
    </w:div>
    <w:div w:id="678896407">
      <w:bodyDiv w:val="1"/>
      <w:marLeft w:val="0"/>
      <w:marRight w:val="0"/>
      <w:marTop w:val="0"/>
      <w:marBottom w:val="0"/>
      <w:divBdr>
        <w:top w:val="none" w:sz="0" w:space="0" w:color="auto"/>
        <w:left w:val="none" w:sz="0" w:space="0" w:color="auto"/>
        <w:bottom w:val="none" w:sz="0" w:space="0" w:color="auto"/>
        <w:right w:val="none" w:sz="0" w:space="0" w:color="auto"/>
      </w:divBdr>
    </w:div>
    <w:div w:id="799223253">
      <w:bodyDiv w:val="1"/>
      <w:marLeft w:val="0"/>
      <w:marRight w:val="0"/>
      <w:marTop w:val="0"/>
      <w:marBottom w:val="0"/>
      <w:divBdr>
        <w:top w:val="none" w:sz="0" w:space="0" w:color="auto"/>
        <w:left w:val="none" w:sz="0" w:space="0" w:color="auto"/>
        <w:bottom w:val="none" w:sz="0" w:space="0" w:color="auto"/>
        <w:right w:val="none" w:sz="0" w:space="0" w:color="auto"/>
      </w:divBdr>
    </w:div>
    <w:div w:id="907156988">
      <w:bodyDiv w:val="1"/>
      <w:marLeft w:val="0"/>
      <w:marRight w:val="0"/>
      <w:marTop w:val="0"/>
      <w:marBottom w:val="0"/>
      <w:divBdr>
        <w:top w:val="none" w:sz="0" w:space="0" w:color="auto"/>
        <w:left w:val="none" w:sz="0" w:space="0" w:color="auto"/>
        <w:bottom w:val="none" w:sz="0" w:space="0" w:color="auto"/>
        <w:right w:val="none" w:sz="0" w:space="0" w:color="auto"/>
      </w:divBdr>
    </w:div>
    <w:div w:id="937758795">
      <w:bodyDiv w:val="1"/>
      <w:marLeft w:val="0"/>
      <w:marRight w:val="0"/>
      <w:marTop w:val="0"/>
      <w:marBottom w:val="0"/>
      <w:divBdr>
        <w:top w:val="none" w:sz="0" w:space="0" w:color="auto"/>
        <w:left w:val="none" w:sz="0" w:space="0" w:color="auto"/>
        <w:bottom w:val="none" w:sz="0" w:space="0" w:color="auto"/>
        <w:right w:val="none" w:sz="0" w:space="0" w:color="auto"/>
      </w:divBdr>
    </w:div>
    <w:div w:id="1058628302">
      <w:bodyDiv w:val="1"/>
      <w:marLeft w:val="0"/>
      <w:marRight w:val="0"/>
      <w:marTop w:val="0"/>
      <w:marBottom w:val="0"/>
      <w:divBdr>
        <w:top w:val="none" w:sz="0" w:space="0" w:color="auto"/>
        <w:left w:val="none" w:sz="0" w:space="0" w:color="auto"/>
        <w:bottom w:val="none" w:sz="0" w:space="0" w:color="auto"/>
        <w:right w:val="none" w:sz="0" w:space="0" w:color="auto"/>
      </w:divBdr>
    </w:div>
    <w:div w:id="1064598349">
      <w:bodyDiv w:val="1"/>
      <w:marLeft w:val="0"/>
      <w:marRight w:val="0"/>
      <w:marTop w:val="0"/>
      <w:marBottom w:val="0"/>
      <w:divBdr>
        <w:top w:val="none" w:sz="0" w:space="0" w:color="auto"/>
        <w:left w:val="none" w:sz="0" w:space="0" w:color="auto"/>
        <w:bottom w:val="none" w:sz="0" w:space="0" w:color="auto"/>
        <w:right w:val="none" w:sz="0" w:space="0" w:color="auto"/>
      </w:divBdr>
    </w:div>
    <w:div w:id="1230337233">
      <w:bodyDiv w:val="1"/>
      <w:marLeft w:val="0"/>
      <w:marRight w:val="0"/>
      <w:marTop w:val="0"/>
      <w:marBottom w:val="0"/>
      <w:divBdr>
        <w:top w:val="none" w:sz="0" w:space="0" w:color="auto"/>
        <w:left w:val="none" w:sz="0" w:space="0" w:color="auto"/>
        <w:bottom w:val="none" w:sz="0" w:space="0" w:color="auto"/>
        <w:right w:val="none" w:sz="0" w:space="0" w:color="auto"/>
      </w:divBdr>
    </w:div>
    <w:div w:id="1286355550">
      <w:bodyDiv w:val="1"/>
      <w:marLeft w:val="0"/>
      <w:marRight w:val="0"/>
      <w:marTop w:val="0"/>
      <w:marBottom w:val="0"/>
      <w:divBdr>
        <w:top w:val="none" w:sz="0" w:space="0" w:color="auto"/>
        <w:left w:val="none" w:sz="0" w:space="0" w:color="auto"/>
        <w:bottom w:val="none" w:sz="0" w:space="0" w:color="auto"/>
        <w:right w:val="none" w:sz="0" w:space="0" w:color="auto"/>
      </w:divBdr>
    </w:div>
    <w:div w:id="1341422839">
      <w:bodyDiv w:val="1"/>
      <w:marLeft w:val="0"/>
      <w:marRight w:val="0"/>
      <w:marTop w:val="0"/>
      <w:marBottom w:val="0"/>
      <w:divBdr>
        <w:top w:val="none" w:sz="0" w:space="0" w:color="auto"/>
        <w:left w:val="none" w:sz="0" w:space="0" w:color="auto"/>
        <w:bottom w:val="none" w:sz="0" w:space="0" w:color="auto"/>
        <w:right w:val="none" w:sz="0" w:space="0" w:color="auto"/>
      </w:divBdr>
    </w:div>
    <w:div w:id="1377312493">
      <w:bodyDiv w:val="1"/>
      <w:marLeft w:val="0"/>
      <w:marRight w:val="0"/>
      <w:marTop w:val="0"/>
      <w:marBottom w:val="0"/>
      <w:divBdr>
        <w:top w:val="none" w:sz="0" w:space="0" w:color="auto"/>
        <w:left w:val="none" w:sz="0" w:space="0" w:color="auto"/>
        <w:bottom w:val="none" w:sz="0" w:space="0" w:color="auto"/>
        <w:right w:val="none" w:sz="0" w:space="0" w:color="auto"/>
      </w:divBdr>
    </w:div>
    <w:div w:id="1396977099">
      <w:bodyDiv w:val="1"/>
      <w:marLeft w:val="0"/>
      <w:marRight w:val="0"/>
      <w:marTop w:val="0"/>
      <w:marBottom w:val="0"/>
      <w:divBdr>
        <w:top w:val="none" w:sz="0" w:space="0" w:color="auto"/>
        <w:left w:val="none" w:sz="0" w:space="0" w:color="auto"/>
        <w:bottom w:val="none" w:sz="0" w:space="0" w:color="auto"/>
        <w:right w:val="none" w:sz="0" w:space="0" w:color="auto"/>
      </w:divBdr>
    </w:div>
    <w:div w:id="1468012056">
      <w:bodyDiv w:val="1"/>
      <w:marLeft w:val="0"/>
      <w:marRight w:val="0"/>
      <w:marTop w:val="0"/>
      <w:marBottom w:val="0"/>
      <w:divBdr>
        <w:top w:val="none" w:sz="0" w:space="0" w:color="auto"/>
        <w:left w:val="none" w:sz="0" w:space="0" w:color="auto"/>
        <w:bottom w:val="none" w:sz="0" w:space="0" w:color="auto"/>
        <w:right w:val="none" w:sz="0" w:space="0" w:color="auto"/>
      </w:divBdr>
    </w:div>
    <w:div w:id="1527644277">
      <w:bodyDiv w:val="1"/>
      <w:marLeft w:val="0"/>
      <w:marRight w:val="0"/>
      <w:marTop w:val="0"/>
      <w:marBottom w:val="0"/>
      <w:divBdr>
        <w:top w:val="none" w:sz="0" w:space="0" w:color="auto"/>
        <w:left w:val="none" w:sz="0" w:space="0" w:color="auto"/>
        <w:bottom w:val="none" w:sz="0" w:space="0" w:color="auto"/>
        <w:right w:val="none" w:sz="0" w:space="0" w:color="auto"/>
      </w:divBdr>
    </w:div>
    <w:div w:id="1626083237">
      <w:bodyDiv w:val="1"/>
      <w:marLeft w:val="0"/>
      <w:marRight w:val="0"/>
      <w:marTop w:val="0"/>
      <w:marBottom w:val="0"/>
      <w:divBdr>
        <w:top w:val="none" w:sz="0" w:space="0" w:color="auto"/>
        <w:left w:val="none" w:sz="0" w:space="0" w:color="auto"/>
        <w:bottom w:val="none" w:sz="0" w:space="0" w:color="auto"/>
        <w:right w:val="none" w:sz="0" w:space="0" w:color="auto"/>
      </w:divBdr>
    </w:div>
    <w:div w:id="1820539230">
      <w:bodyDiv w:val="1"/>
      <w:marLeft w:val="0"/>
      <w:marRight w:val="0"/>
      <w:marTop w:val="0"/>
      <w:marBottom w:val="0"/>
      <w:divBdr>
        <w:top w:val="none" w:sz="0" w:space="0" w:color="auto"/>
        <w:left w:val="none" w:sz="0" w:space="0" w:color="auto"/>
        <w:bottom w:val="none" w:sz="0" w:space="0" w:color="auto"/>
        <w:right w:val="none" w:sz="0" w:space="0" w:color="auto"/>
      </w:divBdr>
    </w:div>
    <w:div w:id="1829398325">
      <w:bodyDiv w:val="1"/>
      <w:marLeft w:val="0"/>
      <w:marRight w:val="0"/>
      <w:marTop w:val="0"/>
      <w:marBottom w:val="0"/>
      <w:divBdr>
        <w:top w:val="none" w:sz="0" w:space="0" w:color="auto"/>
        <w:left w:val="none" w:sz="0" w:space="0" w:color="auto"/>
        <w:bottom w:val="none" w:sz="0" w:space="0" w:color="auto"/>
        <w:right w:val="none" w:sz="0" w:space="0" w:color="auto"/>
      </w:divBdr>
    </w:div>
    <w:div w:id="1856528804">
      <w:bodyDiv w:val="1"/>
      <w:marLeft w:val="0"/>
      <w:marRight w:val="0"/>
      <w:marTop w:val="0"/>
      <w:marBottom w:val="0"/>
      <w:divBdr>
        <w:top w:val="none" w:sz="0" w:space="0" w:color="auto"/>
        <w:left w:val="none" w:sz="0" w:space="0" w:color="auto"/>
        <w:bottom w:val="none" w:sz="0" w:space="0" w:color="auto"/>
        <w:right w:val="none" w:sz="0" w:space="0" w:color="auto"/>
      </w:divBdr>
    </w:div>
    <w:div w:id="1876964540">
      <w:bodyDiv w:val="1"/>
      <w:marLeft w:val="0"/>
      <w:marRight w:val="0"/>
      <w:marTop w:val="0"/>
      <w:marBottom w:val="0"/>
      <w:divBdr>
        <w:top w:val="none" w:sz="0" w:space="0" w:color="auto"/>
        <w:left w:val="none" w:sz="0" w:space="0" w:color="auto"/>
        <w:bottom w:val="none" w:sz="0" w:space="0" w:color="auto"/>
        <w:right w:val="none" w:sz="0" w:space="0" w:color="auto"/>
      </w:divBdr>
    </w:div>
    <w:div w:id="1897818059">
      <w:bodyDiv w:val="1"/>
      <w:marLeft w:val="0"/>
      <w:marRight w:val="0"/>
      <w:marTop w:val="0"/>
      <w:marBottom w:val="0"/>
      <w:divBdr>
        <w:top w:val="none" w:sz="0" w:space="0" w:color="auto"/>
        <w:left w:val="none" w:sz="0" w:space="0" w:color="auto"/>
        <w:bottom w:val="none" w:sz="0" w:space="0" w:color="auto"/>
        <w:right w:val="none" w:sz="0" w:space="0" w:color="auto"/>
      </w:divBdr>
    </w:div>
    <w:div w:id="2143189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eader" Target="header3.xml"/><Relationship Id="rId26" Type="http://schemas.openxmlformats.org/officeDocument/2006/relationships/hyperlink" Target="https://www.infrastructure.gov.au/have-your-say/" TargetMode="External"/><Relationship Id="rId39" Type="http://schemas.openxmlformats.org/officeDocument/2006/relationships/image" Target="media/image6.png"/><Relationship Id="rId21" Type="http://schemas.openxmlformats.org/officeDocument/2006/relationships/hyperlink" Target="http://www.pmc.gov.au" TargetMode="External"/><Relationship Id="rId34" Type="http://schemas.openxmlformats.org/officeDocument/2006/relationships/chart" Target="charts/chart1.xml"/><Relationship Id="rId42" Type="http://schemas.openxmlformats.org/officeDocument/2006/relationships/diagramLayout" Target="diagrams/layout1.xml"/><Relationship Id="rId47" Type="http://schemas.openxmlformats.org/officeDocument/2006/relationships/hyperlink" Target="https://www.accc.gov.au/system/files/Internet%20Activity%20Report%20%28December%202018%29_0.pdf" TargetMode="External"/><Relationship Id="rId50" Type="http://schemas.openxmlformats.org/officeDocument/2006/relationships/header" Target="header9.xml"/><Relationship Id="rId55"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hyperlink" Target="http://www.arts.gov.au" TargetMode="External"/><Relationship Id="rId33" Type="http://schemas.openxmlformats.org/officeDocument/2006/relationships/image" Target="media/image4.png"/><Relationship Id="rId38" Type="http://schemas.openxmlformats.org/officeDocument/2006/relationships/image" Target="media/image5.png"/><Relationship Id="rId46"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creativecommons.org/licenses/by/4.0/" TargetMode="External"/><Relationship Id="rId29" Type="http://schemas.openxmlformats.org/officeDocument/2006/relationships/header" Target="header5.xml"/><Relationship Id="rId41" Type="http://schemas.openxmlformats.org/officeDocument/2006/relationships/diagramData" Target="diagrams/data1.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communications.gov.au" TargetMode="External"/><Relationship Id="rId32" Type="http://schemas.openxmlformats.org/officeDocument/2006/relationships/footer" Target="footer5.xml"/><Relationship Id="rId37" Type="http://schemas.openxmlformats.org/officeDocument/2006/relationships/chart" Target="charts/chart4.xml"/><Relationship Id="rId40" Type="http://schemas.openxmlformats.org/officeDocument/2006/relationships/hyperlink" Target="https://www.theroar.com.au/afl/afl-grand-final/" TargetMode="External"/><Relationship Id="rId45" Type="http://schemas.microsoft.com/office/2007/relationships/diagramDrawing" Target="diagrams/drawing1.xml"/><Relationship Id="rId53" Type="http://schemas.openxmlformats.org/officeDocument/2006/relationships/header" Target="header12.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www.infrastructure.gov.au" TargetMode="External"/><Relationship Id="rId28" Type="http://schemas.openxmlformats.org/officeDocument/2006/relationships/header" Target="header4.xml"/><Relationship Id="rId36" Type="http://schemas.openxmlformats.org/officeDocument/2006/relationships/chart" Target="charts/chart3.xml"/><Relationship Id="rId49" Type="http://schemas.openxmlformats.org/officeDocument/2006/relationships/header" Target="header8.xml"/><Relationship Id="rId10" Type="http://schemas.openxmlformats.org/officeDocument/2006/relationships/footnotes" Target="footnotes.xml"/><Relationship Id="rId19" Type="http://schemas.openxmlformats.org/officeDocument/2006/relationships/footer" Target="footer3.xml"/><Relationship Id="rId31" Type="http://schemas.openxmlformats.org/officeDocument/2006/relationships/header" Target="header6.xml"/><Relationship Id="rId44" Type="http://schemas.openxmlformats.org/officeDocument/2006/relationships/diagramColors" Target="diagrams/colors1.xml"/><Relationship Id="rId52" Type="http://schemas.openxmlformats.org/officeDocument/2006/relationships/header" Target="header1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mailto:publishing@communications.gov.au" TargetMode="External"/><Relationship Id="rId27" Type="http://schemas.openxmlformats.org/officeDocument/2006/relationships/hyperlink" Target="mailto:Media.Reform@communications.gov.au" TargetMode="External"/><Relationship Id="rId30" Type="http://schemas.openxmlformats.org/officeDocument/2006/relationships/footer" Target="footer4.xml"/><Relationship Id="rId35" Type="http://schemas.openxmlformats.org/officeDocument/2006/relationships/chart" Target="charts/chart2.xml"/><Relationship Id="rId43" Type="http://schemas.openxmlformats.org/officeDocument/2006/relationships/diagramQuickStyle" Target="diagrams/quickStyle1.xml"/><Relationship Id="rId48" Type="http://schemas.openxmlformats.org/officeDocument/2006/relationships/header" Target="header7.xml"/><Relationship Id="rId56"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eader" Target="header10.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3" Type="http://schemas.openxmlformats.org/officeDocument/2006/relationships/hyperlink" Target="https://www.theguardian.com/sport/2019/mar/20/rugby-union-future-cricket-free-to-air-tv" TargetMode="External"/><Relationship Id="rId18" Type="http://schemas.openxmlformats.org/officeDocument/2006/relationships/hyperlink" Target="https://www.infrastructure.gov.au/2021-media-content-consumption-survey" TargetMode="External"/><Relationship Id="rId26" Type="http://schemas.openxmlformats.org/officeDocument/2006/relationships/hyperlink" Target="https://ausopen.com/articles/news/tennis-australia-signs-landmark-rights-deal-nine-network" TargetMode="External"/><Relationship Id="rId39" Type="http://schemas.openxmlformats.org/officeDocument/2006/relationships/hyperlink" Target="https://supernetball.com.au/news/new-broadcast-and-rights-deal-announced-2022" TargetMode="External"/><Relationship Id="rId21" Type="http://schemas.openxmlformats.org/officeDocument/2006/relationships/hyperlink" Target="https://www.sevenwestmedia.com.au/assets/pdfs/James-Warburton-CEDA-address.pdf" TargetMode="External"/><Relationship Id="rId34" Type="http://schemas.openxmlformats.org/officeDocument/2006/relationships/hyperlink" Target="https://thinktv.com.au/news/total-tv-advertising-market-records-4-3-billion-for-12-months-to-june-2022/" TargetMode="External"/><Relationship Id="rId42" Type="http://schemas.openxmlformats.org/officeDocument/2006/relationships/hyperlink" Target="https://www.theguardian.com/football/2021/may/12/premier-league-set-for-45bn-new-tv-deal-with-sky-bt-and-amazon" TargetMode="External"/><Relationship Id="rId47" Type="http://schemas.openxmlformats.org/officeDocument/2006/relationships/hyperlink" Target="https://www.nytimes.com/2021/03/18/sports/football/nfl-tv-contracts.html" TargetMode="External"/><Relationship Id="rId50" Type="http://schemas.openxmlformats.org/officeDocument/2006/relationships/hyperlink" Target="https://www.cnbc.com/2021/03/18/nfl-media-rights-deal-2023-2033-amazon-gets-exclusive-thursday-night.html" TargetMode="External"/><Relationship Id="rId55" Type="http://schemas.openxmlformats.org/officeDocument/2006/relationships/hyperlink" Target="https://www.freetv.com.au/wp-content/uploads/2022/02/FreeTV_Policy-Manifesto.pdf" TargetMode="External"/><Relationship Id="rId7" Type="http://schemas.openxmlformats.org/officeDocument/2006/relationships/hyperlink" Target="https://resources.afl.com.au/afl/document/2022/03/10/76a16be1-6439-4020-af33-1cac86639f7e/2021-AFL-Annual-Report.pdf" TargetMode="External"/><Relationship Id="rId12" Type="http://schemas.openxmlformats.org/officeDocument/2006/relationships/hyperlink" Target="https://www.underdogsport.co.uk/post/does-paywall-coverage-really-damage-grassroots-participation" TargetMode="External"/><Relationship Id="rId17" Type="http://schemas.openxmlformats.org/officeDocument/2006/relationships/hyperlink" Target="https://www.bandt.com.au/tokyo-2020-isnt-just-sevens-win-its-a-giant-endorsement-for-bvod-in-general-the-trade-desks-james-bayes/" TargetMode="External"/><Relationship Id="rId25" Type="http://schemas.openxmlformats.org/officeDocument/2006/relationships/hyperlink" Target="https://www.nrl.com/news/2021/12/20/record-broadcast-deal-a-partnership-to-grow-game/" TargetMode="External"/><Relationship Id="rId33" Type="http://schemas.openxmlformats.org/officeDocument/2006/relationships/hyperlink" Target="https://www.nrl.com/news/2022/02/28/2021-financial-results/" TargetMode="External"/><Relationship Id="rId38" Type="http://schemas.openxmlformats.org/officeDocument/2006/relationships/hyperlink" Target="https://sport.optus.com.au/articles/os35270/optus-sport-premier-league-fawsl-australia-rights-deals-details" TargetMode="External"/><Relationship Id="rId46" Type="http://schemas.openxmlformats.org/officeDocument/2006/relationships/hyperlink" Target="https://www.wtatennis.com/news/1447593/amazon-wins-exclusive-rights-to-wta-in-four-year-deal-prime-video-to-be-the-home-for-tennis-in-the-uk-and-ireland" TargetMode="External"/><Relationship Id="rId2" Type="http://schemas.openxmlformats.org/officeDocument/2006/relationships/hyperlink" Target="https://www.clearinghouseforsport.gov.au/research/ausplay/results" TargetMode="External"/><Relationship Id="rId16" Type="http://schemas.openxmlformats.org/officeDocument/2006/relationships/hyperlink" Target="https://www.smh.com.au/sport/nrl/largest-origin-tv-audience-since-2019-tunes-in-for-game-two-rout-20220627-p5awxc.html" TargetMode="External"/><Relationship Id="rId20" Type="http://schemas.openxmlformats.org/officeDocument/2006/relationships/hyperlink" Target="https://www2.deloitte.com/au/en/pages/economics/articles/everybody-gets-it.html" TargetMode="External"/><Relationship Id="rId29" Type="http://schemas.openxmlformats.org/officeDocument/2006/relationships/hyperlink" Target="https://finance.nine.com.au/business-news/cricket-australia-broadcast-rights-seven-foxtel-nine-ten/a614aa45-f4b3-47a4-b2fb-d2f6ecb9986c" TargetMode="External"/><Relationship Id="rId41" Type="http://schemas.openxmlformats.org/officeDocument/2006/relationships/hyperlink" Target="https://www.nytimes.com/2018/06/07/business/media/premier-league-amazon-soccer.html" TargetMode="External"/><Relationship Id="rId54" Type="http://schemas.openxmlformats.org/officeDocument/2006/relationships/hyperlink" Target="https://parlinfo.aph.gov.au/parlInfo/search/display/display.w3p;query=Id:%22media/pressrel/SSP10%22" TargetMode="External"/><Relationship Id="rId1" Type="http://schemas.openxmlformats.org/officeDocument/2006/relationships/hyperlink" Target="https://www.clearinghouseforsport.gov.au/__data/assets/pdf_file/0004/1004791/AusPlay-Focus-Participation-in-Olympic-and-Paralympic-sports.pdf" TargetMode="External"/><Relationship Id="rId6" Type="http://schemas.openxmlformats.org/officeDocument/2006/relationships/hyperlink" Target="https://www.afl.com.au/news/62456/womens-participation-soars-in-2015" TargetMode="External"/><Relationship Id="rId11" Type="http://schemas.openxmlformats.org/officeDocument/2006/relationships/hyperlink" Target="https://www.nineforbrands.com.au/media-release/nrl-grand-final-breaks-streaming-records-on-9now/" TargetMode="External"/><Relationship Id="rId24" Type="http://schemas.openxmlformats.org/officeDocument/2006/relationships/hyperlink" Target="http://www.footyindustry.com/?page_id=597" TargetMode="External"/><Relationship Id="rId32" Type="http://schemas.openxmlformats.org/officeDocument/2006/relationships/hyperlink" Target="https://mumbrella.com.au/karl-spearheads-nine-mission-to-take-olympics-broadcast-rights-off-seven-and-other-bidders-731873" TargetMode="External"/><Relationship Id="rId37" Type="http://schemas.openxmlformats.org/officeDocument/2006/relationships/hyperlink" Target="https://www.theguardian.com/sport/2020/nov/09/rugby-australia-signs-100m-deal-with-nine-as-broadcaster-unveils-stan-sport" TargetMode="External"/><Relationship Id="rId40" Type="http://schemas.openxmlformats.org/officeDocument/2006/relationships/hyperlink" Target="https://www.sportspromedia.com/news/amazon-prime-swimming-australia-streaming-deal/" TargetMode="External"/><Relationship Id="rId45" Type="http://schemas.openxmlformats.org/officeDocument/2006/relationships/hyperlink" Target="https://www.thetimes.co.uk/article/emma-raducanu-factor-entices-sky-to-seize-us-open-from-amazon-50h9769wb" TargetMode="External"/><Relationship Id="rId53" Type="http://schemas.openxmlformats.org/officeDocument/2006/relationships/hyperlink" Target="https://www.bbc.com/news/world-asia-india-61793888" TargetMode="External"/><Relationship Id="rId58" Type="http://schemas.openxmlformats.org/officeDocument/2006/relationships/hyperlink" Target="https://www.pc.gov.au/inquiries/completed/regulatory-burdens/social-economic-infrastructure/report" TargetMode="External"/><Relationship Id="rId5" Type="http://schemas.openxmlformats.org/officeDocument/2006/relationships/hyperlink" Target="https://resources.afl.com.au/afl/document/2019/12/05/c8dff8f1-8c6a-4ce3-9785-f86b31de36a2/2014-AFL-Annual-Report-min.pdf" TargetMode="External"/><Relationship Id="rId15" Type="http://schemas.openxmlformats.org/officeDocument/2006/relationships/hyperlink" Target="https://www2.deloitte.com/au/en/pages/economics/articles/everybody-gets-it.html" TargetMode="External"/><Relationship Id="rId23" Type="http://schemas.openxmlformats.org/officeDocument/2006/relationships/hyperlink" Target="https://www.afl.com.au/news/837244/afl-reveals-new-broadcast-rights-deal-from-2025" TargetMode="External"/><Relationship Id="rId28" Type="http://schemas.openxmlformats.org/officeDocument/2006/relationships/hyperlink" Target="https://www.heraldsun.com.au/sport/superracing/channel-10-could-take-broadcast-rights-of-melbourne-cup-2018/news-story/b252b81b43434123873f00920d3128dc" TargetMode="External"/><Relationship Id="rId36" Type="http://schemas.openxmlformats.org/officeDocument/2006/relationships/hyperlink" Target="https://www.channelnews.com.au/four-in-five-aussie-homes-have-streaming-subscriptions/" TargetMode="External"/><Relationship Id="rId49" Type="http://schemas.openxmlformats.org/officeDocument/2006/relationships/hyperlink" Target="https://www.cnbc.com/2021/05/03/amazons-thursday-night-football-package-will-begin-in-2022-instead-of-2023.html" TargetMode="External"/><Relationship Id="rId57" Type="http://schemas.openxmlformats.org/officeDocument/2006/relationships/hyperlink" Target="https://www.acma.gov.au/sites/default/files/2022-06/Trends%20and%20developments%20in%20viewing%20and%20listening%202020-21.pdf" TargetMode="External"/><Relationship Id="rId10" Type="http://schemas.openxmlformats.org/officeDocument/2006/relationships/hyperlink" Target="https://www.nrl.com/community/inclusion/what-we-do/women-and-girls/" TargetMode="External"/><Relationship Id="rId19" Type="http://schemas.openxmlformats.org/officeDocument/2006/relationships/hyperlink" Target="https://www.infrastructure.gov.au/2021-media-content-consumption-survey" TargetMode="External"/><Relationship Id="rId31" Type="http://schemas.openxmlformats.org/officeDocument/2006/relationships/hyperlink" Target="https://mumbrella.com.au/ten-picks-up-2014-winter-olympics-for-20m-155177" TargetMode="External"/><Relationship Id="rId44" Type="http://schemas.openxmlformats.org/officeDocument/2006/relationships/hyperlink" Target="https://www.theguardian.com/technology/2018/apr/19/amazon-prime-100-m-subscribers-video-music-streaming-netflix" TargetMode="External"/><Relationship Id="rId52" Type="http://schemas.openxmlformats.org/officeDocument/2006/relationships/hyperlink" Target="https://www.theguardian.com/sport/2017/sep/04/ipl-rights-sold-star-india-cricket-twenty-20" TargetMode="External"/><Relationship Id="rId4" Type="http://schemas.openxmlformats.org/officeDocument/2006/relationships/hyperlink" Target="https://www.foxsports.com.au/women-in-sport/international-womens-day-2022-growth-of-womens-sport-market-research-by-fox-sports-tv-audiences-participation/news-story/dbda91408a07a9f235f1dcf1bd4025a5" TargetMode="External"/><Relationship Id="rId9" Type="http://schemas.openxmlformats.org/officeDocument/2006/relationships/hyperlink" Target="https://womensagenda.com.au/latest/female-rugby-league-participants-up-by-3000-in-nsw-as-year-of-new-records-celebrated/" TargetMode="External"/><Relationship Id="rId14" Type="http://schemas.openxmlformats.org/officeDocument/2006/relationships/hyperlink" Target="https://alphabeta.com/wp-content/uploads/2016/12/Google_Bigger-Picture-Report_Dec2016.pdf" TargetMode="External"/><Relationship Id="rId22" Type="http://schemas.openxmlformats.org/officeDocument/2006/relationships/hyperlink" Target="https://www.news.com.au/sport/nrl/channel-9-signs-575m-broadcast-deal-to-retain-nrl-freetoair-rights/news-story/24c399abd0e93828ad3023cfa7c43d49" TargetMode="External"/><Relationship Id="rId27" Type="http://schemas.openxmlformats.org/officeDocument/2006/relationships/hyperlink" Target="https://www.news.com.au/sport/tennis/channel-9-in-60-million-australian-open-bombshell/news-story/b9dc992d8a39c4b28c301a2041d0653b" TargetMode="External"/><Relationship Id="rId30" Type="http://schemas.openxmlformats.org/officeDocument/2006/relationships/hyperlink" Target="https://mumbrella.com.au/karl-spearheads-nine-mission-to-take-olympics-broadcast-rights-off-seven-and-other-bidders-731873" TargetMode="External"/><Relationship Id="rId35" Type="http://schemas.openxmlformats.org/officeDocument/2006/relationships/hyperlink" Target="https://www.telsyte.com.au/announcements?month=08-2019" TargetMode="External"/><Relationship Id="rId43" Type="http://schemas.openxmlformats.org/officeDocument/2006/relationships/hyperlink" Target="https://www.theguardian.com/business/2022/jun/30/amazon-close-to-secure-deal-over-champions-league-rights-in-uk" TargetMode="External"/><Relationship Id="rId48" Type="http://schemas.openxmlformats.org/officeDocument/2006/relationships/hyperlink" Target="https://www.sportingnews.com/au/nfl/news/nfl-amazon-explained-thursday-night-football-broadcasts-2022/qsbtp2rkjounwhawhykbshbo" TargetMode="External"/><Relationship Id="rId56" Type="http://schemas.openxmlformats.org/officeDocument/2006/relationships/hyperlink" Target="https://www.telsyte.com.au/announcements/2021/9/20/subscription-entertainment-lifts-in-lockdown" TargetMode="External"/><Relationship Id="rId8" Type="http://schemas.openxmlformats.org/officeDocument/2006/relationships/hyperlink" Target="https://www.abc.net.au/news/2022-04-03/tennis-boom-barty-australian-open-success-alcott-kyrgios/100843498" TargetMode="External"/><Relationship Id="rId51" Type="http://schemas.openxmlformats.org/officeDocument/2006/relationships/hyperlink" Target="https://www.cnbc.com/2021/03/18/nfl-media-rights-deal-2023-2033-amazon-gets-exclusive-thursday-night.html" TargetMode="External"/><Relationship Id="rId3" Type="http://schemas.openxmlformats.org/officeDocument/2006/relationships/hyperlink" Target="https://www.clearinghouseforsport.gov.au/__data/assets/pdf_file/0013/1061320/36688_Ausplay-COVID-update-July-2022_Key-finding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epartment_Templates\Standard%20Templates\DITRDCA_Report%20template.dotx"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ept.gov.au\DFS\Home\cneave\Desktop\OzTAM%20Chart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ept.gov.au\DFS\Home\cneave\Desktop\OzTAM%20Chart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http://ims.dept.gov.au/tccache52/6665052/SportsBusiness%20Rights%20Data.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455715971283406"/>
          <c:y val="8.0087368037859485E-2"/>
          <c:w val="0.78746555763098425"/>
          <c:h val="0.59440364585938832"/>
        </c:manualLayout>
      </c:layout>
      <c:barChart>
        <c:barDir val="bar"/>
        <c:grouping val="stacked"/>
        <c:varyColors val="0"/>
        <c:ser>
          <c:idx val="0"/>
          <c:order val="0"/>
          <c:tx>
            <c:strRef>
              <c:f>Sheet1!$A$5</c:f>
              <c:strCache>
                <c:ptCount val="1"/>
                <c:pt idx="0">
                  <c:v>Free-to-air</c:v>
                </c:pt>
              </c:strCache>
            </c:strRef>
          </c:tx>
          <c:spPr>
            <a:solidFill>
              <a:schemeClr val="accent1"/>
            </a:solidFill>
            <a:ln>
              <a:noFill/>
            </a:ln>
            <a:effectLst/>
          </c:spPr>
          <c:invertIfNegative val="0"/>
          <c:cat>
            <c:strRef>
              <c:f>Sheet1!$B$4:$E$4</c:f>
              <c:strCache>
                <c:ptCount val="4"/>
                <c:pt idx="0">
                  <c:v>2022</c:v>
                </c:pt>
                <c:pt idx="1">
                  <c:v>2012</c:v>
                </c:pt>
                <c:pt idx="2">
                  <c:v>2002</c:v>
                </c:pt>
                <c:pt idx="3">
                  <c:v>1992</c:v>
                </c:pt>
              </c:strCache>
            </c:strRef>
          </c:cat>
          <c:val>
            <c:numRef>
              <c:f>Sheet1!$B$5:$E$5</c:f>
              <c:numCache>
                <c:formatCode>General</c:formatCode>
                <c:ptCount val="4"/>
                <c:pt idx="0">
                  <c:v>9</c:v>
                </c:pt>
                <c:pt idx="1">
                  <c:v>9</c:v>
                </c:pt>
                <c:pt idx="2">
                  <c:v>9</c:v>
                </c:pt>
                <c:pt idx="3">
                  <c:v>9</c:v>
                </c:pt>
              </c:numCache>
            </c:numRef>
          </c:val>
          <c:extLst>
            <c:ext xmlns:c16="http://schemas.microsoft.com/office/drawing/2014/chart" uri="{C3380CC4-5D6E-409C-BE32-E72D297353CC}">
              <c16:uniqueId val="{00000000-4B79-4C9C-BB1C-62D2E4FD4DCA}"/>
            </c:ext>
          </c:extLst>
        </c:ser>
        <c:ser>
          <c:idx val="1"/>
          <c:order val="1"/>
          <c:tx>
            <c:strRef>
              <c:f>Sheet1!$A$6</c:f>
              <c:strCache>
                <c:ptCount val="1"/>
                <c:pt idx="0">
                  <c:v>Subscription TV</c:v>
                </c:pt>
              </c:strCache>
            </c:strRef>
          </c:tx>
          <c:spPr>
            <a:solidFill>
              <a:schemeClr val="accent2"/>
            </a:solidFill>
            <a:ln>
              <a:noFill/>
            </a:ln>
            <a:effectLst/>
          </c:spPr>
          <c:invertIfNegative val="0"/>
          <c:cat>
            <c:strRef>
              <c:f>Sheet1!$B$4:$E$4</c:f>
              <c:strCache>
                <c:ptCount val="4"/>
                <c:pt idx="0">
                  <c:v>2022</c:v>
                </c:pt>
                <c:pt idx="1">
                  <c:v>2012</c:v>
                </c:pt>
                <c:pt idx="2">
                  <c:v>2002</c:v>
                </c:pt>
                <c:pt idx="3">
                  <c:v>1992</c:v>
                </c:pt>
              </c:strCache>
            </c:strRef>
          </c:cat>
          <c:val>
            <c:numRef>
              <c:f>Sheet1!$B$6:$E$6</c:f>
              <c:numCache>
                <c:formatCode>General</c:formatCode>
                <c:ptCount val="4"/>
                <c:pt idx="0">
                  <c:v>2</c:v>
                </c:pt>
                <c:pt idx="1">
                  <c:v>2</c:v>
                </c:pt>
                <c:pt idx="2">
                  <c:v>2</c:v>
                </c:pt>
                <c:pt idx="3">
                  <c:v>0</c:v>
                </c:pt>
              </c:numCache>
            </c:numRef>
          </c:val>
          <c:extLst>
            <c:ext xmlns:c16="http://schemas.microsoft.com/office/drawing/2014/chart" uri="{C3380CC4-5D6E-409C-BE32-E72D297353CC}">
              <c16:uniqueId val="{00000001-4B79-4C9C-BB1C-62D2E4FD4DCA}"/>
            </c:ext>
          </c:extLst>
        </c:ser>
        <c:ser>
          <c:idx val="2"/>
          <c:order val="2"/>
          <c:tx>
            <c:strRef>
              <c:f>Sheet1!$A$7</c:f>
              <c:strCache>
                <c:ptCount val="1"/>
                <c:pt idx="0">
                  <c:v>Streaming</c:v>
                </c:pt>
              </c:strCache>
            </c:strRef>
          </c:tx>
          <c:spPr>
            <a:solidFill>
              <a:schemeClr val="accent3"/>
            </a:solidFill>
            <a:ln>
              <a:noFill/>
            </a:ln>
            <a:effectLst/>
          </c:spPr>
          <c:invertIfNegative val="0"/>
          <c:cat>
            <c:strRef>
              <c:f>Sheet1!$B$4:$E$4</c:f>
              <c:strCache>
                <c:ptCount val="4"/>
                <c:pt idx="0">
                  <c:v>2022</c:v>
                </c:pt>
                <c:pt idx="1">
                  <c:v>2012</c:v>
                </c:pt>
                <c:pt idx="2">
                  <c:v>2002</c:v>
                </c:pt>
                <c:pt idx="3">
                  <c:v>1992</c:v>
                </c:pt>
              </c:strCache>
            </c:strRef>
          </c:cat>
          <c:val>
            <c:numRef>
              <c:f>Sheet1!$B$7:$E$7</c:f>
              <c:numCache>
                <c:formatCode>General</c:formatCode>
                <c:ptCount val="4"/>
                <c:pt idx="0">
                  <c:v>18</c:v>
                </c:pt>
                <c:pt idx="1">
                  <c:v>3</c:v>
                </c:pt>
                <c:pt idx="2">
                  <c:v>0</c:v>
                </c:pt>
                <c:pt idx="3">
                  <c:v>0</c:v>
                </c:pt>
              </c:numCache>
            </c:numRef>
          </c:val>
          <c:extLst>
            <c:ext xmlns:c16="http://schemas.microsoft.com/office/drawing/2014/chart" uri="{C3380CC4-5D6E-409C-BE32-E72D297353CC}">
              <c16:uniqueId val="{00000002-4B79-4C9C-BB1C-62D2E4FD4DCA}"/>
            </c:ext>
          </c:extLst>
        </c:ser>
        <c:ser>
          <c:idx val="3"/>
          <c:order val="3"/>
          <c:tx>
            <c:strRef>
              <c:f>Sheet1!$A$8</c:f>
              <c:strCache>
                <c:ptCount val="1"/>
                <c:pt idx="0">
                  <c:v>Digital platforms</c:v>
                </c:pt>
              </c:strCache>
            </c:strRef>
          </c:tx>
          <c:spPr>
            <a:solidFill>
              <a:schemeClr val="accent4"/>
            </a:solidFill>
            <a:ln>
              <a:noFill/>
            </a:ln>
            <a:effectLst/>
          </c:spPr>
          <c:invertIfNegative val="0"/>
          <c:cat>
            <c:strRef>
              <c:f>Sheet1!$B$4:$E$4</c:f>
              <c:strCache>
                <c:ptCount val="4"/>
                <c:pt idx="0">
                  <c:v>2022</c:v>
                </c:pt>
                <c:pt idx="1">
                  <c:v>2012</c:v>
                </c:pt>
                <c:pt idx="2">
                  <c:v>2002</c:v>
                </c:pt>
                <c:pt idx="3">
                  <c:v>1992</c:v>
                </c:pt>
              </c:strCache>
            </c:strRef>
          </c:cat>
          <c:val>
            <c:numRef>
              <c:f>Sheet1!$B$8:$E$8</c:f>
              <c:numCache>
                <c:formatCode>General</c:formatCode>
                <c:ptCount val="4"/>
                <c:pt idx="0">
                  <c:v>6</c:v>
                </c:pt>
                <c:pt idx="1">
                  <c:v>1</c:v>
                </c:pt>
                <c:pt idx="2">
                  <c:v>0</c:v>
                </c:pt>
                <c:pt idx="3">
                  <c:v>0</c:v>
                </c:pt>
              </c:numCache>
            </c:numRef>
          </c:val>
          <c:extLst>
            <c:ext xmlns:c16="http://schemas.microsoft.com/office/drawing/2014/chart" uri="{C3380CC4-5D6E-409C-BE32-E72D297353CC}">
              <c16:uniqueId val="{00000003-4B79-4C9C-BB1C-62D2E4FD4DCA}"/>
            </c:ext>
          </c:extLst>
        </c:ser>
        <c:dLbls>
          <c:showLegendKey val="0"/>
          <c:showVal val="0"/>
          <c:showCatName val="0"/>
          <c:showSerName val="0"/>
          <c:showPercent val="0"/>
          <c:showBubbleSize val="0"/>
        </c:dLbls>
        <c:gapWidth val="150"/>
        <c:overlap val="100"/>
        <c:axId val="517928648"/>
        <c:axId val="517928976"/>
      </c:barChart>
      <c:catAx>
        <c:axId val="51792864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crossAx val="517928976"/>
        <c:crosses val="autoZero"/>
        <c:auto val="1"/>
        <c:lblAlgn val="ctr"/>
        <c:lblOffset val="100"/>
        <c:noMultiLvlLbl val="0"/>
      </c:catAx>
      <c:valAx>
        <c:axId val="517928976"/>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AU">
                    <a:solidFill>
                      <a:sysClr val="windowText" lastClr="000000"/>
                    </a:solidFill>
                  </a:rPr>
                  <a:t>Number of Providers</a:t>
                </a: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General" sourceLinked="1"/>
        <c:majorTickMark val="in"/>
        <c:minorTickMark val="none"/>
        <c:tickLblPos val="nextTo"/>
        <c:spPr>
          <a:noFill/>
          <a:ln>
            <a:solidFill>
              <a:srgbClr val="D9D9D9"/>
            </a:solid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crossAx val="517928648"/>
        <c:crosses val="autoZero"/>
        <c:crossBetween val="between"/>
      </c:valAx>
      <c:spPr>
        <a:noFill/>
        <a:ln>
          <a:noFill/>
        </a:ln>
        <a:effectLst/>
      </c:spPr>
    </c:plotArea>
    <c:legend>
      <c:legendPos val="b"/>
      <c:layout>
        <c:manualLayout>
          <c:xMode val="edge"/>
          <c:yMode val="edge"/>
          <c:x val="0.1112584437917047"/>
          <c:y val="0.87016809069079126"/>
          <c:w val="0.77748311241659052"/>
          <c:h val="6.8366188269019565E-2"/>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sz="1000"/>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FridayNight!$A$2</c:f>
              <c:strCache>
                <c:ptCount val="1"/>
                <c:pt idx="0">
                  <c:v>AFL</c:v>
                </c:pt>
              </c:strCache>
            </c:strRef>
          </c:tx>
          <c:spPr>
            <a:ln w="28575" cap="rnd">
              <a:solidFill>
                <a:schemeClr val="accent1"/>
              </a:solidFill>
              <a:round/>
            </a:ln>
            <a:effectLst/>
          </c:spPr>
          <c:marker>
            <c:symbol val="none"/>
          </c:marker>
          <c:cat>
            <c:numRef>
              <c:f>FridayNight!$B$1:$F$1</c:f>
              <c:numCache>
                <c:formatCode>@</c:formatCode>
                <c:ptCount val="5"/>
                <c:pt idx="0">
                  <c:v>2017</c:v>
                </c:pt>
                <c:pt idx="1">
                  <c:v>2018</c:v>
                </c:pt>
                <c:pt idx="2">
                  <c:v>2019</c:v>
                </c:pt>
                <c:pt idx="3">
                  <c:v>2020</c:v>
                </c:pt>
                <c:pt idx="4">
                  <c:v>2021</c:v>
                </c:pt>
              </c:numCache>
            </c:numRef>
          </c:cat>
          <c:val>
            <c:numRef>
              <c:f>FridayNight!$B$2:$F$2</c:f>
              <c:numCache>
                <c:formatCode>#,##0</c:formatCode>
                <c:ptCount val="5"/>
                <c:pt idx="0">
                  <c:v>627000</c:v>
                </c:pt>
                <c:pt idx="1">
                  <c:v>539000</c:v>
                </c:pt>
                <c:pt idx="2">
                  <c:v>574000</c:v>
                </c:pt>
                <c:pt idx="3">
                  <c:v>592000</c:v>
                </c:pt>
                <c:pt idx="4">
                  <c:v>566000</c:v>
                </c:pt>
              </c:numCache>
            </c:numRef>
          </c:val>
          <c:smooth val="0"/>
          <c:extLst>
            <c:ext xmlns:c16="http://schemas.microsoft.com/office/drawing/2014/chart" uri="{C3380CC4-5D6E-409C-BE32-E72D297353CC}">
              <c16:uniqueId val="{00000000-5358-4983-9E29-A7BA8CB51D8E}"/>
            </c:ext>
          </c:extLst>
        </c:ser>
        <c:ser>
          <c:idx val="1"/>
          <c:order val="1"/>
          <c:tx>
            <c:strRef>
              <c:f>FridayNight!$A$3</c:f>
              <c:strCache>
                <c:ptCount val="1"/>
                <c:pt idx="0">
                  <c:v>NRL</c:v>
                </c:pt>
              </c:strCache>
            </c:strRef>
          </c:tx>
          <c:spPr>
            <a:ln w="28575" cap="rnd">
              <a:solidFill>
                <a:schemeClr val="accent2"/>
              </a:solidFill>
              <a:round/>
            </a:ln>
            <a:effectLst/>
          </c:spPr>
          <c:marker>
            <c:symbol val="none"/>
          </c:marker>
          <c:cat>
            <c:numRef>
              <c:f>FridayNight!$B$1:$F$1</c:f>
              <c:numCache>
                <c:formatCode>@</c:formatCode>
                <c:ptCount val="5"/>
                <c:pt idx="0">
                  <c:v>2017</c:v>
                </c:pt>
                <c:pt idx="1">
                  <c:v>2018</c:v>
                </c:pt>
                <c:pt idx="2">
                  <c:v>2019</c:v>
                </c:pt>
                <c:pt idx="3">
                  <c:v>2020</c:v>
                </c:pt>
                <c:pt idx="4">
                  <c:v>2021</c:v>
                </c:pt>
              </c:numCache>
            </c:numRef>
          </c:cat>
          <c:val>
            <c:numRef>
              <c:f>FridayNight!$B$3:$F$3</c:f>
              <c:numCache>
                <c:formatCode>#,##0</c:formatCode>
                <c:ptCount val="5"/>
                <c:pt idx="0">
                  <c:v>448000</c:v>
                </c:pt>
                <c:pt idx="1">
                  <c:v>381000</c:v>
                </c:pt>
                <c:pt idx="2">
                  <c:v>371000</c:v>
                </c:pt>
                <c:pt idx="3">
                  <c:v>355000</c:v>
                </c:pt>
                <c:pt idx="4">
                  <c:v>339000</c:v>
                </c:pt>
              </c:numCache>
            </c:numRef>
          </c:val>
          <c:smooth val="0"/>
          <c:extLst>
            <c:ext xmlns:c16="http://schemas.microsoft.com/office/drawing/2014/chart" uri="{C3380CC4-5D6E-409C-BE32-E72D297353CC}">
              <c16:uniqueId val="{00000001-5358-4983-9E29-A7BA8CB51D8E}"/>
            </c:ext>
          </c:extLst>
        </c:ser>
        <c:dLbls>
          <c:showLegendKey val="0"/>
          <c:showVal val="0"/>
          <c:showCatName val="0"/>
          <c:showSerName val="0"/>
          <c:showPercent val="0"/>
          <c:showBubbleSize val="0"/>
        </c:dLbls>
        <c:smooth val="0"/>
        <c:axId val="790187376"/>
        <c:axId val="790196560"/>
      </c:lineChart>
      <c:catAx>
        <c:axId val="790187376"/>
        <c:scaling>
          <c:orientation val="minMax"/>
        </c:scaling>
        <c:delete val="0"/>
        <c:axPos val="b"/>
        <c:numFmt formatCode="@" sourceLinked="1"/>
        <c:majorTickMark val="in"/>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790196560"/>
        <c:crosses val="autoZero"/>
        <c:auto val="1"/>
        <c:lblAlgn val="ctr"/>
        <c:lblOffset val="100"/>
        <c:noMultiLvlLbl val="0"/>
      </c:catAx>
      <c:valAx>
        <c:axId val="790196560"/>
        <c:scaling>
          <c:orientation val="minMax"/>
        </c:scaling>
        <c:delete val="0"/>
        <c:axPos val="l"/>
        <c:numFmt formatCode="#,##0" sourceLinked="1"/>
        <c:majorTickMark val="in"/>
        <c:minorTickMark val="none"/>
        <c:tickLblPos val="nextTo"/>
        <c:spPr>
          <a:noFill/>
          <a:ln>
            <a:solidFill>
              <a:srgbClr val="D9D9D9"/>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7901873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Main!$A$2</c:f>
              <c:strCache>
                <c:ptCount val="1"/>
                <c:pt idx="0">
                  <c:v>Aus Open (Men's Final)</c:v>
                </c:pt>
              </c:strCache>
            </c:strRef>
          </c:tx>
          <c:spPr>
            <a:ln w="28575" cap="rnd">
              <a:solidFill>
                <a:schemeClr val="accent1"/>
              </a:solidFill>
              <a:round/>
            </a:ln>
            <a:effectLst/>
          </c:spPr>
          <c:marker>
            <c:symbol val="none"/>
          </c:marker>
          <c:cat>
            <c:strRef>
              <c:f>Main!$B$1:$G$1</c:f>
              <c:strCache>
                <c:ptCount val="6"/>
                <c:pt idx="0">
                  <c:v>2017</c:v>
                </c:pt>
                <c:pt idx="1">
                  <c:v>2018</c:v>
                </c:pt>
                <c:pt idx="2">
                  <c:v>2019</c:v>
                </c:pt>
                <c:pt idx="3">
                  <c:v>2020</c:v>
                </c:pt>
                <c:pt idx="4">
                  <c:v>2021</c:v>
                </c:pt>
                <c:pt idx="5">
                  <c:v>2022</c:v>
                </c:pt>
              </c:strCache>
            </c:strRef>
          </c:cat>
          <c:val>
            <c:numRef>
              <c:f>Main!$B$2:$G$2</c:f>
              <c:numCache>
                <c:formatCode>#,##0</c:formatCode>
                <c:ptCount val="6"/>
                <c:pt idx="0">
                  <c:v>2686000</c:v>
                </c:pt>
                <c:pt idx="1">
                  <c:v>1739000</c:v>
                </c:pt>
                <c:pt idx="2">
                  <c:v>1590000</c:v>
                </c:pt>
                <c:pt idx="3">
                  <c:v>1531000</c:v>
                </c:pt>
                <c:pt idx="4">
                  <c:v>1173000</c:v>
                </c:pt>
                <c:pt idx="5">
                  <c:v>1620000</c:v>
                </c:pt>
              </c:numCache>
            </c:numRef>
          </c:val>
          <c:smooth val="0"/>
          <c:extLst>
            <c:ext xmlns:c16="http://schemas.microsoft.com/office/drawing/2014/chart" uri="{C3380CC4-5D6E-409C-BE32-E72D297353CC}">
              <c16:uniqueId val="{00000000-7B74-4F5E-BD0D-D7799DE9AFEE}"/>
            </c:ext>
          </c:extLst>
        </c:ser>
        <c:ser>
          <c:idx val="1"/>
          <c:order val="1"/>
          <c:tx>
            <c:strRef>
              <c:f>Main!$A$3</c:f>
              <c:strCache>
                <c:ptCount val="1"/>
                <c:pt idx="0">
                  <c:v>Aus Open (Women's Final)</c:v>
                </c:pt>
              </c:strCache>
            </c:strRef>
          </c:tx>
          <c:spPr>
            <a:ln w="28575" cap="rnd">
              <a:solidFill>
                <a:schemeClr val="accent2"/>
              </a:solidFill>
              <a:round/>
            </a:ln>
            <a:effectLst/>
          </c:spPr>
          <c:marker>
            <c:symbol val="none"/>
          </c:marker>
          <c:cat>
            <c:strRef>
              <c:f>Main!$B$1:$G$1</c:f>
              <c:strCache>
                <c:ptCount val="6"/>
                <c:pt idx="0">
                  <c:v>2017</c:v>
                </c:pt>
                <c:pt idx="1">
                  <c:v>2018</c:v>
                </c:pt>
                <c:pt idx="2">
                  <c:v>2019</c:v>
                </c:pt>
                <c:pt idx="3">
                  <c:v>2020</c:v>
                </c:pt>
                <c:pt idx="4">
                  <c:v>2021</c:v>
                </c:pt>
                <c:pt idx="5">
                  <c:v>2022</c:v>
                </c:pt>
              </c:strCache>
            </c:strRef>
          </c:cat>
          <c:val>
            <c:numRef>
              <c:f>Main!$B$3:$G$3</c:f>
              <c:numCache>
                <c:formatCode>#,##0</c:formatCode>
                <c:ptCount val="6"/>
                <c:pt idx="0">
                  <c:v>1307000</c:v>
                </c:pt>
                <c:pt idx="1">
                  <c:v>1027000</c:v>
                </c:pt>
                <c:pt idx="2">
                  <c:v>1178000</c:v>
                </c:pt>
                <c:pt idx="3">
                  <c:v>892000</c:v>
                </c:pt>
                <c:pt idx="4">
                  <c:v>853000</c:v>
                </c:pt>
                <c:pt idx="5">
                  <c:v>2591000</c:v>
                </c:pt>
              </c:numCache>
            </c:numRef>
          </c:val>
          <c:smooth val="0"/>
          <c:extLst>
            <c:ext xmlns:c16="http://schemas.microsoft.com/office/drawing/2014/chart" uri="{C3380CC4-5D6E-409C-BE32-E72D297353CC}">
              <c16:uniqueId val="{00000001-7B74-4F5E-BD0D-D7799DE9AFEE}"/>
            </c:ext>
          </c:extLst>
        </c:ser>
        <c:ser>
          <c:idx val="2"/>
          <c:order val="2"/>
          <c:tx>
            <c:strRef>
              <c:f>Main!$A$4</c:f>
              <c:strCache>
                <c:ptCount val="1"/>
                <c:pt idx="0">
                  <c:v>AFL Grand Final</c:v>
                </c:pt>
              </c:strCache>
            </c:strRef>
          </c:tx>
          <c:spPr>
            <a:ln w="28575" cap="rnd">
              <a:solidFill>
                <a:schemeClr val="accent3"/>
              </a:solidFill>
              <a:round/>
            </a:ln>
            <a:effectLst/>
          </c:spPr>
          <c:marker>
            <c:symbol val="none"/>
          </c:marker>
          <c:cat>
            <c:strRef>
              <c:f>Main!$B$1:$G$1</c:f>
              <c:strCache>
                <c:ptCount val="6"/>
                <c:pt idx="0">
                  <c:v>2017</c:v>
                </c:pt>
                <c:pt idx="1">
                  <c:v>2018</c:v>
                </c:pt>
                <c:pt idx="2">
                  <c:v>2019</c:v>
                </c:pt>
                <c:pt idx="3">
                  <c:v>2020</c:v>
                </c:pt>
                <c:pt idx="4">
                  <c:v>2021</c:v>
                </c:pt>
                <c:pt idx="5">
                  <c:v>2022</c:v>
                </c:pt>
              </c:strCache>
            </c:strRef>
          </c:cat>
          <c:val>
            <c:numRef>
              <c:f>Main!$B$4:$G$4</c:f>
              <c:numCache>
                <c:formatCode>#,##0</c:formatCode>
                <c:ptCount val="6"/>
                <c:pt idx="0">
                  <c:v>2715000</c:v>
                </c:pt>
                <c:pt idx="1">
                  <c:v>2610000</c:v>
                </c:pt>
                <c:pt idx="2">
                  <c:v>2214000</c:v>
                </c:pt>
                <c:pt idx="3">
                  <c:v>3011000</c:v>
                </c:pt>
                <c:pt idx="4">
                  <c:v>3042000</c:v>
                </c:pt>
              </c:numCache>
            </c:numRef>
          </c:val>
          <c:smooth val="0"/>
          <c:extLst>
            <c:ext xmlns:c16="http://schemas.microsoft.com/office/drawing/2014/chart" uri="{C3380CC4-5D6E-409C-BE32-E72D297353CC}">
              <c16:uniqueId val="{00000002-7B74-4F5E-BD0D-D7799DE9AFEE}"/>
            </c:ext>
          </c:extLst>
        </c:ser>
        <c:ser>
          <c:idx val="3"/>
          <c:order val="3"/>
          <c:tx>
            <c:strRef>
              <c:f>Main!$A$5</c:f>
              <c:strCache>
                <c:ptCount val="1"/>
                <c:pt idx="0">
                  <c:v>State of Origin (game 2)</c:v>
                </c:pt>
              </c:strCache>
            </c:strRef>
          </c:tx>
          <c:spPr>
            <a:ln w="28575" cap="rnd">
              <a:solidFill>
                <a:schemeClr val="accent4"/>
              </a:solidFill>
              <a:round/>
            </a:ln>
            <a:effectLst/>
          </c:spPr>
          <c:marker>
            <c:symbol val="none"/>
          </c:marker>
          <c:cat>
            <c:strRef>
              <c:f>Main!$B$1:$G$1</c:f>
              <c:strCache>
                <c:ptCount val="6"/>
                <c:pt idx="0">
                  <c:v>2017</c:v>
                </c:pt>
                <c:pt idx="1">
                  <c:v>2018</c:v>
                </c:pt>
                <c:pt idx="2">
                  <c:v>2019</c:v>
                </c:pt>
                <c:pt idx="3">
                  <c:v>2020</c:v>
                </c:pt>
                <c:pt idx="4">
                  <c:v>2021</c:v>
                </c:pt>
                <c:pt idx="5">
                  <c:v>2022</c:v>
                </c:pt>
              </c:strCache>
            </c:strRef>
          </c:cat>
          <c:val>
            <c:numRef>
              <c:f>Main!$B$5:$G$5</c:f>
              <c:numCache>
                <c:formatCode>#,##0</c:formatCode>
                <c:ptCount val="6"/>
                <c:pt idx="0">
                  <c:v>2402000</c:v>
                </c:pt>
                <c:pt idx="1">
                  <c:v>2131000</c:v>
                </c:pt>
                <c:pt idx="2">
                  <c:v>1988000</c:v>
                </c:pt>
                <c:pt idx="3">
                  <c:v>1658000</c:v>
                </c:pt>
                <c:pt idx="4">
                  <c:v>1873000</c:v>
                </c:pt>
                <c:pt idx="5">
                  <c:v>1806000</c:v>
                </c:pt>
              </c:numCache>
            </c:numRef>
          </c:val>
          <c:smooth val="0"/>
          <c:extLst>
            <c:ext xmlns:c16="http://schemas.microsoft.com/office/drawing/2014/chart" uri="{C3380CC4-5D6E-409C-BE32-E72D297353CC}">
              <c16:uniqueId val="{00000003-7B74-4F5E-BD0D-D7799DE9AFEE}"/>
            </c:ext>
          </c:extLst>
        </c:ser>
        <c:ser>
          <c:idx val="4"/>
          <c:order val="4"/>
          <c:tx>
            <c:strRef>
              <c:f>Main!$A$6</c:f>
              <c:strCache>
                <c:ptCount val="1"/>
                <c:pt idx="0">
                  <c:v>NRL Grand Final</c:v>
                </c:pt>
              </c:strCache>
            </c:strRef>
          </c:tx>
          <c:spPr>
            <a:ln w="28575" cap="rnd">
              <a:solidFill>
                <a:schemeClr val="accent5"/>
              </a:solidFill>
              <a:round/>
            </a:ln>
            <a:effectLst/>
          </c:spPr>
          <c:marker>
            <c:symbol val="none"/>
          </c:marker>
          <c:cat>
            <c:strRef>
              <c:f>Main!$B$1:$G$1</c:f>
              <c:strCache>
                <c:ptCount val="6"/>
                <c:pt idx="0">
                  <c:v>2017</c:v>
                </c:pt>
                <c:pt idx="1">
                  <c:v>2018</c:v>
                </c:pt>
                <c:pt idx="2">
                  <c:v>2019</c:v>
                </c:pt>
                <c:pt idx="3">
                  <c:v>2020</c:v>
                </c:pt>
                <c:pt idx="4">
                  <c:v>2021</c:v>
                </c:pt>
                <c:pt idx="5">
                  <c:v>2022</c:v>
                </c:pt>
              </c:strCache>
            </c:strRef>
          </c:cat>
          <c:val>
            <c:numRef>
              <c:f>Main!$B$6:$G$6</c:f>
              <c:numCache>
                <c:formatCode>#,##0</c:formatCode>
                <c:ptCount val="6"/>
                <c:pt idx="0">
                  <c:v>2308000</c:v>
                </c:pt>
                <c:pt idx="1">
                  <c:v>2141000</c:v>
                </c:pt>
                <c:pt idx="2">
                  <c:v>1868000</c:v>
                </c:pt>
                <c:pt idx="3">
                  <c:v>2106000</c:v>
                </c:pt>
                <c:pt idx="4">
                  <c:v>2206000</c:v>
                </c:pt>
              </c:numCache>
            </c:numRef>
          </c:val>
          <c:smooth val="0"/>
          <c:extLst>
            <c:ext xmlns:c16="http://schemas.microsoft.com/office/drawing/2014/chart" uri="{C3380CC4-5D6E-409C-BE32-E72D297353CC}">
              <c16:uniqueId val="{00000004-7B74-4F5E-BD0D-D7799DE9AFEE}"/>
            </c:ext>
          </c:extLst>
        </c:ser>
        <c:ser>
          <c:idx val="5"/>
          <c:order val="5"/>
          <c:tx>
            <c:strRef>
              <c:f>Main!$A$7</c:f>
              <c:strCache>
                <c:ptCount val="1"/>
                <c:pt idx="0">
                  <c:v>Melbourne Cup</c:v>
                </c:pt>
              </c:strCache>
            </c:strRef>
          </c:tx>
          <c:spPr>
            <a:ln w="28575" cap="rnd">
              <a:solidFill>
                <a:schemeClr val="accent6"/>
              </a:solidFill>
              <a:round/>
            </a:ln>
            <a:effectLst/>
          </c:spPr>
          <c:marker>
            <c:symbol val="none"/>
          </c:marker>
          <c:cat>
            <c:strRef>
              <c:f>Main!$B$1:$G$1</c:f>
              <c:strCache>
                <c:ptCount val="6"/>
                <c:pt idx="0">
                  <c:v>2017</c:v>
                </c:pt>
                <c:pt idx="1">
                  <c:v>2018</c:v>
                </c:pt>
                <c:pt idx="2">
                  <c:v>2019</c:v>
                </c:pt>
                <c:pt idx="3">
                  <c:v>2020</c:v>
                </c:pt>
                <c:pt idx="4">
                  <c:v>2021</c:v>
                </c:pt>
                <c:pt idx="5">
                  <c:v>2022</c:v>
                </c:pt>
              </c:strCache>
            </c:strRef>
          </c:cat>
          <c:val>
            <c:numRef>
              <c:f>Main!$B$7:$G$7</c:f>
              <c:numCache>
                <c:formatCode>#,##0</c:formatCode>
                <c:ptCount val="6"/>
                <c:pt idx="0">
                  <c:v>1821000</c:v>
                </c:pt>
                <c:pt idx="1">
                  <c:v>1908000</c:v>
                </c:pt>
                <c:pt idx="2">
                  <c:v>1441000</c:v>
                </c:pt>
                <c:pt idx="3">
                  <c:v>1412000</c:v>
                </c:pt>
                <c:pt idx="4">
                  <c:v>1213000</c:v>
                </c:pt>
              </c:numCache>
            </c:numRef>
          </c:val>
          <c:smooth val="0"/>
          <c:extLst>
            <c:ext xmlns:c16="http://schemas.microsoft.com/office/drawing/2014/chart" uri="{C3380CC4-5D6E-409C-BE32-E72D297353CC}">
              <c16:uniqueId val="{00000005-7B74-4F5E-BD0D-D7799DE9AFEE}"/>
            </c:ext>
          </c:extLst>
        </c:ser>
        <c:dLbls>
          <c:showLegendKey val="0"/>
          <c:showVal val="0"/>
          <c:showCatName val="0"/>
          <c:showSerName val="0"/>
          <c:showPercent val="0"/>
          <c:showBubbleSize val="0"/>
        </c:dLbls>
        <c:smooth val="0"/>
        <c:axId val="705481856"/>
        <c:axId val="705483496"/>
      </c:lineChart>
      <c:catAx>
        <c:axId val="705481856"/>
        <c:scaling>
          <c:orientation val="minMax"/>
        </c:scaling>
        <c:delete val="0"/>
        <c:axPos val="b"/>
        <c:numFmt formatCode="General" sourceLinked="1"/>
        <c:majorTickMark val="in"/>
        <c:minorTickMark val="none"/>
        <c:tickLblPos val="nextTo"/>
        <c:spPr>
          <a:noFill/>
          <a:ln w="9525" cap="flat" cmpd="sng" algn="ctr">
            <a:solidFill>
              <a:srgbClr val="D9D9D9"/>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705483496"/>
        <c:crosses val="autoZero"/>
        <c:auto val="1"/>
        <c:lblAlgn val="ctr"/>
        <c:lblOffset val="100"/>
        <c:noMultiLvlLbl val="0"/>
      </c:catAx>
      <c:valAx>
        <c:axId val="705483496"/>
        <c:scaling>
          <c:orientation val="minMax"/>
        </c:scaling>
        <c:delete val="0"/>
        <c:axPos val="l"/>
        <c:numFmt formatCode="#,##0" sourceLinked="1"/>
        <c:majorTickMark val="in"/>
        <c:minorTickMark val="none"/>
        <c:tickLblPos val="nextTo"/>
        <c:spPr>
          <a:noFill/>
          <a:ln>
            <a:solidFill>
              <a:srgbClr val="D9D9D9"/>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705481856"/>
        <c:crosses val="autoZero"/>
        <c:crossBetween val="between"/>
      </c:valAx>
      <c:spPr>
        <a:noFill/>
        <a:ln>
          <a:noFill/>
        </a:ln>
        <a:effectLst/>
      </c:spPr>
    </c:plotArea>
    <c:legend>
      <c:legendPos val="b"/>
      <c:layout>
        <c:manualLayout>
          <c:xMode val="edge"/>
          <c:yMode val="edge"/>
          <c:x val="0.11501479512513166"/>
          <c:y val="0.85852896661767275"/>
          <c:w val="0.80394068575822941"/>
          <c:h val="0.11927963578150268"/>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areaChart>
        <c:grouping val="stacked"/>
        <c:varyColors val="0"/>
        <c:ser>
          <c:idx val="0"/>
          <c:order val="0"/>
          <c:tx>
            <c:strRef>
              <c:f>Total!$B$35</c:f>
              <c:strCache>
                <c:ptCount val="1"/>
                <c:pt idx="0">
                  <c:v>AFL</c:v>
                </c:pt>
              </c:strCache>
            </c:strRef>
          </c:tx>
          <c:spPr>
            <a:solidFill>
              <a:schemeClr val="accent1"/>
            </a:solidFill>
            <a:ln>
              <a:noFill/>
            </a:ln>
            <a:effectLst/>
          </c:spPr>
          <c:cat>
            <c:numRef>
              <c:f>Total!$C$34:$X$34</c:f>
              <c:numCache>
                <c:formatCode>General</c:formatCode>
                <c:ptCount val="22"/>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pt idx="20">
                  <c:v>2021</c:v>
                </c:pt>
                <c:pt idx="21">
                  <c:v>2022</c:v>
                </c:pt>
              </c:numCache>
            </c:numRef>
          </c:cat>
          <c:val>
            <c:numRef>
              <c:f>Total!$C$35:$X$35</c:f>
              <c:numCache>
                <c:formatCode>General</c:formatCode>
                <c:ptCount val="22"/>
                <c:pt idx="0">
                  <c:v>0</c:v>
                </c:pt>
                <c:pt idx="1">
                  <c:v>170.65251682215919</c:v>
                </c:pt>
                <c:pt idx="2">
                  <c:v>137.74412786170024</c:v>
                </c:pt>
                <c:pt idx="3">
                  <c:v>119.91254772059781</c:v>
                </c:pt>
                <c:pt idx="4">
                  <c:v>113.21661053111663</c:v>
                </c:pt>
                <c:pt idx="5">
                  <c:v>109.39331187069295</c:v>
                </c:pt>
                <c:pt idx="6">
                  <c:v>313.19799259735106</c:v>
                </c:pt>
                <c:pt idx="7">
                  <c:v>296.36825213172074</c:v>
                </c:pt>
                <c:pt idx="8">
                  <c:v>309.86223271365748</c:v>
                </c:pt>
                <c:pt idx="9">
                  <c:v>263.05438147292966</c:v>
                </c:pt>
                <c:pt idx="10">
                  <c:v>224.7499377715742</c:v>
                </c:pt>
                <c:pt idx="11">
                  <c:v>303.30366450164382</c:v>
                </c:pt>
                <c:pt idx="12">
                  <c:v>321.6271969488285</c:v>
                </c:pt>
                <c:pt idx="13">
                  <c:v>336.67637906265617</c:v>
                </c:pt>
                <c:pt idx="14">
                  <c:v>402.87341105542595</c:v>
                </c:pt>
                <c:pt idx="15">
                  <c:v>399.62257029865572</c:v>
                </c:pt>
                <c:pt idx="16">
                  <c:v>453.63610124842114</c:v>
                </c:pt>
                <c:pt idx="17">
                  <c:v>456.60450517558849</c:v>
                </c:pt>
                <c:pt idx="18">
                  <c:v>480.42609786415539</c:v>
                </c:pt>
                <c:pt idx="19">
                  <c:v>386.03423472782049</c:v>
                </c:pt>
                <c:pt idx="20">
                  <c:v>345.45928042769322</c:v>
                </c:pt>
                <c:pt idx="21">
                  <c:v>347.01238328056746</c:v>
                </c:pt>
              </c:numCache>
            </c:numRef>
          </c:val>
          <c:extLst>
            <c:ext xmlns:c16="http://schemas.microsoft.com/office/drawing/2014/chart" uri="{C3380CC4-5D6E-409C-BE32-E72D297353CC}">
              <c16:uniqueId val="{00000000-C910-48D3-B6AB-6E53947703B5}"/>
            </c:ext>
          </c:extLst>
        </c:ser>
        <c:ser>
          <c:idx val="1"/>
          <c:order val="1"/>
          <c:tx>
            <c:strRef>
              <c:f>Total!$B$36</c:f>
              <c:strCache>
                <c:ptCount val="1"/>
                <c:pt idx="0">
                  <c:v>NRL</c:v>
                </c:pt>
              </c:strCache>
            </c:strRef>
          </c:tx>
          <c:spPr>
            <a:solidFill>
              <a:schemeClr val="accent2"/>
            </a:solidFill>
            <a:ln>
              <a:noFill/>
            </a:ln>
            <a:effectLst/>
          </c:spPr>
          <c:cat>
            <c:numRef>
              <c:f>Total!$C$34:$X$34</c:f>
              <c:numCache>
                <c:formatCode>General</c:formatCode>
                <c:ptCount val="22"/>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pt idx="20">
                  <c:v>2021</c:v>
                </c:pt>
                <c:pt idx="21">
                  <c:v>2022</c:v>
                </c:pt>
              </c:numCache>
            </c:numRef>
          </c:cat>
          <c:val>
            <c:numRef>
              <c:f>Total!$C$36:$X$36</c:f>
              <c:numCache>
                <c:formatCode>General</c:formatCode>
                <c:ptCount val="22"/>
                <c:pt idx="0">
                  <c:v>70.221944568361337</c:v>
                </c:pt>
                <c:pt idx="1">
                  <c:v>63.957335551562281</c:v>
                </c:pt>
                <c:pt idx="2">
                  <c:v>51.623893804560154</c:v>
                </c:pt>
                <c:pt idx="3">
                  <c:v>44.940954837491986</c:v>
                </c:pt>
                <c:pt idx="4">
                  <c:v>42.43144422707347</c:v>
                </c:pt>
                <c:pt idx="5">
                  <c:v>40.998544203727299</c:v>
                </c:pt>
                <c:pt idx="6">
                  <c:v>109.88813688769723</c:v>
                </c:pt>
                <c:pt idx="7">
                  <c:v>103.98328159557157</c:v>
                </c:pt>
                <c:pt idx="8">
                  <c:v>108.71775761519959</c:v>
                </c:pt>
                <c:pt idx="9">
                  <c:v>92.294831267862676</c:v>
                </c:pt>
                <c:pt idx="10">
                  <c:v>78.855396621571643</c:v>
                </c:pt>
                <c:pt idx="11">
                  <c:v>77.788469248656895</c:v>
                </c:pt>
                <c:pt idx="12">
                  <c:v>294.63573806763276</c:v>
                </c:pt>
                <c:pt idx="13">
                  <c:v>308.42196921190782</c:v>
                </c:pt>
                <c:pt idx="14">
                  <c:v>369.06364244136279</c:v>
                </c:pt>
                <c:pt idx="15">
                  <c:v>366.08561734025875</c:v>
                </c:pt>
                <c:pt idx="16">
                  <c:v>346.30520670467706</c:v>
                </c:pt>
                <c:pt idx="17">
                  <c:v>478.24099316593498</c:v>
                </c:pt>
                <c:pt idx="18">
                  <c:v>503.19138681523469</c:v>
                </c:pt>
                <c:pt idx="19">
                  <c:v>356.38730481743823</c:v>
                </c:pt>
                <c:pt idx="20">
                  <c:v>318.928454525809</c:v>
                </c:pt>
                <c:pt idx="21">
                  <c:v>320.36228108844631</c:v>
                </c:pt>
              </c:numCache>
            </c:numRef>
          </c:val>
          <c:extLst>
            <c:ext xmlns:c16="http://schemas.microsoft.com/office/drawing/2014/chart" uri="{C3380CC4-5D6E-409C-BE32-E72D297353CC}">
              <c16:uniqueId val="{00000001-C910-48D3-B6AB-6E53947703B5}"/>
            </c:ext>
          </c:extLst>
        </c:ser>
        <c:ser>
          <c:idx val="2"/>
          <c:order val="2"/>
          <c:tx>
            <c:strRef>
              <c:f>Total!$B$37</c:f>
              <c:strCache>
                <c:ptCount val="1"/>
                <c:pt idx="0">
                  <c:v>Formula 1</c:v>
                </c:pt>
              </c:strCache>
            </c:strRef>
          </c:tx>
          <c:spPr>
            <a:solidFill>
              <a:schemeClr val="accent3"/>
            </a:solidFill>
            <a:ln>
              <a:noFill/>
            </a:ln>
            <a:effectLst/>
          </c:spPr>
          <c:cat>
            <c:numRef>
              <c:f>Total!$C$34:$X$34</c:f>
              <c:numCache>
                <c:formatCode>General</c:formatCode>
                <c:ptCount val="22"/>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pt idx="20">
                  <c:v>2021</c:v>
                </c:pt>
                <c:pt idx="21">
                  <c:v>2022</c:v>
                </c:pt>
              </c:numCache>
            </c:numRef>
          </c:cat>
          <c:val>
            <c:numRef>
              <c:f>Total!$C$37:$X$37</c:f>
              <c:numCache>
                <c:formatCode>General</c:formatCode>
                <c:ptCount val="22"/>
                <c:pt idx="0">
                  <c:v>0</c:v>
                </c:pt>
                <c:pt idx="1">
                  <c:v>0</c:v>
                </c:pt>
                <c:pt idx="2">
                  <c:v>0</c:v>
                </c:pt>
                <c:pt idx="3">
                  <c:v>0</c:v>
                </c:pt>
                <c:pt idx="4">
                  <c:v>3.9655555352405112</c:v>
                </c:pt>
                <c:pt idx="5">
                  <c:v>3.8316396452081589</c:v>
                </c:pt>
                <c:pt idx="6">
                  <c:v>3.3604934828041966</c:v>
                </c:pt>
                <c:pt idx="7">
                  <c:v>6.359833736732206</c:v>
                </c:pt>
                <c:pt idx="8">
                  <c:v>6.6494041354862121</c:v>
                </c:pt>
                <c:pt idx="9">
                  <c:v>5.6449438084319681</c:v>
                </c:pt>
                <c:pt idx="10">
                  <c:v>12.057400095041535</c:v>
                </c:pt>
                <c:pt idx="11">
                  <c:v>11.894261353005639</c:v>
                </c:pt>
                <c:pt idx="12">
                  <c:v>12.612831252895237</c:v>
                </c:pt>
                <c:pt idx="13">
                  <c:v>13.202995257359067</c:v>
                </c:pt>
                <c:pt idx="14">
                  <c:v>64.775724914793983</c:v>
                </c:pt>
                <c:pt idx="15">
                  <c:v>64.253040714685824</c:v>
                </c:pt>
                <c:pt idx="16">
                  <c:v>60.781307683611985</c:v>
                </c:pt>
                <c:pt idx="17">
                  <c:v>43.272975980693019</c:v>
                </c:pt>
                <c:pt idx="18">
                  <c:v>45.530577902158527</c:v>
                </c:pt>
                <c:pt idx="19">
                  <c:v>45.2505772316362</c:v>
                </c:pt>
                <c:pt idx="20">
                  <c:v>40.494418481823381</c:v>
                </c:pt>
                <c:pt idx="21">
                  <c:v>40.676471766921814</c:v>
                </c:pt>
              </c:numCache>
            </c:numRef>
          </c:val>
          <c:extLst>
            <c:ext xmlns:c16="http://schemas.microsoft.com/office/drawing/2014/chart" uri="{C3380CC4-5D6E-409C-BE32-E72D297353CC}">
              <c16:uniqueId val="{00000002-C910-48D3-B6AB-6E53947703B5}"/>
            </c:ext>
          </c:extLst>
        </c:ser>
        <c:ser>
          <c:idx val="3"/>
          <c:order val="3"/>
          <c:tx>
            <c:strRef>
              <c:f>Total!$B$38</c:f>
              <c:strCache>
                <c:ptCount val="1"/>
                <c:pt idx="0">
                  <c:v>Cricket (Aus International Team)</c:v>
                </c:pt>
              </c:strCache>
            </c:strRef>
          </c:tx>
          <c:spPr>
            <a:solidFill>
              <a:schemeClr val="accent4"/>
            </a:solidFill>
            <a:ln>
              <a:noFill/>
            </a:ln>
            <a:effectLst/>
          </c:spPr>
          <c:cat>
            <c:numRef>
              <c:f>Total!$C$34:$X$34</c:f>
              <c:numCache>
                <c:formatCode>General</c:formatCode>
                <c:ptCount val="22"/>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pt idx="20">
                  <c:v>2021</c:v>
                </c:pt>
                <c:pt idx="21">
                  <c:v>2022</c:v>
                </c:pt>
              </c:numCache>
            </c:numRef>
          </c:cat>
          <c:val>
            <c:numRef>
              <c:f>Total!$C$38:$X$38</c:f>
              <c:numCache>
                <c:formatCode>General</c:formatCode>
                <c:ptCount val="22"/>
                <c:pt idx="0">
                  <c:v>61.034026587454257</c:v>
                </c:pt>
                <c:pt idx="1">
                  <c:v>55.589086040142917</c:v>
                </c:pt>
                <c:pt idx="2">
                  <c:v>44.869365643215836</c:v>
                </c:pt>
                <c:pt idx="3">
                  <c:v>39.060829905483693</c:v>
                </c:pt>
                <c:pt idx="4">
                  <c:v>36.879666477736762</c:v>
                </c:pt>
                <c:pt idx="5">
                  <c:v>35.634248700435876</c:v>
                </c:pt>
                <c:pt idx="6">
                  <c:v>74.939004666533592</c:v>
                </c:pt>
                <c:pt idx="7">
                  <c:v>70.912146164564092</c:v>
                </c:pt>
                <c:pt idx="8">
                  <c:v>74.140856110671265</c:v>
                </c:pt>
                <c:pt idx="9">
                  <c:v>62.941123464016442</c:v>
                </c:pt>
                <c:pt idx="10">
                  <c:v>53.776004423885254</c:v>
                </c:pt>
                <c:pt idx="11">
                  <c:v>53.048405634405157</c:v>
                </c:pt>
                <c:pt idx="12">
                  <c:v>56.253227387912759</c:v>
                </c:pt>
                <c:pt idx="13">
                  <c:v>118.95898726880519</c:v>
                </c:pt>
                <c:pt idx="14">
                  <c:v>142.34860523958383</c:v>
                </c:pt>
                <c:pt idx="15">
                  <c:v>141.19997483885834</c:v>
                </c:pt>
                <c:pt idx="16">
                  <c:v>133.57062981203509</c:v>
                </c:pt>
                <c:pt idx="17">
                  <c:v>134.4446598572566</c:v>
                </c:pt>
                <c:pt idx="18">
                  <c:v>118.37950254561217</c:v>
                </c:pt>
                <c:pt idx="19">
                  <c:v>117.65150080225415</c:v>
                </c:pt>
                <c:pt idx="20">
                  <c:v>105.2854880527408</c:v>
                </c:pt>
                <c:pt idx="21">
                  <c:v>105.75882659399673</c:v>
                </c:pt>
              </c:numCache>
            </c:numRef>
          </c:val>
          <c:extLst>
            <c:ext xmlns:c16="http://schemas.microsoft.com/office/drawing/2014/chart" uri="{C3380CC4-5D6E-409C-BE32-E72D297353CC}">
              <c16:uniqueId val="{00000003-C910-48D3-B6AB-6E53947703B5}"/>
            </c:ext>
          </c:extLst>
        </c:ser>
        <c:ser>
          <c:idx val="4"/>
          <c:order val="4"/>
          <c:tx>
            <c:strRef>
              <c:f>Total!$B$39</c:f>
              <c:strCache>
                <c:ptCount val="1"/>
                <c:pt idx="0">
                  <c:v>Super Rugby</c:v>
                </c:pt>
              </c:strCache>
            </c:strRef>
          </c:tx>
          <c:spPr>
            <a:solidFill>
              <a:schemeClr val="accent5"/>
            </a:solidFill>
            <a:ln>
              <a:noFill/>
            </a:ln>
            <a:effectLst/>
          </c:spPr>
          <c:cat>
            <c:numRef>
              <c:f>Total!$C$34:$X$34</c:f>
              <c:numCache>
                <c:formatCode>General</c:formatCode>
                <c:ptCount val="22"/>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pt idx="20">
                  <c:v>2021</c:v>
                </c:pt>
                <c:pt idx="21">
                  <c:v>2022</c:v>
                </c:pt>
              </c:numCache>
            </c:numRef>
          </c:cat>
          <c:val>
            <c:numRef>
              <c:f>Total!$C$39:$X$39</c:f>
              <c:numCache>
                <c:formatCode>General</c:formatCode>
                <c:ptCount val="22"/>
                <c:pt idx="0">
                  <c:v>0</c:v>
                </c:pt>
                <c:pt idx="1">
                  <c:v>0</c:v>
                </c:pt>
                <c:pt idx="2">
                  <c:v>0</c:v>
                </c:pt>
                <c:pt idx="3">
                  <c:v>0</c:v>
                </c:pt>
                <c:pt idx="4">
                  <c:v>0</c:v>
                </c:pt>
                <c:pt idx="5">
                  <c:v>30.269953197144453</c:v>
                </c:pt>
                <c:pt idx="6">
                  <c:v>26.547898514153154</c:v>
                </c:pt>
                <c:pt idx="7">
                  <c:v>25.12134326009221</c:v>
                </c:pt>
                <c:pt idx="8">
                  <c:v>26.265146335170538</c:v>
                </c:pt>
                <c:pt idx="9">
                  <c:v>22.297528043306276</c:v>
                </c:pt>
                <c:pt idx="10">
                  <c:v>19.774136155868117</c:v>
                </c:pt>
                <c:pt idx="11">
                  <c:v>19.506588618929246</c:v>
                </c:pt>
                <c:pt idx="12">
                  <c:v>23.964379380500951</c:v>
                </c:pt>
                <c:pt idx="13">
                  <c:v>25.085690988982229</c:v>
                </c:pt>
                <c:pt idx="14">
                  <c:v>30.018018862953308</c:v>
                </c:pt>
                <c:pt idx="15">
                  <c:v>43.096551698874634</c:v>
                </c:pt>
                <c:pt idx="16">
                  <c:v>40.7679502755934</c:v>
                </c:pt>
                <c:pt idx="17">
                  <c:v>41.034718602381318</c:v>
                </c:pt>
                <c:pt idx="18">
                  <c:v>43.175548010667569</c:v>
                </c:pt>
                <c:pt idx="19">
                  <c:v>14.823464955191168</c:v>
                </c:pt>
                <c:pt idx="20">
                  <c:v>33.652258117653226</c:v>
                </c:pt>
                <c:pt idx="21">
                  <c:v>33.803550675269513</c:v>
                </c:pt>
              </c:numCache>
            </c:numRef>
          </c:val>
          <c:extLst>
            <c:ext xmlns:c16="http://schemas.microsoft.com/office/drawing/2014/chart" uri="{C3380CC4-5D6E-409C-BE32-E72D297353CC}">
              <c16:uniqueId val="{00000004-C910-48D3-B6AB-6E53947703B5}"/>
            </c:ext>
          </c:extLst>
        </c:ser>
        <c:ser>
          <c:idx val="5"/>
          <c:order val="5"/>
          <c:tx>
            <c:strRef>
              <c:f>Total!$B$40</c:f>
              <c:strCache>
                <c:ptCount val="1"/>
                <c:pt idx="0">
                  <c:v>Australian A-League</c:v>
                </c:pt>
              </c:strCache>
            </c:strRef>
          </c:tx>
          <c:spPr>
            <a:solidFill>
              <a:schemeClr val="accent6"/>
            </a:solidFill>
            <a:ln w="25400">
              <a:noFill/>
            </a:ln>
            <a:effectLst/>
          </c:spPr>
          <c:cat>
            <c:numRef>
              <c:f>Total!$C$34:$X$34</c:f>
              <c:numCache>
                <c:formatCode>General</c:formatCode>
                <c:ptCount val="22"/>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pt idx="20">
                  <c:v>2021</c:v>
                </c:pt>
                <c:pt idx="21">
                  <c:v>2022</c:v>
                </c:pt>
              </c:numCache>
            </c:numRef>
          </c:cat>
          <c:val>
            <c:numRef>
              <c:f>Total!$C$40:$X$40</c:f>
              <c:numCache>
                <c:formatCode>General</c:formatCode>
                <c:ptCount val="22"/>
                <c:pt idx="0">
                  <c:v>0</c:v>
                </c:pt>
                <c:pt idx="1">
                  <c:v>0</c:v>
                </c:pt>
                <c:pt idx="2">
                  <c:v>0</c:v>
                </c:pt>
                <c:pt idx="3">
                  <c:v>0</c:v>
                </c:pt>
                <c:pt idx="4">
                  <c:v>0.36820183144708146</c:v>
                </c:pt>
                <c:pt idx="5">
                  <c:v>0.35576774105757752</c:v>
                </c:pt>
                <c:pt idx="6">
                  <c:v>21.339133615806649</c:v>
                </c:pt>
                <c:pt idx="7">
                  <c:v>20.192472114124751</c:v>
                </c:pt>
                <c:pt idx="8">
                  <c:v>21.11185813016872</c:v>
                </c:pt>
                <c:pt idx="9">
                  <c:v>17.922696591771498</c:v>
                </c:pt>
                <c:pt idx="10">
                  <c:v>15.312898120702748</c:v>
                </c:pt>
                <c:pt idx="11">
                  <c:v>15.10571191831716</c:v>
                </c:pt>
                <c:pt idx="12">
                  <c:v>16.018295691176949</c:v>
                </c:pt>
                <c:pt idx="13">
                  <c:v>47.266723021345456</c:v>
                </c:pt>
                <c:pt idx="14">
                  <c:v>56.560267120722543</c:v>
                </c:pt>
                <c:pt idx="15">
                  <c:v>56.103874575262253</c:v>
                </c:pt>
                <c:pt idx="16">
                  <c:v>53.072458904227048</c:v>
                </c:pt>
                <c:pt idx="17">
                  <c:v>65.207898288147774</c:v>
                </c:pt>
                <c:pt idx="18">
                  <c:v>68.609870838769908</c:v>
                </c:pt>
                <c:pt idx="19">
                  <c:v>34.171987633545953</c:v>
                </c:pt>
                <c:pt idx="20">
                  <c:v>30.580267750066625</c:v>
                </c:pt>
                <c:pt idx="21">
                  <c:v>43.481745681881939</c:v>
                </c:pt>
              </c:numCache>
            </c:numRef>
          </c:val>
          <c:extLst>
            <c:ext xmlns:c16="http://schemas.microsoft.com/office/drawing/2014/chart" uri="{C3380CC4-5D6E-409C-BE32-E72D297353CC}">
              <c16:uniqueId val="{00000005-C910-48D3-B6AB-6E53947703B5}"/>
            </c:ext>
          </c:extLst>
        </c:ser>
        <c:ser>
          <c:idx val="6"/>
          <c:order val="6"/>
          <c:tx>
            <c:strRef>
              <c:f>Total!$B$41</c:f>
              <c:strCache>
                <c:ptCount val="1"/>
                <c:pt idx="0">
                  <c:v>English Premier League</c:v>
                </c:pt>
              </c:strCache>
            </c:strRef>
          </c:tx>
          <c:spPr>
            <a:solidFill>
              <a:schemeClr val="accent2">
                <a:lumMod val="60000"/>
                <a:lumOff val="40000"/>
              </a:schemeClr>
            </a:solidFill>
            <a:ln w="25400">
              <a:noFill/>
            </a:ln>
            <a:effectLst/>
          </c:spPr>
          <c:cat>
            <c:numRef>
              <c:f>Total!$C$34:$X$34</c:f>
              <c:numCache>
                <c:formatCode>General</c:formatCode>
                <c:ptCount val="22"/>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pt idx="20">
                  <c:v>2021</c:v>
                </c:pt>
                <c:pt idx="21">
                  <c:v>2022</c:v>
                </c:pt>
              </c:numCache>
            </c:numRef>
          </c:cat>
          <c:val>
            <c:numRef>
              <c:f>Total!$C$41:$X$41</c:f>
              <c:numCache>
                <c:formatCode>General</c:formatCode>
                <c:ptCount val="22"/>
                <c:pt idx="0">
                  <c:v>0</c:v>
                </c:pt>
                <c:pt idx="1">
                  <c:v>0</c:v>
                </c:pt>
                <c:pt idx="2">
                  <c:v>0</c:v>
                </c:pt>
                <c:pt idx="3">
                  <c:v>8.4001784742975687</c:v>
                </c:pt>
                <c:pt idx="4">
                  <c:v>7.9311110704810224</c:v>
                </c:pt>
                <c:pt idx="5">
                  <c:v>7.6632792904163178</c:v>
                </c:pt>
                <c:pt idx="6">
                  <c:v>6.7209869656083931</c:v>
                </c:pt>
                <c:pt idx="7">
                  <c:v>11.606696569536274</c:v>
                </c:pt>
                <c:pt idx="8">
                  <c:v>12.135162547262336</c:v>
                </c:pt>
                <c:pt idx="9">
                  <c:v>10.302022450388341</c:v>
                </c:pt>
                <c:pt idx="10">
                  <c:v>18.688970147314379</c:v>
                </c:pt>
                <c:pt idx="11">
                  <c:v>18.436105097158741</c:v>
                </c:pt>
                <c:pt idx="12">
                  <c:v>19.549888441987616</c:v>
                </c:pt>
                <c:pt idx="13">
                  <c:v>21.124792411774507</c:v>
                </c:pt>
                <c:pt idx="14">
                  <c:v>25.278331674065942</c:v>
                </c:pt>
                <c:pt idx="15">
                  <c:v>25.074357352072518</c:v>
                </c:pt>
                <c:pt idx="16">
                  <c:v>69.676133198286905</c:v>
                </c:pt>
                <c:pt idx="17">
                  <c:v>70.132064520433516</c:v>
                </c:pt>
                <c:pt idx="18">
                  <c:v>73.790936600050017</c:v>
                </c:pt>
                <c:pt idx="19">
                  <c:v>81.138966070520084</c:v>
                </c:pt>
                <c:pt idx="20">
                  <c:v>72.610681415683317</c:v>
                </c:pt>
                <c:pt idx="21">
                  <c:v>102.11197050454855</c:v>
                </c:pt>
              </c:numCache>
            </c:numRef>
          </c:val>
          <c:extLst>
            <c:ext xmlns:c16="http://schemas.microsoft.com/office/drawing/2014/chart" uri="{C3380CC4-5D6E-409C-BE32-E72D297353CC}">
              <c16:uniqueId val="{00000006-C910-48D3-B6AB-6E53947703B5}"/>
            </c:ext>
          </c:extLst>
        </c:ser>
        <c:ser>
          <c:idx val="7"/>
          <c:order val="7"/>
          <c:tx>
            <c:strRef>
              <c:f>Total!$B$42</c:f>
              <c:strCache>
                <c:ptCount val="1"/>
                <c:pt idx="0">
                  <c:v>V8 Supercars</c:v>
                </c:pt>
              </c:strCache>
            </c:strRef>
          </c:tx>
          <c:spPr>
            <a:solidFill>
              <a:schemeClr val="accent2">
                <a:lumMod val="60000"/>
              </a:schemeClr>
            </a:solidFill>
            <a:ln w="25400">
              <a:noFill/>
            </a:ln>
            <a:effectLst/>
          </c:spPr>
          <c:cat>
            <c:numRef>
              <c:f>Total!$C$34:$X$34</c:f>
              <c:numCache>
                <c:formatCode>General</c:formatCode>
                <c:ptCount val="22"/>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pt idx="20">
                  <c:v>2021</c:v>
                </c:pt>
                <c:pt idx="21">
                  <c:v>2022</c:v>
                </c:pt>
              </c:numCache>
            </c:numRef>
          </c:cat>
          <c:val>
            <c:numRef>
              <c:f>Total!$C$42:$X$42</c:f>
              <c:numCache>
                <c:formatCode>General</c:formatCode>
                <c:ptCount val="22"/>
                <c:pt idx="0">
                  <c:v>0</c:v>
                </c:pt>
                <c:pt idx="1">
                  <c:v>0</c:v>
                </c:pt>
                <c:pt idx="2">
                  <c:v>0</c:v>
                </c:pt>
                <c:pt idx="3">
                  <c:v>0</c:v>
                </c:pt>
                <c:pt idx="4">
                  <c:v>0</c:v>
                </c:pt>
                <c:pt idx="5">
                  <c:v>0</c:v>
                </c:pt>
                <c:pt idx="6">
                  <c:v>47.887032129959799</c:v>
                </c:pt>
                <c:pt idx="7">
                  <c:v>45.313815374216965</c:v>
                </c:pt>
                <c:pt idx="8">
                  <c:v>47.377004465339262</c:v>
                </c:pt>
                <c:pt idx="9">
                  <c:v>40.22022463507777</c:v>
                </c:pt>
                <c:pt idx="10">
                  <c:v>34.363590270868372</c:v>
                </c:pt>
                <c:pt idx="11">
                  <c:v>33.898644856066078</c:v>
                </c:pt>
                <c:pt idx="12">
                  <c:v>24.847277568203612</c:v>
                </c:pt>
                <c:pt idx="13">
                  <c:v>26.009900656997363</c:v>
                </c:pt>
                <c:pt idx="14">
                  <c:v>45.816976159244525</c:v>
                </c:pt>
                <c:pt idx="15">
                  <c:v>45.44727270063143</c:v>
                </c:pt>
                <c:pt idx="16">
                  <c:v>42.99165665426213</c:v>
                </c:pt>
                <c:pt idx="17">
                  <c:v>43.272975980693019</c:v>
                </c:pt>
                <c:pt idx="18">
                  <c:v>45.530577902158527</c:v>
                </c:pt>
                <c:pt idx="19">
                  <c:v>45.2505772316362</c:v>
                </c:pt>
                <c:pt idx="20">
                  <c:v>39.935874778625816</c:v>
                </c:pt>
                <c:pt idx="21">
                  <c:v>40.115416983929791</c:v>
                </c:pt>
              </c:numCache>
            </c:numRef>
          </c:val>
          <c:extLst>
            <c:ext xmlns:c16="http://schemas.microsoft.com/office/drawing/2014/chart" uri="{C3380CC4-5D6E-409C-BE32-E72D297353CC}">
              <c16:uniqueId val="{00000007-C910-48D3-B6AB-6E53947703B5}"/>
            </c:ext>
          </c:extLst>
        </c:ser>
        <c:ser>
          <c:idx val="8"/>
          <c:order val="8"/>
          <c:tx>
            <c:strRef>
              <c:f>Total!$B$43</c:f>
              <c:strCache>
                <c:ptCount val="1"/>
                <c:pt idx="0">
                  <c:v>Olympics</c:v>
                </c:pt>
              </c:strCache>
            </c:strRef>
          </c:tx>
          <c:spPr>
            <a:solidFill>
              <a:schemeClr val="accent3">
                <a:lumMod val="60000"/>
              </a:schemeClr>
            </a:solidFill>
            <a:ln w="25400">
              <a:noFill/>
            </a:ln>
            <a:effectLst/>
          </c:spPr>
          <c:cat>
            <c:numRef>
              <c:f>Total!$C$34:$X$34</c:f>
              <c:numCache>
                <c:formatCode>General</c:formatCode>
                <c:ptCount val="22"/>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pt idx="20">
                  <c:v>2021</c:v>
                </c:pt>
                <c:pt idx="21">
                  <c:v>2022</c:v>
                </c:pt>
              </c:numCache>
            </c:numRef>
          </c:cat>
          <c:val>
            <c:numRef>
              <c:f>Total!$C$43:$X$43</c:f>
              <c:numCache>
                <c:formatCode>General</c:formatCode>
                <c:ptCount val="22"/>
                <c:pt idx="0">
                  <c:v>19.360255745482803</c:v>
                </c:pt>
                <c:pt idx="1">
                  <c:v>17.633097184776517</c:v>
                </c:pt>
                <c:pt idx="2">
                  <c:v>61.031986600718312</c:v>
                </c:pt>
                <c:pt idx="3">
                  <c:v>53.131128849932125</c:v>
                </c:pt>
                <c:pt idx="4">
                  <c:v>34.302055379830428</c:v>
                </c:pt>
                <c:pt idx="5">
                  <c:v>33.14368293105057</c:v>
                </c:pt>
                <c:pt idx="6">
                  <c:v>34.109008850462594</c:v>
                </c:pt>
                <c:pt idx="7">
                  <c:v>32.276156213915939</c:v>
                </c:pt>
                <c:pt idx="8">
                  <c:v>48.041944878887882</c:v>
                </c:pt>
                <c:pt idx="9">
                  <c:v>40.784719015920963</c:v>
                </c:pt>
                <c:pt idx="10">
                  <c:v>34.845886274670029</c:v>
                </c:pt>
                <c:pt idx="11">
                  <c:v>34.374415310186301</c:v>
                </c:pt>
                <c:pt idx="12">
                  <c:v>8.8289818770266653</c:v>
                </c:pt>
                <c:pt idx="13">
                  <c:v>9.2420966801513469</c:v>
                </c:pt>
                <c:pt idx="14">
                  <c:v>41.077288970357159</c:v>
                </c:pt>
                <c:pt idx="15">
                  <c:v>40.745830697117839</c:v>
                </c:pt>
                <c:pt idx="16">
                  <c:v>38.544243896924669</c:v>
                </c:pt>
                <c:pt idx="17">
                  <c:v>38.79646122406961</c:v>
                </c:pt>
                <c:pt idx="18">
                  <c:v>40.820518119176604</c:v>
                </c:pt>
                <c:pt idx="19">
                  <c:v>40.569483035260042</c:v>
                </c:pt>
                <c:pt idx="20">
                  <c:v>0</c:v>
                </c:pt>
                <c:pt idx="21">
                  <c:v>0</c:v>
                </c:pt>
              </c:numCache>
            </c:numRef>
          </c:val>
          <c:extLst>
            <c:ext xmlns:c16="http://schemas.microsoft.com/office/drawing/2014/chart" uri="{C3380CC4-5D6E-409C-BE32-E72D297353CC}">
              <c16:uniqueId val="{00000008-C910-48D3-B6AB-6E53947703B5}"/>
            </c:ext>
          </c:extLst>
        </c:ser>
        <c:dLbls>
          <c:showLegendKey val="0"/>
          <c:showVal val="0"/>
          <c:showCatName val="0"/>
          <c:showSerName val="0"/>
          <c:showPercent val="0"/>
          <c:showBubbleSize val="0"/>
        </c:dLbls>
        <c:axId val="642354552"/>
        <c:axId val="642351928"/>
      </c:areaChart>
      <c:catAx>
        <c:axId val="64235455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2700000" spcFirstLastPara="1" vertOverflow="ellipsis" wrap="square" anchor="ctr" anchorCtr="1"/>
          <a:lstStyle/>
          <a:p>
            <a:pPr>
              <a:defRPr sz="900" b="0" i="0" u="none" strike="noStrike" kern="1200" baseline="0">
                <a:solidFill>
                  <a:sysClr val="windowText" lastClr="000000"/>
                </a:solidFill>
                <a:latin typeface="+mn-lt"/>
                <a:ea typeface="+mn-ea"/>
                <a:cs typeface="+mn-cs"/>
              </a:defRPr>
            </a:pPr>
            <a:endParaRPr lang="en-US"/>
          </a:p>
        </c:txPr>
        <c:crossAx val="642351928"/>
        <c:crosses val="autoZero"/>
        <c:auto val="1"/>
        <c:lblAlgn val="ctr"/>
        <c:lblOffset val="100"/>
        <c:noMultiLvlLbl val="0"/>
      </c:catAx>
      <c:valAx>
        <c:axId val="64235192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AU">
                    <a:solidFill>
                      <a:sysClr val="windowText" lastClr="000000"/>
                    </a:solidFill>
                  </a:rPr>
                  <a:t>$AUD</a:t>
                </a:r>
                <a:r>
                  <a:rPr lang="en-AU" baseline="0">
                    <a:solidFill>
                      <a:sysClr val="windowText" lastClr="000000"/>
                    </a:solidFill>
                  </a:rPr>
                  <a:t> (millions)</a:t>
                </a:r>
              </a:p>
              <a:p>
                <a:pPr>
                  <a:defRPr>
                    <a:solidFill>
                      <a:sysClr val="windowText" lastClr="000000"/>
                    </a:solidFill>
                  </a:defRPr>
                </a:pPr>
                <a:r>
                  <a:rPr lang="en-AU" baseline="0">
                    <a:solidFill>
                      <a:sysClr val="windowText" lastClr="000000"/>
                    </a:solidFill>
                  </a:rPr>
                  <a:t>indexed to July 2022</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642354552"/>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zero"/>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51C615B-377E-431B-8B27-C2A0CC37C2BF}" type="doc">
      <dgm:prSet loTypeId="urn:microsoft.com/office/officeart/2005/8/layout/pyramid3" loCatId="pyramid" qsTypeId="urn:microsoft.com/office/officeart/2005/8/quickstyle/simple1" qsCatId="simple" csTypeId="urn:microsoft.com/office/officeart/2005/8/colors/colorful5" csCatId="colorful" phldr="1"/>
      <dgm:spPr/>
    </dgm:pt>
    <dgm:pt modelId="{39637D09-0E66-4DDC-A890-CABB1E1809F2}">
      <dgm:prSet phldrT="[Text]" custT="1"/>
      <dgm:spPr/>
      <dgm:t>
        <a:bodyPr/>
        <a:lstStyle/>
        <a:p>
          <a:r>
            <a:rPr lang="en-US" sz="1100" u="sng" dirty="0"/>
            <a:t>Chapter 5</a:t>
          </a:r>
          <a:r>
            <a:rPr lang="en-US" sz="1100" dirty="0"/>
            <a:t>: the operation of the scheme</a:t>
          </a:r>
          <a:endParaRPr lang="en-AU" sz="1100" dirty="0"/>
        </a:p>
      </dgm:t>
    </dgm:pt>
    <dgm:pt modelId="{37CE5A1A-E592-4B73-9B0D-C146FC5286D1}" type="parTrans" cxnId="{47452C5D-0AC0-4C9B-A3CC-FB6B9BE54279}">
      <dgm:prSet/>
      <dgm:spPr/>
      <dgm:t>
        <a:bodyPr/>
        <a:lstStyle/>
        <a:p>
          <a:endParaRPr lang="en-AU"/>
        </a:p>
      </dgm:t>
    </dgm:pt>
    <dgm:pt modelId="{5E9D8167-EF28-42E3-B10F-41DA215C4E78}" type="sibTrans" cxnId="{47452C5D-0AC0-4C9B-A3CC-FB6B9BE54279}">
      <dgm:prSet/>
      <dgm:spPr/>
      <dgm:t>
        <a:bodyPr/>
        <a:lstStyle/>
        <a:p>
          <a:endParaRPr lang="en-AU"/>
        </a:p>
      </dgm:t>
    </dgm:pt>
    <dgm:pt modelId="{56F0AF7A-7EF7-4ABF-9B8A-70542EB51E28}">
      <dgm:prSet phldrT="[Text]" custT="1"/>
      <dgm:spPr/>
      <dgm:t>
        <a:bodyPr tIns="252000" anchor="t"/>
        <a:lstStyle/>
        <a:p>
          <a:r>
            <a:rPr lang="en-US" sz="1100" u="sng" dirty="0"/>
            <a:t>Chapter 6</a:t>
          </a:r>
          <a:r>
            <a:rPr lang="en-US" sz="1100" dirty="0"/>
            <a:t>: the composition of the  anti-siphoning list</a:t>
          </a:r>
          <a:endParaRPr lang="en-AU" sz="1100" dirty="0"/>
        </a:p>
      </dgm:t>
    </dgm:pt>
    <dgm:pt modelId="{D9D9A224-D589-463E-8766-C0154EBA1EDB}" type="parTrans" cxnId="{45834D1D-6342-427D-9A93-E28133629504}">
      <dgm:prSet/>
      <dgm:spPr/>
      <dgm:t>
        <a:bodyPr/>
        <a:lstStyle/>
        <a:p>
          <a:endParaRPr lang="en-AU"/>
        </a:p>
      </dgm:t>
    </dgm:pt>
    <dgm:pt modelId="{BADEC0FB-0695-4883-8593-3AF352AE4D3C}" type="sibTrans" cxnId="{45834D1D-6342-427D-9A93-E28133629504}">
      <dgm:prSet/>
      <dgm:spPr/>
      <dgm:t>
        <a:bodyPr/>
        <a:lstStyle/>
        <a:p>
          <a:endParaRPr lang="en-AU"/>
        </a:p>
      </dgm:t>
    </dgm:pt>
    <dgm:pt modelId="{7ADBB98D-12E6-4C7D-8FB2-B3FF62DD994E}">
      <dgm:prSet phldrT="[Text]" custT="1"/>
      <dgm:spPr/>
      <dgm:t>
        <a:bodyPr/>
        <a:lstStyle/>
        <a:p>
          <a:r>
            <a:rPr lang="en-US" sz="1100" u="sng" dirty="0"/>
            <a:t>Chapter 4</a:t>
          </a:r>
          <a:r>
            <a:rPr lang="en-US" sz="1100" dirty="0"/>
            <a:t>: policy settings and considerations</a:t>
          </a:r>
          <a:endParaRPr lang="en-AU" sz="1100" dirty="0"/>
        </a:p>
      </dgm:t>
      <dgm:extLst>
        <a:ext uri="{E40237B7-FDA0-4F09-8148-C483321AD2D9}">
          <dgm14:cNvPr xmlns:dgm14="http://schemas.microsoft.com/office/drawing/2010/diagram" id="0" name="" descr="Inverted pyramid diagram setting out three policy themes for Part 2 of the paper."/>
        </a:ext>
      </dgm:extLst>
    </dgm:pt>
    <dgm:pt modelId="{76FDFD15-5C42-4185-B8DE-6681BE313DA4}" type="sibTrans" cxnId="{C35C37FF-8DDD-4C6E-9072-5F0B33DB4F2D}">
      <dgm:prSet/>
      <dgm:spPr/>
      <dgm:t>
        <a:bodyPr/>
        <a:lstStyle/>
        <a:p>
          <a:endParaRPr lang="en-AU"/>
        </a:p>
      </dgm:t>
    </dgm:pt>
    <dgm:pt modelId="{CB77AB9C-1DFF-485E-9361-7309EC91588D}" type="parTrans" cxnId="{C35C37FF-8DDD-4C6E-9072-5F0B33DB4F2D}">
      <dgm:prSet/>
      <dgm:spPr/>
      <dgm:t>
        <a:bodyPr/>
        <a:lstStyle/>
        <a:p>
          <a:endParaRPr lang="en-AU"/>
        </a:p>
      </dgm:t>
    </dgm:pt>
    <dgm:pt modelId="{598FF98B-E265-4B66-B925-E4B87FF200B9}">
      <dgm:prSet custT="1"/>
      <dgm:spPr/>
      <dgm:t>
        <a:bodyPr anchor="ctr"/>
        <a:lstStyle/>
        <a:p>
          <a:pPr>
            <a:spcAft>
              <a:spcPts val="200"/>
            </a:spcAft>
          </a:pPr>
          <a:r>
            <a:rPr lang="en-US" sz="1000" dirty="0"/>
            <a:t>Describes two threshold issues associated with the regulation of sports broadcasting: the policy objective; and the mechanism to achieve it. </a:t>
          </a:r>
          <a:endParaRPr lang="en-AU" sz="1000" dirty="0"/>
        </a:p>
      </dgm:t>
    </dgm:pt>
    <dgm:pt modelId="{EB7492ED-5E60-46D8-B2DC-D1BEEB1999AB}" type="parTrans" cxnId="{EB2BBCFC-552A-4744-93F8-B972090B6427}">
      <dgm:prSet/>
      <dgm:spPr/>
      <dgm:t>
        <a:bodyPr/>
        <a:lstStyle/>
        <a:p>
          <a:endParaRPr lang="en-AU"/>
        </a:p>
      </dgm:t>
    </dgm:pt>
    <dgm:pt modelId="{0787A9CD-2E0B-462E-B9D4-8D0BECF29A90}" type="sibTrans" cxnId="{EB2BBCFC-552A-4744-93F8-B972090B6427}">
      <dgm:prSet/>
      <dgm:spPr/>
      <dgm:t>
        <a:bodyPr/>
        <a:lstStyle/>
        <a:p>
          <a:endParaRPr lang="en-AU"/>
        </a:p>
      </dgm:t>
    </dgm:pt>
    <dgm:pt modelId="{1FF335B5-142E-47DC-BCDF-676104A2B947}">
      <dgm:prSet phldrT="[Text]" custT="1"/>
      <dgm:spPr/>
      <dgm:t>
        <a:bodyPr anchor="ctr"/>
        <a:lstStyle/>
        <a:p>
          <a:pPr>
            <a:spcBef>
              <a:spcPts val="600"/>
            </a:spcBef>
          </a:pPr>
          <a:r>
            <a:rPr lang="en-US" sz="1000" dirty="0"/>
            <a:t>Sets out issues associated with the scheme itself (and assumes that a scheme will continue to operate).</a:t>
          </a:r>
          <a:endParaRPr lang="en-AU" sz="1000" dirty="0"/>
        </a:p>
      </dgm:t>
    </dgm:pt>
    <dgm:pt modelId="{F4B96ADF-67DF-451C-8AA5-AFF14840E24A}" type="parTrans" cxnId="{802D31D3-0A17-4988-907E-8DA7FE7C23EF}">
      <dgm:prSet/>
      <dgm:spPr/>
      <dgm:t>
        <a:bodyPr/>
        <a:lstStyle/>
        <a:p>
          <a:endParaRPr lang="en-AU"/>
        </a:p>
      </dgm:t>
    </dgm:pt>
    <dgm:pt modelId="{0BD64D1E-B295-421A-8BBC-F9440B550739}" type="sibTrans" cxnId="{802D31D3-0A17-4988-907E-8DA7FE7C23EF}">
      <dgm:prSet/>
      <dgm:spPr/>
      <dgm:t>
        <a:bodyPr/>
        <a:lstStyle/>
        <a:p>
          <a:endParaRPr lang="en-AU"/>
        </a:p>
      </dgm:t>
    </dgm:pt>
    <dgm:pt modelId="{45793376-7E88-43C9-A5E7-CD00651043F3}">
      <dgm:prSet phldrT="[Text]" custT="1"/>
      <dgm:spPr/>
      <dgm:t>
        <a:bodyPr anchor="ctr"/>
        <a:lstStyle/>
        <a:p>
          <a:pPr>
            <a:spcBef>
              <a:spcPts val="600"/>
            </a:spcBef>
          </a:pPr>
          <a:r>
            <a:rPr lang="en-US" sz="1000" dirty="0"/>
            <a:t>This includes issues of scope and the application of the scheme to media entities.</a:t>
          </a:r>
          <a:endParaRPr lang="en-AU" sz="1000" dirty="0"/>
        </a:p>
      </dgm:t>
    </dgm:pt>
    <dgm:pt modelId="{D920CEA1-1682-4313-9F03-3B9E88436B08}" type="parTrans" cxnId="{DA32569D-8D8D-408F-8013-04EF7806A9C5}">
      <dgm:prSet/>
      <dgm:spPr/>
      <dgm:t>
        <a:bodyPr/>
        <a:lstStyle/>
        <a:p>
          <a:endParaRPr lang="en-AU"/>
        </a:p>
      </dgm:t>
    </dgm:pt>
    <dgm:pt modelId="{C317B3D6-0FC6-4A22-B16F-AC8562DAD291}" type="sibTrans" cxnId="{DA32569D-8D8D-408F-8013-04EF7806A9C5}">
      <dgm:prSet/>
      <dgm:spPr/>
      <dgm:t>
        <a:bodyPr/>
        <a:lstStyle/>
        <a:p>
          <a:endParaRPr lang="en-AU"/>
        </a:p>
      </dgm:t>
    </dgm:pt>
    <dgm:pt modelId="{2F064CA8-F9EA-4078-BA8A-BBD66623C589}">
      <dgm:prSet phldrT="[Text]" custT="1"/>
      <dgm:spPr/>
      <dgm:t>
        <a:bodyPr anchor="ctr"/>
        <a:lstStyle/>
        <a:p>
          <a:r>
            <a:rPr lang="en-US" sz="1000" dirty="0"/>
            <a:t>Sets out issues that arise at the most specific level: what sports and events should be on the list. </a:t>
          </a:r>
          <a:endParaRPr lang="en-AU" sz="1000" dirty="0"/>
        </a:p>
      </dgm:t>
    </dgm:pt>
    <dgm:pt modelId="{6FFB7605-13CD-428C-B7E0-576ED1DE4480}" type="parTrans" cxnId="{60100B3F-4C4E-4A25-9ECB-3FB1E3C7696E}">
      <dgm:prSet/>
      <dgm:spPr/>
      <dgm:t>
        <a:bodyPr/>
        <a:lstStyle/>
        <a:p>
          <a:endParaRPr lang="en-AU"/>
        </a:p>
      </dgm:t>
    </dgm:pt>
    <dgm:pt modelId="{DD4245B1-1560-4A3B-B5A6-E77CD9F50D54}" type="sibTrans" cxnId="{60100B3F-4C4E-4A25-9ECB-3FB1E3C7696E}">
      <dgm:prSet/>
      <dgm:spPr/>
      <dgm:t>
        <a:bodyPr/>
        <a:lstStyle/>
        <a:p>
          <a:endParaRPr lang="en-AU"/>
        </a:p>
      </dgm:t>
    </dgm:pt>
    <dgm:pt modelId="{7C9782F9-C3F3-4DB0-ACDE-A472286A13A6}">
      <dgm:prSet phldrT="[Text]" custT="1"/>
      <dgm:spPr/>
      <dgm:t>
        <a:bodyPr anchor="ctr"/>
        <a:lstStyle/>
        <a:p>
          <a:r>
            <a:rPr lang="en-US" sz="1000" dirty="0"/>
            <a:t>As above, this is based on the premise that a scheme is in place. </a:t>
          </a:r>
          <a:endParaRPr lang="en-AU" sz="1000" dirty="0"/>
        </a:p>
      </dgm:t>
    </dgm:pt>
    <dgm:pt modelId="{901A4CA4-7B0D-414B-B247-014270E913D5}" type="parTrans" cxnId="{C08E8FA6-D799-41AF-8B00-62C661EDC57F}">
      <dgm:prSet/>
      <dgm:spPr/>
      <dgm:t>
        <a:bodyPr/>
        <a:lstStyle/>
        <a:p>
          <a:endParaRPr lang="en-AU"/>
        </a:p>
      </dgm:t>
    </dgm:pt>
    <dgm:pt modelId="{129BDF30-FCEF-4A35-B69E-A84D01654ADE}" type="sibTrans" cxnId="{C08E8FA6-D799-41AF-8B00-62C661EDC57F}">
      <dgm:prSet/>
      <dgm:spPr/>
      <dgm:t>
        <a:bodyPr/>
        <a:lstStyle/>
        <a:p>
          <a:endParaRPr lang="en-AU"/>
        </a:p>
      </dgm:t>
    </dgm:pt>
    <dgm:pt modelId="{33A81930-63A9-42F8-8117-31D1A553FD4E}" type="pres">
      <dgm:prSet presAssocID="{C51C615B-377E-431B-8B27-C2A0CC37C2BF}" presName="Name0" presStyleCnt="0">
        <dgm:presLayoutVars>
          <dgm:dir val="rev"/>
          <dgm:animLvl val="lvl"/>
          <dgm:resizeHandles val="exact"/>
        </dgm:presLayoutVars>
      </dgm:prSet>
      <dgm:spPr/>
    </dgm:pt>
    <dgm:pt modelId="{53BDA7F2-ECAB-4251-B4BF-90E380F893D6}" type="pres">
      <dgm:prSet presAssocID="{7ADBB98D-12E6-4C7D-8FB2-B3FF62DD994E}" presName="Name8" presStyleCnt="0"/>
      <dgm:spPr/>
    </dgm:pt>
    <dgm:pt modelId="{08392051-3CDB-4AB7-AB7A-4417E421A9CB}" type="pres">
      <dgm:prSet presAssocID="{7ADBB98D-12E6-4C7D-8FB2-B3FF62DD994E}" presName="acctBkgd" presStyleLbl="alignAcc1" presStyleIdx="0" presStyleCnt="3"/>
      <dgm:spPr/>
    </dgm:pt>
    <dgm:pt modelId="{C55F2571-D1AD-434A-8F8B-98ED293C333E}" type="pres">
      <dgm:prSet presAssocID="{7ADBB98D-12E6-4C7D-8FB2-B3FF62DD994E}" presName="acctTx" presStyleLbl="alignAcc1" presStyleIdx="0" presStyleCnt="3">
        <dgm:presLayoutVars>
          <dgm:bulletEnabled val="1"/>
        </dgm:presLayoutVars>
      </dgm:prSet>
      <dgm:spPr/>
    </dgm:pt>
    <dgm:pt modelId="{2C3ABA32-17CC-4931-8194-136ABF7C0F1E}" type="pres">
      <dgm:prSet presAssocID="{7ADBB98D-12E6-4C7D-8FB2-B3FF62DD994E}" presName="level" presStyleLbl="node1" presStyleIdx="0" presStyleCnt="3" custScaleX="101440">
        <dgm:presLayoutVars>
          <dgm:chMax val="1"/>
          <dgm:bulletEnabled val="1"/>
        </dgm:presLayoutVars>
      </dgm:prSet>
      <dgm:spPr/>
    </dgm:pt>
    <dgm:pt modelId="{7D178154-2C98-45CE-A5DE-3EB5B242ABCB}" type="pres">
      <dgm:prSet presAssocID="{7ADBB98D-12E6-4C7D-8FB2-B3FF62DD994E}" presName="levelTx" presStyleLbl="revTx" presStyleIdx="0" presStyleCnt="0">
        <dgm:presLayoutVars>
          <dgm:chMax val="1"/>
          <dgm:bulletEnabled val="1"/>
        </dgm:presLayoutVars>
      </dgm:prSet>
      <dgm:spPr/>
    </dgm:pt>
    <dgm:pt modelId="{3E8EA72C-F230-40F1-AEEA-3FD62477E133}" type="pres">
      <dgm:prSet presAssocID="{39637D09-0E66-4DDC-A890-CABB1E1809F2}" presName="Name8" presStyleCnt="0"/>
      <dgm:spPr/>
    </dgm:pt>
    <dgm:pt modelId="{79964AB4-4819-4F36-BC8F-0CB0D47F8CF2}" type="pres">
      <dgm:prSet presAssocID="{39637D09-0E66-4DDC-A890-CABB1E1809F2}" presName="acctBkgd" presStyleLbl="alignAcc1" presStyleIdx="1" presStyleCnt="3"/>
      <dgm:spPr/>
    </dgm:pt>
    <dgm:pt modelId="{D6AA7B0C-8543-498C-94D1-72E350649A7F}" type="pres">
      <dgm:prSet presAssocID="{39637D09-0E66-4DDC-A890-CABB1E1809F2}" presName="acctTx" presStyleLbl="alignAcc1" presStyleIdx="1" presStyleCnt="3">
        <dgm:presLayoutVars>
          <dgm:bulletEnabled val="1"/>
        </dgm:presLayoutVars>
      </dgm:prSet>
      <dgm:spPr/>
    </dgm:pt>
    <dgm:pt modelId="{1C66AF61-E666-4D5E-8845-57B5F6CB645D}" type="pres">
      <dgm:prSet presAssocID="{39637D09-0E66-4DDC-A890-CABB1E1809F2}" presName="level" presStyleLbl="node1" presStyleIdx="1" presStyleCnt="3" custScaleX="102466">
        <dgm:presLayoutVars>
          <dgm:chMax val="1"/>
          <dgm:bulletEnabled val="1"/>
        </dgm:presLayoutVars>
      </dgm:prSet>
      <dgm:spPr/>
    </dgm:pt>
    <dgm:pt modelId="{BE95597B-DDE9-407C-92C5-FA8447BFE44E}" type="pres">
      <dgm:prSet presAssocID="{39637D09-0E66-4DDC-A890-CABB1E1809F2}" presName="levelTx" presStyleLbl="revTx" presStyleIdx="0" presStyleCnt="0">
        <dgm:presLayoutVars>
          <dgm:chMax val="1"/>
          <dgm:bulletEnabled val="1"/>
        </dgm:presLayoutVars>
      </dgm:prSet>
      <dgm:spPr/>
    </dgm:pt>
    <dgm:pt modelId="{9EFDB3F9-3BCF-4101-A44D-1529083E431F}" type="pres">
      <dgm:prSet presAssocID="{56F0AF7A-7EF7-4ABF-9B8A-70542EB51E28}" presName="Name8" presStyleCnt="0"/>
      <dgm:spPr/>
    </dgm:pt>
    <dgm:pt modelId="{CD469C19-4F2C-4095-8345-50B1AAB8FAA3}" type="pres">
      <dgm:prSet presAssocID="{56F0AF7A-7EF7-4ABF-9B8A-70542EB51E28}" presName="acctBkgd" presStyleLbl="alignAcc1" presStyleIdx="2" presStyleCnt="3"/>
      <dgm:spPr/>
    </dgm:pt>
    <dgm:pt modelId="{53A28EE2-4699-463F-A931-31C99F200484}" type="pres">
      <dgm:prSet presAssocID="{56F0AF7A-7EF7-4ABF-9B8A-70542EB51E28}" presName="acctTx" presStyleLbl="alignAcc1" presStyleIdx="2" presStyleCnt="3">
        <dgm:presLayoutVars>
          <dgm:bulletEnabled val="1"/>
        </dgm:presLayoutVars>
      </dgm:prSet>
      <dgm:spPr/>
    </dgm:pt>
    <dgm:pt modelId="{EF57F88A-1B17-4134-BBB4-9AA6290A9711}" type="pres">
      <dgm:prSet presAssocID="{56F0AF7A-7EF7-4ABF-9B8A-70542EB51E28}" presName="level" presStyleLbl="node1" presStyleIdx="2" presStyleCnt="3" custScaleX="108893" custScaleY="87189" custLinFactNeighborY="-604">
        <dgm:presLayoutVars>
          <dgm:chMax val="1"/>
          <dgm:bulletEnabled val="1"/>
        </dgm:presLayoutVars>
      </dgm:prSet>
      <dgm:spPr/>
    </dgm:pt>
    <dgm:pt modelId="{60304CE0-27E5-4B9A-818A-F4570D89E592}" type="pres">
      <dgm:prSet presAssocID="{56F0AF7A-7EF7-4ABF-9B8A-70542EB51E28}" presName="levelTx" presStyleLbl="revTx" presStyleIdx="0" presStyleCnt="0">
        <dgm:presLayoutVars>
          <dgm:chMax val="1"/>
          <dgm:bulletEnabled val="1"/>
        </dgm:presLayoutVars>
      </dgm:prSet>
      <dgm:spPr/>
    </dgm:pt>
  </dgm:ptLst>
  <dgm:cxnLst>
    <dgm:cxn modelId="{45834D1D-6342-427D-9A93-E28133629504}" srcId="{C51C615B-377E-431B-8B27-C2A0CC37C2BF}" destId="{56F0AF7A-7EF7-4ABF-9B8A-70542EB51E28}" srcOrd="2" destOrd="0" parTransId="{D9D9A224-D589-463E-8766-C0154EBA1EDB}" sibTransId="{BADEC0FB-0695-4883-8593-3AF352AE4D3C}"/>
    <dgm:cxn modelId="{3B52B828-D78C-4F58-92A9-B280BDD0A891}" type="presOf" srcId="{56F0AF7A-7EF7-4ABF-9B8A-70542EB51E28}" destId="{60304CE0-27E5-4B9A-818A-F4570D89E592}" srcOrd="1" destOrd="0" presId="urn:microsoft.com/office/officeart/2005/8/layout/pyramid3"/>
    <dgm:cxn modelId="{4CB1D636-366F-4D52-8033-57947EEF8F87}" type="presOf" srcId="{598FF98B-E265-4B66-B925-E4B87FF200B9}" destId="{08392051-3CDB-4AB7-AB7A-4417E421A9CB}" srcOrd="0" destOrd="0" presId="urn:microsoft.com/office/officeart/2005/8/layout/pyramid3"/>
    <dgm:cxn modelId="{60100B3F-4C4E-4A25-9ECB-3FB1E3C7696E}" srcId="{56F0AF7A-7EF7-4ABF-9B8A-70542EB51E28}" destId="{2F064CA8-F9EA-4078-BA8A-BBD66623C589}" srcOrd="0" destOrd="0" parTransId="{6FFB7605-13CD-428C-B7E0-576ED1DE4480}" sibTransId="{DD4245B1-1560-4A3B-B5A6-E77CD9F50D54}"/>
    <dgm:cxn modelId="{47452C5D-0AC0-4C9B-A3CC-FB6B9BE54279}" srcId="{C51C615B-377E-431B-8B27-C2A0CC37C2BF}" destId="{39637D09-0E66-4DDC-A890-CABB1E1809F2}" srcOrd="1" destOrd="0" parTransId="{37CE5A1A-E592-4B73-9B0D-C146FC5286D1}" sibTransId="{5E9D8167-EF28-42E3-B10F-41DA215C4E78}"/>
    <dgm:cxn modelId="{CD02FC5E-7EC8-41D0-9925-B260B38E9CE3}" type="presOf" srcId="{7ADBB98D-12E6-4C7D-8FB2-B3FF62DD994E}" destId="{7D178154-2C98-45CE-A5DE-3EB5B242ABCB}" srcOrd="1" destOrd="0" presId="urn:microsoft.com/office/officeart/2005/8/layout/pyramid3"/>
    <dgm:cxn modelId="{30094D62-9CA5-43A3-865E-9F228C8EA18A}" type="presOf" srcId="{1FF335B5-142E-47DC-BCDF-676104A2B947}" destId="{D6AA7B0C-8543-498C-94D1-72E350649A7F}" srcOrd="1" destOrd="0" presId="urn:microsoft.com/office/officeart/2005/8/layout/pyramid3"/>
    <dgm:cxn modelId="{E57BEF6B-9931-4389-B710-C7C130A30FF2}" type="presOf" srcId="{45793376-7E88-43C9-A5E7-CD00651043F3}" destId="{79964AB4-4819-4F36-BC8F-0CB0D47F8CF2}" srcOrd="0" destOrd="1" presId="urn:microsoft.com/office/officeart/2005/8/layout/pyramid3"/>
    <dgm:cxn modelId="{50DE8D6E-516F-4900-ADE3-3DE2B0CE9A6B}" type="presOf" srcId="{7ADBB98D-12E6-4C7D-8FB2-B3FF62DD994E}" destId="{2C3ABA32-17CC-4931-8194-136ABF7C0F1E}" srcOrd="0" destOrd="0" presId="urn:microsoft.com/office/officeart/2005/8/layout/pyramid3"/>
    <dgm:cxn modelId="{151EA36F-6882-416D-AD9B-06B8FF4BB6E5}" type="presOf" srcId="{45793376-7E88-43C9-A5E7-CD00651043F3}" destId="{D6AA7B0C-8543-498C-94D1-72E350649A7F}" srcOrd="1" destOrd="1" presId="urn:microsoft.com/office/officeart/2005/8/layout/pyramid3"/>
    <dgm:cxn modelId="{04CA3D84-222F-4446-A262-F69333AF6D56}" type="presOf" srcId="{2F064CA8-F9EA-4078-BA8A-BBD66623C589}" destId="{CD469C19-4F2C-4095-8345-50B1AAB8FAA3}" srcOrd="0" destOrd="0" presId="urn:microsoft.com/office/officeart/2005/8/layout/pyramid3"/>
    <dgm:cxn modelId="{F0281C8A-663D-4FFE-9188-BC737EC30CE8}" type="presOf" srcId="{7C9782F9-C3F3-4DB0-ACDE-A472286A13A6}" destId="{CD469C19-4F2C-4095-8345-50B1AAB8FAA3}" srcOrd="0" destOrd="1" presId="urn:microsoft.com/office/officeart/2005/8/layout/pyramid3"/>
    <dgm:cxn modelId="{E42B5D9A-75D5-4099-8EAA-AA9D382A287A}" type="presOf" srcId="{598FF98B-E265-4B66-B925-E4B87FF200B9}" destId="{C55F2571-D1AD-434A-8F8B-98ED293C333E}" srcOrd="1" destOrd="0" presId="urn:microsoft.com/office/officeart/2005/8/layout/pyramid3"/>
    <dgm:cxn modelId="{B9C1219B-5C18-45F4-895A-E505F79E12FE}" type="presOf" srcId="{1FF335B5-142E-47DC-BCDF-676104A2B947}" destId="{79964AB4-4819-4F36-BC8F-0CB0D47F8CF2}" srcOrd="0" destOrd="0" presId="urn:microsoft.com/office/officeart/2005/8/layout/pyramid3"/>
    <dgm:cxn modelId="{DA32569D-8D8D-408F-8013-04EF7806A9C5}" srcId="{39637D09-0E66-4DDC-A890-CABB1E1809F2}" destId="{45793376-7E88-43C9-A5E7-CD00651043F3}" srcOrd="1" destOrd="0" parTransId="{D920CEA1-1682-4313-9F03-3B9E88436B08}" sibTransId="{C317B3D6-0FC6-4A22-B16F-AC8562DAD291}"/>
    <dgm:cxn modelId="{C08E8FA6-D799-41AF-8B00-62C661EDC57F}" srcId="{56F0AF7A-7EF7-4ABF-9B8A-70542EB51E28}" destId="{7C9782F9-C3F3-4DB0-ACDE-A472286A13A6}" srcOrd="1" destOrd="0" parTransId="{901A4CA4-7B0D-414B-B247-014270E913D5}" sibTransId="{129BDF30-FCEF-4A35-B69E-A84D01654ADE}"/>
    <dgm:cxn modelId="{4F7618B9-62C2-4993-8DDC-7102E3D7B3D7}" type="presOf" srcId="{56F0AF7A-7EF7-4ABF-9B8A-70542EB51E28}" destId="{EF57F88A-1B17-4134-BBB4-9AA6290A9711}" srcOrd="0" destOrd="0" presId="urn:microsoft.com/office/officeart/2005/8/layout/pyramid3"/>
    <dgm:cxn modelId="{864471C4-19F7-4D6D-BE8B-B9B8D5212C83}" type="presOf" srcId="{C51C615B-377E-431B-8B27-C2A0CC37C2BF}" destId="{33A81930-63A9-42F8-8117-31D1A553FD4E}" srcOrd="0" destOrd="0" presId="urn:microsoft.com/office/officeart/2005/8/layout/pyramid3"/>
    <dgm:cxn modelId="{9A230FCE-B8FD-4096-9327-B98AB53115CD}" type="presOf" srcId="{7C9782F9-C3F3-4DB0-ACDE-A472286A13A6}" destId="{53A28EE2-4699-463F-A931-31C99F200484}" srcOrd="1" destOrd="1" presId="urn:microsoft.com/office/officeart/2005/8/layout/pyramid3"/>
    <dgm:cxn modelId="{802D31D3-0A17-4988-907E-8DA7FE7C23EF}" srcId="{39637D09-0E66-4DDC-A890-CABB1E1809F2}" destId="{1FF335B5-142E-47DC-BCDF-676104A2B947}" srcOrd="0" destOrd="0" parTransId="{F4B96ADF-67DF-451C-8AA5-AFF14840E24A}" sibTransId="{0BD64D1E-B295-421A-8BBC-F9440B550739}"/>
    <dgm:cxn modelId="{7CF5E3DB-946D-4B51-BA47-FFCE38400879}" type="presOf" srcId="{39637D09-0E66-4DDC-A890-CABB1E1809F2}" destId="{BE95597B-DDE9-407C-92C5-FA8447BFE44E}" srcOrd="1" destOrd="0" presId="urn:microsoft.com/office/officeart/2005/8/layout/pyramid3"/>
    <dgm:cxn modelId="{F42044E9-D28D-4DBE-9B30-907C9B096C3B}" type="presOf" srcId="{39637D09-0E66-4DDC-A890-CABB1E1809F2}" destId="{1C66AF61-E666-4D5E-8845-57B5F6CB645D}" srcOrd="0" destOrd="0" presId="urn:microsoft.com/office/officeart/2005/8/layout/pyramid3"/>
    <dgm:cxn modelId="{D7C57AEF-4428-4BFE-9DC9-C79499B75F9A}" type="presOf" srcId="{2F064CA8-F9EA-4078-BA8A-BBD66623C589}" destId="{53A28EE2-4699-463F-A931-31C99F200484}" srcOrd="1" destOrd="0" presId="urn:microsoft.com/office/officeart/2005/8/layout/pyramid3"/>
    <dgm:cxn modelId="{EB2BBCFC-552A-4744-93F8-B972090B6427}" srcId="{7ADBB98D-12E6-4C7D-8FB2-B3FF62DD994E}" destId="{598FF98B-E265-4B66-B925-E4B87FF200B9}" srcOrd="0" destOrd="0" parTransId="{EB7492ED-5E60-46D8-B2DC-D1BEEB1999AB}" sibTransId="{0787A9CD-2E0B-462E-B9D4-8D0BECF29A90}"/>
    <dgm:cxn modelId="{C35C37FF-8DDD-4C6E-9072-5F0B33DB4F2D}" srcId="{C51C615B-377E-431B-8B27-C2A0CC37C2BF}" destId="{7ADBB98D-12E6-4C7D-8FB2-B3FF62DD994E}" srcOrd="0" destOrd="0" parTransId="{CB77AB9C-1DFF-485E-9361-7309EC91588D}" sibTransId="{76FDFD15-5C42-4185-B8DE-6681BE313DA4}"/>
    <dgm:cxn modelId="{259B2B4F-7EF6-442F-AEEE-B4CE587FF93A}" type="presParOf" srcId="{33A81930-63A9-42F8-8117-31D1A553FD4E}" destId="{53BDA7F2-ECAB-4251-B4BF-90E380F893D6}" srcOrd="0" destOrd="0" presId="urn:microsoft.com/office/officeart/2005/8/layout/pyramid3"/>
    <dgm:cxn modelId="{37061CEE-78E2-46E9-9A19-D73810D8F378}" type="presParOf" srcId="{53BDA7F2-ECAB-4251-B4BF-90E380F893D6}" destId="{08392051-3CDB-4AB7-AB7A-4417E421A9CB}" srcOrd="0" destOrd="0" presId="urn:microsoft.com/office/officeart/2005/8/layout/pyramid3"/>
    <dgm:cxn modelId="{A439CAEA-520A-4652-8818-42321E94C612}" type="presParOf" srcId="{53BDA7F2-ECAB-4251-B4BF-90E380F893D6}" destId="{C55F2571-D1AD-434A-8F8B-98ED293C333E}" srcOrd="1" destOrd="0" presId="urn:microsoft.com/office/officeart/2005/8/layout/pyramid3"/>
    <dgm:cxn modelId="{9CCBBCBC-863F-4712-A574-E7E2CD6B0366}" type="presParOf" srcId="{53BDA7F2-ECAB-4251-B4BF-90E380F893D6}" destId="{2C3ABA32-17CC-4931-8194-136ABF7C0F1E}" srcOrd="2" destOrd="0" presId="urn:microsoft.com/office/officeart/2005/8/layout/pyramid3"/>
    <dgm:cxn modelId="{BE004344-B615-46B8-B254-5FCB6FD26803}" type="presParOf" srcId="{53BDA7F2-ECAB-4251-B4BF-90E380F893D6}" destId="{7D178154-2C98-45CE-A5DE-3EB5B242ABCB}" srcOrd="3" destOrd="0" presId="urn:microsoft.com/office/officeart/2005/8/layout/pyramid3"/>
    <dgm:cxn modelId="{F1C79D8E-C624-4AC0-8112-D88194BF0B3F}" type="presParOf" srcId="{33A81930-63A9-42F8-8117-31D1A553FD4E}" destId="{3E8EA72C-F230-40F1-AEEA-3FD62477E133}" srcOrd="1" destOrd="0" presId="urn:microsoft.com/office/officeart/2005/8/layout/pyramid3"/>
    <dgm:cxn modelId="{6607A664-3300-4D66-B16A-AAC315D48B93}" type="presParOf" srcId="{3E8EA72C-F230-40F1-AEEA-3FD62477E133}" destId="{79964AB4-4819-4F36-BC8F-0CB0D47F8CF2}" srcOrd="0" destOrd="0" presId="urn:microsoft.com/office/officeart/2005/8/layout/pyramid3"/>
    <dgm:cxn modelId="{1F78980E-6555-4484-8BEF-8DD08D32026B}" type="presParOf" srcId="{3E8EA72C-F230-40F1-AEEA-3FD62477E133}" destId="{D6AA7B0C-8543-498C-94D1-72E350649A7F}" srcOrd="1" destOrd="0" presId="urn:microsoft.com/office/officeart/2005/8/layout/pyramid3"/>
    <dgm:cxn modelId="{EEEBF890-612C-44BB-99A0-9BD66A38CB04}" type="presParOf" srcId="{3E8EA72C-F230-40F1-AEEA-3FD62477E133}" destId="{1C66AF61-E666-4D5E-8845-57B5F6CB645D}" srcOrd="2" destOrd="0" presId="urn:microsoft.com/office/officeart/2005/8/layout/pyramid3"/>
    <dgm:cxn modelId="{B246A3A9-519C-45E3-BB41-683259D3B726}" type="presParOf" srcId="{3E8EA72C-F230-40F1-AEEA-3FD62477E133}" destId="{BE95597B-DDE9-407C-92C5-FA8447BFE44E}" srcOrd="3" destOrd="0" presId="urn:microsoft.com/office/officeart/2005/8/layout/pyramid3"/>
    <dgm:cxn modelId="{0116F88D-1F02-4A83-85E1-A4C3D57E26AE}" type="presParOf" srcId="{33A81930-63A9-42F8-8117-31D1A553FD4E}" destId="{9EFDB3F9-3BCF-4101-A44D-1529083E431F}" srcOrd="2" destOrd="0" presId="urn:microsoft.com/office/officeart/2005/8/layout/pyramid3"/>
    <dgm:cxn modelId="{04D3755A-50BB-40E3-B855-BC0D8931780D}" type="presParOf" srcId="{9EFDB3F9-3BCF-4101-A44D-1529083E431F}" destId="{CD469C19-4F2C-4095-8345-50B1AAB8FAA3}" srcOrd="0" destOrd="0" presId="urn:microsoft.com/office/officeart/2005/8/layout/pyramid3"/>
    <dgm:cxn modelId="{E1AC98AE-4A3F-423F-8F78-E4D17D4F9251}" type="presParOf" srcId="{9EFDB3F9-3BCF-4101-A44D-1529083E431F}" destId="{53A28EE2-4699-463F-A931-31C99F200484}" srcOrd="1" destOrd="0" presId="urn:microsoft.com/office/officeart/2005/8/layout/pyramid3"/>
    <dgm:cxn modelId="{A3EAD1C1-07BC-4F37-B048-A1F1582FF2D7}" type="presParOf" srcId="{9EFDB3F9-3BCF-4101-A44D-1529083E431F}" destId="{EF57F88A-1B17-4134-BBB4-9AA6290A9711}" srcOrd="2" destOrd="0" presId="urn:microsoft.com/office/officeart/2005/8/layout/pyramid3"/>
    <dgm:cxn modelId="{ECBCF87B-DC59-4224-9A27-5360A55FD798}" type="presParOf" srcId="{9EFDB3F9-3BCF-4101-A44D-1529083E431F}" destId="{60304CE0-27E5-4B9A-818A-F4570D89E592}" srcOrd="3" destOrd="0" presId="urn:microsoft.com/office/officeart/2005/8/layout/pyramid3"/>
  </dgm:cxnLst>
  <dgm:bg/>
  <dgm:whole/>
  <dgm:extLst>
    <a:ext uri="http://schemas.microsoft.com/office/drawing/2008/diagram">
      <dsp:dataModelExt xmlns:dsp="http://schemas.microsoft.com/office/drawing/2008/diagram" relId="rId4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8392051-3CDB-4AB7-AB7A-4417E421A9CB}">
      <dsp:nvSpPr>
        <dsp:cNvPr id="0" name=""/>
        <dsp:cNvSpPr/>
      </dsp:nvSpPr>
      <dsp:spPr>
        <a:xfrm>
          <a:off x="0" y="0"/>
          <a:ext cx="2680222" cy="1352651"/>
        </a:xfrm>
        <a:prstGeom prst="nonIsoscelesTrapezoid">
          <a:avLst>
            <a:gd name="adj1" fmla="val 0"/>
            <a:gd name="adj2" fmla="val 54733"/>
          </a:avLst>
        </a:prstGeom>
        <a:solidFill>
          <a:schemeClr val="lt1">
            <a:alpha val="90000"/>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247650" rIns="247650" bIns="247650" numCol="1" spcCol="1270" anchor="ctr" anchorCtr="0">
          <a:noAutofit/>
        </a:bodyPr>
        <a:lstStyle/>
        <a:p>
          <a:pPr marL="57150" lvl="1" indent="-57150" algn="l" defTabSz="444500">
            <a:lnSpc>
              <a:spcPct val="90000"/>
            </a:lnSpc>
            <a:spcBef>
              <a:spcPct val="0"/>
            </a:spcBef>
            <a:spcAft>
              <a:spcPts val="200"/>
            </a:spcAft>
            <a:buChar char="•"/>
          </a:pPr>
          <a:r>
            <a:rPr lang="en-US" sz="1000" kern="1200" dirty="0"/>
            <a:t>Describes two threshold issues associated with the regulation of sports broadcasting: the policy objective; and the mechanism to achieve it. </a:t>
          </a:r>
          <a:endParaRPr lang="en-AU" sz="1000" kern="1200" dirty="0"/>
        </a:p>
      </dsp:txBody>
      <dsp:txXfrm>
        <a:off x="0" y="0"/>
        <a:ext cx="1939879" cy="1352651"/>
      </dsp:txXfrm>
    </dsp:sp>
    <dsp:sp modelId="{2C3ABA32-17CC-4931-8194-136ABF7C0F1E}">
      <dsp:nvSpPr>
        <dsp:cNvPr id="0" name=""/>
        <dsp:cNvSpPr/>
      </dsp:nvSpPr>
      <dsp:spPr>
        <a:xfrm rot="10800000">
          <a:off x="1939879" y="0"/>
          <a:ext cx="4313600" cy="1352651"/>
        </a:xfrm>
        <a:prstGeom prst="trapezoid">
          <a:avLst>
            <a:gd name="adj" fmla="val 54733"/>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US" sz="1100" u="sng" kern="1200" dirty="0"/>
            <a:t>Chapter 4</a:t>
          </a:r>
          <a:r>
            <a:rPr lang="en-US" sz="1100" kern="1200" dirty="0"/>
            <a:t>: policy settings and considerations</a:t>
          </a:r>
          <a:endParaRPr lang="en-AU" sz="1100" kern="1200" dirty="0"/>
        </a:p>
      </dsp:txBody>
      <dsp:txXfrm rot="-10800000">
        <a:off x="2694759" y="0"/>
        <a:ext cx="2803840" cy="1352651"/>
      </dsp:txXfrm>
    </dsp:sp>
    <dsp:sp modelId="{79964AB4-4819-4F36-BC8F-0CB0D47F8CF2}">
      <dsp:nvSpPr>
        <dsp:cNvPr id="0" name=""/>
        <dsp:cNvSpPr/>
      </dsp:nvSpPr>
      <dsp:spPr>
        <a:xfrm>
          <a:off x="0" y="1352651"/>
          <a:ext cx="3417007" cy="1352651"/>
        </a:xfrm>
        <a:prstGeom prst="nonIsoscelesTrapezoid">
          <a:avLst>
            <a:gd name="adj1" fmla="val 0"/>
            <a:gd name="adj2" fmla="val 54733"/>
          </a:avLst>
        </a:prstGeom>
        <a:solidFill>
          <a:schemeClr val="lt1">
            <a:alpha val="90000"/>
            <a:hueOff val="0"/>
            <a:satOff val="0"/>
            <a:lumOff val="0"/>
            <a:alphaOff val="0"/>
          </a:schemeClr>
        </a:solidFill>
        <a:ln w="12700" cap="flat" cmpd="sng" algn="ctr">
          <a:solidFill>
            <a:schemeClr val="accent5">
              <a:hueOff val="2156341"/>
              <a:satOff val="-2354"/>
              <a:lumOff val="-500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247650" rIns="247650" bIns="247650" numCol="1" spcCol="1270" anchor="ctr" anchorCtr="0">
          <a:noAutofit/>
        </a:bodyPr>
        <a:lstStyle/>
        <a:p>
          <a:pPr marL="57150" lvl="1" indent="-57150" algn="l" defTabSz="444500">
            <a:lnSpc>
              <a:spcPct val="90000"/>
            </a:lnSpc>
            <a:spcBef>
              <a:spcPct val="0"/>
            </a:spcBef>
            <a:spcAft>
              <a:spcPct val="15000"/>
            </a:spcAft>
            <a:buChar char="•"/>
          </a:pPr>
          <a:r>
            <a:rPr lang="en-US" sz="1000" kern="1200" dirty="0"/>
            <a:t>Sets out issues associated with the scheme itself (and assumes that a scheme will continue to operate).</a:t>
          </a:r>
          <a:endParaRPr lang="en-AU" sz="1000" kern="1200" dirty="0"/>
        </a:p>
        <a:p>
          <a:pPr marL="57150" lvl="1" indent="-57150" algn="l" defTabSz="444500">
            <a:lnSpc>
              <a:spcPct val="90000"/>
            </a:lnSpc>
            <a:spcBef>
              <a:spcPct val="0"/>
            </a:spcBef>
            <a:spcAft>
              <a:spcPct val="15000"/>
            </a:spcAft>
            <a:buChar char="•"/>
          </a:pPr>
          <a:r>
            <a:rPr lang="en-US" sz="1000" kern="1200" dirty="0"/>
            <a:t>This includes issues of scope and the application of the scheme to media entities.</a:t>
          </a:r>
          <a:endParaRPr lang="en-AU" sz="1000" kern="1200" dirty="0"/>
        </a:p>
      </dsp:txBody>
      <dsp:txXfrm>
        <a:off x="0" y="1352651"/>
        <a:ext cx="2676664" cy="1352651"/>
      </dsp:txXfrm>
    </dsp:sp>
    <dsp:sp modelId="{1C66AF61-E666-4D5E-8845-57B5F6CB645D}">
      <dsp:nvSpPr>
        <dsp:cNvPr id="0" name=""/>
        <dsp:cNvSpPr/>
      </dsp:nvSpPr>
      <dsp:spPr>
        <a:xfrm rot="10800000">
          <a:off x="2676664" y="1352651"/>
          <a:ext cx="2840030" cy="1352651"/>
        </a:xfrm>
        <a:prstGeom prst="trapezoid">
          <a:avLst>
            <a:gd name="adj" fmla="val 54733"/>
          </a:avLst>
        </a:prstGeom>
        <a:solidFill>
          <a:schemeClr val="accent5">
            <a:hueOff val="2156341"/>
            <a:satOff val="-2354"/>
            <a:lumOff val="-500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US" sz="1100" u="sng" kern="1200" dirty="0"/>
            <a:t>Chapter 5</a:t>
          </a:r>
          <a:r>
            <a:rPr lang="en-US" sz="1100" kern="1200" dirty="0"/>
            <a:t>: the operation of the scheme</a:t>
          </a:r>
          <a:endParaRPr lang="en-AU" sz="1100" kern="1200" dirty="0"/>
        </a:p>
      </dsp:txBody>
      <dsp:txXfrm rot="-10800000">
        <a:off x="3173669" y="1352651"/>
        <a:ext cx="1846019" cy="1352651"/>
      </dsp:txXfrm>
    </dsp:sp>
    <dsp:sp modelId="{CD469C19-4F2C-4095-8345-50B1AAB8FAA3}">
      <dsp:nvSpPr>
        <dsp:cNvPr id="0" name=""/>
        <dsp:cNvSpPr/>
      </dsp:nvSpPr>
      <dsp:spPr>
        <a:xfrm>
          <a:off x="0" y="2705302"/>
          <a:ext cx="4039275" cy="1179363"/>
        </a:xfrm>
        <a:prstGeom prst="nonIsoscelesTrapezoid">
          <a:avLst>
            <a:gd name="adj1" fmla="val 0"/>
            <a:gd name="adj2" fmla="val 54733"/>
          </a:avLst>
        </a:prstGeom>
        <a:solidFill>
          <a:schemeClr val="lt1">
            <a:alpha val="90000"/>
            <a:hueOff val="0"/>
            <a:satOff val="0"/>
            <a:lumOff val="0"/>
            <a:alphaOff val="0"/>
          </a:schemeClr>
        </a:solidFill>
        <a:ln w="12700" cap="flat" cmpd="sng" algn="ctr">
          <a:solidFill>
            <a:schemeClr val="accent5">
              <a:hueOff val="4312681"/>
              <a:satOff val="-4709"/>
              <a:lumOff val="-1000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247650" rIns="247650" bIns="247650" numCol="1" spcCol="1270" anchor="ctr" anchorCtr="0">
          <a:noAutofit/>
        </a:bodyPr>
        <a:lstStyle/>
        <a:p>
          <a:pPr marL="57150" lvl="1" indent="-57150" algn="l" defTabSz="444500">
            <a:lnSpc>
              <a:spcPct val="90000"/>
            </a:lnSpc>
            <a:spcBef>
              <a:spcPct val="0"/>
            </a:spcBef>
            <a:spcAft>
              <a:spcPct val="15000"/>
            </a:spcAft>
            <a:buChar char="•"/>
          </a:pPr>
          <a:r>
            <a:rPr lang="en-US" sz="1000" kern="1200" dirty="0"/>
            <a:t>Sets out issues that arise at the most specific level: what sports and events should be on the list. </a:t>
          </a:r>
          <a:endParaRPr lang="en-AU" sz="1000" kern="1200" dirty="0"/>
        </a:p>
        <a:p>
          <a:pPr marL="57150" lvl="1" indent="-57150" algn="l" defTabSz="444500">
            <a:lnSpc>
              <a:spcPct val="90000"/>
            </a:lnSpc>
            <a:spcBef>
              <a:spcPct val="0"/>
            </a:spcBef>
            <a:spcAft>
              <a:spcPct val="15000"/>
            </a:spcAft>
            <a:buChar char="•"/>
          </a:pPr>
          <a:r>
            <a:rPr lang="en-US" sz="1000" kern="1200" dirty="0"/>
            <a:t>As above, this is based on the premise that a scheme is in place. </a:t>
          </a:r>
          <a:endParaRPr lang="en-AU" sz="1000" kern="1200" dirty="0"/>
        </a:p>
      </dsp:txBody>
      <dsp:txXfrm>
        <a:off x="0" y="2705302"/>
        <a:ext cx="3393778" cy="1179363"/>
      </dsp:txXfrm>
    </dsp:sp>
    <dsp:sp modelId="{EF57F88A-1B17-4134-BBB4-9AA6290A9711}">
      <dsp:nvSpPr>
        <dsp:cNvPr id="0" name=""/>
        <dsp:cNvSpPr/>
      </dsp:nvSpPr>
      <dsp:spPr>
        <a:xfrm rot="10800000">
          <a:off x="3393778" y="2697132"/>
          <a:ext cx="1405803" cy="1179363"/>
        </a:xfrm>
        <a:prstGeom prst="trapezoid">
          <a:avLst>
            <a:gd name="adj" fmla="val 54733"/>
          </a:avLst>
        </a:prstGeom>
        <a:solidFill>
          <a:schemeClr val="accent5">
            <a:hueOff val="4312681"/>
            <a:satOff val="-4709"/>
            <a:lumOff val="-1000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252000" rIns="13970" bIns="13970" numCol="1" spcCol="1270" anchor="t" anchorCtr="0">
          <a:noAutofit/>
        </a:bodyPr>
        <a:lstStyle/>
        <a:p>
          <a:pPr marL="0" lvl="0" indent="0" algn="ctr" defTabSz="488950">
            <a:lnSpc>
              <a:spcPct val="90000"/>
            </a:lnSpc>
            <a:spcBef>
              <a:spcPct val="0"/>
            </a:spcBef>
            <a:spcAft>
              <a:spcPct val="35000"/>
            </a:spcAft>
            <a:buNone/>
          </a:pPr>
          <a:r>
            <a:rPr lang="en-US" sz="1100" u="sng" kern="1200" dirty="0"/>
            <a:t>Chapter 6</a:t>
          </a:r>
          <a:r>
            <a:rPr lang="en-US" sz="1100" kern="1200" dirty="0"/>
            <a:t>: the composition of the  anti-siphoning list</a:t>
          </a:r>
          <a:endParaRPr lang="en-AU" sz="1100" kern="1200" dirty="0"/>
        </a:p>
      </dsp:txBody>
      <dsp:txXfrm rot="-10800000">
        <a:off x="3393778" y="2697132"/>
        <a:ext cx="1405803" cy="1179363"/>
      </dsp:txXfrm>
    </dsp:sp>
  </dsp:spTree>
</dsp:drawing>
</file>

<file path=word/diagrams/layout1.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A1683D5419049179889471D6398D463"/>
        <w:category>
          <w:name w:val="General"/>
          <w:gallery w:val="placeholder"/>
        </w:category>
        <w:types>
          <w:type w:val="bbPlcHdr"/>
        </w:types>
        <w:behaviors>
          <w:behavior w:val="content"/>
        </w:behaviors>
        <w:guid w:val="{22AFDA36-BEA3-44D0-B45C-03EEAC17F772}"/>
      </w:docPartPr>
      <w:docPartBody>
        <w:p w:rsidR="00901258" w:rsidRDefault="00901258">
          <w:pPr>
            <w:pStyle w:val="7A1683D5419049179889471D6398D463"/>
          </w:pPr>
          <w:r w:rsidRPr="00EC51DD">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258"/>
    <w:rsid w:val="00033959"/>
    <w:rsid w:val="000F443E"/>
    <w:rsid w:val="00104BF4"/>
    <w:rsid w:val="00130DD1"/>
    <w:rsid w:val="00142A41"/>
    <w:rsid w:val="001934EB"/>
    <w:rsid w:val="001E0FC6"/>
    <w:rsid w:val="00206A1C"/>
    <w:rsid w:val="00234CD4"/>
    <w:rsid w:val="00261462"/>
    <w:rsid w:val="00296C19"/>
    <w:rsid w:val="002A28BE"/>
    <w:rsid w:val="002C2F0A"/>
    <w:rsid w:val="002C7B52"/>
    <w:rsid w:val="00312030"/>
    <w:rsid w:val="00385385"/>
    <w:rsid w:val="003A597C"/>
    <w:rsid w:val="003C7299"/>
    <w:rsid w:val="00401026"/>
    <w:rsid w:val="004C545F"/>
    <w:rsid w:val="00517891"/>
    <w:rsid w:val="00541E6D"/>
    <w:rsid w:val="0055194F"/>
    <w:rsid w:val="00561C6E"/>
    <w:rsid w:val="00563220"/>
    <w:rsid w:val="005A2CD8"/>
    <w:rsid w:val="00644592"/>
    <w:rsid w:val="006629E3"/>
    <w:rsid w:val="00677B5A"/>
    <w:rsid w:val="00682BD8"/>
    <w:rsid w:val="006F15BD"/>
    <w:rsid w:val="006F634A"/>
    <w:rsid w:val="00740F31"/>
    <w:rsid w:val="007A2FE4"/>
    <w:rsid w:val="007D100B"/>
    <w:rsid w:val="007D6414"/>
    <w:rsid w:val="007F56B9"/>
    <w:rsid w:val="008552F0"/>
    <w:rsid w:val="0087212A"/>
    <w:rsid w:val="008923EB"/>
    <w:rsid w:val="008A0818"/>
    <w:rsid w:val="008C2888"/>
    <w:rsid w:val="008E01C2"/>
    <w:rsid w:val="008E4A0A"/>
    <w:rsid w:val="00901258"/>
    <w:rsid w:val="00921D27"/>
    <w:rsid w:val="0093295C"/>
    <w:rsid w:val="0096197D"/>
    <w:rsid w:val="0099663A"/>
    <w:rsid w:val="009E47F8"/>
    <w:rsid w:val="009F3492"/>
    <w:rsid w:val="00A0430A"/>
    <w:rsid w:val="00A41E32"/>
    <w:rsid w:val="00A6463E"/>
    <w:rsid w:val="00A84D56"/>
    <w:rsid w:val="00A915AE"/>
    <w:rsid w:val="00A92909"/>
    <w:rsid w:val="00A95976"/>
    <w:rsid w:val="00AF0E22"/>
    <w:rsid w:val="00B03742"/>
    <w:rsid w:val="00B268B8"/>
    <w:rsid w:val="00B55506"/>
    <w:rsid w:val="00C20B8C"/>
    <w:rsid w:val="00C91DF4"/>
    <w:rsid w:val="00C96D02"/>
    <w:rsid w:val="00CC465C"/>
    <w:rsid w:val="00CD58F0"/>
    <w:rsid w:val="00CE1DE5"/>
    <w:rsid w:val="00CF020A"/>
    <w:rsid w:val="00D303D3"/>
    <w:rsid w:val="00D50AFB"/>
    <w:rsid w:val="00D85E29"/>
    <w:rsid w:val="00DE37EE"/>
    <w:rsid w:val="00DF30F3"/>
    <w:rsid w:val="00E6053E"/>
    <w:rsid w:val="00E646D6"/>
    <w:rsid w:val="00EA212C"/>
    <w:rsid w:val="00F13CE7"/>
    <w:rsid w:val="00FF23EB"/>
    <w:rsid w:val="00FF26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AB7F800FC48464D8B145EA65AA936BE">
    <w:name w:val="FAB7F800FC48464D8B145EA65AA936BE"/>
  </w:style>
  <w:style w:type="paragraph" w:customStyle="1" w:styleId="7A1683D5419049179889471D6398D463">
    <w:name w:val="7A1683D5419049179889471D6398D4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Custom 1">
      <a:dk1>
        <a:srgbClr val="000000"/>
      </a:dk1>
      <a:lt1>
        <a:srgbClr val="FFFFFF"/>
      </a:lt1>
      <a:dk2>
        <a:srgbClr val="081E3E"/>
      </a:dk2>
      <a:lt2>
        <a:srgbClr val="E7E7E7"/>
      </a:lt2>
      <a:accent1>
        <a:srgbClr val="081E3E"/>
      </a:accent1>
      <a:accent2>
        <a:srgbClr val="008089"/>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2022-10-05T00:00:00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65fcc6ef396426b9c231bd6b3bc54de xmlns="4597da67-68a3-4e9d-8803-ba3e1787ab6c">
      <Terms xmlns="http://schemas.microsoft.com/office/infopath/2007/PartnerControls"/>
    </e65fcc6ef396426b9c231bd6b3bc54de>
    <TaxCatchAll xmlns="4597da67-68a3-4e9d-8803-ba3e1787ab6c"/>
    <me786d0e3c9949dc83d6a9826d3f7afb xmlns="4597da67-68a3-4e9d-8803-ba3e1787ab6c">
      <Terms xmlns="http://schemas.microsoft.com/office/infopath/2007/PartnerControls"/>
    </me786d0e3c9949dc83d6a9826d3f7afb>
    <TrimUDF_String_39 xmlns="4597da67-68a3-4e9d-8803-ba3e1787ab6c" xsi:nil="true"/>
    <trimRootDocACLCanUpdateDocument xmlns="4597da67-68a3-4e9d-8803-ba3e1787ab6c" xsi:nil="true"/>
    <l30152c64bc5409cb0d6af5fc7998329 xmlns="4597da67-68a3-4e9d-8803-ba3e1787ab6c">
      <Terms xmlns="http://schemas.microsoft.com/office/infopath/2007/PartnerControls"/>
    </l30152c64bc5409cb0d6af5fc7998329>
    <TrimUDF_String_40 xmlns="4597da67-68a3-4e9d-8803-ba3e1787ab6c" xsi:nil="true"/>
    <dd9c7627a75f4720a6ccce58a35e4d75 xmlns="4597da67-68a3-4e9d-8803-ba3e1787ab6c">
      <Terms xmlns="http://schemas.microsoft.com/office/infopath/2007/PartnerControls"/>
    </dd9c7627a75f4720a6ccce58a35e4d75>
    <hab31d4ae2264d5c8e77fd86c07e7635 xmlns="4597da67-68a3-4e9d-8803-ba3e1787ab6c">
      <Terms xmlns="http://schemas.microsoft.com/office/infopath/2007/PartnerControls"/>
    </hab31d4ae2264d5c8e77fd86c07e7635>
    <trimRootDocSecurityCaveats xmlns="4597da67-68a3-4e9d-8803-ba3e1787ab6c"/>
    <trimRootDocACLCanModifyAccess xmlns="4597da67-68a3-4e9d-8803-ba3e1787ab6c" xsi:nil="true"/>
    <e74c999a0f514bafbaad1ae53c56eac2 xmlns="4597da67-68a3-4e9d-8803-ba3e1787ab6c">
      <Terms xmlns="http://schemas.microsoft.com/office/infopath/2007/PartnerControls"/>
    </e74c999a0f514bafbaad1ae53c56eac2>
    <l7f7762656034748af4098221ba10b64 xmlns="4597da67-68a3-4e9d-8803-ba3e1787ab6c">
      <Terms xmlns="http://schemas.microsoft.com/office/infopath/2007/PartnerControls"/>
    </l7f7762656034748af4098221ba10b64>
    <a26f7cb41fae41ebb6c8e377b7c30d71 xmlns="4597da67-68a3-4e9d-8803-ba3e1787ab6c">
      <Terms xmlns="http://schemas.microsoft.com/office/infopath/2007/PartnerControls"/>
    </a26f7cb41fae41ebb6c8e377b7c30d71>
    <trimRootDocURI xmlns="4597da67-68a3-4e9d-8803-ba3e1787ab6c" xsi:nil="true"/>
    <trimRootDocNotes xmlns="4597da67-68a3-4e9d-8803-ba3e1787ab6c" xsi:nil="true"/>
    <TrimUDF_String_696 xmlns="4597da67-68a3-4e9d-8803-ba3e1787ab6c" xsi:nil="true"/>
    <trimRootDocACLCanContributeDocuments xmlns="4597da67-68a3-4e9d-8803-ba3e1787ab6c" xsi:nil="true"/>
    <TrimUDF_Text_698 xmlns="4597da67-68a3-4e9d-8803-ba3e1787ab6c" xsi:nil="true"/>
    <ie56bdfdc4a44ef997c05b4ed8c67594 xmlns="4597da67-68a3-4e9d-8803-ba3e1787ab6c">
      <Terms xmlns="http://schemas.microsoft.com/office/infopath/2007/PartnerControls"/>
    </ie56bdfdc4a44ef997c05b4ed8c67594>
    <trimRootDocParentURI xmlns="4597da67-68a3-4e9d-8803-ba3e1787ab6c" xsi:nil="true"/>
    <trimRootDocACLCanUpdateMetadata xmlns="4597da67-68a3-4e9d-8803-ba3e1787ab6c" xsi:nil="true"/>
    <trimRootDocSecurityLevel xmlns="4597da67-68a3-4e9d-8803-ba3e1787ab6c" xsi:nil="true"/>
    <trimRootDocACLCanViewMetadata xmlns="4597da67-68a3-4e9d-8803-ba3e1787ab6c" xsi:nil="true"/>
    <TrimUDF_Text_706 xmlns="4597da67-68a3-4e9d-8803-ba3e1787ab6c" xsi:nil="true"/>
    <trimRootDocACLCanViewDocument xmlns="4597da67-68a3-4e9d-8803-ba3e1787ab6c" xsi:nil="true"/>
    <c1aa94c1bcce43cc9138ccb9c7bf6e69 xmlns="4597da67-68a3-4e9d-8803-ba3e1787ab6c">
      <Terms xmlns="http://schemas.microsoft.com/office/infopath/2007/PartnerControls"/>
    </c1aa94c1bcce43cc9138ccb9c7bf6e69>
  </documentManagement>
</p:properties>
</file>

<file path=customXml/item4.xml><?xml version="1.0" encoding="utf-8"?>
<ct:contentTypeSchema xmlns:ct="http://schemas.microsoft.com/office/2006/metadata/contentType" xmlns:ma="http://schemas.microsoft.com/office/2006/metadata/properties/metaAttributes" ct:_="" ma:_="" ma:contentTypeName="DEPT DOCUMENT" ma:contentTypeID="0x010100407620DDFF47524F86BCF55EDD3946430100B47B81A51098DC4DBD2AECF7E24A6CD0" ma:contentTypeVersion="18" ma:contentTypeDescription="106" ma:contentTypeScope="" ma:versionID="8aaf5480a139cec055a11c72e822b9cc">
  <xsd:schema xmlns:xsd="http://www.w3.org/2001/XMLSchema" xmlns:xs="http://www.w3.org/2001/XMLSchema" xmlns:p="http://schemas.microsoft.com/office/2006/metadata/properties" xmlns:ns2="4597da67-68a3-4e9d-8803-ba3e1787ab6c" targetNamespace="http://schemas.microsoft.com/office/2006/metadata/properties" ma:root="true" ma:fieldsID="3816ed31ea873254db1cfaf10d2d99e2" ns2:_="">
    <xsd:import namespace="4597da67-68a3-4e9d-8803-ba3e1787ab6c"/>
    <xsd:element name="properties">
      <xsd:complexType>
        <xsd:sequence>
          <xsd:element name="documentManagement">
            <xsd:complexType>
              <xsd:all>
                <xsd:element ref="ns2:trimRootDocURI" minOccurs="0"/>
                <xsd:element ref="ns2:trimRootDocParentURI" minOccurs="0"/>
                <xsd:element ref="ns2:trimRootDocSecurityLevel" minOccurs="0"/>
                <xsd:element ref="ns2:trimRootDocSecurityCaveats" minOccurs="0"/>
                <xsd:element ref="ns2:trimRootDocACLCanViewDocument" minOccurs="0"/>
                <xsd:element ref="ns2:trimRootDocACLCanViewMetadata" minOccurs="0"/>
                <xsd:element ref="ns2:trimRootDocACLCanUpdateDocument" minOccurs="0"/>
                <xsd:element ref="ns2:trimRootDocACLCanUpdateMetadata" minOccurs="0"/>
                <xsd:element ref="ns2:trimRootDocACLCanModifyAccess" minOccurs="0"/>
                <xsd:element ref="ns2:trimRootDocNotes" minOccurs="0"/>
                <xsd:element ref="ns2:hab31d4ae2264d5c8e77fd86c07e7635" minOccurs="0"/>
                <xsd:element ref="ns2:c1aa94c1bcce43cc9138ccb9c7bf6e69" minOccurs="0"/>
                <xsd:element ref="ns2:e65fcc6ef396426b9c231bd6b3bc54de" minOccurs="0"/>
                <xsd:element ref="ns2:dd9c7627a75f4720a6ccce58a35e4d75" minOccurs="0"/>
                <xsd:element ref="ns2:trimRootDocACLCanContributeDocuments" minOccurs="0"/>
                <xsd:element ref="ns2:l30152c64bc5409cb0d6af5fc7998329" minOccurs="0"/>
                <xsd:element ref="ns2:TaxCatchAll" minOccurs="0"/>
                <xsd:element ref="ns2:ie56bdfdc4a44ef997c05b4ed8c67594" minOccurs="0"/>
                <xsd:element ref="ns2:TaxCatchAllLabel" minOccurs="0"/>
                <xsd:element ref="ns2:me786d0e3c9949dc83d6a9826d3f7afb" minOccurs="0"/>
                <xsd:element ref="ns2:e74c999a0f514bafbaad1ae53c56eac2" minOccurs="0"/>
                <xsd:element ref="ns2:l7f7762656034748af4098221ba10b64" minOccurs="0"/>
                <xsd:element ref="ns2:a26f7cb41fae41ebb6c8e377b7c30d71" minOccurs="0"/>
                <xsd:element ref="ns2:TrimUDF_String_39" minOccurs="0"/>
                <xsd:element ref="ns2:TrimUDF_String_40" minOccurs="0"/>
                <xsd:element ref="ns2:TrimUDF_String_696" minOccurs="0"/>
                <xsd:element ref="ns2:TrimUDF_Text_698" minOccurs="0"/>
                <xsd:element ref="ns2:TrimUDF_Text_70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7da67-68a3-4e9d-8803-ba3e1787ab6c" elementFormDefault="qualified">
    <xsd:import namespace="http://schemas.microsoft.com/office/2006/documentManagement/types"/>
    <xsd:import namespace="http://schemas.microsoft.com/office/infopath/2007/PartnerControls"/>
    <xsd:element name="trimRootDocURI" ma:index="2" nillable="true" ma:displayName="URI" ma:hidden="true" ma:internalName="trimRootDocURI" ma:readOnly="false">
      <xsd:simpleType>
        <xsd:restriction base="dms:Text">
          <xsd:maxLength value="255"/>
        </xsd:restriction>
      </xsd:simpleType>
    </xsd:element>
    <xsd:element name="trimRootDocParentURI" ma:index="3" nillable="true" ma:displayName="Parent URI" ma:internalName="trimRootDocParentURI" ma:readOnly="false">
      <xsd:simpleType>
        <xsd:restriction base="dms:Number"/>
      </xsd:simpleType>
    </xsd:element>
    <xsd:element name="trimRootDocSecurityLevel" ma:index="4" nillable="true" ma:displayName="Security Level" ma:default="For Official Use Only" ma:format="Dropdown" ma:internalName="trimRootDocSecurityLevel" ma:readOnly="false">
      <xsd:simpleType>
        <xsd:restriction base="dms:Choice">
          <xsd:enumeration value="For Official Use Only"/>
          <xsd:enumeration value="Protected"/>
          <xsd:enumeration value="Confidential"/>
          <xsd:enumeration value="Secret"/>
          <xsd:enumeration value="Top Secret"/>
        </xsd:restriction>
      </xsd:simpleType>
    </xsd:element>
    <xsd:element name="trimRootDocSecurityCaveats" ma:index="5" nillable="true" ma:displayName="Security Caveats" ma:default="Departmental Staff" ma:internalName="trimRootDocSecurityCaveats" ma:readOnly="false">
      <xsd:complexType>
        <xsd:complexContent>
          <xsd:extension base="dms:MultiChoice">
            <xsd:sequence>
              <xsd:element name="Value" maxOccurs="unbounded" minOccurs="0" nillable="true">
                <xsd:simpleType>
                  <xsd:restriction base="dms:Choice">
                    <xsd:enumeration value="Commercial"/>
                    <xsd:enumeration value="Departmental Staff"/>
                    <xsd:enumeration value="For-Official-Use-Only"/>
                    <xsd:enumeration value="For-Official-Use-Only: Commercial"/>
                    <xsd:enumeration value="For-Official-Use-Only: Legal"/>
                    <xsd:enumeration value="For-Official-Use-Only: Staff"/>
                    <xsd:enumeration value="Sensitive"/>
                    <xsd:enumeration value="Sensitive: Cabinet"/>
                    <xsd:enumeration value="Sensitive: Legal"/>
                    <xsd:enumeration value="Sensitive: Personal"/>
                    <xsd:enumeration value="Admin"/>
                  </xsd:restriction>
                </xsd:simpleType>
              </xsd:element>
            </xsd:sequence>
          </xsd:extension>
        </xsd:complexContent>
      </xsd:complexType>
    </xsd:element>
    <xsd:element name="trimRootDocACLCanViewDocument" ma:index="6" nillable="true" ma:displayName="Can View Document" ma:format="RadioButtons" ma:internalName="trimRootDocACLCanViewDocument" ma:readOnly="false">
      <xsd:simpleType>
        <xsd:restriction base="dms:Choice">
          <xsd:enumeration value="Inherit"/>
          <xsd:enumeration value="Everyone"/>
          <xsd:enumeration value="Custom"/>
        </xsd:restriction>
      </xsd:simpleType>
    </xsd:element>
    <xsd:element name="trimRootDocACLCanViewMetadata" ma:index="8" nillable="true" ma:displayName="Can View Metadata" ma:format="RadioButtons" ma:internalName="trimRootDocACLCanViewMetadata" ma:readOnly="false">
      <xsd:simpleType>
        <xsd:restriction base="dms:Choice">
          <xsd:enumeration value="Inherit"/>
          <xsd:enumeration value="Everyone"/>
          <xsd:enumeration value="Custom"/>
        </xsd:restriction>
      </xsd:simpleType>
    </xsd:element>
    <xsd:element name="trimRootDocACLCanUpdateDocument" ma:index="10" nillable="true" ma:displayName="Can Update Document" ma:format="RadioButtons" ma:internalName="trimRootDocACLCanUpdateDocument" ma:readOnly="false">
      <xsd:simpleType>
        <xsd:restriction base="dms:Choice">
          <xsd:enumeration value="Inherit"/>
          <xsd:enumeration value="Everyone"/>
          <xsd:enumeration value="Custom"/>
        </xsd:restriction>
      </xsd:simpleType>
    </xsd:element>
    <xsd:element name="trimRootDocACLCanUpdateMetadata" ma:index="12" nillable="true" ma:displayName="Can Update Metadata" ma:format="RadioButtons" ma:internalName="trimRootDocACLCanUpdateMetadata" ma:readOnly="false">
      <xsd:simpleType>
        <xsd:restriction base="dms:Choice">
          <xsd:enumeration value="Inherit"/>
          <xsd:enumeration value="Everyone"/>
          <xsd:enumeration value="Custom"/>
        </xsd:restriction>
      </xsd:simpleType>
    </xsd:element>
    <xsd:element name="trimRootDocACLCanModifyAccess" ma:index="14" nillable="true" ma:displayName="Can Modify Access" ma:format="RadioButtons" ma:internalName="trimRootDocACLCanModifyAccess" ma:readOnly="false">
      <xsd:simpleType>
        <xsd:restriction base="dms:Choice">
          <xsd:enumeration value="Inherit"/>
          <xsd:enumeration value="Everyone"/>
          <xsd:enumeration value="Custom"/>
        </xsd:restriction>
      </xsd:simpleType>
    </xsd:element>
    <xsd:element name="trimRootDocNotes" ma:index="16" nillable="true" ma:displayName="Notes" ma:internalName="trimRootDocNotes" ma:readOnly="false">
      <xsd:simpleType>
        <xsd:restriction base="dms:Note"/>
      </xsd:simpleType>
    </xsd:element>
    <xsd:element name="hab31d4ae2264d5c8e77fd86c07e7635" ma:index="18" nillable="true" ma:taxonomy="true" ma:internalName="hab31d4ae2264d5c8e77fd86c07e7635" ma:taxonomyFieldName="trimRootDocACLCanViewMetadata_List" ma:displayName="Can View Metadata List" ma:readOnly="false" ma:fieldId="{1ab31d4a-e226-4d5c-8e77-fd86c07e7635}"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c1aa94c1bcce43cc9138ccb9c7bf6e69" ma:index="21" nillable="true" ma:taxonomy="true" ma:internalName="c1aa94c1bcce43cc9138ccb9c7bf6e69" ma:taxonomyFieldName="trimRootDocACLCanUpdateDocument_List" ma:displayName="Can Update Document List" ma:readOnly="false" ma:fieldId="{c1aa94c1-bcce-43cc-9138-ccb9c7bf6e69}"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e65fcc6ef396426b9c231bd6b3bc54de" ma:index="24" nillable="true" ma:taxonomy="true" ma:internalName="e65fcc6ef396426b9c231bd6b3bc54de" ma:taxonomyFieldName="trimRootDocACLCanUpdateMetadata_List" ma:displayName="Can Update Metadata List" ma:readOnly="false" ma:fieldId="{e65fcc6e-f396-426b-9c23-1bd6b3bc54de}"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dd9c7627a75f4720a6ccce58a35e4d75" ma:index="25" nillable="true" ma:taxonomy="true" ma:internalName="dd9c7627a75f4720a6ccce58a35e4d75" ma:taxonomyFieldName="trimRootDocACLCanViewDocument_List" ma:displayName="Can View Document List" ma:readOnly="false" ma:fieldId="{dd9c7627-a75f-4720-a6cc-ce58a35e4d75}"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trimRootDocACLCanContributeDocuments" ma:index="26" nillable="true" ma:displayName="Can Contribute Content" ma:format="RadioButtons" ma:hidden="true" ma:internalName="trimRootDocACLCanContributeDocuments" ma:readOnly="false">
      <xsd:simpleType>
        <xsd:restriction base="dms:Choice">
          <xsd:enumeration value="Inherit"/>
          <xsd:enumeration value="Everyone"/>
          <xsd:enumeration value="Custom"/>
        </xsd:restriction>
      </xsd:simpleType>
    </xsd:element>
    <xsd:element name="l30152c64bc5409cb0d6af5fc7998329" ma:index="27" nillable="true" ma:taxonomy="true" ma:internalName="l30152c64bc5409cb0d6af5fc7998329" ma:taxonomyFieldName="trimRootDocACLCanContributeDocuments_List" ma:displayName="Can Contribute Content List" ma:readOnly="false" ma:default="" ma:fieldId="{530152c6-4bc5-409c-b0d6-af5fc7998329}"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TaxCatchAll" ma:index="29" nillable="true" ma:displayName="Taxonomy Catch All Column" ma:hidden="true" ma:list="{e1313e33-0c45-43da-8861-564a4ba3a667}" ma:internalName="TaxCatchAll" ma:showField="CatchAllData" ma:web="4597da67-68a3-4e9d-8803-ba3e1787ab6c">
      <xsd:complexType>
        <xsd:complexContent>
          <xsd:extension base="dms:MultiChoiceLookup">
            <xsd:sequence>
              <xsd:element name="Value" type="dms:Lookup" maxOccurs="unbounded" minOccurs="0" nillable="true"/>
            </xsd:sequence>
          </xsd:extension>
        </xsd:complexContent>
      </xsd:complexType>
    </xsd:element>
    <xsd:element name="ie56bdfdc4a44ef997c05b4ed8c67594" ma:index="30" nillable="true" ma:taxonomy="true" ma:internalName="ie56bdfdc4a44ef997c05b4ed8c67594" ma:taxonomyFieldName="trimRootDocACLCanModifyAccess_List" ma:displayName="Can Modify Access List" ma:readOnly="false" ma:fieldId="{2e56bdfd-c4a4-4ef9-97c0-5b4ed8c67594}"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TaxCatchAllLabel" ma:index="32" nillable="true" ma:displayName="Taxonomy Catch All Column1" ma:hidden="true" ma:list="{e1313e33-0c45-43da-8861-564a4ba3a667}" ma:internalName="TaxCatchAllLabel" ma:readOnly="true" ma:showField="CatchAllDataLabel" ma:web="4597da67-68a3-4e9d-8803-ba3e1787ab6c">
      <xsd:complexType>
        <xsd:complexContent>
          <xsd:extension base="dms:MultiChoiceLookup">
            <xsd:sequence>
              <xsd:element name="Value" type="dms:Lookup" maxOccurs="unbounded" minOccurs="0" nillable="true"/>
            </xsd:sequence>
          </xsd:extension>
        </xsd:complexContent>
      </xsd:complexType>
    </xsd:element>
    <xsd:element name="me786d0e3c9949dc83d6a9826d3f7afb" ma:index="33" nillable="true" ma:taxonomy="true" ma:internalName="me786d0e3c9949dc83d6a9826d3f7afb" ma:taxonomyFieldName="trimRootDocOwnerLocation" ma:displayName="Owner" ma:readOnly="false" ma:fieldId="{6e786d0e-3c99-49dc-83d6-a9826d3f7afb}"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e74c999a0f514bafbaad1ae53c56eac2" ma:index="35" nillable="true" ma:taxonomy="true" ma:internalName="e74c999a0f514bafbaad1ae53c56eac2" ma:taxonomyFieldName="trimRootDocOtherContactLocation" ma:displayName="Other Contact" ma:readOnly="false" ma:default="" ma:fieldId="{e74c999a-0f51-4baf-baad-1ae53c56eac2}"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l7f7762656034748af4098221ba10b64" ma:index="37" nillable="true" ma:taxonomy="true" ma:internalName="l7f7762656034748af4098221ba10b64" ma:taxonomyFieldName="trimRootDocAssigneeLocation" ma:displayName="Assignee" ma:readOnly="false" ma:default="" ma:fieldId="{57f77626-5603-4748-af40-98221ba10b64}"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a26f7cb41fae41ebb6c8e377b7c30d71" ma:index="39" nillable="true" ma:taxonomy="true" ma:internalName="a26f7cb41fae41ebb6c8e377b7c30d71" ma:taxonomyFieldName="trimRootDocClassification" ma:displayName="Classification" ma:readOnly="false" ma:default="" ma:fieldId="{a26f7cb4-1fae-41eb-b6c8-e377b7c30d71}" ma:sspId="2f9937d8-ded5-4646-b9c0-07a4c210d204" ma:termSetId="f9a750e0-e20a-43c2-89a6-4c381f79f1c1" ma:anchorId="00000000-0000-0000-0000-000000000000" ma:open="false" ma:isKeyword="false">
      <xsd:complexType>
        <xsd:sequence>
          <xsd:element ref="pc:Terms" minOccurs="0" maxOccurs="1"/>
        </xsd:sequence>
      </xsd:complexType>
    </xsd:element>
    <xsd:element name="TrimUDF_String_39" ma:index="41" nillable="true" ma:displayName="Document Type" ma:format="Dropdown" ma:hidden="true" ma:internalName="TrimUDF_String_39" ma:readOnly="false">
      <xsd:simpleType>
        <xsd:restriction base="dms:Choice">
          <xsd:enumeration value="COMMUNITY RELATIONS"/>
          <xsd:enumeration value="EQUIPMENT, STORES AND VECHICLES"/>
          <xsd:enumeration value="FINANCIAL MANAGEMENT"/>
          <xsd:enumeration value="GOVERNMENT AND IT &amp; T"/>
          <xsd:enumeration value="GOVERNMENT RELATIONS"/>
          <xsd:enumeration value="INDUSTRY DEVELOPMENT"/>
          <xsd:enumeration value="INFORMATION MANAGEMENT"/>
          <xsd:enumeration value="INFORMATION SYSTEMS"/>
          <xsd:enumeration value="LEGAL SERVICES"/>
          <xsd:enumeration value="PROPERTY MANAGEMENT"/>
          <xsd:enumeration value="RESEARCH AND STATISTICS"/>
          <xsd:enumeration value="STRATEGIC MANAGEMENT"/>
        </xsd:restriction>
      </xsd:simpleType>
    </xsd:element>
    <xsd:element name="TrimUDF_String_40" ma:index="42" nillable="true" ma:displayName="Classification 2" ma:format="Dropdown" ma:hidden="true" ma:internalName="TrimUDF_String_40" ma:readOnly="false">
      <xsd:simpleType>
        <xsd:restriction base="dms:Choice">
          <xsd:enumeration value="ACCESS AND EQUITY"/>
          <xsd:enumeration value="ACQUISITION AND DISPOSAL"/>
          <xsd:enumeration value="ASSET MANAGEMENT"/>
          <xsd:enumeration value="AUDITS"/>
          <xsd:enumeration value="BUDGETING"/>
          <xsd:enumeration value="BUSINESS IMPROVEMENT"/>
          <xsd:enumeration value="INTERGOVERNMENT LIAISON"/>
          <xsd:enumeration value="LEASING"/>
          <xsd:enumeration value="LEGAL ADVICE"/>
          <xsd:enumeration value="MAINTENANCE"/>
          <xsd:enumeration value="MEDIA RELATIONS"/>
          <xsd:enumeration value="PRIVACY"/>
          <xsd:enumeration value="PROJECTS"/>
          <xsd:enumeration value="PUBLIC REACTION"/>
          <xsd:enumeration value="REVIEWS"/>
          <xsd:enumeration value="RISK MANAGEMENT"/>
          <xsd:enumeration value="SECURITY"/>
          <xsd:enumeration value="STATISTICS"/>
        </xsd:restriction>
      </xsd:simpleType>
    </xsd:element>
    <xsd:element name="TrimUDF_String_696" ma:index="43" nillable="true" ma:displayName="Delete" ma:format="Dropdown" ma:hidden="true" ma:internalName="TrimUDF_String_696" ma:readOnly="false">
      <xsd:simpleType>
        <xsd:restriction base="dms:Choice">
          <xsd:enumeration value="Copy"/>
          <xsd:enumeration value="Draft"/>
          <xsd:enumeration value="Personal"/>
          <xsd:enumeration value="Published"/>
          <xsd:enumeration value="Transitory"/>
          <xsd:enumeration value="Working Paper"/>
        </xsd:restriction>
      </xsd:simpleType>
    </xsd:element>
    <xsd:element name="TrimUDF_Text_698" ma:index="44" nillable="true" ma:displayName="IMS Display" ma:hidden="true" ma:internalName="TrimUDF_Text_698" ma:readOnly="false">
      <xsd:simpleType>
        <xsd:restriction base="dms:Note"/>
      </xsd:simpleType>
    </xsd:element>
    <xsd:element name="TrimUDF_Text_706" ma:index="45" nillable="true" ma:displayName="Published" ma:hidden="true" ma:internalName="TrimUDF_Text_706"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6C1C0AC-1B69-4AC2-B122-8D6A15E67789}">
  <ds:schemaRefs>
    <ds:schemaRef ds:uri="http://schemas.microsoft.com/sharepoint/v3/contenttype/forms"/>
  </ds:schemaRefs>
</ds:datastoreItem>
</file>

<file path=customXml/itemProps3.xml><?xml version="1.0" encoding="utf-8"?>
<ds:datastoreItem xmlns:ds="http://schemas.openxmlformats.org/officeDocument/2006/customXml" ds:itemID="{285DB0BE-E7AF-4B3D-81E8-4CFC5485EABE}">
  <ds:schemaRef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purl.org/dc/terms/"/>
    <ds:schemaRef ds:uri="http://schemas.microsoft.com/office/2006/documentManagement/types"/>
    <ds:schemaRef ds:uri="4597da67-68a3-4e9d-8803-ba3e1787ab6c"/>
    <ds:schemaRef ds:uri="http://www.w3.org/XML/1998/namespace"/>
    <ds:schemaRef ds:uri="http://purl.org/dc/dcmitype/"/>
  </ds:schemaRefs>
</ds:datastoreItem>
</file>

<file path=customXml/itemProps4.xml><?xml version="1.0" encoding="utf-8"?>
<ds:datastoreItem xmlns:ds="http://schemas.openxmlformats.org/officeDocument/2006/customXml" ds:itemID="{03A53E0A-696C-45A5-9FDA-CA0CB00AA2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97da67-68a3-4e9d-8803-ba3e1787ab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210D230-B37B-479B-BBEC-330C14F69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DITRDCA_Report template.dotx</Template>
  <TotalTime>0</TotalTime>
  <Pages>54</Pages>
  <Words>19624</Words>
  <Characters>111858</Characters>
  <Application>Microsoft Office Word</Application>
  <DocSecurity>0</DocSecurity>
  <Lines>932</Lines>
  <Paragraphs>262</Paragraphs>
  <ScaleCrop>false</ScaleCrop>
  <HeadingPairs>
    <vt:vector size="2" baseType="variant">
      <vt:variant>
        <vt:lpstr>Title</vt:lpstr>
      </vt:variant>
      <vt:variant>
        <vt:i4>1</vt:i4>
      </vt:variant>
    </vt:vector>
  </HeadingPairs>
  <TitlesOfParts>
    <vt:vector size="1" baseType="lpstr">
      <vt:lpstr/>
    </vt:vector>
  </TitlesOfParts>
  <Company>Department of Infrastructure &amp; Regional Development</Company>
  <LinksUpToDate>false</LinksUpToDate>
  <CharactersWithSpaces>131220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Denison-Edson, Michelle</dc:creator>
  <cp:keywords/>
  <dc:description/>
  <cp:lastModifiedBy>Lindsay, Karen</cp:lastModifiedBy>
  <cp:revision>2</cp:revision>
  <cp:lastPrinted>2022-10-10T00:15:00Z</cp:lastPrinted>
  <dcterms:created xsi:type="dcterms:W3CDTF">2022-10-10T00:15:00Z</dcterms:created>
  <dcterms:modified xsi:type="dcterms:W3CDTF">2022-10-10T00:15:00Z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0x010100407620DDFF47524F86BCF55EDD3946430100B47B81A51098DC4DBD2AECF7E24A6CD0</vt:lpwstr>
  </property>
  <property fmtid="{D5CDD505-2E9C-101B-9397-08002B2CF9AE}" pid="3" name="TrimRevisionNumber">
    <vt:i4>3</vt:i4>
  </property>
  <property fmtid="{D5CDD505-2E9C-101B-9397-08002B2CF9AE}" pid="4" name="trimRootDocClassification">
    <vt:lpwstr/>
  </property>
  <property fmtid="{D5CDD505-2E9C-101B-9397-08002B2CF9AE}" pid="5" name="trimRootDocAssigneeLocation">
    <vt:lpwstr/>
  </property>
  <property fmtid="{D5CDD505-2E9C-101B-9397-08002B2CF9AE}" pid="6" name="trimRootDocOtherContactLocation">
    <vt:lpwstr/>
  </property>
  <property fmtid="{D5CDD505-2E9C-101B-9397-08002B2CF9AE}" pid="7" name="trimRootDocACLCanUpdateMetadata_List">
    <vt:lpwstr/>
  </property>
  <property fmtid="{D5CDD505-2E9C-101B-9397-08002B2CF9AE}" pid="8" name="trimRootDocACLCanModifyAccess_List">
    <vt:lpwstr/>
  </property>
  <property fmtid="{D5CDD505-2E9C-101B-9397-08002B2CF9AE}" pid="9" name="trimRootDocACLCanUpdateDocument_List">
    <vt:lpwstr/>
  </property>
  <property fmtid="{D5CDD505-2E9C-101B-9397-08002B2CF9AE}" pid="10" name="trimRootDocACLCanViewMetadata_List">
    <vt:lpwstr/>
  </property>
  <property fmtid="{D5CDD505-2E9C-101B-9397-08002B2CF9AE}" pid="11" name="trimRootDocACLCanViewDocument_List">
    <vt:lpwstr/>
  </property>
  <property fmtid="{D5CDD505-2E9C-101B-9397-08002B2CF9AE}" pid="12" name="trimRootDocOwnerLocation">
    <vt:lpwstr/>
  </property>
  <property fmtid="{D5CDD505-2E9C-101B-9397-08002B2CF9AE}" pid="13" name="trimRootDocACLCanContributeDocuments_List">
    <vt:lpwstr/>
  </property>
</Properties>
</file>