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Pr="00AB6687" w:rsidRDefault="00C60276" w:rsidP="00EC3441">
      <w:pPr>
        <w:jc w:val="center"/>
        <w:rPr>
          <w:rFonts w:cstheme="minorHAnsi"/>
          <w:szCs w:val="22"/>
        </w:rPr>
      </w:pPr>
      <w:r w:rsidRPr="00AB6687">
        <w:rPr>
          <w:rFonts w:cstheme="minorHAnsi"/>
          <w:noProof/>
          <w:szCs w:val="22"/>
          <w:lang w:eastAsia="en-AU"/>
        </w:rPr>
        <w:drawing>
          <wp:inline distT="0" distB="0" distL="0" distR="0" wp14:anchorId="5CE397B3" wp14:editId="223F8B8A">
            <wp:extent cx="2865120" cy="1316990"/>
            <wp:effectExtent l="0" t="0" r="0" b="0"/>
            <wp:docPr id="2" name="Picture 2" descr="Australian Government crest,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5120" cy="1316990"/>
                    </a:xfrm>
                    <a:prstGeom prst="rect">
                      <a:avLst/>
                    </a:prstGeom>
                    <a:noFill/>
                  </pic:spPr>
                </pic:pic>
              </a:graphicData>
            </a:graphic>
          </wp:inline>
        </w:drawing>
      </w:r>
    </w:p>
    <w:p w:rsidR="005770B2" w:rsidRPr="005770B2" w:rsidRDefault="00C60276" w:rsidP="005770B2">
      <w:pPr>
        <w:pStyle w:val="Heading1"/>
      </w:pPr>
      <w:r w:rsidRPr="00304626">
        <w:t>Alternative Voice Services Trials</w:t>
      </w:r>
      <w:r>
        <w:t>—</w:t>
      </w:r>
      <w:r w:rsidRPr="00304626">
        <w:t xml:space="preserve">Summary Report to 31 </w:t>
      </w:r>
      <w:r w:rsidR="00887502" w:rsidRPr="00304626">
        <w:t>December 2021</w:t>
      </w:r>
    </w:p>
    <w:p w:rsidR="005770B2" w:rsidRPr="00EC3441" w:rsidRDefault="00474E2D" w:rsidP="00AB6687">
      <w:pPr>
        <w:rPr>
          <w:rFonts w:cstheme="minorHAnsi"/>
          <w:b/>
          <w:szCs w:val="22"/>
        </w:rPr>
      </w:pPr>
      <w:r w:rsidRPr="00EC3441">
        <w:rPr>
          <w:rFonts w:cstheme="minorHAnsi"/>
          <w:b/>
          <w:szCs w:val="22"/>
        </w:rPr>
        <w:t>31 M</w:t>
      </w:r>
      <w:r w:rsidR="00AB6687" w:rsidRPr="00EC3441">
        <w:rPr>
          <w:rFonts w:cstheme="minorHAnsi"/>
          <w:b/>
          <w:szCs w:val="22"/>
        </w:rPr>
        <w:t>arch</w:t>
      </w:r>
      <w:r w:rsidRPr="00EC3441">
        <w:rPr>
          <w:rFonts w:cstheme="minorHAnsi"/>
          <w:b/>
          <w:szCs w:val="22"/>
        </w:rPr>
        <w:t xml:space="preserve"> 2022</w:t>
      </w:r>
    </w:p>
    <w:p w:rsidR="00E95BA5" w:rsidRPr="00AB6687" w:rsidRDefault="00E95BA5" w:rsidP="00AB6687">
      <w:pPr>
        <w:rPr>
          <w:rFonts w:cstheme="minorHAnsi"/>
          <w:szCs w:val="22"/>
        </w:rPr>
      </w:pPr>
      <w:bookmarkStart w:id="0" w:name="_Toc49855348"/>
    </w:p>
    <w:p w:rsidR="00E95BA5" w:rsidRDefault="00E95BA5" w:rsidP="005770B2">
      <w:pPr>
        <w:pStyle w:val="Heading1"/>
        <w:sectPr w:rsidR="00E95BA5" w:rsidSect="007F0C75">
          <w:headerReference w:type="even" r:id="rId10"/>
          <w:headerReference w:type="default" r:id="rId11"/>
          <w:footerReference w:type="even" r:id="rId12"/>
          <w:footerReference w:type="default" r:id="rId13"/>
          <w:footerReference w:type="first" r:id="rId14"/>
          <w:pgSz w:w="11906" w:h="16838" w:code="9"/>
          <w:pgMar w:top="709" w:right="1021" w:bottom="1021" w:left="1021" w:header="510" w:footer="0" w:gutter="0"/>
          <w:cols w:space="708"/>
          <w:titlePg/>
          <w:docGrid w:linePitch="360"/>
          <w15:footnoteColumns w:val="1"/>
        </w:sectPr>
      </w:pPr>
    </w:p>
    <w:bookmarkEnd w:id="0"/>
    <w:p w:rsidR="00C60276" w:rsidRPr="00304626" w:rsidRDefault="00C60276" w:rsidP="00FD2A66">
      <w:pPr>
        <w:pStyle w:val="Heading2"/>
        <w:spacing w:before="0"/>
      </w:pPr>
      <w:r w:rsidRPr="00474E2D">
        <w:t>Introduction</w:t>
      </w:r>
    </w:p>
    <w:p w:rsidR="00887502" w:rsidRPr="00AB6687" w:rsidRDefault="00887502" w:rsidP="00AB6687">
      <w:pPr>
        <w:rPr>
          <w:rFonts w:cstheme="minorHAnsi"/>
          <w:szCs w:val="22"/>
        </w:rPr>
      </w:pPr>
      <w:r w:rsidRPr="00AB6687">
        <w:rPr>
          <w:rFonts w:cstheme="minorHAnsi"/>
          <w:szCs w:val="22"/>
        </w:rPr>
        <w:t>The Alternative Voice Services Trials (AVST) program aims to identify different ways to deliver voice services in locations across rural and remote Australia, test them and raise awareness of them. The Trials also provide an opportunity to help providers to refine their products and processes.</w:t>
      </w:r>
    </w:p>
    <w:p w:rsidR="00887502" w:rsidRPr="00AB6687" w:rsidRDefault="00887502" w:rsidP="00AB6687">
      <w:pPr>
        <w:rPr>
          <w:rFonts w:cstheme="minorHAnsi"/>
          <w:szCs w:val="22"/>
        </w:rPr>
      </w:pPr>
      <w:r w:rsidRPr="00AB6687">
        <w:rPr>
          <w:rFonts w:cstheme="minorHAnsi"/>
          <w:szCs w:val="22"/>
        </w:rPr>
        <w:t>The Department of Infrastructure, Transport, Regional Development and Communications (DITRDC) administers the program. A Stakeholder Reference Group (SRG) has been appointed to help keep the Government informed of community views, provide a sounding board for ideas and help share information about progress. The members were nominated by the Regional Rural and Remote Communications Coalition. The SRG members are Kathy Rankin (NSW Farmers and the National Farmers’ Federation), Kristy Sparrow (Better Internet for Rural, Regional and Remote Australia), Jo Stewart-Rattray (National Rural Women’s Coalition) and Una Lawrence (Australian Communications Consumer Action Network).</w:t>
      </w:r>
    </w:p>
    <w:p w:rsidR="00887502" w:rsidRPr="00AB6687" w:rsidRDefault="00887502" w:rsidP="00AB6687">
      <w:pPr>
        <w:rPr>
          <w:rFonts w:cstheme="minorHAnsi"/>
          <w:szCs w:val="22"/>
        </w:rPr>
      </w:pPr>
      <w:r w:rsidRPr="00AB6687">
        <w:rPr>
          <w:rFonts w:cstheme="minorHAnsi"/>
          <w:szCs w:val="22"/>
        </w:rPr>
        <w:t>Six grants have been made to Concerotel, NBN Co, Optus, Pivotel, Telstra and Zetifi. Grantees are responsible for promoting their trials, recruiting participants, providing equipment and services, and providing information and data on trial performance. As noted below, Concerotel and NBN Co deliver services via downstream retail service providers.</w:t>
      </w:r>
    </w:p>
    <w:p w:rsidR="00887502" w:rsidRPr="00AB6687" w:rsidRDefault="00887502" w:rsidP="00AB6687">
      <w:pPr>
        <w:rPr>
          <w:rFonts w:cstheme="minorHAnsi"/>
          <w:szCs w:val="22"/>
        </w:rPr>
      </w:pPr>
      <w:r w:rsidRPr="00AB6687">
        <w:rPr>
          <w:rFonts w:cstheme="minorHAnsi"/>
          <w:szCs w:val="22"/>
        </w:rPr>
        <w:t xml:space="preserve">Customers participating in the Trials are known as triallists. Most have only one service, but in a few </w:t>
      </w:r>
      <w:proofErr w:type="gramStart"/>
      <w:r w:rsidRPr="00AB6687">
        <w:rPr>
          <w:rFonts w:cstheme="minorHAnsi"/>
          <w:szCs w:val="22"/>
        </w:rPr>
        <w:t>cases</w:t>
      </w:r>
      <w:proofErr w:type="gramEnd"/>
      <w:r w:rsidRPr="00AB6687">
        <w:rPr>
          <w:rFonts w:cstheme="minorHAnsi"/>
          <w:szCs w:val="22"/>
        </w:rPr>
        <w:t xml:space="preserve"> they may have more than one trial service at their properties. Customers generally retain their existing voice services as a safety net, while having the benefit of the trial service.</w:t>
      </w:r>
    </w:p>
    <w:p w:rsidR="00887502" w:rsidRPr="00AB6687" w:rsidRDefault="00887502" w:rsidP="00AB6687">
      <w:pPr>
        <w:rPr>
          <w:rFonts w:cstheme="minorHAnsi"/>
          <w:szCs w:val="22"/>
        </w:rPr>
      </w:pPr>
      <w:r w:rsidRPr="00AB6687">
        <w:rPr>
          <w:rFonts w:cstheme="minorHAnsi"/>
          <w:szCs w:val="22"/>
        </w:rPr>
        <w:t>The Trials are focussed on those parts of Australia that are outside NBN Co’s fixed line footprint, where customers typically depend on the Telstra fixed line network for their voice services.</w:t>
      </w:r>
    </w:p>
    <w:p w:rsidR="00887502" w:rsidRPr="00AB6687" w:rsidRDefault="00887502" w:rsidP="00AB6687">
      <w:pPr>
        <w:rPr>
          <w:rFonts w:cstheme="minorHAnsi"/>
          <w:szCs w:val="22"/>
        </w:rPr>
      </w:pPr>
      <w:r w:rsidRPr="00AB6687">
        <w:rPr>
          <w:rFonts w:cstheme="minorHAnsi"/>
          <w:szCs w:val="22"/>
        </w:rPr>
        <w:t xml:space="preserve">Grantees provide monthly performance reports on trial services. Lonergan Research (Lonergan), an independent research company, also surveys triallists each month by phone for the Department. Surveys collect information from triallists on the quality of their voice services, including any issues with services during the month and whether they are rectified, as well as triallists’ overall rating of the service. </w:t>
      </w:r>
    </w:p>
    <w:p w:rsidR="00887502" w:rsidRPr="00AB6687" w:rsidRDefault="00887502" w:rsidP="00AB6687">
      <w:pPr>
        <w:rPr>
          <w:rFonts w:cstheme="minorHAnsi"/>
          <w:szCs w:val="22"/>
        </w:rPr>
      </w:pPr>
      <w:r w:rsidRPr="00AB6687">
        <w:rPr>
          <w:rFonts w:cstheme="minorHAnsi"/>
          <w:szCs w:val="22"/>
        </w:rPr>
        <w:t>The Department undertook to report on the Trials. This report summarises key results from the Trials to 31</w:t>
      </w:r>
      <w:r w:rsidR="00AB6687" w:rsidRPr="00AB6687">
        <w:rPr>
          <w:rFonts w:cstheme="minorHAnsi"/>
          <w:szCs w:val="22"/>
        </w:rPr>
        <w:t> </w:t>
      </w:r>
      <w:r w:rsidRPr="00AB6687">
        <w:rPr>
          <w:rFonts w:cstheme="minorHAnsi"/>
          <w:szCs w:val="22"/>
        </w:rPr>
        <w:t>December 2021. The report gives an overview of the grantees, their solutions, the number of trial services being provided, results reported by grantees, independent survey results and initial observations.</w:t>
      </w:r>
    </w:p>
    <w:p w:rsidR="00C60276" w:rsidRPr="00AB6687" w:rsidRDefault="00887502" w:rsidP="00AB6687">
      <w:pPr>
        <w:rPr>
          <w:rFonts w:cstheme="minorHAnsi"/>
          <w:szCs w:val="22"/>
        </w:rPr>
      </w:pPr>
      <w:r w:rsidRPr="00AB6687">
        <w:rPr>
          <w:rFonts w:cstheme="minorHAnsi"/>
          <w:szCs w:val="22"/>
        </w:rPr>
        <w:t>At 30 September 2021 there were 451 trial services; and at 31 December 2021 the number of trial services was 540. While there was an increase in the number of trial services, there were some withdrawals from the Trials for a range of reasons as discussed below.</w:t>
      </w:r>
    </w:p>
    <w:p w:rsidR="00887502" w:rsidRPr="00304626" w:rsidRDefault="00887502" w:rsidP="00887502">
      <w:pPr>
        <w:pStyle w:val="Heading2"/>
        <w:rPr>
          <w:b/>
        </w:rPr>
      </w:pPr>
      <w:r w:rsidRPr="00304626">
        <w:rPr>
          <w:b/>
        </w:rPr>
        <w:lastRenderedPageBreak/>
        <w:t>Overview of AVST</w:t>
      </w:r>
    </w:p>
    <w:p w:rsidR="00887502" w:rsidRPr="00AB6687" w:rsidRDefault="00887502" w:rsidP="00AB6687">
      <w:pPr>
        <w:rPr>
          <w:rFonts w:cstheme="minorHAnsi"/>
          <w:szCs w:val="22"/>
        </w:rPr>
      </w:pPr>
      <w:r w:rsidRPr="00AB6687">
        <w:rPr>
          <w:rFonts w:cstheme="minorHAnsi"/>
          <w:szCs w:val="22"/>
        </w:rPr>
        <w:t>At the end of the recruitment period, grantees had the trial services as shown in Table 1.</w:t>
      </w:r>
    </w:p>
    <w:p w:rsidR="00474E2D" w:rsidRDefault="00474E2D" w:rsidP="007E6282">
      <w:pPr>
        <w:pStyle w:val="Caption"/>
      </w:pPr>
      <w:r w:rsidRPr="00304626">
        <w:t>Table 1</w:t>
      </w:r>
      <w:r w:rsidR="00887502">
        <w:t>:</w:t>
      </w:r>
      <w:r w:rsidR="00887502" w:rsidRPr="00887502">
        <w:t xml:space="preserve"> </w:t>
      </w:r>
      <w:r w:rsidR="00887502" w:rsidRPr="00304626">
        <w:t>Recruitment targets and services for AVST at 31 December 2021</w:t>
      </w:r>
    </w:p>
    <w:tbl>
      <w:tblPr>
        <w:tblStyle w:val="DefaultTable1"/>
        <w:tblW w:w="5000" w:type="pct"/>
        <w:tblLook w:val="04A0" w:firstRow="1" w:lastRow="0" w:firstColumn="1" w:lastColumn="0" w:noHBand="0" w:noVBand="1"/>
        <w:tblDescription w:val="Table 1: Recruitment targets and services for AVST at 31 March 2022"/>
      </w:tblPr>
      <w:tblGrid>
        <w:gridCol w:w="1305"/>
        <w:gridCol w:w="1222"/>
        <w:gridCol w:w="1222"/>
        <w:gridCol w:w="1221"/>
        <w:gridCol w:w="1225"/>
        <w:gridCol w:w="1225"/>
        <w:gridCol w:w="1223"/>
        <w:gridCol w:w="1221"/>
      </w:tblGrid>
      <w:tr w:rsidR="007E6282" w:rsidTr="002D2B2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tcPr>
          <w:p w:rsidR="007E6282" w:rsidRPr="00AB6687" w:rsidRDefault="007E6282" w:rsidP="00AB6687">
            <w:pPr>
              <w:rPr>
                <w:rFonts w:cstheme="minorHAnsi"/>
                <w:szCs w:val="22"/>
              </w:rPr>
            </w:pPr>
            <w:r w:rsidRPr="00AB6687">
              <w:rPr>
                <w:rFonts w:cstheme="minorHAnsi"/>
                <w:szCs w:val="22"/>
              </w:rPr>
              <w:t>Service recruitment targets</w:t>
            </w:r>
          </w:p>
        </w:tc>
        <w:tc>
          <w:tcPr>
            <w:tcW w:w="619"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Concerotel</w:t>
            </w:r>
          </w:p>
        </w:tc>
        <w:tc>
          <w:tcPr>
            <w:tcW w:w="619"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NBN Co</w:t>
            </w:r>
          </w:p>
        </w:tc>
        <w:tc>
          <w:tcPr>
            <w:tcW w:w="619"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Optus</w:t>
            </w:r>
          </w:p>
        </w:tc>
        <w:tc>
          <w:tcPr>
            <w:tcW w:w="621"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Pivotel</w:t>
            </w:r>
          </w:p>
        </w:tc>
        <w:tc>
          <w:tcPr>
            <w:tcW w:w="621"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Telstra</w:t>
            </w:r>
          </w:p>
        </w:tc>
        <w:tc>
          <w:tcPr>
            <w:tcW w:w="620"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Zetifi</w:t>
            </w:r>
          </w:p>
        </w:tc>
        <w:tc>
          <w:tcPr>
            <w:tcW w:w="619" w:type="pct"/>
          </w:tcPr>
          <w:p w:rsidR="007E6282" w:rsidRPr="007E6282" w:rsidRDefault="007E6282" w:rsidP="007E6282">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Total</w:t>
            </w:r>
          </w:p>
        </w:tc>
      </w:tr>
      <w:tr w:rsidR="007E6282" w:rsidTr="002D2B29">
        <w:trPr>
          <w:cantSplit/>
        </w:trPr>
        <w:tc>
          <w:tcPr>
            <w:cnfStyle w:val="001000000000" w:firstRow="0" w:lastRow="0" w:firstColumn="1" w:lastColumn="0" w:oddVBand="0" w:evenVBand="0" w:oddHBand="0" w:evenHBand="0" w:firstRowFirstColumn="0" w:firstRowLastColumn="0" w:lastRowFirstColumn="0" w:lastRowLastColumn="0"/>
            <w:tcW w:w="661" w:type="pct"/>
          </w:tcPr>
          <w:p w:rsidR="007E6282" w:rsidRPr="00C631E1" w:rsidDel="00E91060" w:rsidRDefault="007E6282" w:rsidP="00C631E1">
            <w:pPr>
              <w:pStyle w:val="nospacing-leftalign"/>
              <w:rPr>
                <w:b/>
              </w:rPr>
            </w:pPr>
            <w:r w:rsidRPr="00C631E1">
              <w:rPr>
                <w:b/>
              </w:rPr>
              <w:t xml:space="preserve">Service recruitment targets </w:t>
            </w:r>
          </w:p>
        </w:tc>
        <w:tc>
          <w:tcPr>
            <w:tcW w:w="619"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200</w:t>
            </w:r>
          </w:p>
        </w:tc>
        <w:tc>
          <w:tcPr>
            <w:tcW w:w="619" w:type="pct"/>
          </w:tcPr>
          <w:p w:rsidR="007E6282" w:rsidRPr="007F0C75" w:rsidRDefault="007E6282" w:rsidP="007F0C75">
            <w:pPr>
              <w:pStyle w:val="nospacing-centred"/>
              <w:cnfStyle w:val="000000000000" w:firstRow="0" w:lastRow="0" w:firstColumn="0" w:lastColumn="0" w:oddVBand="0" w:evenVBand="0" w:oddHBand="0" w:evenHBand="0" w:firstRowFirstColumn="0" w:firstRowLastColumn="0" w:lastRowFirstColumn="0" w:lastRowLastColumn="0"/>
            </w:pPr>
            <w:r w:rsidRPr="00E96BDA">
              <w:t>260</w:t>
            </w:r>
          </w:p>
        </w:tc>
        <w:tc>
          <w:tcPr>
            <w:tcW w:w="619"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15</w:t>
            </w:r>
          </w:p>
        </w:tc>
        <w:tc>
          <w:tcPr>
            <w:tcW w:w="621" w:type="pct"/>
          </w:tcPr>
          <w:p w:rsidR="007E6282" w:rsidRPr="00AE74FE" w:rsidRDefault="007E6282" w:rsidP="00AE74FE">
            <w:pPr>
              <w:pStyle w:val="nospacing-centred"/>
              <w:cnfStyle w:val="000000000000" w:firstRow="0" w:lastRow="0" w:firstColumn="0" w:lastColumn="0" w:oddVBand="0" w:evenVBand="0" w:oddHBand="0" w:evenHBand="0" w:firstRowFirstColumn="0" w:firstRowLastColumn="0" w:lastRowFirstColumn="0" w:lastRowLastColumn="0"/>
            </w:pPr>
            <w:r w:rsidRPr="00E96BDA">
              <w:t>60</w:t>
            </w:r>
          </w:p>
        </w:tc>
        <w:tc>
          <w:tcPr>
            <w:tcW w:w="621"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295</w:t>
            </w:r>
          </w:p>
        </w:tc>
        <w:tc>
          <w:tcPr>
            <w:tcW w:w="620"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50</w:t>
            </w:r>
          </w:p>
        </w:tc>
        <w:tc>
          <w:tcPr>
            <w:tcW w:w="619" w:type="pct"/>
          </w:tcPr>
          <w:p w:rsidR="007E6282" w:rsidRPr="00E96BDA" w:rsidRDefault="007E6282" w:rsidP="00723BAC">
            <w:pPr>
              <w:pStyle w:val="nospacing-centred"/>
              <w:cnfStyle w:val="000000000000" w:firstRow="0" w:lastRow="0" w:firstColumn="0" w:lastColumn="0" w:oddVBand="0" w:evenVBand="0" w:oddHBand="0" w:evenHBand="0" w:firstRowFirstColumn="0" w:firstRowLastColumn="0" w:lastRowFirstColumn="0" w:lastRowLastColumn="0"/>
            </w:pPr>
            <w:r w:rsidRPr="00E96BDA">
              <w:t>880</w:t>
            </w:r>
          </w:p>
        </w:tc>
      </w:tr>
      <w:tr w:rsidR="007E6282" w:rsidTr="002D2B2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61" w:type="pct"/>
          </w:tcPr>
          <w:p w:rsidR="007E6282" w:rsidRPr="00C631E1" w:rsidRDefault="007E6282" w:rsidP="00C631E1">
            <w:pPr>
              <w:pStyle w:val="nospacing-leftalign"/>
              <w:rPr>
                <w:b/>
              </w:rPr>
            </w:pPr>
            <w:r w:rsidRPr="00C631E1">
              <w:rPr>
                <w:b/>
              </w:rPr>
              <w:t>Trial services at 31/12/21</w:t>
            </w:r>
          </w:p>
        </w:tc>
        <w:tc>
          <w:tcPr>
            <w:tcW w:w="619"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138</w:t>
            </w:r>
          </w:p>
        </w:tc>
        <w:tc>
          <w:tcPr>
            <w:tcW w:w="619" w:type="pct"/>
          </w:tcPr>
          <w:p w:rsidR="007E6282" w:rsidRPr="007F0C75" w:rsidRDefault="007E6282" w:rsidP="007F0C75">
            <w:pPr>
              <w:pStyle w:val="nospacing-centred"/>
              <w:cnfStyle w:val="000000010000" w:firstRow="0" w:lastRow="0" w:firstColumn="0" w:lastColumn="0" w:oddVBand="0" w:evenVBand="0" w:oddHBand="0" w:evenHBand="1" w:firstRowFirstColumn="0" w:firstRowLastColumn="0" w:lastRowFirstColumn="0" w:lastRowLastColumn="0"/>
            </w:pPr>
            <w:r w:rsidRPr="00E96BDA">
              <w:t>185</w:t>
            </w:r>
          </w:p>
        </w:tc>
        <w:tc>
          <w:tcPr>
            <w:tcW w:w="619"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15</w:t>
            </w:r>
          </w:p>
        </w:tc>
        <w:tc>
          <w:tcPr>
            <w:tcW w:w="621" w:type="pct"/>
          </w:tcPr>
          <w:p w:rsidR="007E6282" w:rsidRPr="00AE74FE" w:rsidRDefault="007E6282" w:rsidP="00AE74FE">
            <w:pPr>
              <w:pStyle w:val="nospacing-centred"/>
              <w:cnfStyle w:val="000000010000" w:firstRow="0" w:lastRow="0" w:firstColumn="0" w:lastColumn="0" w:oddVBand="0" w:evenVBand="0" w:oddHBand="0" w:evenHBand="1" w:firstRowFirstColumn="0" w:firstRowLastColumn="0" w:lastRowFirstColumn="0" w:lastRowLastColumn="0"/>
            </w:pPr>
            <w:r w:rsidRPr="00E96BDA">
              <w:t>51</w:t>
            </w:r>
          </w:p>
        </w:tc>
        <w:tc>
          <w:tcPr>
            <w:tcW w:w="621"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102</w:t>
            </w:r>
          </w:p>
        </w:tc>
        <w:tc>
          <w:tcPr>
            <w:tcW w:w="620"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49</w:t>
            </w:r>
          </w:p>
        </w:tc>
        <w:tc>
          <w:tcPr>
            <w:tcW w:w="619" w:type="pct"/>
          </w:tcPr>
          <w:p w:rsidR="007E6282" w:rsidRPr="00E96BDA" w:rsidRDefault="007E6282" w:rsidP="00723BAC">
            <w:pPr>
              <w:pStyle w:val="nospacing-centred"/>
              <w:cnfStyle w:val="000000010000" w:firstRow="0" w:lastRow="0" w:firstColumn="0" w:lastColumn="0" w:oddVBand="0" w:evenVBand="0" w:oddHBand="0" w:evenHBand="1" w:firstRowFirstColumn="0" w:firstRowLastColumn="0" w:lastRowFirstColumn="0" w:lastRowLastColumn="0"/>
            </w:pPr>
            <w:r w:rsidRPr="00E96BDA">
              <w:t>540</w:t>
            </w:r>
          </w:p>
        </w:tc>
      </w:tr>
    </w:tbl>
    <w:p w:rsidR="00887502" w:rsidRPr="00AB6687" w:rsidRDefault="00887502" w:rsidP="00AB6687">
      <w:pPr>
        <w:rPr>
          <w:rFonts w:cstheme="minorHAnsi"/>
          <w:szCs w:val="22"/>
        </w:rPr>
      </w:pPr>
      <w:r w:rsidRPr="00AB6687">
        <w:rPr>
          <w:rFonts w:cstheme="minorHAnsi"/>
          <w:szCs w:val="22"/>
        </w:rPr>
        <w:t xml:space="preserve">The trial services are spread across Australia, although trials operated by Concerotel, Optus and Zetifi are more localised. The map at </w:t>
      </w:r>
      <w:hyperlink w:anchor="_Attachment_A" w:history="1">
        <w:r w:rsidRPr="00C631E1">
          <w:rPr>
            <w:rStyle w:val="Hyperlink"/>
            <w:rFonts w:cstheme="minorHAnsi"/>
            <w:b/>
            <w:szCs w:val="22"/>
          </w:rPr>
          <w:t>Attachment A</w:t>
        </w:r>
      </w:hyperlink>
      <w:r w:rsidRPr="00AB6687">
        <w:rPr>
          <w:rFonts w:cstheme="minorHAnsi"/>
          <w:szCs w:val="22"/>
        </w:rPr>
        <w:t xml:space="preserve"> shows the distribution of voice services across Australia. About a quarter of triallists are on the Cocos (Keeling) Islands (CKI) and Norfolk Island (NI) and there is one triallist on Lord Howe Island. In the case of Concerotel, Optus and Pivotel, there are some instances where they are trialling multiple services at one location (e.g. multiple users at one locality). </w:t>
      </w:r>
    </w:p>
    <w:p w:rsidR="00887502" w:rsidRPr="000E3567" w:rsidRDefault="00887502" w:rsidP="000E3567">
      <w:pPr>
        <w:pStyle w:val="Heading3"/>
      </w:pPr>
      <w:r w:rsidRPr="000E3567">
        <w:t>What voice services did triallists have before the Trials?</w:t>
      </w:r>
    </w:p>
    <w:p w:rsidR="00887502" w:rsidRPr="00AB6687" w:rsidRDefault="00887502" w:rsidP="00AB6687">
      <w:pPr>
        <w:rPr>
          <w:rFonts w:cstheme="minorHAnsi"/>
          <w:szCs w:val="22"/>
        </w:rPr>
      </w:pPr>
      <w:r w:rsidRPr="00AB6687">
        <w:rPr>
          <w:rFonts w:cstheme="minorHAnsi"/>
          <w:szCs w:val="22"/>
        </w:rPr>
        <w:t>Most existing voice services in rural and remote Australia are delivered using Telstra’s copper network, although a number are delivered using wireless platforms including high-capacity radio concentrator (HCRC), 3G wireless local loop or USO satellite technology. This is reflected under the AVST. The majority of triallists’ existing services are delivered over copper, while approximately 40 have HCRC, wireless local loop or satellite and approximately 20 do not currently have a landline. A handful of triallists have been using NBN Co Sky Muster for voice.</w:t>
      </w:r>
    </w:p>
    <w:p w:rsidR="00887502" w:rsidRPr="00AB6687" w:rsidRDefault="00887502" w:rsidP="00AB6687">
      <w:pPr>
        <w:rPr>
          <w:rFonts w:cstheme="minorHAnsi"/>
          <w:szCs w:val="22"/>
        </w:rPr>
      </w:pPr>
      <w:proofErr w:type="spellStart"/>
      <w:r w:rsidRPr="00AB6687">
        <w:rPr>
          <w:rFonts w:cstheme="minorHAnsi"/>
          <w:szCs w:val="22"/>
        </w:rPr>
        <w:t>Concerotel’s</w:t>
      </w:r>
      <w:proofErr w:type="spellEnd"/>
      <w:r w:rsidRPr="00AB6687">
        <w:rPr>
          <w:rFonts w:cstheme="minorHAnsi"/>
          <w:szCs w:val="22"/>
        </w:rPr>
        <w:t xml:space="preserve"> triallists are a somewhat special case. People on NI have fixed and mobile voice services for calls, as well as broadband on the island and NBN Co’s Sky Muster satellite service. People on the CKI have access to copper services for calls, 4G data services that can be used for voice over Internet (VoIP), as well as access to broadband via NBN Co Sky Muster. </w:t>
      </w:r>
    </w:p>
    <w:p w:rsidR="00887502" w:rsidRPr="000E3567" w:rsidRDefault="00887502" w:rsidP="000E3567">
      <w:pPr>
        <w:pStyle w:val="Heading3"/>
      </w:pPr>
      <w:r w:rsidRPr="000E3567">
        <w:t>Trial services</w:t>
      </w:r>
    </w:p>
    <w:p w:rsidR="00887502" w:rsidRPr="00AB6687" w:rsidRDefault="00887502" w:rsidP="00AB6687">
      <w:pPr>
        <w:rPr>
          <w:rFonts w:cstheme="minorHAnsi"/>
          <w:szCs w:val="22"/>
        </w:rPr>
      </w:pPr>
      <w:r w:rsidRPr="00AB6687">
        <w:rPr>
          <w:rFonts w:cstheme="minorHAnsi"/>
          <w:szCs w:val="22"/>
        </w:rPr>
        <w:t xml:space="preserve">The majority of service solutions employ what is commonly known in the community as VoIP. This involves the digitalisation of the voices of the parties to the call, and then transmission of this as data over a digital data link between the calling parties. Some solutions (like those of Concerotel, Pivotel and, in some cases, Zetifi) rely on downloadable VoIP apps (softphones). VoIP technology is now well established globally, including in Australia, where it is used to provide voice services over NBN Co’s fixed line network. However, while VoIP is an established technology generally, this is not necessarily the case in the Trial areas outside NBN Co’s fixed line footprint where Telstra’s analogue telephone services remain the dominant fixed line technology and VoIP is being provided in new ways and/or by new providers. </w:t>
      </w:r>
    </w:p>
    <w:p w:rsidR="00887502" w:rsidRPr="00AB6687" w:rsidRDefault="00887502" w:rsidP="00AB6687">
      <w:pPr>
        <w:rPr>
          <w:rFonts w:cstheme="minorHAnsi"/>
          <w:szCs w:val="22"/>
        </w:rPr>
      </w:pPr>
      <w:r w:rsidRPr="00AB6687">
        <w:rPr>
          <w:rFonts w:cstheme="minorHAnsi"/>
          <w:i/>
          <w:szCs w:val="22"/>
        </w:rPr>
        <w:t>Concerotel</w:t>
      </w:r>
      <w:r w:rsidRPr="00AB6687">
        <w:rPr>
          <w:rFonts w:cstheme="minorHAnsi"/>
          <w:szCs w:val="22"/>
        </w:rPr>
        <w:t xml:space="preserve"> has 138 trial services on CKI and NI, with retail services provided on CKI by Indian Ocean Territories Telecommunications and on NI by Norfolk Island Data Services. Concerotel uses applications with codecs designed to improve the quality of voice services when the services depend on satellite transmission for backhaul. The applications are typically loaded onto triallists’ mobile phones or laptops which connect via Wi-Fi with the triallist’s broadband service to provide voice services.</w:t>
      </w:r>
    </w:p>
    <w:p w:rsidR="00887502" w:rsidRPr="00AB6687" w:rsidRDefault="00887502" w:rsidP="00AB6687">
      <w:pPr>
        <w:rPr>
          <w:rFonts w:cstheme="minorHAnsi"/>
          <w:szCs w:val="22"/>
        </w:rPr>
      </w:pPr>
      <w:r w:rsidRPr="00AB6687">
        <w:rPr>
          <w:rFonts w:cstheme="minorHAnsi"/>
          <w:i/>
          <w:szCs w:val="22"/>
        </w:rPr>
        <w:lastRenderedPageBreak/>
        <w:t>NBN Co</w:t>
      </w:r>
      <w:r w:rsidRPr="00AB6687">
        <w:rPr>
          <w:rFonts w:cstheme="minorHAnsi"/>
          <w:szCs w:val="22"/>
        </w:rPr>
        <w:t xml:space="preserve"> recruited 195 triallists, but had ten withdrawals, meaning it had 185 services in operation at the end of 2021. It is using three different technology platforms with services being offered by four different retail providers – Australian Private Networks (APN), Field Solutions Group, </w:t>
      </w:r>
      <w:proofErr w:type="spellStart"/>
      <w:r w:rsidRPr="00AB6687">
        <w:rPr>
          <w:rFonts w:cstheme="minorHAnsi"/>
          <w:szCs w:val="22"/>
        </w:rPr>
        <w:t>MultiWave</w:t>
      </w:r>
      <w:proofErr w:type="spellEnd"/>
      <w:r w:rsidRPr="00AB6687">
        <w:rPr>
          <w:rFonts w:cstheme="minorHAnsi"/>
          <w:szCs w:val="22"/>
        </w:rPr>
        <w:t xml:space="preserve"> and Telstra. Twelve triallists are trialling the provision of voice over a new low band fixed wireless platform at Robinvale in Victoria (VIC) and Coffin Bay in South Australia (SA). Thirty-three are trialling the provision of voice over NBN Co’s standard fixed wireless service in New South Wales (NSW), the Northern Territory (NT), Queensland (QLD), SA, VIC, Tasmania (TAS) and Western Australia (WA). There are 140 trialling the provision of voice over NBN Co’s Sky Muster Plus satellite services in all states and territories except the Australian Capital Territory (ACT). NBN Co is also trialling a universal power supply (UPS) battery back-up and a </w:t>
      </w:r>
      <w:proofErr w:type="spellStart"/>
      <w:r w:rsidRPr="00AB6687">
        <w:rPr>
          <w:rFonts w:cstheme="minorHAnsi"/>
          <w:szCs w:val="22"/>
        </w:rPr>
        <w:t>SpeedMate</w:t>
      </w:r>
      <w:proofErr w:type="spellEnd"/>
      <w:r w:rsidRPr="00AB6687">
        <w:rPr>
          <w:rFonts w:cstheme="minorHAnsi"/>
          <w:szCs w:val="22"/>
        </w:rPr>
        <w:t xml:space="preserve"> device that monitors the quality and performance of each triallist’s service.</w:t>
      </w:r>
    </w:p>
    <w:p w:rsidR="00887502" w:rsidRPr="00AB6687" w:rsidRDefault="00887502" w:rsidP="00AB6687">
      <w:pPr>
        <w:rPr>
          <w:rFonts w:cstheme="minorHAnsi"/>
          <w:szCs w:val="22"/>
        </w:rPr>
      </w:pPr>
      <w:r w:rsidRPr="00AB6687">
        <w:rPr>
          <w:rFonts w:cstheme="minorHAnsi"/>
          <w:i/>
          <w:szCs w:val="22"/>
        </w:rPr>
        <w:t xml:space="preserve">Optus </w:t>
      </w:r>
      <w:r w:rsidRPr="00AB6687">
        <w:rPr>
          <w:rFonts w:cstheme="minorHAnsi"/>
          <w:szCs w:val="22"/>
        </w:rPr>
        <w:t xml:space="preserve">is operating 15 trial services in NSW, QLD and SA to test alternative voice options using three different solutions which all use satellite backhaul. Five trial services are direct-to-home satellite solutions. Five services are connected to a 4G mobile small cell and a further five are connected to local area Wi-Fi, both of which have satellite backhaul. The last two solutions provide a wireless signal beyond the homestead so that triallists can use their mobiles at a number of different locations on the property. </w:t>
      </w:r>
    </w:p>
    <w:p w:rsidR="00887502" w:rsidRPr="00AB6687" w:rsidRDefault="00887502" w:rsidP="00AB6687">
      <w:pPr>
        <w:rPr>
          <w:rFonts w:cstheme="minorHAnsi"/>
          <w:szCs w:val="22"/>
        </w:rPr>
      </w:pPr>
      <w:r w:rsidRPr="00AB6687">
        <w:rPr>
          <w:rFonts w:cstheme="minorHAnsi"/>
          <w:i/>
          <w:szCs w:val="22"/>
        </w:rPr>
        <w:t xml:space="preserve">Pivotel </w:t>
      </w:r>
      <w:r w:rsidRPr="00AB6687">
        <w:rPr>
          <w:rFonts w:cstheme="minorHAnsi"/>
          <w:szCs w:val="22"/>
        </w:rPr>
        <w:t xml:space="preserve">recruited 60 trial services at 26 locations in NSW, QLD, SA and on NI. Some triallists subsequently withdrew, leaving it with 51. Triallists receive a fixed voice service, and may also receive up to three mobile services. In relation to the mobile services, triallists download a smartphone application that allows them to exchange voice calls and SMS over any data connection (both while at home and away). Triallists are provided with battery back-up. Triallists can use mobile connectivity to make calls over the app on their phone when away from their premises.  </w:t>
      </w:r>
    </w:p>
    <w:p w:rsidR="00887502" w:rsidRPr="00AB6687" w:rsidRDefault="00887502" w:rsidP="00AB6687">
      <w:pPr>
        <w:rPr>
          <w:rFonts w:cstheme="minorHAnsi"/>
          <w:szCs w:val="22"/>
        </w:rPr>
      </w:pPr>
      <w:r w:rsidRPr="00AB6687">
        <w:rPr>
          <w:rFonts w:cstheme="minorHAnsi"/>
          <w:i/>
          <w:szCs w:val="22"/>
        </w:rPr>
        <w:t>Telstra</w:t>
      </w:r>
      <w:r w:rsidRPr="00AB6687">
        <w:rPr>
          <w:rFonts w:cstheme="minorHAnsi"/>
          <w:szCs w:val="22"/>
        </w:rPr>
        <w:t xml:space="preserve"> recruited 105 trial services (three have since withdrawn, leaving 102). It is trialling two solutions: one using fixed wireless using its 4G mobile network to deliver services to 97 triallists and the other is providing voice over a direct-to-home satellite service to five triallists. Its product offerings were designed for residential rather than small business customers. On the 4G network, Telstra is providing all triallists with battery back-up and a fixed handset. </w:t>
      </w:r>
      <w:r w:rsidRPr="00AB6687">
        <w:rPr>
          <w:rFonts w:cstheme="minorHAnsi"/>
          <w:iCs/>
          <w:szCs w:val="22"/>
        </w:rPr>
        <w:t xml:space="preserve">All 4G fixed wireless triallists are using modems with an integrated antenna, and two thirds have had an additional external antenna installed at their premises to provide effective connectivity. </w:t>
      </w:r>
      <w:r w:rsidRPr="00AB6687">
        <w:rPr>
          <w:rFonts w:cstheme="minorHAnsi"/>
          <w:szCs w:val="22"/>
        </w:rPr>
        <w:t xml:space="preserve">The 4G triallists are located in regional and remote locations in NSW, QLD, TAS, VIC and WA. </w:t>
      </w:r>
      <w:r w:rsidRPr="00AB6687">
        <w:rPr>
          <w:rFonts w:cstheme="minorHAnsi"/>
          <w:iCs/>
          <w:szCs w:val="22"/>
        </w:rPr>
        <w:t xml:space="preserve">The satellite service is delivered over an Intelsat satellite sourced by Telstra and is trialling alternative equipment with battery backup at the customer’s premises. </w:t>
      </w:r>
      <w:r w:rsidRPr="00AB6687">
        <w:rPr>
          <w:rFonts w:cstheme="minorHAnsi"/>
          <w:szCs w:val="22"/>
        </w:rPr>
        <w:t>These satellite triallists are located in rural areas of NSW, QLD and</w:t>
      </w:r>
      <w:r w:rsidR="00C631E1">
        <w:rPr>
          <w:rFonts w:cstheme="minorHAnsi"/>
          <w:szCs w:val="22"/>
        </w:rPr>
        <w:t> </w:t>
      </w:r>
      <w:r w:rsidRPr="00AB6687">
        <w:rPr>
          <w:rFonts w:cstheme="minorHAnsi"/>
          <w:szCs w:val="22"/>
        </w:rPr>
        <w:t>SA.</w:t>
      </w:r>
    </w:p>
    <w:p w:rsidR="00887502" w:rsidRPr="00AB6687" w:rsidRDefault="00887502" w:rsidP="00AB6687">
      <w:pPr>
        <w:rPr>
          <w:rFonts w:cstheme="minorHAnsi"/>
          <w:szCs w:val="22"/>
        </w:rPr>
      </w:pPr>
      <w:r w:rsidRPr="00AB6687">
        <w:rPr>
          <w:rFonts w:cstheme="minorHAnsi"/>
          <w:i/>
          <w:szCs w:val="22"/>
        </w:rPr>
        <w:t>Zetifi</w:t>
      </w:r>
      <w:r w:rsidRPr="00AB6687">
        <w:rPr>
          <w:rFonts w:cstheme="minorHAnsi"/>
          <w:szCs w:val="22"/>
        </w:rPr>
        <w:t xml:space="preserve"> recruited 50 triallists located in regional and rural areas in NSW and VIC. One withdrew in December because they moved house. Zetifi installs equipment, including an antenna, transmitter and battery back-up, at farms or other rural locations to extend Wi-Fi coverage. This supports Wi-Fi calling, with triallists using their existing mobile phones or a VoIP phone to make calls. The majority of triallists have an Optus or Telstra mobile phone, which provides the backhaul, but for a few other triallists backhaul is provided by NBN Co’s fixed wireless or Sky Muster satellite platforms. One triallist is using </w:t>
      </w:r>
      <w:proofErr w:type="spellStart"/>
      <w:r w:rsidRPr="00AB6687">
        <w:rPr>
          <w:rFonts w:cstheme="minorHAnsi"/>
          <w:szCs w:val="22"/>
        </w:rPr>
        <w:t>Starlink</w:t>
      </w:r>
      <w:proofErr w:type="spellEnd"/>
      <w:r w:rsidRPr="00AB6687">
        <w:rPr>
          <w:rFonts w:cstheme="minorHAnsi"/>
          <w:szCs w:val="22"/>
        </w:rPr>
        <w:t>, a low earth orbit satellite (</w:t>
      </w:r>
      <w:proofErr w:type="spellStart"/>
      <w:r w:rsidRPr="00AB6687">
        <w:rPr>
          <w:rFonts w:cstheme="minorHAnsi"/>
          <w:szCs w:val="22"/>
        </w:rPr>
        <w:t>LEOsat</w:t>
      </w:r>
      <w:proofErr w:type="spellEnd"/>
      <w:r w:rsidRPr="00AB6687">
        <w:rPr>
          <w:rFonts w:cstheme="minorHAnsi"/>
          <w:szCs w:val="22"/>
        </w:rPr>
        <w:t>) network for backhaul.</w:t>
      </w:r>
    </w:p>
    <w:p w:rsidR="00887502" w:rsidRPr="00AB6687" w:rsidRDefault="00887502" w:rsidP="00AB6687">
      <w:pPr>
        <w:rPr>
          <w:rFonts w:cstheme="minorHAnsi"/>
          <w:szCs w:val="22"/>
        </w:rPr>
      </w:pPr>
      <w:r w:rsidRPr="00AB6687">
        <w:rPr>
          <w:rFonts w:cstheme="minorHAnsi"/>
          <w:szCs w:val="22"/>
        </w:rPr>
        <w:t xml:space="preserve">Overall, the Trials involve three different geostationary satellites belonging to NBN Co, Optus and Intelsat. It was hoped that new </w:t>
      </w:r>
      <w:proofErr w:type="spellStart"/>
      <w:r w:rsidRPr="00AB6687">
        <w:rPr>
          <w:rFonts w:cstheme="minorHAnsi"/>
          <w:szCs w:val="22"/>
        </w:rPr>
        <w:t>LEOsat</w:t>
      </w:r>
      <w:proofErr w:type="spellEnd"/>
      <w:r w:rsidRPr="00AB6687">
        <w:rPr>
          <w:rFonts w:cstheme="minorHAnsi"/>
          <w:szCs w:val="22"/>
        </w:rPr>
        <w:t xml:space="preserve"> systems like </w:t>
      </w:r>
      <w:proofErr w:type="spellStart"/>
      <w:r w:rsidRPr="00AB6687">
        <w:rPr>
          <w:rFonts w:cstheme="minorHAnsi"/>
          <w:szCs w:val="22"/>
        </w:rPr>
        <w:t>Starlink</w:t>
      </w:r>
      <w:proofErr w:type="spellEnd"/>
      <w:r w:rsidRPr="00AB6687">
        <w:rPr>
          <w:rFonts w:cstheme="minorHAnsi"/>
          <w:szCs w:val="22"/>
        </w:rPr>
        <w:t xml:space="preserve"> would feature in the Trials but no substantive proposal came forward from these operators. We understand their systems were not ready at the time the Government requested proposals for the Trials.</w:t>
      </w:r>
    </w:p>
    <w:p w:rsidR="00887502" w:rsidRPr="00304626" w:rsidRDefault="00887502" w:rsidP="00887502">
      <w:pPr>
        <w:pStyle w:val="Heading2"/>
        <w:rPr>
          <w:b/>
        </w:rPr>
      </w:pPr>
      <w:r w:rsidRPr="00304626">
        <w:rPr>
          <w:b/>
        </w:rPr>
        <w:t>Results reported by grantees</w:t>
      </w:r>
    </w:p>
    <w:p w:rsidR="00887502" w:rsidRPr="00AB6687" w:rsidRDefault="00887502" w:rsidP="00AB6687">
      <w:pPr>
        <w:rPr>
          <w:rFonts w:cstheme="minorHAnsi"/>
          <w:szCs w:val="22"/>
        </w:rPr>
      </w:pPr>
      <w:r w:rsidRPr="00AB6687">
        <w:rPr>
          <w:rFonts w:cstheme="minorHAnsi"/>
          <w:szCs w:val="22"/>
        </w:rPr>
        <w:t>The following section provides key results reported by grantees for the Trials for the period of 1 July to 31 December 2021.</w:t>
      </w:r>
    </w:p>
    <w:p w:rsidR="00887502" w:rsidRPr="000E3567" w:rsidRDefault="00887502" w:rsidP="000E3567">
      <w:pPr>
        <w:pStyle w:val="Heading3"/>
      </w:pPr>
      <w:r w:rsidRPr="000E3567">
        <w:lastRenderedPageBreak/>
        <w:t>Median connection times</w:t>
      </w:r>
    </w:p>
    <w:p w:rsidR="00887502" w:rsidRDefault="00887502" w:rsidP="00AB6687">
      <w:pPr>
        <w:rPr>
          <w:rFonts w:cstheme="minorHAnsi"/>
          <w:szCs w:val="22"/>
        </w:rPr>
      </w:pPr>
      <w:r w:rsidRPr="00AB6687">
        <w:rPr>
          <w:rFonts w:cstheme="minorHAnsi"/>
          <w:szCs w:val="22"/>
        </w:rPr>
        <w:t>Table 2 shows the median time for connections of the services, noting there is some variation of the period measured due to supply approaches (e.g. the extent to which installation depended on the grantee or retailer and the customer).</w:t>
      </w:r>
    </w:p>
    <w:p w:rsidR="000E3567" w:rsidRDefault="000E3567" w:rsidP="000E3567">
      <w:pPr>
        <w:pStyle w:val="Caption"/>
      </w:pPr>
      <w:r w:rsidRPr="00304626">
        <w:t>Table 2: Median connection time</w:t>
      </w:r>
    </w:p>
    <w:tbl>
      <w:tblPr>
        <w:tblStyle w:val="DefaultTable1"/>
        <w:tblW w:w="4958" w:type="pct"/>
        <w:tblLook w:val="04A0" w:firstRow="1" w:lastRow="0" w:firstColumn="1" w:lastColumn="0" w:noHBand="0" w:noVBand="1"/>
        <w:tblDescription w:val="Table 2: Median connection time"/>
      </w:tblPr>
      <w:tblGrid>
        <w:gridCol w:w="1701"/>
        <w:gridCol w:w="1670"/>
        <w:gridCol w:w="1418"/>
        <w:gridCol w:w="1221"/>
        <w:gridCol w:w="1227"/>
        <w:gridCol w:w="1227"/>
        <w:gridCol w:w="1317"/>
      </w:tblGrid>
      <w:tr w:rsidR="00A6643D" w:rsidTr="00A6643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A6643D" w:rsidRPr="00245D93" w:rsidRDefault="00A6643D" w:rsidP="00A6643D">
            <w:pPr>
              <w:pStyle w:val="Heading4"/>
              <w:outlineLvl w:val="3"/>
              <w:rPr>
                <w:b/>
                <w:color w:val="auto"/>
                <w:sz w:val="22"/>
                <w:szCs w:val="22"/>
              </w:rPr>
            </w:pPr>
            <w:r w:rsidRPr="00245D93">
              <w:rPr>
                <w:b/>
                <w:color w:val="auto"/>
                <w:sz w:val="22"/>
                <w:szCs w:val="22"/>
              </w:rPr>
              <w:t>Month</w:t>
            </w:r>
          </w:p>
        </w:tc>
        <w:tc>
          <w:tcPr>
            <w:tcW w:w="854" w:type="pct"/>
          </w:tcPr>
          <w:p w:rsidR="00A6643D" w:rsidRPr="00245D93" w:rsidRDefault="00A6643D" w:rsidP="00A6643D">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rsidR="00A6643D" w:rsidRPr="00245D93" w:rsidRDefault="00A6643D" w:rsidP="00A6643D">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rsidR="00A6643D" w:rsidRPr="00245D93" w:rsidRDefault="00A6643D" w:rsidP="00A6643D">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rsidR="00A6643D" w:rsidRPr="00245D93" w:rsidRDefault="00A6643D" w:rsidP="00A6643D">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rsidR="00A6643D" w:rsidRPr="00245D93" w:rsidRDefault="00A6643D" w:rsidP="00A6643D">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4" w:type="pct"/>
          </w:tcPr>
          <w:p w:rsidR="00A6643D" w:rsidRPr="00245D93" w:rsidRDefault="00A6643D" w:rsidP="00A6643D">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A6643D" w:rsidTr="00A6643D">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A6643D" w:rsidRPr="00C631E1" w:rsidRDefault="00A6643D" w:rsidP="00C631E1">
            <w:pPr>
              <w:pStyle w:val="nospacing-leftalign"/>
              <w:rPr>
                <w:b/>
              </w:rPr>
            </w:pPr>
            <w:r w:rsidRPr="00C631E1">
              <w:rPr>
                <w:b/>
              </w:rPr>
              <w:t xml:space="preserve">July-Sept </w:t>
            </w:r>
          </w:p>
        </w:tc>
        <w:tc>
          <w:tcPr>
            <w:tcW w:w="854" w:type="pct"/>
            <w:vAlign w:val="center"/>
          </w:tcPr>
          <w:p w:rsidR="00A6643D" w:rsidRDefault="00A6643D" w:rsidP="00A6643D">
            <w:pPr>
              <w:pStyle w:val="nospacing-centred"/>
              <w:spacing w:before="60" w:after="60"/>
              <w:cnfStyle w:val="000000000000" w:firstRow="0" w:lastRow="0" w:firstColumn="0" w:lastColumn="0" w:oddVBand="0" w:evenVBand="0" w:oddHBand="0" w:evenHBand="0" w:firstRowFirstColumn="0" w:firstRowLastColumn="0" w:lastRowFirstColumn="0" w:lastRowLastColumn="0"/>
            </w:pPr>
            <w:r>
              <w:t>15 minutes</w:t>
            </w:r>
          </w:p>
        </w:tc>
        <w:tc>
          <w:tcPr>
            <w:tcW w:w="725" w:type="pct"/>
            <w:vAlign w:val="center"/>
          </w:tcPr>
          <w:p w:rsidR="00A6643D" w:rsidRDefault="00A6643D" w:rsidP="00A6643D">
            <w:pPr>
              <w:pStyle w:val="nospacing-centred"/>
              <w:spacing w:before="60" w:after="60"/>
              <w:cnfStyle w:val="000000000000" w:firstRow="0" w:lastRow="0" w:firstColumn="0" w:lastColumn="0" w:oddVBand="0" w:evenVBand="0" w:oddHBand="0" w:evenHBand="0" w:firstRowFirstColumn="0" w:firstRowLastColumn="0" w:lastRowFirstColumn="0" w:lastRowLastColumn="0"/>
            </w:pPr>
            <w:r>
              <w:t>25 days</w:t>
            </w:r>
          </w:p>
        </w:tc>
        <w:tc>
          <w:tcPr>
            <w:tcW w:w="624" w:type="pct"/>
            <w:vAlign w:val="center"/>
          </w:tcPr>
          <w:p w:rsidR="00A6643D" w:rsidRDefault="00A6643D" w:rsidP="00A6643D">
            <w:pPr>
              <w:pStyle w:val="nospacing-centred"/>
              <w:spacing w:before="60" w:after="60"/>
              <w:cnfStyle w:val="000000000000" w:firstRow="0" w:lastRow="0" w:firstColumn="0" w:lastColumn="0" w:oddVBand="0" w:evenVBand="0" w:oddHBand="0" w:evenHBand="0" w:firstRowFirstColumn="0" w:firstRowLastColumn="0" w:lastRowFirstColumn="0" w:lastRowLastColumn="0"/>
            </w:pPr>
            <w:r>
              <w:t>34 days</w:t>
            </w:r>
          </w:p>
        </w:tc>
        <w:tc>
          <w:tcPr>
            <w:tcW w:w="627" w:type="pct"/>
            <w:vAlign w:val="center"/>
          </w:tcPr>
          <w:p w:rsidR="00A6643D" w:rsidRDefault="00A6643D" w:rsidP="00A6643D">
            <w:pPr>
              <w:pStyle w:val="nospacing-centred"/>
              <w:spacing w:before="60" w:after="60"/>
              <w:cnfStyle w:val="000000000000" w:firstRow="0" w:lastRow="0" w:firstColumn="0" w:lastColumn="0" w:oddVBand="0" w:evenVBand="0" w:oddHBand="0" w:evenHBand="0" w:firstRowFirstColumn="0" w:firstRowLastColumn="0" w:lastRowFirstColumn="0" w:lastRowLastColumn="0"/>
            </w:pPr>
            <w:r>
              <w:t>18 days</w:t>
            </w:r>
          </w:p>
        </w:tc>
        <w:tc>
          <w:tcPr>
            <w:tcW w:w="627" w:type="pct"/>
            <w:vAlign w:val="center"/>
          </w:tcPr>
          <w:p w:rsidR="00A6643D" w:rsidRDefault="00A6643D" w:rsidP="00A6643D">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7A1AB0">
              <w:t>9 days</w:t>
            </w:r>
          </w:p>
        </w:tc>
        <w:tc>
          <w:tcPr>
            <w:tcW w:w="674" w:type="pct"/>
            <w:vAlign w:val="center"/>
          </w:tcPr>
          <w:p w:rsidR="00A6643D" w:rsidRDefault="00A6643D" w:rsidP="00A6643D">
            <w:pPr>
              <w:pStyle w:val="nospacing-centred"/>
              <w:spacing w:before="60" w:after="60"/>
              <w:cnfStyle w:val="000000000000" w:firstRow="0" w:lastRow="0" w:firstColumn="0" w:lastColumn="0" w:oddVBand="0" w:evenVBand="0" w:oddHBand="0" w:evenHBand="0" w:firstRowFirstColumn="0" w:firstRowLastColumn="0" w:lastRowFirstColumn="0" w:lastRowLastColumn="0"/>
            </w:pPr>
            <w:r>
              <w:t>32 days</w:t>
            </w:r>
          </w:p>
        </w:tc>
      </w:tr>
    </w:tbl>
    <w:p w:rsidR="00887502" w:rsidRPr="00AB6687" w:rsidRDefault="00887502" w:rsidP="00877CAD">
      <w:pPr>
        <w:spacing w:before="360"/>
        <w:rPr>
          <w:rFonts w:cstheme="minorHAnsi"/>
          <w:szCs w:val="22"/>
        </w:rPr>
      </w:pPr>
      <w:r w:rsidRPr="00AB6687">
        <w:rPr>
          <w:rFonts w:cstheme="minorHAnsi"/>
          <w:szCs w:val="22"/>
        </w:rPr>
        <w:t xml:space="preserve">Concerotel, Optus, Pivotel, Telstra and Zetifi had completed connection of customers by September. NBN Co continued connecting customers into the following quarter. Generally, the timeframes reflect the time between the order of a service and the provision of the equipment for its supply, noting most solutions involve final service activation by the customer. </w:t>
      </w:r>
    </w:p>
    <w:p w:rsidR="00887502" w:rsidRPr="00AB6687" w:rsidRDefault="00887502" w:rsidP="00AB6687">
      <w:pPr>
        <w:rPr>
          <w:rFonts w:cstheme="minorHAnsi"/>
          <w:szCs w:val="22"/>
        </w:rPr>
      </w:pPr>
      <w:proofErr w:type="spellStart"/>
      <w:r w:rsidRPr="00AB6687">
        <w:rPr>
          <w:rFonts w:cstheme="minorHAnsi"/>
          <w:szCs w:val="22"/>
        </w:rPr>
        <w:t>Concerotel’s</w:t>
      </w:r>
      <w:proofErr w:type="spellEnd"/>
      <w:r w:rsidRPr="00AB6687">
        <w:rPr>
          <w:rFonts w:cstheme="minorHAnsi"/>
          <w:szCs w:val="22"/>
        </w:rPr>
        <w:t xml:space="preserve"> short timeframe reflects its connection process which involves the download of an app with </w:t>
      </w:r>
      <w:r w:rsidRPr="00AB6687">
        <w:rPr>
          <w:rFonts w:cstheme="minorHAnsi"/>
          <w:szCs w:val="22"/>
        </w:rPr>
        <w:br/>
        <w:t>in-store support. In the case of Telstra, connections were normally provided within timeframes agreed with the customer. Telstra’s data indicates the additional time involved where an agreed timeframe could not be met and was rescheduled.</w:t>
      </w:r>
    </w:p>
    <w:p w:rsidR="00887502" w:rsidRPr="00AB6687" w:rsidRDefault="00887502" w:rsidP="00AB6687">
      <w:pPr>
        <w:rPr>
          <w:rFonts w:cstheme="minorHAnsi"/>
          <w:szCs w:val="22"/>
        </w:rPr>
      </w:pPr>
      <w:r w:rsidRPr="00AB6687">
        <w:rPr>
          <w:rFonts w:cstheme="minorHAnsi"/>
          <w:szCs w:val="22"/>
        </w:rPr>
        <w:t>We are seeking to better standardise the median connection time results for the final report.</w:t>
      </w:r>
    </w:p>
    <w:p w:rsidR="00887502" w:rsidRPr="000E3567" w:rsidRDefault="00887502" w:rsidP="000E3567">
      <w:pPr>
        <w:pStyle w:val="Heading3"/>
      </w:pPr>
      <w:r w:rsidRPr="000E3567">
        <w:t>Service uptime (availability)</w:t>
      </w:r>
    </w:p>
    <w:p w:rsidR="00887502" w:rsidRDefault="00887502" w:rsidP="00AB6687">
      <w:pPr>
        <w:rPr>
          <w:rFonts w:cstheme="minorHAnsi"/>
          <w:szCs w:val="22"/>
        </w:rPr>
      </w:pPr>
      <w:r w:rsidRPr="00AB6687">
        <w:rPr>
          <w:rFonts w:cstheme="minorHAnsi"/>
          <w:szCs w:val="22"/>
        </w:rPr>
        <w:t>Table 3 provides the uptime for the voice services (the percentage of time for which the voice service was reported as being available). Service uptime calculations for satellite-based trials incorporate downtime due to satellite outages, such as outages caused by bad weather.</w:t>
      </w:r>
    </w:p>
    <w:p w:rsidR="000E3567" w:rsidRDefault="000E3567" w:rsidP="000E3567">
      <w:pPr>
        <w:pStyle w:val="Caption"/>
      </w:pPr>
      <w:r w:rsidRPr="00304626">
        <w:t xml:space="preserve">Table 3: Service </w:t>
      </w:r>
      <w:r>
        <w:t>U</w:t>
      </w:r>
      <w:r w:rsidRPr="00304626">
        <w:t>ptime (%)</w:t>
      </w:r>
    </w:p>
    <w:tbl>
      <w:tblPr>
        <w:tblStyle w:val="DefaultTable1"/>
        <w:tblW w:w="4958" w:type="pct"/>
        <w:tblLook w:val="04A0" w:firstRow="1" w:lastRow="0" w:firstColumn="1" w:lastColumn="0" w:noHBand="0" w:noVBand="1"/>
        <w:tblDescription w:val="Table 3: Service Uptime (%)"/>
      </w:tblPr>
      <w:tblGrid>
        <w:gridCol w:w="1701"/>
        <w:gridCol w:w="1670"/>
        <w:gridCol w:w="1418"/>
        <w:gridCol w:w="1221"/>
        <w:gridCol w:w="1227"/>
        <w:gridCol w:w="1227"/>
        <w:gridCol w:w="1317"/>
      </w:tblGrid>
      <w:tr w:rsidR="00877CAD" w:rsidTr="007C129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877CAD" w:rsidRPr="00245D93" w:rsidRDefault="00877CAD" w:rsidP="007C129B">
            <w:pPr>
              <w:pStyle w:val="Heading4"/>
              <w:spacing w:before="60" w:after="60"/>
              <w:outlineLvl w:val="3"/>
              <w:rPr>
                <w:b/>
                <w:color w:val="auto"/>
                <w:sz w:val="22"/>
                <w:szCs w:val="22"/>
              </w:rPr>
            </w:pPr>
            <w:r w:rsidRPr="00245D93">
              <w:rPr>
                <w:b/>
                <w:color w:val="auto"/>
                <w:sz w:val="22"/>
                <w:szCs w:val="22"/>
              </w:rPr>
              <w:t>Month</w:t>
            </w:r>
          </w:p>
        </w:tc>
        <w:tc>
          <w:tcPr>
            <w:tcW w:w="854" w:type="pct"/>
          </w:tcPr>
          <w:p w:rsidR="00877CAD" w:rsidRPr="00245D93" w:rsidRDefault="00877CAD" w:rsidP="007C129B">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rsidR="00877CAD" w:rsidRPr="00245D93" w:rsidRDefault="00877CAD" w:rsidP="007C129B">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rsidR="00877CAD" w:rsidRPr="00245D93" w:rsidRDefault="00877CAD" w:rsidP="007C129B">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rsidR="00877CAD" w:rsidRPr="00245D93" w:rsidRDefault="00877CAD" w:rsidP="007C129B">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rsidR="00877CAD" w:rsidRPr="00245D93" w:rsidRDefault="00877CAD" w:rsidP="007C129B">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tcPr>
          <w:p w:rsidR="00877CAD" w:rsidRPr="00245D93" w:rsidRDefault="00877CAD" w:rsidP="007C129B">
            <w:pPr>
              <w:pStyle w:val="Heading4"/>
              <w:spacing w:before="60" w:after="60"/>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877CAD" w:rsidTr="007C129B">
        <w:trPr>
          <w:cantSplit/>
        </w:trPr>
        <w:tc>
          <w:tcPr>
            <w:cnfStyle w:val="001000000000" w:firstRow="0" w:lastRow="0" w:firstColumn="1" w:lastColumn="0" w:oddVBand="0" w:evenVBand="0" w:oddHBand="0" w:evenHBand="0" w:firstRowFirstColumn="0" w:firstRowLastColumn="0" w:lastRowFirstColumn="0" w:lastRowLastColumn="0"/>
            <w:tcW w:w="870" w:type="pct"/>
          </w:tcPr>
          <w:p w:rsidR="00877CAD" w:rsidRPr="00C631E1" w:rsidRDefault="00877CAD" w:rsidP="00C631E1">
            <w:pPr>
              <w:pStyle w:val="nospacing-leftalign"/>
              <w:rPr>
                <w:b/>
              </w:rPr>
            </w:pPr>
            <w:r w:rsidRPr="00C631E1">
              <w:rPr>
                <w:b/>
              </w:rPr>
              <w:t xml:space="preserve">July </w:t>
            </w:r>
          </w:p>
        </w:tc>
        <w:tc>
          <w:tcPr>
            <w:tcW w:w="854"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 (NI)</w:t>
            </w:r>
          </w:p>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89 (CKI)</w:t>
            </w:r>
          </w:p>
        </w:tc>
        <w:tc>
          <w:tcPr>
            <w:tcW w:w="725"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t>95</w:t>
            </w:r>
          </w:p>
        </w:tc>
        <w:tc>
          <w:tcPr>
            <w:tcW w:w="624"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73"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99.46</w:t>
            </w:r>
          </w:p>
        </w:tc>
      </w:tr>
      <w:tr w:rsidR="00877CA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877CAD" w:rsidRPr="00C631E1" w:rsidRDefault="00877CAD" w:rsidP="00C631E1">
            <w:pPr>
              <w:pStyle w:val="nospacing-leftalign"/>
              <w:rPr>
                <w:b/>
              </w:rPr>
            </w:pPr>
            <w:r w:rsidRPr="00C631E1">
              <w:rPr>
                <w:b/>
              </w:rPr>
              <w:t>August</w:t>
            </w:r>
          </w:p>
        </w:tc>
        <w:tc>
          <w:tcPr>
            <w:tcW w:w="854"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 (NI)</w:t>
            </w:r>
          </w:p>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94 (CKI)</w:t>
            </w:r>
          </w:p>
        </w:tc>
        <w:tc>
          <w:tcPr>
            <w:tcW w:w="725"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t>98.33</w:t>
            </w:r>
          </w:p>
        </w:tc>
        <w:tc>
          <w:tcPr>
            <w:tcW w:w="624"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73"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99.54</w:t>
            </w:r>
          </w:p>
        </w:tc>
      </w:tr>
      <w:tr w:rsidR="00877CAD" w:rsidTr="007C129B">
        <w:trPr>
          <w:cantSplit/>
        </w:trPr>
        <w:tc>
          <w:tcPr>
            <w:cnfStyle w:val="001000000000" w:firstRow="0" w:lastRow="0" w:firstColumn="1" w:lastColumn="0" w:oddVBand="0" w:evenVBand="0" w:oddHBand="0" w:evenHBand="0" w:firstRowFirstColumn="0" w:firstRowLastColumn="0" w:lastRowFirstColumn="0" w:lastRowLastColumn="0"/>
            <w:tcW w:w="870" w:type="pct"/>
          </w:tcPr>
          <w:p w:rsidR="00877CAD" w:rsidRPr="00C631E1" w:rsidRDefault="00877CAD" w:rsidP="00C631E1">
            <w:pPr>
              <w:pStyle w:val="nospacing-leftalign"/>
              <w:rPr>
                <w:b/>
              </w:rPr>
            </w:pPr>
            <w:r w:rsidRPr="00C631E1">
              <w:rPr>
                <w:b/>
              </w:rPr>
              <w:t>September</w:t>
            </w:r>
          </w:p>
        </w:tc>
        <w:tc>
          <w:tcPr>
            <w:tcW w:w="854"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 (NI)</w:t>
            </w:r>
          </w:p>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97 (CKI)</w:t>
            </w:r>
          </w:p>
        </w:tc>
        <w:tc>
          <w:tcPr>
            <w:tcW w:w="725"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t>98.64</w:t>
            </w:r>
          </w:p>
        </w:tc>
        <w:tc>
          <w:tcPr>
            <w:tcW w:w="624"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99.91</w:t>
            </w:r>
          </w:p>
        </w:tc>
        <w:tc>
          <w:tcPr>
            <w:tcW w:w="627"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73"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99.85</w:t>
            </w:r>
          </w:p>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p>
        </w:tc>
      </w:tr>
      <w:tr w:rsidR="00877CA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877CAD" w:rsidRPr="00C631E1" w:rsidRDefault="00877CAD" w:rsidP="00C631E1">
            <w:pPr>
              <w:pStyle w:val="nospacing-leftalign"/>
              <w:rPr>
                <w:b/>
              </w:rPr>
            </w:pPr>
            <w:r w:rsidRPr="00C631E1">
              <w:rPr>
                <w:b/>
              </w:rPr>
              <w:t>October</w:t>
            </w:r>
          </w:p>
        </w:tc>
        <w:tc>
          <w:tcPr>
            <w:tcW w:w="854"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97 (NI)</w:t>
            </w:r>
          </w:p>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CKI*</w:t>
            </w:r>
          </w:p>
        </w:tc>
        <w:tc>
          <w:tcPr>
            <w:tcW w:w="725"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99.13</w:t>
            </w:r>
          </w:p>
        </w:tc>
        <w:tc>
          <w:tcPr>
            <w:tcW w:w="624"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99.95</w:t>
            </w:r>
          </w:p>
        </w:tc>
        <w:tc>
          <w:tcPr>
            <w:tcW w:w="627"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73"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99.22</w:t>
            </w:r>
          </w:p>
        </w:tc>
      </w:tr>
      <w:tr w:rsidR="00877CAD" w:rsidTr="007C129B">
        <w:trPr>
          <w:cantSplit/>
        </w:trPr>
        <w:tc>
          <w:tcPr>
            <w:cnfStyle w:val="001000000000" w:firstRow="0" w:lastRow="0" w:firstColumn="1" w:lastColumn="0" w:oddVBand="0" w:evenVBand="0" w:oddHBand="0" w:evenHBand="0" w:firstRowFirstColumn="0" w:firstRowLastColumn="0" w:lastRowFirstColumn="0" w:lastRowLastColumn="0"/>
            <w:tcW w:w="870" w:type="pct"/>
          </w:tcPr>
          <w:p w:rsidR="00877CAD" w:rsidRPr="00C631E1" w:rsidRDefault="00877CAD" w:rsidP="00C631E1">
            <w:pPr>
              <w:pStyle w:val="nospacing-leftalign"/>
              <w:rPr>
                <w:b/>
              </w:rPr>
            </w:pPr>
            <w:r w:rsidRPr="00C631E1">
              <w:rPr>
                <w:b/>
              </w:rPr>
              <w:t>November</w:t>
            </w:r>
          </w:p>
        </w:tc>
        <w:tc>
          <w:tcPr>
            <w:tcW w:w="854"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97 (NI)</w:t>
            </w:r>
          </w:p>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CKI*</w:t>
            </w:r>
          </w:p>
        </w:tc>
        <w:tc>
          <w:tcPr>
            <w:tcW w:w="725"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98.94</w:t>
            </w:r>
          </w:p>
        </w:tc>
        <w:tc>
          <w:tcPr>
            <w:tcW w:w="624"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27"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99.31</w:t>
            </w:r>
          </w:p>
        </w:tc>
        <w:tc>
          <w:tcPr>
            <w:tcW w:w="627"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100</w:t>
            </w:r>
          </w:p>
        </w:tc>
        <w:tc>
          <w:tcPr>
            <w:tcW w:w="673" w:type="pct"/>
          </w:tcPr>
          <w:p w:rsidR="00877CAD" w:rsidRPr="000A5A84" w:rsidRDefault="00877CAD" w:rsidP="007C129B">
            <w:pPr>
              <w:pStyle w:val="nospacing-centred"/>
              <w:spacing w:before="60" w:after="60"/>
              <w:cnfStyle w:val="000000000000" w:firstRow="0" w:lastRow="0" w:firstColumn="0" w:lastColumn="0" w:oddVBand="0" w:evenVBand="0" w:oddHBand="0" w:evenHBand="0" w:firstRowFirstColumn="0" w:firstRowLastColumn="0" w:lastRowFirstColumn="0" w:lastRowLastColumn="0"/>
            </w:pPr>
            <w:r w:rsidRPr="000A5A84">
              <w:t>99.94</w:t>
            </w:r>
          </w:p>
        </w:tc>
      </w:tr>
      <w:tr w:rsidR="00877CA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877CAD" w:rsidRPr="00C631E1" w:rsidRDefault="00877CAD" w:rsidP="00C631E1">
            <w:pPr>
              <w:pStyle w:val="nospacing-leftalign"/>
              <w:rPr>
                <w:b/>
              </w:rPr>
            </w:pPr>
            <w:r w:rsidRPr="00C631E1">
              <w:rPr>
                <w:b/>
              </w:rPr>
              <w:t>December</w:t>
            </w:r>
          </w:p>
        </w:tc>
        <w:tc>
          <w:tcPr>
            <w:tcW w:w="854"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97 (NI)</w:t>
            </w:r>
          </w:p>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CKI*</w:t>
            </w:r>
          </w:p>
        </w:tc>
        <w:tc>
          <w:tcPr>
            <w:tcW w:w="725"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98.54</w:t>
            </w:r>
          </w:p>
        </w:tc>
        <w:tc>
          <w:tcPr>
            <w:tcW w:w="624"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100</w:t>
            </w:r>
          </w:p>
        </w:tc>
        <w:tc>
          <w:tcPr>
            <w:tcW w:w="627"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0A5A84">
              <w:t>98.85</w:t>
            </w:r>
          </w:p>
        </w:tc>
        <w:tc>
          <w:tcPr>
            <w:tcW w:w="627" w:type="pct"/>
          </w:tcPr>
          <w:p w:rsidR="00877CAD" w:rsidRPr="000A5A84"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t>100</w:t>
            </w:r>
          </w:p>
        </w:tc>
        <w:tc>
          <w:tcPr>
            <w:tcW w:w="673" w:type="pct"/>
          </w:tcPr>
          <w:p w:rsidR="00877CAD" w:rsidRPr="00CE1CBF" w:rsidRDefault="00877CAD" w:rsidP="007C129B">
            <w:pPr>
              <w:pStyle w:val="nospacing-centred"/>
              <w:spacing w:before="60" w:after="60"/>
              <w:cnfStyle w:val="000000010000" w:firstRow="0" w:lastRow="0" w:firstColumn="0" w:lastColumn="0" w:oddVBand="0" w:evenVBand="0" w:oddHBand="0" w:evenHBand="1" w:firstRowFirstColumn="0" w:firstRowLastColumn="0" w:lastRowFirstColumn="0" w:lastRowLastColumn="0"/>
            </w:pPr>
            <w:r w:rsidRPr="00CE1CBF">
              <w:t>98.42</w:t>
            </w:r>
          </w:p>
        </w:tc>
      </w:tr>
    </w:tbl>
    <w:p w:rsidR="00877CAD" w:rsidRPr="00AB6687" w:rsidRDefault="00877CAD" w:rsidP="00877CAD">
      <w:pPr>
        <w:pStyle w:val="Sourcenotes"/>
      </w:pPr>
      <w:r w:rsidRPr="00AB6687">
        <w:t>*Data was not available due to a system issue.</w:t>
      </w:r>
    </w:p>
    <w:p w:rsidR="00887502" w:rsidRPr="000E3567" w:rsidRDefault="00887502" w:rsidP="000E3567">
      <w:pPr>
        <w:pStyle w:val="Heading3"/>
      </w:pPr>
      <w:r w:rsidRPr="000E3567">
        <w:lastRenderedPageBreak/>
        <w:t>Call volumes</w:t>
      </w:r>
    </w:p>
    <w:p w:rsidR="00887502" w:rsidRDefault="00887502" w:rsidP="00004B4C">
      <w:pPr>
        <w:keepNext/>
      </w:pPr>
      <w:r w:rsidRPr="000E3567">
        <w:t>Table 4 provides call volumes across all services in the Trials, broken down by grantees.</w:t>
      </w:r>
    </w:p>
    <w:p w:rsidR="000E3567" w:rsidRDefault="000E3567" w:rsidP="000E3567">
      <w:pPr>
        <w:pStyle w:val="Caption"/>
      </w:pPr>
      <w:r w:rsidRPr="00304626">
        <w:t>Table 4: Total call volumes per month of the Trial across all trail services</w:t>
      </w:r>
    </w:p>
    <w:tbl>
      <w:tblPr>
        <w:tblStyle w:val="DefaultTable1"/>
        <w:tblW w:w="4958" w:type="pct"/>
        <w:tblLook w:val="04A0" w:firstRow="1" w:lastRow="0" w:firstColumn="1" w:lastColumn="0" w:noHBand="0" w:noVBand="1"/>
        <w:tblDescription w:val="Table 4: Total call volumes per month of the Trial across all trial services"/>
      </w:tblPr>
      <w:tblGrid>
        <w:gridCol w:w="1701"/>
        <w:gridCol w:w="1670"/>
        <w:gridCol w:w="1418"/>
        <w:gridCol w:w="1221"/>
        <w:gridCol w:w="1227"/>
        <w:gridCol w:w="1227"/>
        <w:gridCol w:w="1317"/>
      </w:tblGrid>
      <w:tr w:rsidR="00877CAD" w:rsidTr="007C129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877CAD" w:rsidRPr="00245D93" w:rsidRDefault="00877CAD" w:rsidP="007C129B">
            <w:pPr>
              <w:pStyle w:val="Heading4"/>
              <w:outlineLvl w:val="3"/>
              <w:rPr>
                <w:b/>
                <w:color w:val="auto"/>
                <w:sz w:val="22"/>
                <w:szCs w:val="22"/>
              </w:rPr>
            </w:pPr>
            <w:r w:rsidRPr="00245D93">
              <w:rPr>
                <w:b/>
                <w:color w:val="auto"/>
                <w:sz w:val="22"/>
                <w:szCs w:val="22"/>
              </w:rPr>
              <w:t>Month</w:t>
            </w:r>
          </w:p>
        </w:tc>
        <w:tc>
          <w:tcPr>
            <w:tcW w:w="854" w:type="pct"/>
            <w:vAlign w:val="center"/>
          </w:tcPr>
          <w:p w:rsidR="00877CAD" w:rsidRPr="00245D93" w:rsidRDefault="00877CA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vAlign w:val="center"/>
          </w:tcPr>
          <w:p w:rsidR="00877CAD" w:rsidRPr="00245D93" w:rsidRDefault="00877CA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vAlign w:val="center"/>
          </w:tcPr>
          <w:p w:rsidR="00877CAD" w:rsidRPr="00245D93" w:rsidRDefault="00877CA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vAlign w:val="center"/>
          </w:tcPr>
          <w:p w:rsidR="00877CAD" w:rsidRPr="00245D93" w:rsidRDefault="00877CA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vAlign w:val="center"/>
          </w:tcPr>
          <w:p w:rsidR="00877CAD" w:rsidRPr="00245D93" w:rsidRDefault="00877CA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vAlign w:val="center"/>
          </w:tcPr>
          <w:p w:rsidR="00877CAD" w:rsidRPr="00245D93" w:rsidRDefault="00877CA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877CAD" w:rsidTr="007C129B">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877CAD" w:rsidRPr="00AB424D" w:rsidRDefault="00877CAD" w:rsidP="00AB424D">
            <w:pPr>
              <w:pStyle w:val="nospacing-leftalign"/>
              <w:rPr>
                <w:b/>
              </w:rPr>
            </w:pPr>
            <w:r w:rsidRPr="00AB424D">
              <w:rPr>
                <w:b/>
              </w:rPr>
              <w:t>July</w:t>
            </w:r>
          </w:p>
        </w:tc>
        <w:tc>
          <w:tcPr>
            <w:tcW w:w="854" w:type="pct"/>
          </w:tcPr>
          <w:p w:rsidR="00877CAD" w:rsidRPr="00AB424D" w:rsidRDefault="00877CAD" w:rsidP="00AB424D">
            <w:pPr>
              <w:pStyle w:val="nospacing-centred"/>
              <w:spacing w:before="0"/>
              <w:cnfStyle w:val="000000000000" w:firstRow="0" w:lastRow="0" w:firstColumn="0" w:lastColumn="0" w:oddVBand="0" w:evenVBand="0" w:oddHBand="0" w:evenHBand="0" w:firstRowFirstColumn="0" w:firstRowLastColumn="0" w:lastRowFirstColumn="0" w:lastRowLastColumn="0"/>
            </w:pPr>
            <w:r w:rsidRPr="00AB424D">
              <w:t>418</w:t>
            </w:r>
          </w:p>
        </w:tc>
        <w:tc>
          <w:tcPr>
            <w:tcW w:w="725" w:type="pct"/>
          </w:tcPr>
          <w:p w:rsidR="00877CAD" w:rsidRPr="00AB424D"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424D">
              <w:t>431</w:t>
            </w:r>
          </w:p>
        </w:tc>
        <w:tc>
          <w:tcPr>
            <w:tcW w:w="624" w:type="pct"/>
          </w:tcPr>
          <w:p w:rsidR="00877CAD" w:rsidRPr="00AB424D"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424D">
              <w:t>53</w:t>
            </w:r>
          </w:p>
        </w:tc>
        <w:tc>
          <w:tcPr>
            <w:tcW w:w="627" w:type="pct"/>
          </w:tcPr>
          <w:p w:rsidR="00877CAD" w:rsidRPr="00AB424D"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424D">
              <w:t>0</w:t>
            </w:r>
          </w:p>
        </w:tc>
        <w:tc>
          <w:tcPr>
            <w:tcW w:w="627" w:type="pct"/>
          </w:tcPr>
          <w:p w:rsidR="00877CAD" w:rsidRPr="00AB424D"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424D">
              <w:t>5,257</w:t>
            </w:r>
          </w:p>
        </w:tc>
        <w:tc>
          <w:tcPr>
            <w:tcW w:w="673" w:type="pct"/>
          </w:tcPr>
          <w:p w:rsidR="00877CAD" w:rsidRPr="00AB424D"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424D">
              <w:t>N/A</w:t>
            </w:r>
          </w:p>
        </w:tc>
      </w:tr>
      <w:tr w:rsidR="00877CA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877CAD" w:rsidRPr="00AB424D" w:rsidRDefault="00877CAD" w:rsidP="00AB424D">
            <w:pPr>
              <w:pStyle w:val="nospacing-leftalign"/>
              <w:rPr>
                <w:b/>
              </w:rPr>
            </w:pPr>
            <w:r w:rsidRPr="00AB424D">
              <w:rPr>
                <w:b/>
              </w:rPr>
              <w:t>August</w:t>
            </w:r>
          </w:p>
        </w:tc>
        <w:tc>
          <w:tcPr>
            <w:tcW w:w="854"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1,487</w:t>
            </w:r>
          </w:p>
        </w:tc>
        <w:tc>
          <w:tcPr>
            <w:tcW w:w="725"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895</w:t>
            </w:r>
          </w:p>
        </w:tc>
        <w:tc>
          <w:tcPr>
            <w:tcW w:w="624"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74</w:t>
            </w:r>
          </w:p>
        </w:tc>
        <w:tc>
          <w:tcPr>
            <w:tcW w:w="627"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60</w:t>
            </w:r>
          </w:p>
        </w:tc>
        <w:tc>
          <w:tcPr>
            <w:tcW w:w="627"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5,800</w:t>
            </w:r>
          </w:p>
        </w:tc>
        <w:tc>
          <w:tcPr>
            <w:tcW w:w="673"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N/A</w:t>
            </w:r>
          </w:p>
        </w:tc>
      </w:tr>
      <w:tr w:rsidR="00877CAD" w:rsidTr="007C129B">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877CAD" w:rsidRPr="00AB424D" w:rsidRDefault="00877CAD" w:rsidP="00AB424D">
            <w:pPr>
              <w:pStyle w:val="nospacing-leftalign"/>
              <w:rPr>
                <w:b/>
              </w:rPr>
            </w:pPr>
            <w:r w:rsidRPr="00AB424D">
              <w:rPr>
                <w:b/>
              </w:rPr>
              <w:t>September</w:t>
            </w:r>
          </w:p>
        </w:tc>
        <w:tc>
          <w:tcPr>
            <w:tcW w:w="854"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2,482</w:t>
            </w:r>
          </w:p>
        </w:tc>
        <w:tc>
          <w:tcPr>
            <w:tcW w:w="725"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1,379</w:t>
            </w:r>
          </w:p>
        </w:tc>
        <w:tc>
          <w:tcPr>
            <w:tcW w:w="624"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57</w:t>
            </w:r>
          </w:p>
        </w:tc>
        <w:tc>
          <w:tcPr>
            <w:tcW w:w="627"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158</w:t>
            </w:r>
          </w:p>
        </w:tc>
        <w:tc>
          <w:tcPr>
            <w:tcW w:w="627"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4,852</w:t>
            </w:r>
          </w:p>
        </w:tc>
        <w:tc>
          <w:tcPr>
            <w:tcW w:w="673"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N/A</w:t>
            </w:r>
          </w:p>
        </w:tc>
      </w:tr>
      <w:tr w:rsidR="00877CA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877CAD" w:rsidRPr="00AB424D" w:rsidRDefault="00877CAD" w:rsidP="00AB424D">
            <w:pPr>
              <w:pStyle w:val="nospacing-leftalign"/>
              <w:rPr>
                <w:b/>
              </w:rPr>
            </w:pPr>
            <w:r w:rsidRPr="00AB424D">
              <w:rPr>
                <w:b/>
              </w:rPr>
              <w:t>October</w:t>
            </w:r>
          </w:p>
        </w:tc>
        <w:tc>
          <w:tcPr>
            <w:tcW w:w="854"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2,638</w:t>
            </w:r>
          </w:p>
        </w:tc>
        <w:tc>
          <w:tcPr>
            <w:tcW w:w="725"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2,229</w:t>
            </w:r>
          </w:p>
        </w:tc>
        <w:tc>
          <w:tcPr>
            <w:tcW w:w="624"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70</w:t>
            </w:r>
          </w:p>
        </w:tc>
        <w:tc>
          <w:tcPr>
            <w:tcW w:w="627"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443</w:t>
            </w:r>
          </w:p>
        </w:tc>
        <w:tc>
          <w:tcPr>
            <w:tcW w:w="627"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6,050</w:t>
            </w:r>
          </w:p>
        </w:tc>
        <w:tc>
          <w:tcPr>
            <w:tcW w:w="673"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N/A</w:t>
            </w:r>
          </w:p>
        </w:tc>
      </w:tr>
      <w:tr w:rsidR="00877CAD" w:rsidTr="007C129B">
        <w:trPr>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877CAD" w:rsidRPr="00AB424D" w:rsidRDefault="00877CAD" w:rsidP="00AB424D">
            <w:pPr>
              <w:pStyle w:val="nospacing-leftalign"/>
              <w:rPr>
                <w:b/>
              </w:rPr>
            </w:pPr>
            <w:r w:rsidRPr="00AB424D">
              <w:rPr>
                <w:b/>
              </w:rPr>
              <w:t>November</w:t>
            </w:r>
          </w:p>
        </w:tc>
        <w:tc>
          <w:tcPr>
            <w:tcW w:w="854"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3,572</w:t>
            </w:r>
          </w:p>
        </w:tc>
        <w:tc>
          <w:tcPr>
            <w:tcW w:w="725"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2,808</w:t>
            </w:r>
          </w:p>
        </w:tc>
        <w:tc>
          <w:tcPr>
            <w:tcW w:w="624"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48</w:t>
            </w:r>
          </w:p>
        </w:tc>
        <w:tc>
          <w:tcPr>
            <w:tcW w:w="627"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628</w:t>
            </w:r>
          </w:p>
        </w:tc>
        <w:tc>
          <w:tcPr>
            <w:tcW w:w="627"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5,865</w:t>
            </w:r>
          </w:p>
        </w:tc>
        <w:tc>
          <w:tcPr>
            <w:tcW w:w="673" w:type="pct"/>
          </w:tcPr>
          <w:p w:rsidR="00877CAD" w:rsidRPr="00AB6687" w:rsidRDefault="00877CA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N/A</w:t>
            </w:r>
          </w:p>
        </w:tc>
      </w:tr>
      <w:tr w:rsidR="00877CA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vAlign w:val="center"/>
          </w:tcPr>
          <w:p w:rsidR="00877CAD" w:rsidRPr="00AB424D" w:rsidRDefault="00877CAD" w:rsidP="00AB424D">
            <w:pPr>
              <w:pStyle w:val="nospacing-leftalign"/>
              <w:rPr>
                <w:b/>
              </w:rPr>
            </w:pPr>
            <w:r w:rsidRPr="00AB424D">
              <w:rPr>
                <w:b/>
              </w:rPr>
              <w:t>December</w:t>
            </w:r>
          </w:p>
        </w:tc>
        <w:tc>
          <w:tcPr>
            <w:tcW w:w="854"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3,772</w:t>
            </w:r>
          </w:p>
        </w:tc>
        <w:tc>
          <w:tcPr>
            <w:tcW w:w="725"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2,163</w:t>
            </w:r>
          </w:p>
        </w:tc>
        <w:tc>
          <w:tcPr>
            <w:tcW w:w="624"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58</w:t>
            </w:r>
          </w:p>
        </w:tc>
        <w:tc>
          <w:tcPr>
            <w:tcW w:w="627"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591</w:t>
            </w:r>
          </w:p>
        </w:tc>
        <w:tc>
          <w:tcPr>
            <w:tcW w:w="627" w:type="pct"/>
          </w:tcPr>
          <w:p w:rsidR="00877CAD" w:rsidRPr="00AB6687" w:rsidRDefault="00877CA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5,209</w:t>
            </w:r>
          </w:p>
        </w:tc>
        <w:tc>
          <w:tcPr>
            <w:tcW w:w="673" w:type="pct"/>
          </w:tcPr>
          <w:p w:rsidR="00877CA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t>N/A</w:t>
            </w:r>
          </w:p>
        </w:tc>
      </w:tr>
    </w:tbl>
    <w:p w:rsidR="00887502" w:rsidRPr="00AB6687" w:rsidRDefault="00887502" w:rsidP="00004B4C">
      <w:pPr>
        <w:pStyle w:val="normal-12ptbefore"/>
      </w:pPr>
      <w:r w:rsidRPr="00AB6687">
        <w:t xml:space="preserve">Call volumes include the total number of outgoing and incoming calls across all services, with the exception of </w:t>
      </w:r>
      <w:proofErr w:type="spellStart"/>
      <w:r w:rsidRPr="00AB6687">
        <w:t>Pivotel</w:t>
      </w:r>
      <w:proofErr w:type="spellEnd"/>
      <w:r w:rsidRPr="00AB6687">
        <w:t xml:space="preserve"> and </w:t>
      </w:r>
      <w:proofErr w:type="spellStart"/>
      <w:r w:rsidRPr="00AB6687">
        <w:t>MultiWave</w:t>
      </w:r>
      <w:proofErr w:type="spellEnd"/>
      <w:r w:rsidRPr="00AB6687">
        <w:t xml:space="preserve"> in the NBN Co trial, which only bills outgoing calls and therefore do not record incoming calls in their business systems. As the figures cover calls that were successfully connected and answered, they do not include calls that were made but not answered (for example, because the call recipient was away or busy). Zetifi cannot directly monitor call volumes as it does not originate or terminate calls. Optus’s call volumes are low because it has only a small number of triallists (15), and because triallists also used over-the-top applications to make calls and send messages, which are not recorded by Optus’s billing systems, and also continued to use their pre-existing mobile services. Optus’s and </w:t>
      </w:r>
      <w:proofErr w:type="spellStart"/>
      <w:r w:rsidRPr="00AB6687">
        <w:t>Zetifi’s</w:t>
      </w:r>
      <w:proofErr w:type="spellEnd"/>
      <w:r w:rsidRPr="00AB6687">
        <w:t xml:space="preserve"> triallists also regularly used their services to access the Internet.</w:t>
      </w:r>
    </w:p>
    <w:p w:rsidR="00887502" w:rsidRPr="000E3567" w:rsidRDefault="00887502" w:rsidP="00004B4C">
      <w:pPr>
        <w:pStyle w:val="Heading3"/>
      </w:pPr>
      <w:r w:rsidRPr="00004B4C">
        <w:t>Average</w:t>
      </w:r>
      <w:r w:rsidRPr="000E3567">
        <w:t xml:space="preserve"> call success rate</w:t>
      </w:r>
    </w:p>
    <w:p w:rsidR="00887502" w:rsidRDefault="00887502" w:rsidP="00AB6687">
      <w:pPr>
        <w:rPr>
          <w:rFonts w:cstheme="minorHAnsi"/>
          <w:szCs w:val="22"/>
        </w:rPr>
      </w:pPr>
      <w:r w:rsidRPr="00AB6687">
        <w:rPr>
          <w:rFonts w:cstheme="minorHAnsi"/>
          <w:szCs w:val="22"/>
        </w:rPr>
        <w:t>Table 5 provides average call success rates. This is the percentage of calls able to be delivered, regardless of whether they are answered by the party called.</w:t>
      </w:r>
    </w:p>
    <w:p w:rsidR="000E3567" w:rsidRDefault="000E3567" w:rsidP="000E3567">
      <w:pPr>
        <w:pStyle w:val="Caption"/>
      </w:pPr>
      <w:r w:rsidRPr="00304626">
        <w:t>Table 5: Average Call Success Rate (%)</w:t>
      </w:r>
    </w:p>
    <w:tbl>
      <w:tblPr>
        <w:tblStyle w:val="DefaultTable1"/>
        <w:tblW w:w="4958" w:type="pct"/>
        <w:tblLook w:val="04A0" w:firstRow="1" w:lastRow="0" w:firstColumn="1" w:lastColumn="0" w:noHBand="0" w:noVBand="1"/>
        <w:tblDescription w:val="Table 5: Average Call Success Rate (%)"/>
      </w:tblPr>
      <w:tblGrid>
        <w:gridCol w:w="1701"/>
        <w:gridCol w:w="1670"/>
        <w:gridCol w:w="1418"/>
        <w:gridCol w:w="1221"/>
        <w:gridCol w:w="1227"/>
        <w:gridCol w:w="1227"/>
        <w:gridCol w:w="1317"/>
      </w:tblGrid>
      <w:tr w:rsidR="00AB424D" w:rsidTr="007C129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245D93" w:rsidRDefault="00AB424D" w:rsidP="007C129B">
            <w:pPr>
              <w:pStyle w:val="Heading4"/>
              <w:outlineLvl w:val="3"/>
              <w:rPr>
                <w:b/>
                <w:color w:val="auto"/>
                <w:sz w:val="22"/>
                <w:szCs w:val="22"/>
              </w:rPr>
            </w:pPr>
            <w:r w:rsidRPr="00245D93">
              <w:rPr>
                <w:b/>
                <w:color w:val="auto"/>
                <w:sz w:val="22"/>
                <w:szCs w:val="22"/>
              </w:rPr>
              <w:t>Month</w:t>
            </w:r>
          </w:p>
        </w:tc>
        <w:tc>
          <w:tcPr>
            <w:tcW w:w="854"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AB424D" w:rsidTr="007C129B">
        <w:trPr>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July</w:t>
            </w:r>
          </w:p>
        </w:tc>
        <w:tc>
          <w:tcPr>
            <w:tcW w:w="85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67 (CKI)</w:t>
            </w:r>
          </w:p>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94 (NI)</w:t>
            </w:r>
          </w:p>
        </w:tc>
        <w:tc>
          <w:tcPr>
            <w:tcW w:w="725"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94.76</w:t>
            </w:r>
          </w:p>
        </w:tc>
        <w:tc>
          <w:tcPr>
            <w:tcW w:w="62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100</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Not  available</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99.33 (4G)</w:t>
            </w:r>
          </w:p>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98.67 (Sat)</w:t>
            </w:r>
          </w:p>
        </w:tc>
        <w:tc>
          <w:tcPr>
            <w:tcW w:w="673"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N/A</w:t>
            </w:r>
          </w:p>
        </w:tc>
      </w:tr>
      <w:tr w:rsidR="00AB424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August</w:t>
            </w:r>
          </w:p>
        </w:tc>
        <w:tc>
          <w:tcPr>
            <w:tcW w:w="85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74 (CKI)</w:t>
            </w:r>
          </w:p>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85 (NI)</w:t>
            </w:r>
          </w:p>
        </w:tc>
        <w:tc>
          <w:tcPr>
            <w:tcW w:w="725"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99.76</w:t>
            </w:r>
          </w:p>
        </w:tc>
        <w:tc>
          <w:tcPr>
            <w:tcW w:w="62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100</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75</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99.37 (4G)</w:t>
            </w:r>
          </w:p>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92.38 (Sat)</w:t>
            </w:r>
          </w:p>
        </w:tc>
        <w:tc>
          <w:tcPr>
            <w:tcW w:w="673"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N/A</w:t>
            </w:r>
          </w:p>
        </w:tc>
      </w:tr>
      <w:tr w:rsidR="00AB424D" w:rsidTr="007C129B">
        <w:trPr>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September</w:t>
            </w:r>
          </w:p>
        </w:tc>
        <w:tc>
          <w:tcPr>
            <w:tcW w:w="85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84 (CKI)</w:t>
            </w:r>
          </w:p>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91 (NI)</w:t>
            </w:r>
          </w:p>
        </w:tc>
        <w:tc>
          <w:tcPr>
            <w:tcW w:w="725"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99.86</w:t>
            </w:r>
          </w:p>
        </w:tc>
        <w:tc>
          <w:tcPr>
            <w:tcW w:w="62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100</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97</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99.17 (4G)</w:t>
            </w:r>
          </w:p>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99.09 (Sat)</w:t>
            </w:r>
          </w:p>
        </w:tc>
        <w:tc>
          <w:tcPr>
            <w:tcW w:w="673"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N/A</w:t>
            </w:r>
          </w:p>
        </w:tc>
      </w:tr>
      <w:tr w:rsidR="00AB424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October</w:t>
            </w:r>
          </w:p>
        </w:tc>
        <w:tc>
          <w:tcPr>
            <w:tcW w:w="85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74 (CKI)</w:t>
            </w:r>
          </w:p>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82 (NI)</w:t>
            </w:r>
          </w:p>
        </w:tc>
        <w:tc>
          <w:tcPr>
            <w:tcW w:w="725"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93</w:t>
            </w:r>
          </w:p>
        </w:tc>
        <w:tc>
          <w:tcPr>
            <w:tcW w:w="62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100</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91</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99.31 (4G)</w:t>
            </w:r>
          </w:p>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95.57 (Sat)</w:t>
            </w:r>
          </w:p>
        </w:tc>
        <w:tc>
          <w:tcPr>
            <w:tcW w:w="673"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N/A</w:t>
            </w:r>
          </w:p>
        </w:tc>
      </w:tr>
      <w:tr w:rsidR="00AB424D" w:rsidTr="007C129B">
        <w:trPr>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November</w:t>
            </w:r>
          </w:p>
        </w:tc>
        <w:tc>
          <w:tcPr>
            <w:tcW w:w="85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86 (CKI)</w:t>
            </w:r>
          </w:p>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91 (NI)</w:t>
            </w:r>
          </w:p>
        </w:tc>
        <w:tc>
          <w:tcPr>
            <w:tcW w:w="725"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95.43</w:t>
            </w:r>
          </w:p>
        </w:tc>
        <w:tc>
          <w:tcPr>
            <w:tcW w:w="62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100</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98</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99.28 (4G)</w:t>
            </w:r>
          </w:p>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98.54 (Sat)</w:t>
            </w:r>
          </w:p>
        </w:tc>
        <w:tc>
          <w:tcPr>
            <w:tcW w:w="673"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N/A</w:t>
            </w:r>
          </w:p>
        </w:tc>
      </w:tr>
      <w:tr w:rsidR="00AB424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December</w:t>
            </w:r>
          </w:p>
        </w:tc>
        <w:tc>
          <w:tcPr>
            <w:tcW w:w="85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84 (CKI)</w:t>
            </w:r>
          </w:p>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91 (NI)</w:t>
            </w:r>
          </w:p>
        </w:tc>
        <w:tc>
          <w:tcPr>
            <w:tcW w:w="725"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94.76</w:t>
            </w:r>
          </w:p>
        </w:tc>
        <w:tc>
          <w:tcPr>
            <w:tcW w:w="62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100</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99</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99.41 (4G)</w:t>
            </w:r>
          </w:p>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98.56 (Sat)</w:t>
            </w:r>
          </w:p>
        </w:tc>
        <w:tc>
          <w:tcPr>
            <w:tcW w:w="673"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N/A</w:t>
            </w:r>
          </w:p>
        </w:tc>
      </w:tr>
    </w:tbl>
    <w:p w:rsidR="00887502" w:rsidRPr="000E3567" w:rsidRDefault="00887502" w:rsidP="00004B4C">
      <w:pPr>
        <w:pStyle w:val="normal-12ptbefore"/>
      </w:pPr>
      <w:proofErr w:type="spellStart"/>
      <w:r w:rsidRPr="000E3567">
        <w:t>Concerotel’s</w:t>
      </w:r>
      <w:proofErr w:type="spellEnd"/>
      <w:r w:rsidRPr="000E3567">
        <w:t xml:space="preserve"> initial average call success rate results for July and August </w:t>
      </w:r>
      <w:r w:rsidRPr="00004B4C">
        <w:t>excluded</w:t>
      </w:r>
      <w:r w:rsidRPr="000E3567">
        <w:t xml:space="preserve"> calls that were connected but not answered. Going forward, its call success rate includes all connected calls, whether or not they are answered. During July and August, the call success rate for CKI and NI was low as triallists were changing their device settings, affecting inbound call routing.</w:t>
      </w:r>
    </w:p>
    <w:p w:rsidR="00887502" w:rsidRPr="000E3567" w:rsidRDefault="00887502" w:rsidP="000E3567">
      <w:proofErr w:type="spellStart"/>
      <w:r w:rsidRPr="000E3567">
        <w:lastRenderedPageBreak/>
        <w:t>Pivotel’s</w:t>
      </w:r>
      <w:proofErr w:type="spellEnd"/>
      <w:r w:rsidRPr="000E3567">
        <w:t xml:space="preserve"> call success rate during August included some cases of invalid dialled numbers (including triallists not dialling the area code). A system change, to append the area code to the dialled number where it was not provided, resulted in a higher success rate in September and later months.</w:t>
      </w:r>
    </w:p>
    <w:p w:rsidR="00887502" w:rsidRPr="000E3567" w:rsidRDefault="00887502" w:rsidP="000E3567">
      <w:r w:rsidRPr="000E3567">
        <w:t>Zetifi cannot record average call success rates because it does not originate or terminate calls.</w:t>
      </w:r>
    </w:p>
    <w:p w:rsidR="00887502" w:rsidRPr="000E3567" w:rsidRDefault="00887502" w:rsidP="000E3567">
      <w:pPr>
        <w:pStyle w:val="Heading3"/>
      </w:pPr>
      <w:r w:rsidRPr="000E3567">
        <w:t>Mean Opinion Score (MOS)</w:t>
      </w:r>
    </w:p>
    <w:p w:rsidR="00887502" w:rsidRDefault="00887502" w:rsidP="00AB6687">
      <w:pPr>
        <w:rPr>
          <w:rFonts w:cstheme="minorHAnsi"/>
          <w:szCs w:val="22"/>
        </w:rPr>
      </w:pPr>
      <w:r w:rsidRPr="00AB6687">
        <w:rPr>
          <w:rFonts w:cstheme="minorHAnsi"/>
          <w:szCs w:val="22"/>
        </w:rPr>
        <w:t>Table 6 gives the average Mean Opinion Score (MOS) reported for the trial services in the period. The MOS relates to the quality of the voice call as perceived by the parties and is a long established measure. Services are rated from 1 to 5 where 1 equals the lowest perceived quality (as perceived by the parties) and 5 equals the highest perceived quality. While originally based on ratings by callers, network-based call monitoring is now used.</w:t>
      </w:r>
    </w:p>
    <w:p w:rsidR="000E3567" w:rsidRDefault="000E3567" w:rsidP="000E3567">
      <w:pPr>
        <w:pStyle w:val="Caption"/>
      </w:pPr>
      <w:r w:rsidRPr="00304626">
        <w:t>Table 6: Mean Opinion Score (MOS)</w:t>
      </w:r>
    </w:p>
    <w:tbl>
      <w:tblPr>
        <w:tblStyle w:val="DefaultTable1"/>
        <w:tblW w:w="4958" w:type="pct"/>
        <w:tblLook w:val="04A0" w:firstRow="1" w:lastRow="0" w:firstColumn="1" w:lastColumn="0" w:noHBand="0" w:noVBand="1"/>
        <w:tblDescription w:val="Table 6: Mean Opinion Score (MOS)"/>
      </w:tblPr>
      <w:tblGrid>
        <w:gridCol w:w="1701"/>
        <w:gridCol w:w="1670"/>
        <w:gridCol w:w="1418"/>
        <w:gridCol w:w="1221"/>
        <w:gridCol w:w="1227"/>
        <w:gridCol w:w="1227"/>
        <w:gridCol w:w="1317"/>
      </w:tblGrid>
      <w:tr w:rsidR="00AB424D" w:rsidTr="007C129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245D93" w:rsidRDefault="00AB424D" w:rsidP="007C129B">
            <w:pPr>
              <w:pStyle w:val="Heading4"/>
              <w:outlineLvl w:val="3"/>
              <w:rPr>
                <w:b/>
                <w:color w:val="auto"/>
                <w:sz w:val="22"/>
                <w:szCs w:val="22"/>
              </w:rPr>
            </w:pPr>
            <w:r w:rsidRPr="00245D93">
              <w:rPr>
                <w:b/>
                <w:color w:val="auto"/>
                <w:sz w:val="22"/>
                <w:szCs w:val="22"/>
              </w:rPr>
              <w:t>Month</w:t>
            </w:r>
          </w:p>
        </w:tc>
        <w:tc>
          <w:tcPr>
            <w:tcW w:w="854"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Concerotel</w:t>
            </w:r>
          </w:p>
        </w:tc>
        <w:tc>
          <w:tcPr>
            <w:tcW w:w="725"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NBN Co</w:t>
            </w:r>
          </w:p>
        </w:tc>
        <w:tc>
          <w:tcPr>
            <w:tcW w:w="624"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Optus</w:t>
            </w:r>
          </w:p>
        </w:tc>
        <w:tc>
          <w:tcPr>
            <w:tcW w:w="627"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Pivotel</w:t>
            </w:r>
          </w:p>
        </w:tc>
        <w:tc>
          <w:tcPr>
            <w:tcW w:w="627"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Telstra</w:t>
            </w:r>
          </w:p>
        </w:tc>
        <w:tc>
          <w:tcPr>
            <w:tcW w:w="673" w:type="pct"/>
          </w:tcPr>
          <w:p w:rsidR="00AB424D" w:rsidRPr="00245D93" w:rsidRDefault="00AB424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245D93">
              <w:rPr>
                <w:b/>
                <w:color w:val="auto"/>
                <w:sz w:val="22"/>
                <w:szCs w:val="22"/>
              </w:rPr>
              <w:t>Zetifi</w:t>
            </w:r>
          </w:p>
        </w:tc>
      </w:tr>
      <w:tr w:rsidR="00AB424D" w:rsidTr="007C129B">
        <w:trPr>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July</w:t>
            </w:r>
          </w:p>
        </w:tc>
        <w:tc>
          <w:tcPr>
            <w:tcW w:w="85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3.4 (NI)</w:t>
            </w:r>
          </w:p>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3.7 (CKI)</w:t>
            </w:r>
          </w:p>
        </w:tc>
        <w:tc>
          <w:tcPr>
            <w:tcW w:w="725"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3.88</w:t>
            </w:r>
          </w:p>
        </w:tc>
        <w:tc>
          <w:tcPr>
            <w:tcW w:w="62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4.4</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3.7</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4.1</w:t>
            </w:r>
          </w:p>
        </w:tc>
        <w:tc>
          <w:tcPr>
            <w:tcW w:w="673"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4.1</w:t>
            </w:r>
          </w:p>
        </w:tc>
      </w:tr>
      <w:tr w:rsidR="00AB424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August</w:t>
            </w:r>
          </w:p>
        </w:tc>
        <w:tc>
          <w:tcPr>
            <w:tcW w:w="85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3.2 (NI)</w:t>
            </w:r>
          </w:p>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3.8 (CKI)</w:t>
            </w:r>
          </w:p>
        </w:tc>
        <w:tc>
          <w:tcPr>
            <w:tcW w:w="725"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3.89</w:t>
            </w:r>
          </w:p>
        </w:tc>
        <w:tc>
          <w:tcPr>
            <w:tcW w:w="62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4.4</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3.5</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4.1</w:t>
            </w:r>
          </w:p>
        </w:tc>
        <w:tc>
          <w:tcPr>
            <w:tcW w:w="673"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4.1</w:t>
            </w:r>
          </w:p>
        </w:tc>
      </w:tr>
      <w:tr w:rsidR="00AB424D" w:rsidTr="007C129B">
        <w:trPr>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September</w:t>
            </w:r>
          </w:p>
        </w:tc>
        <w:tc>
          <w:tcPr>
            <w:tcW w:w="85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3.2 (NI)</w:t>
            </w:r>
          </w:p>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3.7 (CKI)</w:t>
            </w:r>
          </w:p>
        </w:tc>
        <w:tc>
          <w:tcPr>
            <w:tcW w:w="725"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3.85</w:t>
            </w:r>
          </w:p>
        </w:tc>
        <w:tc>
          <w:tcPr>
            <w:tcW w:w="62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4.4</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3.67</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4.1</w:t>
            </w:r>
          </w:p>
        </w:tc>
        <w:tc>
          <w:tcPr>
            <w:tcW w:w="673"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4.1</w:t>
            </w:r>
          </w:p>
        </w:tc>
      </w:tr>
      <w:tr w:rsidR="00AB424D"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October</w:t>
            </w:r>
          </w:p>
        </w:tc>
        <w:tc>
          <w:tcPr>
            <w:tcW w:w="85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3.4 (NI)</w:t>
            </w:r>
          </w:p>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4 (CKI)</w:t>
            </w:r>
          </w:p>
        </w:tc>
        <w:tc>
          <w:tcPr>
            <w:tcW w:w="725"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4.03</w:t>
            </w:r>
          </w:p>
        </w:tc>
        <w:tc>
          <w:tcPr>
            <w:tcW w:w="624"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4.4</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3.6</w:t>
            </w:r>
          </w:p>
        </w:tc>
        <w:tc>
          <w:tcPr>
            <w:tcW w:w="627"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4.1</w:t>
            </w:r>
          </w:p>
        </w:tc>
        <w:tc>
          <w:tcPr>
            <w:tcW w:w="673" w:type="pct"/>
          </w:tcPr>
          <w:p w:rsidR="00AB424D" w:rsidRPr="00AB6687" w:rsidRDefault="00AB424D" w:rsidP="00AB424D">
            <w:pPr>
              <w:pStyle w:val="nospacing-centred"/>
              <w:cnfStyle w:val="000000010000" w:firstRow="0" w:lastRow="0" w:firstColumn="0" w:lastColumn="0" w:oddVBand="0" w:evenVBand="0" w:oddHBand="0" w:evenHBand="1" w:firstRowFirstColumn="0" w:firstRowLastColumn="0" w:lastRowFirstColumn="0" w:lastRowLastColumn="0"/>
            </w:pPr>
            <w:r w:rsidRPr="00AB6687">
              <w:t>4.25</w:t>
            </w:r>
          </w:p>
        </w:tc>
      </w:tr>
      <w:tr w:rsidR="00AB424D" w:rsidTr="007C129B">
        <w:trPr>
          <w:cantSplit/>
        </w:trPr>
        <w:tc>
          <w:tcPr>
            <w:cnfStyle w:val="001000000000" w:firstRow="0" w:lastRow="0" w:firstColumn="1" w:lastColumn="0" w:oddVBand="0" w:evenVBand="0" w:oddHBand="0" w:evenHBand="0" w:firstRowFirstColumn="0" w:firstRowLastColumn="0" w:lastRowFirstColumn="0" w:lastRowLastColumn="0"/>
            <w:tcW w:w="870" w:type="pct"/>
          </w:tcPr>
          <w:p w:rsidR="00AB424D" w:rsidRPr="00AB424D" w:rsidRDefault="00AB424D" w:rsidP="00AB424D">
            <w:pPr>
              <w:pStyle w:val="nospacing-leftalign"/>
              <w:rPr>
                <w:b/>
              </w:rPr>
            </w:pPr>
            <w:r w:rsidRPr="00AB424D">
              <w:rPr>
                <w:b/>
              </w:rPr>
              <w:t>November</w:t>
            </w:r>
          </w:p>
        </w:tc>
        <w:tc>
          <w:tcPr>
            <w:tcW w:w="85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3.3 (NI)</w:t>
            </w:r>
          </w:p>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4.2 (CKI)</w:t>
            </w:r>
          </w:p>
        </w:tc>
        <w:tc>
          <w:tcPr>
            <w:tcW w:w="725"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3.94</w:t>
            </w:r>
          </w:p>
        </w:tc>
        <w:tc>
          <w:tcPr>
            <w:tcW w:w="624"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4.4</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3.6</w:t>
            </w:r>
          </w:p>
        </w:tc>
        <w:tc>
          <w:tcPr>
            <w:tcW w:w="627"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4.1</w:t>
            </w:r>
          </w:p>
        </w:tc>
        <w:tc>
          <w:tcPr>
            <w:tcW w:w="673" w:type="pct"/>
          </w:tcPr>
          <w:p w:rsidR="00AB424D" w:rsidRPr="00AB6687" w:rsidRDefault="00AB424D" w:rsidP="00AB424D">
            <w:pPr>
              <w:pStyle w:val="nospacing-centred"/>
              <w:cnfStyle w:val="000000000000" w:firstRow="0" w:lastRow="0" w:firstColumn="0" w:lastColumn="0" w:oddVBand="0" w:evenVBand="0" w:oddHBand="0" w:evenHBand="0" w:firstRowFirstColumn="0" w:firstRowLastColumn="0" w:lastRowFirstColumn="0" w:lastRowLastColumn="0"/>
            </w:pPr>
            <w:r w:rsidRPr="00AB6687">
              <w:t>4.25</w:t>
            </w:r>
          </w:p>
        </w:tc>
      </w:tr>
    </w:tbl>
    <w:p w:rsidR="00887502" w:rsidRPr="00AB6687" w:rsidRDefault="00887502" w:rsidP="00266AA2">
      <w:pPr>
        <w:pStyle w:val="normal-12ptbefore"/>
      </w:pPr>
      <w:r w:rsidRPr="00AB6687">
        <w:t>As Zetifi provides a platform to extend its customers’ access to their existing mobile services, it cannot monitor call quality via its network and it surveys its triallists. Lonergan also surveyed triallists on the call quality of their services, as discussed below.</w:t>
      </w:r>
    </w:p>
    <w:p w:rsidR="00887502" w:rsidRPr="000E3567" w:rsidRDefault="00887502" w:rsidP="000E3567">
      <w:pPr>
        <w:pStyle w:val="Heading3"/>
      </w:pPr>
      <w:r w:rsidRPr="000E3567">
        <w:t>Faults and repairs</w:t>
      </w:r>
    </w:p>
    <w:p w:rsidR="00887502" w:rsidRPr="00AB6687" w:rsidRDefault="00887502" w:rsidP="00AB6687">
      <w:pPr>
        <w:rPr>
          <w:rFonts w:cstheme="minorHAnsi"/>
          <w:szCs w:val="22"/>
        </w:rPr>
      </w:pPr>
      <w:r w:rsidRPr="00AB6687">
        <w:rPr>
          <w:rFonts w:cstheme="minorHAnsi"/>
          <w:szCs w:val="22"/>
        </w:rPr>
        <w:t>Data is also collected on faults and repairs, including median repair times. Limited faults and repairs were reported by grantees in the two quarters. Issues identified included modem compatibility, service settings and UPS operation. One grantee had to address seven instances where SIM cards or equipment needed repair, in some cases because of installation problems or because of storm damage. All repairs were carried out on the date agreed between the grantee and the customer. The Department will be looking more closely at the definitions of fault and repair being applied by grantees to ensure events are being appropriately reported.</w:t>
      </w:r>
    </w:p>
    <w:p w:rsidR="00887502" w:rsidRPr="00304626" w:rsidRDefault="00887502" w:rsidP="000E3567">
      <w:pPr>
        <w:pStyle w:val="Heading2"/>
      </w:pPr>
      <w:r w:rsidRPr="00304626">
        <w:t xml:space="preserve">Results from independent Lonergan </w:t>
      </w:r>
      <w:r w:rsidRPr="000E3567">
        <w:t>surveys</w:t>
      </w:r>
    </w:p>
    <w:p w:rsidR="00887502" w:rsidRPr="00AB6687" w:rsidRDefault="00887502" w:rsidP="00AB6687">
      <w:pPr>
        <w:rPr>
          <w:rFonts w:cstheme="minorHAnsi"/>
          <w:szCs w:val="22"/>
        </w:rPr>
      </w:pPr>
      <w:r w:rsidRPr="00AB6687">
        <w:rPr>
          <w:rFonts w:cstheme="minorHAnsi"/>
          <w:szCs w:val="22"/>
        </w:rPr>
        <w:t xml:space="preserve">Summary statistical data from Lonergan’s monthly survey of triallists is at </w:t>
      </w:r>
      <w:hyperlink w:anchor="_Attachment_B" w:history="1">
        <w:r w:rsidRPr="00266AA2">
          <w:rPr>
            <w:rStyle w:val="Hyperlink"/>
            <w:rFonts w:cstheme="minorHAnsi"/>
            <w:b/>
            <w:szCs w:val="22"/>
          </w:rPr>
          <w:t>Attachment B</w:t>
        </w:r>
      </w:hyperlink>
      <w:r w:rsidRPr="00AB6687">
        <w:rPr>
          <w:rFonts w:cstheme="minorHAnsi"/>
          <w:szCs w:val="22"/>
        </w:rPr>
        <w:t>.</w:t>
      </w:r>
    </w:p>
    <w:p w:rsidR="00887502" w:rsidRPr="00AB6687" w:rsidRDefault="00887502" w:rsidP="00AB6687">
      <w:pPr>
        <w:rPr>
          <w:rFonts w:cstheme="minorHAnsi"/>
          <w:szCs w:val="22"/>
        </w:rPr>
      </w:pPr>
      <w:r w:rsidRPr="00AB6687">
        <w:rPr>
          <w:rFonts w:cstheme="minorHAnsi"/>
          <w:szCs w:val="22"/>
        </w:rPr>
        <w:t>While triallists are strongly encouraged to participate in the survey, participation is ultimately voluntary. Overall participation is lower than expected and varies between grantees and over time. Results are based on the cumulative responses of triallists over the six months from 1 July 2021 to 31 December 2021. As such, the results, while useful, should be seen as illustrative rather than definitive. In addition, by its nature the survey is qualitative and responses and results are necessarily subjective. The results are shared with grantees to help with product and process improvement.</w:t>
      </w:r>
    </w:p>
    <w:p w:rsidR="00887502" w:rsidRPr="000E3567" w:rsidRDefault="00887502" w:rsidP="00004B4C">
      <w:pPr>
        <w:pStyle w:val="Heading3"/>
        <w:spacing w:after="120"/>
      </w:pPr>
      <w:r w:rsidRPr="000E3567">
        <w:lastRenderedPageBreak/>
        <w:t>Consumer expec</w:t>
      </w:r>
      <w:bookmarkStart w:id="1" w:name="_GoBack"/>
      <w:bookmarkEnd w:id="1"/>
      <w:r w:rsidRPr="000E3567">
        <w:t>tations</w:t>
      </w:r>
    </w:p>
    <w:p w:rsidR="00887502" w:rsidRPr="00AB6687" w:rsidRDefault="00887502" w:rsidP="00AB6687">
      <w:pPr>
        <w:rPr>
          <w:rFonts w:cstheme="minorHAnsi"/>
          <w:szCs w:val="22"/>
        </w:rPr>
      </w:pPr>
      <w:r w:rsidRPr="00AB6687">
        <w:rPr>
          <w:rFonts w:cstheme="minorHAnsi"/>
          <w:szCs w:val="22"/>
        </w:rPr>
        <w:t>When first surveyed, triallists were asked why they were participating in the trial to get some idea of their prior experiences and expectations. Triallists provided a range of reasons for joining a trial (Table B.1). The main reasons were to get a more reliable phone line and to get a better quality voice service. Triallists, particularly Zetifi and Telstra triallists, also stated that they joined trials to get better mobile reception at home.</w:t>
      </w:r>
    </w:p>
    <w:p w:rsidR="00887502" w:rsidRPr="000E3567" w:rsidRDefault="00887502" w:rsidP="00004B4C">
      <w:pPr>
        <w:pStyle w:val="Heading3"/>
        <w:spacing w:before="160" w:after="120"/>
      </w:pPr>
      <w:r w:rsidRPr="000E3567">
        <w:t>Service quality and customer support</w:t>
      </w:r>
    </w:p>
    <w:p w:rsidR="00887502" w:rsidRPr="00AB6687" w:rsidRDefault="00887502" w:rsidP="00AB6687">
      <w:pPr>
        <w:rPr>
          <w:rFonts w:cstheme="minorHAnsi"/>
          <w:szCs w:val="22"/>
        </w:rPr>
      </w:pPr>
      <w:r w:rsidRPr="00AB6687">
        <w:rPr>
          <w:rFonts w:cstheme="minorHAnsi"/>
          <w:szCs w:val="22"/>
        </w:rPr>
        <w:t>In most cases the majority of triallists by grantee rated their trial service as good or excellent – see Table B.2. The majority of triallists rated the quality of their trial service above that of their existing service – see Tables B.5 and B.6. The majority of triallists with an existing copper service also rated the quality of their trial service as good or excellent, relative to their existing service – see Table B.6.</w:t>
      </w:r>
    </w:p>
    <w:p w:rsidR="00887502" w:rsidRPr="00AB6687" w:rsidRDefault="00887502" w:rsidP="00AB6687">
      <w:pPr>
        <w:rPr>
          <w:rFonts w:cstheme="minorHAnsi"/>
          <w:szCs w:val="22"/>
        </w:rPr>
      </w:pPr>
      <w:proofErr w:type="spellStart"/>
      <w:r w:rsidRPr="00AB6687">
        <w:rPr>
          <w:rFonts w:cstheme="minorHAnsi"/>
          <w:szCs w:val="22"/>
        </w:rPr>
        <w:t>Concerotel’s</w:t>
      </w:r>
      <w:proofErr w:type="spellEnd"/>
      <w:r w:rsidRPr="00AB6687">
        <w:rPr>
          <w:rFonts w:cstheme="minorHAnsi"/>
          <w:szCs w:val="22"/>
        </w:rPr>
        <w:t xml:space="preserve"> triallists noted that their services could have some noise on the line, echo or latency, and that at times the connection would drop out during rainy weather.</w:t>
      </w:r>
    </w:p>
    <w:p w:rsidR="00887502" w:rsidRPr="00AB6687" w:rsidRDefault="00887502" w:rsidP="00AB6687">
      <w:pPr>
        <w:rPr>
          <w:rFonts w:cstheme="minorHAnsi"/>
          <w:szCs w:val="22"/>
        </w:rPr>
      </w:pPr>
      <w:r w:rsidRPr="00AB6687">
        <w:rPr>
          <w:rFonts w:cstheme="minorHAnsi"/>
          <w:szCs w:val="22"/>
        </w:rPr>
        <w:t>Services provided over NBN Co’s Sky Muster platform as part of the NBN Co trial were generally rated as fair or better, although there was some variation between retailers, which is being examined.</w:t>
      </w:r>
    </w:p>
    <w:p w:rsidR="00887502" w:rsidRPr="00AB6687" w:rsidRDefault="00887502" w:rsidP="00AB6687">
      <w:pPr>
        <w:rPr>
          <w:rFonts w:cstheme="minorHAnsi"/>
          <w:szCs w:val="22"/>
        </w:rPr>
      </w:pPr>
      <w:r w:rsidRPr="00AB6687">
        <w:rPr>
          <w:rFonts w:cstheme="minorHAnsi"/>
          <w:szCs w:val="22"/>
        </w:rPr>
        <w:t>Optus’s triallists reported few issues. They were generally positive about the quality of the service.</w:t>
      </w:r>
    </w:p>
    <w:p w:rsidR="00887502" w:rsidRPr="00AB6687" w:rsidRDefault="00887502" w:rsidP="00AB6687">
      <w:pPr>
        <w:rPr>
          <w:rFonts w:cstheme="minorHAnsi"/>
          <w:szCs w:val="22"/>
        </w:rPr>
      </w:pPr>
      <w:r w:rsidRPr="00AB6687">
        <w:rPr>
          <w:rFonts w:cstheme="minorHAnsi"/>
          <w:szCs w:val="22"/>
        </w:rPr>
        <w:t xml:space="preserve">Telstra’s triallists (on its 4G mobile network and satellite platforms) observed there were some minor quality issues on calls, including some pops or crackles or echoes, but generally rated the service as good to excellent. In the July-September quarter, there were some problems with message bank cutting in too quickly and ringtones not being loud enough, and both Telstra and triallists reported that Telstra needed to provide advice on how to resolve these issues. Telstra’s satellite triallists noted some latency issues, but also generally rated the service as good. </w:t>
      </w:r>
    </w:p>
    <w:p w:rsidR="00887502" w:rsidRPr="00AB6687" w:rsidRDefault="00887502" w:rsidP="00AB6687">
      <w:pPr>
        <w:rPr>
          <w:rFonts w:cstheme="minorHAnsi"/>
          <w:szCs w:val="22"/>
        </w:rPr>
      </w:pPr>
      <w:proofErr w:type="spellStart"/>
      <w:r w:rsidRPr="00AB6687">
        <w:rPr>
          <w:rFonts w:cstheme="minorHAnsi"/>
          <w:szCs w:val="22"/>
        </w:rPr>
        <w:t>Zetifi’s</w:t>
      </w:r>
      <w:proofErr w:type="spellEnd"/>
      <w:r w:rsidRPr="00AB6687">
        <w:rPr>
          <w:rFonts w:cstheme="minorHAnsi"/>
          <w:szCs w:val="22"/>
        </w:rPr>
        <w:t xml:space="preserve"> triallists rated the service as fair to excellent. A number of Zetifi triallists raised Internet congestion issues, noting that lockdowns in NSW and Victoria were in place during some of the period and this generally increased data usage. In response, Zetifi worked on service prioritisation to improve outcomes for its customers. There were also a few issues with services not working because repairs were needed, or because of the underlying mobile connection. </w:t>
      </w:r>
    </w:p>
    <w:p w:rsidR="00887502" w:rsidRPr="000E3567" w:rsidRDefault="00887502" w:rsidP="00004B4C">
      <w:pPr>
        <w:pStyle w:val="Heading2"/>
        <w:spacing w:before="240"/>
      </w:pPr>
      <w:r w:rsidRPr="00304626">
        <w:t>Observations to date</w:t>
      </w:r>
    </w:p>
    <w:p w:rsidR="00887502" w:rsidRPr="00AB6687" w:rsidRDefault="00887502" w:rsidP="00AB6687">
      <w:pPr>
        <w:rPr>
          <w:rFonts w:cstheme="minorHAnsi"/>
          <w:szCs w:val="22"/>
        </w:rPr>
      </w:pPr>
      <w:r w:rsidRPr="00AB6687">
        <w:rPr>
          <w:rFonts w:cstheme="minorHAnsi"/>
          <w:szCs w:val="22"/>
        </w:rPr>
        <w:t>The following general observations are made about experience with the Trials to date.</w:t>
      </w:r>
    </w:p>
    <w:p w:rsidR="00887502" w:rsidRPr="000E3567" w:rsidRDefault="00887502" w:rsidP="00004B4C">
      <w:pPr>
        <w:pStyle w:val="Heading3"/>
        <w:spacing w:before="160" w:after="120"/>
      </w:pPr>
      <w:r w:rsidRPr="000E3567">
        <w:t>Recruitment</w:t>
      </w:r>
    </w:p>
    <w:p w:rsidR="00887502" w:rsidRPr="00AB6687" w:rsidRDefault="00887502" w:rsidP="00AB6687">
      <w:pPr>
        <w:rPr>
          <w:rFonts w:cstheme="minorHAnsi"/>
          <w:szCs w:val="22"/>
        </w:rPr>
      </w:pPr>
      <w:r w:rsidRPr="00AB6687">
        <w:rPr>
          <w:rFonts w:cstheme="minorHAnsi"/>
          <w:szCs w:val="22"/>
        </w:rPr>
        <w:t>Interest in the Trials has not proven as strong as expected given reported concerns with existing landline services, with a number of trial places unfilled. It may be that products offered by grantees did not meet the needs of all potential triallists – e.g. residential products would not suit or be available to businesses, small or large, or some people may already have been using VoIP over Sky Muster.</w:t>
      </w:r>
    </w:p>
    <w:p w:rsidR="00887502" w:rsidRPr="00AB6687" w:rsidRDefault="00887502" w:rsidP="00AB6687">
      <w:pPr>
        <w:rPr>
          <w:rFonts w:cstheme="minorHAnsi"/>
          <w:szCs w:val="22"/>
        </w:rPr>
      </w:pPr>
      <w:r w:rsidRPr="00AB6687">
        <w:rPr>
          <w:rFonts w:cstheme="minorHAnsi"/>
          <w:szCs w:val="22"/>
        </w:rPr>
        <w:t>In many areas, recruitment of triallists was hampered by COVID-19 and lockdowns. These precluded grantees from holding public meetings to provide information about their trials, or from sending staff into some areas. Generally, the most successful method for recruiting triallists was through information disseminated by community or consumer groups, or directly through phone calls or meetings. However, some grantees also found that when they called potential triallists to provide information, some triallists thought they were receiving scam calls. The Department sought to counter this by offering and providing letters attesting to the legitimacy of the Trials.</w:t>
      </w:r>
    </w:p>
    <w:p w:rsidR="00887502" w:rsidRPr="00AB6687" w:rsidRDefault="00887502" w:rsidP="00AB6687">
      <w:pPr>
        <w:rPr>
          <w:rFonts w:cstheme="minorHAnsi"/>
          <w:szCs w:val="22"/>
        </w:rPr>
      </w:pPr>
      <w:r w:rsidRPr="00AB6687">
        <w:rPr>
          <w:rFonts w:cstheme="minorHAnsi"/>
          <w:szCs w:val="22"/>
        </w:rPr>
        <w:lastRenderedPageBreak/>
        <w:t>The Department established a database on which people could register their interest in participating in the Trials. This was used heavily by some grantees and proved useful, as did action taken by members of the AVST SRG to raise awareness amongst regional communities.</w:t>
      </w:r>
    </w:p>
    <w:p w:rsidR="00887502" w:rsidRPr="00AB6687" w:rsidRDefault="00887502" w:rsidP="00AB6687">
      <w:pPr>
        <w:rPr>
          <w:rFonts w:cstheme="minorHAnsi"/>
          <w:szCs w:val="22"/>
        </w:rPr>
      </w:pPr>
      <w:r w:rsidRPr="00AB6687">
        <w:rPr>
          <w:rFonts w:cstheme="minorHAnsi"/>
          <w:szCs w:val="22"/>
        </w:rPr>
        <w:t>Despite the relatively small size of the Trials, they have also been affected by day-to-day events like deaths and people moving house, leading to a small number of withdrawals following recruitment.</w:t>
      </w:r>
    </w:p>
    <w:p w:rsidR="00887502" w:rsidRPr="000E3567" w:rsidRDefault="00887502" w:rsidP="000E3567">
      <w:pPr>
        <w:pStyle w:val="Heading3"/>
      </w:pPr>
      <w:r w:rsidRPr="000E3567">
        <w:t>Connection and activation of services</w:t>
      </w:r>
    </w:p>
    <w:p w:rsidR="00887502" w:rsidRPr="00AB6687" w:rsidRDefault="00887502" w:rsidP="00AB6687">
      <w:pPr>
        <w:rPr>
          <w:rFonts w:cstheme="minorHAnsi"/>
          <w:szCs w:val="22"/>
        </w:rPr>
      </w:pPr>
      <w:r w:rsidRPr="00AB6687">
        <w:rPr>
          <w:rFonts w:cstheme="minorHAnsi"/>
          <w:szCs w:val="22"/>
        </w:rPr>
        <w:t>The timeframes for delivering equipment to more remote locations varied, with deliveries sometimes taking three weeks or even longer. At times, there were issues with equipment being delayed due to courier or shipping issues, especially to more remote locations, including NI. These issues may reflect the fact that grantees are conducting trials, rather than delivering mass market products on a business-as-usual basis. These delivery issues would need to be factored in when planning service activations in a business-as usual context.</w:t>
      </w:r>
    </w:p>
    <w:p w:rsidR="00887502" w:rsidRPr="00AB6687" w:rsidRDefault="00887502" w:rsidP="00AB6687">
      <w:pPr>
        <w:rPr>
          <w:rFonts w:cstheme="minorHAnsi"/>
          <w:szCs w:val="22"/>
        </w:rPr>
      </w:pPr>
      <w:r w:rsidRPr="00AB6687">
        <w:rPr>
          <w:rFonts w:cstheme="minorHAnsi"/>
          <w:szCs w:val="22"/>
        </w:rPr>
        <w:t xml:space="preserve">Some grantees found that triallists would delay connecting equipment, for example, due to farming priorities, or would prefer to wait until friends or family members visited to activate their services. This may reflect set-up being too complicated, and/or, as triallists retained their existing mobile and landline services they did not have a pressing need to make the trial service operational.  </w:t>
      </w:r>
    </w:p>
    <w:p w:rsidR="00887502" w:rsidRPr="00AB6687" w:rsidRDefault="00887502" w:rsidP="00AB6687">
      <w:pPr>
        <w:rPr>
          <w:rFonts w:cstheme="minorHAnsi"/>
          <w:szCs w:val="22"/>
        </w:rPr>
      </w:pPr>
      <w:r w:rsidRPr="00AB6687">
        <w:rPr>
          <w:rFonts w:cstheme="minorHAnsi"/>
          <w:szCs w:val="22"/>
        </w:rPr>
        <w:t>Where consumers are installing their equipment themselves, it is important that instructions are clear and concise and are sent with the equipment, so that consumers can set up the equipment easily. Equipment should be clearly labelled, particularly when multiple items of equipment are required.</w:t>
      </w:r>
    </w:p>
    <w:p w:rsidR="00887502" w:rsidRPr="00AB6687" w:rsidRDefault="00887502" w:rsidP="00AB6687">
      <w:pPr>
        <w:rPr>
          <w:rFonts w:cstheme="minorHAnsi"/>
          <w:szCs w:val="22"/>
        </w:rPr>
      </w:pPr>
      <w:r w:rsidRPr="00AB6687">
        <w:rPr>
          <w:rFonts w:cstheme="minorHAnsi"/>
          <w:szCs w:val="22"/>
        </w:rPr>
        <w:t>In many rural or remote areas, there may be only a few local technicians able to install antennas or equipment, and many may be unfamiliar with the job. Where a grantee relied on local technicians, in a limited number of instances, the grantee had to return to some sites to correct installation issues. Later technicians were required to provide photos and videos of the installation by mobile, so that any errors could be identified and corrected remotely before the technician left the site.</w:t>
      </w:r>
    </w:p>
    <w:p w:rsidR="00887502" w:rsidRPr="000E3567" w:rsidRDefault="00887502" w:rsidP="000E3567">
      <w:pPr>
        <w:pStyle w:val="Heading3"/>
      </w:pPr>
      <w:r w:rsidRPr="000E3567">
        <w:t>Service performance</w:t>
      </w:r>
    </w:p>
    <w:p w:rsidR="00887502" w:rsidRPr="00AB6687" w:rsidRDefault="00887502" w:rsidP="00AB6687">
      <w:pPr>
        <w:rPr>
          <w:rFonts w:cstheme="minorHAnsi"/>
          <w:szCs w:val="22"/>
        </w:rPr>
      </w:pPr>
      <w:r w:rsidRPr="00AB6687">
        <w:rPr>
          <w:rFonts w:cstheme="minorHAnsi"/>
          <w:szCs w:val="22"/>
        </w:rPr>
        <w:t xml:space="preserve">Overall, grantees reported that most triallists were using their voice services. The voice services were rated as ‘excellent’ or ‘good’ by the majority of triallists surveyed. Some minor issues were identified, such as the volume of the ring tone or the number of rings before a call went to voicemail. These have been addressed by grantees. Other issues, as noted above, involved installation problems or storm damage, which required rectification. </w:t>
      </w:r>
    </w:p>
    <w:p w:rsidR="00887502" w:rsidRPr="000E3567" w:rsidRDefault="00887502" w:rsidP="000E3567">
      <w:r w:rsidRPr="000E3567">
        <w:t>Under NBN Co’s trials, Telstra’s triallists experienced some issues with their Telstra equipment requiring it to be replaced. APN has experienced some software issues which have been resolved.</w:t>
      </w:r>
    </w:p>
    <w:p w:rsidR="00887502" w:rsidRPr="000E3567" w:rsidRDefault="00887502" w:rsidP="000E3567">
      <w:r w:rsidRPr="000E3567">
        <w:t xml:space="preserve">Generally, services have been working well as measured by network uptime and call success rates. Most MOS results for satellite are reasonably high, except where triallists are using over-the-top apps they have downloaded and that are used in conjunction with Sky Muster backhaul. In relation to these trials, some triallists experienced some instances of packet loss which resulted in ‘choppy’ calls with incomplete sentences. This may be attributable to the effect of heavy rain on satellite transmission. This is being examined further by the Department. </w:t>
      </w:r>
    </w:p>
    <w:p w:rsidR="00887502" w:rsidRPr="000E3567" w:rsidRDefault="00887502" w:rsidP="000E3567">
      <w:r w:rsidRPr="000E3567">
        <w:t xml:space="preserve">Trial services to Norfolk Island and other locations were affected by </w:t>
      </w:r>
      <w:proofErr w:type="gramStart"/>
      <w:r w:rsidRPr="000E3567">
        <w:t>a</w:t>
      </w:r>
      <w:proofErr w:type="gramEnd"/>
      <w:r w:rsidRPr="000E3567">
        <w:t xml:space="preserve"> NBN satellite outage during December 2021, which extended into January 2022.</w:t>
      </w:r>
    </w:p>
    <w:p w:rsidR="00887502" w:rsidRPr="000E3567" w:rsidRDefault="00887502" w:rsidP="000E3567">
      <w:pPr>
        <w:pStyle w:val="Heading3"/>
      </w:pPr>
      <w:r w:rsidRPr="000E3567">
        <w:lastRenderedPageBreak/>
        <w:t>Customer service</w:t>
      </w:r>
    </w:p>
    <w:p w:rsidR="00887502" w:rsidRPr="00AB6687" w:rsidRDefault="00887502" w:rsidP="00AB6687">
      <w:pPr>
        <w:rPr>
          <w:rFonts w:cstheme="minorHAnsi"/>
          <w:szCs w:val="22"/>
        </w:rPr>
      </w:pPr>
      <w:r w:rsidRPr="00AB6687">
        <w:rPr>
          <w:rFonts w:cstheme="minorHAnsi"/>
          <w:szCs w:val="22"/>
        </w:rPr>
        <w:t>Lonergan surveyed triallists on their customer service experience and while the majority of triallists did not report issues, there were 91 reported issues with customer support over the six month period. The most common issues reported were insufficient customer support, issues taking too long to fix, and triallists not being able to contact a customer support person. The Department provides the survey results to grantees and checks that grantees are following up the issues raised.</w:t>
      </w:r>
    </w:p>
    <w:p w:rsidR="00887502" w:rsidRPr="00AB6687" w:rsidRDefault="00887502" w:rsidP="00AB6687">
      <w:pPr>
        <w:rPr>
          <w:rFonts w:cstheme="minorHAnsi"/>
          <w:szCs w:val="22"/>
        </w:rPr>
      </w:pPr>
      <w:r w:rsidRPr="00AB6687">
        <w:rPr>
          <w:rFonts w:cstheme="minorHAnsi"/>
          <w:szCs w:val="22"/>
        </w:rPr>
        <w:t xml:space="preserve">The SRG noted that poor customer support is a recurrent consumer concern with existing services. As such, it would have expected more positive support results during the Trials than those reported in Table B.4. It would expect any ongoing business-as-usual products to provide much better support than the results to date indicate. </w:t>
      </w:r>
    </w:p>
    <w:p w:rsidR="00887502" w:rsidRPr="000E3567" w:rsidRDefault="00887502" w:rsidP="000E3567">
      <w:pPr>
        <w:pStyle w:val="Heading3"/>
      </w:pPr>
      <w:r w:rsidRPr="000E3567">
        <w:t>Next steps</w:t>
      </w:r>
    </w:p>
    <w:p w:rsidR="00887502" w:rsidRPr="00AB6687" w:rsidRDefault="00887502" w:rsidP="00AB6687">
      <w:pPr>
        <w:rPr>
          <w:rFonts w:cstheme="minorHAnsi"/>
          <w:szCs w:val="22"/>
        </w:rPr>
      </w:pPr>
      <w:r w:rsidRPr="00AB6687">
        <w:rPr>
          <w:rFonts w:cstheme="minorHAnsi"/>
          <w:szCs w:val="22"/>
        </w:rPr>
        <w:t>As the Trials continue, monthly performance data for January to 31 March 2022 will be collected and analysed with the next AVST progress report to be published in April</w:t>
      </w:r>
      <w:r w:rsidR="00266AA2">
        <w:rPr>
          <w:rFonts w:cstheme="minorHAnsi"/>
          <w:szCs w:val="22"/>
        </w:rPr>
        <w:t>–</w:t>
      </w:r>
      <w:r w:rsidRPr="00AB6687">
        <w:rPr>
          <w:rFonts w:cstheme="minorHAnsi"/>
          <w:szCs w:val="22"/>
        </w:rPr>
        <w:t>May 2022. A final progress report is proposed for July-August.</w:t>
      </w:r>
    </w:p>
    <w:p w:rsidR="00887502" w:rsidRPr="00AB6687" w:rsidRDefault="00887502" w:rsidP="00AB6687">
      <w:pPr>
        <w:rPr>
          <w:rFonts w:cstheme="minorHAnsi"/>
          <w:szCs w:val="22"/>
        </w:rPr>
      </w:pPr>
      <w:r w:rsidRPr="00AB6687">
        <w:rPr>
          <w:rFonts w:cstheme="minorHAnsi"/>
          <w:szCs w:val="22"/>
        </w:rPr>
        <w:t>The Trials end on 30 June. At their conclusion, all data and grantees’ final reports will be analysed to inform an evaluation report. The evaluation report will assess the services and the lessons from the Trials.</w:t>
      </w:r>
    </w:p>
    <w:p w:rsidR="00887502" w:rsidRPr="00AB6687" w:rsidRDefault="00887502" w:rsidP="00AB6687">
      <w:pPr>
        <w:rPr>
          <w:rFonts w:cstheme="minorHAnsi"/>
          <w:szCs w:val="22"/>
        </w:rPr>
      </w:pPr>
      <w:r w:rsidRPr="00AB6687">
        <w:rPr>
          <w:rFonts w:cstheme="minorHAnsi"/>
          <w:szCs w:val="22"/>
        </w:rPr>
        <w:br w:type="page"/>
      </w:r>
    </w:p>
    <w:p w:rsidR="00887502" w:rsidRPr="00ED0290" w:rsidRDefault="00887502" w:rsidP="00887502">
      <w:pPr>
        <w:pStyle w:val="Heading2"/>
      </w:pPr>
      <w:bookmarkStart w:id="2" w:name="_Attachment_A"/>
      <w:bookmarkEnd w:id="2"/>
      <w:r w:rsidRPr="001A6DAA">
        <w:lastRenderedPageBreak/>
        <w:t>Attachment</w:t>
      </w:r>
      <w:r w:rsidRPr="00ED0290">
        <w:t xml:space="preserve"> A</w:t>
      </w:r>
    </w:p>
    <w:p w:rsidR="00C60276" w:rsidRPr="00AB6687" w:rsidRDefault="00887502" w:rsidP="00C631E1">
      <w:pPr>
        <w:jc w:val="center"/>
        <w:rPr>
          <w:rFonts w:cstheme="minorHAnsi"/>
          <w:szCs w:val="22"/>
        </w:rPr>
      </w:pPr>
      <w:r w:rsidRPr="00AB6687">
        <w:rPr>
          <w:rFonts w:cstheme="minorHAnsi"/>
          <w:noProof/>
          <w:szCs w:val="22"/>
          <w:lang w:eastAsia="en-AU"/>
        </w:rPr>
        <w:drawing>
          <wp:inline distT="0" distB="0" distL="0" distR="0" wp14:anchorId="5B11CE8D" wp14:editId="552DD2EF">
            <wp:extent cx="8400406" cy="5197200"/>
            <wp:effectExtent l="1270" t="0" r="2540" b="2540"/>
            <wp:docPr id="3" name="Picture 3" descr="A map of Australia, Cocos (Keeling) Islands and Norfolk Island. The map has different coloured dot points that indicate the locations of Alternative Voice Services Trials. Each Grantee - Zetifi, Concerotel, Telstra, NBN Co, Pivotel and Optus are represented with separate coloured dots across the maps.  Concerotel has trial services sites in Cocos Islands and Norfolk Islands. Pivotel has trial sites in SA, NSW, QLD and on Norfolk Island. The other Grantees' trial services have sites across the rural and remote areas on the eastern side of Australia and some in Western Australia. &#10;" title="AVST M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tangri\AppData\Local\Microsoft\Windows\INetCache\Content.Word\AVST_HIGH_RES_v2_FINA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8415778" cy="5206711"/>
                    </a:xfrm>
                    <a:prstGeom prst="rect">
                      <a:avLst/>
                    </a:prstGeom>
                    <a:noFill/>
                    <a:ln>
                      <a:noFill/>
                    </a:ln>
                  </pic:spPr>
                </pic:pic>
              </a:graphicData>
            </a:graphic>
          </wp:inline>
        </w:drawing>
      </w:r>
      <w:r w:rsidR="00C60276" w:rsidRPr="00AB6687">
        <w:rPr>
          <w:rFonts w:cstheme="minorHAnsi"/>
          <w:szCs w:val="22"/>
        </w:rPr>
        <w:br w:type="page"/>
      </w:r>
    </w:p>
    <w:p w:rsidR="00C60276" w:rsidRPr="00ED0290" w:rsidRDefault="00F962B2" w:rsidP="001A6DAA">
      <w:pPr>
        <w:pStyle w:val="Heading2"/>
      </w:pPr>
      <w:bookmarkStart w:id="3" w:name="_Attachment_B"/>
      <w:bookmarkEnd w:id="3"/>
      <w:r w:rsidRPr="001A6DAA">
        <w:lastRenderedPageBreak/>
        <w:t>Attachment</w:t>
      </w:r>
      <w:r w:rsidR="00C60276" w:rsidRPr="00ED0290">
        <w:t xml:space="preserve"> </w:t>
      </w:r>
      <w:r w:rsidR="00887502">
        <w:t>B</w:t>
      </w:r>
    </w:p>
    <w:p w:rsidR="00887502" w:rsidRPr="000E3567" w:rsidRDefault="00887502" w:rsidP="000E3567">
      <w:pPr>
        <w:pStyle w:val="Heading3"/>
      </w:pPr>
      <w:r w:rsidRPr="000E3567">
        <w:t xml:space="preserve">Results from independent surveys of triallists by Lonergan </w:t>
      </w:r>
    </w:p>
    <w:p w:rsidR="00887502" w:rsidRPr="00AB6687" w:rsidRDefault="00887502" w:rsidP="00AB6687">
      <w:pPr>
        <w:rPr>
          <w:rFonts w:cstheme="minorHAnsi"/>
          <w:szCs w:val="22"/>
        </w:rPr>
      </w:pPr>
      <w:r w:rsidRPr="00AB6687">
        <w:rPr>
          <w:rFonts w:cstheme="minorHAnsi"/>
          <w:szCs w:val="22"/>
        </w:rPr>
        <w:t>The survey responses are for the six months across participating triallists from 1 July to 31 December 2021. Participation in the survey, while strongly encouraged, is ultimately voluntary. Around 900 surveys with triallists were completed over the six months.</w:t>
      </w:r>
    </w:p>
    <w:p w:rsidR="00887502" w:rsidRPr="00AB6687" w:rsidRDefault="00887502" w:rsidP="00AB6687">
      <w:pPr>
        <w:rPr>
          <w:rFonts w:cstheme="minorHAnsi"/>
          <w:szCs w:val="22"/>
        </w:rPr>
      </w:pPr>
      <w:r w:rsidRPr="00AB6687">
        <w:rPr>
          <w:rFonts w:cstheme="minorHAnsi"/>
          <w:szCs w:val="22"/>
        </w:rPr>
        <w:t xml:space="preserve">The data presented here generally reflect the number of times a matter was reported to Lonergan, noting Lonergan seeks to contact all triallists each month and makes contact with a high proportion of them. As such, the number of reports should be considered against the total responses over the six months, as in many cases the actual number of issues raised is relatively low in comparison to the total number of trial services. An issue may also be raised in consecutive months by one person, either because it has not been resolved or because the person is reflecting their overall experience to date. </w:t>
      </w:r>
    </w:p>
    <w:p w:rsidR="00887502" w:rsidRDefault="00887502" w:rsidP="000E3567">
      <w:pPr>
        <w:pStyle w:val="Caption"/>
      </w:pPr>
      <w:r w:rsidRPr="00304626">
        <w:t>Table B.1: Top 3 reasons to be involved with the trial services by provider (1 July to 31 December 2021)</w:t>
      </w:r>
    </w:p>
    <w:tbl>
      <w:tblPr>
        <w:tblStyle w:val="DefaultTable1"/>
        <w:tblW w:w="4938" w:type="pct"/>
        <w:tblLook w:val="04A0" w:firstRow="1" w:lastRow="0" w:firstColumn="1" w:lastColumn="0" w:noHBand="0" w:noVBand="1"/>
        <w:tblDescription w:val="Table B.1: Top 3 reasons to be involved with the trial services by provider (1 July to 31 December 2021)"/>
      </w:tblPr>
      <w:tblGrid>
        <w:gridCol w:w="1840"/>
        <w:gridCol w:w="1422"/>
        <w:gridCol w:w="1491"/>
        <w:gridCol w:w="1120"/>
        <w:gridCol w:w="1627"/>
        <w:gridCol w:w="1124"/>
        <w:gridCol w:w="1118"/>
      </w:tblGrid>
      <w:tr w:rsidR="00450EBD" w:rsidTr="00450EB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tcPr>
          <w:p w:rsidR="00450EBD" w:rsidRPr="007E6282" w:rsidRDefault="00450EBD" w:rsidP="007C129B">
            <w:pPr>
              <w:rPr>
                <w:szCs w:val="22"/>
              </w:rPr>
            </w:pPr>
            <w:r>
              <w:rPr>
                <w:szCs w:val="22"/>
              </w:rPr>
              <w:t>Top 3 reasons to be involved</w:t>
            </w:r>
          </w:p>
        </w:tc>
        <w:tc>
          <w:tcPr>
            <w:tcW w:w="730" w:type="pct"/>
          </w:tcPr>
          <w:p w:rsidR="00450EBD" w:rsidRPr="007E6282" w:rsidRDefault="00450EB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Concerotel</w:t>
            </w:r>
          </w:p>
        </w:tc>
        <w:tc>
          <w:tcPr>
            <w:tcW w:w="765" w:type="pct"/>
          </w:tcPr>
          <w:p w:rsidR="00450EBD" w:rsidRPr="007E6282" w:rsidRDefault="00450EB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NBN Co</w:t>
            </w:r>
          </w:p>
        </w:tc>
        <w:tc>
          <w:tcPr>
            <w:tcW w:w="575" w:type="pct"/>
          </w:tcPr>
          <w:p w:rsidR="00450EBD" w:rsidRPr="007E6282" w:rsidRDefault="00450EB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Optus</w:t>
            </w:r>
          </w:p>
        </w:tc>
        <w:tc>
          <w:tcPr>
            <w:tcW w:w="835" w:type="pct"/>
          </w:tcPr>
          <w:p w:rsidR="00450EBD" w:rsidRPr="007E6282" w:rsidRDefault="00450EB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Pivotel</w:t>
            </w:r>
          </w:p>
        </w:tc>
        <w:tc>
          <w:tcPr>
            <w:tcW w:w="577" w:type="pct"/>
          </w:tcPr>
          <w:p w:rsidR="00450EBD" w:rsidRPr="007E6282" w:rsidRDefault="00450EB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Telstra</w:t>
            </w:r>
          </w:p>
        </w:tc>
        <w:tc>
          <w:tcPr>
            <w:tcW w:w="574" w:type="pct"/>
          </w:tcPr>
          <w:p w:rsidR="00450EBD" w:rsidRPr="007E6282" w:rsidRDefault="00450EBD"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Zetifi</w:t>
            </w:r>
          </w:p>
        </w:tc>
      </w:tr>
      <w:tr w:rsidR="00C631E1" w:rsidTr="00450EBD">
        <w:trPr>
          <w:cantSplit/>
        </w:trPr>
        <w:tc>
          <w:tcPr>
            <w:cnfStyle w:val="001000000000" w:firstRow="0" w:lastRow="0" w:firstColumn="1" w:lastColumn="0" w:oddVBand="0" w:evenVBand="0" w:oddHBand="0" w:evenHBand="0" w:firstRowFirstColumn="0" w:firstRowLastColumn="0" w:lastRowFirstColumn="0" w:lastRowLastColumn="0"/>
            <w:tcW w:w="944" w:type="pct"/>
            <w:vAlign w:val="center"/>
          </w:tcPr>
          <w:p w:rsidR="00450EBD" w:rsidRPr="00450EBD" w:rsidRDefault="00450EBD" w:rsidP="00450EBD">
            <w:pPr>
              <w:pStyle w:val="nospacing-centred"/>
              <w:rPr>
                <w:lang w:val="en-US"/>
              </w:rPr>
            </w:pPr>
            <w:r w:rsidRPr="00450EBD">
              <w:t>1</w:t>
            </w:r>
          </w:p>
        </w:tc>
        <w:tc>
          <w:tcPr>
            <w:tcW w:w="730" w:type="pct"/>
            <w:vAlign w:val="bottom"/>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rPr>
            </w:pPr>
            <w:r w:rsidRPr="00450EBD">
              <w:rPr>
                <w:b w:val="0"/>
              </w:rPr>
              <w:t xml:space="preserve">To get a more reliable phone line </w:t>
            </w:r>
            <w:r w:rsidRPr="00450EBD">
              <w:rPr>
                <w:b w:val="0"/>
              </w:rPr>
              <w:br/>
              <w:t>(n=10)</w:t>
            </w:r>
          </w:p>
        </w:tc>
        <w:tc>
          <w:tcPr>
            <w:tcW w:w="765" w:type="pct"/>
            <w:vAlign w:val="bottom"/>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rPr>
            </w:pPr>
            <w:r w:rsidRPr="00450EBD">
              <w:rPr>
                <w:b w:val="0"/>
              </w:rPr>
              <w:t xml:space="preserve">To get a more reliable phone line </w:t>
            </w:r>
            <w:r w:rsidRPr="00450EBD">
              <w:rPr>
                <w:b w:val="0"/>
              </w:rPr>
              <w:br/>
              <w:t>(n=22)</w:t>
            </w:r>
          </w:p>
        </w:tc>
        <w:tc>
          <w:tcPr>
            <w:tcW w:w="575" w:type="pct"/>
            <w:vAlign w:val="center"/>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rPr>
            </w:pPr>
            <w:r w:rsidRPr="00450EBD">
              <w:rPr>
                <w:b w:val="0"/>
              </w:rPr>
              <w:t>No reason provided</w:t>
            </w:r>
            <w:r w:rsidRPr="00450EBD">
              <w:rPr>
                <w:b w:val="0"/>
              </w:rPr>
              <w:br/>
              <w:t>(n=2)</w:t>
            </w:r>
          </w:p>
        </w:tc>
        <w:tc>
          <w:tcPr>
            <w:tcW w:w="835" w:type="pct"/>
            <w:vAlign w:val="bottom"/>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rPr>
            </w:pPr>
            <w:r w:rsidRPr="00450EBD">
              <w:rPr>
                <w:b w:val="0"/>
              </w:rPr>
              <w:t xml:space="preserve">To get a more reliable phone line </w:t>
            </w:r>
            <w:r w:rsidRPr="00450EBD">
              <w:rPr>
                <w:b w:val="0"/>
              </w:rPr>
              <w:br/>
              <w:t>(n=12)</w:t>
            </w:r>
          </w:p>
        </w:tc>
        <w:tc>
          <w:tcPr>
            <w:tcW w:w="577" w:type="pct"/>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color w:val="000000"/>
              </w:rPr>
            </w:pPr>
          </w:p>
        </w:tc>
        <w:tc>
          <w:tcPr>
            <w:tcW w:w="574" w:type="pct"/>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color w:val="000000"/>
              </w:rPr>
            </w:pPr>
          </w:p>
        </w:tc>
      </w:tr>
      <w:tr w:rsidR="00C631E1" w:rsidTr="00450E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4" w:type="pct"/>
            <w:vAlign w:val="center"/>
          </w:tcPr>
          <w:p w:rsidR="00450EBD" w:rsidRPr="00450EBD" w:rsidRDefault="00450EBD" w:rsidP="00450EBD">
            <w:pPr>
              <w:pStyle w:val="nospacing-centred"/>
              <w:rPr>
                <w:lang w:val="en-US"/>
              </w:rPr>
            </w:pPr>
            <w:r w:rsidRPr="00450EBD">
              <w:t>2</w:t>
            </w:r>
          </w:p>
        </w:tc>
        <w:tc>
          <w:tcPr>
            <w:tcW w:w="730" w:type="pct"/>
            <w:vAlign w:val="bottom"/>
          </w:tcPr>
          <w:p w:rsidR="00450EBD" w:rsidRPr="00450EBD" w:rsidRDefault="00450EBD" w:rsidP="00450EBD">
            <w:pPr>
              <w:pStyle w:val="nospacing-leftalign"/>
              <w:cnfStyle w:val="000000010000" w:firstRow="0" w:lastRow="0" w:firstColumn="0" w:lastColumn="0" w:oddVBand="0" w:evenVBand="0" w:oddHBand="0" w:evenHBand="1" w:firstRowFirstColumn="0" w:firstRowLastColumn="0" w:lastRowFirstColumn="0" w:lastRowLastColumn="0"/>
              <w:rPr>
                <w:b w:val="0"/>
              </w:rPr>
            </w:pPr>
            <w:r w:rsidRPr="00450EBD">
              <w:rPr>
                <w:b w:val="0"/>
              </w:rPr>
              <w:t>To get a better quality phone line</w:t>
            </w:r>
            <w:r w:rsidRPr="00450EBD">
              <w:rPr>
                <w:b w:val="0"/>
              </w:rPr>
              <w:br/>
              <w:t>(n=9)</w:t>
            </w:r>
          </w:p>
        </w:tc>
        <w:tc>
          <w:tcPr>
            <w:tcW w:w="765" w:type="pct"/>
            <w:vAlign w:val="bottom"/>
          </w:tcPr>
          <w:p w:rsidR="00450EBD" w:rsidRPr="00450EBD" w:rsidRDefault="00450EBD" w:rsidP="00450EBD">
            <w:pPr>
              <w:pStyle w:val="nospacing-leftalign"/>
              <w:cnfStyle w:val="000000010000" w:firstRow="0" w:lastRow="0" w:firstColumn="0" w:lastColumn="0" w:oddVBand="0" w:evenVBand="0" w:oddHBand="0" w:evenHBand="1" w:firstRowFirstColumn="0" w:firstRowLastColumn="0" w:lastRowFirstColumn="0" w:lastRowLastColumn="0"/>
              <w:rPr>
                <w:b w:val="0"/>
              </w:rPr>
            </w:pPr>
            <w:r w:rsidRPr="00450EBD">
              <w:rPr>
                <w:b w:val="0"/>
              </w:rPr>
              <w:t>To get a better quality phone line</w:t>
            </w:r>
            <w:r w:rsidRPr="00450EBD">
              <w:rPr>
                <w:b w:val="0"/>
              </w:rPr>
              <w:br/>
              <w:t>(n=17)</w:t>
            </w:r>
          </w:p>
        </w:tc>
        <w:tc>
          <w:tcPr>
            <w:tcW w:w="575" w:type="pct"/>
          </w:tcPr>
          <w:p w:rsidR="00450EBD" w:rsidRPr="00450EBD" w:rsidRDefault="00450EBD" w:rsidP="00450EBD">
            <w:pPr>
              <w:pStyle w:val="nospacing-leftalign"/>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val="0"/>
                <w:color w:val="000000"/>
              </w:rPr>
            </w:pPr>
          </w:p>
        </w:tc>
        <w:tc>
          <w:tcPr>
            <w:tcW w:w="835" w:type="pct"/>
            <w:vAlign w:val="bottom"/>
          </w:tcPr>
          <w:p w:rsidR="00450EBD" w:rsidRPr="00450EBD" w:rsidRDefault="00450EBD" w:rsidP="00450EBD">
            <w:pPr>
              <w:pStyle w:val="nospacing-leftalign"/>
              <w:cnfStyle w:val="000000010000" w:firstRow="0" w:lastRow="0" w:firstColumn="0" w:lastColumn="0" w:oddVBand="0" w:evenVBand="0" w:oddHBand="0" w:evenHBand="1" w:firstRowFirstColumn="0" w:firstRowLastColumn="0" w:lastRowFirstColumn="0" w:lastRowLastColumn="0"/>
              <w:rPr>
                <w:b w:val="0"/>
              </w:rPr>
            </w:pPr>
            <w:r w:rsidRPr="00450EBD">
              <w:rPr>
                <w:b w:val="0"/>
              </w:rPr>
              <w:t>To get a better quality phone line</w:t>
            </w:r>
            <w:r w:rsidRPr="00450EBD">
              <w:rPr>
                <w:b w:val="0"/>
              </w:rPr>
              <w:br/>
              <w:t>(n=9)</w:t>
            </w:r>
          </w:p>
        </w:tc>
        <w:tc>
          <w:tcPr>
            <w:tcW w:w="577" w:type="pct"/>
          </w:tcPr>
          <w:p w:rsidR="00450EBD" w:rsidRPr="00450EBD" w:rsidRDefault="00450EBD" w:rsidP="00450EBD">
            <w:pPr>
              <w:pStyle w:val="nospacing-leftalign"/>
              <w:cnfStyle w:val="000000010000" w:firstRow="0" w:lastRow="0" w:firstColumn="0" w:lastColumn="0" w:oddVBand="0" w:evenVBand="0" w:oddHBand="0" w:evenHBand="1" w:firstRowFirstColumn="0" w:firstRowLastColumn="0" w:lastRowFirstColumn="0" w:lastRowLastColumn="0"/>
              <w:rPr>
                <w:b w:val="0"/>
                <w:color w:val="000000"/>
              </w:rPr>
            </w:pPr>
          </w:p>
        </w:tc>
        <w:tc>
          <w:tcPr>
            <w:tcW w:w="574" w:type="pct"/>
          </w:tcPr>
          <w:p w:rsidR="00450EBD" w:rsidRPr="00450EBD" w:rsidRDefault="00450EBD" w:rsidP="00450EBD">
            <w:pPr>
              <w:pStyle w:val="nospacing-leftalign"/>
              <w:cnfStyle w:val="000000010000" w:firstRow="0" w:lastRow="0" w:firstColumn="0" w:lastColumn="0" w:oddVBand="0" w:evenVBand="0" w:oddHBand="0" w:evenHBand="1" w:firstRowFirstColumn="0" w:firstRowLastColumn="0" w:lastRowFirstColumn="0" w:lastRowLastColumn="0"/>
              <w:rPr>
                <w:b w:val="0"/>
                <w:color w:val="000000"/>
              </w:rPr>
            </w:pPr>
          </w:p>
        </w:tc>
      </w:tr>
      <w:tr w:rsidR="00450EBD" w:rsidTr="00450EBD">
        <w:trPr>
          <w:cantSplit/>
        </w:trPr>
        <w:tc>
          <w:tcPr>
            <w:cnfStyle w:val="001000000000" w:firstRow="0" w:lastRow="0" w:firstColumn="1" w:lastColumn="0" w:oddVBand="0" w:evenVBand="0" w:oddHBand="0" w:evenHBand="0" w:firstRowFirstColumn="0" w:firstRowLastColumn="0" w:lastRowFirstColumn="0" w:lastRowLastColumn="0"/>
            <w:tcW w:w="944" w:type="pct"/>
            <w:vAlign w:val="center"/>
          </w:tcPr>
          <w:p w:rsidR="00450EBD" w:rsidRPr="00450EBD" w:rsidRDefault="00450EBD" w:rsidP="00450EBD">
            <w:pPr>
              <w:pStyle w:val="nospacing-centred"/>
              <w:rPr>
                <w:lang w:val="en-US"/>
              </w:rPr>
            </w:pPr>
            <w:r w:rsidRPr="00450EBD">
              <w:t>3</w:t>
            </w:r>
          </w:p>
        </w:tc>
        <w:tc>
          <w:tcPr>
            <w:tcW w:w="730" w:type="pct"/>
            <w:vAlign w:val="bottom"/>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rPr>
            </w:pPr>
            <w:r w:rsidRPr="00450EBD">
              <w:rPr>
                <w:b w:val="0"/>
              </w:rPr>
              <w:t>To get better mobile coverage/</w:t>
            </w:r>
            <w:r w:rsidR="00C631E1">
              <w:rPr>
                <w:b w:val="0"/>
              </w:rPr>
              <w:t xml:space="preserve"> </w:t>
            </w:r>
            <w:r w:rsidRPr="00450EBD">
              <w:rPr>
                <w:b w:val="0"/>
              </w:rPr>
              <w:t>reception/</w:t>
            </w:r>
            <w:r w:rsidR="00C631E1">
              <w:rPr>
                <w:b w:val="0"/>
              </w:rPr>
              <w:t xml:space="preserve"> </w:t>
            </w:r>
            <w:r w:rsidRPr="00450EBD">
              <w:rPr>
                <w:b w:val="0"/>
              </w:rPr>
              <w:t xml:space="preserve">signal </w:t>
            </w:r>
            <w:r w:rsidRPr="00450EBD">
              <w:rPr>
                <w:b w:val="0"/>
              </w:rPr>
              <w:br/>
              <w:t>(n=5)</w:t>
            </w:r>
          </w:p>
        </w:tc>
        <w:tc>
          <w:tcPr>
            <w:tcW w:w="765" w:type="pct"/>
            <w:vAlign w:val="bottom"/>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rPr>
            </w:pPr>
            <w:r w:rsidRPr="00450EBD">
              <w:rPr>
                <w:b w:val="0"/>
              </w:rPr>
              <w:t>To get better mobile coverage/</w:t>
            </w:r>
            <w:r w:rsidR="00C631E1">
              <w:rPr>
                <w:b w:val="0"/>
              </w:rPr>
              <w:t xml:space="preserve"> </w:t>
            </w:r>
            <w:r w:rsidRPr="00450EBD">
              <w:rPr>
                <w:b w:val="0"/>
              </w:rPr>
              <w:t>reception/</w:t>
            </w:r>
            <w:r w:rsidR="00C631E1">
              <w:rPr>
                <w:b w:val="0"/>
              </w:rPr>
              <w:t xml:space="preserve"> </w:t>
            </w:r>
            <w:r w:rsidRPr="00450EBD">
              <w:rPr>
                <w:b w:val="0"/>
              </w:rPr>
              <w:t xml:space="preserve">signal </w:t>
            </w:r>
            <w:r w:rsidRPr="00450EBD">
              <w:rPr>
                <w:b w:val="0"/>
              </w:rPr>
              <w:br/>
              <w:t>(n=8)</w:t>
            </w:r>
          </w:p>
        </w:tc>
        <w:tc>
          <w:tcPr>
            <w:tcW w:w="575" w:type="pct"/>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p>
        </w:tc>
        <w:tc>
          <w:tcPr>
            <w:tcW w:w="835" w:type="pct"/>
            <w:vAlign w:val="bottom"/>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rPr>
            </w:pPr>
            <w:r w:rsidRPr="00450EBD">
              <w:rPr>
                <w:b w:val="0"/>
              </w:rPr>
              <w:t>To get better mobile coverage/</w:t>
            </w:r>
            <w:r w:rsidR="00C631E1">
              <w:rPr>
                <w:b w:val="0"/>
              </w:rPr>
              <w:t xml:space="preserve"> </w:t>
            </w:r>
            <w:r w:rsidRPr="00450EBD">
              <w:rPr>
                <w:b w:val="0"/>
              </w:rPr>
              <w:t>reception/</w:t>
            </w:r>
            <w:r w:rsidR="00C631E1">
              <w:rPr>
                <w:b w:val="0"/>
              </w:rPr>
              <w:t xml:space="preserve"> </w:t>
            </w:r>
            <w:r w:rsidRPr="00450EBD">
              <w:rPr>
                <w:b w:val="0"/>
              </w:rPr>
              <w:t xml:space="preserve">signal </w:t>
            </w:r>
            <w:r w:rsidRPr="00450EBD">
              <w:rPr>
                <w:b w:val="0"/>
              </w:rPr>
              <w:br/>
              <w:t>(n=6)</w:t>
            </w:r>
          </w:p>
        </w:tc>
        <w:tc>
          <w:tcPr>
            <w:tcW w:w="577" w:type="pct"/>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color w:val="000000"/>
              </w:rPr>
            </w:pPr>
          </w:p>
        </w:tc>
        <w:tc>
          <w:tcPr>
            <w:tcW w:w="574" w:type="pct"/>
          </w:tcPr>
          <w:p w:rsidR="00450EBD" w:rsidRPr="00450EBD" w:rsidRDefault="00450EBD" w:rsidP="00450EBD">
            <w:pPr>
              <w:pStyle w:val="nospacing-leftalign"/>
              <w:cnfStyle w:val="000000000000" w:firstRow="0" w:lastRow="0" w:firstColumn="0" w:lastColumn="0" w:oddVBand="0" w:evenVBand="0" w:oddHBand="0" w:evenHBand="0" w:firstRowFirstColumn="0" w:firstRowLastColumn="0" w:lastRowFirstColumn="0" w:lastRowLastColumn="0"/>
              <w:rPr>
                <w:b w:val="0"/>
                <w:color w:val="000000"/>
              </w:rPr>
            </w:pPr>
          </w:p>
        </w:tc>
      </w:tr>
    </w:tbl>
    <w:p w:rsidR="00887502" w:rsidRDefault="00887502" w:rsidP="000E3567">
      <w:pPr>
        <w:pStyle w:val="Caption"/>
      </w:pPr>
      <w:r w:rsidRPr="00304626">
        <w:t>Table B.2: Triallists’ overall satisfaction with their trial service by provider (1 July to 31 December 2021)</w:t>
      </w:r>
    </w:p>
    <w:tbl>
      <w:tblPr>
        <w:tblStyle w:val="DefaultTable1"/>
        <w:tblW w:w="5000" w:type="pct"/>
        <w:tblLook w:val="04A0" w:firstRow="1" w:lastRow="0" w:firstColumn="1" w:lastColumn="0" w:noHBand="0" w:noVBand="1"/>
        <w:tblDescription w:val="Table B.2: Triallists’ overall satisfaction with their trial service by provider (1 July to 31 December 2021)"/>
      </w:tblPr>
      <w:tblGrid>
        <w:gridCol w:w="2530"/>
        <w:gridCol w:w="1222"/>
        <w:gridCol w:w="1222"/>
        <w:gridCol w:w="1219"/>
        <w:gridCol w:w="1225"/>
        <w:gridCol w:w="1225"/>
        <w:gridCol w:w="1221"/>
      </w:tblGrid>
      <w:tr w:rsidR="00C64966" w:rsidTr="007C129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vAlign w:val="center"/>
          </w:tcPr>
          <w:p w:rsidR="00C64966" w:rsidRPr="008D096D" w:rsidRDefault="00C64966" w:rsidP="007C129B">
            <w:pPr>
              <w:pStyle w:val="tablecolumnheading"/>
              <w:rPr>
                <w:b/>
              </w:rPr>
            </w:pPr>
            <w:r w:rsidRPr="008D096D">
              <w:rPr>
                <w:b/>
              </w:rPr>
              <w:t>Overall service rating</w:t>
            </w:r>
          </w:p>
        </w:tc>
        <w:tc>
          <w:tcPr>
            <w:tcW w:w="619" w:type="pct"/>
            <w:vAlign w:val="center"/>
          </w:tcPr>
          <w:p w:rsidR="00C64966" w:rsidRPr="007E6282"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Concerotel</w:t>
            </w:r>
          </w:p>
        </w:tc>
        <w:tc>
          <w:tcPr>
            <w:tcW w:w="619" w:type="pct"/>
            <w:vAlign w:val="center"/>
          </w:tcPr>
          <w:p w:rsidR="00C64966" w:rsidRPr="007E6282"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NBN Co</w:t>
            </w:r>
          </w:p>
        </w:tc>
        <w:tc>
          <w:tcPr>
            <w:tcW w:w="618" w:type="pct"/>
            <w:vAlign w:val="center"/>
          </w:tcPr>
          <w:p w:rsidR="00C64966" w:rsidRPr="007E6282"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Optus</w:t>
            </w:r>
          </w:p>
        </w:tc>
        <w:tc>
          <w:tcPr>
            <w:tcW w:w="621" w:type="pct"/>
            <w:vAlign w:val="center"/>
          </w:tcPr>
          <w:p w:rsidR="00C64966" w:rsidRPr="007E6282"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Pivotel</w:t>
            </w:r>
          </w:p>
        </w:tc>
        <w:tc>
          <w:tcPr>
            <w:tcW w:w="621" w:type="pct"/>
            <w:vAlign w:val="center"/>
          </w:tcPr>
          <w:p w:rsidR="00C64966" w:rsidRPr="007E6282"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Telstra</w:t>
            </w:r>
          </w:p>
        </w:tc>
        <w:tc>
          <w:tcPr>
            <w:tcW w:w="619" w:type="pct"/>
            <w:vAlign w:val="center"/>
          </w:tcPr>
          <w:p w:rsidR="00C64966" w:rsidRPr="007E6282"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7E6282">
              <w:rPr>
                <w:b/>
              </w:rPr>
              <w:t>Zetifi</w:t>
            </w:r>
          </w:p>
        </w:tc>
      </w:tr>
      <w:tr w:rsidR="00C64966" w:rsidTr="007C129B">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C64966" w:rsidRPr="002E549E" w:rsidRDefault="00C64966" w:rsidP="007C129B">
            <w:pPr>
              <w:spacing w:after="0"/>
              <w:rPr>
                <w:lang w:val="en-US"/>
              </w:rPr>
            </w:pPr>
            <w:r w:rsidRPr="002E549E">
              <w:rPr>
                <w:lang w:val="en-US"/>
              </w:rPr>
              <w:t>Excellent</w:t>
            </w:r>
          </w:p>
        </w:tc>
        <w:tc>
          <w:tcPr>
            <w:tcW w:w="619" w:type="pct"/>
            <w:shd w:val="clear" w:color="auto" w:fill="auto"/>
          </w:tcPr>
          <w:p w:rsidR="00C64966" w:rsidRPr="00723BAC" w:rsidRDefault="00C64966" w:rsidP="007C129B">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AB6687">
              <w:t>19%</w:t>
            </w:r>
            <w:r w:rsidRPr="00AB6687">
              <w:br/>
              <w:t>(n=23)</w:t>
            </w:r>
          </w:p>
        </w:tc>
        <w:tc>
          <w:tcPr>
            <w:tcW w:w="619" w:type="pct"/>
            <w:shd w:val="clear" w:color="auto" w:fill="auto"/>
          </w:tcPr>
          <w:p w:rsidR="00C64966" w:rsidRPr="00723BAC" w:rsidRDefault="00C64966" w:rsidP="007C129B">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AB6687">
              <w:t>19%</w:t>
            </w:r>
            <w:r w:rsidRPr="00AB6687">
              <w:br/>
              <w:t>(n=19)</w:t>
            </w:r>
          </w:p>
        </w:tc>
        <w:tc>
          <w:tcPr>
            <w:tcW w:w="618" w:type="pct"/>
            <w:shd w:val="clear" w:color="auto" w:fill="auto"/>
          </w:tcPr>
          <w:p w:rsidR="00C64966" w:rsidRPr="00723BAC" w:rsidRDefault="00C64966" w:rsidP="007C129B">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AB6687">
              <w:t>20%</w:t>
            </w:r>
            <w:r w:rsidRPr="00AB6687">
              <w:br/>
              <w:t>(n=5)</w:t>
            </w:r>
          </w:p>
        </w:tc>
        <w:tc>
          <w:tcPr>
            <w:tcW w:w="621" w:type="pct"/>
            <w:shd w:val="clear" w:color="auto" w:fill="auto"/>
          </w:tcPr>
          <w:p w:rsidR="00C64966" w:rsidRPr="00723BAC" w:rsidRDefault="00C64966" w:rsidP="007C129B">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AB6687">
              <w:t>28%</w:t>
            </w:r>
            <w:r w:rsidRPr="00AB6687">
              <w:br/>
              <w:t>(n=12)</w:t>
            </w:r>
          </w:p>
        </w:tc>
        <w:tc>
          <w:tcPr>
            <w:tcW w:w="621" w:type="pct"/>
            <w:shd w:val="clear" w:color="auto" w:fill="auto"/>
          </w:tcPr>
          <w:p w:rsidR="00C64966" w:rsidRPr="00723BAC" w:rsidRDefault="00C64966" w:rsidP="007C129B">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AB6687">
              <w:t>28%</w:t>
            </w:r>
            <w:r w:rsidRPr="00AB6687">
              <w:br/>
              <w:t>(n=98)</w:t>
            </w:r>
          </w:p>
        </w:tc>
        <w:tc>
          <w:tcPr>
            <w:tcW w:w="619" w:type="pct"/>
            <w:shd w:val="clear" w:color="auto" w:fill="auto"/>
          </w:tcPr>
          <w:p w:rsidR="00C64966" w:rsidRPr="00723BAC" w:rsidRDefault="00C64966" w:rsidP="007C129B">
            <w:pPr>
              <w:spacing w:before="0" w:after="0"/>
              <w:jc w:val="center"/>
              <w:cnfStyle w:val="000000000000" w:firstRow="0" w:lastRow="0" w:firstColumn="0" w:lastColumn="0" w:oddVBand="0" w:evenVBand="0" w:oddHBand="0" w:evenHBand="0" w:firstRowFirstColumn="0" w:firstRowLastColumn="0" w:lastRowFirstColumn="0" w:lastRowLastColumn="0"/>
              <w:rPr>
                <w:color w:val="000000"/>
              </w:rPr>
            </w:pPr>
            <w:r w:rsidRPr="00AB6687">
              <w:t>44%</w:t>
            </w:r>
            <w:r w:rsidRPr="00AB6687">
              <w:br/>
              <w:t>(n=75)</w:t>
            </w:r>
          </w:p>
        </w:tc>
      </w:tr>
      <w:tr w:rsidR="00C64966"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C64966" w:rsidRPr="002E549E" w:rsidRDefault="00C64966" w:rsidP="007C129B">
            <w:pPr>
              <w:spacing w:after="0"/>
              <w:rPr>
                <w:lang w:val="en-US"/>
              </w:rPr>
            </w:pPr>
            <w:r w:rsidRPr="002E549E">
              <w:rPr>
                <w:lang w:val="en-US"/>
              </w:rPr>
              <w:t>Good</w:t>
            </w:r>
          </w:p>
        </w:tc>
        <w:tc>
          <w:tcPr>
            <w:tcW w:w="619" w:type="pct"/>
            <w:shd w:val="clear" w:color="auto" w:fill="auto"/>
          </w:tcPr>
          <w:p w:rsidR="00C64966" w:rsidRPr="00723BAC" w:rsidRDefault="00C64966" w:rsidP="007C129B">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AB6687">
              <w:t>42%</w:t>
            </w:r>
            <w:r w:rsidRPr="00AB6687">
              <w:br/>
              <w:t>(n=52)</w:t>
            </w:r>
          </w:p>
        </w:tc>
        <w:tc>
          <w:tcPr>
            <w:tcW w:w="619" w:type="pct"/>
            <w:shd w:val="clear" w:color="auto" w:fill="auto"/>
          </w:tcPr>
          <w:p w:rsidR="00C64966" w:rsidRPr="00723BAC" w:rsidRDefault="00C64966" w:rsidP="007C129B">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AB6687">
              <w:t>30%</w:t>
            </w:r>
            <w:r w:rsidRPr="00AB6687">
              <w:br/>
              <w:t>(n=31)</w:t>
            </w:r>
          </w:p>
        </w:tc>
        <w:tc>
          <w:tcPr>
            <w:tcW w:w="618" w:type="pct"/>
            <w:shd w:val="clear" w:color="auto" w:fill="auto"/>
          </w:tcPr>
          <w:p w:rsidR="00C64966" w:rsidRPr="00723BAC" w:rsidRDefault="00C64966" w:rsidP="007C129B">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AB6687">
              <w:t>56%</w:t>
            </w:r>
            <w:r w:rsidRPr="00AB6687">
              <w:br/>
              <w:t>(n=14)</w:t>
            </w:r>
          </w:p>
        </w:tc>
        <w:tc>
          <w:tcPr>
            <w:tcW w:w="621" w:type="pct"/>
            <w:shd w:val="clear" w:color="auto" w:fill="auto"/>
          </w:tcPr>
          <w:p w:rsidR="00C64966" w:rsidRPr="00723BAC" w:rsidRDefault="00C64966" w:rsidP="007C129B">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AB6687">
              <w:t>51%</w:t>
            </w:r>
            <w:r w:rsidRPr="00AB6687">
              <w:br/>
              <w:t>(n=22)</w:t>
            </w:r>
          </w:p>
        </w:tc>
        <w:tc>
          <w:tcPr>
            <w:tcW w:w="621" w:type="pct"/>
            <w:shd w:val="clear" w:color="auto" w:fill="auto"/>
          </w:tcPr>
          <w:p w:rsidR="00C64966" w:rsidRPr="00723BAC" w:rsidRDefault="00C64966" w:rsidP="007C129B">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AB6687">
              <w:t>43%</w:t>
            </w:r>
            <w:r w:rsidRPr="00AB6687">
              <w:br/>
              <w:t>(n=152)</w:t>
            </w:r>
          </w:p>
        </w:tc>
        <w:tc>
          <w:tcPr>
            <w:tcW w:w="619" w:type="pct"/>
            <w:shd w:val="clear" w:color="auto" w:fill="auto"/>
          </w:tcPr>
          <w:p w:rsidR="00C64966" w:rsidRPr="00723BAC" w:rsidRDefault="00C64966" w:rsidP="007C129B">
            <w:pPr>
              <w:spacing w:after="0"/>
              <w:jc w:val="center"/>
              <w:cnfStyle w:val="000000010000" w:firstRow="0" w:lastRow="0" w:firstColumn="0" w:lastColumn="0" w:oddVBand="0" w:evenVBand="0" w:oddHBand="0" w:evenHBand="1" w:firstRowFirstColumn="0" w:firstRowLastColumn="0" w:lastRowFirstColumn="0" w:lastRowLastColumn="0"/>
              <w:rPr>
                <w:color w:val="000000"/>
              </w:rPr>
            </w:pPr>
            <w:r w:rsidRPr="00AB6687">
              <w:t>35%</w:t>
            </w:r>
            <w:r w:rsidRPr="00AB6687">
              <w:br/>
              <w:t>(n=60)</w:t>
            </w:r>
          </w:p>
        </w:tc>
      </w:tr>
      <w:tr w:rsidR="00C64966" w:rsidRPr="008D096D" w:rsidTr="007C129B">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C64966" w:rsidRPr="008D096D" w:rsidRDefault="00C64966" w:rsidP="007C129B">
            <w:pPr>
              <w:spacing w:after="0"/>
              <w:rPr>
                <w:lang w:val="en-US"/>
              </w:rPr>
            </w:pPr>
            <w:r w:rsidRPr="008D096D">
              <w:rPr>
                <w:lang w:val="en-US"/>
              </w:rPr>
              <w:t>Total of excellent and good</w:t>
            </w:r>
          </w:p>
        </w:tc>
        <w:tc>
          <w:tcPr>
            <w:tcW w:w="619" w:type="pct"/>
            <w:shd w:val="clear" w:color="auto" w:fill="auto"/>
          </w:tcPr>
          <w:p w:rsidR="00C64966" w:rsidRPr="00CD3B59" w:rsidRDefault="00C64966" w:rsidP="007C129B">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CD3B59">
              <w:rPr>
                <w:b/>
              </w:rPr>
              <w:t>61%</w:t>
            </w:r>
            <w:r w:rsidRPr="00CD3B59">
              <w:rPr>
                <w:b/>
              </w:rPr>
              <w:br/>
              <w:t>(n=75)</w:t>
            </w:r>
          </w:p>
        </w:tc>
        <w:tc>
          <w:tcPr>
            <w:tcW w:w="619" w:type="pct"/>
            <w:shd w:val="clear" w:color="auto" w:fill="auto"/>
          </w:tcPr>
          <w:p w:rsidR="00C64966" w:rsidRPr="00CD3B59" w:rsidRDefault="00C64966" w:rsidP="007C129B">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CD3B59">
              <w:rPr>
                <w:b/>
              </w:rPr>
              <w:t>49%</w:t>
            </w:r>
            <w:r w:rsidRPr="00CD3B59">
              <w:rPr>
                <w:b/>
              </w:rPr>
              <w:br/>
              <w:t>(n=50)</w:t>
            </w:r>
          </w:p>
        </w:tc>
        <w:tc>
          <w:tcPr>
            <w:tcW w:w="618" w:type="pct"/>
            <w:shd w:val="clear" w:color="auto" w:fill="auto"/>
          </w:tcPr>
          <w:p w:rsidR="00C64966" w:rsidRPr="00CD3B59" w:rsidRDefault="00C64966" w:rsidP="007C129B">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CD3B59">
              <w:rPr>
                <w:b/>
              </w:rPr>
              <w:t>76%</w:t>
            </w:r>
            <w:r w:rsidRPr="00CD3B59">
              <w:rPr>
                <w:b/>
              </w:rPr>
              <w:br/>
              <w:t>(n=19)</w:t>
            </w:r>
          </w:p>
        </w:tc>
        <w:tc>
          <w:tcPr>
            <w:tcW w:w="621" w:type="pct"/>
            <w:shd w:val="clear" w:color="auto" w:fill="auto"/>
          </w:tcPr>
          <w:p w:rsidR="00C64966" w:rsidRPr="00CD3B59" w:rsidRDefault="00C64966" w:rsidP="007C129B">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CD3B59">
              <w:rPr>
                <w:b/>
              </w:rPr>
              <w:t>79%</w:t>
            </w:r>
            <w:r w:rsidRPr="00CD3B59">
              <w:rPr>
                <w:b/>
              </w:rPr>
              <w:br/>
              <w:t>(n=34)</w:t>
            </w:r>
          </w:p>
        </w:tc>
        <w:tc>
          <w:tcPr>
            <w:tcW w:w="621" w:type="pct"/>
            <w:shd w:val="clear" w:color="auto" w:fill="auto"/>
          </w:tcPr>
          <w:p w:rsidR="00C64966" w:rsidRPr="00CD3B59" w:rsidRDefault="00C64966" w:rsidP="007C129B">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CD3B59">
              <w:rPr>
                <w:b/>
              </w:rPr>
              <w:t>71%</w:t>
            </w:r>
            <w:r w:rsidRPr="00CD3B59">
              <w:rPr>
                <w:b/>
              </w:rPr>
              <w:br/>
              <w:t>(n=250)</w:t>
            </w:r>
          </w:p>
        </w:tc>
        <w:tc>
          <w:tcPr>
            <w:tcW w:w="619" w:type="pct"/>
            <w:shd w:val="clear" w:color="auto" w:fill="auto"/>
          </w:tcPr>
          <w:p w:rsidR="00C64966" w:rsidRPr="00CD3B59" w:rsidRDefault="00C64966" w:rsidP="007C129B">
            <w:pPr>
              <w:spacing w:after="0"/>
              <w:jc w:val="center"/>
              <w:cnfStyle w:val="000000000000" w:firstRow="0" w:lastRow="0" w:firstColumn="0" w:lastColumn="0" w:oddVBand="0" w:evenVBand="0" w:oddHBand="0" w:evenHBand="0" w:firstRowFirstColumn="0" w:firstRowLastColumn="0" w:lastRowFirstColumn="0" w:lastRowLastColumn="0"/>
              <w:rPr>
                <w:b/>
                <w:color w:val="000000"/>
              </w:rPr>
            </w:pPr>
            <w:r w:rsidRPr="00CD3B59">
              <w:rPr>
                <w:b/>
              </w:rPr>
              <w:t>79%</w:t>
            </w:r>
            <w:r w:rsidRPr="00CD3B59">
              <w:rPr>
                <w:b/>
              </w:rPr>
              <w:br/>
              <w:t>(n=135)</w:t>
            </w:r>
          </w:p>
        </w:tc>
      </w:tr>
      <w:tr w:rsidR="00C64966"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C64966" w:rsidRPr="002E549E" w:rsidRDefault="00C64966" w:rsidP="00C64966">
            <w:pPr>
              <w:spacing w:after="0"/>
              <w:rPr>
                <w:lang w:val="en-US"/>
              </w:rPr>
            </w:pPr>
            <w:r w:rsidRPr="002E549E">
              <w:rPr>
                <w:lang w:val="en-US"/>
              </w:rPr>
              <w:t>Fair</w:t>
            </w:r>
          </w:p>
        </w:tc>
        <w:tc>
          <w:tcPr>
            <w:tcW w:w="619"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28%</w:t>
            </w:r>
            <w:r w:rsidRPr="00AB6687">
              <w:br/>
              <w:t>(n=34)</w:t>
            </w:r>
          </w:p>
        </w:tc>
        <w:tc>
          <w:tcPr>
            <w:tcW w:w="619"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25%</w:t>
            </w:r>
            <w:r w:rsidRPr="00AB6687">
              <w:br/>
              <w:t>(n=25)</w:t>
            </w:r>
          </w:p>
        </w:tc>
        <w:tc>
          <w:tcPr>
            <w:tcW w:w="618"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16%</w:t>
            </w:r>
            <w:r w:rsidRPr="00AB6687">
              <w:br/>
              <w:t>(n=4)</w:t>
            </w:r>
          </w:p>
        </w:tc>
        <w:tc>
          <w:tcPr>
            <w:tcW w:w="621"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12%</w:t>
            </w:r>
            <w:r w:rsidRPr="00AB6687">
              <w:br/>
              <w:t>(n=5)</w:t>
            </w:r>
          </w:p>
        </w:tc>
        <w:tc>
          <w:tcPr>
            <w:tcW w:w="621"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21%</w:t>
            </w:r>
            <w:r w:rsidRPr="00AB6687">
              <w:br/>
              <w:t>(n=74)</w:t>
            </w:r>
          </w:p>
        </w:tc>
        <w:tc>
          <w:tcPr>
            <w:tcW w:w="619"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15%</w:t>
            </w:r>
            <w:r w:rsidRPr="00AB6687">
              <w:br/>
              <w:t>(n=26)</w:t>
            </w:r>
          </w:p>
        </w:tc>
      </w:tr>
      <w:tr w:rsidR="00C64966" w:rsidTr="007C129B">
        <w:trPr>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C64966" w:rsidRPr="002E549E" w:rsidRDefault="00C64966" w:rsidP="00C64966">
            <w:pPr>
              <w:spacing w:after="0"/>
              <w:rPr>
                <w:lang w:val="en-US"/>
              </w:rPr>
            </w:pPr>
            <w:r w:rsidRPr="002E549E">
              <w:rPr>
                <w:lang w:val="en-US"/>
              </w:rPr>
              <w:t>Poor</w:t>
            </w:r>
          </w:p>
        </w:tc>
        <w:tc>
          <w:tcPr>
            <w:tcW w:w="619" w:type="pct"/>
            <w:shd w:val="clear" w:color="auto" w:fill="auto"/>
            <w:vAlign w:val="bottom"/>
          </w:tcPr>
          <w:p w:rsidR="00C64966" w:rsidRPr="00AB6687" w:rsidRDefault="00C64966" w:rsidP="00C64966">
            <w:pPr>
              <w:pStyle w:val="nospacing-centred"/>
              <w:cnfStyle w:val="000000000000" w:firstRow="0" w:lastRow="0" w:firstColumn="0" w:lastColumn="0" w:oddVBand="0" w:evenVBand="0" w:oddHBand="0" w:evenHBand="0" w:firstRowFirstColumn="0" w:firstRowLastColumn="0" w:lastRowFirstColumn="0" w:lastRowLastColumn="0"/>
            </w:pPr>
            <w:r w:rsidRPr="00AB6687">
              <w:t>10%</w:t>
            </w:r>
            <w:r w:rsidRPr="00AB6687">
              <w:br/>
              <w:t>(n=12)</w:t>
            </w:r>
          </w:p>
        </w:tc>
        <w:tc>
          <w:tcPr>
            <w:tcW w:w="619" w:type="pct"/>
            <w:shd w:val="clear" w:color="auto" w:fill="auto"/>
            <w:vAlign w:val="bottom"/>
          </w:tcPr>
          <w:p w:rsidR="00C64966" w:rsidRPr="00AB6687" w:rsidRDefault="00C64966" w:rsidP="00C64966">
            <w:pPr>
              <w:pStyle w:val="nospacing-centred"/>
              <w:cnfStyle w:val="000000000000" w:firstRow="0" w:lastRow="0" w:firstColumn="0" w:lastColumn="0" w:oddVBand="0" w:evenVBand="0" w:oddHBand="0" w:evenHBand="0" w:firstRowFirstColumn="0" w:firstRowLastColumn="0" w:lastRowFirstColumn="0" w:lastRowLastColumn="0"/>
            </w:pPr>
            <w:r w:rsidRPr="00AB6687">
              <w:t>14%</w:t>
            </w:r>
            <w:r w:rsidRPr="00AB6687">
              <w:br/>
              <w:t>(n=14)</w:t>
            </w:r>
          </w:p>
        </w:tc>
        <w:tc>
          <w:tcPr>
            <w:tcW w:w="618" w:type="pct"/>
            <w:shd w:val="clear" w:color="auto" w:fill="auto"/>
            <w:vAlign w:val="bottom"/>
          </w:tcPr>
          <w:p w:rsidR="00C64966" w:rsidRPr="00AB6687" w:rsidRDefault="00C64966" w:rsidP="00C64966">
            <w:pPr>
              <w:pStyle w:val="nospacing-centred"/>
              <w:cnfStyle w:val="000000000000" w:firstRow="0" w:lastRow="0" w:firstColumn="0" w:lastColumn="0" w:oddVBand="0" w:evenVBand="0" w:oddHBand="0" w:evenHBand="0" w:firstRowFirstColumn="0" w:firstRowLastColumn="0" w:lastRowFirstColumn="0" w:lastRowLastColumn="0"/>
            </w:pPr>
            <w:r w:rsidRPr="00AB6687">
              <w:t>8%</w:t>
            </w:r>
            <w:r w:rsidRPr="00AB6687">
              <w:br/>
              <w:t>(n=2)</w:t>
            </w:r>
          </w:p>
        </w:tc>
        <w:tc>
          <w:tcPr>
            <w:tcW w:w="621" w:type="pct"/>
            <w:shd w:val="clear" w:color="auto" w:fill="auto"/>
            <w:vAlign w:val="bottom"/>
          </w:tcPr>
          <w:p w:rsidR="00C64966" w:rsidRPr="00AB6687" w:rsidRDefault="00C64966" w:rsidP="00C64966">
            <w:pPr>
              <w:pStyle w:val="nospacing-centred"/>
              <w:cnfStyle w:val="000000000000" w:firstRow="0" w:lastRow="0" w:firstColumn="0" w:lastColumn="0" w:oddVBand="0" w:evenVBand="0" w:oddHBand="0" w:evenHBand="0" w:firstRowFirstColumn="0" w:firstRowLastColumn="0" w:lastRowFirstColumn="0" w:lastRowLastColumn="0"/>
            </w:pPr>
            <w:r w:rsidRPr="00AB6687">
              <w:t>9%</w:t>
            </w:r>
            <w:r w:rsidRPr="00AB6687">
              <w:br/>
              <w:t>(n=4)</w:t>
            </w:r>
          </w:p>
        </w:tc>
        <w:tc>
          <w:tcPr>
            <w:tcW w:w="621" w:type="pct"/>
            <w:shd w:val="clear" w:color="auto" w:fill="auto"/>
            <w:vAlign w:val="bottom"/>
          </w:tcPr>
          <w:p w:rsidR="00C64966" w:rsidRPr="00AB6687" w:rsidRDefault="00C64966" w:rsidP="00C64966">
            <w:pPr>
              <w:pStyle w:val="nospacing-centred"/>
              <w:cnfStyle w:val="000000000000" w:firstRow="0" w:lastRow="0" w:firstColumn="0" w:lastColumn="0" w:oddVBand="0" w:evenVBand="0" w:oddHBand="0" w:evenHBand="0" w:firstRowFirstColumn="0" w:firstRowLastColumn="0" w:lastRowFirstColumn="0" w:lastRowLastColumn="0"/>
            </w:pPr>
            <w:r w:rsidRPr="00AB6687">
              <w:t>6%</w:t>
            </w:r>
            <w:r w:rsidRPr="00AB6687">
              <w:br/>
              <w:t>(n=22)</w:t>
            </w:r>
          </w:p>
        </w:tc>
        <w:tc>
          <w:tcPr>
            <w:tcW w:w="619" w:type="pct"/>
            <w:shd w:val="clear" w:color="auto" w:fill="auto"/>
            <w:vAlign w:val="bottom"/>
          </w:tcPr>
          <w:p w:rsidR="00C64966" w:rsidRPr="00AB6687" w:rsidRDefault="00C64966" w:rsidP="00C64966">
            <w:pPr>
              <w:pStyle w:val="nospacing-centred"/>
              <w:cnfStyle w:val="000000000000" w:firstRow="0" w:lastRow="0" w:firstColumn="0" w:lastColumn="0" w:oddVBand="0" w:evenVBand="0" w:oddHBand="0" w:evenHBand="0" w:firstRowFirstColumn="0" w:firstRowLastColumn="0" w:lastRowFirstColumn="0" w:lastRowLastColumn="0"/>
            </w:pPr>
            <w:r w:rsidRPr="00AB6687">
              <w:t>4%</w:t>
            </w:r>
            <w:r w:rsidRPr="00AB6687">
              <w:br/>
              <w:t>(n=7)</w:t>
            </w:r>
          </w:p>
        </w:tc>
      </w:tr>
      <w:tr w:rsidR="00C64966" w:rsidTr="007C129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82" w:type="pct"/>
            <w:shd w:val="clear" w:color="auto" w:fill="auto"/>
            <w:vAlign w:val="center"/>
          </w:tcPr>
          <w:p w:rsidR="00C64966" w:rsidRPr="002E549E" w:rsidRDefault="00C64966" w:rsidP="00C64966">
            <w:pPr>
              <w:spacing w:after="0"/>
              <w:rPr>
                <w:lang w:val="en-US"/>
              </w:rPr>
            </w:pPr>
            <w:r w:rsidRPr="002E549E">
              <w:rPr>
                <w:lang w:val="en-US"/>
              </w:rPr>
              <w:t>Bad</w:t>
            </w:r>
          </w:p>
        </w:tc>
        <w:tc>
          <w:tcPr>
            <w:tcW w:w="619"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2%</w:t>
            </w:r>
            <w:r w:rsidRPr="00AB6687">
              <w:br/>
              <w:t>(n=2)</w:t>
            </w:r>
          </w:p>
        </w:tc>
        <w:tc>
          <w:tcPr>
            <w:tcW w:w="619"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13%</w:t>
            </w:r>
            <w:r w:rsidRPr="00AB6687">
              <w:br/>
              <w:t>(n=13)</w:t>
            </w:r>
          </w:p>
        </w:tc>
        <w:tc>
          <w:tcPr>
            <w:tcW w:w="618"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0%</w:t>
            </w:r>
            <w:r w:rsidRPr="00AB6687">
              <w:br/>
              <w:t>(n=0)</w:t>
            </w:r>
          </w:p>
        </w:tc>
        <w:tc>
          <w:tcPr>
            <w:tcW w:w="621"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0%</w:t>
            </w:r>
            <w:r w:rsidRPr="00AB6687">
              <w:br/>
              <w:t>(n=0)</w:t>
            </w:r>
          </w:p>
        </w:tc>
        <w:tc>
          <w:tcPr>
            <w:tcW w:w="621"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2%</w:t>
            </w:r>
            <w:r w:rsidRPr="00AB6687">
              <w:br/>
              <w:t>(n=6)</w:t>
            </w:r>
          </w:p>
        </w:tc>
        <w:tc>
          <w:tcPr>
            <w:tcW w:w="619" w:type="pct"/>
            <w:shd w:val="clear" w:color="auto" w:fill="auto"/>
            <w:vAlign w:val="bottom"/>
          </w:tcPr>
          <w:p w:rsidR="00C64966" w:rsidRPr="00AB6687" w:rsidRDefault="00C64966" w:rsidP="00C64966">
            <w:pPr>
              <w:pStyle w:val="nospacing-centred"/>
              <w:cnfStyle w:val="000000010000" w:firstRow="0" w:lastRow="0" w:firstColumn="0" w:lastColumn="0" w:oddVBand="0" w:evenVBand="0" w:oddHBand="0" w:evenHBand="1" w:firstRowFirstColumn="0" w:firstRowLastColumn="0" w:lastRowFirstColumn="0" w:lastRowLastColumn="0"/>
            </w:pPr>
            <w:r w:rsidRPr="00AB6687">
              <w:t>2%</w:t>
            </w:r>
            <w:r w:rsidRPr="00AB6687">
              <w:br/>
              <w:t>(n=4)</w:t>
            </w:r>
          </w:p>
        </w:tc>
      </w:tr>
    </w:tbl>
    <w:p w:rsidR="00887502" w:rsidRDefault="00887502" w:rsidP="00C64966">
      <w:pPr>
        <w:pStyle w:val="Caption"/>
      </w:pPr>
      <w:r w:rsidRPr="00C64966">
        <w:rPr>
          <w:rStyle w:val="Heading4Char"/>
          <w:rFonts w:asciiTheme="minorHAnsi" w:eastAsiaTheme="minorHAnsi" w:hAnsiTheme="minorHAnsi" w:cstheme="minorBidi"/>
          <w:b/>
          <w:iCs/>
          <w:color w:val="000000" w:themeColor="text1"/>
          <w:sz w:val="22"/>
        </w:rPr>
        <w:lastRenderedPageBreak/>
        <w:t>Table B.3: Top 3 issues reported with the trial services by provider (1 July to 31 December 2021)</w:t>
      </w:r>
    </w:p>
    <w:tbl>
      <w:tblPr>
        <w:tblStyle w:val="DefaultTable1"/>
        <w:tblW w:w="5230" w:type="pct"/>
        <w:tblLayout w:type="fixed"/>
        <w:tblLook w:val="04A0" w:firstRow="1" w:lastRow="0" w:firstColumn="1" w:lastColumn="0" w:noHBand="0" w:noVBand="1"/>
        <w:tblDescription w:val="Table B.3: Top 3 issues reported with the trial services by provider (1 July to 31 December 2021)"/>
      </w:tblPr>
      <w:tblGrid>
        <w:gridCol w:w="765"/>
        <w:gridCol w:w="1621"/>
        <w:gridCol w:w="1620"/>
        <w:gridCol w:w="1620"/>
        <w:gridCol w:w="1663"/>
        <w:gridCol w:w="1409"/>
        <w:gridCol w:w="1620"/>
      </w:tblGrid>
      <w:tr w:rsidR="00C64966" w:rsidTr="00C6496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0" w:type="pct"/>
          </w:tcPr>
          <w:p w:rsidR="00C64966" w:rsidRPr="007E6282" w:rsidRDefault="00C64966" w:rsidP="007C129B">
            <w:pPr>
              <w:rPr>
                <w:szCs w:val="22"/>
              </w:rPr>
            </w:pPr>
            <w:r>
              <w:rPr>
                <w:szCs w:val="22"/>
              </w:rPr>
              <w:t>Top 3 issues</w:t>
            </w:r>
          </w:p>
        </w:tc>
        <w:tc>
          <w:tcPr>
            <w:tcW w:w="785" w:type="pct"/>
          </w:tcPr>
          <w:p w:rsidR="00C64966" w:rsidRPr="007E6282" w:rsidRDefault="00C64966"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Concerotel</w:t>
            </w:r>
          </w:p>
        </w:tc>
        <w:tc>
          <w:tcPr>
            <w:tcW w:w="785" w:type="pct"/>
          </w:tcPr>
          <w:p w:rsidR="00C64966" w:rsidRPr="007E6282" w:rsidRDefault="00C64966"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NBN Co</w:t>
            </w:r>
          </w:p>
        </w:tc>
        <w:tc>
          <w:tcPr>
            <w:tcW w:w="785" w:type="pct"/>
          </w:tcPr>
          <w:p w:rsidR="00C64966" w:rsidRPr="007E6282" w:rsidRDefault="00C64966"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Optus</w:t>
            </w:r>
          </w:p>
        </w:tc>
        <w:tc>
          <w:tcPr>
            <w:tcW w:w="806" w:type="pct"/>
          </w:tcPr>
          <w:p w:rsidR="00C64966" w:rsidRPr="007E6282" w:rsidRDefault="00C64966"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Pivotel</w:t>
            </w:r>
          </w:p>
        </w:tc>
        <w:tc>
          <w:tcPr>
            <w:tcW w:w="683" w:type="pct"/>
          </w:tcPr>
          <w:p w:rsidR="00C64966" w:rsidRPr="007E6282" w:rsidRDefault="00C64966"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Telstra</w:t>
            </w:r>
          </w:p>
        </w:tc>
        <w:tc>
          <w:tcPr>
            <w:tcW w:w="785" w:type="pct"/>
          </w:tcPr>
          <w:p w:rsidR="00C64966" w:rsidRPr="007E6282" w:rsidRDefault="00C64966" w:rsidP="007C129B">
            <w:pPr>
              <w:pStyle w:val="Heading4"/>
              <w:jc w:val="center"/>
              <w:outlineLvl w:val="3"/>
              <w:cnfStyle w:val="100000000000" w:firstRow="1" w:lastRow="0" w:firstColumn="0" w:lastColumn="0" w:oddVBand="0" w:evenVBand="0" w:oddHBand="0" w:evenHBand="0" w:firstRowFirstColumn="0" w:firstRowLastColumn="0" w:lastRowFirstColumn="0" w:lastRowLastColumn="0"/>
              <w:rPr>
                <w:b/>
                <w:i/>
                <w:color w:val="auto"/>
                <w:sz w:val="22"/>
                <w:szCs w:val="22"/>
              </w:rPr>
            </w:pPr>
            <w:r w:rsidRPr="007E6282">
              <w:rPr>
                <w:b/>
                <w:color w:val="auto"/>
                <w:sz w:val="22"/>
                <w:szCs w:val="22"/>
              </w:rPr>
              <w:t>Zetifi</w:t>
            </w:r>
          </w:p>
        </w:tc>
      </w:tr>
      <w:tr w:rsidR="00C64966" w:rsidTr="00C64966">
        <w:trPr>
          <w:cantSplit/>
        </w:trPr>
        <w:tc>
          <w:tcPr>
            <w:cnfStyle w:val="001000000000" w:firstRow="0" w:lastRow="0" w:firstColumn="1" w:lastColumn="0" w:oddVBand="0" w:evenVBand="0" w:oddHBand="0" w:evenHBand="0" w:firstRowFirstColumn="0" w:firstRowLastColumn="0" w:lastRowFirstColumn="0" w:lastRowLastColumn="0"/>
            <w:tcW w:w="370" w:type="pct"/>
            <w:vAlign w:val="center"/>
          </w:tcPr>
          <w:p w:rsidR="00C64966" w:rsidRPr="00AB6687" w:rsidRDefault="00C64966" w:rsidP="00C64966">
            <w:pPr>
              <w:pStyle w:val="nospacing-centred"/>
              <w:rPr>
                <w:lang w:val="en-US"/>
              </w:rPr>
            </w:pPr>
            <w:r w:rsidRPr="00AB6687">
              <w:t>1</w:t>
            </w:r>
          </w:p>
        </w:tc>
        <w:tc>
          <w:tcPr>
            <w:tcW w:w="785"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Phone call quality issues</w:t>
            </w:r>
            <w:r w:rsidRPr="00C64966">
              <w:rPr>
                <w:b w:val="0"/>
              </w:rPr>
              <w:br/>
              <w:t>(n=34)</w:t>
            </w:r>
          </w:p>
        </w:tc>
        <w:tc>
          <w:tcPr>
            <w:tcW w:w="785"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Phone call quality issues</w:t>
            </w:r>
            <w:r w:rsidRPr="00C64966">
              <w:rPr>
                <w:b w:val="0"/>
              </w:rPr>
              <w:br/>
              <w:t>(n=25)</w:t>
            </w:r>
          </w:p>
        </w:tc>
        <w:tc>
          <w:tcPr>
            <w:tcW w:w="785"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Phone call quality issues</w:t>
            </w:r>
            <w:r w:rsidRPr="00C64966">
              <w:rPr>
                <w:b w:val="0"/>
              </w:rPr>
              <w:br/>
              <w:t>(n=6)</w:t>
            </w:r>
          </w:p>
        </w:tc>
        <w:tc>
          <w:tcPr>
            <w:tcW w:w="806"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Phone call quality issues</w:t>
            </w:r>
            <w:r w:rsidRPr="00C64966">
              <w:rPr>
                <w:b w:val="0"/>
              </w:rPr>
              <w:br/>
              <w:t>(n=8)</w:t>
            </w:r>
          </w:p>
        </w:tc>
        <w:tc>
          <w:tcPr>
            <w:tcW w:w="683"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Phone call quality issues</w:t>
            </w:r>
            <w:r w:rsidRPr="00C64966">
              <w:rPr>
                <w:b w:val="0"/>
              </w:rPr>
              <w:br/>
              <w:t>(n=53)</w:t>
            </w:r>
          </w:p>
        </w:tc>
        <w:tc>
          <w:tcPr>
            <w:tcW w:w="785"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Internet Issues</w:t>
            </w:r>
            <w:r w:rsidRPr="00C64966">
              <w:rPr>
                <w:b w:val="0"/>
              </w:rPr>
              <w:br/>
              <w:t>(n=37)</w:t>
            </w:r>
          </w:p>
        </w:tc>
      </w:tr>
      <w:tr w:rsidR="00C64966" w:rsidTr="00C6496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0" w:type="pct"/>
            <w:vAlign w:val="center"/>
          </w:tcPr>
          <w:p w:rsidR="00C64966" w:rsidRPr="00AB6687" w:rsidRDefault="00C64966" w:rsidP="00C64966">
            <w:pPr>
              <w:pStyle w:val="nospacing-centred"/>
              <w:rPr>
                <w:lang w:val="en-US"/>
              </w:rPr>
            </w:pPr>
            <w:r w:rsidRPr="00AB6687">
              <w:t>2</w:t>
            </w:r>
          </w:p>
        </w:tc>
        <w:tc>
          <w:tcPr>
            <w:tcW w:w="785" w:type="pct"/>
            <w:vAlign w:val="center"/>
          </w:tcPr>
          <w:p w:rsidR="00C64966" w:rsidRPr="00C64966" w:rsidRDefault="00C64966" w:rsidP="00C64966">
            <w:pPr>
              <w:pStyle w:val="nospacing-leftalign"/>
              <w:cnfStyle w:val="000000010000" w:firstRow="0" w:lastRow="0" w:firstColumn="0" w:lastColumn="0" w:oddVBand="0" w:evenVBand="0" w:oddHBand="0" w:evenHBand="1" w:firstRowFirstColumn="0" w:firstRowLastColumn="0" w:lastRowFirstColumn="0" w:lastRowLastColumn="0"/>
              <w:rPr>
                <w:b w:val="0"/>
              </w:rPr>
            </w:pPr>
            <w:r w:rsidRPr="00C64966">
              <w:rPr>
                <w:b w:val="0"/>
              </w:rPr>
              <w:t>Phone line/</w:t>
            </w:r>
            <w:r w:rsidR="00C631E1">
              <w:rPr>
                <w:b w:val="0"/>
              </w:rPr>
              <w:t xml:space="preserve"> </w:t>
            </w:r>
            <w:r w:rsidRPr="00C64966">
              <w:rPr>
                <w:b w:val="0"/>
              </w:rPr>
              <w:t xml:space="preserve">connection patchy </w:t>
            </w:r>
            <w:r w:rsidRPr="00C64966">
              <w:rPr>
                <w:b w:val="0"/>
              </w:rPr>
              <w:br/>
              <w:t>(n=19)</w:t>
            </w:r>
          </w:p>
        </w:tc>
        <w:tc>
          <w:tcPr>
            <w:tcW w:w="785" w:type="pct"/>
            <w:vAlign w:val="center"/>
          </w:tcPr>
          <w:p w:rsidR="00C64966" w:rsidRPr="00C64966" w:rsidRDefault="00C64966" w:rsidP="00C64966">
            <w:pPr>
              <w:pStyle w:val="nospacing-leftalign"/>
              <w:cnfStyle w:val="000000010000" w:firstRow="0" w:lastRow="0" w:firstColumn="0" w:lastColumn="0" w:oddVBand="0" w:evenVBand="0" w:oddHBand="0" w:evenHBand="1" w:firstRowFirstColumn="0" w:firstRowLastColumn="0" w:lastRowFirstColumn="0" w:lastRowLastColumn="0"/>
              <w:rPr>
                <w:b w:val="0"/>
              </w:rPr>
            </w:pPr>
            <w:r w:rsidRPr="00C64966">
              <w:rPr>
                <w:b w:val="0"/>
              </w:rPr>
              <w:t>Phone line/</w:t>
            </w:r>
            <w:r w:rsidR="00C631E1">
              <w:rPr>
                <w:b w:val="0"/>
              </w:rPr>
              <w:t xml:space="preserve"> </w:t>
            </w:r>
            <w:r w:rsidRPr="00C64966">
              <w:rPr>
                <w:b w:val="0"/>
              </w:rPr>
              <w:t xml:space="preserve">connection patchy </w:t>
            </w:r>
            <w:r w:rsidRPr="00C64966">
              <w:rPr>
                <w:b w:val="0"/>
              </w:rPr>
              <w:br/>
              <w:t>(n=18)</w:t>
            </w:r>
          </w:p>
        </w:tc>
        <w:tc>
          <w:tcPr>
            <w:tcW w:w="785" w:type="pct"/>
            <w:vAlign w:val="center"/>
          </w:tcPr>
          <w:p w:rsidR="00C64966" w:rsidRPr="00C64966" w:rsidRDefault="00C64966" w:rsidP="00C64966">
            <w:pPr>
              <w:pStyle w:val="nospacing-leftalign"/>
              <w:cnfStyle w:val="000000010000" w:firstRow="0" w:lastRow="0" w:firstColumn="0" w:lastColumn="0" w:oddVBand="0" w:evenVBand="0" w:oddHBand="0" w:evenHBand="1" w:firstRowFirstColumn="0" w:firstRowLastColumn="0" w:lastRowFirstColumn="0" w:lastRowLastColumn="0"/>
              <w:rPr>
                <w:b w:val="0"/>
              </w:rPr>
            </w:pPr>
            <w:r w:rsidRPr="00C64966">
              <w:rPr>
                <w:b w:val="0"/>
              </w:rPr>
              <w:t>Noise on the line</w:t>
            </w:r>
            <w:r w:rsidRPr="00C64966">
              <w:rPr>
                <w:b w:val="0"/>
              </w:rPr>
              <w:br/>
              <w:t>(n=2)</w:t>
            </w:r>
          </w:p>
        </w:tc>
        <w:tc>
          <w:tcPr>
            <w:tcW w:w="806" w:type="pct"/>
            <w:vAlign w:val="center"/>
          </w:tcPr>
          <w:p w:rsidR="00C64966" w:rsidRPr="00C64966" w:rsidRDefault="00C64966" w:rsidP="00C64966">
            <w:pPr>
              <w:pStyle w:val="nospacing-leftalign"/>
              <w:cnfStyle w:val="000000010000" w:firstRow="0" w:lastRow="0" w:firstColumn="0" w:lastColumn="0" w:oddVBand="0" w:evenVBand="0" w:oddHBand="0" w:evenHBand="1" w:firstRowFirstColumn="0" w:firstRowLastColumn="0" w:lastRowFirstColumn="0" w:lastRowLastColumn="0"/>
              <w:rPr>
                <w:b w:val="0"/>
              </w:rPr>
            </w:pPr>
            <w:r w:rsidRPr="00C64966">
              <w:rPr>
                <w:b w:val="0"/>
              </w:rPr>
              <w:t>Internet</w:t>
            </w:r>
            <w:r w:rsidRPr="00C64966">
              <w:rPr>
                <w:b w:val="0"/>
              </w:rPr>
              <w:br/>
              <w:t>Issues</w:t>
            </w:r>
            <w:r w:rsidRPr="00C64966">
              <w:rPr>
                <w:b w:val="0"/>
              </w:rPr>
              <w:br/>
              <w:t>(n=6)</w:t>
            </w:r>
          </w:p>
        </w:tc>
        <w:tc>
          <w:tcPr>
            <w:tcW w:w="683" w:type="pct"/>
            <w:vAlign w:val="center"/>
          </w:tcPr>
          <w:p w:rsidR="00C64966" w:rsidRPr="00C64966" w:rsidRDefault="00C64966" w:rsidP="00C64966">
            <w:pPr>
              <w:pStyle w:val="nospacing-leftalign"/>
              <w:cnfStyle w:val="000000010000" w:firstRow="0" w:lastRow="0" w:firstColumn="0" w:lastColumn="0" w:oddVBand="0" w:evenVBand="0" w:oddHBand="0" w:evenHBand="1" w:firstRowFirstColumn="0" w:firstRowLastColumn="0" w:lastRowFirstColumn="0" w:lastRowLastColumn="0"/>
              <w:rPr>
                <w:b w:val="0"/>
              </w:rPr>
            </w:pPr>
            <w:r w:rsidRPr="00C64966">
              <w:rPr>
                <w:b w:val="0"/>
              </w:rPr>
              <w:t>101/</w:t>
            </w:r>
            <w:r w:rsidR="00C631E1">
              <w:rPr>
                <w:b w:val="0"/>
              </w:rPr>
              <w:t xml:space="preserve"> </w:t>
            </w:r>
            <w:r w:rsidRPr="00C64966">
              <w:rPr>
                <w:b w:val="0"/>
              </w:rPr>
              <w:t>message bank/missed calls</w:t>
            </w:r>
            <w:r w:rsidRPr="00C64966">
              <w:rPr>
                <w:b w:val="0"/>
              </w:rPr>
              <w:br/>
              <w:t>(n=30)</w:t>
            </w:r>
          </w:p>
        </w:tc>
        <w:tc>
          <w:tcPr>
            <w:tcW w:w="785" w:type="pct"/>
            <w:vAlign w:val="center"/>
          </w:tcPr>
          <w:p w:rsidR="00C64966" w:rsidRPr="00C64966" w:rsidRDefault="00C64966" w:rsidP="00C64966">
            <w:pPr>
              <w:pStyle w:val="nospacing-leftalign"/>
              <w:cnfStyle w:val="000000010000" w:firstRow="0" w:lastRow="0" w:firstColumn="0" w:lastColumn="0" w:oddVBand="0" w:evenVBand="0" w:oddHBand="0" w:evenHBand="1" w:firstRowFirstColumn="0" w:firstRowLastColumn="0" w:lastRowFirstColumn="0" w:lastRowLastColumn="0"/>
              <w:rPr>
                <w:b w:val="0"/>
              </w:rPr>
            </w:pPr>
            <w:r w:rsidRPr="00C64966">
              <w:rPr>
                <w:b w:val="0"/>
              </w:rPr>
              <w:t>Phone line/</w:t>
            </w:r>
            <w:r w:rsidR="00C631E1">
              <w:rPr>
                <w:b w:val="0"/>
              </w:rPr>
              <w:t xml:space="preserve"> </w:t>
            </w:r>
            <w:r w:rsidRPr="00C64966">
              <w:rPr>
                <w:b w:val="0"/>
              </w:rPr>
              <w:t xml:space="preserve">connection patchy </w:t>
            </w:r>
            <w:r w:rsidRPr="00C64966">
              <w:rPr>
                <w:b w:val="0"/>
              </w:rPr>
              <w:br/>
              <w:t>(n=26)</w:t>
            </w:r>
          </w:p>
        </w:tc>
      </w:tr>
      <w:tr w:rsidR="00C64966" w:rsidTr="00C64966">
        <w:trPr>
          <w:cantSplit/>
        </w:trPr>
        <w:tc>
          <w:tcPr>
            <w:cnfStyle w:val="001000000000" w:firstRow="0" w:lastRow="0" w:firstColumn="1" w:lastColumn="0" w:oddVBand="0" w:evenVBand="0" w:oddHBand="0" w:evenHBand="0" w:firstRowFirstColumn="0" w:firstRowLastColumn="0" w:lastRowFirstColumn="0" w:lastRowLastColumn="0"/>
            <w:tcW w:w="370" w:type="pct"/>
            <w:vAlign w:val="center"/>
          </w:tcPr>
          <w:p w:rsidR="00C64966" w:rsidRPr="00AB6687" w:rsidRDefault="00C64966" w:rsidP="00C64966">
            <w:pPr>
              <w:pStyle w:val="nospacing-centred"/>
              <w:rPr>
                <w:lang w:val="en-US"/>
              </w:rPr>
            </w:pPr>
            <w:r w:rsidRPr="00AB6687">
              <w:t>3</w:t>
            </w:r>
          </w:p>
        </w:tc>
        <w:tc>
          <w:tcPr>
            <w:tcW w:w="785"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Phone line/connection didn't work</w:t>
            </w:r>
            <w:r w:rsidRPr="00C64966">
              <w:rPr>
                <w:b w:val="0"/>
              </w:rPr>
              <w:br/>
              <w:t>(n=14)</w:t>
            </w:r>
          </w:p>
        </w:tc>
        <w:tc>
          <w:tcPr>
            <w:tcW w:w="785"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 xml:space="preserve">Phone line/connection didn't work </w:t>
            </w:r>
            <w:r w:rsidRPr="00C64966">
              <w:rPr>
                <w:b w:val="0"/>
              </w:rPr>
              <w:br/>
              <w:t>(n=13)</w:t>
            </w:r>
          </w:p>
        </w:tc>
        <w:tc>
          <w:tcPr>
            <w:tcW w:w="785"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 xml:space="preserve">Phone line/connection patchy </w:t>
            </w:r>
            <w:r w:rsidRPr="00C64966">
              <w:rPr>
                <w:b w:val="0"/>
              </w:rPr>
              <w:br/>
              <w:t>(n=1)</w:t>
            </w:r>
          </w:p>
        </w:tc>
        <w:tc>
          <w:tcPr>
            <w:tcW w:w="806"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Didn't work during power outage/</w:t>
            </w:r>
            <w:r w:rsidR="00C631E1">
              <w:rPr>
                <w:b w:val="0"/>
              </w:rPr>
              <w:t xml:space="preserve"> </w:t>
            </w:r>
            <w:r w:rsidRPr="00C64966">
              <w:rPr>
                <w:b w:val="0"/>
              </w:rPr>
              <w:t>weather</w:t>
            </w:r>
            <w:r w:rsidRPr="00C64966">
              <w:rPr>
                <w:b w:val="0"/>
              </w:rPr>
              <w:br/>
              <w:t>(n=5)</w:t>
            </w:r>
          </w:p>
        </w:tc>
        <w:tc>
          <w:tcPr>
            <w:tcW w:w="683"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Issues with ringtone</w:t>
            </w:r>
            <w:r w:rsidRPr="00C64966">
              <w:rPr>
                <w:b w:val="0"/>
              </w:rPr>
              <w:br/>
              <w:t>(n=28)</w:t>
            </w:r>
          </w:p>
        </w:tc>
        <w:tc>
          <w:tcPr>
            <w:tcW w:w="785" w:type="pct"/>
            <w:vAlign w:val="center"/>
          </w:tcPr>
          <w:p w:rsidR="00C64966" w:rsidRPr="00C64966" w:rsidRDefault="00C64966" w:rsidP="00C64966">
            <w:pPr>
              <w:pStyle w:val="nospacing-leftalign"/>
              <w:cnfStyle w:val="000000000000" w:firstRow="0" w:lastRow="0" w:firstColumn="0" w:lastColumn="0" w:oddVBand="0" w:evenVBand="0" w:oddHBand="0" w:evenHBand="0" w:firstRowFirstColumn="0" w:firstRowLastColumn="0" w:lastRowFirstColumn="0" w:lastRowLastColumn="0"/>
              <w:rPr>
                <w:b w:val="0"/>
              </w:rPr>
            </w:pPr>
            <w:r w:rsidRPr="00C64966">
              <w:rPr>
                <w:b w:val="0"/>
              </w:rPr>
              <w:t>Phone call dropped out</w:t>
            </w:r>
            <w:r w:rsidRPr="00C64966">
              <w:rPr>
                <w:b w:val="0"/>
              </w:rPr>
              <w:br/>
              <w:t>(n=15)</w:t>
            </w:r>
          </w:p>
        </w:tc>
      </w:tr>
    </w:tbl>
    <w:p w:rsidR="00887502" w:rsidRPr="00AB6687" w:rsidRDefault="00887502" w:rsidP="00C64966">
      <w:pPr>
        <w:pStyle w:val="Sourcenotes"/>
        <w:rPr>
          <w:b/>
        </w:rPr>
      </w:pPr>
      <w:r w:rsidRPr="00AB6687">
        <w:t>Note: The issues are ranked according to how often they were raised by triallists over six months. In some cases, an issue was raised more than once by the same triallist in different months. Phone call quality issues are generally minor, such as some echo or noise on the line.</w:t>
      </w:r>
    </w:p>
    <w:p w:rsidR="00887502" w:rsidRDefault="00887502" w:rsidP="000E3567">
      <w:pPr>
        <w:pStyle w:val="Caption"/>
      </w:pPr>
      <w:r w:rsidRPr="00304626">
        <w:t>Table B.4: Triallists’ reported issues with the provider support (1 July to 31 December 2021)</w:t>
      </w:r>
    </w:p>
    <w:tbl>
      <w:tblPr>
        <w:tblStyle w:val="DefaultTable1"/>
        <w:tblW w:w="5000" w:type="pct"/>
        <w:tblLook w:val="04A0" w:firstRow="1" w:lastRow="0" w:firstColumn="1" w:lastColumn="0" w:noHBand="0" w:noVBand="1"/>
        <w:tblDescription w:val="Table B.4: Triallists’ reported issues with the provider support (1 July to 31 December 2021)"/>
      </w:tblPr>
      <w:tblGrid>
        <w:gridCol w:w="1948"/>
        <w:gridCol w:w="1204"/>
        <w:gridCol w:w="1178"/>
        <w:gridCol w:w="988"/>
        <w:gridCol w:w="1061"/>
        <w:gridCol w:w="1162"/>
        <w:gridCol w:w="1162"/>
        <w:gridCol w:w="1161"/>
      </w:tblGrid>
      <w:tr w:rsidR="00C64966" w:rsidTr="002208B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2" w:type="pct"/>
          </w:tcPr>
          <w:p w:rsidR="00C64966" w:rsidRPr="00AA6FC1" w:rsidRDefault="00C64966" w:rsidP="007C129B">
            <w:pPr>
              <w:pStyle w:val="tablecolumnheading"/>
              <w:rPr>
                <w:b/>
              </w:rPr>
            </w:pPr>
            <w:r w:rsidRPr="00AA6FC1">
              <w:rPr>
                <w:b/>
              </w:rPr>
              <w:t>Triallists issues with support</w:t>
            </w:r>
          </w:p>
        </w:tc>
        <w:tc>
          <w:tcPr>
            <w:tcW w:w="644" w:type="pct"/>
          </w:tcPr>
          <w:p w:rsidR="00C64966" w:rsidRPr="00245D93"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Concerotel</w:t>
            </w:r>
          </w:p>
        </w:tc>
        <w:tc>
          <w:tcPr>
            <w:tcW w:w="674" w:type="pct"/>
          </w:tcPr>
          <w:p w:rsidR="00C64966" w:rsidRPr="00245D93"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NBN Co</w:t>
            </w:r>
          </w:p>
        </w:tc>
        <w:tc>
          <w:tcPr>
            <w:tcW w:w="556" w:type="pct"/>
          </w:tcPr>
          <w:p w:rsidR="00C64966" w:rsidRPr="00245D93"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Optus</w:t>
            </w:r>
          </w:p>
        </w:tc>
        <w:tc>
          <w:tcPr>
            <w:tcW w:w="593" w:type="pct"/>
          </w:tcPr>
          <w:p w:rsidR="00C64966" w:rsidRPr="00245D93"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Pivotel</w:t>
            </w:r>
          </w:p>
        </w:tc>
        <w:tc>
          <w:tcPr>
            <w:tcW w:w="644" w:type="pct"/>
          </w:tcPr>
          <w:p w:rsidR="00C64966" w:rsidRPr="00245D93"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Telstra</w:t>
            </w:r>
          </w:p>
        </w:tc>
        <w:tc>
          <w:tcPr>
            <w:tcW w:w="644" w:type="pct"/>
          </w:tcPr>
          <w:p w:rsidR="00C64966" w:rsidRPr="00245D93"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i/>
              </w:rPr>
            </w:pPr>
            <w:r w:rsidRPr="00245D93">
              <w:rPr>
                <w:b/>
              </w:rPr>
              <w:t>Zetifi</w:t>
            </w:r>
          </w:p>
        </w:tc>
        <w:tc>
          <w:tcPr>
            <w:tcW w:w="643" w:type="pct"/>
          </w:tcPr>
          <w:p w:rsidR="00C64966" w:rsidRPr="00245D93" w:rsidRDefault="00C64966" w:rsidP="007C129B">
            <w:pPr>
              <w:pStyle w:val="tablecolumnheading-centred"/>
              <w:cnfStyle w:val="100000000000" w:firstRow="1" w:lastRow="0" w:firstColumn="0" w:lastColumn="0" w:oddVBand="0" w:evenVBand="0" w:oddHBand="0" w:evenHBand="0" w:firstRowFirstColumn="0" w:firstRowLastColumn="0" w:lastRowFirstColumn="0" w:lastRowLastColumn="0"/>
              <w:rPr>
                <w:b/>
              </w:rPr>
            </w:pPr>
            <w:r>
              <w:rPr>
                <w:b/>
              </w:rPr>
              <w:t>Total</w:t>
            </w:r>
          </w:p>
        </w:tc>
      </w:tr>
      <w:tr w:rsidR="00C64966" w:rsidTr="002208B4">
        <w:trPr>
          <w:cantSplit/>
        </w:trPr>
        <w:tc>
          <w:tcPr>
            <w:cnfStyle w:val="001000000000" w:firstRow="0" w:lastRow="0" w:firstColumn="1" w:lastColumn="0" w:oddVBand="0" w:evenVBand="0" w:oddHBand="0" w:evenHBand="0" w:firstRowFirstColumn="0" w:firstRowLastColumn="0" w:lastRowFirstColumn="0" w:lastRowLastColumn="0"/>
            <w:tcW w:w="602" w:type="pct"/>
            <w:shd w:val="clear" w:color="auto" w:fill="auto"/>
            <w:vAlign w:val="bottom"/>
          </w:tcPr>
          <w:p w:rsidR="00C64966" w:rsidRPr="002208B4" w:rsidRDefault="00C64966" w:rsidP="002208B4">
            <w:pPr>
              <w:pStyle w:val="nospacing-leftalign"/>
              <w:rPr>
                <w:b/>
                <w:lang w:val="en-US"/>
              </w:rPr>
            </w:pPr>
            <w:r w:rsidRPr="002208B4">
              <w:rPr>
                <w:b/>
              </w:rPr>
              <w:t>It took too long to fix/Issue still not fixed.</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(n=5)</w:t>
            </w:r>
          </w:p>
        </w:tc>
        <w:tc>
          <w:tcPr>
            <w:tcW w:w="67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(n=6)</w:t>
            </w:r>
          </w:p>
        </w:tc>
        <w:tc>
          <w:tcPr>
            <w:tcW w:w="556"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w:t>
            </w:r>
          </w:p>
        </w:tc>
        <w:tc>
          <w:tcPr>
            <w:tcW w:w="593"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(n=12)</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(n=7)</w:t>
            </w:r>
          </w:p>
        </w:tc>
        <w:tc>
          <w:tcPr>
            <w:tcW w:w="643" w:type="pct"/>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(n=32)</w:t>
            </w:r>
          </w:p>
        </w:tc>
      </w:tr>
      <w:tr w:rsidR="00C64966" w:rsidTr="002208B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2" w:type="pct"/>
            <w:shd w:val="clear" w:color="auto" w:fill="F2F2F2"/>
            <w:vAlign w:val="bottom"/>
          </w:tcPr>
          <w:p w:rsidR="00C64966" w:rsidRPr="002208B4" w:rsidRDefault="00C64966" w:rsidP="002208B4">
            <w:pPr>
              <w:pStyle w:val="nospacing-leftalign"/>
              <w:rPr>
                <w:b/>
              </w:rPr>
            </w:pPr>
            <w:r w:rsidRPr="002208B4">
              <w:rPr>
                <w:b/>
              </w:rPr>
              <w:t>They didn’t contact me when they said they would/follow up.</w:t>
            </w:r>
          </w:p>
        </w:tc>
        <w:tc>
          <w:tcPr>
            <w:tcW w:w="64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(n=2)</w:t>
            </w:r>
          </w:p>
        </w:tc>
        <w:tc>
          <w:tcPr>
            <w:tcW w:w="67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(n=10)</w:t>
            </w:r>
          </w:p>
        </w:tc>
        <w:tc>
          <w:tcPr>
            <w:tcW w:w="556"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(n=0)</w:t>
            </w:r>
          </w:p>
        </w:tc>
        <w:tc>
          <w:tcPr>
            <w:tcW w:w="593"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(n=3)</w:t>
            </w:r>
          </w:p>
        </w:tc>
        <w:tc>
          <w:tcPr>
            <w:tcW w:w="64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(n=7)</w:t>
            </w:r>
          </w:p>
        </w:tc>
        <w:tc>
          <w:tcPr>
            <w:tcW w:w="64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(n=3)</w:t>
            </w:r>
          </w:p>
        </w:tc>
        <w:tc>
          <w:tcPr>
            <w:tcW w:w="643"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(n=25)</w:t>
            </w:r>
          </w:p>
        </w:tc>
      </w:tr>
      <w:tr w:rsidR="00C64966" w:rsidTr="002208B4">
        <w:trPr>
          <w:cantSplit/>
        </w:trPr>
        <w:tc>
          <w:tcPr>
            <w:cnfStyle w:val="001000000000" w:firstRow="0" w:lastRow="0" w:firstColumn="1" w:lastColumn="0" w:oddVBand="0" w:evenVBand="0" w:oddHBand="0" w:evenHBand="0" w:firstRowFirstColumn="0" w:firstRowLastColumn="0" w:lastRowFirstColumn="0" w:lastRowLastColumn="0"/>
            <w:tcW w:w="602" w:type="pct"/>
            <w:shd w:val="clear" w:color="auto" w:fill="auto"/>
            <w:vAlign w:val="bottom"/>
          </w:tcPr>
          <w:p w:rsidR="00C64966" w:rsidRPr="002208B4" w:rsidRDefault="00C64966" w:rsidP="002208B4">
            <w:pPr>
              <w:pStyle w:val="nospacing-leftalign"/>
              <w:rPr>
                <w:b/>
              </w:rPr>
            </w:pPr>
            <w:r w:rsidRPr="002208B4">
              <w:rPr>
                <w:b/>
              </w:rPr>
              <w:t>Couldn’t get through to them /had issues getting through to them.</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w:t>
            </w:r>
          </w:p>
        </w:tc>
        <w:tc>
          <w:tcPr>
            <w:tcW w:w="67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(n=7)</w:t>
            </w:r>
          </w:p>
        </w:tc>
        <w:tc>
          <w:tcPr>
            <w:tcW w:w="556"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(n=0)</w:t>
            </w:r>
          </w:p>
        </w:tc>
        <w:tc>
          <w:tcPr>
            <w:tcW w:w="593"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(n=11)</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w:t>
            </w:r>
          </w:p>
        </w:tc>
        <w:tc>
          <w:tcPr>
            <w:tcW w:w="643" w:type="pct"/>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(n=21)</w:t>
            </w:r>
          </w:p>
        </w:tc>
      </w:tr>
      <w:tr w:rsidR="00C64966" w:rsidTr="002208B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2" w:type="pct"/>
            <w:shd w:val="clear" w:color="auto" w:fill="F2F2F2"/>
            <w:vAlign w:val="bottom"/>
          </w:tcPr>
          <w:p w:rsidR="00C64966" w:rsidRPr="002208B4" w:rsidRDefault="00C64966" w:rsidP="002208B4">
            <w:pPr>
              <w:pStyle w:val="nospacing-leftalign"/>
              <w:rPr>
                <w:b/>
              </w:rPr>
            </w:pPr>
            <w:r w:rsidRPr="002208B4">
              <w:rPr>
                <w:b/>
              </w:rPr>
              <w:t>There was no help/support/felt fobbed off/not taken seriously</w:t>
            </w:r>
          </w:p>
        </w:tc>
        <w:tc>
          <w:tcPr>
            <w:tcW w:w="64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(n=6)</w:t>
            </w:r>
          </w:p>
        </w:tc>
        <w:tc>
          <w:tcPr>
            <w:tcW w:w="67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(n=5)</w:t>
            </w:r>
          </w:p>
        </w:tc>
        <w:tc>
          <w:tcPr>
            <w:tcW w:w="556"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(n=0)</w:t>
            </w:r>
          </w:p>
        </w:tc>
        <w:tc>
          <w:tcPr>
            <w:tcW w:w="593"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(n=0)</w:t>
            </w:r>
          </w:p>
        </w:tc>
        <w:tc>
          <w:tcPr>
            <w:tcW w:w="64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(n=7)</w:t>
            </w:r>
          </w:p>
        </w:tc>
        <w:tc>
          <w:tcPr>
            <w:tcW w:w="64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(n=2)</w:t>
            </w:r>
          </w:p>
        </w:tc>
        <w:tc>
          <w:tcPr>
            <w:tcW w:w="643"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(n=20)</w:t>
            </w:r>
          </w:p>
        </w:tc>
      </w:tr>
      <w:tr w:rsidR="00C64966" w:rsidTr="002208B4">
        <w:trPr>
          <w:cantSplit/>
        </w:trPr>
        <w:tc>
          <w:tcPr>
            <w:cnfStyle w:val="001000000000" w:firstRow="0" w:lastRow="0" w:firstColumn="1" w:lastColumn="0" w:oddVBand="0" w:evenVBand="0" w:oddHBand="0" w:evenHBand="0" w:firstRowFirstColumn="0" w:firstRowLastColumn="0" w:lastRowFirstColumn="0" w:lastRowLastColumn="0"/>
            <w:tcW w:w="602" w:type="pct"/>
            <w:shd w:val="clear" w:color="auto" w:fill="auto"/>
            <w:vAlign w:val="bottom"/>
          </w:tcPr>
          <w:p w:rsidR="00C64966" w:rsidRPr="002208B4" w:rsidRDefault="00C64966" w:rsidP="002208B4">
            <w:pPr>
              <w:pStyle w:val="nospacing-leftalign"/>
              <w:rPr>
                <w:b/>
                <w:lang w:val="en-US"/>
              </w:rPr>
            </w:pPr>
            <w:r w:rsidRPr="002208B4">
              <w:rPr>
                <w:b/>
              </w:rPr>
              <w:t>There was no information/</w:t>
            </w:r>
            <w:r w:rsidRPr="002208B4">
              <w:rPr>
                <w:b/>
              </w:rPr>
              <w:br/>
              <w:t>I didn’t know what was happening.</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(n=2)</w:t>
            </w:r>
          </w:p>
        </w:tc>
        <w:tc>
          <w:tcPr>
            <w:tcW w:w="67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w:t>
            </w:r>
          </w:p>
        </w:tc>
        <w:tc>
          <w:tcPr>
            <w:tcW w:w="556"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(n=0)</w:t>
            </w:r>
          </w:p>
        </w:tc>
        <w:tc>
          <w:tcPr>
            <w:tcW w:w="593"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(n=2)</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(n=7)</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(n=0)</w:t>
            </w:r>
          </w:p>
        </w:tc>
        <w:tc>
          <w:tcPr>
            <w:tcW w:w="643" w:type="pct"/>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(n=12)</w:t>
            </w:r>
          </w:p>
        </w:tc>
      </w:tr>
      <w:tr w:rsidR="00C64966" w:rsidTr="002208B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2" w:type="pct"/>
            <w:shd w:val="clear" w:color="auto" w:fill="F2F2F2"/>
            <w:vAlign w:val="bottom"/>
          </w:tcPr>
          <w:p w:rsidR="00C64966" w:rsidRPr="002208B4" w:rsidRDefault="00C64966" w:rsidP="002208B4">
            <w:pPr>
              <w:pStyle w:val="nospacing-leftalign"/>
              <w:rPr>
                <w:b/>
              </w:rPr>
            </w:pPr>
            <w:r w:rsidRPr="002208B4">
              <w:rPr>
                <w:b/>
              </w:rPr>
              <w:t>Instructions provided were difficult/confusing.</w:t>
            </w:r>
          </w:p>
        </w:tc>
        <w:tc>
          <w:tcPr>
            <w:tcW w:w="64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(n=0)</w:t>
            </w:r>
          </w:p>
        </w:tc>
        <w:tc>
          <w:tcPr>
            <w:tcW w:w="67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(n=2)</w:t>
            </w:r>
          </w:p>
        </w:tc>
        <w:tc>
          <w:tcPr>
            <w:tcW w:w="556"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(n=1)</w:t>
            </w:r>
          </w:p>
        </w:tc>
        <w:tc>
          <w:tcPr>
            <w:tcW w:w="593"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(n=0)</w:t>
            </w:r>
          </w:p>
        </w:tc>
        <w:tc>
          <w:tcPr>
            <w:tcW w:w="64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(n=4)</w:t>
            </w:r>
          </w:p>
        </w:tc>
        <w:tc>
          <w:tcPr>
            <w:tcW w:w="644"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(n=0)</w:t>
            </w:r>
          </w:p>
        </w:tc>
        <w:tc>
          <w:tcPr>
            <w:tcW w:w="643" w:type="pct"/>
            <w:shd w:val="clear" w:color="auto" w:fill="F2F2F2"/>
            <w:vAlign w:val="center"/>
          </w:tcPr>
          <w:p w:rsidR="00C64966" w:rsidRPr="00AB6687" w:rsidRDefault="00C64966" w:rsidP="002208B4">
            <w:pPr>
              <w:pStyle w:val="nospacing-centred"/>
              <w:cnfStyle w:val="000000010000" w:firstRow="0" w:lastRow="0" w:firstColumn="0" w:lastColumn="0" w:oddVBand="0" w:evenVBand="0" w:oddHBand="0" w:evenHBand="1" w:firstRowFirstColumn="0" w:firstRowLastColumn="0" w:lastRowFirstColumn="0" w:lastRowLastColumn="0"/>
            </w:pPr>
            <w:r w:rsidRPr="00AB6687">
              <w:t>(n=7)</w:t>
            </w:r>
          </w:p>
        </w:tc>
      </w:tr>
      <w:tr w:rsidR="00C64966" w:rsidTr="002208B4">
        <w:trPr>
          <w:cantSplit/>
        </w:trPr>
        <w:tc>
          <w:tcPr>
            <w:cnfStyle w:val="001000000000" w:firstRow="0" w:lastRow="0" w:firstColumn="1" w:lastColumn="0" w:oddVBand="0" w:evenVBand="0" w:oddHBand="0" w:evenHBand="0" w:firstRowFirstColumn="0" w:firstRowLastColumn="0" w:lastRowFirstColumn="0" w:lastRowLastColumn="0"/>
            <w:tcW w:w="602" w:type="pct"/>
            <w:shd w:val="clear" w:color="auto" w:fill="auto"/>
            <w:vAlign w:val="bottom"/>
          </w:tcPr>
          <w:p w:rsidR="00C64966" w:rsidRPr="002208B4" w:rsidRDefault="00C64966" w:rsidP="002208B4">
            <w:pPr>
              <w:pStyle w:val="nospacing-leftalign"/>
              <w:rPr>
                <w:b/>
                <w:lang w:val="en-US"/>
              </w:rPr>
            </w:pPr>
            <w:r w:rsidRPr="002208B4">
              <w:rPr>
                <w:b/>
              </w:rPr>
              <w:t>Other</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w:t>
            </w:r>
          </w:p>
        </w:tc>
        <w:tc>
          <w:tcPr>
            <w:tcW w:w="67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w:t>
            </w:r>
          </w:p>
        </w:tc>
        <w:tc>
          <w:tcPr>
            <w:tcW w:w="556"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(n=0)</w:t>
            </w:r>
          </w:p>
        </w:tc>
        <w:tc>
          <w:tcPr>
            <w:tcW w:w="593"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(n=0)</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(n=9)</w:t>
            </w:r>
          </w:p>
        </w:tc>
        <w:tc>
          <w:tcPr>
            <w:tcW w:w="644"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(n=2)</w:t>
            </w:r>
          </w:p>
        </w:tc>
        <w:tc>
          <w:tcPr>
            <w:tcW w:w="643" w:type="pct"/>
            <w:shd w:val="clear" w:color="auto" w:fill="auto"/>
            <w:vAlign w:val="center"/>
          </w:tcPr>
          <w:p w:rsidR="00C64966" w:rsidRPr="00AB6687" w:rsidRDefault="00C64966" w:rsidP="002208B4">
            <w:pPr>
              <w:pStyle w:val="nospacing-centred"/>
              <w:cnfStyle w:val="000000000000" w:firstRow="0" w:lastRow="0" w:firstColumn="0" w:lastColumn="0" w:oddVBand="0" w:evenVBand="0" w:oddHBand="0" w:evenHBand="0" w:firstRowFirstColumn="0" w:firstRowLastColumn="0" w:lastRowFirstColumn="0" w:lastRowLastColumn="0"/>
            </w:pPr>
            <w:r w:rsidRPr="00AB6687">
              <w:t>(n=13)</w:t>
            </w:r>
          </w:p>
        </w:tc>
      </w:tr>
    </w:tbl>
    <w:p w:rsidR="00887502" w:rsidRPr="000E3567" w:rsidRDefault="00887502" w:rsidP="002208B4">
      <w:pPr>
        <w:pStyle w:val="Sourcenotes"/>
      </w:pPr>
      <w:r w:rsidRPr="000E3567">
        <w:t>Note: Some respondents raised more than one issue.</w:t>
      </w:r>
    </w:p>
    <w:p w:rsidR="00887502" w:rsidRDefault="00887502" w:rsidP="000E3567">
      <w:pPr>
        <w:pStyle w:val="Caption"/>
      </w:pPr>
      <w:r w:rsidRPr="00304626">
        <w:lastRenderedPageBreak/>
        <w:t>Table B.5: Overall satisfaction with trial service versus existing voice service (at 31 December 2021)</w:t>
      </w:r>
    </w:p>
    <w:tbl>
      <w:tblPr>
        <w:tblStyle w:val="DefaultTable1"/>
        <w:tblW w:w="4814" w:type="pct"/>
        <w:tblLook w:val="04A0" w:firstRow="1" w:lastRow="0" w:firstColumn="1" w:lastColumn="0" w:noHBand="0" w:noVBand="1"/>
        <w:tblDescription w:val="Table B.5: Overall satisfaction with trial service versus existing voice service (at 31 December 2021)"/>
      </w:tblPr>
      <w:tblGrid>
        <w:gridCol w:w="2460"/>
        <w:gridCol w:w="1791"/>
        <w:gridCol w:w="1844"/>
        <w:gridCol w:w="1841"/>
        <w:gridCol w:w="1561"/>
      </w:tblGrid>
      <w:tr w:rsidR="00AC4B96" w:rsidTr="00AC4B9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vAlign w:val="center"/>
          </w:tcPr>
          <w:p w:rsidR="00AC4B96" w:rsidRPr="008D096D" w:rsidRDefault="00AC4B96" w:rsidP="007C129B">
            <w:pPr>
              <w:pStyle w:val="tablecolumnheading"/>
              <w:rPr>
                <w:b/>
              </w:rPr>
            </w:pPr>
            <w:r w:rsidRPr="00C00DAA">
              <w:rPr>
                <w:b/>
              </w:rPr>
              <w:t>Satisfaction rating</w:t>
            </w:r>
          </w:p>
        </w:tc>
        <w:tc>
          <w:tcPr>
            <w:tcW w:w="943" w:type="pct"/>
            <w:vAlign w:val="bottom"/>
          </w:tcPr>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AC4B96" w:rsidRPr="00C00DAA" w:rsidRDefault="00AC4B96" w:rsidP="007C129B">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Cs/>
                <w:iCs/>
              </w:rPr>
            </w:pPr>
            <w:r w:rsidRPr="00C00DAA">
              <w:rPr>
                <w:rFonts w:asciiTheme="majorHAnsi" w:eastAsiaTheme="majorEastAsia" w:hAnsiTheme="majorHAnsi" w:cs="Times New Roman"/>
                <w:bCs/>
                <w:iCs/>
              </w:rPr>
              <w:t>Copper</w:t>
            </w:r>
          </w:p>
          <w:p w:rsidR="00AC4B96" w:rsidRPr="00C00DAA" w:rsidRDefault="00AC4B96" w:rsidP="007C129B">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Technology</w:t>
            </w:r>
          </w:p>
        </w:tc>
        <w:tc>
          <w:tcPr>
            <w:tcW w:w="971" w:type="pct"/>
            <w:vAlign w:val="bottom"/>
          </w:tcPr>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Other</w:t>
            </w:r>
            <w:r w:rsidRPr="00C00DAA">
              <w:rPr>
                <w:rFonts w:cs="Times New Roman"/>
                <w:b/>
                <w:bCs/>
                <w:iCs/>
                <w:color w:val="FFFFFF" w:themeColor="background1"/>
              </w:rPr>
              <w:br/>
              <w:t>technology</w:t>
            </w:r>
          </w:p>
        </w:tc>
        <w:tc>
          <w:tcPr>
            <w:tcW w:w="969" w:type="pct"/>
            <w:vAlign w:val="bottom"/>
          </w:tcPr>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Total</w:t>
            </w:r>
            <w:r w:rsidRPr="00C00DAA">
              <w:rPr>
                <w:rFonts w:cs="Times New Roman"/>
                <w:b/>
                <w:bCs/>
                <w:iCs/>
                <w:color w:val="FFFFFF" w:themeColor="background1"/>
              </w:rPr>
              <w:br/>
              <w:t>landline</w:t>
            </w:r>
          </w:p>
        </w:tc>
        <w:tc>
          <w:tcPr>
            <w:tcW w:w="822" w:type="pct"/>
            <w:vAlign w:val="bottom"/>
          </w:tcPr>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Triallist satisfaction with…</w:t>
            </w:r>
          </w:p>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bCs/>
                <w:iCs/>
                <w:color w:val="FFFFFF" w:themeColor="background1"/>
              </w:rPr>
              <w:t>Overall service</w:t>
            </w:r>
          </w:p>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 xml:space="preserve">AVST </w:t>
            </w:r>
            <w:r w:rsidRPr="00C00DAA">
              <w:rPr>
                <w:rFonts w:cs="Times New Roman"/>
                <w:b/>
                <w:bCs/>
                <w:iCs/>
                <w:color w:val="FFFFFF" w:themeColor="background1"/>
              </w:rPr>
              <w:br/>
              <w:t>trial</w:t>
            </w:r>
          </w:p>
        </w:tc>
      </w:tr>
      <w:tr w:rsidR="00AC4B96" w:rsidRPr="00C00DAA" w:rsidTr="00AC4B96">
        <w:trPr>
          <w:cantSplit/>
        </w:trPr>
        <w:tc>
          <w:tcPr>
            <w:cnfStyle w:val="001000000000" w:firstRow="0" w:lastRow="0" w:firstColumn="1" w:lastColumn="0" w:oddVBand="0" w:evenVBand="0" w:oddHBand="0" w:evenHBand="0" w:firstRowFirstColumn="0" w:firstRowLastColumn="0" w:lastRowFirstColumn="0" w:lastRowLastColumn="0"/>
            <w:tcW w:w="1295" w:type="pct"/>
            <w:shd w:val="clear" w:color="auto" w:fill="auto"/>
            <w:vAlign w:val="center"/>
          </w:tcPr>
          <w:p w:rsidR="00AC4B96" w:rsidRPr="00AC4B96" w:rsidRDefault="00AC4B96" w:rsidP="00AC4B96">
            <w:pPr>
              <w:pStyle w:val="nospacing-leftalign"/>
              <w:rPr>
                <w:b/>
                <w:lang w:val="en-US"/>
              </w:rPr>
            </w:pPr>
            <w:r w:rsidRPr="00AC4B96">
              <w:rPr>
                <w:b/>
                <w:lang w:val="en-US"/>
              </w:rPr>
              <w:t>Excellent</w:t>
            </w:r>
          </w:p>
        </w:tc>
        <w:tc>
          <w:tcPr>
            <w:tcW w:w="943" w:type="pct"/>
            <w:shd w:val="clear" w:color="auto" w:fill="auto"/>
          </w:tcPr>
          <w:p w:rsidR="00AC4B96" w:rsidRPr="00C00DAA"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AB6687">
              <w:rPr>
                <w:lang w:val="en-US"/>
              </w:rPr>
              <w:t>12%</w:t>
            </w:r>
            <w:r w:rsidRPr="00AB6687">
              <w:rPr>
                <w:lang w:val="en-US"/>
              </w:rPr>
              <w:br/>
              <w:t>(n=13)</w:t>
            </w:r>
          </w:p>
        </w:tc>
        <w:tc>
          <w:tcPr>
            <w:tcW w:w="971" w:type="pct"/>
            <w:shd w:val="clear" w:color="auto" w:fill="auto"/>
          </w:tcPr>
          <w:p w:rsidR="00AC4B96" w:rsidRPr="00C00DAA"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AB6687">
              <w:rPr>
                <w:lang w:val="en-US"/>
              </w:rPr>
              <w:t>3%</w:t>
            </w:r>
            <w:r w:rsidRPr="00AB6687">
              <w:rPr>
                <w:lang w:val="en-US"/>
              </w:rPr>
              <w:br/>
              <w:t>(n=1)</w:t>
            </w:r>
          </w:p>
        </w:tc>
        <w:tc>
          <w:tcPr>
            <w:tcW w:w="969" w:type="pct"/>
            <w:shd w:val="clear" w:color="auto" w:fill="auto"/>
          </w:tcPr>
          <w:p w:rsidR="00AC4B96" w:rsidRPr="00C00DAA"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AB6687">
              <w:rPr>
                <w:lang w:val="en-US"/>
              </w:rPr>
              <w:t>9%</w:t>
            </w:r>
            <w:r w:rsidRPr="00AB6687">
              <w:rPr>
                <w:lang w:val="en-US"/>
              </w:rPr>
              <w:br/>
              <w:t>(n=14)</w:t>
            </w:r>
          </w:p>
        </w:tc>
        <w:tc>
          <w:tcPr>
            <w:tcW w:w="822" w:type="pct"/>
            <w:shd w:val="clear" w:color="auto" w:fill="auto"/>
          </w:tcPr>
          <w:p w:rsidR="00AC4B96" w:rsidRPr="00C00DAA"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AB6687">
              <w:t>27%</w:t>
            </w:r>
            <w:r w:rsidRPr="00AB6687">
              <w:br/>
              <w:t>(n=121)</w:t>
            </w:r>
          </w:p>
        </w:tc>
      </w:tr>
      <w:tr w:rsidR="00AC4B96" w:rsidRPr="00C00DAA" w:rsidTr="00AC4B9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tcPr>
          <w:p w:rsidR="00AC4B96" w:rsidRPr="00AC4B96" w:rsidRDefault="00AC4B96" w:rsidP="00AC4B96">
            <w:pPr>
              <w:pStyle w:val="nospacing-leftalign"/>
              <w:rPr>
                <w:b/>
                <w:lang w:val="en-US"/>
              </w:rPr>
            </w:pPr>
            <w:r w:rsidRPr="00AC4B96">
              <w:rPr>
                <w:b/>
                <w:lang w:val="en-US"/>
              </w:rPr>
              <w:t>Good</w:t>
            </w:r>
          </w:p>
        </w:tc>
        <w:tc>
          <w:tcPr>
            <w:tcW w:w="943" w:type="pct"/>
          </w:tcPr>
          <w:p w:rsidR="00AC4B96" w:rsidRPr="00C00DAA"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AB6687">
              <w:rPr>
                <w:lang w:val="en-US"/>
              </w:rPr>
              <w:t>39%</w:t>
            </w:r>
            <w:r w:rsidRPr="00AB6687">
              <w:rPr>
                <w:lang w:val="en-US"/>
              </w:rPr>
              <w:br/>
              <w:t>(n=41)</w:t>
            </w:r>
          </w:p>
        </w:tc>
        <w:tc>
          <w:tcPr>
            <w:tcW w:w="971" w:type="pct"/>
          </w:tcPr>
          <w:p w:rsidR="00AC4B96" w:rsidRPr="00C00DAA"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AB6687">
              <w:rPr>
                <w:lang w:val="en-US"/>
              </w:rPr>
              <w:t>37%</w:t>
            </w:r>
            <w:r w:rsidRPr="00AB6687">
              <w:rPr>
                <w:lang w:val="en-US"/>
              </w:rPr>
              <w:br/>
              <w:t>(n=14)</w:t>
            </w:r>
          </w:p>
        </w:tc>
        <w:tc>
          <w:tcPr>
            <w:tcW w:w="969" w:type="pct"/>
          </w:tcPr>
          <w:p w:rsidR="00AC4B96" w:rsidRPr="00C00DAA"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AB6687">
              <w:rPr>
                <w:lang w:val="en-US"/>
              </w:rPr>
              <w:t>36%</w:t>
            </w:r>
            <w:r w:rsidRPr="00AB6687">
              <w:rPr>
                <w:lang w:val="en-US"/>
              </w:rPr>
              <w:br/>
              <w:t>(n=55)</w:t>
            </w:r>
          </w:p>
        </w:tc>
        <w:tc>
          <w:tcPr>
            <w:tcW w:w="822" w:type="pct"/>
          </w:tcPr>
          <w:p w:rsidR="00AC4B96" w:rsidRPr="00C00DAA"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AB6687">
              <w:t>41%</w:t>
            </w:r>
            <w:r w:rsidRPr="00AB6687">
              <w:br/>
              <w:t>(n=186)</w:t>
            </w:r>
          </w:p>
        </w:tc>
      </w:tr>
      <w:tr w:rsidR="00AC4B96" w:rsidRPr="00990FBA" w:rsidTr="00AC4B96">
        <w:trPr>
          <w:cantSplit/>
        </w:trPr>
        <w:tc>
          <w:tcPr>
            <w:cnfStyle w:val="001000000000" w:firstRow="0" w:lastRow="0" w:firstColumn="1" w:lastColumn="0" w:oddVBand="0" w:evenVBand="0" w:oddHBand="0" w:evenHBand="0" w:firstRowFirstColumn="0" w:firstRowLastColumn="0" w:lastRowFirstColumn="0" w:lastRowLastColumn="0"/>
            <w:tcW w:w="1295" w:type="pct"/>
          </w:tcPr>
          <w:p w:rsidR="00AC4B96" w:rsidRPr="00AC4B96" w:rsidRDefault="00AC4B96" w:rsidP="00AC4B96">
            <w:pPr>
              <w:pStyle w:val="nospacing-leftalign"/>
              <w:rPr>
                <w:b/>
                <w:lang w:val="en-US"/>
              </w:rPr>
            </w:pPr>
            <w:r w:rsidRPr="00AC4B96">
              <w:rPr>
                <w:b/>
                <w:lang w:val="en-US"/>
              </w:rPr>
              <w:t>Total of excellent and good</w:t>
            </w:r>
          </w:p>
        </w:tc>
        <w:tc>
          <w:tcPr>
            <w:tcW w:w="943" w:type="pct"/>
          </w:tcPr>
          <w:p w:rsidR="00AC4B96" w:rsidRPr="00CD3B59"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CD3B59">
              <w:rPr>
                <w:b/>
                <w:lang w:val="en-US"/>
              </w:rPr>
              <w:t>51%</w:t>
            </w:r>
            <w:r w:rsidRPr="00CD3B59">
              <w:rPr>
                <w:b/>
                <w:lang w:val="en-US"/>
              </w:rPr>
              <w:br/>
              <w:t>(n=54)</w:t>
            </w:r>
          </w:p>
        </w:tc>
        <w:tc>
          <w:tcPr>
            <w:tcW w:w="971" w:type="pct"/>
          </w:tcPr>
          <w:p w:rsidR="00AC4B96" w:rsidRPr="00CD3B59"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CD3B59">
              <w:rPr>
                <w:b/>
                <w:lang w:val="en-US"/>
              </w:rPr>
              <w:t>39%</w:t>
            </w:r>
            <w:r w:rsidRPr="00CD3B59">
              <w:rPr>
                <w:b/>
                <w:lang w:val="en-US"/>
              </w:rPr>
              <w:br/>
              <w:t>(n=15)</w:t>
            </w:r>
          </w:p>
        </w:tc>
        <w:tc>
          <w:tcPr>
            <w:tcW w:w="969" w:type="pct"/>
          </w:tcPr>
          <w:p w:rsidR="00AC4B96" w:rsidRPr="00CD3B59"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CD3B59">
              <w:rPr>
                <w:b/>
                <w:lang w:val="en-US"/>
              </w:rPr>
              <w:t>45%</w:t>
            </w:r>
            <w:r w:rsidRPr="00CD3B59">
              <w:rPr>
                <w:b/>
                <w:lang w:val="en-US"/>
              </w:rPr>
              <w:br/>
              <w:t>(n=69)</w:t>
            </w:r>
          </w:p>
        </w:tc>
        <w:tc>
          <w:tcPr>
            <w:tcW w:w="822" w:type="pct"/>
          </w:tcPr>
          <w:p w:rsidR="00AC4B96" w:rsidRPr="00CD3B59"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CD3B59">
              <w:rPr>
                <w:b/>
              </w:rPr>
              <w:t>68%</w:t>
            </w:r>
            <w:r w:rsidRPr="00CD3B59">
              <w:rPr>
                <w:b/>
              </w:rPr>
              <w:br/>
              <w:t>(n=307)</w:t>
            </w:r>
          </w:p>
        </w:tc>
      </w:tr>
      <w:tr w:rsidR="00AC4B96" w:rsidRPr="00990FBA" w:rsidTr="00AC4B9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tcPr>
          <w:p w:rsidR="00AC4B96" w:rsidRPr="00AC4B96" w:rsidRDefault="00AC4B96" w:rsidP="00AC4B96">
            <w:pPr>
              <w:pStyle w:val="nospacing-leftalign"/>
              <w:rPr>
                <w:b/>
                <w:lang w:val="en-US"/>
              </w:rPr>
            </w:pPr>
            <w:r w:rsidRPr="00AC4B96">
              <w:rPr>
                <w:b/>
                <w:lang w:val="en-US"/>
              </w:rPr>
              <w:t>Fair</w:t>
            </w:r>
          </w:p>
        </w:tc>
        <w:tc>
          <w:tcPr>
            <w:tcW w:w="943" w:type="pct"/>
            <w:vAlign w:val="center"/>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lang w:val="en-US"/>
              </w:rPr>
            </w:pPr>
            <w:r w:rsidRPr="00AB6687">
              <w:rPr>
                <w:lang w:val="en-US"/>
              </w:rPr>
              <w:t>28%</w:t>
            </w:r>
            <w:r w:rsidRPr="00AB6687">
              <w:rPr>
                <w:lang w:val="en-US"/>
              </w:rPr>
              <w:br/>
              <w:t>(n=30)</w:t>
            </w:r>
          </w:p>
        </w:tc>
        <w:tc>
          <w:tcPr>
            <w:tcW w:w="971" w:type="pct"/>
            <w:vAlign w:val="bottom"/>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lang w:val="en-US"/>
              </w:rPr>
            </w:pPr>
            <w:r w:rsidRPr="00AB6687">
              <w:rPr>
                <w:lang w:val="en-US"/>
              </w:rPr>
              <w:t>26%</w:t>
            </w:r>
            <w:r w:rsidRPr="00AB6687">
              <w:rPr>
                <w:lang w:val="en-US"/>
              </w:rPr>
              <w:br/>
              <w:t>(n=10)</w:t>
            </w:r>
          </w:p>
        </w:tc>
        <w:tc>
          <w:tcPr>
            <w:tcW w:w="969" w:type="pct"/>
            <w:vAlign w:val="bottom"/>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lang w:val="en-US"/>
              </w:rPr>
            </w:pPr>
            <w:r w:rsidRPr="00AB6687">
              <w:rPr>
                <w:lang w:val="en-US"/>
              </w:rPr>
              <w:t>26%</w:t>
            </w:r>
            <w:r w:rsidRPr="00AB6687">
              <w:rPr>
                <w:lang w:val="en-US"/>
              </w:rPr>
              <w:br/>
              <w:t>(n=40)</w:t>
            </w:r>
          </w:p>
        </w:tc>
        <w:tc>
          <w:tcPr>
            <w:tcW w:w="822" w:type="pct"/>
            <w:vAlign w:val="bottom"/>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pPr>
            <w:r w:rsidRPr="00AB6687">
              <w:t>21%</w:t>
            </w:r>
            <w:r w:rsidRPr="00AB6687">
              <w:br/>
              <w:t>(n=93)</w:t>
            </w:r>
          </w:p>
        </w:tc>
      </w:tr>
      <w:tr w:rsidR="00AC4B96" w:rsidRPr="00990FBA" w:rsidTr="00AC4B96">
        <w:trPr>
          <w:cantSplit/>
        </w:trPr>
        <w:tc>
          <w:tcPr>
            <w:cnfStyle w:val="001000000000" w:firstRow="0" w:lastRow="0" w:firstColumn="1" w:lastColumn="0" w:oddVBand="0" w:evenVBand="0" w:oddHBand="0" w:evenHBand="0" w:firstRowFirstColumn="0" w:firstRowLastColumn="0" w:lastRowFirstColumn="0" w:lastRowLastColumn="0"/>
            <w:tcW w:w="1295" w:type="pct"/>
          </w:tcPr>
          <w:p w:rsidR="00AC4B96" w:rsidRPr="00AC4B96" w:rsidRDefault="00AC4B96" w:rsidP="00AC4B96">
            <w:pPr>
              <w:pStyle w:val="nospacing-leftalign"/>
              <w:rPr>
                <w:b/>
                <w:lang w:val="en-US"/>
              </w:rPr>
            </w:pPr>
            <w:r w:rsidRPr="00AC4B96">
              <w:rPr>
                <w:b/>
                <w:lang w:val="en-US"/>
              </w:rPr>
              <w:t>Poor</w:t>
            </w:r>
          </w:p>
        </w:tc>
        <w:tc>
          <w:tcPr>
            <w:tcW w:w="943" w:type="pct"/>
            <w:vAlign w:val="center"/>
          </w:tcPr>
          <w:p w:rsidR="00AC4B96" w:rsidRPr="00AB6687"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lang w:val="en-US"/>
              </w:rPr>
            </w:pPr>
            <w:r w:rsidRPr="00AB6687">
              <w:rPr>
                <w:lang w:val="en-US"/>
              </w:rPr>
              <w:t>11%</w:t>
            </w:r>
            <w:r w:rsidRPr="00AB6687">
              <w:rPr>
                <w:lang w:val="en-US"/>
              </w:rPr>
              <w:br/>
              <w:t>(n=12)</w:t>
            </w:r>
          </w:p>
        </w:tc>
        <w:tc>
          <w:tcPr>
            <w:tcW w:w="971" w:type="pct"/>
            <w:vAlign w:val="bottom"/>
          </w:tcPr>
          <w:p w:rsidR="00AC4B96" w:rsidRPr="00AB6687"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lang w:val="en-US"/>
              </w:rPr>
            </w:pPr>
            <w:r w:rsidRPr="00AB6687">
              <w:rPr>
                <w:lang w:val="en-US"/>
              </w:rPr>
              <w:t>16%</w:t>
            </w:r>
            <w:r w:rsidRPr="00AB6687">
              <w:rPr>
                <w:lang w:val="en-US"/>
              </w:rPr>
              <w:br/>
              <w:t>(n=6)</w:t>
            </w:r>
          </w:p>
        </w:tc>
        <w:tc>
          <w:tcPr>
            <w:tcW w:w="969" w:type="pct"/>
            <w:vAlign w:val="bottom"/>
          </w:tcPr>
          <w:p w:rsidR="00AC4B96" w:rsidRPr="00AB6687"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lang w:val="en-US"/>
              </w:rPr>
            </w:pPr>
            <w:r w:rsidRPr="00AB6687">
              <w:rPr>
                <w:lang w:val="en-US"/>
              </w:rPr>
              <w:t>12%</w:t>
            </w:r>
            <w:r w:rsidRPr="00AB6687">
              <w:rPr>
                <w:lang w:val="en-US"/>
              </w:rPr>
              <w:br/>
              <w:t>(n=18)</w:t>
            </w:r>
          </w:p>
        </w:tc>
        <w:tc>
          <w:tcPr>
            <w:tcW w:w="822" w:type="pct"/>
            <w:vAlign w:val="bottom"/>
          </w:tcPr>
          <w:p w:rsidR="00AC4B96" w:rsidRPr="00AB6687" w:rsidRDefault="00AC4B96" w:rsidP="00AC4B96">
            <w:pPr>
              <w:pStyle w:val="nospacing-centred"/>
              <w:cnfStyle w:val="000000000000" w:firstRow="0" w:lastRow="0" w:firstColumn="0" w:lastColumn="0" w:oddVBand="0" w:evenVBand="0" w:oddHBand="0" w:evenHBand="0" w:firstRowFirstColumn="0" w:firstRowLastColumn="0" w:lastRowFirstColumn="0" w:lastRowLastColumn="0"/>
            </w:pPr>
            <w:r w:rsidRPr="00AB6687">
              <w:t>9%</w:t>
            </w:r>
            <w:r w:rsidRPr="00AB6687">
              <w:br/>
              <w:t>(n=40)</w:t>
            </w:r>
          </w:p>
        </w:tc>
      </w:tr>
      <w:tr w:rsidR="00AC4B96" w:rsidRPr="00990FBA" w:rsidTr="00AC4B9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95" w:type="pct"/>
          </w:tcPr>
          <w:p w:rsidR="00AC4B96" w:rsidRPr="00AC4B96" w:rsidRDefault="00AC4B96" w:rsidP="00AC4B96">
            <w:pPr>
              <w:pStyle w:val="nospacing-leftalign"/>
              <w:rPr>
                <w:b/>
                <w:lang w:val="en-US"/>
              </w:rPr>
            </w:pPr>
            <w:r w:rsidRPr="00AC4B96">
              <w:rPr>
                <w:b/>
                <w:lang w:val="en-US"/>
              </w:rPr>
              <w:t>Bad</w:t>
            </w:r>
          </w:p>
        </w:tc>
        <w:tc>
          <w:tcPr>
            <w:tcW w:w="943" w:type="pct"/>
            <w:vAlign w:val="center"/>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lang w:val="en-US"/>
              </w:rPr>
            </w:pPr>
            <w:r w:rsidRPr="00AB6687">
              <w:rPr>
                <w:lang w:val="en-US"/>
              </w:rPr>
              <w:t>9%</w:t>
            </w:r>
            <w:r w:rsidRPr="00AB6687">
              <w:rPr>
                <w:lang w:val="en-US"/>
              </w:rPr>
              <w:br/>
              <w:t>(n=10)</w:t>
            </w:r>
          </w:p>
        </w:tc>
        <w:tc>
          <w:tcPr>
            <w:tcW w:w="971" w:type="pct"/>
            <w:vAlign w:val="bottom"/>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lang w:val="en-US"/>
              </w:rPr>
            </w:pPr>
            <w:r w:rsidRPr="00AB6687">
              <w:rPr>
                <w:lang w:val="en-US"/>
              </w:rPr>
              <w:t>18%</w:t>
            </w:r>
            <w:r w:rsidRPr="00AB6687">
              <w:rPr>
                <w:lang w:val="en-US"/>
              </w:rPr>
              <w:br/>
              <w:t>(n=7)</w:t>
            </w:r>
          </w:p>
        </w:tc>
        <w:tc>
          <w:tcPr>
            <w:tcW w:w="969" w:type="pct"/>
            <w:vAlign w:val="bottom"/>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lang w:val="en-US"/>
              </w:rPr>
            </w:pPr>
            <w:r w:rsidRPr="00AB6687">
              <w:rPr>
                <w:lang w:val="en-US"/>
              </w:rPr>
              <w:t>12%</w:t>
            </w:r>
            <w:r w:rsidRPr="00AB6687">
              <w:rPr>
                <w:lang w:val="en-US"/>
              </w:rPr>
              <w:br/>
              <w:t>(n=17)</w:t>
            </w:r>
          </w:p>
        </w:tc>
        <w:tc>
          <w:tcPr>
            <w:tcW w:w="822" w:type="pct"/>
          </w:tcPr>
          <w:p w:rsidR="00AC4B96" w:rsidRPr="00990FBA" w:rsidRDefault="00AC4B96" w:rsidP="00AC4B96">
            <w:pPr>
              <w:pStyle w:val="nospacing-centred"/>
              <w:cnfStyle w:val="000000010000" w:firstRow="0" w:lastRow="0" w:firstColumn="0" w:lastColumn="0" w:oddVBand="0" w:evenVBand="0" w:oddHBand="0" w:evenHBand="1" w:firstRowFirstColumn="0" w:firstRowLastColumn="0" w:lastRowFirstColumn="0" w:lastRowLastColumn="0"/>
            </w:pPr>
            <w:r w:rsidRPr="00AB6687">
              <w:t>2%</w:t>
            </w:r>
            <w:r w:rsidRPr="00AB6687">
              <w:br/>
              <w:t>(n=11)</w:t>
            </w:r>
          </w:p>
        </w:tc>
      </w:tr>
    </w:tbl>
    <w:p w:rsidR="00887502" w:rsidRDefault="00887502" w:rsidP="000E3567">
      <w:pPr>
        <w:pStyle w:val="Caption"/>
      </w:pPr>
      <w:r w:rsidRPr="00304626">
        <w:t>Table B.6: Overall satisfaction of triallists with copper services with the Trial service versus their existing copper service (1 July to 31 December 2021).</w:t>
      </w:r>
    </w:p>
    <w:tbl>
      <w:tblPr>
        <w:tblStyle w:val="DefaultTable1"/>
        <w:tblW w:w="3280" w:type="pct"/>
        <w:tblLook w:val="04A0" w:firstRow="1" w:lastRow="0" w:firstColumn="1" w:lastColumn="0" w:noHBand="0" w:noVBand="1"/>
        <w:tblDescription w:val="Table B.6: Overall satisfaction of triallists with copper services with the Trial service versus their existing copper service (1 July to 31 December 2021)."/>
      </w:tblPr>
      <w:tblGrid>
        <w:gridCol w:w="3119"/>
        <w:gridCol w:w="1791"/>
        <w:gridCol w:w="1561"/>
      </w:tblGrid>
      <w:tr w:rsidR="00AC4B96" w:rsidTr="00AC4B9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vAlign w:val="center"/>
          </w:tcPr>
          <w:p w:rsidR="00AC4B96" w:rsidRPr="008D096D" w:rsidRDefault="00AC4B96" w:rsidP="007C129B">
            <w:pPr>
              <w:pStyle w:val="tablecolumnheading"/>
              <w:rPr>
                <w:b/>
              </w:rPr>
            </w:pPr>
            <w:r w:rsidRPr="00C00DAA">
              <w:rPr>
                <w:b/>
              </w:rPr>
              <w:t>Satisfaction rating</w:t>
            </w:r>
          </w:p>
        </w:tc>
        <w:tc>
          <w:tcPr>
            <w:tcW w:w="1384" w:type="pct"/>
            <w:vAlign w:val="bottom"/>
          </w:tcPr>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iCs/>
                <w:color w:val="FFFFFF" w:themeColor="background1"/>
              </w:rPr>
              <w:t>Previous landline</w:t>
            </w:r>
          </w:p>
          <w:p w:rsidR="00AC4B96" w:rsidRPr="00C00DAA" w:rsidRDefault="00AC4B96" w:rsidP="007C129B">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Cs/>
                <w:iCs/>
              </w:rPr>
            </w:pPr>
            <w:r w:rsidRPr="00C00DAA">
              <w:rPr>
                <w:rFonts w:asciiTheme="majorHAnsi" w:eastAsiaTheme="majorEastAsia" w:hAnsiTheme="majorHAnsi" w:cs="Times New Roman"/>
                <w:bCs/>
                <w:iCs/>
              </w:rPr>
              <w:t>Copper</w:t>
            </w:r>
          </w:p>
          <w:p w:rsidR="00AC4B96" w:rsidRPr="00C00DAA" w:rsidRDefault="00AC4B96" w:rsidP="007C129B">
            <w:pPr>
              <w:keepNext/>
              <w:keepLines/>
              <w:spacing w:before="40" w:after="0"/>
              <w:jc w:val="center"/>
              <w:outlineLvl w:val="3"/>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imes New Roman"/>
                <w:b w:val="0"/>
                <w:bCs/>
                <w:iCs/>
              </w:rPr>
            </w:pPr>
            <w:r w:rsidRPr="00C00DAA">
              <w:rPr>
                <w:rFonts w:asciiTheme="majorHAnsi" w:eastAsiaTheme="majorEastAsia" w:hAnsiTheme="majorHAnsi" w:cs="Times New Roman"/>
                <w:bCs/>
                <w:iCs/>
              </w:rPr>
              <w:t>Technology</w:t>
            </w:r>
          </w:p>
        </w:tc>
        <w:tc>
          <w:tcPr>
            <w:tcW w:w="1206" w:type="pct"/>
            <w:vAlign w:val="bottom"/>
          </w:tcPr>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rFonts w:cs="Times New Roman"/>
                <w:iCs/>
                <w:color w:val="FFFFFF" w:themeColor="background1"/>
              </w:rPr>
            </w:pPr>
            <w:r w:rsidRPr="00C00DAA">
              <w:rPr>
                <w:rFonts w:cs="Times New Roman"/>
                <w:b/>
                <w:bCs/>
                <w:iCs/>
                <w:color w:val="FFFFFF" w:themeColor="background1"/>
              </w:rPr>
              <w:t>Overall service</w:t>
            </w:r>
          </w:p>
          <w:p w:rsidR="00AC4B96" w:rsidRPr="00C00DAA" w:rsidRDefault="00AC4B96" w:rsidP="007C129B">
            <w:pPr>
              <w:pStyle w:val="tablecolumnheading-centred"/>
              <w:cnfStyle w:val="100000000000" w:firstRow="1" w:lastRow="0" w:firstColumn="0" w:lastColumn="0" w:oddVBand="0" w:evenVBand="0" w:oddHBand="0" w:evenHBand="0" w:firstRowFirstColumn="0" w:firstRowLastColumn="0" w:lastRowFirstColumn="0" w:lastRowLastColumn="0"/>
              <w:rPr>
                <w:b/>
                <w:color w:val="FFFFFF" w:themeColor="background1"/>
              </w:rPr>
            </w:pPr>
            <w:r w:rsidRPr="00C00DAA">
              <w:rPr>
                <w:rFonts w:cs="Times New Roman"/>
                <w:b/>
                <w:bCs/>
                <w:iCs/>
                <w:color w:val="FFFFFF" w:themeColor="background1"/>
              </w:rPr>
              <w:t xml:space="preserve">AVST </w:t>
            </w:r>
            <w:r w:rsidRPr="00C00DAA">
              <w:rPr>
                <w:rFonts w:cs="Times New Roman"/>
                <w:b/>
                <w:bCs/>
                <w:iCs/>
                <w:color w:val="FFFFFF" w:themeColor="background1"/>
              </w:rPr>
              <w:br/>
              <w:t>trial</w:t>
            </w:r>
          </w:p>
        </w:tc>
      </w:tr>
      <w:tr w:rsidR="00AC4B96" w:rsidRPr="00C00DAA" w:rsidTr="00AC4B96">
        <w:trPr>
          <w:cantSplit/>
        </w:trPr>
        <w:tc>
          <w:tcPr>
            <w:cnfStyle w:val="001000000000" w:firstRow="0" w:lastRow="0" w:firstColumn="1" w:lastColumn="0" w:oddVBand="0" w:evenVBand="0" w:oddHBand="0" w:evenHBand="0" w:firstRowFirstColumn="0" w:firstRowLastColumn="0" w:lastRowFirstColumn="0" w:lastRowLastColumn="0"/>
            <w:tcW w:w="2410" w:type="pct"/>
            <w:shd w:val="clear" w:color="auto" w:fill="auto"/>
            <w:vAlign w:val="center"/>
          </w:tcPr>
          <w:p w:rsidR="00AC4B96" w:rsidRPr="00AC4B96" w:rsidRDefault="00AC4B96" w:rsidP="007C129B">
            <w:pPr>
              <w:pStyle w:val="nospacing-leftalign"/>
              <w:rPr>
                <w:b/>
                <w:lang w:val="en-US"/>
              </w:rPr>
            </w:pPr>
            <w:r w:rsidRPr="00AC4B96">
              <w:rPr>
                <w:b/>
                <w:lang w:val="en-US"/>
              </w:rPr>
              <w:t>Excellent</w:t>
            </w:r>
          </w:p>
        </w:tc>
        <w:tc>
          <w:tcPr>
            <w:tcW w:w="1384" w:type="pct"/>
            <w:shd w:val="clear" w:color="auto" w:fill="auto"/>
          </w:tcPr>
          <w:p w:rsidR="00AC4B96" w:rsidRPr="00C00DAA"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AB6687">
              <w:rPr>
                <w:lang w:val="en-US"/>
              </w:rPr>
              <w:t>12%</w:t>
            </w:r>
            <w:r w:rsidRPr="00AB6687">
              <w:rPr>
                <w:lang w:val="en-US"/>
              </w:rPr>
              <w:br/>
              <w:t>(n=13)</w:t>
            </w:r>
          </w:p>
        </w:tc>
        <w:tc>
          <w:tcPr>
            <w:tcW w:w="1206" w:type="pct"/>
            <w:shd w:val="clear" w:color="auto" w:fill="auto"/>
          </w:tcPr>
          <w:p w:rsidR="00AC4B96" w:rsidRPr="00C00DAA"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AB6687">
              <w:rPr>
                <w:lang w:val="en-US"/>
              </w:rPr>
              <w:t>27%</w:t>
            </w:r>
            <w:r w:rsidRPr="00AB6687">
              <w:rPr>
                <w:lang w:val="en-US"/>
              </w:rPr>
              <w:br/>
              <w:t>(n=88)</w:t>
            </w:r>
          </w:p>
        </w:tc>
      </w:tr>
      <w:tr w:rsidR="00AC4B96" w:rsidRPr="00C00DAA" w:rsidTr="00AC4B9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AC4B96" w:rsidRPr="00AC4B96" w:rsidRDefault="00AC4B96" w:rsidP="007C129B">
            <w:pPr>
              <w:pStyle w:val="nospacing-leftalign"/>
              <w:rPr>
                <w:b/>
                <w:lang w:val="en-US"/>
              </w:rPr>
            </w:pPr>
            <w:r w:rsidRPr="00AC4B96">
              <w:rPr>
                <w:b/>
                <w:lang w:val="en-US"/>
              </w:rPr>
              <w:t>Good</w:t>
            </w:r>
          </w:p>
        </w:tc>
        <w:tc>
          <w:tcPr>
            <w:tcW w:w="1384" w:type="pct"/>
          </w:tcPr>
          <w:p w:rsidR="00AC4B96" w:rsidRPr="00C00DAA"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AB6687">
              <w:rPr>
                <w:lang w:val="en-US"/>
              </w:rPr>
              <w:t>39%</w:t>
            </w:r>
            <w:r w:rsidRPr="00AB6687">
              <w:rPr>
                <w:lang w:val="en-US"/>
              </w:rPr>
              <w:br/>
              <w:t>(n=41)</w:t>
            </w:r>
          </w:p>
        </w:tc>
        <w:tc>
          <w:tcPr>
            <w:tcW w:w="1206" w:type="pct"/>
          </w:tcPr>
          <w:p w:rsidR="00AC4B96" w:rsidRPr="00C00DAA"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AB6687">
              <w:rPr>
                <w:lang w:val="en-US"/>
              </w:rPr>
              <w:t>42%</w:t>
            </w:r>
            <w:r w:rsidRPr="00AB6687">
              <w:rPr>
                <w:lang w:val="en-US"/>
              </w:rPr>
              <w:br/>
              <w:t>(n=136)</w:t>
            </w:r>
          </w:p>
        </w:tc>
      </w:tr>
      <w:tr w:rsidR="00AC4B96" w:rsidRPr="00AC4B96" w:rsidTr="00AC4B96">
        <w:trPr>
          <w:cantSplit/>
        </w:trPr>
        <w:tc>
          <w:tcPr>
            <w:cnfStyle w:val="001000000000" w:firstRow="0" w:lastRow="0" w:firstColumn="1" w:lastColumn="0" w:oddVBand="0" w:evenVBand="0" w:oddHBand="0" w:evenHBand="0" w:firstRowFirstColumn="0" w:firstRowLastColumn="0" w:lastRowFirstColumn="0" w:lastRowLastColumn="0"/>
            <w:tcW w:w="2410" w:type="pct"/>
          </w:tcPr>
          <w:p w:rsidR="00AC4B96" w:rsidRPr="00AC4B96" w:rsidRDefault="00AC4B96" w:rsidP="007C129B">
            <w:pPr>
              <w:pStyle w:val="nospacing-leftalign"/>
              <w:rPr>
                <w:b/>
                <w:lang w:val="en-US"/>
              </w:rPr>
            </w:pPr>
            <w:r w:rsidRPr="00AC4B96">
              <w:rPr>
                <w:b/>
                <w:lang w:val="en-US"/>
              </w:rPr>
              <w:t>Total of excellent and good</w:t>
            </w:r>
          </w:p>
        </w:tc>
        <w:tc>
          <w:tcPr>
            <w:tcW w:w="1384" w:type="pct"/>
          </w:tcPr>
          <w:p w:rsidR="00AC4B96" w:rsidRPr="00AC4B96"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AC4B96">
              <w:rPr>
                <w:b/>
                <w:lang w:val="en-US"/>
              </w:rPr>
              <w:t>51%</w:t>
            </w:r>
            <w:r w:rsidRPr="00AC4B96">
              <w:rPr>
                <w:b/>
                <w:lang w:val="en-US"/>
              </w:rPr>
              <w:br/>
              <w:t>(n=54)</w:t>
            </w:r>
          </w:p>
        </w:tc>
        <w:tc>
          <w:tcPr>
            <w:tcW w:w="1206" w:type="pct"/>
          </w:tcPr>
          <w:p w:rsidR="00AC4B96" w:rsidRPr="00AC4B96"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b/>
                <w:color w:val="000000"/>
              </w:rPr>
            </w:pPr>
            <w:r w:rsidRPr="00AC4B96">
              <w:rPr>
                <w:b/>
                <w:lang w:val="en-US"/>
              </w:rPr>
              <w:t>70%</w:t>
            </w:r>
            <w:r w:rsidRPr="00AC4B96">
              <w:rPr>
                <w:b/>
                <w:lang w:val="en-US"/>
              </w:rPr>
              <w:br/>
              <w:t>(n=224)</w:t>
            </w:r>
          </w:p>
        </w:tc>
      </w:tr>
      <w:tr w:rsidR="00AC4B96" w:rsidRPr="00990FBA" w:rsidTr="00AC4B9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AC4B96" w:rsidRPr="00AC4B96" w:rsidRDefault="00AC4B96" w:rsidP="00AC4B96">
            <w:pPr>
              <w:pStyle w:val="nospacing-leftalign"/>
              <w:rPr>
                <w:b/>
                <w:lang w:val="en-US"/>
              </w:rPr>
            </w:pPr>
            <w:r w:rsidRPr="00AC4B96">
              <w:rPr>
                <w:b/>
                <w:lang w:val="en-US"/>
              </w:rPr>
              <w:t>Fair</w:t>
            </w:r>
          </w:p>
        </w:tc>
        <w:tc>
          <w:tcPr>
            <w:tcW w:w="1384" w:type="pct"/>
            <w:vAlign w:val="center"/>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lang w:val="en-US"/>
              </w:rPr>
            </w:pPr>
            <w:r w:rsidRPr="00AB6687">
              <w:rPr>
                <w:lang w:val="en-US"/>
              </w:rPr>
              <w:t>28%</w:t>
            </w:r>
            <w:r w:rsidRPr="00AB6687">
              <w:rPr>
                <w:lang w:val="en-US"/>
              </w:rPr>
              <w:br/>
              <w:t>(n=30)</w:t>
            </w:r>
          </w:p>
        </w:tc>
        <w:tc>
          <w:tcPr>
            <w:tcW w:w="1206" w:type="pct"/>
            <w:vAlign w:val="center"/>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AB6687">
              <w:rPr>
                <w:lang w:val="en-US"/>
              </w:rPr>
              <w:t>20%</w:t>
            </w:r>
            <w:r w:rsidRPr="00AB6687">
              <w:rPr>
                <w:lang w:val="en-US"/>
              </w:rPr>
              <w:br/>
              <w:t>(n=63)</w:t>
            </w:r>
          </w:p>
        </w:tc>
      </w:tr>
      <w:tr w:rsidR="00AC4B96" w:rsidRPr="00990FBA" w:rsidTr="00AC4B96">
        <w:trPr>
          <w:cantSplit/>
        </w:trPr>
        <w:tc>
          <w:tcPr>
            <w:cnfStyle w:val="001000000000" w:firstRow="0" w:lastRow="0" w:firstColumn="1" w:lastColumn="0" w:oddVBand="0" w:evenVBand="0" w:oddHBand="0" w:evenHBand="0" w:firstRowFirstColumn="0" w:firstRowLastColumn="0" w:lastRowFirstColumn="0" w:lastRowLastColumn="0"/>
            <w:tcW w:w="2410" w:type="pct"/>
          </w:tcPr>
          <w:p w:rsidR="00AC4B96" w:rsidRPr="00AC4B96" w:rsidRDefault="00AC4B96" w:rsidP="00AC4B96">
            <w:pPr>
              <w:pStyle w:val="nospacing-leftalign"/>
              <w:rPr>
                <w:b/>
                <w:lang w:val="en-US"/>
              </w:rPr>
            </w:pPr>
            <w:r w:rsidRPr="00AC4B96">
              <w:rPr>
                <w:b/>
                <w:lang w:val="en-US"/>
              </w:rPr>
              <w:t>Poor</w:t>
            </w:r>
          </w:p>
        </w:tc>
        <w:tc>
          <w:tcPr>
            <w:tcW w:w="1384" w:type="pct"/>
            <w:vAlign w:val="center"/>
          </w:tcPr>
          <w:p w:rsidR="00AC4B96" w:rsidRPr="00AB6687"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lang w:val="en-US"/>
              </w:rPr>
            </w:pPr>
            <w:r w:rsidRPr="00AB6687">
              <w:rPr>
                <w:lang w:val="en-US"/>
              </w:rPr>
              <w:t>11%</w:t>
            </w:r>
            <w:r w:rsidRPr="00AB6687">
              <w:rPr>
                <w:lang w:val="en-US"/>
              </w:rPr>
              <w:br/>
              <w:t>(n=12)</w:t>
            </w:r>
          </w:p>
        </w:tc>
        <w:tc>
          <w:tcPr>
            <w:tcW w:w="1206" w:type="pct"/>
            <w:vAlign w:val="center"/>
          </w:tcPr>
          <w:p w:rsidR="00AC4B96" w:rsidRPr="00AB6687" w:rsidRDefault="00AC4B96" w:rsidP="00AC4B96">
            <w:pPr>
              <w:pStyle w:val="nospacing-centred"/>
              <w:cnfStyle w:val="000000000000" w:firstRow="0" w:lastRow="0" w:firstColumn="0" w:lastColumn="0" w:oddVBand="0" w:evenVBand="0" w:oddHBand="0" w:evenHBand="0" w:firstRowFirstColumn="0" w:firstRowLastColumn="0" w:lastRowFirstColumn="0" w:lastRowLastColumn="0"/>
              <w:rPr>
                <w:color w:val="000000"/>
              </w:rPr>
            </w:pPr>
            <w:r w:rsidRPr="00AB6687">
              <w:rPr>
                <w:lang w:val="en-US"/>
              </w:rPr>
              <w:t>8%</w:t>
            </w:r>
            <w:r w:rsidRPr="00AB6687">
              <w:rPr>
                <w:lang w:val="en-US"/>
              </w:rPr>
              <w:br/>
              <w:t>(n=27)</w:t>
            </w:r>
          </w:p>
        </w:tc>
      </w:tr>
      <w:tr w:rsidR="00AC4B96" w:rsidRPr="00990FBA" w:rsidTr="00AC4B9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pct"/>
          </w:tcPr>
          <w:p w:rsidR="00AC4B96" w:rsidRPr="00AC4B96" w:rsidRDefault="00AC4B96" w:rsidP="00AC4B96">
            <w:pPr>
              <w:pStyle w:val="nospacing-leftalign"/>
              <w:rPr>
                <w:b/>
                <w:lang w:val="en-US"/>
              </w:rPr>
            </w:pPr>
            <w:r w:rsidRPr="00AC4B96">
              <w:rPr>
                <w:b/>
                <w:lang w:val="en-US"/>
              </w:rPr>
              <w:t>Bad</w:t>
            </w:r>
          </w:p>
        </w:tc>
        <w:tc>
          <w:tcPr>
            <w:tcW w:w="1384" w:type="pct"/>
            <w:vAlign w:val="center"/>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lang w:val="en-US"/>
              </w:rPr>
            </w:pPr>
            <w:r w:rsidRPr="00AB6687">
              <w:rPr>
                <w:lang w:val="en-US"/>
              </w:rPr>
              <w:t>9%</w:t>
            </w:r>
            <w:r w:rsidRPr="00AB6687">
              <w:rPr>
                <w:lang w:val="en-US"/>
              </w:rPr>
              <w:br/>
              <w:t>(n=10)</w:t>
            </w:r>
          </w:p>
        </w:tc>
        <w:tc>
          <w:tcPr>
            <w:tcW w:w="1206" w:type="pct"/>
            <w:vAlign w:val="center"/>
          </w:tcPr>
          <w:p w:rsidR="00AC4B96" w:rsidRPr="00AB6687" w:rsidRDefault="00AC4B96" w:rsidP="00AC4B96">
            <w:pPr>
              <w:pStyle w:val="nospacing-centred"/>
              <w:cnfStyle w:val="000000010000" w:firstRow="0" w:lastRow="0" w:firstColumn="0" w:lastColumn="0" w:oddVBand="0" w:evenVBand="0" w:oddHBand="0" w:evenHBand="1" w:firstRowFirstColumn="0" w:firstRowLastColumn="0" w:lastRowFirstColumn="0" w:lastRowLastColumn="0"/>
              <w:rPr>
                <w:color w:val="000000"/>
              </w:rPr>
            </w:pPr>
            <w:r w:rsidRPr="00AB6687">
              <w:rPr>
                <w:lang w:val="en-US"/>
              </w:rPr>
              <w:t>2%</w:t>
            </w:r>
            <w:r w:rsidRPr="00AB6687">
              <w:rPr>
                <w:lang w:val="en-US"/>
              </w:rPr>
              <w:br/>
              <w:t>(n=8)</w:t>
            </w:r>
          </w:p>
        </w:tc>
      </w:tr>
    </w:tbl>
    <w:p w:rsidR="00AC4B96" w:rsidRDefault="00AC4B96" w:rsidP="00AC4B96"/>
    <w:sectPr w:rsidR="00AC4B96" w:rsidSect="00F01819">
      <w:type w:val="continuous"/>
      <w:pgSz w:w="11906" w:h="16838" w:code="9"/>
      <w:pgMar w:top="1276"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29B" w:rsidRDefault="007C129B" w:rsidP="008456D5">
      <w:pPr>
        <w:spacing w:after="0"/>
      </w:pPr>
      <w:r>
        <w:separator/>
      </w:r>
    </w:p>
  </w:endnote>
  <w:endnote w:type="continuationSeparator" w:id="0">
    <w:p w:rsidR="007C129B" w:rsidRDefault="007C129B"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29B" w:rsidRDefault="007C129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034327"/>
      <w:docPartObj>
        <w:docPartGallery w:val="Page Numbers (Bottom of Page)"/>
        <w:docPartUnique/>
      </w:docPartObj>
    </w:sdtPr>
    <w:sdtEndPr>
      <w:rPr>
        <w:noProof/>
      </w:rPr>
    </w:sdtEndPr>
    <w:sdtContent>
      <w:p w:rsidR="007C129B" w:rsidRDefault="007C129B" w:rsidP="00F01819">
        <w:pPr>
          <w:pStyle w:val="Footer"/>
          <w:jc w:val="center"/>
          <w:rPr>
            <w:noProof/>
          </w:rPr>
        </w:pPr>
        <w:r w:rsidRPr="00CD3B59">
          <w:t>Alternative Voice Services Trials—Summary Report to 31 December 2021</w:t>
        </w:r>
        <w:r>
          <w:tab/>
        </w:r>
        <w:r>
          <w:tab/>
        </w:r>
        <w:r>
          <w:fldChar w:fldCharType="begin"/>
        </w:r>
        <w:r>
          <w:instrText xml:space="preserve"> PAGE   \* MERGEFORMAT </w:instrText>
        </w:r>
        <w:r>
          <w:fldChar w:fldCharType="separate"/>
        </w:r>
        <w:r>
          <w:t>1</w:t>
        </w:r>
        <w:r>
          <w:rPr>
            <w:noProof/>
          </w:rPr>
          <w:fldChar w:fldCharType="end"/>
        </w:r>
      </w:p>
    </w:sdtContent>
  </w:sdt>
  <w:p w:rsidR="007C129B" w:rsidRDefault="007C129B" w:rsidP="00CE5313">
    <w:pPr>
      <w:pStyle w:val="Footer"/>
      <w:ind w:left="-993"/>
      <w:jc w:val="right"/>
    </w:pPr>
    <w:r>
      <w:rPr>
        <w:noProof/>
        <w:lang w:eastAsia="en-AU"/>
      </w:rPr>
      <w:t xml:space="preserve"> </w:t>
    </w:r>
    <w:r>
      <w:rPr>
        <w:noProof/>
        <w:lang w:eastAsia="en-AU"/>
      </w:rPr>
      <w:drawing>
        <wp:inline distT="0" distB="0" distL="0" distR="0" wp14:anchorId="44B01B88" wp14:editId="331D0DC5">
          <wp:extent cx="7560000" cy="129561"/>
          <wp:effectExtent l="0" t="0" r="3175" b="3810"/>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rsidR="007C129B" w:rsidRDefault="007C129B" w:rsidP="00F01819">
        <w:pPr>
          <w:pStyle w:val="Footer"/>
          <w:spacing w:after="120"/>
          <w:jc w:val="center"/>
          <w:rPr>
            <w:noProof/>
          </w:rPr>
        </w:pPr>
        <w:r w:rsidRPr="00CD3B59">
          <w:t>Alternative Voice Services Trials—Summary Report to 31 December 2021</w:t>
        </w:r>
        <w:r>
          <w:tab/>
        </w:r>
        <w:r>
          <w:tab/>
        </w:r>
        <w:r>
          <w:fldChar w:fldCharType="begin"/>
        </w:r>
        <w:r>
          <w:instrText xml:space="preserve"> PAGE   \* MERGEFORMAT </w:instrText>
        </w:r>
        <w:r>
          <w:fldChar w:fldCharType="separate"/>
        </w:r>
        <w:r>
          <w:rPr>
            <w:noProof/>
          </w:rPr>
          <w:t>2</w:t>
        </w:r>
        <w:r>
          <w:rPr>
            <w:noProof/>
          </w:rPr>
          <w:fldChar w:fldCharType="end"/>
        </w:r>
      </w:p>
    </w:sdtContent>
  </w:sdt>
  <w:p w:rsidR="007C129B" w:rsidRDefault="007C129B" w:rsidP="005770B2">
    <w:pPr>
      <w:pStyle w:val="Footer"/>
      <w:ind w:left="-993"/>
      <w:jc w:val="right"/>
    </w:pPr>
    <w:r>
      <w:rPr>
        <w:noProof/>
        <w:lang w:eastAsia="en-AU"/>
      </w:rPr>
      <w:drawing>
        <wp:inline distT="0" distB="0" distL="0" distR="0" wp14:anchorId="516F9715">
          <wp:extent cx="7560000" cy="129561"/>
          <wp:effectExtent l="0" t="0" r="3175" b="3810"/>
          <wp:docPr id="16" name="Picture 1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29B" w:rsidRPr="005912BE" w:rsidRDefault="007C129B" w:rsidP="005912BE">
      <w:pPr>
        <w:spacing w:before="300"/>
        <w:rPr>
          <w:color w:val="4BB3B5" w:themeColor="accent2"/>
        </w:rPr>
      </w:pPr>
      <w:r>
        <w:rPr>
          <w:color w:val="4BB3B5" w:themeColor="accent2"/>
        </w:rPr>
        <w:t>----------</w:t>
      </w:r>
    </w:p>
  </w:footnote>
  <w:footnote w:type="continuationSeparator" w:id="0">
    <w:p w:rsidR="007C129B" w:rsidRDefault="007C129B" w:rsidP="00845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29B" w:rsidRDefault="007C129B"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29B" w:rsidRDefault="007C129B" w:rsidP="00874245">
    <w:pPr>
      <w:pStyle w:val="Header"/>
      <w:spacing w:after="120"/>
      <w:rPr>
        <w:noProof/>
      </w:rPr>
    </w:pPr>
    <w:fldSimple w:instr=" STYLEREF  &quot;Heading 2&quot;  \* MERGEFORMAT ">
      <w:r w:rsidR="00004B4C">
        <w:rPr>
          <w:noProof/>
        </w:rPr>
        <w:t>Attachment B</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A0B5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320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1680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2E3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A412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22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ECC2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1A07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8E82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4AF5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7C6F34"/>
    <w:multiLevelType w:val="hybridMultilevel"/>
    <w:tmpl w:val="DD906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941C3"/>
    <w:multiLevelType w:val="hybridMultilevel"/>
    <w:tmpl w:val="18082E5E"/>
    <w:lvl w:ilvl="0" w:tplc="BAA4CD6A">
      <w:start w:val="4"/>
      <w:numFmt w:val="bullet"/>
      <w:lvlText w:val=""/>
      <w:lvlJc w:val="left"/>
      <w:pPr>
        <w:ind w:left="720" w:hanging="360"/>
      </w:pPr>
      <w:rPr>
        <w:rFonts w:ascii="Symbol" w:eastAsiaTheme="minorHAnsi" w:hAnsi="Symbol" w:cs="Times New Roman"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86C49"/>
    <w:multiLevelType w:val="hybridMultilevel"/>
    <w:tmpl w:val="81B46730"/>
    <w:lvl w:ilvl="0" w:tplc="6F601C14">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5" w15:restartNumberingAfterBreak="0">
    <w:nsid w:val="25DA4FD2"/>
    <w:multiLevelType w:val="hybridMultilevel"/>
    <w:tmpl w:val="D9CE5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5B5C6E"/>
    <w:multiLevelType w:val="hybridMultilevel"/>
    <w:tmpl w:val="484E4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C6759"/>
    <w:multiLevelType w:val="hybridMultilevel"/>
    <w:tmpl w:val="81C631F4"/>
    <w:lvl w:ilvl="0" w:tplc="5E46FA6A">
      <w:start w:val="1"/>
      <w:numFmt w:val="lowerLetter"/>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9" w15:restartNumberingAfterBreak="0">
    <w:nsid w:val="3AA51938"/>
    <w:multiLevelType w:val="multilevel"/>
    <w:tmpl w:val="298C34E4"/>
    <w:numStyleLink w:val="AppendixNumbers"/>
  </w:abstractNum>
  <w:abstractNum w:abstractNumId="20" w15:restartNumberingAfterBreak="0">
    <w:nsid w:val="3DDC6DF9"/>
    <w:multiLevelType w:val="hybridMultilevel"/>
    <w:tmpl w:val="6F70A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3931238"/>
    <w:multiLevelType w:val="hybridMultilevel"/>
    <w:tmpl w:val="2C5AD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BF1F10"/>
    <w:multiLevelType w:val="hybridMultilevel"/>
    <w:tmpl w:val="14C64D5A"/>
    <w:lvl w:ilvl="0" w:tplc="FBCEA5B8">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574F3E93"/>
    <w:multiLevelType w:val="hybridMultilevel"/>
    <w:tmpl w:val="AB72E79E"/>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6"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FF52C8"/>
    <w:multiLevelType w:val="hybridMultilevel"/>
    <w:tmpl w:val="F24843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3377419"/>
    <w:multiLevelType w:val="hybridMultilevel"/>
    <w:tmpl w:val="D0D2AF8C"/>
    <w:lvl w:ilvl="0" w:tplc="E3AA9C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9410CB"/>
    <w:multiLevelType w:val="hybridMultilevel"/>
    <w:tmpl w:val="D97AA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3339ED"/>
    <w:multiLevelType w:val="hybridMultilevel"/>
    <w:tmpl w:val="D0D2AF8C"/>
    <w:lvl w:ilvl="0" w:tplc="E3AA9C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147A2D"/>
    <w:multiLevelType w:val="hybridMultilevel"/>
    <w:tmpl w:val="0CD8F70C"/>
    <w:lvl w:ilvl="0" w:tplc="C30E72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790411"/>
    <w:multiLevelType w:val="hybridMultilevel"/>
    <w:tmpl w:val="6E32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C347EB"/>
    <w:multiLevelType w:val="hybridMultilevel"/>
    <w:tmpl w:val="B5F4C994"/>
    <w:lvl w:ilvl="0" w:tplc="57167C66">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5"/>
  </w:num>
  <w:num w:numId="26">
    <w:abstractNumId w:val="20"/>
  </w:num>
  <w:num w:numId="27">
    <w:abstractNumId w:val="23"/>
  </w:num>
  <w:num w:numId="28">
    <w:abstractNumId w:val="32"/>
  </w:num>
  <w:num w:numId="29">
    <w:abstractNumId w:val="17"/>
  </w:num>
  <w:num w:numId="30">
    <w:abstractNumId w:val="12"/>
  </w:num>
  <w:num w:numId="31">
    <w:abstractNumId w:val="33"/>
  </w:num>
  <w:num w:numId="32">
    <w:abstractNumId w:val="13"/>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4"/>
  </w:num>
  <w:num w:numId="36">
    <w:abstractNumId w:val="31"/>
  </w:num>
  <w:num w:numId="37">
    <w:abstractNumId w:val="18"/>
  </w:num>
  <w:num w:numId="38">
    <w:abstractNumId w:val="30"/>
  </w:num>
  <w:num w:numId="39">
    <w:abstractNumId w:val="2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04B4C"/>
    <w:rsid w:val="0001430B"/>
    <w:rsid w:val="0007333E"/>
    <w:rsid w:val="000E24BA"/>
    <w:rsid w:val="000E3567"/>
    <w:rsid w:val="000E5674"/>
    <w:rsid w:val="00105A72"/>
    <w:rsid w:val="001349C6"/>
    <w:rsid w:val="001372AD"/>
    <w:rsid w:val="00180B5B"/>
    <w:rsid w:val="001A6DAA"/>
    <w:rsid w:val="001E1E24"/>
    <w:rsid w:val="001E2D15"/>
    <w:rsid w:val="001F13CD"/>
    <w:rsid w:val="002208B4"/>
    <w:rsid w:val="002254D5"/>
    <w:rsid w:val="0022611D"/>
    <w:rsid w:val="00245D93"/>
    <w:rsid w:val="0026422D"/>
    <w:rsid w:val="00266AA2"/>
    <w:rsid w:val="00284164"/>
    <w:rsid w:val="00295254"/>
    <w:rsid w:val="002B3569"/>
    <w:rsid w:val="002B3A2B"/>
    <w:rsid w:val="002B7197"/>
    <w:rsid w:val="002D2B29"/>
    <w:rsid w:val="002E1ADA"/>
    <w:rsid w:val="00307762"/>
    <w:rsid w:val="003720E9"/>
    <w:rsid w:val="0038605F"/>
    <w:rsid w:val="003952A8"/>
    <w:rsid w:val="003A0181"/>
    <w:rsid w:val="003C625A"/>
    <w:rsid w:val="003F775D"/>
    <w:rsid w:val="00420F04"/>
    <w:rsid w:val="00444462"/>
    <w:rsid w:val="00450D0E"/>
    <w:rsid w:val="00450EBD"/>
    <w:rsid w:val="00474E2D"/>
    <w:rsid w:val="00477E77"/>
    <w:rsid w:val="004C4A2A"/>
    <w:rsid w:val="004C5934"/>
    <w:rsid w:val="004E1D3D"/>
    <w:rsid w:val="004F77AA"/>
    <w:rsid w:val="00502AAC"/>
    <w:rsid w:val="00524596"/>
    <w:rsid w:val="00541213"/>
    <w:rsid w:val="00546218"/>
    <w:rsid w:val="005653A9"/>
    <w:rsid w:val="005770B2"/>
    <w:rsid w:val="00585A5B"/>
    <w:rsid w:val="0059048A"/>
    <w:rsid w:val="005912BE"/>
    <w:rsid w:val="005A00A1"/>
    <w:rsid w:val="005C791D"/>
    <w:rsid w:val="005F794B"/>
    <w:rsid w:val="00611CC1"/>
    <w:rsid w:val="00681358"/>
    <w:rsid w:val="00682A1B"/>
    <w:rsid w:val="00686A7B"/>
    <w:rsid w:val="006A266A"/>
    <w:rsid w:val="006E1ECA"/>
    <w:rsid w:val="00703D25"/>
    <w:rsid w:val="00723BAC"/>
    <w:rsid w:val="00792C2A"/>
    <w:rsid w:val="007A05BE"/>
    <w:rsid w:val="007B5975"/>
    <w:rsid w:val="007B6A40"/>
    <w:rsid w:val="007C129B"/>
    <w:rsid w:val="007E6282"/>
    <w:rsid w:val="007E6709"/>
    <w:rsid w:val="007E6C41"/>
    <w:rsid w:val="007F0C75"/>
    <w:rsid w:val="008067A1"/>
    <w:rsid w:val="00832CB8"/>
    <w:rsid w:val="00832D11"/>
    <w:rsid w:val="008456D5"/>
    <w:rsid w:val="0084634B"/>
    <w:rsid w:val="00852781"/>
    <w:rsid w:val="00861858"/>
    <w:rsid w:val="00874245"/>
    <w:rsid w:val="008743FF"/>
    <w:rsid w:val="00877CAD"/>
    <w:rsid w:val="00887502"/>
    <w:rsid w:val="008A165F"/>
    <w:rsid w:val="008A1887"/>
    <w:rsid w:val="008B6A81"/>
    <w:rsid w:val="008D096D"/>
    <w:rsid w:val="008E2A0D"/>
    <w:rsid w:val="009108CB"/>
    <w:rsid w:val="009434B4"/>
    <w:rsid w:val="00945569"/>
    <w:rsid w:val="009619CC"/>
    <w:rsid w:val="009909EC"/>
    <w:rsid w:val="00990FBA"/>
    <w:rsid w:val="00996B8C"/>
    <w:rsid w:val="009B00F2"/>
    <w:rsid w:val="00A070A2"/>
    <w:rsid w:val="00A146EE"/>
    <w:rsid w:val="00A54268"/>
    <w:rsid w:val="00A55479"/>
    <w:rsid w:val="00A6643D"/>
    <w:rsid w:val="00A95970"/>
    <w:rsid w:val="00AA6FC1"/>
    <w:rsid w:val="00AB424D"/>
    <w:rsid w:val="00AB6687"/>
    <w:rsid w:val="00AC4B96"/>
    <w:rsid w:val="00AD4651"/>
    <w:rsid w:val="00AD7703"/>
    <w:rsid w:val="00AE74FE"/>
    <w:rsid w:val="00B0484D"/>
    <w:rsid w:val="00B14AEF"/>
    <w:rsid w:val="00B42AC2"/>
    <w:rsid w:val="00B82F46"/>
    <w:rsid w:val="00BB3AAC"/>
    <w:rsid w:val="00BE3AD8"/>
    <w:rsid w:val="00C00DAA"/>
    <w:rsid w:val="00C359B2"/>
    <w:rsid w:val="00C44B8D"/>
    <w:rsid w:val="00C60276"/>
    <w:rsid w:val="00C631E1"/>
    <w:rsid w:val="00C64966"/>
    <w:rsid w:val="00C83CBE"/>
    <w:rsid w:val="00CD233E"/>
    <w:rsid w:val="00CD3B59"/>
    <w:rsid w:val="00CE5313"/>
    <w:rsid w:val="00CF6CFD"/>
    <w:rsid w:val="00D02062"/>
    <w:rsid w:val="00D5655E"/>
    <w:rsid w:val="00DE4362"/>
    <w:rsid w:val="00DE4FE2"/>
    <w:rsid w:val="00E04908"/>
    <w:rsid w:val="00E11C4D"/>
    <w:rsid w:val="00E2218A"/>
    <w:rsid w:val="00E344C1"/>
    <w:rsid w:val="00E610F5"/>
    <w:rsid w:val="00E90C6D"/>
    <w:rsid w:val="00E94FDD"/>
    <w:rsid w:val="00E95BA5"/>
    <w:rsid w:val="00EC3441"/>
    <w:rsid w:val="00EC598D"/>
    <w:rsid w:val="00F01819"/>
    <w:rsid w:val="00F045D8"/>
    <w:rsid w:val="00F11869"/>
    <w:rsid w:val="00F13D2F"/>
    <w:rsid w:val="00F1428D"/>
    <w:rsid w:val="00F3064C"/>
    <w:rsid w:val="00F30D18"/>
    <w:rsid w:val="00F67CDB"/>
    <w:rsid w:val="00F962B2"/>
    <w:rsid w:val="00FC32B2"/>
    <w:rsid w:val="00FC34AF"/>
    <w:rsid w:val="00FD2A6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AA2"/>
    <w:pPr>
      <w:suppressAutoHyphens/>
    </w:pPr>
    <w:rPr>
      <w:kern w:val="12"/>
      <w:sz w:val="22"/>
    </w:rPr>
  </w:style>
  <w:style w:type="paragraph" w:styleId="Heading1">
    <w:name w:val="heading 1"/>
    <w:basedOn w:val="Subtitle"/>
    <w:next w:val="Normal"/>
    <w:link w:val="Heading1Char"/>
    <w:uiPriority w:val="9"/>
    <w:qFormat/>
    <w:rsid w:val="005770B2"/>
    <w:pPr>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996B8C"/>
    <w:pPr>
      <w:keepNext/>
      <w:keepLines/>
      <w:spacing w:before="24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qFormat/>
    <w:rsid w:val="005F794B"/>
    <w:pPr>
      <w:keepNext/>
      <w:keepLines/>
      <w:spacing w:before="24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723BAC"/>
    <w:pPr>
      <w:suppressAutoHyphens/>
      <w:spacing w:after="0"/>
      <w:contextualSpacing/>
    </w:pPr>
    <w:rPr>
      <w:rFonts w:ascii="Calibri" w:hAnsi="Calibri"/>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3064C"/>
    <w:pPr>
      <w:spacing w:after="0"/>
      <w:ind w:left="284" w:hanging="284"/>
    </w:pPr>
    <w:rPr>
      <w:rFonts w:ascii="Calibri" w:eastAsiaTheme="minorEastAsia" w:hAnsi="Calibri"/>
      <w:sz w:val="20"/>
    </w:rPr>
  </w:style>
  <w:style w:type="character" w:customStyle="1" w:styleId="FootnoteTextChar">
    <w:name w:val="Footnote Text Char"/>
    <w:basedOn w:val="DefaultParagraphFont"/>
    <w:link w:val="FootnoteText"/>
    <w:uiPriority w:val="99"/>
    <w:rsid w:val="00F3064C"/>
    <w:rPr>
      <w:rFonts w:ascii="Calibri" w:eastAsiaTheme="minorEastAsia" w:hAnsi="Calibri"/>
      <w:kern w:val="12"/>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770B2"/>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F3064C"/>
    <w:pPr>
      <w:keepNext/>
      <w:spacing w:before="120" w:after="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0E3567"/>
    <w:pPr>
      <w:spacing w:line="240" w:lineRule="auto"/>
    </w:pPr>
    <w:rPr>
      <w:sz w:val="20"/>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paragraph" w:styleId="ListParagraph">
    <w:name w:val="List Paragraph"/>
    <w:basedOn w:val="Normal"/>
    <w:uiPriority w:val="34"/>
    <w:qFormat/>
    <w:rsid w:val="00C60276"/>
    <w:pPr>
      <w:suppressAutoHyphens w:val="0"/>
      <w:ind w:left="720"/>
      <w:contextualSpacing/>
    </w:pPr>
    <w:rPr>
      <w:color w:val="auto"/>
      <w:kern w:val="0"/>
      <w:szCs w:val="22"/>
    </w:rPr>
  </w:style>
  <w:style w:type="character" w:styleId="CommentReference">
    <w:name w:val="annotation reference"/>
    <w:basedOn w:val="DefaultParagraphFont"/>
    <w:uiPriority w:val="99"/>
    <w:semiHidden/>
    <w:unhideWhenUsed/>
    <w:rsid w:val="00C60276"/>
    <w:rPr>
      <w:sz w:val="16"/>
      <w:szCs w:val="16"/>
    </w:rPr>
  </w:style>
  <w:style w:type="paragraph" w:styleId="CommentText">
    <w:name w:val="annotation text"/>
    <w:basedOn w:val="Normal"/>
    <w:link w:val="CommentTextChar"/>
    <w:uiPriority w:val="99"/>
    <w:semiHidden/>
    <w:unhideWhenUsed/>
    <w:rsid w:val="00C60276"/>
    <w:pPr>
      <w:suppressAutoHyphens w:val="0"/>
    </w:pPr>
    <w:rPr>
      <w:color w:val="auto"/>
      <w:kern w:val="0"/>
    </w:rPr>
  </w:style>
  <w:style w:type="character" w:customStyle="1" w:styleId="CommentTextChar">
    <w:name w:val="Comment Text Char"/>
    <w:basedOn w:val="DefaultParagraphFont"/>
    <w:link w:val="CommentText"/>
    <w:uiPriority w:val="99"/>
    <w:semiHidden/>
    <w:rsid w:val="00C60276"/>
    <w:rPr>
      <w:color w:val="auto"/>
    </w:rPr>
  </w:style>
  <w:style w:type="paragraph" w:styleId="BalloonText">
    <w:name w:val="Balloon Text"/>
    <w:basedOn w:val="Normal"/>
    <w:link w:val="BalloonTextChar"/>
    <w:uiPriority w:val="99"/>
    <w:semiHidden/>
    <w:unhideWhenUsed/>
    <w:rsid w:val="00C60276"/>
    <w:pPr>
      <w:suppressAutoHyphens w:val="0"/>
      <w:spacing w:after="0"/>
    </w:pPr>
    <w:rPr>
      <w:rFonts w:ascii="Segoe UI" w:hAnsi="Segoe UI" w:cs="Segoe UI"/>
      <w:color w:val="auto"/>
      <w:kern w:val="0"/>
      <w:sz w:val="18"/>
      <w:szCs w:val="18"/>
    </w:rPr>
  </w:style>
  <w:style w:type="character" w:customStyle="1" w:styleId="BalloonTextChar">
    <w:name w:val="Balloon Text Char"/>
    <w:basedOn w:val="DefaultParagraphFont"/>
    <w:link w:val="BalloonText"/>
    <w:uiPriority w:val="99"/>
    <w:semiHidden/>
    <w:rsid w:val="00C60276"/>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C60276"/>
    <w:rPr>
      <w:b/>
      <w:bCs/>
    </w:rPr>
  </w:style>
  <w:style w:type="character" w:customStyle="1" w:styleId="CommentSubjectChar">
    <w:name w:val="Comment Subject Char"/>
    <w:basedOn w:val="CommentTextChar"/>
    <w:link w:val="CommentSubject"/>
    <w:uiPriority w:val="99"/>
    <w:semiHidden/>
    <w:rsid w:val="00C60276"/>
    <w:rPr>
      <w:b/>
      <w:bCs/>
      <w:color w:val="auto"/>
    </w:rPr>
  </w:style>
  <w:style w:type="paragraph" w:styleId="Revision">
    <w:name w:val="Revision"/>
    <w:hidden/>
    <w:uiPriority w:val="99"/>
    <w:semiHidden/>
    <w:rsid w:val="00C60276"/>
    <w:pPr>
      <w:spacing w:after="0"/>
    </w:pPr>
    <w:rPr>
      <w:color w:val="auto"/>
      <w:sz w:val="22"/>
      <w:szCs w:val="22"/>
    </w:rPr>
  </w:style>
  <w:style w:type="paragraph" w:customStyle="1" w:styleId="Default">
    <w:name w:val="Default"/>
    <w:rsid w:val="00C60276"/>
    <w:pPr>
      <w:autoSpaceDE w:val="0"/>
      <w:autoSpaceDN w:val="0"/>
      <w:adjustRightInd w:val="0"/>
      <w:spacing w:after="0"/>
    </w:pPr>
    <w:rPr>
      <w:rFonts w:ascii="Calibri" w:hAnsi="Calibri" w:cs="Calibri"/>
      <w:color w:val="000000"/>
      <w:sz w:val="24"/>
      <w:szCs w:val="24"/>
    </w:rPr>
  </w:style>
  <w:style w:type="paragraph" w:styleId="PlainText">
    <w:name w:val="Plain Text"/>
    <w:basedOn w:val="Normal"/>
    <w:link w:val="PlainTextChar"/>
    <w:uiPriority w:val="99"/>
    <w:semiHidden/>
    <w:unhideWhenUsed/>
    <w:rsid w:val="00C60276"/>
    <w:pPr>
      <w:suppressAutoHyphens w:val="0"/>
      <w:spacing w:after="0"/>
    </w:pPr>
    <w:rPr>
      <w:rFonts w:ascii="Calibri" w:hAnsi="Calibri"/>
      <w:color w:val="auto"/>
      <w:kern w:val="0"/>
      <w:szCs w:val="21"/>
    </w:rPr>
  </w:style>
  <w:style w:type="character" w:customStyle="1" w:styleId="PlainTextChar">
    <w:name w:val="Plain Text Char"/>
    <w:basedOn w:val="DefaultParagraphFont"/>
    <w:link w:val="PlainText"/>
    <w:uiPriority w:val="99"/>
    <w:semiHidden/>
    <w:rsid w:val="00C60276"/>
    <w:rPr>
      <w:rFonts w:ascii="Calibri" w:hAnsi="Calibri"/>
      <w:color w:val="auto"/>
      <w:sz w:val="22"/>
      <w:szCs w:val="21"/>
    </w:rPr>
  </w:style>
  <w:style w:type="character" w:customStyle="1" w:styleId="cf01">
    <w:name w:val="cf01"/>
    <w:basedOn w:val="DefaultParagraphFont"/>
    <w:rsid w:val="00C60276"/>
    <w:rPr>
      <w:rFonts w:ascii="Segoe UI" w:hAnsi="Segoe UI" w:cs="Segoe UI" w:hint="default"/>
      <w:sz w:val="18"/>
      <w:szCs w:val="18"/>
    </w:rPr>
  </w:style>
  <w:style w:type="paragraph" w:customStyle="1" w:styleId="normal-12ptbefore">
    <w:name w:val="normal - 12 pt before"/>
    <w:basedOn w:val="Normal"/>
    <w:qFormat/>
    <w:rsid w:val="00295254"/>
    <w:pPr>
      <w:spacing w:before="240"/>
    </w:pPr>
  </w:style>
  <w:style w:type="paragraph" w:customStyle="1" w:styleId="nospacing-centred">
    <w:name w:val="no spacing - centred"/>
    <w:basedOn w:val="NoSpacing"/>
    <w:qFormat/>
    <w:rsid w:val="00AB424D"/>
    <w:pPr>
      <w:spacing w:before="40" w:after="40" w:line="240" w:lineRule="auto"/>
      <w:jc w:val="center"/>
    </w:pPr>
    <w:rPr>
      <w:sz w:val="22"/>
    </w:rPr>
  </w:style>
  <w:style w:type="paragraph" w:customStyle="1" w:styleId="tablecolumnheading">
    <w:name w:val="table column heading"/>
    <w:basedOn w:val="Normal"/>
    <w:qFormat/>
    <w:rsid w:val="00AA6FC1"/>
    <w:pPr>
      <w:spacing w:before="80" w:after="80" w:line="240" w:lineRule="auto"/>
    </w:pPr>
    <w:rPr>
      <w:rFonts w:asciiTheme="majorHAnsi" w:eastAsiaTheme="majorEastAsia" w:hAnsiTheme="majorHAnsi"/>
      <w:b/>
      <w:color w:val="FFFFFF" w:themeColor="background1"/>
    </w:rPr>
  </w:style>
  <w:style w:type="paragraph" w:customStyle="1" w:styleId="tablecolumnheading-centred">
    <w:name w:val="table column heading - centred"/>
    <w:basedOn w:val="tablecolumnheading"/>
    <w:qFormat/>
    <w:rsid w:val="00AA6FC1"/>
    <w:pPr>
      <w:jc w:val="center"/>
    </w:pPr>
    <w:rPr>
      <w:color w:val="F2F2F2" w:themeColor="background1" w:themeShade="F2"/>
    </w:rPr>
  </w:style>
  <w:style w:type="paragraph" w:customStyle="1" w:styleId="nospacing-leftalign">
    <w:name w:val="no spacing - left align"/>
    <w:basedOn w:val="nospacing-centred"/>
    <w:qFormat/>
    <w:rsid w:val="00AB424D"/>
    <w:pPr>
      <w:jc w:val="left"/>
    </w:pPr>
    <w:rPr>
      <w:b/>
    </w:rPr>
  </w:style>
  <w:style w:type="character" w:styleId="UnresolvedMention">
    <w:name w:val="Unresolved Mention"/>
    <w:basedOn w:val="DefaultParagraphFont"/>
    <w:uiPriority w:val="99"/>
    <w:semiHidden/>
    <w:unhideWhenUsed/>
    <w:rsid w:val="00266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0C78A3-5127-47FA-8BCC-AC1ED85A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4723</Words>
  <Characters>26924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Alternative Voice Services Trials—Summary Report to 31 December 2021</vt:lpstr>
    </vt:vector>
  </TitlesOfParts>
  <Manager/>
  <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Voice Services Trials—Summary Report to 31 December 2021</dc:title>
  <dc:subject/>
  <dc:creator/>
  <cp:keywords/>
  <dc:description/>
  <cp:lastModifiedBy/>
  <cp:revision>1</cp:revision>
  <dcterms:created xsi:type="dcterms:W3CDTF">2022-07-11T04:43:00Z</dcterms:created>
  <dcterms:modified xsi:type="dcterms:W3CDTF">2022-07-12T01:55:00Z</dcterms:modified>
</cp:coreProperties>
</file>