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0D92C5" w14:textId="77777777" w:rsidR="00567FAF" w:rsidRDefault="00D078C5" w:rsidP="00297528">
      <w:pPr>
        <w:ind w:left="-1418"/>
        <w:sectPr w:rsidR="00567FAF" w:rsidSect="0084603E">
          <w:footerReference w:type="default" r:id="rId11"/>
          <w:pgSz w:w="11906" w:h="16838"/>
          <w:pgMar w:top="0" w:right="1440" w:bottom="1440" w:left="1440" w:header="0" w:footer="0" w:gutter="0"/>
          <w:cols w:space="708"/>
          <w:docGrid w:linePitch="360"/>
        </w:sectPr>
      </w:pPr>
      <w:bookmarkStart w:id="0" w:name="_GoBack"/>
      <w:bookmarkEnd w:id="0"/>
      <w:r>
        <w:rPr>
          <w:noProof/>
          <w:lang w:eastAsia="en-AU"/>
        </w:rPr>
        <w:drawing>
          <wp:inline distT="0" distB="0" distL="0" distR="0" wp14:anchorId="7A0D9336" wp14:editId="7A0D9337">
            <wp:extent cx="7535545" cy="1347470"/>
            <wp:effectExtent l="0" t="0" r="8255" b="5080"/>
            <wp:docPr id="3" name="Picture 3" descr="Logo: Australian Government, Department of Communications and the Arts.&#10;http://www.communications.gov.au&#10;http://arts.gov.au&#10;&#10;GPO Box 2154, Canberra ACT 2601 Australia.&#10;Telephone 02 6271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35545" cy="1347470"/>
                    </a:xfrm>
                    <a:prstGeom prst="rect">
                      <a:avLst/>
                    </a:prstGeom>
                    <a:noFill/>
                  </pic:spPr>
                </pic:pic>
              </a:graphicData>
            </a:graphic>
          </wp:inline>
        </w:drawing>
      </w:r>
    </w:p>
    <w:p w14:paraId="7A0D92C6" w14:textId="77777777" w:rsidR="00A7176A" w:rsidRDefault="00D078C5" w:rsidP="00C61D2E">
      <w:pPr>
        <w:pStyle w:val="Heading1"/>
      </w:pPr>
      <w:r>
        <w:t xml:space="preserve">Consumer representation: Review of </w:t>
      </w:r>
      <w:r w:rsidRPr="00165B63">
        <w:t xml:space="preserve">section 593 of the </w:t>
      </w:r>
      <w:r w:rsidRPr="00165B63">
        <w:rPr>
          <w:i/>
        </w:rPr>
        <w:t>Telecommunications Act 1997</w:t>
      </w:r>
    </w:p>
    <w:p w14:paraId="7A0D92C7" w14:textId="77777777" w:rsidR="00A7176A" w:rsidRPr="005621D9" w:rsidRDefault="00D078C5" w:rsidP="00A7176A">
      <w:pPr>
        <w:pStyle w:val="subtitleofdocument"/>
      </w:pPr>
      <w:r>
        <w:t>Issues paper</w:t>
      </w:r>
    </w:p>
    <w:p w14:paraId="7A0D92C8" w14:textId="77777777" w:rsidR="00A7176A" w:rsidRPr="005621D9" w:rsidRDefault="006A4010" w:rsidP="00A7176A">
      <w:pPr>
        <w:pStyle w:val="Normal-monthyearforcoverpage"/>
      </w:pPr>
      <w:r>
        <w:t>October</w:t>
      </w:r>
      <w:r w:rsidR="00D078C5">
        <w:t xml:space="preserve"> 2016</w:t>
      </w:r>
    </w:p>
    <w:p w14:paraId="7A0D92C9" w14:textId="77777777" w:rsidR="00A7176A" w:rsidRDefault="00D078C5" w:rsidP="00A7176A">
      <w:r>
        <w:br w:type="page"/>
      </w:r>
    </w:p>
    <w:p w14:paraId="7A0D92CA" w14:textId="77777777" w:rsidR="00A7176A" w:rsidRPr="0009516A" w:rsidRDefault="00D078C5" w:rsidP="00A7176A">
      <w:pPr>
        <w:pStyle w:val="Heading2-notshowingincontentsindocument"/>
      </w:pPr>
      <w:r>
        <w:lastRenderedPageBreak/>
        <w:t>Disclaimer</w:t>
      </w:r>
    </w:p>
    <w:p w14:paraId="7A0D92CB" w14:textId="77777777" w:rsidR="00A7176A" w:rsidRPr="006628F3" w:rsidRDefault="00D078C5" w:rsidP="00A7176A">
      <w:r w:rsidRPr="006628F3">
        <w:t>The material in this</w:t>
      </w:r>
      <w:r>
        <w:t xml:space="preserve"> issues paper</w:t>
      </w:r>
      <w:r w:rsidRPr="006628F3">
        <w:t xml:space="preserve"> is of a general nature and should not be regarded as legal advice or relied on for assistance in any particular circumstance or emergency situation. In any important matter, you should seek appropriate independent professional advice in relation to your own circumstances.</w:t>
      </w:r>
    </w:p>
    <w:p w14:paraId="7A0D92CC" w14:textId="77777777" w:rsidR="00A7176A" w:rsidRPr="006628F3" w:rsidRDefault="00D078C5" w:rsidP="00A7176A">
      <w:r w:rsidRPr="006628F3">
        <w:t xml:space="preserve">The Commonwealth accepts no responsibility or liability for any damage, loss or expense incurred as a result of the reliance on information contained in this </w:t>
      </w:r>
      <w:r>
        <w:t>issues paper</w:t>
      </w:r>
      <w:r w:rsidRPr="006628F3">
        <w:t>.</w:t>
      </w:r>
    </w:p>
    <w:p w14:paraId="7A0D92CD" w14:textId="77777777" w:rsidR="00A7176A" w:rsidRPr="006628F3" w:rsidRDefault="00D078C5" w:rsidP="00A7176A">
      <w:r w:rsidRPr="006628F3">
        <w:t xml:space="preserve">This </w:t>
      </w:r>
      <w:r>
        <w:t>issues paper</w:t>
      </w:r>
      <w:r w:rsidRPr="006628F3">
        <w:t xml:space="preserve"> has been prepared for consultation purposes only and does not indicate the Commonwealth’s commitment to a particular course of action. Additionally, any third party views or recommendations included in this </w:t>
      </w:r>
      <w:r>
        <w:t>issues paper</w:t>
      </w:r>
      <w:r w:rsidRPr="006628F3">
        <w:t xml:space="preserve"> do not reflect the views of the Commonwealth, or indicate its commitment to a particular course of action.</w:t>
      </w:r>
    </w:p>
    <w:p w14:paraId="7A0D92CE" w14:textId="77777777" w:rsidR="00A7176A" w:rsidRPr="0009516A" w:rsidRDefault="00D078C5" w:rsidP="00A7176A">
      <w:pPr>
        <w:pStyle w:val="Heading2-notshowingincontentsindocument"/>
      </w:pPr>
      <w:r w:rsidRPr="0009516A">
        <w:t>Co</w:t>
      </w:r>
      <w:r>
        <w:t>pyright</w:t>
      </w:r>
    </w:p>
    <w:p w14:paraId="7A0D92CF" w14:textId="77777777" w:rsidR="00A7176A" w:rsidRPr="006628F3" w:rsidRDefault="00D078C5" w:rsidP="00A7176A">
      <w:r w:rsidRPr="006628F3">
        <w:t xml:space="preserve">© Commonwealth of Australia </w:t>
      </w:r>
      <w:r w:rsidRPr="006C2FC4">
        <w:t>2016</w:t>
      </w:r>
    </w:p>
    <w:p w14:paraId="7A0D92D0" w14:textId="77777777" w:rsidR="00A7176A" w:rsidRPr="006628F3" w:rsidRDefault="00D078C5" w:rsidP="00A7176A">
      <w:r w:rsidRPr="006628F3">
        <w:rPr>
          <w:noProof/>
          <w:lang w:eastAsia="en-AU"/>
        </w:rPr>
        <w:drawing>
          <wp:inline distT="0" distB="0" distL="0" distR="0" wp14:anchorId="7A0D9338" wp14:editId="7A0D9339">
            <wp:extent cx="836930" cy="293370"/>
            <wp:effectExtent l="0" t="0" r="1270" b="0"/>
            <wp:docPr id="14" name="Picture 14" descr="Logo: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3" r:link="rId14">
                      <a:extLst>
                        <a:ext uri="{28A0092B-C50C-407E-A947-70E740481C1C}">
                          <a14:useLocalDpi xmlns:a14="http://schemas.microsoft.com/office/drawing/2010/main" val="0"/>
                        </a:ext>
                      </a:extLst>
                    </a:blip>
                    <a:stretch>
                      <a:fillRect/>
                    </a:stretch>
                  </pic:blipFill>
                  <pic:spPr bwMode="auto">
                    <a:xfrm>
                      <a:off x="0" y="0"/>
                      <a:ext cx="836930" cy="293370"/>
                    </a:xfrm>
                    <a:prstGeom prst="rect">
                      <a:avLst/>
                    </a:prstGeom>
                    <a:noFill/>
                    <a:ln>
                      <a:noFill/>
                    </a:ln>
                  </pic:spPr>
                </pic:pic>
              </a:graphicData>
            </a:graphic>
          </wp:inline>
        </w:drawing>
      </w:r>
      <w:r w:rsidRPr="006628F3">
        <w:t>  The material in this discussion paper is licensed under a Creative Commons Attribution—3.0 Australia license, with the exception of:</w:t>
      </w:r>
    </w:p>
    <w:p w14:paraId="7A0D92D1" w14:textId="77777777" w:rsidR="00A7176A" w:rsidRPr="006628F3" w:rsidRDefault="00D078C5" w:rsidP="00A7176A">
      <w:pPr>
        <w:pStyle w:val="Bulletlevel1"/>
      </w:pPr>
      <w:r>
        <w:t>the Commonwealth Coat of Arms</w:t>
      </w:r>
    </w:p>
    <w:p w14:paraId="7A0D92D2" w14:textId="77777777" w:rsidR="00A7176A" w:rsidRPr="006628F3" w:rsidRDefault="00D078C5" w:rsidP="00A7176A">
      <w:pPr>
        <w:pStyle w:val="Bulletlevel1"/>
      </w:pPr>
      <w:r w:rsidRPr="006628F3">
        <w:t>this Department’s logo</w:t>
      </w:r>
    </w:p>
    <w:p w14:paraId="7A0D92D3" w14:textId="77777777" w:rsidR="00A7176A" w:rsidRPr="006628F3" w:rsidRDefault="00D078C5" w:rsidP="00A7176A">
      <w:pPr>
        <w:pStyle w:val="Bulletlevel1"/>
      </w:pPr>
      <w:r w:rsidRPr="006628F3">
        <w:t>any third party material</w:t>
      </w:r>
    </w:p>
    <w:p w14:paraId="7A0D92D4" w14:textId="77777777" w:rsidR="00A7176A" w:rsidRPr="006628F3" w:rsidRDefault="00D078C5" w:rsidP="00A7176A">
      <w:pPr>
        <w:pStyle w:val="Bulletlevel1"/>
      </w:pPr>
      <w:r w:rsidRPr="006628F3">
        <w:t>any material protected by a trademark</w:t>
      </w:r>
      <w:r>
        <w:t>,</w:t>
      </w:r>
      <w:r w:rsidRPr="006628F3">
        <w:t xml:space="preserve"> and</w:t>
      </w:r>
    </w:p>
    <w:p w14:paraId="7A0D92D5" w14:textId="77777777" w:rsidR="00A7176A" w:rsidRPr="006628F3" w:rsidRDefault="00D078C5" w:rsidP="00A7176A">
      <w:pPr>
        <w:pStyle w:val="Bulletlevel1"/>
      </w:pPr>
      <w:proofErr w:type="gramStart"/>
      <w:r w:rsidRPr="006628F3">
        <w:t>any</w:t>
      </w:r>
      <w:proofErr w:type="gramEnd"/>
      <w:r w:rsidRPr="006628F3">
        <w:t xml:space="preserve"> images and/or photographs.</w:t>
      </w:r>
    </w:p>
    <w:p w14:paraId="7A0D92D6" w14:textId="77777777" w:rsidR="00A7176A" w:rsidRPr="006628F3" w:rsidRDefault="00D078C5" w:rsidP="00A7176A">
      <w:r w:rsidRPr="006628F3">
        <w:t xml:space="preserve">More information on this CC BY license is set out at the creative commons website: </w:t>
      </w:r>
      <w:hyperlink r:id="rId15" w:history="1">
        <w:r w:rsidRPr="006628F3">
          <w:rPr>
            <w:rStyle w:val="Hyperlink"/>
          </w:rPr>
          <w:t>www.creativecommons.org/licenses/by/3.0/au/</w:t>
        </w:r>
      </w:hyperlink>
      <w:r w:rsidRPr="006628F3">
        <w:t xml:space="preserve">. Enquiries about this license and any use of this discussion paper can be sent to: </w:t>
      </w:r>
      <w:r w:rsidRPr="003B123D">
        <w:t>Public Interest and NBN Migration</w:t>
      </w:r>
      <w:r w:rsidRPr="006628F3">
        <w:t xml:space="preserve">, Department of Communications </w:t>
      </w:r>
      <w:r>
        <w:t>and the Arts, PO Box 13310</w:t>
      </w:r>
      <w:r w:rsidRPr="006628F3">
        <w:t>,</w:t>
      </w:r>
      <w:r>
        <w:t xml:space="preserve"> Law Courts, Melbourne VIC 8010</w:t>
      </w:r>
      <w:r w:rsidRPr="006628F3">
        <w:t>.</w:t>
      </w:r>
    </w:p>
    <w:p w14:paraId="7A0D92D7" w14:textId="77777777" w:rsidR="00A7176A" w:rsidRPr="0009516A" w:rsidRDefault="00D078C5" w:rsidP="00A7176A">
      <w:pPr>
        <w:pStyle w:val="Heading3-notshowingincontentsindocument"/>
      </w:pPr>
      <w:r w:rsidRPr="0009516A">
        <w:t>Attribution</w:t>
      </w:r>
    </w:p>
    <w:p w14:paraId="7A0D92D8" w14:textId="77777777" w:rsidR="00A7176A" w:rsidRPr="006628F3" w:rsidRDefault="00D078C5" w:rsidP="00A7176A">
      <w:r w:rsidRPr="006628F3">
        <w:t xml:space="preserve">Use of all or part of this </w:t>
      </w:r>
      <w:r>
        <w:t>issues paper</w:t>
      </w:r>
      <w:r w:rsidRPr="006628F3">
        <w:t xml:space="preserve"> must include the following attribution:</w:t>
      </w:r>
    </w:p>
    <w:p w14:paraId="7A0D92D9" w14:textId="77777777" w:rsidR="00A7176A" w:rsidRDefault="00D078C5" w:rsidP="00A7176A">
      <w:pPr>
        <w:ind w:left="567"/>
      </w:pPr>
      <w:r w:rsidRPr="006628F3">
        <w:t xml:space="preserve">© Commonwealth of Australia </w:t>
      </w:r>
      <w:r w:rsidRPr="006C2FC4">
        <w:t>2016</w:t>
      </w:r>
    </w:p>
    <w:p w14:paraId="7A0D92DA" w14:textId="77777777" w:rsidR="00A7176A" w:rsidRPr="0009516A" w:rsidRDefault="00D078C5" w:rsidP="00A7176A">
      <w:pPr>
        <w:pStyle w:val="Heading3-notshowingincontentsindocument"/>
      </w:pPr>
      <w:bookmarkStart w:id="1" w:name="_Toc356292524"/>
      <w:r w:rsidRPr="0009516A">
        <w:t>Using the Commonwealth Coat of Arms</w:t>
      </w:r>
      <w:bookmarkEnd w:id="1"/>
    </w:p>
    <w:p w14:paraId="7A0D92DB" w14:textId="77777777" w:rsidR="00A7176A" w:rsidRPr="006628F3" w:rsidRDefault="00D078C5" w:rsidP="00A7176A">
      <w:bookmarkStart w:id="2" w:name="_Toc356292525"/>
      <w:r w:rsidRPr="006628F3">
        <w:t xml:space="preserve">The terms of use for the Coat of Arms are available from the It’s an Honour website </w:t>
      </w:r>
      <w:r w:rsidRPr="006628F3">
        <w:br/>
        <w:t xml:space="preserve">(see </w:t>
      </w:r>
      <w:bookmarkEnd w:id="2"/>
      <w:r w:rsidRPr="006628F3">
        <w:fldChar w:fldCharType="begin"/>
      </w:r>
      <w:r w:rsidRPr="006628F3">
        <w:instrText xml:space="preserve"> HYPERLINK "http://www.itsanhonour.gov.au/" </w:instrText>
      </w:r>
      <w:r w:rsidRPr="006628F3">
        <w:fldChar w:fldCharType="separate"/>
      </w:r>
      <w:r w:rsidRPr="006628F3">
        <w:rPr>
          <w:rStyle w:val="Hyperlink"/>
        </w:rPr>
        <w:t>www.itsanhonour.gov.au</w:t>
      </w:r>
      <w:r w:rsidRPr="006628F3">
        <w:fldChar w:fldCharType="end"/>
      </w:r>
      <w:r w:rsidRPr="006628F3">
        <w:t xml:space="preserve"> and click ‘Commonwealth Coat of Arms’).</w:t>
      </w:r>
    </w:p>
    <w:p w14:paraId="7A0D92DC" w14:textId="77777777" w:rsidR="00A7176A" w:rsidRDefault="00D078C5" w:rsidP="00A7176A">
      <w:r>
        <w:br w:type="page"/>
      </w:r>
    </w:p>
    <w:p w14:paraId="7A0D92DD" w14:textId="77777777" w:rsidR="00A7176A" w:rsidRPr="0009516A" w:rsidRDefault="00D078C5" w:rsidP="00A7176A">
      <w:pPr>
        <w:pStyle w:val="Heading2-notshowingincontentsindocument"/>
      </w:pPr>
      <w:r w:rsidRPr="0009516A">
        <w:lastRenderedPageBreak/>
        <w:t>Contents</w:t>
      </w:r>
    </w:p>
    <w:p w14:paraId="66E716C9" w14:textId="77777777" w:rsidR="00AF23C1" w:rsidRDefault="00D078C5">
      <w:pPr>
        <w:pStyle w:val="TOC1"/>
        <w:tabs>
          <w:tab w:val="right" w:leader="dot" w:pos="9323"/>
        </w:tabs>
        <w:rPr>
          <w:rFonts w:eastAsiaTheme="minorEastAsia"/>
          <w:b w:val="0"/>
          <w:noProof/>
          <w:color w:val="auto"/>
          <w:sz w:val="22"/>
          <w:lang w:eastAsia="en-AU"/>
        </w:rPr>
      </w:pPr>
      <w:r>
        <w:fldChar w:fldCharType="begin"/>
      </w:r>
      <w:r>
        <w:instrText xml:space="preserve"> TOC \h \z \u \t "Heading 2,1,Heading 3,2,Heading 4,3" </w:instrText>
      </w:r>
      <w:r>
        <w:fldChar w:fldCharType="separate"/>
      </w:r>
      <w:hyperlink w:anchor="_Toc464555876" w:history="1">
        <w:r w:rsidR="00AF23C1" w:rsidRPr="009B01BB">
          <w:rPr>
            <w:rStyle w:val="Hyperlink"/>
            <w:noProof/>
          </w:rPr>
          <w:t xml:space="preserve">Background to section 593 of the </w:t>
        </w:r>
        <w:r w:rsidR="00AF23C1" w:rsidRPr="009B01BB">
          <w:rPr>
            <w:rStyle w:val="Hyperlink"/>
            <w:i/>
            <w:noProof/>
          </w:rPr>
          <w:t>Telecommunications Act 1997</w:t>
        </w:r>
        <w:r w:rsidR="00AF23C1">
          <w:rPr>
            <w:noProof/>
            <w:webHidden/>
          </w:rPr>
          <w:tab/>
        </w:r>
        <w:r w:rsidR="00AF23C1">
          <w:rPr>
            <w:noProof/>
            <w:webHidden/>
          </w:rPr>
          <w:fldChar w:fldCharType="begin"/>
        </w:r>
        <w:r w:rsidR="00AF23C1">
          <w:rPr>
            <w:noProof/>
            <w:webHidden/>
          </w:rPr>
          <w:instrText xml:space="preserve"> PAGEREF _Toc464555876 \h </w:instrText>
        </w:r>
        <w:r w:rsidR="00AF23C1">
          <w:rPr>
            <w:noProof/>
            <w:webHidden/>
          </w:rPr>
        </w:r>
        <w:r w:rsidR="00AF23C1">
          <w:rPr>
            <w:noProof/>
            <w:webHidden/>
          </w:rPr>
          <w:fldChar w:fldCharType="separate"/>
        </w:r>
        <w:r w:rsidR="00AF23C1">
          <w:rPr>
            <w:noProof/>
            <w:webHidden/>
          </w:rPr>
          <w:t>4</w:t>
        </w:r>
        <w:r w:rsidR="00AF23C1">
          <w:rPr>
            <w:noProof/>
            <w:webHidden/>
          </w:rPr>
          <w:fldChar w:fldCharType="end"/>
        </w:r>
      </w:hyperlink>
    </w:p>
    <w:p w14:paraId="4A620877" w14:textId="77777777" w:rsidR="00AF23C1" w:rsidRDefault="00B36E67">
      <w:pPr>
        <w:pStyle w:val="TOC1"/>
        <w:tabs>
          <w:tab w:val="right" w:leader="dot" w:pos="9323"/>
        </w:tabs>
        <w:rPr>
          <w:rFonts w:eastAsiaTheme="minorEastAsia"/>
          <w:b w:val="0"/>
          <w:noProof/>
          <w:color w:val="auto"/>
          <w:sz w:val="22"/>
          <w:lang w:eastAsia="en-AU"/>
        </w:rPr>
      </w:pPr>
      <w:hyperlink w:anchor="_Toc464555877" w:history="1">
        <w:r w:rsidR="00AF23C1" w:rsidRPr="009B01BB">
          <w:rPr>
            <w:rStyle w:val="Hyperlink"/>
            <w:noProof/>
          </w:rPr>
          <w:t>Scope of review</w:t>
        </w:r>
        <w:r w:rsidR="00AF23C1">
          <w:rPr>
            <w:noProof/>
            <w:webHidden/>
          </w:rPr>
          <w:tab/>
        </w:r>
        <w:r w:rsidR="00AF23C1">
          <w:rPr>
            <w:noProof/>
            <w:webHidden/>
          </w:rPr>
          <w:fldChar w:fldCharType="begin"/>
        </w:r>
        <w:r w:rsidR="00AF23C1">
          <w:rPr>
            <w:noProof/>
            <w:webHidden/>
          </w:rPr>
          <w:instrText xml:space="preserve"> PAGEREF _Toc464555877 \h </w:instrText>
        </w:r>
        <w:r w:rsidR="00AF23C1">
          <w:rPr>
            <w:noProof/>
            <w:webHidden/>
          </w:rPr>
        </w:r>
        <w:r w:rsidR="00AF23C1">
          <w:rPr>
            <w:noProof/>
            <w:webHidden/>
          </w:rPr>
          <w:fldChar w:fldCharType="separate"/>
        </w:r>
        <w:r w:rsidR="00AF23C1">
          <w:rPr>
            <w:noProof/>
            <w:webHidden/>
          </w:rPr>
          <w:t>4</w:t>
        </w:r>
        <w:r w:rsidR="00AF23C1">
          <w:rPr>
            <w:noProof/>
            <w:webHidden/>
          </w:rPr>
          <w:fldChar w:fldCharType="end"/>
        </w:r>
      </w:hyperlink>
    </w:p>
    <w:p w14:paraId="2DEBA934" w14:textId="77777777" w:rsidR="00AF23C1" w:rsidRDefault="00B36E67">
      <w:pPr>
        <w:pStyle w:val="TOC1"/>
        <w:tabs>
          <w:tab w:val="right" w:leader="dot" w:pos="9323"/>
        </w:tabs>
        <w:rPr>
          <w:rFonts w:eastAsiaTheme="minorEastAsia"/>
          <w:b w:val="0"/>
          <w:noProof/>
          <w:color w:val="auto"/>
          <w:sz w:val="22"/>
          <w:lang w:eastAsia="en-AU"/>
        </w:rPr>
      </w:pPr>
      <w:hyperlink w:anchor="_Toc464555878" w:history="1">
        <w:r w:rsidR="00AF23C1" w:rsidRPr="009B01BB">
          <w:rPr>
            <w:rStyle w:val="Hyperlink"/>
            <w:noProof/>
          </w:rPr>
          <w:t>Issues</w:t>
        </w:r>
        <w:r w:rsidR="00AF23C1">
          <w:rPr>
            <w:noProof/>
            <w:webHidden/>
          </w:rPr>
          <w:tab/>
        </w:r>
        <w:r w:rsidR="00AF23C1">
          <w:rPr>
            <w:noProof/>
            <w:webHidden/>
          </w:rPr>
          <w:fldChar w:fldCharType="begin"/>
        </w:r>
        <w:r w:rsidR="00AF23C1">
          <w:rPr>
            <w:noProof/>
            <w:webHidden/>
          </w:rPr>
          <w:instrText xml:space="preserve"> PAGEREF _Toc464555878 \h </w:instrText>
        </w:r>
        <w:r w:rsidR="00AF23C1">
          <w:rPr>
            <w:noProof/>
            <w:webHidden/>
          </w:rPr>
        </w:r>
        <w:r w:rsidR="00AF23C1">
          <w:rPr>
            <w:noProof/>
            <w:webHidden/>
          </w:rPr>
          <w:fldChar w:fldCharType="separate"/>
        </w:r>
        <w:r w:rsidR="00AF23C1">
          <w:rPr>
            <w:noProof/>
            <w:webHidden/>
          </w:rPr>
          <w:t>6</w:t>
        </w:r>
        <w:r w:rsidR="00AF23C1">
          <w:rPr>
            <w:noProof/>
            <w:webHidden/>
          </w:rPr>
          <w:fldChar w:fldCharType="end"/>
        </w:r>
      </w:hyperlink>
    </w:p>
    <w:p w14:paraId="44C6FFEA" w14:textId="77777777" w:rsidR="00AF23C1" w:rsidRDefault="00B36E67">
      <w:pPr>
        <w:pStyle w:val="TOC2"/>
        <w:tabs>
          <w:tab w:val="right" w:leader="dot" w:pos="9323"/>
        </w:tabs>
        <w:rPr>
          <w:rFonts w:eastAsiaTheme="minorEastAsia"/>
          <w:noProof/>
          <w:lang w:eastAsia="en-AU"/>
        </w:rPr>
      </w:pPr>
      <w:hyperlink w:anchor="_Toc464555879" w:history="1">
        <w:r w:rsidR="00AF23C1" w:rsidRPr="009B01BB">
          <w:rPr>
            <w:rStyle w:val="Hyperlink"/>
            <w:noProof/>
          </w:rPr>
          <w:t>1. Consumer representation</w:t>
        </w:r>
        <w:r w:rsidR="00AF23C1">
          <w:rPr>
            <w:noProof/>
            <w:webHidden/>
          </w:rPr>
          <w:tab/>
        </w:r>
        <w:r w:rsidR="00AF23C1">
          <w:rPr>
            <w:noProof/>
            <w:webHidden/>
          </w:rPr>
          <w:fldChar w:fldCharType="begin"/>
        </w:r>
        <w:r w:rsidR="00AF23C1">
          <w:rPr>
            <w:noProof/>
            <w:webHidden/>
          </w:rPr>
          <w:instrText xml:space="preserve"> PAGEREF _Toc464555879 \h </w:instrText>
        </w:r>
        <w:r w:rsidR="00AF23C1">
          <w:rPr>
            <w:noProof/>
            <w:webHidden/>
          </w:rPr>
        </w:r>
        <w:r w:rsidR="00AF23C1">
          <w:rPr>
            <w:noProof/>
            <w:webHidden/>
          </w:rPr>
          <w:fldChar w:fldCharType="separate"/>
        </w:r>
        <w:r w:rsidR="00AF23C1">
          <w:rPr>
            <w:noProof/>
            <w:webHidden/>
          </w:rPr>
          <w:t>6</w:t>
        </w:r>
        <w:r w:rsidR="00AF23C1">
          <w:rPr>
            <w:noProof/>
            <w:webHidden/>
          </w:rPr>
          <w:fldChar w:fldCharType="end"/>
        </w:r>
      </w:hyperlink>
    </w:p>
    <w:p w14:paraId="21548D8D" w14:textId="77777777" w:rsidR="00AF23C1" w:rsidRDefault="00B36E67">
      <w:pPr>
        <w:pStyle w:val="TOC3"/>
        <w:tabs>
          <w:tab w:val="right" w:leader="dot" w:pos="9323"/>
        </w:tabs>
        <w:rPr>
          <w:rFonts w:eastAsiaTheme="minorEastAsia"/>
          <w:noProof/>
          <w:lang w:eastAsia="en-AU"/>
        </w:rPr>
      </w:pPr>
      <w:hyperlink w:anchor="_Toc464555880" w:history="1">
        <w:r w:rsidR="00AF23C1" w:rsidRPr="009B01BB">
          <w:rPr>
            <w:rStyle w:val="Hyperlink"/>
            <w:noProof/>
          </w:rPr>
          <w:t>Questions for consideration</w:t>
        </w:r>
        <w:r w:rsidR="00AF23C1">
          <w:rPr>
            <w:noProof/>
            <w:webHidden/>
          </w:rPr>
          <w:tab/>
        </w:r>
        <w:r w:rsidR="00AF23C1">
          <w:rPr>
            <w:noProof/>
            <w:webHidden/>
          </w:rPr>
          <w:fldChar w:fldCharType="begin"/>
        </w:r>
        <w:r w:rsidR="00AF23C1">
          <w:rPr>
            <w:noProof/>
            <w:webHidden/>
          </w:rPr>
          <w:instrText xml:space="preserve"> PAGEREF _Toc464555880 \h </w:instrText>
        </w:r>
        <w:r w:rsidR="00AF23C1">
          <w:rPr>
            <w:noProof/>
            <w:webHidden/>
          </w:rPr>
        </w:r>
        <w:r w:rsidR="00AF23C1">
          <w:rPr>
            <w:noProof/>
            <w:webHidden/>
          </w:rPr>
          <w:fldChar w:fldCharType="separate"/>
        </w:r>
        <w:r w:rsidR="00AF23C1">
          <w:rPr>
            <w:noProof/>
            <w:webHidden/>
          </w:rPr>
          <w:t>7</w:t>
        </w:r>
        <w:r w:rsidR="00AF23C1">
          <w:rPr>
            <w:noProof/>
            <w:webHidden/>
          </w:rPr>
          <w:fldChar w:fldCharType="end"/>
        </w:r>
      </w:hyperlink>
    </w:p>
    <w:p w14:paraId="43C71005" w14:textId="77777777" w:rsidR="00AF23C1" w:rsidRDefault="00B36E67">
      <w:pPr>
        <w:pStyle w:val="TOC2"/>
        <w:tabs>
          <w:tab w:val="right" w:leader="dot" w:pos="9323"/>
        </w:tabs>
        <w:rPr>
          <w:rFonts w:eastAsiaTheme="minorEastAsia"/>
          <w:noProof/>
          <w:lang w:eastAsia="en-AU"/>
        </w:rPr>
      </w:pPr>
      <w:hyperlink w:anchor="_Toc464555881" w:history="1">
        <w:r w:rsidR="00AF23C1" w:rsidRPr="009B01BB">
          <w:rPr>
            <w:rStyle w:val="Hyperlink"/>
            <w:noProof/>
          </w:rPr>
          <w:t>2. Independent Grants Program and research</w:t>
        </w:r>
        <w:r w:rsidR="00AF23C1">
          <w:rPr>
            <w:noProof/>
            <w:webHidden/>
          </w:rPr>
          <w:tab/>
        </w:r>
        <w:r w:rsidR="00AF23C1">
          <w:rPr>
            <w:noProof/>
            <w:webHidden/>
          </w:rPr>
          <w:fldChar w:fldCharType="begin"/>
        </w:r>
        <w:r w:rsidR="00AF23C1">
          <w:rPr>
            <w:noProof/>
            <w:webHidden/>
          </w:rPr>
          <w:instrText xml:space="preserve"> PAGEREF _Toc464555881 \h </w:instrText>
        </w:r>
        <w:r w:rsidR="00AF23C1">
          <w:rPr>
            <w:noProof/>
            <w:webHidden/>
          </w:rPr>
        </w:r>
        <w:r w:rsidR="00AF23C1">
          <w:rPr>
            <w:noProof/>
            <w:webHidden/>
          </w:rPr>
          <w:fldChar w:fldCharType="separate"/>
        </w:r>
        <w:r w:rsidR="00AF23C1">
          <w:rPr>
            <w:noProof/>
            <w:webHidden/>
          </w:rPr>
          <w:t>8</w:t>
        </w:r>
        <w:r w:rsidR="00AF23C1">
          <w:rPr>
            <w:noProof/>
            <w:webHidden/>
          </w:rPr>
          <w:fldChar w:fldCharType="end"/>
        </w:r>
      </w:hyperlink>
    </w:p>
    <w:p w14:paraId="46BE79B1" w14:textId="77777777" w:rsidR="00AF23C1" w:rsidRDefault="00B36E67">
      <w:pPr>
        <w:pStyle w:val="TOC3"/>
        <w:tabs>
          <w:tab w:val="right" w:leader="dot" w:pos="9323"/>
        </w:tabs>
        <w:rPr>
          <w:rFonts w:eastAsiaTheme="minorEastAsia"/>
          <w:noProof/>
          <w:lang w:eastAsia="en-AU"/>
        </w:rPr>
      </w:pPr>
      <w:hyperlink w:anchor="_Toc464555882" w:history="1">
        <w:r w:rsidR="00AF23C1" w:rsidRPr="009B01BB">
          <w:rPr>
            <w:rStyle w:val="Hyperlink"/>
            <w:noProof/>
          </w:rPr>
          <w:t>Questions for consideration</w:t>
        </w:r>
        <w:r w:rsidR="00AF23C1">
          <w:rPr>
            <w:noProof/>
            <w:webHidden/>
          </w:rPr>
          <w:tab/>
        </w:r>
        <w:r w:rsidR="00AF23C1">
          <w:rPr>
            <w:noProof/>
            <w:webHidden/>
          </w:rPr>
          <w:fldChar w:fldCharType="begin"/>
        </w:r>
        <w:r w:rsidR="00AF23C1">
          <w:rPr>
            <w:noProof/>
            <w:webHidden/>
          </w:rPr>
          <w:instrText xml:space="preserve"> PAGEREF _Toc464555882 \h </w:instrText>
        </w:r>
        <w:r w:rsidR="00AF23C1">
          <w:rPr>
            <w:noProof/>
            <w:webHidden/>
          </w:rPr>
        </w:r>
        <w:r w:rsidR="00AF23C1">
          <w:rPr>
            <w:noProof/>
            <w:webHidden/>
          </w:rPr>
          <w:fldChar w:fldCharType="separate"/>
        </w:r>
        <w:r w:rsidR="00AF23C1">
          <w:rPr>
            <w:noProof/>
            <w:webHidden/>
          </w:rPr>
          <w:t>9</w:t>
        </w:r>
        <w:r w:rsidR="00AF23C1">
          <w:rPr>
            <w:noProof/>
            <w:webHidden/>
          </w:rPr>
          <w:fldChar w:fldCharType="end"/>
        </w:r>
      </w:hyperlink>
    </w:p>
    <w:p w14:paraId="144F4808" w14:textId="77777777" w:rsidR="00AF23C1" w:rsidRDefault="00B36E67">
      <w:pPr>
        <w:pStyle w:val="TOC2"/>
        <w:tabs>
          <w:tab w:val="right" w:leader="dot" w:pos="9323"/>
        </w:tabs>
        <w:rPr>
          <w:rFonts w:eastAsiaTheme="minorEastAsia"/>
          <w:noProof/>
          <w:lang w:eastAsia="en-AU"/>
        </w:rPr>
      </w:pPr>
      <w:hyperlink w:anchor="_Toc464555883" w:history="1">
        <w:r w:rsidR="00AF23C1" w:rsidRPr="009B01BB">
          <w:rPr>
            <w:rStyle w:val="Hyperlink"/>
            <w:noProof/>
          </w:rPr>
          <w:t>3. Should other activities be funded?</w:t>
        </w:r>
        <w:r w:rsidR="00AF23C1">
          <w:rPr>
            <w:noProof/>
            <w:webHidden/>
          </w:rPr>
          <w:tab/>
        </w:r>
        <w:r w:rsidR="00AF23C1">
          <w:rPr>
            <w:noProof/>
            <w:webHidden/>
          </w:rPr>
          <w:fldChar w:fldCharType="begin"/>
        </w:r>
        <w:r w:rsidR="00AF23C1">
          <w:rPr>
            <w:noProof/>
            <w:webHidden/>
          </w:rPr>
          <w:instrText xml:space="preserve"> PAGEREF _Toc464555883 \h </w:instrText>
        </w:r>
        <w:r w:rsidR="00AF23C1">
          <w:rPr>
            <w:noProof/>
            <w:webHidden/>
          </w:rPr>
        </w:r>
        <w:r w:rsidR="00AF23C1">
          <w:rPr>
            <w:noProof/>
            <w:webHidden/>
          </w:rPr>
          <w:fldChar w:fldCharType="separate"/>
        </w:r>
        <w:r w:rsidR="00AF23C1">
          <w:rPr>
            <w:noProof/>
            <w:webHidden/>
          </w:rPr>
          <w:t>9</w:t>
        </w:r>
        <w:r w:rsidR="00AF23C1">
          <w:rPr>
            <w:noProof/>
            <w:webHidden/>
          </w:rPr>
          <w:fldChar w:fldCharType="end"/>
        </w:r>
      </w:hyperlink>
    </w:p>
    <w:p w14:paraId="408B0E62" w14:textId="77777777" w:rsidR="00AF23C1" w:rsidRDefault="00B36E67">
      <w:pPr>
        <w:pStyle w:val="TOC3"/>
        <w:tabs>
          <w:tab w:val="right" w:leader="dot" w:pos="9323"/>
        </w:tabs>
        <w:rPr>
          <w:rFonts w:eastAsiaTheme="minorEastAsia"/>
          <w:noProof/>
          <w:lang w:eastAsia="en-AU"/>
        </w:rPr>
      </w:pPr>
      <w:hyperlink w:anchor="_Toc464555884" w:history="1">
        <w:r w:rsidR="00AF23C1" w:rsidRPr="009B01BB">
          <w:rPr>
            <w:rStyle w:val="Hyperlink"/>
            <w:noProof/>
          </w:rPr>
          <w:t>Question for consideration</w:t>
        </w:r>
        <w:r w:rsidR="00AF23C1">
          <w:rPr>
            <w:noProof/>
            <w:webHidden/>
          </w:rPr>
          <w:tab/>
        </w:r>
        <w:r w:rsidR="00AF23C1">
          <w:rPr>
            <w:noProof/>
            <w:webHidden/>
          </w:rPr>
          <w:fldChar w:fldCharType="begin"/>
        </w:r>
        <w:r w:rsidR="00AF23C1">
          <w:rPr>
            <w:noProof/>
            <w:webHidden/>
          </w:rPr>
          <w:instrText xml:space="preserve"> PAGEREF _Toc464555884 \h </w:instrText>
        </w:r>
        <w:r w:rsidR="00AF23C1">
          <w:rPr>
            <w:noProof/>
            <w:webHidden/>
          </w:rPr>
        </w:r>
        <w:r w:rsidR="00AF23C1">
          <w:rPr>
            <w:noProof/>
            <w:webHidden/>
          </w:rPr>
          <w:fldChar w:fldCharType="separate"/>
        </w:r>
        <w:r w:rsidR="00AF23C1">
          <w:rPr>
            <w:noProof/>
            <w:webHidden/>
          </w:rPr>
          <w:t>9</w:t>
        </w:r>
        <w:r w:rsidR="00AF23C1">
          <w:rPr>
            <w:noProof/>
            <w:webHidden/>
          </w:rPr>
          <w:fldChar w:fldCharType="end"/>
        </w:r>
      </w:hyperlink>
    </w:p>
    <w:p w14:paraId="31B39746" w14:textId="77777777" w:rsidR="00AF23C1" w:rsidRDefault="00B36E67">
      <w:pPr>
        <w:pStyle w:val="TOC1"/>
        <w:tabs>
          <w:tab w:val="right" w:leader="dot" w:pos="9323"/>
        </w:tabs>
        <w:rPr>
          <w:rFonts w:eastAsiaTheme="minorEastAsia"/>
          <w:b w:val="0"/>
          <w:noProof/>
          <w:color w:val="auto"/>
          <w:sz w:val="22"/>
          <w:lang w:eastAsia="en-AU"/>
        </w:rPr>
      </w:pPr>
      <w:hyperlink w:anchor="_Toc464555885" w:history="1">
        <w:r w:rsidR="00AF23C1" w:rsidRPr="009B01BB">
          <w:rPr>
            <w:rStyle w:val="Hyperlink"/>
            <w:noProof/>
          </w:rPr>
          <w:t>Consultation process</w:t>
        </w:r>
        <w:r w:rsidR="00AF23C1">
          <w:rPr>
            <w:noProof/>
            <w:webHidden/>
          </w:rPr>
          <w:tab/>
        </w:r>
        <w:r w:rsidR="00AF23C1">
          <w:rPr>
            <w:noProof/>
            <w:webHidden/>
          </w:rPr>
          <w:fldChar w:fldCharType="begin"/>
        </w:r>
        <w:r w:rsidR="00AF23C1">
          <w:rPr>
            <w:noProof/>
            <w:webHidden/>
          </w:rPr>
          <w:instrText xml:space="preserve"> PAGEREF _Toc464555885 \h </w:instrText>
        </w:r>
        <w:r w:rsidR="00AF23C1">
          <w:rPr>
            <w:noProof/>
            <w:webHidden/>
          </w:rPr>
        </w:r>
        <w:r w:rsidR="00AF23C1">
          <w:rPr>
            <w:noProof/>
            <w:webHidden/>
          </w:rPr>
          <w:fldChar w:fldCharType="separate"/>
        </w:r>
        <w:r w:rsidR="00AF23C1">
          <w:rPr>
            <w:noProof/>
            <w:webHidden/>
          </w:rPr>
          <w:t>10</w:t>
        </w:r>
        <w:r w:rsidR="00AF23C1">
          <w:rPr>
            <w:noProof/>
            <w:webHidden/>
          </w:rPr>
          <w:fldChar w:fldCharType="end"/>
        </w:r>
      </w:hyperlink>
    </w:p>
    <w:p w14:paraId="7A0D92E8" w14:textId="77777777" w:rsidR="008E14AC" w:rsidRDefault="00D078C5" w:rsidP="00A7176A">
      <w:r>
        <w:fldChar w:fldCharType="end"/>
      </w:r>
    </w:p>
    <w:p w14:paraId="7A0D92E9" w14:textId="77777777" w:rsidR="00A7176A" w:rsidRDefault="00D078C5" w:rsidP="00A7176A">
      <w:r>
        <w:br w:type="page"/>
      </w:r>
    </w:p>
    <w:p w14:paraId="7A0D92EA" w14:textId="77777777" w:rsidR="00A10DD5" w:rsidRPr="000C7871" w:rsidRDefault="00D078C5" w:rsidP="000C7871">
      <w:pPr>
        <w:pStyle w:val="Heading2"/>
        <w:keepLines/>
      </w:pPr>
      <w:bookmarkStart w:id="3" w:name="_Toc256000020"/>
      <w:bookmarkStart w:id="4" w:name="_Toc256000010"/>
      <w:bookmarkStart w:id="5" w:name="_Toc256000000"/>
      <w:bookmarkStart w:id="6" w:name="_Toc461528536"/>
      <w:bookmarkStart w:id="7" w:name="_Toc464555876"/>
      <w:r>
        <w:lastRenderedPageBreak/>
        <w:t xml:space="preserve">Background to section 593 of the </w:t>
      </w:r>
      <w:r w:rsidRPr="00963D4B">
        <w:rPr>
          <w:i/>
        </w:rPr>
        <w:t>Telecommunications Act 1997</w:t>
      </w:r>
      <w:bookmarkEnd w:id="3"/>
      <w:bookmarkEnd w:id="4"/>
      <w:bookmarkEnd w:id="5"/>
      <w:bookmarkEnd w:id="6"/>
      <w:bookmarkEnd w:id="7"/>
    </w:p>
    <w:p w14:paraId="7A0D92EB" w14:textId="77777777" w:rsidR="007A3647" w:rsidRDefault="00D078C5" w:rsidP="007A3647">
      <w:r w:rsidRPr="006E6430">
        <w:t>The Department of Communications and the Arts (</w:t>
      </w:r>
      <w:proofErr w:type="spellStart"/>
      <w:r w:rsidRPr="006E6430">
        <w:t>Do</w:t>
      </w:r>
      <w:r>
        <w:t>CA</w:t>
      </w:r>
      <w:proofErr w:type="spellEnd"/>
      <w:r>
        <w:t>) is conducting a</w:t>
      </w:r>
      <w:r w:rsidRPr="006E6430">
        <w:t xml:space="preserve"> review of </w:t>
      </w:r>
      <w:r>
        <w:t xml:space="preserve">the effectiveness of </w:t>
      </w:r>
      <w:r w:rsidRPr="006E6430">
        <w:t xml:space="preserve">section 593 of the </w:t>
      </w:r>
      <w:r w:rsidRPr="00126345">
        <w:rPr>
          <w:i/>
        </w:rPr>
        <w:t>Telecommunications Act 1997</w:t>
      </w:r>
      <w:r>
        <w:t xml:space="preserve"> (Telco Act), with reference to the most recent grants of financial assistance provided to the Australian Communications Consumer Action Network (ACCAN)</w:t>
      </w:r>
      <w:r w:rsidRPr="006E6430">
        <w:t>.</w:t>
      </w:r>
      <w:r>
        <w:t xml:space="preserve"> </w:t>
      </w:r>
    </w:p>
    <w:p w14:paraId="7A0D92EC" w14:textId="77777777" w:rsidR="007A3647" w:rsidRDefault="00D078C5" w:rsidP="003C5DA8">
      <w:r>
        <w:t>Under section 593, which was enacted in 1997, the Minister may make grants of financial assistance to:</w:t>
      </w:r>
    </w:p>
    <w:p w14:paraId="7A0D92ED" w14:textId="77777777" w:rsidR="007A3647" w:rsidRDefault="00D078C5" w:rsidP="007A3647">
      <w:pPr>
        <w:pStyle w:val="Bulletlevel1"/>
      </w:pPr>
      <w:r>
        <w:t>a consumer body for purposes in connection with the representation of the interests of consumers in relation to telecommunications issues; and</w:t>
      </w:r>
    </w:p>
    <w:p w14:paraId="7A0D92EE" w14:textId="77777777" w:rsidR="007A3647" w:rsidRDefault="00D078C5" w:rsidP="007A3647">
      <w:pPr>
        <w:pStyle w:val="Bulletlevel1"/>
      </w:pPr>
      <w:proofErr w:type="gramStart"/>
      <w:r>
        <w:t>a</w:t>
      </w:r>
      <w:proofErr w:type="gramEnd"/>
      <w:r>
        <w:t xml:space="preserve"> person or body for purposes in connection with research into the social, economic, environmental or technological implications of developments relating to telecommunications.</w:t>
      </w:r>
    </w:p>
    <w:p w14:paraId="7A0D92EF" w14:textId="77777777" w:rsidR="001953AA" w:rsidRDefault="00D078C5" w:rsidP="003C5DA8">
      <w:r>
        <w:t>The funding of these grants is fully recovered by the Australian Communications and Media Authority (ACMA) as a component of the annual carrier licence charges on eligible telecommunications carriers.</w:t>
      </w:r>
    </w:p>
    <w:p w14:paraId="7A0D92F0" w14:textId="77777777" w:rsidR="00046D50" w:rsidRDefault="00D078C5" w:rsidP="003C5DA8">
      <w:r>
        <w:t>The primary policy objective of section 593 is to ensure the interests of consumers are taken into account by the telecommunications industry, governments and regulators.  Independent research into relevant telecommunications issues is intended to inform Government policy positions.</w:t>
      </w:r>
    </w:p>
    <w:p w14:paraId="7A0D92F1" w14:textId="77777777" w:rsidR="00534902" w:rsidRDefault="00D078C5" w:rsidP="00534902">
      <w:r>
        <w:t xml:space="preserve">Between 1997 and 2009, grants were allocated to a number of consumer representative organisations, including the Consumers Telecommunications Network (CTN), the Small Enterprise Telecommunications Centre Limited (SETEL) and Telecommunications and Disability Consumer Representation (TEDICORE). </w:t>
      </w:r>
    </w:p>
    <w:p w14:paraId="7A0D92F2" w14:textId="77777777" w:rsidR="00534902" w:rsidRDefault="00D078C5" w:rsidP="00534902">
      <w:r>
        <w:t>ACCAN was formed in 2009 to address a widely held concern that there was a fragmented consumer representation sector with competition between consumer representative bodies, not only for funds but also in terms of input to industry and government processes.</w:t>
      </w:r>
      <w:r w:rsidRPr="00D02626">
        <w:t xml:space="preserve"> </w:t>
      </w:r>
      <w:r>
        <w:t xml:space="preserve"> CTN, SETEL and TEDICORE ceased operations and became a part of ACCAN when it was formed in 2009.</w:t>
      </w:r>
    </w:p>
    <w:p w14:paraId="7A0D92F3" w14:textId="77777777" w:rsidR="000C06EE" w:rsidRDefault="00D078C5" w:rsidP="003C5DA8">
      <w:r>
        <w:t xml:space="preserve">Since the time of its formation ACCAN has been the sole recipient of funding allocations under section 593 of the Telco Act through two </w:t>
      </w:r>
      <w:proofErr w:type="spellStart"/>
      <w:r>
        <w:t>multi year</w:t>
      </w:r>
      <w:proofErr w:type="spellEnd"/>
      <w:r>
        <w:t xml:space="preserve"> funding agreements.  In 2012, the Commonwealth entered into the second </w:t>
      </w:r>
      <w:proofErr w:type="spellStart"/>
      <w:r>
        <w:t>m</w:t>
      </w:r>
      <w:r w:rsidRPr="002D1F80">
        <w:t xml:space="preserve">ulti </w:t>
      </w:r>
      <w:r>
        <w:t>y</w:t>
      </w:r>
      <w:r w:rsidRPr="002D1F80">
        <w:t>ear</w:t>
      </w:r>
      <w:proofErr w:type="spellEnd"/>
      <w:r w:rsidRPr="002D1F80">
        <w:t xml:space="preserve"> </w:t>
      </w:r>
      <w:r>
        <w:t>f</w:t>
      </w:r>
      <w:r w:rsidRPr="002D1F80">
        <w:t xml:space="preserve">unding </w:t>
      </w:r>
      <w:r>
        <w:t>a</w:t>
      </w:r>
      <w:r w:rsidRPr="002D1F80">
        <w:t xml:space="preserve">greement </w:t>
      </w:r>
      <w:r>
        <w:t xml:space="preserve">with ACCAN.  Indexed funds of </w:t>
      </w:r>
      <w:r w:rsidR="006A4010">
        <w:t xml:space="preserve">around </w:t>
      </w:r>
      <w:r>
        <w:t>$2 million</w:t>
      </w:r>
      <w:r w:rsidR="006A4010">
        <w:t xml:space="preserve"> (GST exclusive)</w:t>
      </w:r>
      <w:r>
        <w:t xml:space="preserve"> per annum are provided under that agreement, including </w:t>
      </w:r>
      <w:r w:rsidR="006A4010">
        <w:t xml:space="preserve">approximately </w:t>
      </w:r>
      <w:r>
        <w:t xml:space="preserve">$250,000 per annum for a grants program administered by ACCAN, which incorporates research.  The agreement has a </w:t>
      </w:r>
      <w:r w:rsidRPr="002B5B14">
        <w:t>five</w:t>
      </w:r>
      <w:r>
        <w:t xml:space="preserve"> year term and expires at the end of </w:t>
      </w:r>
      <w:r w:rsidRPr="002D1F80">
        <w:t>May 2017.</w:t>
      </w:r>
      <w:r>
        <w:t xml:space="preserve">  </w:t>
      </w:r>
    </w:p>
    <w:p w14:paraId="7A0D92F4" w14:textId="77777777" w:rsidR="00541918" w:rsidRPr="007677C0" w:rsidRDefault="00D078C5" w:rsidP="00541918">
      <w:pPr>
        <w:pStyle w:val="Heading2"/>
        <w:keepLines/>
      </w:pPr>
      <w:bookmarkStart w:id="8" w:name="_Toc256000021"/>
      <w:bookmarkStart w:id="9" w:name="_Toc256000011"/>
      <w:bookmarkStart w:id="10" w:name="_Toc256000001"/>
      <w:bookmarkStart w:id="11" w:name="_Toc461528537"/>
      <w:bookmarkStart w:id="12" w:name="_Toc464555877"/>
      <w:r w:rsidRPr="007677C0">
        <w:t>Scope</w:t>
      </w:r>
      <w:r>
        <w:t xml:space="preserve"> of review</w:t>
      </w:r>
      <w:bookmarkEnd w:id="8"/>
      <w:bookmarkEnd w:id="9"/>
      <w:bookmarkEnd w:id="10"/>
      <w:bookmarkEnd w:id="11"/>
      <w:bookmarkEnd w:id="12"/>
    </w:p>
    <w:p w14:paraId="7A0D92F5" w14:textId="77777777" w:rsidR="00963D4B" w:rsidRDefault="00D078C5" w:rsidP="00963D4B">
      <w:r>
        <w:t xml:space="preserve">Significant changes have occurred in the communications sector over the past 20 years and these are well documented.  The following infographic highlights some of the changes in the communications sector since 1998, when the initial funding arrangements under section 593 of the Telco Act were put in place. </w:t>
      </w:r>
    </w:p>
    <w:p w14:paraId="7A0D92F6" w14:textId="77777777" w:rsidR="00963D4B" w:rsidRDefault="00D078C5" w:rsidP="00963D4B">
      <w:r>
        <w:rPr>
          <w:noProof/>
          <w:lang w:eastAsia="en-AU"/>
        </w:rPr>
        <w:lastRenderedPageBreak/>
        <w:drawing>
          <wp:inline distT="0" distB="0" distL="0" distR="0" wp14:anchorId="7A0D933A" wp14:editId="7A0D933B">
            <wp:extent cx="4268657" cy="8865705"/>
            <wp:effectExtent l="0" t="0" r="0" b="0"/>
            <wp:docPr id="5" name="Picture 5" descr="A one page infographic demonstrates how our use of communication technology has changed between 1998 and 2015. &#10;&#10;Then &amp; Now&#10;How our use of information technology has changed.&#10;&#10;1998&#10;• 2.8 million households with a computer&#10;• 13.5% households with internet access&#10;2015&#10;• 7.2 million households with a computer&#10;• 89% households with internet access&#10;&#10;Devices used to connect to the internet:&#10;1998&#10;• Computer and laptop&#10;2015&#10;• 6 is the average number of devices used in households to connect to the internet&#10;[image shows desktop computer, smart television, laptop, tablet, smart phone and games console]&#10;&#10;1998&#10;• 25% of adults accessed the internet in the previous 12 months&#10;• 29% of homes with a computer use it for internet-based activity&#10;• 20% of 15-17 year olds used a computer for intern&#10;&#10;2015&#10;• 85% of adults access the internet in a typical week&#10;• Australians downloaded 1.7 million TB in the December quarter of 2015&#10;• 99% of 15-17 year olds use the internet&#10;&#10;1998&#10;• 92% of households had a fixed telephone line&#10;• 29% of people had a cordless phone&#10;• 43% had a mobile phone&#10;• 5% had a car phone&#10;2015&#10;• 94% if people have a mobile/smart phon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ideson\AppData\Local\Microsoft\Windows\INetCache\Content.Word\Communications technology change INFOGRAPHIC_CROPPED_v1.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271968" cy="8872582"/>
                    </a:xfrm>
                    <a:prstGeom prst="rect">
                      <a:avLst/>
                    </a:prstGeom>
                    <a:noFill/>
                    <a:ln>
                      <a:noFill/>
                    </a:ln>
                  </pic:spPr>
                </pic:pic>
              </a:graphicData>
            </a:graphic>
          </wp:inline>
        </w:drawing>
      </w:r>
    </w:p>
    <w:p w14:paraId="7A0D92F7" w14:textId="77777777" w:rsidR="00497F64" w:rsidRDefault="00D078C5" w:rsidP="003C5DA8">
      <w:r w:rsidRPr="00963D4B">
        <w:rPr>
          <w:color w:val="000000" w:themeColor="text1"/>
        </w:rPr>
        <w:lastRenderedPageBreak/>
        <w:t xml:space="preserve">In light of these </w:t>
      </w:r>
      <w:r>
        <w:rPr>
          <w:color w:val="000000" w:themeColor="text1"/>
        </w:rPr>
        <w:t xml:space="preserve">significant sector </w:t>
      </w:r>
      <w:r w:rsidRPr="00963D4B">
        <w:rPr>
          <w:color w:val="000000" w:themeColor="text1"/>
        </w:rPr>
        <w:t xml:space="preserve">changes, it is an appropriate opportunity to </w:t>
      </w:r>
      <w:r>
        <w:rPr>
          <w:color w:val="000000" w:themeColor="text1"/>
        </w:rPr>
        <w:t>assess</w:t>
      </w:r>
      <w:r w:rsidRPr="00963D4B">
        <w:rPr>
          <w:color w:val="000000" w:themeColor="text1"/>
        </w:rPr>
        <w:t xml:space="preserve"> whether section 593 of the Telco Act is still fit for purpose and whether the existing funding arrangements in place with ACCAN should be renewed or changed.</w:t>
      </w:r>
      <w:r>
        <w:rPr>
          <w:color w:val="000000" w:themeColor="text1"/>
        </w:rPr>
        <w:t xml:space="preserve">  </w:t>
      </w:r>
      <w:r>
        <w:t>The review will consider, amongst other issues:</w:t>
      </w:r>
    </w:p>
    <w:p w14:paraId="7A0D92F8" w14:textId="77777777" w:rsidR="00497F64" w:rsidRDefault="00D078C5" w:rsidP="00497F64">
      <w:pPr>
        <w:pStyle w:val="Bulletlevel1"/>
      </w:pPr>
      <w:r>
        <w:t>whether section 593 of the Telco Act should be retained, and if so whether it should remain in its current form or be amended; and</w:t>
      </w:r>
    </w:p>
    <w:p w14:paraId="7A0D92F9" w14:textId="77777777" w:rsidR="00541918" w:rsidRDefault="00D078C5" w:rsidP="00497F64">
      <w:pPr>
        <w:pStyle w:val="Bulletlevel1"/>
      </w:pPr>
      <w:proofErr w:type="gramStart"/>
      <w:r>
        <w:t>subject</w:t>
      </w:r>
      <w:proofErr w:type="gramEnd"/>
      <w:r>
        <w:t xml:space="preserve"> to the point above, whether further grants should be made under section 593 of the Telco Act on the expiry of the current ACCAN </w:t>
      </w:r>
      <w:proofErr w:type="spellStart"/>
      <w:r>
        <w:t>multi year</w:t>
      </w:r>
      <w:proofErr w:type="spellEnd"/>
      <w:r>
        <w:t xml:space="preserve"> funding agreement and, if so, how and to whom those further grants should be allocated.</w:t>
      </w:r>
    </w:p>
    <w:p w14:paraId="7A0D92FA" w14:textId="77777777" w:rsidR="00022876" w:rsidRDefault="00D078C5" w:rsidP="003C5DA8">
      <w:r>
        <w:t>The review will not consider changes to the use of the annual carrier licence charges to fund grants provided under section 593 of the Telco Act.</w:t>
      </w:r>
    </w:p>
    <w:p w14:paraId="7A0D92FB" w14:textId="77777777" w:rsidR="00083BB1" w:rsidRDefault="00C90AF0" w:rsidP="003C5DA8">
      <w:proofErr w:type="spellStart"/>
      <w:r>
        <w:t>DoCA</w:t>
      </w:r>
      <w:proofErr w:type="spellEnd"/>
      <w:r w:rsidR="00D078C5">
        <w:t xml:space="preserve"> will provide a report to the Minister with its recommendations following the completion of the consultation process. </w:t>
      </w:r>
    </w:p>
    <w:p w14:paraId="7A0D92FC" w14:textId="77777777" w:rsidR="00901290" w:rsidRDefault="00D078C5" w:rsidP="00901290">
      <w:pPr>
        <w:pStyle w:val="Heading2"/>
      </w:pPr>
      <w:bookmarkStart w:id="13" w:name="_Toc432153465"/>
      <w:bookmarkStart w:id="14" w:name="_Toc256000022"/>
      <w:bookmarkStart w:id="15" w:name="_Toc256000012"/>
      <w:bookmarkStart w:id="16" w:name="_Toc256000002"/>
      <w:bookmarkStart w:id="17" w:name="_Toc461528538"/>
      <w:bookmarkStart w:id="18" w:name="_Toc464555878"/>
      <w:bookmarkStart w:id="19" w:name="_Toc430002900"/>
      <w:bookmarkStart w:id="20" w:name="_Toc432147510"/>
      <w:bookmarkStart w:id="21" w:name="_Toc440743940"/>
      <w:bookmarkStart w:id="22" w:name="_Toc457219633"/>
      <w:bookmarkEnd w:id="13"/>
      <w:r>
        <w:t>Issues</w:t>
      </w:r>
      <w:bookmarkEnd w:id="14"/>
      <w:bookmarkEnd w:id="15"/>
      <w:bookmarkEnd w:id="16"/>
      <w:bookmarkEnd w:id="17"/>
      <w:bookmarkEnd w:id="18"/>
    </w:p>
    <w:p w14:paraId="7A0D92FD" w14:textId="77777777" w:rsidR="00541918" w:rsidRDefault="00D078C5" w:rsidP="000824D5">
      <w:pPr>
        <w:pStyle w:val="Heading3"/>
      </w:pPr>
      <w:bookmarkStart w:id="23" w:name="_Toc256000023"/>
      <w:bookmarkStart w:id="24" w:name="_Toc256000013"/>
      <w:bookmarkStart w:id="25" w:name="_Toc256000003"/>
      <w:bookmarkStart w:id="26" w:name="_Toc461528539"/>
      <w:bookmarkStart w:id="27" w:name="_Toc464555879"/>
      <w:bookmarkStart w:id="28" w:name="_Toc457219634"/>
      <w:bookmarkStart w:id="29" w:name="_Toc440743941"/>
      <w:bookmarkEnd w:id="19"/>
      <w:bookmarkEnd w:id="20"/>
      <w:bookmarkEnd w:id="21"/>
      <w:bookmarkEnd w:id="22"/>
      <w:r>
        <w:t>1. Consumer representation</w:t>
      </w:r>
      <w:bookmarkEnd w:id="23"/>
      <w:bookmarkEnd w:id="24"/>
      <w:bookmarkEnd w:id="25"/>
      <w:bookmarkEnd w:id="26"/>
      <w:bookmarkEnd w:id="27"/>
    </w:p>
    <w:p w14:paraId="7A0D92FE" w14:textId="77777777" w:rsidR="00E20B24" w:rsidRDefault="00D078C5" w:rsidP="003C5DA8">
      <w:pPr>
        <w:rPr>
          <w:color w:val="000000" w:themeColor="text1"/>
        </w:rPr>
      </w:pPr>
      <w:r w:rsidRPr="00856670">
        <w:rPr>
          <w:color w:val="000000" w:themeColor="text1"/>
        </w:rPr>
        <w:t>The first issue to be considered is whether it is appropriate for Government to continue to fund, under section 593</w:t>
      </w:r>
      <w:r>
        <w:rPr>
          <w:color w:val="000000" w:themeColor="text1"/>
        </w:rPr>
        <w:t>(1)</w:t>
      </w:r>
      <w:r w:rsidRPr="00856670">
        <w:rPr>
          <w:color w:val="000000" w:themeColor="text1"/>
        </w:rPr>
        <w:t xml:space="preserve"> of the Telco Act, a consumer body for purposes in connection with the representation of the interests of consumers in relation to telecommunications issues.  In considering this issue it is appropriate to look at the role that ACCAN has performed to date, whether other bodies could perform the role that ACCAN has played and also other methods which could be adopted by Government to ensure that the views of consumers are adequately considered in policy making.</w:t>
      </w:r>
    </w:p>
    <w:p w14:paraId="7A0D92FF" w14:textId="77777777" w:rsidR="00A1594F" w:rsidRDefault="00D078C5" w:rsidP="00A1594F">
      <w:r>
        <w:t>ACCAN has undertaken a significant amount of consumer representation work.  For example, b</w:t>
      </w:r>
      <w:r w:rsidRPr="00D967C5">
        <w:t xml:space="preserve">etween 2012 and 2015, ACCAN represented telecommunications consumers on 36 government, </w:t>
      </w:r>
      <w:r>
        <w:t xml:space="preserve">industry and member committees, including the </w:t>
      </w:r>
      <w:r>
        <w:rPr>
          <w:lang w:val="en-US"/>
        </w:rPr>
        <w:t>Australian Competition and Consumer Commission (</w:t>
      </w:r>
      <w:r>
        <w:t xml:space="preserve">ACCC) Consumer Consultative Committee, the ACMA Consumer Consultative Forum, the </w:t>
      </w:r>
      <w:proofErr w:type="spellStart"/>
      <w:r>
        <w:t>DoCA</w:t>
      </w:r>
      <w:proofErr w:type="spellEnd"/>
      <w:r>
        <w:t xml:space="preserve"> Stay Safe Online Week Steering Group, the NBN Co Public Information on Migration (PIM) Consumer Working Group, the Telstra CEO and Consumer Roundtable and Communications Alliance Working Groups.  During the same period, ACCAN also made submissions on behalf of consumers to over 100 inquiries and consultations, engaged with Government and industry on over 30 issues and developed 11 standalone consumer policy positions.</w:t>
      </w:r>
    </w:p>
    <w:p w14:paraId="7A0D9300" w14:textId="77777777" w:rsidR="00282D28" w:rsidRPr="00D967C5" w:rsidRDefault="003357F1" w:rsidP="00A1594F">
      <w:r>
        <w:t>C</w:t>
      </w:r>
      <w:r w:rsidR="00282D28">
        <w:t>onsumer representation</w:t>
      </w:r>
      <w:r>
        <w:t xml:space="preserve"> work involves</w:t>
      </w:r>
      <w:r w:rsidR="00282D28">
        <w:t xml:space="preserve"> effective engagement with a range of stakeholders including government agencies, industry and other consumer groups</w:t>
      </w:r>
      <w:r w:rsidR="007C2B9C">
        <w:t>,</w:t>
      </w:r>
      <w:r w:rsidR="00F62946">
        <w:t xml:space="preserve"> to ensure the interests of consumers are protected and promoted</w:t>
      </w:r>
      <w:r w:rsidR="00282D28">
        <w:t>.</w:t>
      </w:r>
      <w:r w:rsidR="00F62946">
        <w:t xml:space="preserve">  ACCAN has over 100 member organisations</w:t>
      </w:r>
      <w:r w:rsidR="00FD6C5E">
        <w:t xml:space="preserve"> and </w:t>
      </w:r>
      <w:r w:rsidR="00FE660D">
        <w:t>holds regular</w:t>
      </w:r>
      <w:r w:rsidR="00FD6C5E">
        <w:t xml:space="preserve"> meetings with industry groups</w:t>
      </w:r>
      <w:r w:rsidR="007C2B9C">
        <w:t>,</w:t>
      </w:r>
      <w:r w:rsidR="00282D28">
        <w:t xml:space="preserve"> </w:t>
      </w:r>
      <w:r w:rsidR="00FE660D">
        <w:t xml:space="preserve">including Communications Alliance and the Australian Mobile Telecommunications Association (AMTA), </w:t>
      </w:r>
      <w:r w:rsidR="007C2B9C">
        <w:t>as well as</w:t>
      </w:r>
      <w:r w:rsidR="00FE660D">
        <w:t xml:space="preserve"> peak bodies</w:t>
      </w:r>
      <w:r w:rsidR="007C2B9C">
        <w:t xml:space="preserve"> </w:t>
      </w:r>
      <w:r w:rsidR="00FE1709">
        <w:t>such as</w:t>
      </w:r>
      <w:r w:rsidR="007C2B9C">
        <w:t xml:space="preserve"> the</w:t>
      </w:r>
      <w:r w:rsidR="00FE660D">
        <w:t xml:space="preserve"> Coalition of Small Business Australia. As noted above, ACCAN also consults with government agencies and regulators</w:t>
      </w:r>
      <w:r w:rsidR="007C2B9C">
        <w:t xml:space="preserve">.  Views are sought on the effectiveness of ACCAN’s engagement with </w:t>
      </w:r>
      <w:r w:rsidR="00F46019">
        <w:t>stakeholders</w:t>
      </w:r>
      <w:r w:rsidR="007C2B9C">
        <w:t>, in performing its consumer representative role</w:t>
      </w:r>
      <w:r w:rsidR="00E457B7">
        <w:t>.</w:t>
      </w:r>
    </w:p>
    <w:p w14:paraId="7A0D9301" w14:textId="77777777" w:rsidR="00856670" w:rsidRDefault="00D078C5" w:rsidP="00A1594F">
      <w:r>
        <w:t>On occasion, the diverse interests represented by ACCAN mean that it is difficult to develop a united position on issues to accurately represent the breadth of consumer interests.  A lack of consensus among its members can result in ACCAN not supporting a proposal – for example, after participating in negotiations, ACCAN did not endorse the Telecommunications Consumer Protections Code in 2012.</w:t>
      </w:r>
    </w:p>
    <w:p w14:paraId="7A0D9302" w14:textId="77777777" w:rsidR="00856670" w:rsidRDefault="00D078C5" w:rsidP="00856670">
      <w:r>
        <w:lastRenderedPageBreak/>
        <w:t xml:space="preserve">There are a number of smaller groups that play a role in representing and supporting Australians on telecommunications issues.  For example, the Isolated Children’s Parents’ Association (ICPA), </w:t>
      </w:r>
      <w:r w:rsidRPr="00F6782B">
        <w:t>Better Internet for Rural Regional and Remote Australia (BIRRR)</w:t>
      </w:r>
      <w:r>
        <w:t xml:space="preserve"> and various federations and associations of farmers play a role in representing regional consumers regarding telecommunications issues</w:t>
      </w:r>
      <w:r w:rsidRPr="00F6782B">
        <w:t xml:space="preserve">. </w:t>
      </w:r>
      <w:r>
        <w:t xml:space="preserve"> </w:t>
      </w:r>
      <w:r w:rsidRPr="00F6782B">
        <w:t>The</w:t>
      </w:r>
      <w:r>
        <w:t xml:space="preserve"> creation of </w:t>
      </w:r>
      <w:r w:rsidRPr="00F6782B">
        <w:t>these groups may suggest that regional consumers are</w:t>
      </w:r>
      <w:r>
        <w:t xml:space="preserve"> seeking additional support and advice on telecommunications issues above that which ACCAN is able to provide.</w:t>
      </w:r>
    </w:p>
    <w:p w14:paraId="7A0D9303" w14:textId="77777777" w:rsidR="00C42CCC" w:rsidRDefault="00D078C5" w:rsidP="00856670">
      <w:r>
        <w:t xml:space="preserve">Although ACCAN is Australia’s peak consumer organisation on retail telecommunications services issues, there are a number of other general consumer representative bodies that contribute to various policy issues relevant to consumers, including in the area of telecommunications.  These organisations include the Consumers’ Federation of Australia, CHOICE and the </w:t>
      </w:r>
      <w:r w:rsidRPr="00DB5C34">
        <w:t>Consumer Action Law Centre</w:t>
      </w:r>
      <w:r>
        <w:t>.</w:t>
      </w:r>
    </w:p>
    <w:p w14:paraId="7A0D9304" w14:textId="77777777" w:rsidR="0072495B" w:rsidRDefault="00D078C5" w:rsidP="008E4E15">
      <w:r>
        <w:t>It may be possible for consumer representation to be undertaken</w:t>
      </w:r>
      <w:r w:rsidRPr="00E06314">
        <w:t xml:space="preserve"> </w:t>
      </w:r>
      <w:r>
        <w:t xml:space="preserve">by </w:t>
      </w:r>
      <w:r w:rsidRPr="00E06314">
        <w:t xml:space="preserve">a general consumer body </w:t>
      </w:r>
      <w:r>
        <w:t>rather than a telecommunications specific body</w:t>
      </w:r>
      <w:r w:rsidRPr="00E06314">
        <w:t>.</w:t>
      </w:r>
      <w:r>
        <w:t xml:space="preserve">  For example, in the past, CHOICE represented the interests of telecommunications consumers during the development of the Copyright Notice Scheme Code, noting that ACCAN also contributed to the development of this Code.  Views are sought on whether a general consumer organisation would be able to sufficiently cover the range and complexity of telecommunications issues and develop relationships with government, industry and regulators. </w:t>
      </w:r>
    </w:p>
    <w:p w14:paraId="7A0D9305" w14:textId="77777777" w:rsidR="001552E1" w:rsidRDefault="00D078C5" w:rsidP="00856670">
      <w:r>
        <w:t>There is also the question of whether focus should be given to consumers with particular needs such as those with a disability,</w:t>
      </w:r>
      <w:r w:rsidRPr="00580907">
        <w:t xml:space="preserve"> </w:t>
      </w:r>
      <w:r>
        <w:t>those with culturally and linguistically diverse backgrounds, low</w:t>
      </w:r>
      <w:r>
        <w:noBreakHyphen/>
        <w:t xml:space="preserve">income earners, Indigenous Australians and those living in regional or remote Australia.  For example, would it be more appropriate for Government to fund a consumer body to represent only such interests, on the basis that ‘average’ consumers would be sufficiently well protected by general consumer representative bodies.  Alternatively, a focus on issues that only affect particular groups may mean a consumer advocate would be seen as less effective. </w:t>
      </w:r>
    </w:p>
    <w:p w14:paraId="7A0D9306" w14:textId="77777777" w:rsidR="00856670" w:rsidRDefault="00D078C5" w:rsidP="00856670">
      <w:r>
        <w:t xml:space="preserve">Government funding of a consumer representative body is not the only model that could be adopted to ensure that consumer views in policy deliberations are fully considered.  For example, in New Zealand and Canada, equivalent funding is not currently provided.  As an alternative approach, Government could undertake its own direct surveying and consultation, for example, through the Bureau of Communications Research (BCR) within the </w:t>
      </w:r>
      <w:proofErr w:type="spellStart"/>
      <w:r>
        <w:t>DoCA</w:t>
      </w:r>
      <w:proofErr w:type="spellEnd"/>
      <w:r>
        <w:t>.</w:t>
      </w:r>
    </w:p>
    <w:p w14:paraId="7A0D9307" w14:textId="77777777" w:rsidR="00B317D9" w:rsidRDefault="00D078C5" w:rsidP="00AB67EC">
      <w:pPr>
        <w:pStyle w:val="Heading4"/>
      </w:pPr>
      <w:bookmarkStart w:id="30" w:name="_Toc256000014"/>
      <w:bookmarkStart w:id="31" w:name="_Toc256000004"/>
      <w:bookmarkStart w:id="32" w:name="_Toc461528540"/>
      <w:bookmarkStart w:id="33" w:name="_Toc256000024"/>
      <w:bookmarkStart w:id="34" w:name="_Toc464555880"/>
      <w:r>
        <w:t>Questions for consideratio</w:t>
      </w:r>
      <w:bookmarkEnd w:id="30"/>
      <w:bookmarkEnd w:id="31"/>
      <w:bookmarkEnd w:id="32"/>
      <w:r>
        <w:t>n</w:t>
      </w:r>
      <w:bookmarkEnd w:id="33"/>
      <w:bookmarkEnd w:id="34"/>
    </w:p>
    <w:p w14:paraId="7A0D9308" w14:textId="77777777" w:rsidR="00275956" w:rsidRDefault="00275956" w:rsidP="00275956">
      <w:pPr>
        <w:pStyle w:val="ListParagraph"/>
        <w:numPr>
          <w:ilvl w:val="0"/>
          <w:numId w:val="46"/>
        </w:numPr>
        <w:pBdr>
          <w:top w:val="single" w:sz="4" w:space="1" w:color="auto"/>
          <w:left w:val="single" w:sz="4" w:space="4" w:color="auto"/>
          <w:bottom w:val="single" w:sz="4" w:space="1" w:color="auto"/>
          <w:right w:val="single" w:sz="4" w:space="4" w:color="auto"/>
        </w:pBdr>
      </w:pPr>
      <w:r>
        <w:t>Has ACCAN effectively performed</w:t>
      </w:r>
      <w:r w:rsidRPr="00B317D9">
        <w:t xml:space="preserve"> </w:t>
      </w:r>
      <w:r>
        <w:t>the role of representing the interests of consumers in relation to telecommunications?</w:t>
      </w:r>
    </w:p>
    <w:p w14:paraId="7A0D9309" w14:textId="77777777" w:rsidR="00275956" w:rsidRDefault="00275956" w:rsidP="00275956">
      <w:pPr>
        <w:pStyle w:val="ListParagraph"/>
        <w:numPr>
          <w:ilvl w:val="0"/>
          <w:numId w:val="46"/>
        </w:numPr>
        <w:pBdr>
          <w:top w:val="single" w:sz="4" w:space="1" w:color="auto"/>
          <w:left w:val="single" w:sz="4" w:space="4" w:color="auto"/>
          <w:bottom w:val="single" w:sz="4" w:space="1" w:color="auto"/>
          <w:right w:val="single" w:sz="4" w:space="4" w:color="auto"/>
        </w:pBdr>
      </w:pPr>
      <w:r>
        <w:t>Does ACCAN effectively engage with a broad range of stakeholders, including industry, government agencies and other consumer groups?</w:t>
      </w:r>
    </w:p>
    <w:p w14:paraId="7A0D930A" w14:textId="77777777" w:rsidR="00275956" w:rsidRDefault="00275956" w:rsidP="00275956">
      <w:pPr>
        <w:pStyle w:val="ListParagraph"/>
        <w:numPr>
          <w:ilvl w:val="0"/>
          <w:numId w:val="46"/>
        </w:numPr>
        <w:pBdr>
          <w:top w:val="single" w:sz="4" w:space="1" w:color="auto"/>
          <w:left w:val="single" w:sz="4" w:space="4" w:color="auto"/>
          <w:bottom w:val="single" w:sz="4" w:space="1" w:color="auto"/>
          <w:right w:val="single" w:sz="4" w:space="4" w:color="auto"/>
        </w:pBdr>
      </w:pPr>
      <w:r>
        <w:t>Considering the consumer representation role performed by ACCAN, has ACCAN adopted an appropriate balance between representation of general consumers and representation of those with particular needs?</w:t>
      </w:r>
    </w:p>
    <w:p w14:paraId="7A0D930B" w14:textId="77777777" w:rsidR="00275956" w:rsidRDefault="00275956" w:rsidP="00275956">
      <w:pPr>
        <w:pStyle w:val="ListParagraph"/>
        <w:numPr>
          <w:ilvl w:val="0"/>
          <w:numId w:val="46"/>
        </w:numPr>
        <w:pBdr>
          <w:top w:val="single" w:sz="4" w:space="1" w:color="auto"/>
          <w:left w:val="single" w:sz="4" w:space="4" w:color="auto"/>
          <w:bottom w:val="single" w:sz="4" w:space="1" w:color="auto"/>
          <w:right w:val="single" w:sz="4" w:space="4" w:color="auto"/>
        </w:pBdr>
      </w:pPr>
      <w:r>
        <w:t>Is a telecommunications specific consumer representative body funded by Government required or:</w:t>
      </w:r>
    </w:p>
    <w:p w14:paraId="7A0D930C" w14:textId="77777777" w:rsidR="00275956" w:rsidRDefault="00275956" w:rsidP="00275956">
      <w:pPr>
        <w:pStyle w:val="ListParagraph"/>
        <w:numPr>
          <w:ilvl w:val="0"/>
          <w:numId w:val="47"/>
        </w:numPr>
        <w:pBdr>
          <w:top w:val="single" w:sz="4" w:space="1" w:color="auto"/>
          <w:left w:val="single" w:sz="4" w:space="4" w:color="auto"/>
          <w:bottom w:val="single" w:sz="4" w:space="1" w:color="auto"/>
          <w:right w:val="single" w:sz="4" w:space="4" w:color="auto"/>
        </w:pBdr>
      </w:pPr>
      <w:r>
        <w:t>Should Government fund representation only for a body or bodies representing consumers with particular needs?</w:t>
      </w:r>
    </w:p>
    <w:p w14:paraId="7A0D930D" w14:textId="77777777" w:rsidR="00275956" w:rsidRDefault="00275956" w:rsidP="00275956">
      <w:pPr>
        <w:pStyle w:val="ListParagraph"/>
        <w:numPr>
          <w:ilvl w:val="0"/>
          <w:numId w:val="47"/>
        </w:numPr>
        <w:pBdr>
          <w:top w:val="single" w:sz="4" w:space="1" w:color="auto"/>
          <w:left w:val="single" w:sz="4" w:space="4" w:color="auto"/>
          <w:bottom w:val="single" w:sz="4" w:space="1" w:color="auto"/>
          <w:right w:val="single" w:sz="4" w:space="4" w:color="auto"/>
        </w:pBdr>
      </w:pPr>
      <w:r>
        <w:t>Could a telecommunications representation function be carried out by a general consumer body?</w:t>
      </w:r>
    </w:p>
    <w:p w14:paraId="7A0D930E" w14:textId="77777777" w:rsidR="00275956" w:rsidRDefault="00275956" w:rsidP="00275956">
      <w:pPr>
        <w:pStyle w:val="ListParagraph"/>
        <w:numPr>
          <w:ilvl w:val="0"/>
          <w:numId w:val="48"/>
        </w:numPr>
        <w:pBdr>
          <w:top w:val="single" w:sz="4" w:space="1" w:color="auto"/>
          <w:left w:val="single" w:sz="4" w:space="4" w:color="auto"/>
          <w:bottom w:val="single" w:sz="4" w:space="1" w:color="auto"/>
          <w:right w:val="single" w:sz="4" w:space="4" w:color="auto"/>
        </w:pBdr>
      </w:pPr>
      <w:r>
        <w:t>Could Government more directly measure consumer views by undertaking its own consumer research?</w:t>
      </w:r>
    </w:p>
    <w:p w14:paraId="7A0D930F" w14:textId="77777777" w:rsidR="00275956" w:rsidRPr="00275956" w:rsidRDefault="00275956" w:rsidP="00275956"/>
    <w:p w14:paraId="7A0D9310" w14:textId="77777777" w:rsidR="00541918" w:rsidRDefault="00D078C5" w:rsidP="009440F1">
      <w:pPr>
        <w:pStyle w:val="Heading3"/>
      </w:pPr>
      <w:bookmarkStart w:id="35" w:name="_Toc256000025"/>
      <w:bookmarkStart w:id="36" w:name="_Toc256000015"/>
      <w:bookmarkStart w:id="37" w:name="_Toc256000005"/>
      <w:bookmarkStart w:id="38" w:name="_Toc461528541"/>
      <w:bookmarkStart w:id="39" w:name="_Toc464555881"/>
      <w:r>
        <w:lastRenderedPageBreak/>
        <w:t>2. Independent Grants Program and research</w:t>
      </w:r>
      <w:bookmarkEnd w:id="28"/>
      <w:bookmarkEnd w:id="35"/>
      <w:bookmarkEnd w:id="36"/>
      <w:bookmarkEnd w:id="37"/>
      <w:bookmarkEnd w:id="38"/>
      <w:bookmarkEnd w:id="39"/>
    </w:p>
    <w:p w14:paraId="7A0D9311" w14:textId="77777777" w:rsidR="00541918" w:rsidRPr="00F546C9" w:rsidRDefault="00D078C5" w:rsidP="00541918">
      <w:bookmarkStart w:id="40" w:name="_Toc440743950"/>
      <w:bookmarkStart w:id="41" w:name="_Toc425261755"/>
      <w:bookmarkStart w:id="42" w:name="_Toc430002907"/>
      <w:bookmarkStart w:id="43" w:name="_Toc432147517"/>
      <w:bookmarkStart w:id="44" w:name="_Toc457219641"/>
      <w:bookmarkEnd w:id="29"/>
      <w:r>
        <w:t xml:space="preserve">Government provides funding to ACCAN for purposes in connection with research into the social, economic, environmental and technological implications of developments relating to telecommunications under subsection 593(2) of the Telco Act.  ACCAN has, to date, distributed this funding under its Independent Grants Program (IGP), which </w:t>
      </w:r>
      <w:r w:rsidRPr="00F546C9">
        <w:t>provide</w:t>
      </w:r>
      <w:r>
        <w:t>s</w:t>
      </w:r>
      <w:r w:rsidRPr="00F546C9">
        <w:t xml:space="preserve"> funding of</w:t>
      </w:r>
      <w:r w:rsidR="00DE23D1">
        <w:t xml:space="preserve"> around</w:t>
      </w:r>
      <w:r w:rsidRPr="00F546C9">
        <w:t xml:space="preserve"> $250</w:t>
      </w:r>
      <w:r>
        <w:t>,</w:t>
      </w:r>
      <w:r w:rsidRPr="00F546C9">
        <w:t>000 per annum for consumer representation or research projects</w:t>
      </w:r>
      <w:r>
        <w:t xml:space="preserve">.  There is a limit of </w:t>
      </w:r>
      <w:r>
        <w:rPr>
          <w:bCs/>
        </w:rPr>
        <w:t>$60,000 of f</w:t>
      </w:r>
      <w:r w:rsidRPr="00F546C9">
        <w:rPr>
          <w:bCs/>
        </w:rPr>
        <w:t xml:space="preserve">unding </w:t>
      </w:r>
      <w:r>
        <w:rPr>
          <w:bCs/>
        </w:rPr>
        <w:t>allocated to a single project</w:t>
      </w:r>
      <w:r w:rsidRPr="00F546C9">
        <w:rPr>
          <w:bCs/>
        </w:rPr>
        <w:t>.</w:t>
      </w:r>
      <w:r>
        <w:rPr>
          <w:bCs/>
        </w:rPr>
        <w:t xml:space="preserve"> </w:t>
      </w:r>
    </w:p>
    <w:p w14:paraId="7A0D9312" w14:textId="77777777" w:rsidR="00541918" w:rsidRDefault="00D078C5" w:rsidP="00541918">
      <w:r>
        <w:rPr>
          <w:bCs/>
        </w:rPr>
        <w:t xml:space="preserve">The IGP is </w:t>
      </w:r>
      <w:r w:rsidRPr="00CB6311">
        <w:t>independently</w:t>
      </w:r>
      <w:r>
        <w:t xml:space="preserve"> </w:t>
      </w:r>
      <w:r w:rsidRPr="00CB6311">
        <w:t>administered according to published guidelines that</w:t>
      </w:r>
      <w:r>
        <w:t xml:space="preserve"> are intended to</w:t>
      </w:r>
      <w:r w:rsidRPr="00CB6311">
        <w:t xml:space="preserve"> ensure fairness and</w:t>
      </w:r>
      <w:r>
        <w:t xml:space="preserve"> </w:t>
      </w:r>
      <w:r w:rsidRPr="00CB6311">
        <w:t>consistency.</w:t>
      </w:r>
      <w:r>
        <w:t xml:space="preserve"> </w:t>
      </w:r>
      <w:r w:rsidRPr="00CB6311">
        <w:t xml:space="preserve"> Once a grant is awarded, ACCAN enter</w:t>
      </w:r>
      <w:r>
        <w:t>s</w:t>
      </w:r>
      <w:r w:rsidRPr="00CB6311">
        <w:t xml:space="preserve"> into </w:t>
      </w:r>
      <w:r>
        <w:t xml:space="preserve">a </w:t>
      </w:r>
      <w:r w:rsidRPr="00CB6311">
        <w:t>contractual</w:t>
      </w:r>
      <w:r>
        <w:t xml:space="preserve"> arrangement with the grant recipient that specifies the grant’s o</w:t>
      </w:r>
      <w:r w:rsidRPr="00CB6311">
        <w:t>bjectives, activit</w:t>
      </w:r>
      <w:r>
        <w:t>ies</w:t>
      </w:r>
      <w:r w:rsidRPr="00CB6311">
        <w:t xml:space="preserve"> and milestone</w:t>
      </w:r>
      <w:r>
        <w:t xml:space="preserve"> payments.  Research papers funded under the IGP are publicly available on </w:t>
      </w:r>
      <w:hyperlink r:id="rId17" w:history="1">
        <w:r>
          <w:rPr>
            <w:rStyle w:val="Hyperlink"/>
          </w:rPr>
          <w:t>ACCAN’s</w:t>
        </w:r>
        <w:r w:rsidRPr="00B41562">
          <w:rPr>
            <w:rStyle w:val="Hyperlink"/>
          </w:rPr>
          <w:t xml:space="preserve"> website</w:t>
        </w:r>
      </w:hyperlink>
      <w:r>
        <w:t>.</w:t>
      </w:r>
    </w:p>
    <w:p w14:paraId="7A0D9313" w14:textId="77777777" w:rsidR="00D02E01" w:rsidRDefault="00D078C5" w:rsidP="00541918">
      <w:r>
        <w:t xml:space="preserve">Completed research projects cover a wide variety of topics, as can be seen from ACCAN’s website.  Research projects that have been cited to the </w:t>
      </w:r>
      <w:proofErr w:type="spellStart"/>
      <w:r>
        <w:t>DoCA</w:t>
      </w:r>
      <w:proofErr w:type="spellEnd"/>
      <w:r>
        <w:t xml:space="preserve"> as useful include:</w:t>
      </w:r>
    </w:p>
    <w:p w14:paraId="7A0D9314" w14:textId="77777777" w:rsidR="00D02E01" w:rsidRDefault="00D078C5" w:rsidP="001F49F8">
      <w:pPr>
        <w:pStyle w:val="Bulletlevel1"/>
      </w:pPr>
      <w:r w:rsidRPr="00D02E01">
        <w:rPr>
          <w:i/>
        </w:rPr>
        <w:t>Homeless and</w:t>
      </w:r>
      <w:r>
        <w:rPr>
          <w:i/>
        </w:rPr>
        <w:t xml:space="preserve"> Connected: </w:t>
      </w:r>
      <w:r w:rsidRPr="00D02E01">
        <w:rPr>
          <w:i/>
        </w:rPr>
        <w:t>Mobile phones and mobile internet in the lives of families and young people experiencing homelessness:</w:t>
      </w:r>
      <w:r>
        <w:t xml:space="preserve">  This research considered the importance of mobile phones to homeless people and is cited as leading to change, by extending provider assistance with bills to mobile phones and as also leading to ongoing work by telecommunications companies to assist people who are homeless. </w:t>
      </w:r>
    </w:p>
    <w:p w14:paraId="7A0D9315" w14:textId="5FBC205D" w:rsidR="00E10670" w:rsidRPr="00E10670" w:rsidRDefault="00D078C5" w:rsidP="001F49F8">
      <w:pPr>
        <w:pStyle w:val="Bulletlevel1"/>
      </w:pPr>
      <w:r>
        <w:rPr>
          <w:i/>
        </w:rPr>
        <w:t>Empowering women to end digital abuse:</w:t>
      </w:r>
      <w:r w:rsidR="008524FD">
        <w:t xml:space="preserve">  </w:t>
      </w:r>
      <w:r w:rsidR="004828C1">
        <w:t>Research</w:t>
      </w:r>
      <w:r w:rsidRPr="00D02E01">
        <w:rPr>
          <w:lang w:val="en-US"/>
        </w:rPr>
        <w:t xml:space="preserve"> about women and digital abuse </w:t>
      </w:r>
      <w:r>
        <w:rPr>
          <w:lang w:val="en-US"/>
        </w:rPr>
        <w:t xml:space="preserve">may have </w:t>
      </w:r>
      <w:r w:rsidRPr="00D02E01">
        <w:rPr>
          <w:lang w:val="en-US"/>
        </w:rPr>
        <w:t>contribut</w:t>
      </w:r>
      <w:r>
        <w:rPr>
          <w:lang w:val="en-US"/>
        </w:rPr>
        <w:t>ed</w:t>
      </w:r>
      <w:r w:rsidRPr="00D02E01">
        <w:rPr>
          <w:lang w:val="en-US"/>
        </w:rPr>
        <w:t xml:space="preserve"> to changed practices by some </w:t>
      </w:r>
      <w:r>
        <w:rPr>
          <w:lang w:val="en-US"/>
        </w:rPr>
        <w:t>telecommunications companies</w:t>
      </w:r>
      <w:r w:rsidRPr="00D02E01">
        <w:rPr>
          <w:lang w:val="en-US"/>
        </w:rPr>
        <w:t>.</w:t>
      </w:r>
    </w:p>
    <w:p w14:paraId="7A0D9316" w14:textId="77777777" w:rsidR="00E10670" w:rsidRDefault="00D078C5" w:rsidP="00E10670">
      <w:pPr>
        <w:rPr>
          <w:lang w:val="en-US"/>
        </w:rPr>
      </w:pPr>
      <w:r>
        <w:rPr>
          <w:lang w:val="en-US"/>
        </w:rPr>
        <w:t>The ACMA and the ACCC</w:t>
      </w:r>
      <w:r w:rsidRPr="00E10670">
        <w:rPr>
          <w:lang w:val="en-US"/>
        </w:rPr>
        <w:t xml:space="preserve"> </w:t>
      </w:r>
      <w:r>
        <w:rPr>
          <w:lang w:val="en-US"/>
        </w:rPr>
        <w:t>have advised that research projects relating to the following topics have been useful to them in their regulatory roles</w:t>
      </w:r>
      <w:r w:rsidRPr="00E10670">
        <w:rPr>
          <w:lang w:val="en-US"/>
        </w:rPr>
        <w:t>: comparability of mobile plans, awareness of mobile costs, affordability maps, broadband performance, consumer decision making, the future of the universal service obligation, unfair contract terms, international mobile roaming charges, external dispute resolution, quality of Voice over Internet Protocol services and use of closed captioning.</w:t>
      </w:r>
    </w:p>
    <w:p w14:paraId="7A0D9317" w14:textId="77777777" w:rsidR="007A039B" w:rsidRDefault="00D078C5" w:rsidP="00E10670">
      <w:pPr>
        <w:rPr>
          <w:lang w:val="en-US"/>
        </w:rPr>
      </w:pPr>
      <w:r>
        <w:rPr>
          <w:lang w:val="en-US"/>
        </w:rPr>
        <w:t>The manner in which the research projects are selected and funded by ACCAN raises questions as to whether:</w:t>
      </w:r>
    </w:p>
    <w:p w14:paraId="7A0D9318" w14:textId="77777777" w:rsidR="007A039B" w:rsidRPr="007A039B" w:rsidRDefault="00D078C5" w:rsidP="001F49F8">
      <w:pPr>
        <w:pStyle w:val="Bulletlevel1"/>
      </w:pPr>
      <w:r w:rsidRPr="007A039B">
        <w:rPr>
          <w:lang w:val="en-US"/>
        </w:rPr>
        <w:t>the research projects are planned to achieve strategic outcomes, for example, with regard to areas of policy development that Government has advised it is considering</w:t>
      </w:r>
      <w:r>
        <w:rPr>
          <w:lang w:val="en-US"/>
        </w:rPr>
        <w:t>;</w:t>
      </w:r>
    </w:p>
    <w:p w14:paraId="7A0D9319" w14:textId="77777777" w:rsidR="007A039B" w:rsidRPr="007A039B" w:rsidRDefault="00D078C5" w:rsidP="001F49F8">
      <w:pPr>
        <w:pStyle w:val="Bulletlevel1"/>
      </w:pPr>
      <w:r>
        <w:rPr>
          <w:lang w:val="en-US"/>
        </w:rPr>
        <w:t>sufficient funding is available to allow research of sufficient depth and scope to meaningfully influence Government policy;</w:t>
      </w:r>
    </w:p>
    <w:p w14:paraId="7A0D931A" w14:textId="77777777" w:rsidR="007A039B" w:rsidRPr="007A039B" w:rsidRDefault="00D078C5" w:rsidP="001F49F8">
      <w:pPr>
        <w:pStyle w:val="Bulletlevel1"/>
      </w:pPr>
      <w:r>
        <w:rPr>
          <w:lang w:val="en-US"/>
        </w:rPr>
        <w:t>too many small research projects are being undertaken, too frequently; and</w:t>
      </w:r>
    </w:p>
    <w:p w14:paraId="7A0D931B" w14:textId="77777777" w:rsidR="00541918" w:rsidRDefault="00D078C5" w:rsidP="001F49F8">
      <w:pPr>
        <w:pStyle w:val="Bulletlevel1"/>
      </w:pPr>
      <w:proofErr w:type="gramStart"/>
      <w:r>
        <w:rPr>
          <w:lang w:val="en-US"/>
        </w:rPr>
        <w:t>the</w:t>
      </w:r>
      <w:proofErr w:type="gramEnd"/>
      <w:r>
        <w:rPr>
          <w:lang w:val="en-US"/>
        </w:rPr>
        <w:t xml:space="preserve"> approach adopted encourages collaboration with industry, Government’s own research programs and/or universities</w:t>
      </w:r>
      <w:r w:rsidRPr="007A039B">
        <w:rPr>
          <w:lang w:val="en-US"/>
        </w:rPr>
        <w:t>.</w:t>
      </w:r>
      <w:r>
        <w:t xml:space="preserve">  </w:t>
      </w:r>
    </w:p>
    <w:p w14:paraId="7A0D931C" w14:textId="77777777" w:rsidR="00541918" w:rsidRDefault="00D078C5" w:rsidP="00541918">
      <w:r>
        <w:t xml:space="preserve">It is also appropriate to consider whether a consumer body such as ACCAN is the appropriate body to be responsible for this funding.  As mentioned previously, the Commonwealth Government has established the BCR within </w:t>
      </w:r>
      <w:proofErr w:type="spellStart"/>
      <w:r>
        <w:t>DoCA</w:t>
      </w:r>
      <w:proofErr w:type="spellEnd"/>
      <w:r>
        <w:t>.  It could be more appropriate for this research to be undertaken via the BCR or, to take another alternative, via one or more universities.</w:t>
      </w:r>
    </w:p>
    <w:p w14:paraId="7A0D931D" w14:textId="77777777" w:rsidR="00720F96" w:rsidRDefault="00720F96">
      <w:pPr>
        <w:spacing w:after="160" w:line="259" w:lineRule="auto"/>
        <w:rPr>
          <w:rFonts w:asciiTheme="majorHAnsi" w:eastAsiaTheme="majorEastAsia" w:hAnsiTheme="majorHAnsi" w:cstheme="majorBidi"/>
          <w:b/>
          <w:iCs/>
          <w:color w:val="07478C"/>
          <w:sz w:val="24"/>
        </w:rPr>
      </w:pPr>
      <w:bookmarkStart w:id="45" w:name="_Toc256000026"/>
      <w:bookmarkStart w:id="46" w:name="_Toc256000016"/>
      <w:bookmarkStart w:id="47" w:name="_Toc256000006"/>
      <w:bookmarkStart w:id="48" w:name="_Toc461528542"/>
      <w:r>
        <w:br w:type="page"/>
      </w:r>
    </w:p>
    <w:p w14:paraId="7A0D931E" w14:textId="77777777" w:rsidR="00541918" w:rsidRDefault="00D078C5" w:rsidP="008D7BB2">
      <w:pPr>
        <w:pStyle w:val="Heading4"/>
      </w:pPr>
      <w:bookmarkStart w:id="49" w:name="_Toc464555882"/>
      <w:r>
        <w:lastRenderedPageBreak/>
        <w:t>Questions</w:t>
      </w:r>
      <w:r w:rsidRPr="005A2C55">
        <w:t xml:space="preserve"> for consideration</w:t>
      </w:r>
      <w:bookmarkEnd w:id="45"/>
      <w:bookmarkEnd w:id="46"/>
      <w:bookmarkEnd w:id="47"/>
      <w:bookmarkEnd w:id="48"/>
      <w:bookmarkEnd w:id="49"/>
    </w:p>
    <w:p w14:paraId="7A0D931F" w14:textId="77777777" w:rsidR="000852B4" w:rsidRDefault="00D078C5" w:rsidP="00FE1709">
      <w:pPr>
        <w:pStyle w:val="Bulletlevel1"/>
        <w:numPr>
          <w:ilvl w:val="0"/>
          <w:numId w:val="45"/>
        </w:numPr>
        <w:pBdr>
          <w:top w:val="single" w:sz="4" w:space="1" w:color="auto"/>
          <w:left w:val="single" w:sz="4" w:space="4" w:color="auto"/>
          <w:bottom w:val="single" w:sz="4" w:space="1" w:color="auto"/>
          <w:right w:val="single" w:sz="4" w:space="4" w:color="auto"/>
        </w:pBdr>
      </w:pPr>
      <w:r>
        <w:t>Have you seen any examples of how research funded through the IGP has influenced Government policy or the behaviour of industry?  Could changes be made to the IGP to make the funded research projects more influential?</w:t>
      </w:r>
    </w:p>
    <w:p w14:paraId="7A0D9320" w14:textId="77777777" w:rsidR="000852B4" w:rsidRDefault="00D078C5" w:rsidP="00FE1709">
      <w:pPr>
        <w:pStyle w:val="Bulletlevel1"/>
        <w:numPr>
          <w:ilvl w:val="0"/>
          <w:numId w:val="45"/>
        </w:numPr>
        <w:pBdr>
          <w:top w:val="single" w:sz="4" w:space="1" w:color="auto"/>
          <w:left w:val="single" w:sz="4" w:space="4" w:color="auto"/>
          <w:bottom w:val="single" w:sz="4" w:space="1" w:color="auto"/>
          <w:right w:val="single" w:sz="4" w:space="4" w:color="auto"/>
        </w:pBdr>
      </w:pPr>
      <w:r>
        <w:t>Do you believe research funded through the IGP is useful to consumers?  Could changes be made to the IGP to make the funded research projects more useful to consumers?</w:t>
      </w:r>
    </w:p>
    <w:p w14:paraId="7A0D9321" w14:textId="77777777" w:rsidR="00541918" w:rsidRDefault="00D078C5" w:rsidP="00FE1709">
      <w:pPr>
        <w:pStyle w:val="Bulletlevel1"/>
        <w:numPr>
          <w:ilvl w:val="0"/>
          <w:numId w:val="45"/>
        </w:numPr>
        <w:pBdr>
          <w:top w:val="single" w:sz="4" w:space="1" w:color="auto"/>
          <w:left w:val="single" w:sz="4" w:space="4" w:color="auto"/>
          <w:bottom w:val="single" w:sz="4" w:space="1" w:color="auto"/>
          <w:right w:val="single" w:sz="4" w:space="4" w:color="auto"/>
        </w:pBdr>
      </w:pPr>
      <w:r>
        <w:t>Is it appropriate for the Government to continue to provide grants to a consumer representative group (or any other non-government body) to undertake research into telecommunications issues?</w:t>
      </w:r>
    </w:p>
    <w:p w14:paraId="7A0D9322" w14:textId="77777777" w:rsidR="0097100A" w:rsidRDefault="00D078C5" w:rsidP="00FE1709">
      <w:pPr>
        <w:pStyle w:val="Bulletlevel1"/>
        <w:numPr>
          <w:ilvl w:val="0"/>
          <w:numId w:val="45"/>
        </w:numPr>
        <w:pBdr>
          <w:top w:val="single" w:sz="4" w:space="1" w:color="auto"/>
          <w:left w:val="single" w:sz="4" w:space="4" w:color="auto"/>
          <w:bottom w:val="single" w:sz="4" w:space="1" w:color="auto"/>
          <w:right w:val="single" w:sz="4" w:space="4" w:color="auto"/>
        </w:pBdr>
      </w:pPr>
      <w:r>
        <w:t>If this is appropriate, what changes (if any) would you recommend to how the funding is provided and who it is provided to?</w:t>
      </w:r>
    </w:p>
    <w:p w14:paraId="7A0D9323" w14:textId="77777777" w:rsidR="004D47AE" w:rsidRDefault="00D078C5" w:rsidP="004D47AE">
      <w:pPr>
        <w:pStyle w:val="Heading3"/>
      </w:pPr>
      <w:bookmarkStart w:id="50" w:name="_Toc256000027"/>
      <w:bookmarkStart w:id="51" w:name="_Toc256000017"/>
      <w:bookmarkStart w:id="52" w:name="_Toc256000007"/>
      <w:bookmarkStart w:id="53" w:name="_Toc461528543"/>
      <w:bookmarkStart w:id="54" w:name="_Toc464555883"/>
      <w:r>
        <w:t>3. Should other activities be funded?</w:t>
      </w:r>
      <w:bookmarkEnd w:id="50"/>
      <w:bookmarkEnd w:id="51"/>
      <w:bookmarkEnd w:id="52"/>
      <w:bookmarkEnd w:id="53"/>
      <w:bookmarkEnd w:id="54"/>
    </w:p>
    <w:p w14:paraId="7A0D9324" w14:textId="77777777" w:rsidR="006E28C3" w:rsidRDefault="00D078C5" w:rsidP="004D47AE">
      <w:r>
        <w:t xml:space="preserve">The final issue for consideration is whether other activities should be funded under section 593 of the Telco Act.  </w:t>
      </w:r>
    </w:p>
    <w:p w14:paraId="7A0D9325" w14:textId="77777777" w:rsidR="004D47AE" w:rsidRPr="00F500D9" w:rsidRDefault="00D078C5" w:rsidP="004D47AE">
      <w:pPr>
        <w:rPr>
          <w:rFonts w:eastAsia="Arial Unicode MS" w:cs="Arial"/>
        </w:rPr>
      </w:pPr>
      <w:r>
        <w:t xml:space="preserve">For example, funding under section 593 is not available for consumer education.  There is a question of whether this is an activity of a consumer representative organisation that should be funded by Government or whether, for example, if there are measurable deficiencies in consumer education, it would be preferable for Government to fund the ACMA to undertake those activities.  </w:t>
      </w:r>
    </w:p>
    <w:p w14:paraId="7A0D9326" w14:textId="77777777" w:rsidR="004D47AE" w:rsidRDefault="00D078C5" w:rsidP="004D47AE">
      <w:r>
        <w:t xml:space="preserve">Another activity that could potentially be funded under section 593 of the Telco Act would be to assess and report on retail telecommunications products suitable for low income consumers.  This could subsume the function currently undertaken by Telstra’s Low Income Measures Assessment Committee. </w:t>
      </w:r>
    </w:p>
    <w:p w14:paraId="7A0D9327" w14:textId="77777777" w:rsidR="004D47AE" w:rsidRDefault="00D078C5" w:rsidP="004D47AE">
      <w:pPr>
        <w:pStyle w:val="Heading4"/>
      </w:pPr>
      <w:bookmarkStart w:id="55" w:name="_Toc256000028"/>
      <w:bookmarkStart w:id="56" w:name="_Toc256000018"/>
      <w:bookmarkStart w:id="57" w:name="_Toc256000008"/>
      <w:bookmarkStart w:id="58" w:name="_Toc461528544"/>
      <w:bookmarkStart w:id="59" w:name="_Toc464555884"/>
      <w:r>
        <w:t>Question</w:t>
      </w:r>
      <w:r w:rsidRPr="005A2C55">
        <w:t xml:space="preserve"> for consideration</w:t>
      </w:r>
      <w:bookmarkEnd w:id="55"/>
      <w:bookmarkEnd w:id="56"/>
      <w:bookmarkEnd w:id="57"/>
      <w:bookmarkEnd w:id="58"/>
      <w:bookmarkEnd w:id="59"/>
    </w:p>
    <w:p w14:paraId="7A0D9328" w14:textId="77777777" w:rsidR="004D47AE" w:rsidRDefault="00D078C5" w:rsidP="00FE1709">
      <w:pPr>
        <w:pStyle w:val="Bulletlevel1"/>
        <w:numPr>
          <w:ilvl w:val="0"/>
          <w:numId w:val="45"/>
        </w:numPr>
        <w:pBdr>
          <w:top w:val="single" w:sz="4" w:space="1" w:color="auto"/>
          <w:left w:val="single" w:sz="4" w:space="4" w:color="auto"/>
          <w:bottom w:val="single" w:sz="4" w:space="1" w:color="auto"/>
          <w:right w:val="single" w:sz="4" w:space="4" w:color="auto"/>
        </w:pBdr>
      </w:pPr>
      <w:r>
        <w:t xml:space="preserve">Should any other activities, other than consumer representation and research, be considered for funding under section 593 of the Telco Act?  If so, what should these be and what would be the rationale for funding such activities be? </w:t>
      </w:r>
    </w:p>
    <w:bookmarkEnd w:id="40"/>
    <w:bookmarkEnd w:id="41"/>
    <w:bookmarkEnd w:id="42"/>
    <w:bookmarkEnd w:id="43"/>
    <w:bookmarkEnd w:id="44"/>
    <w:p w14:paraId="7A0D9329" w14:textId="77777777" w:rsidR="00963D4B" w:rsidRDefault="00D078C5" w:rsidP="00963D4B">
      <w:pPr>
        <w:rPr>
          <w:rFonts w:asciiTheme="majorHAnsi" w:eastAsiaTheme="majorEastAsia" w:hAnsiTheme="majorHAnsi" w:cstheme="majorBidi"/>
          <w:color w:val="07478C"/>
          <w:sz w:val="36"/>
          <w:szCs w:val="26"/>
        </w:rPr>
      </w:pPr>
      <w:r>
        <w:br w:type="page"/>
      </w:r>
    </w:p>
    <w:p w14:paraId="7A0D932A" w14:textId="77777777" w:rsidR="00963D4B" w:rsidRDefault="00D078C5" w:rsidP="00963D4B">
      <w:pPr>
        <w:pStyle w:val="Heading2"/>
      </w:pPr>
      <w:bookmarkStart w:id="60" w:name="_Toc256000029"/>
      <w:bookmarkStart w:id="61" w:name="_Toc256000019"/>
      <w:bookmarkStart w:id="62" w:name="_Toc256000009"/>
      <w:bookmarkStart w:id="63" w:name="_Toc461528545"/>
      <w:bookmarkStart w:id="64" w:name="_Toc464555885"/>
      <w:r>
        <w:lastRenderedPageBreak/>
        <w:t>Consultation process</w:t>
      </w:r>
      <w:bookmarkEnd w:id="60"/>
      <w:bookmarkEnd w:id="61"/>
      <w:bookmarkEnd w:id="62"/>
      <w:bookmarkEnd w:id="63"/>
      <w:bookmarkEnd w:id="64"/>
    </w:p>
    <w:p w14:paraId="7A0D932B" w14:textId="77777777" w:rsidR="007A039B" w:rsidRDefault="00D078C5" w:rsidP="00963D4B">
      <w:r>
        <w:t>Submissions do not need to be confined to responses to the questions raised in this consultation paper.  Other issues relevant to the review should be discussed, where considered appropriate by any respondent.</w:t>
      </w:r>
    </w:p>
    <w:p w14:paraId="7A0D932C" w14:textId="78C0559F" w:rsidR="00963D4B" w:rsidRDefault="00D078C5" w:rsidP="00963D4B">
      <w:r w:rsidRPr="009705EA">
        <w:t>Submissions are invited by</w:t>
      </w:r>
      <w:r>
        <w:t xml:space="preserve"> </w:t>
      </w:r>
      <w:r w:rsidR="003C5CBE">
        <w:t xml:space="preserve">5pm AEST on </w:t>
      </w:r>
      <w:r w:rsidR="00C02690">
        <w:t>Fri</w:t>
      </w:r>
      <w:r w:rsidR="00E36543">
        <w:t xml:space="preserve">day, </w:t>
      </w:r>
      <w:r w:rsidR="00C02690">
        <w:t>25</w:t>
      </w:r>
      <w:r>
        <w:t xml:space="preserve"> </w:t>
      </w:r>
      <w:r w:rsidR="00C75557">
        <w:t>November</w:t>
      </w:r>
      <w:r>
        <w:t xml:space="preserve"> </w:t>
      </w:r>
      <w:r w:rsidRPr="001270B0">
        <w:t>2016</w:t>
      </w:r>
      <w:r>
        <w:t xml:space="preserve"> and may be lodged in the following ways:</w:t>
      </w:r>
    </w:p>
    <w:p w14:paraId="7A0D932D" w14:textId="77777777" w:rsidR="00963D4B" w:rsidRDefault="00D078C5" w:rsidP="00963D4B">
      <w:pPr>
        <w:ind w:left="1418" w:hanging="1418"/>
      </w:pPr>
      <w:r>
        <w:t>WEBSITE:</w:t>
      </w:r>
      <w:r>
        <w:tab/>
      </w:r>
      <w:hyperlink r:id="rId18" w:history="1">
        <w:r w:rsidRPr="00E243F6">
          <w:rPr>
            <w:rStyle w:val="Hyperlink"/>
          </w:rPr>
          <w:t>www.communications.gov.au/have-your-say</w:t>
        </w:r>
      </w:hyperlink>
    </w:p>
    <w:p w14:paraId="7A0D932E" w14:textId="77777777" w:rsidR="00963D4B" w:rsidRDefault="00D078C5" w:rsidP="00963D4B">
      <w:pPr>
        <w:ind w:left="1418" w:hanging="1418"/>
        <w:rPr>
          <w:b/>
        </w:rPr>
      </w:pPr>
      <w:r>
        <w:t>EMAIL:</w:t>
      </w:r>
      <w:r>
        <w:tab/>
      </w:r>
      <w:hyperlink r:id="rId19" w:history="1">
        <w:r w:rsidRPr="00097DEB">
          <w:rPr>
            <w:rStyle w:val="Hyperlink"/>
          </w:rPr>
          <w:t>accanreview@communications.gov.au</w:t>
        </w:r>
      </w:hyperlink>
      <w:r>
        <w:t xml:space="preserve"> </w:t>
      </w:r>
    </w:p>
    <w:p w14:paraId="7A0D932F" w14:textId="77777777" w:rsidR="00963D4B" w:rsidRDefault="00D078C5" w:rsidP="00963D4B">
      <w:pPr>
        <w:pStyle w:val="NoSpacing"/>
        <w:spacing w:after="240"/>
        <w:ind w:left="1418" w:hanging="1418"/>
      </w:pPr>
      <w:r>
        <w:t>POST:</w:t>
      </w:r>
      <w:r>
        <w:tab/>
        <w:t>ACCAN Review</w:t>
      </w:r>
      <w:r>
        <w:br/>
      </w:r>
      <w:r w:rsidRPr="00E35643">
        <w:t>Department of Communications and the Arts</w:t>
      </w:r>
      <w:r>
        <w:br/>
        <w:t>PO Box 13310, Law Courts</w:t>
      </w:r>
      <w:r>
        <w:br/>
      </w:r>
      <w:r w:rsidRPr="009705EA">
        <w:t>MELBOURNE VIC 8010</w:t>
      </w:r>
    </w:p>
    <w:p w14:paraId="7A0D9330" w14:textId="77777777" w:rsidR="00963D4B" w:rsidRPr="00CD4DB2" w:rsidRDefault="00D078C5" w:rsidP="00963D4B">
      <w:r w:rsidRPr="00CD4DB2">
        <w:t xml:space="preserve">Submissions must include the respondent’s name, organisation (if relevant) and contact details. Submissions with no verifiable contact </w:t>
      </w:r>
      <w:r>
        <w:t>details will not be considered.</w:t>
      </w:r>
    </w:p>
    <w:p w14:paraId="7A0D9331" w14:textId="77777777" w:rsidR="00963D4B" w:rsidRPr="00CD4DB2" w:rsidRDefault="00D078C5" w:rsidP="00963D4B">
      <w:r w:rsidRPr="00CD4DB2">
        <w:t xml:space="preserve">Respondents should be aware that submissions will generally </w:t>
      </w:r>
      <w:r>
        <w:t xml:space="preserve">be </w:t>
      </w:r>
      <w:r w:rsidRPr="00CD4DB2">
        <w:t xml:space="preserve">made publicly available, including on the Department’s website. The Department reserves the right not to publish any submission, or part of a submission, </w:t>
      </w:r>
      <w:r>
        <w:t>at</w:t>
      </w:r>
      <w:r w:rsidRPr="00CD4DB2">
        <w:t xml:space="preserve"> its absolute discretion. No correspondence will be entered into with respondents in relation to any decisions by the Department not to publish a submission in whole or in part. </w:t>
      </w:r>
    </w:p>
    <w:p w14:paraId="7A0D9332" w14:textId="77777777" w:rsidR="00963D4B" w:rsidRPr="00CD4DB2" w:rsidRDefault="00D078C5" w:rsidP="00963D4B">
      <w:r w:rsidRPr="00CD4DB2">
        <w:t xml:space="preserve">All submissions will be treated as non-confidential information, and therefore able to be made publicly available by the Department, unless a respondent specifically requests its submission, or a part of its submission, is kept confidential, and acceptable reasons accompany the request. Email disclaimers will not be considered sufficient confidentiality requests. The Department is subject to the </w:t>
      </w:r>
      <w:r w:rsidRPr="00CD4DB2">
        <w:rPr>
          <w:i/>
          <w:iCs/>
        </w:rPr>
        <w:t xml:space="preserve">Freedom of Information Act 1982 </w:t>
      </w:r>
      <w:r w:rsidRPr="00CD4DB2">
        <w:t xml:space="preserve">and submissions may be required to be disclosed by the Department in response to requests made under that Act. </w:t>
      </w:r>
    </w:p>
    <w:p w14:paraId="7A0D9333" w14:textId="77777777" w:rsidR="00963D4B" w:rsidRDefault="00D078C5" w:rsidP="00963D4B">
      <w:r w:rsidRPr="00963D4B">
        <w:rPr>
          <w:iCs/>
        </w:rPr>
        <w:t>The</w:t>
      </w:r>
      <w:r w:rsidRPr="00CD4DB2">
        <w:rPr>
          <w:i/>
          <w:iCs/>
        </w:rPr>
        <w:t xml:space="preserve"> Privacy Act 1988 </w:t>
      </w:r>
      <w:r w:rsidRPr="00CD4DB2">
        <w:t xml:space="preserve">establishes certain principles with respect to the collection, use, and disclosure of information about individuals. Any personal information respondents provide to the Department through their submission will be used for purposes related to consideration of issues raised in this paper in accordance with the Privacy Act. If a submission, or any part, is made publicly available by the Department the name of the respondent will be included with that submission, or part. Respondents should clearly indicate in their submission if they do not wish to have their name included in any publication relating to the review that the Department may publish. </w:t>
      </w:r>
    </w:p>
    <w:p w14:paraId="7A0D9334" w14:textId="77777777" w:rsidR="00963D4B" w:rsidRPr="007677C0" w:rsidRDefault="00D078C5" w:rsidP="00963D4B">
      <w:r>
        <w:t xml:space="preserve">Questions about the submission process can be directed to </w:t>
      </w:r>
      <w:hyperlink r:id="rId20" w:history="1">
        <w:r w:rsidRPr="00097DEB">
          <w:rPr>
            <w:rStyle w:val="Hyperlink"/>
          </w:rPr>
          <w:t>accanreview@communications.gov.au</w:t>
        </w:r>
      </w:hyperlink>
      <w:r w:rsidRPr="00D76D2E">
        <w:t>.</w:t>
      </w:r>
      <w:r>
        <w:rPr>
          <w:b/>
        </w:rPr>
        <w:t xml:space="preserve"> </w:t>
      </w:r>
    </w:p>
    <w:p w14:paraId="7A0D9335" w14:textId="77777777" w:rsidR="000C7CFE" w:rsidRDefault="00B36E67" w:rsidP="003C5DA8"/>
    <w:sectPr w:rsidR="000C7CFE" w:rsidSect="0084603E">
      <w:headerReference w:type="default" r:id="rId21"/>
      <w:footerReference w:type="default" r:id="rId22"/>
      <w:type w:val="continuous"/>
      <w:pgSz w:w="11906" w:h="16838"/>
      <w:pgMar w:top="1702" w:right="1133" w:bottom="1276" w:left="1440"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0D933E" w14:textId="77777777" w:rsidR="008F4DEB" w:rsidRDefault="008F4DEB">
      <w:pPr>
        <w:spacing w:after="0"/>
      </w:pPr>
      <w:r>
        <w:separator/>
      </w:r>
    </w:p>
  </w:endnote>
  <w:endnote w:type="continuationSeparator" w:id="0">
    <w:p w14:paraId="7A0D933F" w14:textId="77777777" w:rsidR="008F4DEB" w:rsidRDefault="008F4D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D9340" w14:textId="77777777" w:rsidR="00B84E55" w:rsidRDefault="00D078C5" w:rsidP="00297528">
    <w:pPr>
      <w:pStyle w:val="Footer"/>
      <w:ind w:left="-1418"/>
    </w:pPr>
    <w:r>
      <w:rPr>
        <w:noProof/>
        <w:lang w:eastAsia="en-AU"/>
      </w:rPr>
      <w:drawing>
        <wp:inline distT="0" distB="0" distL="0" distR="0" wp14:anchorId="7A0D9344" wp14:editId="7A0D9345">
          <wp:extent cx="7543447" cy="761365"/>
          <wp:effectExtent l="0" t="0" r="635" b="635"/>
          <wp:docPr id="1" name="Picture 1" descr="GPO Box 2154, Canberra ACT 2601 Australia.&#10;Telephone: 02 6271 1000&#10;Web: www.communications.gov.au.&#10;Web: www.arts.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footer-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0723" cy="762099"/>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D9343" w14:textId="77777777" w:rsidR="00B84E55" w:rsidRPr="000249BC" w:rsidRDefault="00D078C5" w:rsidP="009A56D0">
    <w:pPr>
      <w:pStyle w:val="Footer"/>
      <w:tabs>
        <w:tab w:val="clear" w:pos="9026"/>
        <w:tab w:val="right" w:pos="9333"/>
      </w:tabs>
      <w:ind w:left="-567"/>
      <w:jc w:val="right"/>
      <w:rPr>
        <w:sz w:val="18"/>
        <w:szCs w:val="18"/>
      </w:rPr>
    </w:pPr>
    <w:r>
      <w:rPr>
        <w:sz w:val="18"/>
        <w:szCs w:val="18"/>
      </w:rPr>
      <w:t>Review of section 593 of the Telecommunications Act</w:t>
    </w:r>
    <w:r>
      <w:rPr>
        <w:sz w:val="18"/>
        <w:szCs w:val="18"/>
      </w:rPr>
      <w:tab/>
    </w:r>
    <w:r w:rsidRPr="009A56D0">
      <w:rPr>
        <w:color w:val="07478C"/>
        <w:sz w:val="18"/>
        <w:szCs w:val="18"/>
      </w:rPr>
      <w:t>www.communications.gov.au</w:t>
    </w:r>
    <w:r>
      <w:rPr>
        <w:sz w:val="18"/>
        <w:szCs w:val="18"/>
      </w:rPr>
      <w:tab/>
    </w:r>
    <w:sdt>
      <w:sdtPr>
        <w:rPr>
          <w:sz w:val="18"/>
          <w:szCs w:val="18"/>
        </w:rPr>
        <w:id w:val="-984167973"/>
        <w:docPartObj>
          <w:docPartGallery w:val="Page Numbers (Top of Page)"/>
          <w:docPartUnique/>
        </w:docPartObj>
      </w:sdtPr>
      <w:sdtEndPr/>
      <w:sdtContent>
        <w:r w:rsidRPr="000249BC">
          <w:rPr>
            <w:sz w:val="18"/>
            <w:szCs w:val="18"/>
          </w:rPr>
          <w:t xml:space="preserve">Page </w:t>
        </w:r>
        <w:r w:rsidRPr="000249BC">
          <w:rPr>
            <w:bCs/>
            <w:sz w:val="18"/>
            <w:szCs w:val="18"/>
          </w:rPr>
          <w:fldChar w:fldCharType="begin"/>
        </w:r>
        <w:r w:rsidRPr="000249BC">
          <w:rPr>
            <w:bCs/>
            <w:sz w:val="18"/>
            <w:szCs w:val="18"/>
          </w:rPr>
          <w:instrText xml:space="preserve"> PAGE </w:instrText>
        </w:r>
        <w:r w:rsidRPr="000249BC">
          <w:rPr>
            <w:bCs/>
            <w:sz w:val="18"/>
            <w:szCs w:val="18"/>
          </w:rPr>
          <w:fldChar w:fldCharType="separate"/>
        </w:r>
        <w:r w:rsidR="00B36E67">
          <w:rPr>
            <w:bCs/>
            <w:noProof/>
            <w:sz w:val="18"/>
            <w:szCs w:val="18"/>
          </w:rPr>
          <w:t>10</w:t>
        </w:r>
        <w:r w:rsidRPr="000249BC">
          <w:rPr>
            <w:bCs/>
            <w:sz w:val="18"/>
            <w:szCs w:val="18"/>
          </w:rPr>
          <w:fldChar w:fldCharType="end"/>
        </w:r>
        <w:r w:rsidRPr="000249BC">
          <w:rPr>
            <w:sz w:val="18"/>
            <w:szCs w:val="18"/>
          </w:rPr>
          <w:t xml:space="preserve"> of </w:t>
        </w:r>
        <w:r w:rsidRPr="000249BC">
          <w:rPr>
            <w:bCs/>
            <w:sz w:val="18"/>
            <w:szCs w:val="18"/>
          </w:rPr>
          <w:fldChar w:fldCharType="begin"/>
        </w:r>
        <w:r w:rsidRPr="000249BC">
          <w:rPr>
            <w:bCs/>
            <w:sz w:val="18"/>
            <w:szCs w:val="18"/>
          </w:rPr>
          <w:instrText xml:space="preserve"> NUMPAGES  </w:instrText>
        </w:r>
        <w:r w:rsidRPr="000249BC">
          <w:rPr>
            <w:bCs/>
            <w:sz w:val="18"/>
            <w:szCs w:val="18"/>
          </w:rPr>
          <w:fldChar w:fldCharType="separate"/>
        </w:r>
        <w:r w:rsidR="00B36E67">
          <w:rPr>
            <w:bCs/>
            <w:noProof/>
            <w:sz w:val="18"/>
            <w:szCs w:val="18"/>
          </w:rPr>
          <w:t>10</w:t>
        </w:r>
        <w:r w:rsidRPr="000249BC">
          <w:rPr>
            <w:bCs/>
            <w:sz w:val="18"/>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D933C" w14:textId="77777777" w:rsidR="008F4DEB" w:rsidRDefault="008F4DEB">
      <w:pPr>
        <w:spacing w:after="0"/>
      </w:pPr>
      <w:r>
        <w:separator/>
      </w:r>
    </w:p>
  </w:footnote>
  <w:footnote w:type="continuationSeparator" w:id="0">
    <w:p w14:paraId="7A0D933D" w14:textId="77777777" w:rsidR="008F4DEB" w:rsidRDefault="008F4DE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D9341" w14:textId="77777777" w:rsidR="00B84E55" w:rsidRDefault="00D078C5" w:rsidP="003F0A2D">
    <w:pPr>
      <w:pStyle w:val="Header"/>
      <w:ind w:left="-1418"/>
    </w:pPr>
    <w:r>
      <w:rPr>
        <w:noProof/>
        <w:lang w:eastAsia="en-AU"/>
      </w:rPr>
      <w:drawing>
        <wp:inline distT="0" distB="0" distL="0" distR="0" wp14:anchorId="7A0D9346" wp14:editId="7A0D9347">
          <wp:extent cx="7632700" cy="408305"/>
          <wp:effectExtent l="0" t="0" r="6350" b="0"/>
          <wp:docPr id="2" name="Picture 2" descr="Background image for decorati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2700" cy="408305"/>
                  </a:xfrm>
                  <a:prstGeom prst="rect">
                    <a:avLst/>
                  </a:prstGeom>
                  <a:noFill/>
                </pic:spPr>
              </pic:pic>
            </a:graphicData>
          </a:graphic>
        </wp:inline>
      </w:drawing>
    </w:r>
  </w:p>
  <w:p w14:paraId="7A0D9342" w14:textId="77777777" w:rsidR="00B84E55" w:rsidRPr="009A56D0" w:rsidRDefault="00D078C5" w:rsidP="003C5DA8">
    <w:pPr>
      <w:pStyle w:val="Header"/>
      <w:tabs>
        <w:tab w:val="clear" w:pos="4513"/>
        <w:tab w:val="clear" w:pos="9026"/>
        <w:tab w:val="right" w:pos="9333"/>
      </w:tabs>
      <w:rPr>
        <w:color w:val="07478C"/>
      </w:rPr>
    </w:pPr>
    <w:r w:rsidRPr="009A56D0">
      <w:rPr>
        <w:color w:val="07478C"/>
      </w:rPr>
      <w:t>Department of Communications and the Arts</w:t>
    </w:r>
    <w:r w:rsidRPr="009A56D0">
      <w:rPr>
        <w:color w:val="07478C"/>
      </w:rPr>
      <w:tab/>
    </w:r>
    <w:r w:rsidR="006A4010">
      <w:rPr>
        <w:color w:val="07478C"/>
      </w:rPr>
      <w:t>October</w:t>
    </w:r>
    <w:r>
      <w:rPr>
        <w:color w:val="07478C"/>
      </w:rPr>
      <w:t xml:space="preserve">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9C6D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CE22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C0C1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A2D4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DA41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0846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226C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A421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F258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88E0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749CF"/>
    <w:multiLevelType w:val="hybridMultilevel"/>
    <w:tmpl w:val="8FC04C1E"/>
    <w:lvl w:ilvl="0" w:tplc="65F617C8">
      <w:start w:val="1"/>
      <w:numFmt w:val="bullet"/>
      <w:lvlText w:val=""/>
      <w:lvlJc w:val="left"/>
      <w:pPr>
        <w:ind w:left="720" w:hanging="360"/>
      </w:pPr>
      <w:rPr>
        <w:rFonts w:ascii="Symbol" w:hAnsi="Symbol" w:hint="default"/>
      </w:rPr>
    </w:lvl>
    <w:lvl w:ilvl="1" w:tplc="C3A88A66" w:tentative="1">
      <w:start w:val="1"/>
      <w:numFmt w:val="bullet"/>
      <w:lvlText w:val="o"/>
      <w:lvlJc w:val="left"/>
      <w:pPr>
        <w:ind w:left="1440" w:hanging="360"/>
      </w:pPr>
      <w:rPr>
        <w:rFonts w:ascii="Courier New" w:hAnsi="Courier New" w:cs="Courier New" w:hint="default"/>
      </w:rPr>
    </w:lvl>
    <w:lvl w:ilvl="2" w:tplc="E0E44B42" w:tentative="1">
      <w:start w:val="1"/>
      <w:numFmt w:val="bullet"/>
      <w:lvlText w:val=""/>
      <w:lvlJc w:val="left"/>
      <w:pPr>
        <w:ind w:left="2160" w:hanging="360"/>
      </w:pPr>
      <w:rPr>
        <w:rFonts w:ascii="Wingdings" w:hAnsi="Wingdings" w:hint="default"/>
      </w:rPr>
    </w:lvl>
    <w:lvl w:ilvl="3" w:tplc="A270118A" w:tentative="1">
      <w:start w:val="1"/>
      <w:numFmt w:val="bullet"/>
      <w:lvlText w:val=""/>
      <w:lvlJc w:val="left"/>
      <w:pPr>
        <w:ind w:left="2880" w:hanging="360"/>
      </w:pPr>
      <w:rPr>
        <w:rFonts w:ascii="Symbol" w:hAnsi="Symbol" w:hint="default"/>
      </w:rPr>
    </w:lvl>
    <w:lvl w:ilvl="4" w:tplc="5D32AF0E" w:tentative="1">
      <w:start w:val="1"/>
      <w:numFmt w:val="bullet"/>
      <w:lvlText w:val="o"/>
      <w:lvlJc w:val="left"/>
      <w:pPr>
        <w:ind w:left="3600" w:hanging="360"/>
      </w:pPr>
      <w:rPr>
        <w:rFonts w:ascii="Courier New" w:hAnsi="Courier New" w:cs="Courier New" w:hint="default"/>
      </w:rPr>
    </w:lvl>
    <w:lvl w:ilvl="5" w:tplc="39AAB1B6" w:tentative="1">
      <w:start w:val="1"/>
      <w:numFmt w:val="bullet"/>
      <w:lvlText w:val=""/>
      <w:lvlJc w:val="left"/>
      <w:pPr>
        <w:ind w:left="4320" w:hanging="360"/>
      </w:pPr>
      <w:rPr>
        <w:rFonts w:ascii="Wingdings" w:hAnsi="Wingdings" w:hint="default"/>
      </w:rPr>
    </w:lvl>
    <w:lvl w:ilvl="6" w:tplc="228CCD1E" w:tentative="1">
      <w:start w:val="1"/>
      <w:numFmt w:val="bullet"/>
      <w:lvlText w:val=""/>
      <w:lvlJc w:val="left"/>
      <w:pPr>
        <w:ind w:left="5040" w:hanging="360"/>
      </w:pPr>
      <w:rPr>
        <w:rFonts w:ascii="Symbol" w:hAnsi="Symbol" w:hint="default"/>
      </w:rPr>
    </w:lvl>
    <w:lvl w:ilvl="7" w:tplc="81F039F2" w:tentative="1">
      <w:start w:val="1"/>
      <w:numFmt w:val="bullet"/>
      <w:lvlText w:val="o"/>
      <w:lvlJc w:val="left"/>
      <w:pPr>
        <w:ind w:left="5760" w:hanging="360"/>
      </w:pPr>
      <w:rPr>
        <w:rFonts w:ascii="Courier New" w:hAnsi="Courier New" w:cs="Courier New" w:hint="default"/>
      </w:rPr>
    </w:lvl>
    <w:lvl w:ilvl="8" w:tplc="8AD81E30" w:tentative="1">
      <w:start w:val="1"/>
      <w:numFmt w:val="bullet"/>
      <w:lvlText w:val=""/>
      <w:lvlJc w:val="left"/>
      <w:pPr>
        <w:ind w:left="6480" w:hanging="360"/>
      </w:pPr>
      <w:rPr>
        <w:rFonts w:ascii="Wingdings" w:hAnsi="Wingdings" w:hint="default"/>
      </w:rPr>
    </w:lvl>
  </w:abstractNum>
  <w:abstractNum w:abstractNumId="11" w15:restartNumberingAfterBreak="0">
    <w:nsid w:val="091D47BA"/>
    <w:multiLevelType w:val="hybridMultilevel"/>
    <w:tmpl w:val="020AB9EC"/>
    <w:lvl w:ilvl="0" w:tplc="9C3299FC">
      <w:start w:val="1"/>
      <w:numFmt w:val="decimal"/>
      <w:lvlText w:val="%1."/>
      <w:lvlJc w:val="left"/>
      <w:pPr>
        <w:ind w:left="720" w:hanging="360"/>
      </w:pPr>
      <w:rPr>
        <w:rFonts w:hint="default"/>
      </w:rPr>
    </w:lvl>
    <w:lvl w:ilvl="1" w:tplc="DF5A3D80" w:tentative="1">
      <w:start w:val="1"/>
      <w:numFmt w:val="lowerLetter"/>
      <w:lvlText w:val="%2."/>
      <w:lvlJc w:val="left"/>
      <w:pPr>
        <w:ind w:left="1440" w:hanging="360"/>
      </w:pPr>
    </w:lvl>
    <w:lvl w:ilvl="2" w:tplc="C952D9B6" w:tentative="1">
      <w:start w:val="1"/>
      <w:numFmt w:val="lowerRoman"/>
      <w:lvlText w:val="%3."/>
      <w:lvlJc w:val="right"/>
      <w:pPr>
        <w:ind w:left="2160" w:hanging="180"/>
      </w:pPr>
    </w:lvl>
    <w:lvl w:ilvl="3" w:tplc="D35C2756" w:tentative="1">
      <w:start w:val="1"/>
      <w:numFmt w:val="decimal"/>
      <w:lvlText w:val="%4."/>
      <w:lvlJc w:val="left"/>
      <w:pPr>
        <w:ind w:left="2880" w:hanging="360"/>
      </w:pPr>
    </w:lvl>
    <w:lvl w:ilvl="4" w:tplc="5E148756" w:tentative="1">
      <w:start w:val="1"/>
      <w:numFmt w:val="lowerLetter"/>
      <w:lvlText w:val="%5."/>
      <w:lvlJc w:val="left"/>
      <w:pPr>
        <w:ind w:left="3600" w:hanging="360"/>
      </w:pPr>
    </w:lvl>
    <w:lvl w:ilvl="5" w:tplc="5014A384" w:tentative="1">
      <w:start w:val="1"/>
      <w:numFmt w:val="lowerRoman"/>
      <w:lvlText w:val="%6."/>
      <w:lvlJc w:val="right"/>
      <w:pPr>
        <w:ind w:left="4320" w:hanging="180"/>
      </w:pPr>
    </w:lvl>
    <w:lvl w:ilvl="6" w:tplc="A7FABC44" w:tentative="1">
      <w:start w:val="1"/>
      <w:numFmt w:val="decimal"/>
      <w:lvlText w:val="%7."/>
      <w:lvlJc w:val="left"/>
      <w:pPr>
        <w:ind w:left="5040" w:hanging="360"/>
      </w:pPr>
    </w:lvl>
    <w:lvl w:ilvl="7" w:tplc="F3326CD6" w:tentative="1">
      <w:start w:val="1"/>
      <w:numFmt w:val="lowerLetter"/>
      <w:lvlText w:val="%8."/>
      <w:lvlJc w:val="left"/>
      <w:pPr>
        <w:ind w:left="5760" w:hanging="360"/>
      </w:pPr>
    </w:lvl>
    <w:lvl w:ilvl="8" w:tplc="D2D281E8" w:tentative="1">
      <w:start w:val="1"/>
      <w:numFmt w:val="lowerRoman"/>
      <w:lvlText w:val="%9."/>
      <w:lvlJc w:val="right"/>
      <w:pPr>
        <w:ind w:left="6480" w:hanging="180"/>
      </w:pPr>
    </w:lvl>
  </w:abstractNum>
  <w:abstractNum w:abstractNumId="12" w15:restartNumberingAfterBreak="0">
    <w:nsid w:val="0C6D58EB"/>
    <w:multiLevelType w:val="hybridMultilevel"/>
    <w:tmpl w:val="D3D88548"/>
    <w:lvl w:ilvl="0" w:tplc="3600FA00">
      <w:start w:val="1"/>
      <w:numFmt w:val="decimal"/>
      <w:lvlText w:val="%1."/>
      <w:lvlJc w:val="left"/>
      <w:pPr>
        <w:ind w:left="720" w:hanging="360"/>
      </w:pPr>
      <w:rPr>
        <w:rFonts w:hint="default"/>
      </w:rPr>
    </w:lvl>
    <w:lvl w:ilvl="1" w:tplc="8DBE4282" w:tentative="1">
      <w:start w:val="1"/>
      <w:numFmt w:val="lowerLetter"/>
      <w:lvlText w:val="%2."/>
      <w:lvlJc w:val="left"/>
      <w:pPr>
        <w:ind w:left="1440" w:hanging="360"/>
      </w:pPr>
    </w:lvl>
    <w:lvl w:ilvl="2" w:tplc="07B293C0" w:tentative="1">
      <w:start w:val="1"/>
      <w:numFmt w:val="lowerRoman"/>
      <w:lvlText w:val="%3."/>
      <w:lvlJc w:val="right"/>
      <w:pPr>
        <w:ind w:left="2160" w:hanging="180"/>
      </w:pPr>
    </w:lvl>
    <w:lvl w:ilvl="3" w:tplc="AB043774" w:tentative="1">
      <w:start w:val="1"/>
      <w:numFmt w:val="decimal"/>
      <w:lvlText w:val="%4."/>
      <w:lvlJc w:val="left"/>
      <w:pPr>
        <w:ind w:left="2880" w:hanging="360"/>
      </w:pPr>
    </w:lvl>
    <w:lvl w:ilvl="4" w:tplc="AC7EF642" w:tentative="1">
      <w:start w:val="1"/>
      <w:numFmt w:val="lowerLetter"/>
      <w:lvlText w:val="%5."/>
      <w:lvlJc w:val="left"/>
      <w:pPr>
        <w:ind w:left="3600" w:hanging="360"/>
      </w:pPr>
    </w:lvl>
    <w:lvl w:ilvl="5" w:tplc="CD0E3AAA" w:tentative="1">
      <w:start w:val="1"/>
      <w:numFmt w:val="lowerRoman"/>
      <w:lvlText w:val="%6."/>
      <w:lvlJc w:val="right"/>
      <w:pPr>
        <w:ind w:left="4320" w:hanging="180"/>
      </w:pPr>
    </w:lvl>
    <w:lvl w:ilvl="6" w:tplc="D5EC4D38" w:tentative="1">
      <w:start w:val="1"/>
      <w:numFmt w:val="decimal"/>
      <w:lvlText w:val="%7."/>
      <w:lvlJc w:val="left"/>
      <w:pPr>
        <w:ind w:left="5040" w:hanging="360"/>
      </w:pPr>
    </w:lvl>
    <w:lvl w:ilvl="7" w:tplc="D7FEDEE2" w:tentative="1">
      <w:start w:val="1"/>
      <w:numFmt w:val="lowerLetter"/>
      <w:lvlText w:val="%8."/>
      <w:lvlJc w:val="left"/>
      <w:pPr>
        <w:ind w:left="5760" w:hanging="360"/>
      </w:pPr>
    </w:lvl>
    <w:lvl w:ilvl="8" w:tplc="12EE877E" w:tentative="1">
      <w:start w:val="1"/>
      <w:numFmt w:val="lowerRoman"/>
      <w:lvlText w:val="%9."/>
      <w:lvlJc w:val="right"/>
      <w:pPr>
        <w:ind w:left="6480" w:hanging="180"/>
      </w:pPr>
    </w:lvl>
  </w:abstractNum>
  <w:abstractNum w:abstractNumId="13" w15:restartNumberingAfterBreak="0">
    <w:nsid w:val="12127BA5"/>
    <w:multiLevelType w:val="hybridMultilevel"/>
    <w:tmpl w:val="96E2C8C8"/>
    <w:lvl w:ilvl="0" w:tplc="BF3026B2">
      <w:start w:val="1"/>
      <w:numFmt w:val="decimal"/>
      <w:lvlText w:val="%1."/>
      <w:lvlJc w:val="left"/>
      <w:pPr>
        <w:ind w:left="720" w:hanging="360"/>
      </w:pPr>
    </w:lvl>
    <w:lvl w:ilvl="1" w:tplc="E2B86164" w:tentative="1">
      <w:start w:val="1"/>
      <w:numFmt w:val="lowerLetter"/>
      <w:lvlText w:val="%2."/>
      <w:lvlJc w:val="left"/>
      <w:pPr>
        <w:ind w:left="1440" w:hanging="360"/>
      </w:pPr>
    </w:lvl>
    <w:lvl w:ilvl="2" w:tplc="D93C8F0E" w:tentative="1">
      <w:start w:val="1"/>
      <w:numFmt w:val="lowerRoman"/>
      <w:lvlText w:val="%3."/>
      <w:lvlJc w:val="right"/>
      <w:pPr>
        <w:ind w:left="2160" w:hanging="180"/>
      </w:pPr>
    </w:lvl>
    <w:lvl w:ilvl="3" w:tplc="772649A2" w:tentative="1">
      <w:start w:val="1"/>
      <w:numFmt w:val="decimal"/>
      <w:lvlText w:val="%4."/>
      <w:lvlJc w:val="left"/>
      <w:pPr>
        <w:ind w:left="2880" w:hanging="360"/>
      </w:pPr>
    </w:lvl>
    <w:lvl w:ilvl="4" w:tplc="5F800458" w:tentative="1">
      <w:start w:val="1"/>
      <w:numFmt w:val="lowerLetter"/>
      <w:lvlText w:val="%5."/>
      <w:lvlJc w:val="left"/>
      <w:pPr>
        <w:ind w:left="3600" w:hanging="360"/>
      </w:pPr>
    </w:lvl>
    <w:lvl w:ilvl="5" w:tplc="0BCE5B74" w:tentative="1">
      <w:start w:val="1"/>
      <w:numFmt w:val="lowerRoman"/>
      <w:lvlText w:val="%6."/>
      <w:lvlJc w:val="right"/>
      <w:pPr>
        <w:ind w:left="4320" w:hanging="180"/>
      </w:pPr>
    </w:lvl>
    <w:lvl w:ilvl="6" w:tplc="E5FA5CE8" w:tentative="1">
      <w:start w:val="1"/>
      <w:numFmt w:val="decimal"/>
      <w:lvlText w:val="%7."/>
      <w:lvlJc w:val="left"/>
      <w:pPr>
        <w:ind w:left="5040" w:hanging="360"/>
      </w:pPr>
    </w:lvl>
    <w:lvl w:ilvl="7" w:tplc="8F008D82" w:tentative="1">
      <w:start w:val="1"/>
      <w:numFmt w:val="lowerLetter"/>
      <w:lvlText w:val="%8."/>
      <w:lvlJc w:val="left"/>
      <w:pPr>
        <w:ind w:left="5760" w:hanging="360"/>
      </w:pPr>
    </w:lvl>
    <w:lvl w:ilvl="8" w:tplc="42E4A7EE" w:tentative="1">
      <w:start w:val="1"/>
      <w:numFmt w:val="lowerRoman"/>
      <w:lvlText w:val="%9."/>
      <w:lvlJc w:val="right"/>
      <w:pPr>
        <w:ind w:left="6480" w:hanging="180"/>
      </w:pPr>
    </w:lvl>
  </w:abstractNum>
  <w:abstractNum w:abstractNumId="14" w15:restartNumberingAfterBreak="0">
    <w:nsid w:val="15853C58"/>
    <w:multiLevelType w:val="hybridMultilevel"/>
    <w:tmpl w:val="78EC7A4C"/>
    <w:lvl w:ilvl="0" w:tplc="57386C10">
      <w:start w:val="1"/>
      <w:numFmt w:val="bullet"/>
      <w:lvlText w:val=""/>
      <w:lvlJc w:val="left"/>
      <w:pPr>
        <w:ind w:left="720" w:hanging="360"/>
      </w:pPr>
      <w:rPr>
        <w:rFonts w:ascii="Symbol" w:hAnsi="Symbol" w:hint="default"/>
      </w:rPr>
    </w:lvl>
    <w:lvl w:ilvl="1" w:tplc="00A4DDE2" w:tentative="1">
      <w:start w:val="1"/>
      <w:numFmt w:val="bullet"/>
      <w:lvlText w:val="o"/>
      <w:lvlJc w:val="left"/>
      <w:pPr>
        <w:ind w:left="1440" w:hanging="360"/>
      </w:pPr>
      <w:rPr>
        <w:rFonts w:ascii="Courier New" w:hAnsi="Courier New" w:cs="Courier New" w:hint="default"/>
      </w:rPr>
    </w:lvl>
    <w:lvl w:ilvl="2" w:tplc="B6F091E4" w:tentative="1">
      <w:start w:val="1"/>
      <w:numFmt w:val="bullet"/>
      <w:lvlText w:val=""/>
      <w:lvlJc w:val="left"/>
      <w:pPr>
        <w:ind w:left="2160" w:hanging="360"/>
      </w:pPr>
      <w:rPr>
        <w:rFonts w:ascii="Wingdings" w:hAnsi="Wingdings" w:hint="default"/>
      </w:rPr>
    </w:lvl>
    <w:lvl w:ilvl="3" w:tplc="419A3DCA" w:tentative="1">
      <w:start w:val="1"/>
      <w:numFmt w:val="bullet"/>
      <w:lvlText w:val=""/>
      <w:lvlJc w:val="left"/>
      <w:pPr>
        <w:ind w:left="2880" w:hanging="360"/>
      </w:pPr>
      <w:rPr>
        <w:rFonts w:ascii="Symbol" w:hAnsi="Symbol" w:hint="default"/>
      </w:rPr>
    </w:lvl>
    <w:lvl w:ilvl="4" w:tplc="F54CFFE2" w:tentative="1">
      <w:start w:val="1"/>
      <w:numFmt w:val="bullet"/>
      <w:lvlText w:val="o"/>
      <w:lvlJc w:val="left"/>
      <w:pPr>
        <w:ind w:left="3600" w:hanging="360"/>
      </w:pPr>
      <w:rPr>
        <w:rFonts w:ascii="Courier New" w:hAnsi="Courier New" w:cs="Courier New" w:hint="default"/>
      </w:rPr>
    </w:lvl>
    <w:lvl w:ilvl="5" w:tplc="2B8851E4" w:tentative="1">
      <w:start w:val="1"/>
      <w:numFmt w:val="bullet"/>
      <w:lvlText w:val=""/>
      <w:lvlJc w:val="left"/>
      <w:pPr>
        <w:ind w:left="4320" w:hanging="360"/>
      </w:pPr>
      <w:rPr>
        <w:rFonts w:ascii="Wingdings" w:hAnsi="Wingdings" w:hint="default"/>
      </w:rPr>
    </w:lvl>
    <w:lvl w:ilvl="6" w:tplc="EEACD372" w:tentative="1">
      <w:start w:val="1"/>
      <w:numFmt w:val="bullet"/>
      <w:lvlText w:val=""/>
      <w:lvlJc w:val="left"/>
      <w:pPr>
        <w:ind w:left="5040" w:hanging="360"/>
      </w:pPr>
      <w:rPr>
        <w:rFonts w:ascii="Symbol" w:hAnsi="Symbol" w:hint="default"/>
      </w:rPr>
    </w:lvl>
    <w:lvl w:ilvl="7" w:tplc="5EE03CEC" w:tentative="1">
      <w:start w:val="1"/>
      <w:numFmt w:val="bullet"/>
      <w:lvlText w:val="o"/>
      <w:lvlJc w:val="left"/>
      <w:pPr>
        <w:ind w:left="5760" w:hanging="360"/>
      </w:pPr>
      <w:rPr>
        <w:rFonts w:ascii="Courier New" w:hAnsi="Courier New" w:cs="Courier New" w:hint="default"/>
      </w:rPr>
    </w:lvl>
    <w:lvl w:ilvl="8" w:tplc="87C63560" w:tentative="1">
      <w:start w:val="1"/>
      <w:numFmt w:val="bullet"/>
      <w:lvlText w:val=""/>
      <w:lvlJc w:val="left"/>
      <w:pPr>
        <w:ind w:left="6480" w:hanging="360"/>
      </w:pPr>
      <w:rPr>
        <w:rFonts w:ascii="Wingdings" w:hAnsi="Wingdings" w:hint="default"/>
      </w:rPr>
    </w:lvl>
  </w:abstractNum>
  <w:abstractNum w:abstractNumId="15" w15:restartNumberingAfterBreak="0">
    <w:nsid w:val="194D5A53"/>
    <w:multiLevelType w:val="hybridMultilevel"/>
    <w:tmpl w:val="C74A19EC"/>
    <w:lvl w:ilvl="0" w:tplc="1C72A0EA">
      <w:start w:val="1"/>
      <w:numFmt w:val="decimal"/>
      <w:lvlText w:val="%1."/>
      <w:lvlJc w:val="left"/>
      <w:pPr>
        <w:ind w:left="720" w:hanging="360"/>
      </w:pPr>
      <w:rPr>
        <w:rFonts w:hint="default"/>
      </w:rPr>
    </w:lvl>
    <w:lvl w:ilvl="1" w:tplc="D9760F9A" w:tentative="1">
      <w:start w:val="1"/>
      <w:numFmt w:val="lowerLetter"/>
      <w:lvlText w:val="%2."/>
      <w:lvlJc w:val="left"/>
      <w:pPr>
        <w:ind w:left="1440" w:hanging="360"/>
      </w:pPr>
    </w:lvl>
    <w:lvl w:ilvl="2" w:tplc="E6B403C6" w:tentative="1">
      <w:start w:val="1"/>
      <w:numFmt w:val="lowerRoman"/>
      <w:lvlText w:val="%3."/>
      <w:lvlJc w:val="right"/>
      <w:pPr>
        <w:ind w:left="2160" w:hanging="180"/>
      </w:pPr>
    </w:lvl>
    <w:lvl w:ilvl="3" w:tplc="FAEE0A28" w:tentative="1">
      <w:start w:val="1"/>
      <w:numFmt w:val="decimal"/>
      <w:lvlText w:val="%4."/>
      <w:lvlJc w:val="left"/>
      <w:pPr>
        <w:ind w:left="2880" w:hanging="360"/>
      </w:pPr>
    </w:lvl>
    <w:lvl w:ilvl="4" w:tplc="0E4A99F2" w:tentative="1">
      <w:start w:val="1"/>
      <w:numFmt w:val="lowerLetter"/>
      <w:lvlText w:val="%5."/>
      <w:lvlJc w:val="left"/>
      <w:pPr>
        <w:ind w:left="3600" w:hanging="360"/>
      </w:pPr>
    </w:lvl>
    <w:lvl w:ilvl="5" w:tplc="662627D2" w:tentative="1">
      <w:start w:val="1"/>
      <w:numFmt w:val="lowerRoman"/>
      <w:lvlText w:val="%6."/>
      <w:lvlJc w:val="right"/>
      <w:pPr>
        <w:ind w:left="4320" w:hanging="180"/>
      </w:pPr>
    </w:lvl>
    <w:lvl w:ilvl="6" w:tplc="235CEB70" w:tentative="1">
      <w:start w:val="1"/>
      <w:numFmt w:val="decimal"/>
      <w:lvlText w:val="%7."/>
      <w:lvlJc w:val="left"/>
      <w:pPr>
        <w:ind w:left="5040" w:hanging="360"/>
      </w:pPr>
    </w:lvl>
    <w:lvl w:ilvl="7" w:tplc="A694E658" w:tentative="1">
      <w:start w:val="1"/>
      <w:numFmt w:val="lowerLetter"/>
      <w:lvlText w:val="%8."/>
      <w:lvlJc w:val="left"/>
      <w:pPr>
        <w:ind w:left="5760" w:hanging="360"/>
      </w:pPr>
    </w:lvl>
    <w:lvl w:ilvl="8" w:tplc="5A6C7B0C" w:tentative="1">
      <w:start w:val="1"/>
      <w:numFmt w:val="lowerRoman"/>
      <w:lvlText w:val="%9."/>
      <w:lvlJc w:val="right"/>
      <w:pPr>
        <w:ind w:left="6480" w:hanging="180"/>
      </w:pPr>
    </w:lvl>
  </w:abstractNum>
  <w:abstractNum w:abstractNumId="16" w15:restartNumberingAfterBreak="0">
    <w:nsid w:val="19BC7ABE"/>
    <w:multiLevelType w:val="hybridMultilevel"/>
    <w:tmpl w:val="B712C808"/>
    <w:lvl w:ilvl="0" w:tplc="1A50D74A">
      <w:start w:val="1"/>
      <w:numFmt w:val="decimal"/>
      <w:lvlText w:val="%1."/>
      <w:lvlJc w:val="left"/>
      <w:pPr>
        <w:ind w:left="502" w:hanging="360"/>
      </w:pPr>
      <w:rPr>
        <w:rFonts w:hint="default"/>
      </w:rPr>
    </w:lvl>
    <w:lvl w:ilvl="1" w:tplc="C040E4E6" w:tentative="1">
      <w:start w:val="1"/>
      <w:numFmt w:val="lowerLetter"/>
      <w:lvlText w:val="%2."/>
      <w:lvlJc w:val="left"/>
      <w:pPr>
        <w:ind w:left="1440" w:hanging="360"/>
      </w:pPr>
    </w:lvl>
    <w:lvl w:ilvl="2" w:tplc="F2B82B12" w:tentative="1">
      <w:start w:val="1"/>
      <w:numFmt w:val="lowerRoman"/>
      <w:lvlText w:val="%3."/>
      <w:lvlJc w:val="right"/>
      <w:pPr>
        <w:ind w:left="2160" w:hanging="180"/>
      </w:pPr>
    </w:lvl>
    <w:lvl w:ilvl="3" w:tplc="CF20AF8C" w:tentative="1">
      <w:start w:val="1"/>
      <w:numFmt w:val="decimal"/>
      <w:lvlText w:val="%4."/>
      <w:lvlJc w:val="left"/>
      <w:pPr>
        <w:ind w:left="2880" w:hanging="360"/>
      </w:pPr>
    </w:lvl>
    <w:lvl w:ilvl="4" w:tplc="1020DD64" w:tentative="1">
      <w:start w:val="1"/>
      <w:numFmt w:val="lowerLetter"/>
      <w:lvlText w:val="%5."/>
      <w:lvlJc w:val="left"/>
      <w:pPr>
        <w:ind w:left="3600" w:hanging="360"/>
      </w:pPr>
    </w:lvl>
    <w:lvl w:ilvl="5" w:tplc="E4AEA06C" w:tentative="1">
      <w:start w:val="1"/>
      <w:numFmt w:val="lowerRoman"/>
      <w:lvlText w:val="%6."/>
      <w:lvlJc w:val="right"/>
      <w:pPr>
        <w:ind w:left="4320" w:hanging="180"/>
      </w:pPr>
    </w:lvl>
    <w:lvl w:ilvl="6" w:tplc="FC9C84B4" w:tentative="1">
      <w:start w:val="1"/>
      <w:numFmt w:val="decimal"/>
      <w:lvlText w:val="%7."/>
      <w:lvlJc w:val="left"/>
      <w:pPr>
        <w:ind w:left="5040" w:hanging="360"/>
      </w:pPr>
    </w:lvl>
    <w:lvl w:ilvl="7" w:tplc="7AE41FF2" w:tentative="1">
      <w:start w:val="1"/>
      <w:numFmt w:val="lowerLetter"/>
      <w:lvlText w:val="%8."/>
      <w:lvlJc w:val="left"/>
      <w:pPr>
        <w:ind w:left="5760" w:hanging="360"/>
      </w:pPr>
    </w:lvl>
    <w:lvl w:ilvl="8" w:tplc="DF9A93B6" w:tentative="1">
      <w:start w:val="1"/>
      <w:numFmt w:val="lowerRoman"/>
      <w:lvlText w:val="%9."/>
      <w:lvlJc w:val="right"/>
      <w:pPr>
        <w:ind w:left="6480" w:hanging="180"/>
      </w:pPr>
    </w:lvl>
  </w:abstractNum>
  <w:abstractNum w:abstractNumId="17" w15:restartNumberingAfterBreak="0">
    <w:nsid w:val="222F2D20"/>
    <w:multiLevelType w:val="hybridMultilevel"/>
    <w:tmpl w:val="F49808D6"/>
    <w:lvl w:ilvl="0" w:tplc="3CD2CED2">
      <w:start w:val="1"/>
      <w:numFmt w:val="bullet"/>
      <w:pStyle w:val="Bulletlevel1"/>
      <w:lvlText w:val=""/>
      <w:lvlJc w:val="left"/>
      <w:pPr>
        <w:ind w:left="720" w:hanging="360"/>
      </w:pPr>
      <w:rPr>
        <w:rFonts w:ascii="Symbol" w:hAnsi="Symbol" w:hint="default"/>
        <w:caps w:val="0"/>
        <w:strike w:val="0"/>
        <w:dstrike w:val="0"/>
        <w:vanish w:val="0"/>
        <w:color w:val="005391"/>
        <w:sz w:val="22"/>
        <w:vertAlign w:val="baseline"/>
      </w:rPr>
    </w:lvl>
    <w:lvl w:ilvl="1" w:tplc="E3B410EC" w:tentative="1">
      <w:start w:val="1"/>
      <w:numFmt w:val="bullet"/>
      <w:lvlText w:val="o"/>
      <w:lvlJc w:val="left"/>
      <w:pPr>
        <w:ind w:left="1440" w:hanging="360"/>
      </w:pPr>
      <w:rPr>
        <w:rFonts w:ascii="Courier New" w:hAnsi="Courier New" w:cs="Courier New" w:hint="default"/>
      </w:rPr>
    </w:lvl>
    <w:lvl w:ilvl="2" w:tplc="866A1B14" w:tentative="1">
      <w:start w:val="1"/>
      <w:numFmt w:val="bullet"/>
      <w:lvlText w:val=""/>
      <w:lvlJc w:val="left"/>
      <w:pPr>
        <w:ind w:left="2160" w:hanging="360"/>
      </w:pPr>
      <w:rPr>
        <w:rFonts w:ascii="Wingdings" w:hAnsi="Wingdings" w:hint="default"/>
      </w:rPr>
    </w:lvl>
    <w:lvl w:ilvl="3" w:tplc="27740EFA" w:tentative="1">
      <w:start w:val="1"/>
      <w:numFmt w:val="bullet"/>
      <w:lvlText w:val=""/>
      <w:lvlJc w:val="left"/>
      <w:pPr>
        <w:ind w:left="2880" w:hanging="360"/>
      </w:pPr>
      <w:rPr>
        <w:rFonts w:ascii="Symbol" w:hAnsi="Symbol" w:hint="default"/>
      </w:rPr>
    </w:lvl>
    <w:lvl w:ilvl="4" w:tplc="D35898AC" w:tentative="1">
      <w:start w:val="1"/>
      <w:numFmt w:val="bullet"/>
      <w:lvlText w:val="o"/>
      <w:lvlJc w:val="left"/>
      <w:pPr>
        <w:ind w:left="3600" w:hanging="360"/>
      </w:pPr>
      <w:rPr>
        <w:rFonts w:ascii="Courier New" w:hAnsi="Courier New" w:cs="Courier New" w:hint="default"/>
      </w:rPr>
    </w:lvl>
    <w:lvl w:ilvl="5" w:tplc="7BF28E72" w:tentative="1">
      <w:start w:val="1"/>
      <w:numFmt w:val="bullet"/>
      <w:lvlText w:val=""/>
      <w:lvlJc w:val="left"/>
      <w:pPr>
        <w:ind w:left="4320" w:hanging="360"/>
      </w:pPr>
      <w:rPr>
        <w:rFonts w:ascii="Wingdings" w:hAnsi="Wingdings" w:hint="default"/>
      </w:rPr>
    </w:lvl>
    <w:lvl w:ilvl="6" w:tplc="484E3ACE" w:tentative="1">
      <w:start w:val="1"/>
      <w:numFmt w:val="bullet"/>
      <w:lvlText w:val=""/>
      <w:lvlJc w:val="left"/>
      <w:pPr>
        <w:ind w:left="5040" w:hanging="360"/>
      </w:pPr>
      <w:rPr>
        <w:rFonts w:ascii="Symbol" w:hAnsi="Symbol" w:hint="default"/>
      </w:rPr>
    </w:lvl>
    <w:lvl w:ilvl="7" w:tplc="5C34C24E" w:tentative="1">
      <w:start w:val="1"/>
      <w:numFmt w:val="bullet"/>
      <w:lvlText w:val="o"/>
      <w:lvlJc w:val="left"/>
      <w:pPr>
        <w:ind w:left="5760" w:hanging="360"/>
      </w:pPr>
      <w:rPr>
        <w:rFonts w:ascii="Courier New" w:hAnsi="Courier New" w:cs="Courier New" w:hint="default"/>
      </w:rPr>
    </w:lvl>
    <w:lvl w:ilvl="8" w:tplc="DBC23EBE" w:tentative="1">
      <w:start w:val="1"/>
      <w:numFmt w:val="bullet"/>
      <w:lvlText w:val=""/>
      <w:lvlJc w:val="left"/>
      <w:pPr>
        <w:ind w:left="6480" w:hanging="360"/>
      </w:pPr>
      <w:rPr>
        <w:rFonts w:ascii="Wingdings" w:hAnsi="Wingdings" w:hint="default"/>
      </w:rPr>
    </w:lvl>
  </w:abstractNum>
  <w:abstractNum w:abstractNumId="18" w15:restartNumberingAfterBreak="0">
    <w:nsid w:val="22E73581"/>
    <w:multiLevelType w:val="hybridMultilevel"/>
    <w:tmpl w:val="A3208502"/>
    <w:lvl w:ilvl="0" w:tplc="A36E5F20">
      <w:start w:val="1"/>
      <w:numFmt w:val="bullet"/>
      <w:lvlText w:val=""/>
      <w:lvlJc w:val="left"/>
      <w:pPr>
        <w:ind w:left="770" w:hanging="360"/>
      </w:pPr>
      <w:rPr>
        <w:rFonts w:ascii="Symbol" w:hAnsi="Symbol" w:hint="default"/>
      </w:rPr>
    </w:lvl>
    <w:lvl w:ilvl="1" w:tplc="A8A2CCFA" w:tentative="1">
      <w:start w:val="1"/>
      <w:numFmt w:val="bullet"/>
      <w:lvlText w:val="o"/>
      <w:lvlJc w:val="left"/>
      <w:pPr>
        <w:ind w:left="1490" w:hanging="360"/>
      </w:pPr>
      <w:rPr>
        <w:rFonts w:ascii="Courier New" w:hAnsi="Courier New" w:cs="Courier New" w:hint="default"/>
      </w:rPr>
    </w:lvl>
    <w:lvl w:ilvl="2" w:tplc="07B03DD0" w:tentative="1">
      <w:start w:val="1"/>
      <w:numFmt w:val="bullet"/>
      <w:lvlText w:val=""/>
      <w:lvlJc w:val="left"/>
      <w:pPr>
        <w:ind w:left="2210" w:hanging="360"/>
      </w:pPr>
      <w:rPr>
        <w:rFonts w:ascii="Wingdings" w:hAnsi="Wingdings" w:hint="default"/>
      </w:rPr>
    </w:lvl>
    <w:lvl w:ilvl="3" w:tplc="B6521D9E" w:tentative="1">
      <w:start w:val="1"/>
      <w:numFmt w:val="bullet"/>
      <w:lvlText w:val=""/>
      <w:lvlJc w:val="left"/>
      <w:pPr>
        <w:ind w:left="2930" w:hanging="360"/>
      </w:pPr>
      <w:rPr>
        <w:rFonts w:ascii="Symbol" w:hAnsi="Symbol" w:hint="default"/>
      </w:rPr>
    </w:lvl>
    <w:lvl w:ilvl="4" w:tplc="AFD4FB7E" w:tentative="1">
      <w:start w:val="1"/>
      <w:numFmt w:val="bullet"/>
      <w:lvlText w:val="o"/>
      <w:lvlJc w:val="left"/>
      <w:pPr>
        <w:ind w:left="3650" w:hanging="360"/>
      </w:pPr>
      <w:rPr>
        <w:rFonts w:ascii="Courier New" w:hAnsi="Courier New" w:cs="Courier New" w:hint="default"/>
      </w:rPr>
    </w:lvl>
    <w:lvl w:ilvl="5" w:tplc="A8AAF956" w:tentative="1">
      <w:start w:val="1"/>
      <w:numFmt w:val="bullet"/>
      <w:lvlText w:val=""/>
      <w:lvlJc w:val="left"/>
      <w:pPr>
        <w:ind w:left="4370" w:hanging="360"/>
      </w:pPr>
      <w:rPr>
        <w:rFonts w:ascii="Wingdings" w:hAnsi="Wingdings" w:hint="default"/>
      </w:rPr>
    </w:lvl>
    <w:lvl w:ilvl="6" w:tplc="F66C461E" w:tentative="1">
      <w:start w:val="1"/>
      <w:numFmt w:val="bullet"/>
      <w:lvlText w:val=""/>
      <w:lvlJc w:val="left"/>
      <w:pPr>
        <w:ind w:left="5090" w:hanging="360"/>
      </w:pPr>
      <w:rPr>
        <w:rFonts w:ascii="Symbol" w:hAnsi="Symbol" w:hint="default"/>
      </w:rPr>
    </w:lvl>
    <w:lvl w:ilvl="7" w:tplc="50042794" w:tentative="1">
      <w:start w:val="1"/>
      <w:numFmt w:val="bullet"/>
      <w:lvlText w:val="o"/>
      <w:lvlJc w:val="left"/>
      <w:pPr>
        <w:ind w:left="5810" w:hanging="360"/>
      </w:pPr>
      <w:rPr>
        <w:rFonts w:ascii="Courier New" w:hAnsi="Courier New" w:cs="Courier New" w:hint="default"/>
      </w:rPr>
    </w:lvl>
    <w:lvl w:ilvl="8" w:tplc="CCD20EEC" w:tentative="1">
      <w:start w:val="1"/>
      <w:numFmt w:val="bullet"/>
      <w:lvlText w:val=""/>
      <w:lvlJc w:val="left"/>
      <w:pPr>
        <w:ind w:left="6530" w:hanging="360"/>
      </w:pPr>
      <w:rPr>
        <w:rFonts w:ascii="Wingdings" w:hAnsi="Wingdings" w:hint="default"/>
      </w:rPr>
    </w:lvl>
  </w:abstractNum>
  <w:abstractNum w:abstractNumId="19" w15:restartNumberingAfterBreak="0">
    <w:nsid w:val="23273B9E"/>
    <w:multiLevelType w:val="hybridMultilevel"/>
    <w:tmpl w:val="9A065F90"/>
    <w:lvl w:ilvl="0" w:tplc="4BA456BE">
      <w:start w:val="1"/>
      <w:numFmt w:val="decimal"/>
      <w:pStyle w:val="ListParagraph"/>
      <w:lvlText w:val="%1."/>
      <w:lvlJc w:val="left"/>
      <w:pPr>
        <w:ind w:left="720" w:hanging="360"/>
      </w:pPr>
    </w:lvl>
    <w:lvl w:ilvl="1" w:tplc="39FE1742" w:tentative="1">
      <w:start w:val="1"/>
      <w:numFmt w:val="lowerLetter"/>
      <w:lvlText w:val="%2."/>
      <w:lvlJc w:val="left"/>
      <w:pPr>
        <w:ind w:left="1440" w:hanging="360"/>
      </w:pPr>
    </w:lvl>
    <w:lvl w:ilvl="2" w:tplc="A84CDBE2" w:tentative="1">
      <w:start w:val="1"/>
      <w:numFmt w:val="lowerRoman"/>
      <w:lvlText w:val="%3."/>
      <w:lvlJc w:val="right"/>
      <w:pPr>
        <w:ind w:left="2160" w:hanging="180"/>
      </w:pPr>
    </w:lvl>
    <w:lvl w:ilvl="3" w:tplc="FDA2FAF6" w:tentative="1">
      <w:start w:val="1"/>
      <w:numFmt w:val="decimal"/>
      <w:lvlText w:val="%4."/>
      <w:lvlJc w:val="left"/>
      <w:pPr>
        <w:ind w:left="2880" w:hanging="360"/>
      </w:pPr>
    </w:lvl>
    <w:lvl w:ilvl="4" w:tplc="3B0800A4" w:tentative="1">
      <w:start w:val="1"/>
      <w:numFmt w:val="lowerLetter"/>
      <w:lvlText w:val="%5."/>
      <w:lvlJc w:val="left"/>
      <w:pPr>
        <w:ind w:left="3600" w:hanging="360"/>
      </w:pPr>
    </w:lvl>
    <w:lvl w:ilvl="5" w:tplc="0AC23714" w:tentative="1">
      <w:start w:val="1"/>
      <w:numFmt w:val="lowerRoman"/>
      <w:lvlText w:val="%6."/>
      <w:lvlJc w:val="right"/>
      <w:pPr>
        <w:ind w:left="4320" w:hanging="180"/>
      </w:pPr>
    </w:lvl>
    <w:lvl w:ilvl="6" w:tplc="680E619C" w:tentative="1">
      <w:start w:val="1"/>
      <w:numFmt w:val="decimal"/>
      <w:lvlText w:val="%7."/>
      <w:lvlJc w:val="left"/>
      <w:pPr>
        <w:ind w:left="5040" w:hanging="360"/>
      </w:pPr>
    </w:lvl>
    <w:lvl w:ilvl="7" w:tplc="041AC002" w:tentative="1">
      <w:start w:val="1"/>
      <w:numFmt w:val="lowerLetter"/>
      <w:lvlText w:val="%8."/>
      <w:lvlJc w:val="left"/>
      <w:pPr>
        <w:ind w:left="5760" w:hanging="360"/>
      </w:pPr>
    </w:lvl>
    <w:lvl w:ilvl="8" w:tplc="A8B6DD2A" w:tentative="1">
      <w:start w:val="1"/>
      <w:numFmt w:val="lowerRoman"/>
      <w:lvlText w:val="%9."/>
      <w:lvlJc w:val="right"/>
      <w:pPr>
        <w:ind w:left="6480" w:hanging="180"/>
      </w:pPr>
    </w:lvl>
  </w:abstractNum>
  <w:abstractNum w:abstractNumId="20" w15:restartNumberingAfterBreak="0">
    <w:nsid w:val="2D7E02EE"/>
    <w:multiLevelType w:val="hybridMultilevel"/>
    <w:tmpl w:val="131A27D4"/>
    <w:lvl w:ilvl="0" w:tplc="33C221C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EE83910"/>
    <w:multiLevelType w:val="hybridMultilevel"/>
    <w:tmpl w:val="993E6292"/>
    <w:lvl w:ilvl="0" w:tplc="9062A43C">
      <w:start w:val="1"/>
      <w:numFmt w:val="decimal"/>
      <w:lvlText w:val="%1."/>
      <w:lvlJc w:val="left"/>
      <w:pPr>
        <w:ind w:left="502" w:hanging="360"/>
      </w:pPr>
      <w:rPr>
        <w:rFonts w:hint="default"/>
      </w:rPr>
    </w:lvl>
    <w:lvl w:ilvl="1" w:tplc="179879F2" w:tentative="1">
      <w:start w:val="1"/>
      <w:numFmt w:val="lowerLetter"/>
      <w:lvlText w:val="%2."/>
      <w:lvlJc w:val="left"/>
      <w:pPr>
        <w:ind w:left="1440" w:hanging="360"/>
      </w:pPr>
    </w:lvl>
    <w:lvl w:ilvl="2" w:tplc="9D4A86EE" w:tentative="1">
      <w:start w:val="1"/>
      <w:numFmt w:val="lowerRoman"/>
      <w:lvlText w:val="%3."/>
      <w:lvlJc w:val="right"/>
      <w:pPr>
        <w:ind w:left="2160" w:hanging="180"/>
      </w:pPr>
    </w:lvl>
    <w:lvl w:ilvl="3" w:tplc="CD32944E" w:tentative="1">
      <w:start w:val="1"/>
      <w:numFmt w:val="decimal"/>
      <w:lvlText w:val="%4."/>
      <w:lvlJc w:val="left"/>
      <w:pPr>
        <w:ind w:left="2880" w:hanging="360"/>
      </w:pPr>
    </w:lvl>
    <w:lvl w:ilvl="4" w:tplc="0002BF18" w:tentative="1">
      <w:start w:val="1"/>
      <w:numFmt w:val="lowerLetter"/>
      <w:lvlText w:val="%5."/>
      <w:lvlJc w:val="left"/>
      <w:pPr>
        <w:ind w:left="3600" w:hanging="360"/>
      </w:pPr>
    </w:lvl>
    <w:lvl w:ilvl="5" w:tplc="95F683A8" w:tentative="1">
      <w:start w:val="1"/>
      <w:numFmt w:val="lowerRoman"/>
      <w:lvlText w:val="%6."/>
      <w:lvlJc w:val="right"/>
      <w:pPr>
        <w:ind w:left="4320" w:hanging="180"/>
      </w:pPr>
    </w:lvl>
    <w:lvl w:ilvl="6" w:tplc="300A3F90" w:tentative="1">
      <w:start w:val="1"/>
      <w:numFmt w:val="decimal"/>
      <w:lvlText w:val="%7."/>
      <w:lvlJc w:val="left"/>
      <w:pPr>
        <w:ind w:left="5040" w:hanging="360"/>
      </w:pPr>
    </w:lvl>
    <w:lvl w:ilvl="7" w:tplc="CD2EEAB4" w:tentative="1">
      <w:start w:val="1"/>
      <w:numFmt w:val="lowerLetter"/>
      <w:lvlText w:val="%8."/>
      <w:lvlJc w:val="left"/>
      <w:pPr>
        <w:ind w:left="5760" w:hanging="360"/>
      </w:pPr>
    </w:lvl>
    <w:lvl w:ilvl="8" w:tplc="923EDA84" w:tentative="1">
      <w:start w:val="1"/>
      <w:numFmt w:val="lowerRoman"/>
      <w:lvlText w:val="%9."/>
      <w:lvlJc w:val="right"/>
      <w:pPr>
        <w:ind w:left="6480" w:hanging="180"/>
      </w:pPr>
    </w:lvl>
  </w:abstractNum>
  <w:abstractNum w:abstractNumId="22" w15:restartNumberingAfterBreak="0">
    <w:nsid w:val="30526CBD"/>
    <w:multiLevelType w:val="hybridMultilevel"/>
    <w:tmpl w:val="5F6875DE"/>
    <w:lvl w:ilvl="0" w:tplc="D7103170">
      <w:start w:val="1"/>
      <w:numFmt w:val="decimal"/>
      <w:lvlText w:val="%1."/>
      <w:lvlJc w:val="left"/>
      <w:pPr>
        <w:ind w:left="720" w:hanging="360"/>
      </w:pPr>
      <w:rPr>
        <w:rFonts w:hint="default"/>
      </w:rPr>
    </w:lvl>
    <w:lvl w:ilvl="1" w:tplc="0EA6587A" w:tentative="1">
      <w:start w:val="1"/>
      <w:numFmt w:val="lowerLetter"/>
      <w:lvlText w:val="%2."/>
      <w:lvlJc w:val="left"/>
      <w:pPr>
        <w:ind w:left="1440" w:hanging="360"/>
      </w:pPr>
    </w:lvl>
    <w:lvl w:ilvl="2" w:tplc="DA6AB5EA" w:tentative="1">
      <w:start w:val="1"/>
      <w:numFmt w:val="lowerRoman"/>
      <w:lvlText w:val="%3."/>
      <w:lvlJc w:val="right"/>
      <w:pPr>
        <w:ind w:left="2160" w:hanging="180"/>
      </w:pPr>
    </w:lvl>
    <w:lvl w:ilvl="3" w:tplc="895C271E" w:tentative="1">
      <w:start w:val="1"/>
      <w:numFmt w:val="decimal"/>
      <w:lvlText w:val="%4."/>
      <w:lvlJc w:val="left"/>
      <w:pPr>
        <w:ind w:left="2880" w:hanging="360"/>
      </w:pPr>
    </w:lvl>
    <w:lvl w:ilvl="4" w:tplc="088AE08E" w:tentative="1">
      <w:start w:val="1"/>
      <w:numFmt w:val="lowerLetter"/>
      <w:lvlText w:val="%5."/>
      <w:lvlJc w:val="left"/>
      <w:pPr>
        <w:ind w:left="3600" w:hanging="360"/>
      </w:pPr>
    </w:lvl>
    <w:lvl w:ilvl="5" w:tplc="6154404A" w:tentative="1">
      <w:start w:val="1"/>
      <w:numFmt w:val="lowerRoman"/>
      <w:lvlText w:val="%6."/>
      <w:lvlJc w:val="right"/>
      <w:pPr>
        <w:ind w:left="4320" w:hanging="180"/>
      </w:pPr>
    </w:lvl>
    <w:lvl w:ilvl="6" w:tplc="CF1E6380" w:tentative="1">
      <w:start w:val="1"/>
      <w:numFmt w:val="decimal"/>
      <w:lvlText w:val="%7."/>
      <w:lvlJc w:val="left"/>
      <w:pPr>
        <w:ind w:left="5040" w:hanging="360"/>
      </w:pPr>
    </w:lvl>
    <w:lvl w:ilvl="7" w:tplc="A15A9070" w:tentative="1">
      <w:start w:val="1"/>
      <w:numFmt w:val="lowerLetter"/>
      <w:lvlText w:val="%8."/>
      <w:lvlJc w:val="left"/>
      <w:pPr>
        <w:ind w:left="5760" w:hanging="360"/>
      </w:pPr>
    </w:lvl>
    <w:lvl w:ilvl="8" w:tplc="A54AB91A" w:tentative="1">
      <w:start w:val="1"/>
      <w:numFmt w:val="lowerRoman"/>
      <w:lvlText w:val="%9."/>
      <w:lvlJc w:val="right"/>
      <w:pPr>
        <w:ind w:left="6480" w:hanging="180"/>
      </w:pPr>
    </w:lvl>
  </w:abstractNum>
  <w:abstractNum w:abstractNumId="23" w15:restartNumberingAfterBreak="0">
    <w:nsid w:val="35DD28CB"/>
    <w:multiLevelType w:val="hybridMultilevel"/>
    <w:tmpl w:val="1E2ABBA6"/>
    <w:lvl w:ilvl="0" w:tplc="5F7C8CE2">
      <w:start w:val="1"/>
      <w:numFmt w:val="decimal"/>
      <w:lvlText w:val="%1."/>
      <w:lvlJc w:val="left"/>
      <w:pPr>
        <w:ind w:left="720" w:hanging="360"/>
      </w:pPr>
      <w:rPr>
        <w:rFonts w:hint="default"/>
      </w:rPr>
    </w:lvl>
    <w:lvl w:ilvl="1" w:tplc="46F8017C" w:tentative="1">
      <w:start w:val="1"/>
      <w:numFmt w:val="lowerLetter"/>
      <w:lvlText w:val="%2."/>
      <w:lvlJc w:val="left"/>
      <w:pPr>
        <w:ind w:left="1440" w:hanging="360"/>
      </w:pPr>
    </w:lvl>
    <w:lvl w:ilvl="2" w:tplc="6F7ED254" w:tentative="1">
      <w:start w:val="1"/>
      <w:numFmt w:val="lowerRoman"/>
      <w:lvlText w:val="%3."/>
      <w:lvlJc w:val="right"/>
      <w:pPr>
        <w:ind w:left="2160" w:hanging="180"/>
      </w:pPr>
    </w:lvl>
    <w:lvl w:ilvl="3" w:tplc="92FEC1E4" w:tentative="1">
      <w:start w:val="1"/>
      <w:numFmt w:val="decimal"/>
      <w:lvlText w:val="%4."/>
      <w:lvlJc w:val="left"/>
      <w:pPr>
        <w:ind w:left="2880" w:hanging="360"/>
      </w:pPr>
    </w:lvl>
    <w:lvl w:ilvl="4" w:tplc="C7DCF4BE" w:tentative="1">
      <w:start w:val="1"/>
      <w:numFmt w:val="lowerLetter"/>
      <w:lvlText w:val="%5."/>
      <w:lvlJc w:val="left"/>
      <w:pPr>
        <w:ind w:left="3600" w:hanging="360"/>
      </w:pPr>
    </w:lvl>
    <w:lvl w:ilvl="5" w:tplc="B1F20004" w:tentative="1">
      <w:start w:val="1"/>
      <w:numFmt w:val="lowerRoman"/>
      <w:lvlText w:val="%6."/>
      <w:lvlJc w:val="right"/>
      <w:pPr>
        <w:ind w:left="4320" w:hanging="180"/>
      </w:pPr>
    </w:lvl>
    <w:lvl w:ilvl="6" w:tplc="DD080DE6" w:tentative="1">
      <w:start w:val="1"/>
      <w:numFmt w:val="decimal"/>
      <w:lvlText w:val="%7."/>
      <w:lvlJc w:val="left"/>
      <w:pPr>
        <w:ind w:left="5040" w:hanging="360"/>
      </w:pPr>
    </w:lvl>
    <w:lvl w:ilvl="7" w:tplc="930E03C6" w:tentative="1">
      <w:start w:val="1"/>
      <w:numFmt w:val="lowerLetter"/>
      <w:lvlText w:val="%8."/>
      <w:lvlJc w:val="left"/>
      <w:pPr>
        <w:ind w:left="5760" w:hanging="360"/>
      </w:pPr>
    </w:lvl>
    <w:lvl w:ilvl="8" w:tplc="FBCC5C2C" w:tentative="1">
      <w:start w:val="1"/>
      <w:numFmt w:val="lowerRoman"/>
      <w:lvlText w:val="%9."/>
      <w:lvlJc w:val="right"/>
      <w:pPr>
        <w:ind w:left="6480" w:hanging="180"/>
      </w:pPr>
    </w:lvl>
  </w:abstractNum>
  <w:abstractNum w:abstractNumId="24" w15:restartNumberingAfterBreak="0">
    <w:nsid w:val="3B7371D4"/>
    <w:multiLevelType w:val="hybridMultilevel"/>
    <w:tmpl w:val="286C12F6"/>
    <w:lvl w:ilvl="0" w:tplc="BC246ACA">
      <w:start w:val="1"/>
      <w:numFmt w:val="bullet"/>
      <w:lvlText w:val=""/>
      <w:lvlJc w:val="left"/>
      <w:pPr>
        <w:ind w:left="770" w:hanging="360"/>
      </w:pPr>
      <w:rPr>
        <w:rFonts w:ascii="Symbol" w:hAnsi="Symbol" w:hint="default"/>
      </w:rPr>
    </w:lvl>
    <w:lvl w:ilvl="1" w:tplc="4074F42E" w:tentative="1">
      <w:start w:val="1"/>
      <w:numFmt w:val="bullet"/>
      <w:lvlText w:val="o"/>
      <w:lvlJc w:val="left"/>
      <w:pPr>
        <w:ind w:left="1490" w:hanging="360"/>
      </w:pPr>
      <w:rPr>
        <w:rFonts w:ascii="Courier New" w:hAnsi="Courier New" w:cs="Courier New" w:hint="default"/>
      </w:rPr>
    </w:lvl>
    <w:lvl w:ilvl="2" w:tplc="1EE6B3A6" w:tentative="1">
      <w:start w:val="1"/>
      <w:numFmt w:val="bullet"/>
      <w:lvlText w:val=""/>
      <w:lvlJc w:val="left"/>
      <w:pPr>
        <w:ind w:left="2210" w:hanging="360"/>
      </w:pPr>
      <w:rPr>
        <w:rFonts w:ascii="Wingdings" w:hAnsi="Wingdings" w:hint="default"/>
      </w:rPr>
    </w:lvl>
    <w:lvl w:ilvl="3" w:tplc="73DE6594" w:tentative="1">
      <w:start w:val="1"/>
      <w:numFmt w:val="bullet"/>
      <w:lvlText w:val=""/>
      <w:lvlJc w:val="left"/>
      <w:pPr>
        <w:ind w:left="2930" w:hanging="360"/>
      </w:pPr>
      <w:rPr>
        <w:rFonts w:ascii="Symbol" w:hAnsi="Symbol" w:hint="default"/>
      </w:rPr>
    </w:lvl>
    <w:lvl w:ilvl="4" w:tplc="42424808" w:tentative="1">
      <w:start w:val="1"/>
      <w:numFmt w:val="bullet"/>
      <w:lvlText w:val="o"/>
      <w:lvlJc w:val="left"/>
      <w:pPr>
        <w:ind w:left="3650" w:hanging="360"/>
      </w:pPr>
      <w:rPr>
        <w:rFonts w:ascii="Courier New" w:hAnsi="Courier New" w:cs="Courier New" w:hint="default"/>
      </w:rPr>
    </w:lvl>
    <w:lvl w:ilvl="5" w:tplc="BA26CBDE" w:tentative="1">
      <w:start w:val="1"/>
      <w:numFmt w:val="bullet"/>
      <w:lvlText w:val=""/>
      <w:lvlJc w:val="left"/>
      <w:pPr>
        <w:ind w:left="4370" w:hanging="360"/>
      </w:pPr>
      <w:rPr>
        <w:rFonts w:ascii="Wingdings" w:hAnsi="Wingdings" w:hint="default"/>
      </w:rPr>
    </w:lvl>
    <w:lvl w:ilvl="6" w:tplc="B0DC925C" w:tentative="1">
      <w:start w:val="1"/>
      <w:numFmt w:val="bullet"/>
      <w:lvlText w:val=""/>
      <w:lvlJc w:val="left"/>
      <w:pPr>
        <w:ind w:left="5090" w:hanging="360"/>
      </w:pPr>
      <w:rPr>
        <w:rFonts w:ascii="Symbol" w:hAnsi="Symbol" w:hint="default"/>
      </w:rPr>
    </w:lvl>
    <w:lvl w:ilvl="7" w:tplc="5D9EE044" w:tentative="1">
      <w:start w:val="1"/>
      <w:numFmt w:val="bullet"/>
      <w:lvlText w:val="o"/>
      <w:lvlJc w:val="left"/>
      <w:pPr>
        <w:ind w:left="5810" w:hanging="360"/>
      </w:pPr>
      <w:rPr>
        <w:rFonts w:ascii="Courier New" w:hAnsi="Courier New" w:cs="Courier New" w:hint="default"/>
      </w:rPr>
    </w:lvl>
    <w:lvl w:ilvl="8" w:tplc="239C7A48" w:tentative="1">
      <w:start w:val="1"/>
      <w:numFmt w:val="bullet"/>
      <w:lvlText w:val=""/>
      <w:lvlJc w:val="left"/>
      <w:pPr>
        <w:ind w:left="6530" w:hanging="360"/>
      </w:pPr>
      <w:rPr>
        <w:rFonts w:ascii="Wingdings" w:hAnsi="Wingdings" w:hint="default"/>
      </w:rPr>
    </w:lvl>
  </w:abstractNum>
  <w:abstractNum w:abstractNumId="25" w15:restartNumberingAfterBreak="0">
    <w:nsid w:val="445E0015"/>
    <w:multiLevelType w:val="hybridMultilevel"/>
    <w:tmpl w:val="18FA83D8"/>
    <w:lvl w:ilvl="0" w:tplc="FEB65928">
      <w:start w:val="1"/>
      <w:numFmt w:val="decimal"/>
      <w:lvlText w:val="%1."/>
      <w:lvlJc w:val="left"/>
      <w:pPr>
        <w:ind w:left="720" w:hanging="360"/>
      </w:pPr>
      <w:rPr>
        <w:rFonts w:hint="default"/>
      </w:rPr>
    </w:lvl>
    <w:lvl w:ilvl="1" w:tplc="EDDE10B4" w:tentative="1">
      <w:start w:val="1"/>
      <w:numFmt w:val="lowerLetter"/>
      <w:lvlText w:val="%2."/>
      <w:lvlJc w:val="left"/>
      <w:pPr>
        <w:ind w:left="1440" w:hanging="360"/>
      </w:pPr>
    </w:lvl>
    <w:lvl w:ilvl="2" w:tplc="1522FD72" w:tentative="1">
      <w:start w:val="1"/>
      <w:numFmt w:val="lowerRoman"/>
      <w:lvlText w:val="%3."/>
      <w:lvlJc w:val="right"/>
      <w:pPr>
        <w:ind w:left="2160" w:hanging="180"/>
      </w:pPr>
    </w:lvl>
    <w:lvl w:ilvl="3" w:tplc="BDE80DFC" w:tentative="1">
      <w:start w:val="1"/>
      <w:numFmt w:val="decimal"/>
      <w:lvlText w:val="%4."/>
      <w:lvlJc w:val="left"/>
      <w:pPr>
        <w:ind w:left="2880" w:hanging="360"/>
      </w:pPr>
    </w:lvl>
    <w:lvl w:ilvl="4" w:tplc="BB32ED40" w:tentative="1">
      <w:start w:val="1"/>
      <w:numFmt w:val="lowerLetter"/>
      <w:lvlText w:val="%5."/>
      <w:lvlJc w:val="left"/>
      <w:pPr>
        <w:ind w:left="3600" w:hanging="360"/>
      </w:pPr>
    </w:lvl>
    <w:lvl w:ilvl="5" w:tplc="398E846C" w:tentative="1">
      <w:start w:val="1"/>
      <w:numFmt w:val="lowerRoman"/>
      <w:lvlText w:val="%6."/>
      <w:lvlJc w:val="right"/>
      <w:pPr>
        <w:ind w:left="4320" w:hanging="180"/>
      </w:pPr>
    </w:lvl>
    <w:lvl w:ilvl="6" w:tplc="A9DAB4A6" w:tentative="1">
      <w:start w:val="1"/>
      <w:numFmt w:val="decimal"/>
      <w:lvlText w:val="%7."/>
      <w:lvlJc w:val="left"/>
      <w:pPr>
        <w:ind w:left="5040" w:hanging="360"/>
      </w:pPr>
    </w:lvl>
    <w:lvl w:ilvl="7" w:tplc="F8CC6D0A" w:tentative="1">
      <w:start w:val="1"/>
      <w:numFmt w:val="lowerLetter"/>
      <w:lvlText w:val="%8."/>
      <w:lvlJc w:val="left"/>
      <w:pPr>
        <w:ind w:left="5760" w:hanging="360"/>
      </w:pPr>
    </w:lvl>
    <w:lvl w:ilvl="8" w:tplc="81F2B0BC" w:tentative="1">
      <w:start w:val="1"/>
      <w:numFmt w:val="lowerRoman"/>
      <w:lvlText w:val="%9."/>
      <w:lvlJc w:val="right"/>
      <w:pPr>
        <w:ind w:left="6480" w:hanging="180"/>
      </w:pPr>
    </w:lvl>
  </w:abstractNum>
  <w:abstractNum w:abstractNumId="26" w15:restartNumberingAfterBreak="0">
    <w:nsid w:val="456A468F"/>
    <w:multiLevelType w:val="hybridMultilevel"/>
    <w:tmpl w:val="43B29950"/>
    <w:lvl w:ilvl="0" w:tplc="54F0FD2C">
      <w:start w:val="1"/>
      <w:numFmt w:val="decimal"/>
      <w:lvlText w:val="%1."/>
      <w:lvlJc w:val="left"/>
      <w:pPr>
        <w:ind w:left="720" w:hanging="360"/>
      </w:pPr>
      <w:rPr>
        <w:rFonts w:hint="default"/>
      </w:rPr>
    </w:lvl>
    <w:lvl w:ilvl="1" w:tplc="3AD21B0E" w:tentative="1">
      <w:start w:val="1"/>
      <w:numFmt w:val="lowerLetter"/>
      <w:lvlText w:val="%2."/>
      <w:lvlJc w:val="left"/>
      <w:pPr>
        <w:ind w:left="1440" w:hanging="360"/>
      </w:pPr>
    </w:lvl>
    <w:lvl w:ilvl="2" w:tplc="71D805B4" w:tentative="1">
      <w:start w:val="1"/>
      <w:numFmt w:val="lowerRoman"/>
      <w:lvlText w:val="%3."/>
      <w:lvlJc w:val="right"/>
      <w:pPr>
        <w:ind w:left="2160" w:hanging="180"/>
      </w:pPr>
    </w:lvl>
    <w:lvl w:ilvl="3" w:tplc="3C224F52" w:tentative="1">
      <w:start w:val="1"/>
      <w:numFmt w:val="decimal"/>
      <w:lvlText w:val="%4."/>
      <w:lvlJc w:val="left"/>
      <w:pPr>
        <w:ind w:left="2880" w:hanging="360"/>
      </w:pPr>
    </w:lvl>
    <w:lvl w:ilvl="4" w:tplc="96A48C9A" w:tentative="1">
      <w:start w:val="1"/>
      <w:numFmt w:val="lowerLetter"/>
      <w:lvlText w:val="%5."/>
      <w:lvlJc w:val="left"/>
      <w:pPr>
        <w:ind w:left="3600" w:hanging="360"/>
      </w:pPr>
    </w:lvl>
    <w:lvl w:ilvl="5" w:tplc="76EA803E" w:tentative="1">
      <w:start w:val="1"/>
      <w:numFmt w:val="lowerRoman"/>
      <w:lvlText w:val="%6."/>
      <w:lvlJc w:val="right"/>
      <w:pPr>
        <w:ind w:left="4320" w:hanging="180"/>
      </w:pPr>
    </w:lvl>
    <w:lvl w:ilvl="6" w:tplc="500A0FD8" w:tentative="1">
      <w:start w:val="1"/>
      <w:numFmt w:val="decimal"/>
      <w:lvlText w:val="%7."/>
      <w:lvlJc w:val="left"/>
      <w:pPr>
        <w:ind w:left="5040" w:hanging="360"/>
      </w:pPr>
    </w:lvl>
    <w:lvl w:ilvl="7" w:tplc="172C3066" w:tentative="1">
      <w:start w:val="1"/>
      <w:numFmt w:val="lowerLetter"/>
      <w:lvlText w:val="%8."/>
      <w:lvlJc w:val="left"/>
      <w:pPr>
        <w:ind w:left="5760" w:hanging="360"/>
      </w:pPr>
    </w:lvl>
    <w:lvl w:ilvl="8" w:tplc="0CBE47C8" w:tentative="1">
      <w:start w:val="1"/>
      <w:numFmt w:val="lowerRoman"/>
      <w:lvlText w:val="%9."/>
      <w:lvlJc w:val="right"/>
      <w:pPr>
        <w:ind w:left="6480" w:hanging="180"/>
      </w:pPr>
    </w:lvl>
  </w:abstractNum>
  <w:abstractNum w:abstractNumId="27" w15:restartNumberingAfterBreak="0">
    <w:nsid w:val="4D516DDE"/>
    <w:multiLevelType w:val="hybridMultilevel"/>
    <w:tmpl w:val="3E2C8A60"/>
    <w:lvl w:ilvl="0" w:tplc="8C1C7322">
      <w:start w:val="1"/>
      <w:numFmt w:val="bullet"/>
      <w:lvlText w:val=""/>
      <w:lvlJc w:val="left"/>
      <w:pPr>
        <w:ind w:left="720" w:hanging="360"/>
      </w:pPr>
      <w:rPr>
        <w:rFonts w:ascii="Symbol" w:hAnsi="Symbol" w:hint="default"/>
      </w:rPr>
    </w:lvl>
    <w:lvl w:ilvl="1" w:tplc="7A56DA76" w:tentative="1">
      <w:start w:val="1"/>
      <w:numFmt w:val="bullet"/>
      <w:lvlText w:val="o"/>
      <w:lvlJc w:val="left"/>
      <w:pPr>
        <w:ind w:left="1440" w:hanging="360"/>
      </w:pPr>
      <w:rPr>
        <w:rFonts w:ascii="Courier New" w:hAnsi="Courier New" w:cs="Courier New" w:hint="default"/>
      </w:rPr>
    </w:lvl>
    <w:lvl w:ilvl="2" w:tplc="6A40B1C6" w:tentative="1">
      <w:start w:val="1"/>
      <w:numFmt w:val="bullet"/>
      <w:lvlText w:val=""/>
      <w:lvlJc w:val="left"/>
      <w:pPr>
        <w:ind w:left="2160" w:hanging="360"/>
      </w:pPr>
      <w:rPr>
        <w:rFonts w:ascii="Wingdings" w:hAnsi="Wingdings" w:hint="default"/>
      </w:rPr>
    </w:lvl>
    <w:lvl w:ilvl="3" w:tplc="6B8EB5DA" w:tentative="1">
      <w:start w:val="1"/>
      <w:numFmt w:val="bullet"/>
      <w:lvlText w:val=""/>
      <w:lvlJc w:val="left"/>
      <w:pPr>
        <w:ind w:left="2880" w:hanging="360"/>
      </w:pPr>
      <w:rPr>
        <w:rFonts w:ascii="Symbol" w:hAnsi="Symbol" w:hint="default"/>
      </w:rPr>
    </w:lvl>
    <w:lvl w:ilvl="4" w:tplc="EAE4AB70" w:tentative="1">
      <w:start w:val="1"/>
      <w:numFmt w:val="bullet"/>
      <w:lvlText w:val="o"/>
      <w:lvlJc w:val="left"/>
      <w:pPr>
        <w:ind w:left="3600" w:hanging="360"/>
      </w:pPr>
      <w:rPr>
        <w:rFonts w:ascii="Courier New" w:hAnsi="Courier New" w:cs="Courier New" w:hint="default"/>
      </w:rPr>
    </w:lvl>
    <w:lvl w:ilvl="5" w:tplc="89D2AAA6" w:tentative="1">
      <w:start w:val="1"/>
      <w:numFmt w:val="bullet"/>
      <w:lvlText w:val=""/>
      <w:lvlJc w:val="left"/>
      <w:pPr>
        <w:ind w:left="4320" w:hanging="360"/>
      </w:pPr>
      <w:rPr>
        <w:rFonts w:ascii="Wingdings" w:hAnsi="Wingdings" w:hint="default"/>
      </w:rPr>
    </w:lvl>
    <w:lvl w:ilvl="6" w:tplc="3CA29712" w:tentative="1">
      <w:start w:val="1"/>
      <w:numFmt w:val="bullet"/>
      <w:lvlText w:val=""/>
      <w:lvlJc w:val="left"/>
      <w:pPr>
        <w:ind w:left="5040" w:hanging="360"/>
      </w:pPr>
      <w:rPr>
        <w:rFonts w:ascii="Symbol" w:hAnsi="Symbol" w:hint="default"/>
      </w:rPr>
    </w:lvl>
    <w:lvl w:ilvl="7" w:tplc="01E872FE" w:tentative="1">
      <w:start w:val="1"/>
      <w:numFmt w:val="bullet"/>
      <w:lvlText w:val="o"/>
      <w:lvlJc w:val="left"/>
      <w:pPr>
        <w:ind w:left="5760" w:hanging="360"/>
      </w:pPr>
      <w:rPr>
        <w:rFonts w:ascii="Courier New" w:hAnsi="Courier New" w:cs="Courier New" w:hint="default"/>
      </w:rPr>
    </w:lvl>
    <w:lvl w:ilvl="8" w:tplc="14CC4A74" w:tentative="1">
      <w:start w:val="1"/>
      <w:numFmt w:val="bullet"/>
      <w:lvlText w:val=""/>
      <w:lvlJc w:val="left"/>
      <w:pPr>
        <w:ind w:left="6480" w:hanging="360"/>
      </w:pPr>
      <w:rPr>
        <w:rFonts w:ascii="Wingdings" w:hAnsi="Wingdings" w:hint="default"/>
      </w:rPr>
    </w:lvl>
  </w:abstractNum>
  <w:abstractNum w:abstractNumId="28" w15:restartNumberingAfterBreak="0">
    <w:nsid w:val="4F0F4896"/>
    <w:multiLevelType w:val="hybridMultilevel"/>
    <w:tmpl w:val="DE446150"/>
    <w:lvl w:ilvl="0" w:tplc="993AE1F2">
      <w:start w:val="1"/>
      <w:numFmt w:val="bullet"/>
      <w:pStyle w:val="Tickedboxbulletpoint"/>
      <w:lvlText w:val=""/>
      <w:lvlJc w:val="left"/>
      <w:pPr>
        <w:ind w:left="720" w:hanging="360"/>
      </w:pPr>
      <w:rPr>
        <w:rFonts w:ascii="Wingdings" w:hAnsi="Wingdings" w:hint="default"/>
        <w:caps w:val="0"/>
        <w:strike w:val="0"/>
        <w:dstrike w:val="0"/>
        <w:vanish w:val="0"/>
        <w:webHidden w:val="0"/>
        <w:color w:val="005391"/>
        <w:sz w:val="22"/>
        <w:u w:val="none"/>
        <w:effect w:val="none"/>
        <w:vertAlign w:val="baseline"/>
        <w:specVanish w:val="0"/>
      </w:rPr>
    </w:lvl>
    <w:lvl w:ilvl="1" w:tplc="7FE63E88">
      <w:start w:val="1"/>
      <w:numFmt w:val="bullet"/>
      <w:lvlText w:val="o"/>
      <w:lvlJc w:val="left"/>
      <w:pPr>
        <w:ind w:left="1440" w:hanging="360"/>
      </w:pPr>
      <w:rPr>
        <w:rFonts w:ascii="Courier New" w:hAnsi="Courier New" w:cs="Courier New" w:hint="default"/>
      </w:rPr>
    </w:lvl>
    <w:lvl w:ilvl="2" w:tplc="66E0271E">
      <w:start w:val="1"/>
      <w:numFmt w:val="bullet"/>
      <w:lvlText w:val=""/>
      <w:lvlJc w:val="left"/>
      <w:pPr>
        <w:ind w:left="2160" w:hanging="360"/>
      </w:pPr>
      <w:rPr>
        <w:rFonts w:ascii="Wingdings" w:hAnsi="Wingdings" w:hint="default"/>
      </w:rPr>
    </w:lvl>
    <w:lvl w:ilvl="3" w:tplc="32CC0D00">
      <w:start w:val="1"/>
      <w:numFmt w:val="bullet"/>
      <w:lvlText w:val=""/>
      <w:lvlJc w:val="left"/>
      <w:pPr>
        <w:ind w:left="2880" w:hanging="360"/>
      </w:pPr>
      <w:rPr>
        <w:rFonts w:ascii="Symbol" w:hAnsi="Symbol" w:hint="default"/>
      </w:rPr>
    </w:lvl>
    <w:lvl w:ilvl="4" w:tplc="2B76C2A6">
      <w:start w:val="1"/>
      <w:numFmt w:val="bullet"/>
      <w:lvlText w:val="o"/>
      <w:lvlJc w:val="left"/>
      <w:pPr>
        <w:ind w:left="3600" w:hanging="360"/>
      </w:pPr>
      <w:rPr>
        <w:rFonts w:ascii="Courier New" w:hAnsi="Courier New" w:cs="Courier New" w:hint="default"/>
      </w:rPr>
    </w:lvl>
    <w:lvl w:ilvl="5" w:tplc="CCDA644C">
      <w:start w:val="1"/>
      <w:numFmt w:val="bullet"/>
      <w:lvlText w:val=""/>
      <w:lvlJc w:val="left"/>
      <w:pPr>
        <w:ind w:left="4320" w:hanging="360"/>
      </w:pPr>
      <w:rPr>
        <w:rFonts w:ascii="Wingdings" w:hAnsi="Wingdings" w:hint="default"/>
      </w:rPr>
    </w:lvl>
    <w:lvl w:ilvl="6" w:tplc="1F321BE4">
      <w:start w:val="1"/>
      <w:numFmt w:val="bullet"/>
      <w:lvlText w:val=""/>
      <w:lvlJc w:val="left"/>
      <w:pPr>
        <w:ind w:left="5040" w:hanging="360"/>
      </w:pPr>
      <w:rPr>
        <w:rFonts w:ascii="Symbol" w:hAnsi="Symbol" w:hint="default"/>
      </w:rPr>
    </w:lvl>
    <w:lvl w:ilvl="7" w:tplc="5330BCD8">
      <w:start w:val="1"/>
      <w:numFmt w:val="bullet"/>
      <w:lvlText w:val="o"/>
      <w:lvlJc w:val="left"/>
      <w:pPr>
        <w:ind w:left="5760" w:hanging="360"/>
      </w:pPr>
      <w:rPr>
        <w:rFonts w:ascii="Courier New" w:hAnsi="Courier New" w:cs="Courier New" w:hint="default"/>
      </w:rPr>
    </w:lvl>
    <w:lvl w:ilvl="8" w:tplc="2F88ECA8">
      <w:start w:val="1"/>
      <w:numFmt w:val="bullet"/>
      <w:lvlText w:val=""/>
      <w:lvlJc w:val="left"/>
      <w:pPr>
        <w:ind w:left="6480" w:hanging="360"/>
      </w:pPr>
      <w:rPr>
        <w:rFonts w:ascii="Wingdings" w:hAnsi="Wingdings" w:hint="default"/>
      </w:rPr>
    </w:lvl>
  </w:abstractNum>
  <w:abstractNum w:abstractNumId="29" w15:restartNumberingAfterBreak="0">
    <w:nsid w:val="4F7A3480"/>
    <w:multiLevelType w:val="hybridMultilevel"/>
    <w:tmpl w:val="216816D2"/>
    <w:lvl w:ilvl="0" w:tplc="584EFC3E">
      <w:start w:val="1"/>
      <w:numFmt w:val="decimal"/>
      <w:lvlText w:val="%1."/>
      <w:lvlJc w:val="left"/>
      <w:pPr>
        <w:ind w:left="1287" w:hanging="360"/>
      </w:pPr>
    </w:lvl>
    <w:lvl w:ilvl="1" w:tplc="72FCA7C6" w:tentative="1">
      <w:start w:val="1"/>
      <w:numFmt w:val="lowerLetter"/>
      <w:lvlText w:val="%2."/>
      <w:lvlJc w:val="left"/>
      <w:pPr>
        <w:ind w:left="2007" w:hanging="360"/>
      </w:pPr>
    </w:lvl>
    <w:lvl w:ilvl="2" w:tplc="D708E55A" w:tentative="1">
      <w:start w:val="1"/>
      <w:numFmt w:val="lowerRoman"/>
      <w:lvlText w:val="%3."/>
      <w:lvlJc w:val="right"/>
      <w:pPr>
        <w:ind w:left="2727" w:hanging="180"/>
      </w:pPr>
    </w:lvl>
    <w:lvl w:ilvl="3" w:tplc="50C2A616" w:tentative="1">
      <w:start w:val="1"/>
      <w:numFmt w:val="decimal"/>
      <w:lvlText w:val="%4."/>
      <w:lvlJc w:val="left"/>
      <w:pPr>
        <w:ind w:left="3447" w:hanging="360"/>
      </w:pPr>
    </w:lvl>
    <w:lvl w:ilvl="4" w:tplc="02F26388" w:tentative="1">
      <w:start w:val="1"/>
      <w:numFmt w:val="lowerLetter"/>
      <w:lvlText w:val="%5."/>
      <w:lvlJc w:val="left"/>
      <w:pPr>
        <w:ind w:left="4167" w:hanging="360"/>
      </w:pPr>
    </w:lvl>
    <w:lvl w:ilvl="5" w:tplc="AE601370" w:tentative="1">
      <w:start w:val="1"/>
      <w:numFmt w:val="lowerRoman"/>
      <w:lvlText w:val="%6."/>
      <w:lvlJc w:val="right"/>
      <w:pPr>
        <w:ind w:left="4887" w:hanging="180"/>
      </w:pPr>
    </w:lvl>
    <w:lvl w:ilvl="6" w:tplc="2B6E87AC" w:tentative="1">
      <w:start w:val="1"/>
      <w:numFmt w:val="decimal"/>
      <w:lvlText w:val="%7."/>
      <w:lvlJc w:val="left"/>
      <w:pPr>
        <w:ind w:left="5607" w:hanging="360"/>
      </w:pPr>
    </w:lvl>
    <w:lvl w:ilvl="7" w:tplc="667C3AA2" w:tentative="1">
      <w:start w:val="1"/>
      <w:numFmt w:val="lowerLetter"/>
      <w:lvlText w:val="%8."/>
      <w:lvlJc w:val="left"/>
      <w:pPr>
        <w:ind w:left="6327" w:hanging="360"/>
      </w:pPr>
    </w:lvl>
    <w:lvl w:ilvl="8" w:tplc="D270B248" w:tentative="1">
      <w:start w:val="1"/>
      <w:numFmt w:val="lowerRoman"/>
      <w:lvlText w:val="%9."/>
      <w:lvlJc w:val="right"/>
      <w:pPr>
        <w:ind w:left="7047" w:hanging="180"/>
      </w:pPr>
    </w:lvl>
  </w:abstractNum>
  <w:abstractNum w:abstractNumId="30" w15:restartNumberingAfterBreak="0">
    <w:nsid w:val="5545045E"/>
    <w:multiLevelType w:val="hybridMultilevel"/>
    <w:tmpl w:val="CA5E336A"/>
    <w:lvl w:ilvl="0" w:tplc="E6643D08">
      <w:start w:val="4"/>
      <w:numFmt w:val="decimal"/>
      <w:lvlText w:val="%1."/>
      <w:lvlJc w:val="left"/>
      <w:pPr>
        <w:ind w:left="502" w:hanging="360"/>
      </w:pPr>
      <w:rPr>
        <w:rFonts w:hint="default"/>
      </w:rPr>
    </w:lvl>
    <w:lvl w:ilvl="1" w:tplc="76CA8C62" w:tentative="1">
      <w:start w:val="1"/>
      <w:numFmt w:val="lowerLetter"/>
      <w:lvlText w:val="%2."/>
      <w:lvlJc w:val="left"/>
      <w:pPr>
        <w:ind w:left="1440" w:hanging="360"/>
      </w:pPr>
    </w:lvl>
    <w:lvl w:ilvl="2" w:tplc="F5C2A632" w:tentative="1">
      <w:start w:val="1"/>
      <w:numFmt w:val="lowerRoman"/>
      <w:lvlText w:val="%3."/>
      <w:lvlJc w:val="right"/>
      <w:pPr>
        <w:ind w:left="2160" w:hanging="180"/>
      </w:pPr>
    </w:lvl>
    <w:lvl w:ilvl="3" w:tplc="4CE09430" w:tentative="1">
      <w:start w:val="1"/>
      <w:numFmt w:val="decimal"/>
      <w:lvlText w:val="%4."/>
      <w:lvlJc w:val="left"/>
      <w:pPr>
        <w:ind w:left="2880" w:hanging="360"/>
      </w:pPr>
    </w:lvl>
    <w:lvl w:ilvl="4" w:tplc="65FA9E8C" w:tentative="1">
      <w:start w:val="1"/>
      <w:numFmt w:val="lowerLetter"/>
      <w:lvlText w:val="%5."/>
      <w:lvlJc w:val="left"/>
      <w:pPr>
        <w:ind w:left="3600" w:hanging="360"/>
      </w:pPr>
    </w:lvl>
    <w:lvl w:ilvl="5" w:tplc="E0EA11D0" w:tentative="1">
      <w:start w:val="1"/>
      <w:numFmt w:val="lowerRoman"/>
      <w:lvlText w:val="%6."/>
      <w:lvlJc w:val="right"/>
      <w:pPr>
        <w:ind w:left="4320" w:hanging="180"/>
      </w:pPr>
    </w:lvl>
    <w:lvl w:ilvl="6" w:tplc="D6D65052" w:tentative="1">
      <w:start w:val="1"/>
      <w:numFmt w:val="decimal"/>
      <w:lvlText w:val="%7."/>
      <w:lvlJc w:val="left"/>
      <w:pPr>
        <w:ind w:left="5040" w:hanging="360"/>
      </w:pPr>
    </w:lvl>
    <w:lvl w:ilvl="7" w:tplc="C5062A50" w:tentative="1">
      <w:start w:val="1"/>
      <w:numFmt w:val="lowerLetter"/>
      <w:lvlText w:val="%8."/>
      <w:lvlJc w:val="left"/>
      <w:pPr>
        <w:ind w:left="5760" w:hanging="360"/>
      </w:pPr>
    </w:lvl>
    <w:lvl w:ilvl="8" w:tplc="8CA4E93C" w:tentative="1">
      <w:start w:val="1"/>
      <w:numFmt w:val="lowerRoman"/>
      <w:lvlText w:val="%9."/>
      <w:lvlJc w:val="right"/>
      <w:pPr>
        <w:ind w:left="6480" w:hanging="180"/>
      </w:pPr>
    </w:lvl>
  </w:abstractNum>
  <w:abstractNum w:abstractNumId="31" w15:restartNumberingAfterBreak="0">
    <w:nsid w:val="56B054F7"/>
    <w:multiLevelType w:val="multilevel"/>
    <w:tmpl w:val="09F8E8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7CC7845"/>
    <w:multiLevelType w:val="hybridMultilevel"/>
    <w:tmpl w:val="5E266B40"/>
    <w:lvl w:ilvl="0" w:tplc="EF8EBEA2">
      <w:start w:val="1"/>
      <w:numFmt w:val="bullet"/>
      <w:lvlText w:val=""/>
      <w:lvlJc w:val="left"/>
      <w:pPr>
        <w:ind w:left="720" w:hanging="360"/>
      </w:pPr>
      <w:rPr>
        <w:rFonts w:ascii="Symbol" w:hAnsi="Symbol" w:hint="default"/>
      </w:rPr>
    </w:lvl>
    <w:lvl w:ilvl="1" w:tplc="E9A897A2" w:tentative="1">
      <w:start w:val="1"/>
      <w:numFmt w:val="bullet"/>
      <w:lvlText w:val="o"/>
      <w:lvlJc w:val="left"/>
      <w:pPr>
        <w:ind w:left="1440" w:hanging="360"/>
      </w:pPr>
      <w:rPr>
        <w:rFonts w:ascii="Courier New" w:hAnsi="Courier New" w:cs="Courier New" w:hint="default"/>
      </w:rPr>
    </w:lvl>
    <w:lvl w:ilvl="2" w:tplc="C734CADC" w:tentative="1">
      <w:start w:val="1"/>
      <w:numFmt w:val="bullet"/>
      <w:lvlText w:val=""/>
      <w:lvlJc w:val="left"/>
      <w:pPr>
        <w:ind w:left="2160" w:hanging="360"/>
      </w:pPr>
      <w:rPr>
        <w:rFonts w:ascii="Wingdings" w:hAnsi="Wingdings" w:hint="default"/>
      </w:rPr>
    </w:lvl>
    <w:lvl w:ilvl="3" w:tplc="E34C7E26" w:tentative="1">
      <w:start w:val="1"/>
      <w:numFmt w:val="bullet"/>
      <w:lvlText w:val=""/>
      <w:lvlJc w:val="left"/>
      <w:pPr>
        <w:ind w:left="2880" w:hanging="360"/>
      </w:pPr>
      <w:rPr>
        <w:rFonts w:ascii="Symbol" w:hAnsi="Symbol" w:hint="default"/>
      </w:rPr>
    </w:lvl>
    <w:lvl w:ilvl="4" w:tplc="FBEAC21A" w:tentative="1">
      <w:start w:val="1"/>
      <w:numFmt w:val="bullet"/>
      <w:lvlText w:val="o"/>
      <w:lvlJc w:val="left"/>
      <w:pPr>
        <w:ind w:left="3600" w:hanging="360"/>
      </w:pPr>
      <w:rPr>
        <w:rFonts w:ascii="Courier New" w:hAnsi="Courier New" w:cs="Courier New" w:hint="default"/>
      </w:rPr>
    </w:lvl>
    <w:lvl w:ilvl="5" w:tplc="D5FEF68E" w:tentative="1">
      <w:start w:val="1"/>
      <w:numFmt w:val="bullet"/>
      <w:lvlText w:val=""/>
      <w:lvlJc w:val="left"/>
      <w:pPr>
        <w:ind w:left="4320" w:hanging="360"/>
      </w:pPr>
      <w:rPr>
        <w:rFonts w:ascii="Wingdings" w:hAnsi="Wingdings" w:hint="default"/>
      </w:rPr>
    </w:lvl>
    <w:lvl w:ilvl="6" w:tplc="56242786" w:tentative="1">
      <w:start w:val="1"/>
      <w:numFmt w:val="bullet"/>
      <w:lvlText w:val=""/>
      <w:lvlJc w:val="left"/>
      <w:pPr>
        <w:ind w:left="5040" w:hanging="360"/>
      </w:pPr>
      <w:rPr>
        <w:rFonts w:ascii="Symbol" w:hAnsi="Symbol" w:hint="default"/>
      </w:rPr>
    </w:lvl>
    <w:lvl w:ilvl="7" w:tplc="A3D22276" w:tentative="1">
      <w:start w:val="1"/>
      <w:numFmt w:val="bullet"/>
      <w:lvlText w:val="o"/>
      <w:lvlJc w:val="left"/>
      <w:pPr>
        <w:ind w:left="5760" w:hanging="360"/>
      </w:pPr>
      <w:rPr>
        <w:rFonts w:ascii="Courier New" w:hAnsi="Courier New" w:cs="Courier New" w:hint="default"/>
      </w:rPr>
    </w:lvl>
    <w:lvl w:ilvl="8" w:tplc="9154BF04" w:tentative="1">
      <w:start w:val="1"/>
      <w:numFmt w:val="bullet"/>
      <w:lvlText w:val=""/>
      <w:lvlJc w:val="left"/>
      <w:pPr>
        <w:ind w:left="6480" w:hanging="360"/>
      </w:pPr>
      <w:rPr>
        <w:rFonts w:ascii="Wingdings" w:hAnsi="Wingdings" w:hint="default"/>
      </w:rPr>
    </w:lvl>
  </w:abstractNum>
  <w:abstractNum w:abstractNumId="33" w15:restartNumberingAfterBreak="0">
    <w:nsid w:val="5B18696D"/>
    <w:multiLevelType w:val="hybridMultilevel"/>
    <w:tmpl w:val="26C6F21A"/>
    <w:lvl w:ilvl="0" w:tplc="AA46C37A">
      <w:start w:val="1"/>
      <w:numFmt w:val="decimal"/>
      <w:lvlText w:val="%1."/>
      <w:lvlJc w:val="left"/>
      <w:pPr>
        <w:ind w:left="360" w:hanging="360"/>
      </w:pPr>
      <w:rPr>
        <w:rFonts w:hint="default"/>
      </w:rPr>
    </w:lvl>
    <w:lvl w:ilvl="1" w:tplc="9FD07F80">
      <w:start w:val="1"/>
      <w:numFmt w:val="lowerLetter"/>
      <w:lvlText w:val="%2."/>
      <w:lvlJc w:val="left"/>
      <w:pPr>
        <w:ind w:left="1080" w:hanging="360"/>
      </w:pPr>
    </w:lvl>
    <w:lvl w:ilvl="2" w:tplc="C270E38C" w:tentative="1">
      <w:start w:val="1"/>
      <w:numFmt w:val="lowerRoman"/>
      <w:lvlText w:val="%3."/>
      <w:lvlJc w:val="right"/>
      <w:pPr>
        <w:ind w:left="1800" w:hanging="180"/>
      </w:pPr>
    </w:lvl>
    <w:lvl w:ilvl="3" w:tplc="23E46C3C" w:tentative="1">
      <w:start w:val="1"/>
      <w:numFmt w:val="decimal"/>
      <w:lvlText w:val="%4."/>
      <w:lvlJc w:val="left"/>
      <w:pPr>
        <w:ind w:left="2520" w:hanging="360"/>
      </w:pPr>
    </w:lvl>
    <w:lvl w:ilvl="4" w:tplc="B344D7D0" w:tentative="1">
      <w:start w:val="1"/>
      <w:numFmt w:val="lowerLetter"/>
      <w:lvlText w:val="%5."/>
      <w:lvlJc w:val="left"/>
      <w:pPr>
        <w:ind w:left="3240" w:hanging="360"/>
      </w:pPr>
    </w:lvl>
    <w:lvl w:ilvl="5" w:tplc="D0B407C0" w:tentative="1">
      <w:start w:val="1"/>
      <w:numFmt w:val="lowerRoman"/>
      <w:lvlText w:val="%6."/>
      <w:lvlJc w:val="right"/>
      <w:pPr>
        <w:ind w:left="3960" w:hanging="180"/>
      </w:pPr>
    </w:lvl>
    <w:lvl w:ilvl="6" w:tplc="A0381F0E" w:tentative="1">
      <w:start w:val="1"/>
      <w:numFmt w:val="decimal"/>
      <w:lvlText w:val="%7."/>
      <w:lvlJc w:val="left"/>
      <w:pPr>
        <w:ind w:left="4680" w:hanging="360"/>
      </w:pPr>
    </w:lvl>
    <w:lvl w:ilvl="7" w:tplc="C56AEA42" w:tentative="1">
      <w:start w:val="1"/>
      <w:numFmt w:val="lowerLetter"/>
      <w:lvlText w:val="%8."/>
      <w:lvlJc w:val="left"/>
      <w:pPr>
        <w:ind w:left="5400" w:hanging="360"/>
      </w:pPr>
    </w:lvl>
    <w:lvl w:ilvl="8" w:tplc="76C4E36A" w:tentative="1">
      <w:start w:val="1"/>
      <w:numFmt w:val="lowerRoman"/>
      <w:lvlText w:val="%9."/>
      <w:lvlJc w:val="right"/>
      <w:pPr>
        <w:ind w:left="6120" w:hanging="180"/>
      </w:pPr>
    </w:lvl>
  </w:abstractNum>
  <w:abstractNum w:abstractNumId="34" w15:restartNumberingAfterBreak="0">
    <w:nsid w:val="5E3D13EE"/>
    <w:multiLevelType w:val="hybridMultilevel"/>
    <w:tmpl w:val="B712C808"/>
    <w:lvl w:ilvl="0" w:tplc="6B32CD50">
      <w:start w:val="1"/>
      <w:numFmt w:val="decimal"/>
      <w:lvlText w:val="%1."/>
      <w:lvlJc w:val="left"/>
      <w:pPr>
        <w:ind w:left="502" w:hanging="360"/>
      </w:pPr>
      <w:rPr>
        <w:rFonts w:hint="default"/>
      </w:rPr>
    </w:lvl>
    <w:lvl w:ilvl="1" w:tplc="11C29AD2" w:tentative="1">
      <w:start w:val="1"/>
      <w:numFmt w:val="lowerLetter"/>
      <w:lvlText w:val="%2."/>
      <w:lvlJc w:val="left"/>
      <w:pPr>
        <w:ind w:left="1440" w:hanging="360"/>
      </w:pPr>
    </w:lvl>
    <w:lvl w:ilvl="2" w:tplc="F1781C3A" w:tentative="1">
      <w:start w:val="1"/>
      <w:numFmt w:val="lowerRoman"/>
      <w:lvlText w:val="%3."/>
      <w:lvlJc w:val="right"/>
      <w:pPr>
        <w:ind w:left="2160" w:hanging="180"/>
      </w:pPr>
    </w:lvl>
    <w:lvl w:ilvl="3" w:tplc="6038DB68" w:tentative="1">
      <w:start w:val="1"/>
      <w:numFmt w:val="decimal"/>
      <w:lvlText w:val="%4."/>
      <w:lvlJc w:val="left"/>
      <w:pPr>
        <w:ind w:left="2880" w:hanging="360"/>
      </w:pPr>
    </w:lvl>
    <w:lvl w:ilvl="4" w:tplc="B450026C" w:tentative="1">
      <w:start w:val="1"/>
      <w:numFmt w:val="lowerLetter"/>
      <w:lvlText w:val="%5."/>
      <w:lvlJc w:val="left"/>
      <w:pPr>
        <w:ind w:left="3600" w:hanging="360"/>
      </w:pPr>
    </w:lvl>
    <w:lvl w:ilvl="5" w:tplc="6AAA5692" w:tentative="1">
      <w:start w:val="1"/>
      <w:numFmt w:val="lowerRoman"/>
      <w:lvlText w:val="%6."/>
      <w:lvlJc w:val="right"/>
      <w:pPr>
        <w:ind w:left="4320" w:hanging="180"/>
      </w:pPr>
    </w:lvl>
    <w:lvl w:ilvl="6" w:tplc="AAB093FA" w:tentative="1">
      <w:start w:val="1"/>
      <w:numFmt w:val="decimal"/>
      <w:lvlText w:val="%7."/>
      <w:lvlJc w:val="left"/>
      <w:pPr>
        <w:ind w:left="5040" w:hanging="360"/>
      </w:pPr>
    </w:lvl>
    <w:lvl w:ilvl="7" w:tplc="64B87E82" w:tentative="1">
      <w:start w:val="1"/>
      <w:numFmt w:val="lowerLetter"/>
      <w:lvlText w:val="%8."/>
      <w:lvlJc w:val="left"/>
      <w:pPr>
        <w:ind w:left="5760" w:hanging="360"/>
      </w:pPr>
    </w:lvl>
    <w:lvl w:ilvl="8" w:tplc="DB04C93E" w:tentative="1">
      <w:start w:val="1"/>
      <w:numFmt w:val="lowerRoman"/>
      <w:lvlText w:val="%9."/>
      <w:lvlJc w:val="right"/>
      <w:pPr>
        <w:ind w:left="6480" w:hanging="180"/>
      </w:pPr>
    </w:lvl>
  </w:abstractNum>
  <w:abstractNum w:abstractNumId="35" w15:restartNumberingAfterBreak="0">
    <w:nsid w:val="62B759C0"/>
    <w:multiLevelType w:val="hybridMultilevel"/>
    <w:tmpl w:val="E35E116E"/>
    <w:lvl w:ilvl="0" w:tplc="CFAEF526">
      <w:start w:val="1"/>
      <w:numFmt w:val="bullet"/>
      <w:lvlText w:val=""/>
      <w:lvlJc w:val="left"/>
      <w:pPr>
        <w:ind w:left="720" w:hanging="360"/>
      </w:pPr>
      <w:rPr>
        <w:rFonts w:ascii="Symbol" w:hAnsi="Symbol" w:hint="default"/>
      </w:rPr>
    </w:lvl>
    <w:lvl w:ilvl="1" w:tplc="4C12D43A" w:tentative="1">
      <w:start w:val="1"/>
      <w:numFmt w:val="bullet"/>
      <w:lvlText w:val="o"/>
      <w:lvlJc w:val="left"/>
      <w:pPr>
        <w:ind w:left="1440" w:hanging="360"/>
      </w:pPr>
      <w:rPr>
        <w:rFonts w:ascii="Courier New" w:hAnsi="Courier New" w:cs="Courier New" w:hint="default"/>
      </w:rPr>
    </w:lvl>
    <w:lvl w:ilvl="2" w:tplc="5F56C568" w:tentative="1">
      <w:start w:val="1"/>
      <w:numFmt w:val="bullet"/>
      <w:lvlText w:val=""/>
      <w:lvlJc w:val="left"/>
      <w:pPr>
        <w:ind w:left="2160" w:hanging="360"/>
      </w:pPr>
      <w:rPr>
        <w:rFonts w:ascii="Wingdings" w:hAnsi="Wingdings" w:hint="default"/>
      </w:rPr>
    </w:lvl>
    <w:lvl w:ilvl="3" w:tplc="E256BBD6" w:tentative="1">
      <w:start w:val="1"/>
      <w:numFmt w:val="bullet"/>
      <w:lvlText w:val=""/>
      <w:lvlJc w:val="left"/>
      <w:pPr>
        <w:ind w:left="2880" w:hanging="360"/>
      </w:pPr>
      <w:rPr>
        <w:rFonts w:ascii="Symbol" w:hAnsi="Symbol" w:hint="default"/>
      </w:rPr>
    </w:lvl>
    <w:lvl w:ilvl="4" w:tplc="BA6EBA1C" w:tentative="1">
      <w:start w:val="1"/>
      <w:numFmt w:val="bullet"/>
      <w:lvlText w:val="o"/>
      <w:lvlJc w:val="left"/>
      <w:pPr>
        <w:ind w:left="3600" w:hanging="360"/>
      </w:pPr>
      <w:rPr>
        <w:rFonts w:ascii="Courier New" w:hAnsi="Courier New" w:cs="Courier New" w:hint="default"/>
      </w:rPr>
    </w:lvl>
    <w:lvl w:ilvl="5" w:tplc="5B90008A" w:tentative="1">
      <w:start w:val="1"/>
      <w:numFmt w:val="bullet"/>
      <w:lvlText w:val=""/>
      <w:lvlJc w:val="left"/>
      <w:pPr>
        <w:ind w:left="4320" w:hanging="360"/>
      </w:pPr>
      <w:rPr>
        <w:rFonts w:ascii="Wingdings" w:hAnsi="Wingdings" w:hint="default"/>
      </w:rPr>
    </w:lvl>
    <w:lvl w:ilvl="6" w:tplc="2A4638DE" w:tentative="1">
      <w:start w:val="1"/>
      <w:numFmt w:val="bullet"/>
      <w:lvlText w:val=""/>
      <w:lvlJc w:val="left"/>
      <w:pPr>
        <w:ind w:left="5040" w:hanging="360"/>
      </w:pPr>
      <w:rPr>
        <w:rFonts w:ascii="Symbol" w:hAnsi="Symbol" w:hint="default"/>
      </w:rPr>
    </w:lvl>
    <w:lvl w:ilvl="7" w:tplc="E9C49442" w:tentative="1">
      <w:start w:val="1"/>
      <w:numFmt w:val="bullet"/>
      <w:lvlText w:val="o"/>
      <w:lvlJc w:val="left"/>
      <w:pPr>
        <w:ind w:left="5760" w:hanging="360"/>
      </w:pPr>
      <w:rPr>
        <w:rFonts w:ascii="Courier New" w:hAnsi="Courier New" w:cs="Courier New" w:hint="default"/>
      </w:rPr>
    </w:lvl>
    <w:lvl w:ilvl="8" w:tplc="0B38BED8" w:tentative="1">
      <w:start w:val="1"/>
      <w:numFmt w:val="bullet"/>
      <w:lvlText w:val=""/>
      <w:lvlJc w:val="left"/>
      <w:pPr>
        <w:ind w:left="6480" w:hanging="360"/>
      </w:pPr>
      <w:rPr>
        <w:rFonts w:ascii="Wingdings" w:hAnsi="Wingdings" w:hint="default"/>
      </w:rPr>
    </w:lvl>
  </w:abstractNum>
  <w:abstractNum w:abstractNumId="36" w15:restartNumberingAfterBreak="0">
    <w:nsid w:val="664773A4"/>
    <w:multiLevelType w:val="hybridMultilevel"/>
    <w:tmpl w:val="7936B162"/>
    <w:lvl w:ilvl="0" w:tplc="B96E4C88">
      <w:start w:val="5"/>
      <w:numFmt w:val="decimal"/>
      <w:lvlText w:val="%1."/>
      <w:lvlJc w:val="left"/>
      <w:pPr>
        <w:ind w:left="502" w:hanging="360"/>
      </w:pPr>
      <w:rPr>
        <w:rFonts w:hint="default"/>
      </w:rPr>
    </w:lvl>
    <w:lvl w:ilvl="1" w:tplc="76CA8C62" w:tentative="1">
      <w:start w:val="1"/>
      <w:numFmt w:val="lowerLetter"/>
      <w:lvlText w:val="%2."/>
      <w:lvlJc w:val="left"/>
      <w:pPr>
        <w:ind w:left="1440" w:hanging="360"/>
      </w:pPr>
    </w:lvl>
    <w:lvl w:ilvl="2" w:tplc="F5C2A632" w:tentative="1">
      <w:start w:val="1"/>
      <w:numFmt w:val="lowerRoman"/>
      <w:lvlText w:val="%3."/>
      <w:lvlJc w:val="right"/>
      <w:pPr>
        <w:ind w:left="2160" w:hanging="180"/>
      </w:pPr>
    </w:lvl>
    <w:lvl w:ilvl="3" w:tplc="4CE09430" w:tentative="1">
      <w:start w:val="1"/>
      <w:numFmt w:val="decimal"/>
      <w:lvlText w:val="%4."/>
      <w:lvlJc w:val="left"/>
      <w:pPr>
        <w:ind w:left="2880" w:hanging="360"/>
      </w:pPr>
    </w:lvl>
    <w:lvl w:ilvl="4" w:tplc="65FA9E8C" w:tentative="1">
      <w:start w:val="1"/>
      <w:numFmt w:val="lowerLetter"/>
      <w:lvlText w:val="%5."/>
      <w:lvlJc w:val="left"/>
      <w:pPr>
        <w:ind w:left="3600" w:hanging="360"/>
      </w:pPr>
    </w:lvl>
    <w:lvl w:ilvl="5" w:tplc="E0EA11D0" w:tentative="1">
      <w:start w:val="1"/>
      <w:numFmt w:val="lowerRoman"/>
      <w:lvlText w:val="%6."/>
      <w:lvlJc w:val="right"/>
      <w:pPr>
        <w:ind w:left="4320" w:hanging="180"/>
      </w:pPr>
    </w:lvl>
    <w:lvl w:ilvl="6" w:tplc="D6D65052" w:tentative="1">
      <w:start w:val="1"/>
      <w:numFmt w:val="decimal"/>
      <w:lvlText w:val="%7."/>
      <w:lvlJc w:val="left"/>
      <w:pPr>
        <w:ind w:left="5040" w:hanging="360"/>
      </w:pPr>
    </w:lvl>
    <w:lvl w:ilvl="7" w:tplc="C5062A50" w:tentative="1">
      <w:start w:val="1"/>
      <w:numFmt w:val="lowerLetter"/>
      <w:lvlText w:val="%8."/>
      <w:lvlJc w:val="left"/>
      <w:pPr>
        <w:ind w:left="5760" w:hanging="360"/>
      </w:pPr>
    </w:lvl>
    <w:lvl w:ilvl="8" w:tplc="8CA4E93C" w:tentative="1">
      <w:start w:val="1"/>
      <w:numFmt w:val="lowerRoman"/>
      <w:lvlText w:val="%9."/>
      <w:lvlJc w:val="right"/>
      <w:pPr>
        <w:ind w:left="6480" w:hanging="180"/>
      </w:pPr>
    </w:lvl>
  </w:abstractNum>
  <w:abstractNum w:abstractNumId="37" w15:restartNumberingAfterBreak="0">
    <w:nsid w:val="66A6328C"/>
    <w:multiLevelType w:val="hybridMultilevel"/>
    <w:tmpl w:val="EA86C6E6"/>
    <w:lvl w:ilvl="0" w:tplc="975C1948">
      <w:start w:val="1"/>
      <w:numFmt w:val="bullet"/>
      <w:lvlText w:val=""/>
      <w:lvlJc w:val="left"/>
      <w:pPr>
        <w:ind w:left="720" w:hanging="360"/>
      </w:pPr>
      <w:rPr>
        <w:rFonts w:ascii="Symbol" w:hAnsi="Symbol" w:hint="default"/>
      </w:rPr>
    </w:lvl>
    <w:lvl w:ilvl="1" w:tplc="4CBE9D26" w:tentative="1">
      <w:start w:val="1"/>
      <w:numFmt w:val="bullet"/>
      <w:lvlText w:val="o"/>
      <w:lvlJc w:val="left"/>
      <w:pPr>
        <w:ind w:left="1440" w:hanging="360"/>
      </w:pPr>
      <w:rPr>
        <w:rFonts w:ascii="Courier New" w:hAnsi="Courier New" w:cs="Courier New" w:hint="default"/>
      </w:rPr>
    </w:lvl>
    <w:lvl w:ilvl="2" w:tplc="63E4B22C" w:tentative="1">
      <w:start w:val="1"/>
      <w:numFmt w:val="bullet"/>
      <w:lvlText w:val=""/>
      <w:lvlJc w:val="left"/>
      <w:pPr>
        <w:ind w:left="2160" w:hanging="360"/>
      </w:pPr>
      <w:rPr>
        <w:rFonts w:ascii="Wingdings" w:hAnsi="Wingdings" w:hint="default"/>
      </w:rPr>
    </w:lvl>
    <w:lvl w:ilvl="3" w:tplc="BBE015AE" w:tentative="1">
      <w:start w:val="1"/>
      <w:numFmt w:val="bullet"/>
      <w:lvlText w:val=""/>
      <w:lvlJc w:val="left"/>
      <w:pPr>
        <w:ind w:left="2880" w:hanging="360"/>
      </w:pPr>
      <w:rPr>
        <w:rFonts w:ascii="Symbol" w:hAnsi="Symbol" w:hint="default"/>
      </w:rPr>
    </w:lvl>
    <w:lvl w:ilvl="4" w:tplc="FE3E17FC" w:tentative="1">
      <w:start w:val="1"/>
      <w:numFmt w:val="bullet"/>
      <w:lvlText w:val="o"/>
      <w:lvlJc w:val="left"/>
      <w:pPr>
        <w:ind w:left="3600" w:hanging="360"/>
      </w:pPr>
      <w:rPr>
        <w:rFonts w:ascii="Courier New" w:hAnsi="Courier New" w:cs="Courier New" w:hint="default"/>
      </w:rPr>
    </w:lvl>
    <w:lvl w:ilvl="5" w:tplc="8F9AA836" w:tentative="1">
      <w:start w:val="1"/>
      <w:numFmt w:val="bullet"/>
      <w:lvlText w:val=""/>
      <w:lvlJc w:val="left"/>
      <w:pPr>
        <w:ind w:left="4320" w:hanging="360"/>
      </w:pPr>
      <w:rPr>
        <w:rFonts w:ascii="Wingdings" w:hAnsi="Wingdings" w:hint="default"/>
      </w:rPr>
    </w:lvl>
    <w:lvl w:ilvl="6" w:tplc="BCA0C4BA" w:tentative="1">
      <w:start w:val="1"/>
      <w:numFmt w:val="bullet"/>
      <w:lvlText w:val=""/>
      <w:lvlJc w:val="left"/>
      <w:pPr>
        <w:ind w:left="5040" w:hanging="360"/>
      </w:pPr>
      <w:rPr>
        <w:rFonts w:ascii="Symbol" w:hAnsi="Symbol" w:hint="default"/>
      </w:rPr>
    </w:lvl>
    <w:lvl w:ilvl="7" w:tplc="B6BA70E4" w:tentative="1">
      <w:start w:val="1"/>
      <w:numFmt w:val="bullet"/>
      <w:lvlText w:val="o"/>
      <w:lvlJc w:val="left"/>
      <w:pPr>
        <w:ind w:left="5760" w:hanging="360"/>
      </w:pPr>
      <w:rPr>
        <w:rFonts w:ascii="Courier New" w:hAnsi="Courier New" w:cs="Courier New" w:hint="default"/>
      </w:rPr>
    </w:lvl>
    <w:lvl w:ilvl="8" w:tplc="62CA3B9E" w:tentative="1">
      <w:start w:val="1"/>
      <w:numFmt w:val="bullet"/>
      <w:lvlText w:val=""/>
      <w:lvlJc w:val="left"/>
      <w:pPr>
        <w:ind w:left="6480" w:hanging="360"/>
      </w:pPr>
      <w:rPr>
        <w:rFonts w:ascii="Wingdings" w:hAnsi="Wingdings" w:hint="default"/>
      </w:rPr>
    </w:lvl>
  </w:abstractNum>
  <w:abstractNum w:abstractNumId="38" w15:restartNumberingAfterBreak="0">
    <w:nsid w:val="67310EBC"/>
    <w:multiLevelType w:val="hybridMultilevel"/>
    <w:tmpl w:val="216816D2"/>
    <w:lvl w:ilvl="0" w:tplc="D70A1E94">
      <w:start w:val="1"/>
      <w:numFmt w:val="decimal"/>
      <w:lvlText w:val="%1."/>
      <w:lvlJc w:val="left"/>
      <w:pPr>
        <w:ind w:left="1287" w:hanging="360"/>
      </w:pPr>
    </w:lvl>
    <w:lvl w:ilvl="1" w:tplc="8CD2E3B4" w:tentative="1">
      <w:start w:val="1"/>
      <w:numFmt w:val="lowerLetter"/>
      <w:lvlText w:val="%2."/>
      <w:lvlJc w:val="left"/>
      <w:pPr>
        <w:ind w:left="2007" w:hanging="360"/>
      </w:pPr>
    </w:lvl>
    <w:lvl w:ilvl="2" w:tplc="32681D28" w:tentative="1">
      <w:start w:val="1"/>
      <w:numFmt w:val="lowerRoman"/>
      <w:lvlText w:val="%3."/>
      <w:lvlJc w:val="right"/>
      <w:pPr>
        <w:ind w:left="2727" w:hanging="180"/>
      </w:pPr>
    </w:lvl>
    <w:lvl w:ilvl="3" w:tplc="EDEC08C0" w:tentative="1">
      <w:start w:val="1"/>
      <w:numFmt w:val="decimal"/>
      <w:lvlText w:val="%4."/>
      <w:lvlJc w:val="left"/>
      <w:pPr>
        <w:ind w:left="3447" w:hanging="360"/>
      </w:pPr>
    </w:lvl>
    <w:lvl w:ilvl="4" w:tplc="E7287BFC" w:tentative="1">
      <w:start w:val="1"/>
      <w:numFmt w:val="lowerLetter"/>
      <w:lvlText w:val="%5."/>
      <w:lvlJc w:val="left"/>
      <w:pPr>
        <w:ind w:left="4167" w:hanging="360"/>
      </w:pPr>
    </w:lvl>
    <w:lvl w:ilvl="5" w:tplc="F0B4B5F0" w:tentative="1">
      <w:start w:val="1"/>
      <w:numFmt w:val="lowerRoman"/>
      <w:lvlText w:val="%6."/>
      <w:lvlJc w:val="right"/>
      <w:pPr>
        <w:ind w:left="4887" w:hanging="180"/>
      </w:pPr>
    </w:lvl>
    <w:lvl w:ilvl="6" w:tplc="2CB0C778" w:tentative="1">
      <w:start w:val="1"/>
      <w:numFmt w:val="decimal"/>
      <w:lvlText w:val="%7."/>
      <w:lvlJc w:val="left"/>
      <w:pPr>
        <w:ind w:left="5607" w:hanging="360"/>
      </w:pPr>
    </w:lvl>
    <w:lvl w:ilvl="7" w:tplc="E70A01AC" w:tentative="1">
      <w:start w:val="1"/>
      <w:numFmt w:val="lowerLetter"/>
      <w:lvlText w:val="%8."/>
      <w:lvlJc w:val="left"/>
      <w:pPr>
        <w:ind w:left="6327" w:hanging="360"/>
      </w:pPr>
    </w:lvl>
    <w:lvl w:ilvl="8" w:tplc="7AE046AA" w:tentative="1">
      <w:start w:val="1"/>
      <w:numFmt w:val="lowerRoman"/>
      <w:lvlText w:val="%9."/>
      <w:lvlJc w:val="right"/>
      <w:pPr>
        <w:ind w:left="7047" w:hanging="180"/>
      </w:pPr>
    </w:lvl>
  </w:abstractNum>
  <w:abstractNum w:abstractNumId="39" w15:restartNumberingAfterBreak="0">
    <w:nsid w:val="67BA2A1D"/>
    <w:multiLevelType w:val="hybridMultilevel"/>
    <w:tmpl w:val="9A92818E"/>
    <w:lvl w:ilvl="0" w:tplc="94924AC4">
      <w:start w:val="1"/>
      <w:numFmt w:val="decimal"/>
      <w:lvlText w:val="%1."/>
      <w:lvlJc w:val="left"/>
      <w:pPr>
        <w:ind w:left="720" w:hanging="360"/>
      </w:pPr>
    </w:lvl>
    <w:lvl w:ilvl="1" w:tplc="AE625D1E" w:tentative="1">
      <w:start w:val="1"/>
      <w:numFmt w:val="lowerLetter"/>
      <w:lvlText w:val="%2."/>
      <w:lvlJc w:val="left"/>
      <w:pPr>
        <w:ind w:left="1440" w:hanging="360"/>
      </w:pPr>
    </w:lvl>
    <w:lvl w:ilvl="2" w:tplc="CAA82EF8" w:tentative="1">
      <w:start w:val="1"/>
      <w:numFmt w:val="lowerRoman"/>
      <w:lvlText w:val="%3."/>
      <w:lvlJc w:val="right"/>
      <w:pPr>
        <w:ind w:left="2160" w:hanging="180"/>
      </w:pPr>
    </w:lvl>
    <w:lvl w:ilvl="3" w:tplc="475E39A0" w:tentative="1">
      <w:start w:val="1"/>
      <w:numFmt w:val="decimal"/>
      <w:lvlText w:val="%4."/>
      <w:lvlJc w:val="left"/>
      <w:pPr>
        <w:ind w:left="2880" w:hanging="360"/>
      </w:pPr>
    </w:lvl>
    <w:lvl w:ilvl="4" w:tplc="35C67CE6" w:tentative="1">
      <w:start w:val="1"/>
      <w:numFmt w:val="lowerLetter"/>
      <w:lvlText w:val="%5."/>
      <w:lvlJc w:val="left"/>
      <w:pPr>
        <w:ind w:left="3600" w:hanging="360"/>
      </w:pPr>
    </w:lvl>
    <w:lvl w:ilvl="5" w:tplc="02E2E864" w:tentative="1">
      <w:start w:val="1"/>
      <w:numFmt w:val="lowerRoman"/>
      <w:lvlText w:val="%6."/>
      <w:lvlJc w:val="right"/>
      <w:pPr>
        <w:ind w:left="4320" w:hanging="180"/>
      </w:pPr>
    </w:lvl>
    <w:lvl w:ilvl="6" w:tplc="E56A902C" w:tentative="1">
      <w:start w:val="1"/>
      <w:numFmt w:val="decimal"/>
      <w:lvlText w:val="%7."/>
      <w:lvlJc w:val="left"/>
      <w:pPr>
        <w:ind w:left="5040" w:hanging="360"/>
      </w:pPr>
    </w:lvl>
    <w:lvl w:ilvl="7" w:tplc="77824574" w:tentative="1">
      <w:start w:val="1"/>
      <w:numFmt w:val="lowerLetter"/>
      <w:lvlText w:val="%8."/>
      <w:lvlJc w:val="left"/>
      <w:pPr>
        <w:ind w:left="5760" w:hanging="360"/>
      </w:pPr>
    </w:lvl>
    <w:lvl w:ilvl="8" w:tplc="FED013B4" w:tentative="1">
      <w:start w:val="1"/>
      <w:numFmt w:val="lowerRoman"/>
      <w:lvlText w:val="%9."/>
      <w:lvlJc w:val="right"/>
      <w:pPr>
        <w:ind w:left="6480" w:hanging="180"/>
      </w:pPr>
    </w:lvl>
  </w:abstractNum>
  <w:abstractNum w:abstractNumId="40" w15:restartNumberingAfterBreak="0">
    <w:nsid w:val="6D8F4984"/>
    <w:multiLevelType w:val="hybridMultilevel"/>
    <w:tmpl w:val="08E6D294"/>
    <w:lvl w:ilvl="0" w:tplc="F1E22AFE">
      <w:start w:val="1"/>
      <w:numFmt w:val="decimal"/>
      <w:lvlText w:val="%1."/>
      <w:lvlJc w:val="left"/>
      <w:pPr>
        <w:ind w:left="720" w:hanging="360"/>
      </w:pPr>
    </w:lvl>
    <w:lvl w:ilvl="1" w:tplc="A8543F38" w:tentative="1">
      <w:start w:val="1"/>
      <w:numFmt w:val="lowerLetter"/>
      <w:lvlText w:val="%2."/>
      <w:lvlJc w:val="left"/>
      <w:pPr>
        <w:ind w:left="1440" w:hanging="360"/>
      </w:pPr>
    </w:lvl>
    <w:lvl w:ilvl="2" w:tplc="C204BBCA" w:tentative="1">
      <w:start w:val="1"/>
      <w:numFmt w:val="lowerRoman"/>
      <w:lvlText w:val="%3."/>
      <w:lvlJc w:val="right"/>
      <w:pPr>
        <w:ind w:left="2160" w:hanging="180"/>
      </w:pPr>
    </w:lvl>
    <w:lvl w:ilvl="3" w:tplc="EF5C453A" w:tentative="1">
      <w:start w:val="1"/>
      <w:numFmt w:val="decimal"/>
      <w:lvlText w:val="%4."/>
      <w:lvlJc w:val="left"/>
      <w:pPr>
        <w:ind w:left="2880" w:hanging="360"/>
      </w:pPr>
    </w:lvl>
    <w:lvl w:ilvl="4" w:tplc="35DED1CA" w:tentative="1">
      <w:start w:val="1"/>
      <w:numFmt w:val="lowerLetter"/>
      <w:lvlText w:val="%5."/>
      <w:lvlJc w:val="left"/>
      <w:pPr>
        <w:ind w:left="3600" w:hanging="360"/>
      </w:pPr>
    </w:lvl>
    <w:lvl w:ilvl="5" w:tplc="AFFABA6A" w:tentative="1">
      <w:start w:val="1"/>
      <w:numFmt w:val="lowerRoman"/>
      <w:lvlText w:val="%6."/>
      <w:lvlJc w:val="right"/>
      <w:pPr>
        <w:ind w:left="4320" w:hanging="180"/>
      </w:pPr>
    </w:lvl>
    <w:lvl w:ilvl="6" w:tplc="F92CA9E0" w:tentative="1">
      <w:start w:val="1"/>
      <w:numFmt w:val="decimal"/>
      <w:lvlText w:val="%7."/>
      <w:lvlJc w:val="left"/>
      <w:pPr>
        <w:ind w:left="5040" w:hanging="360"/>
      </w:pPr>
    </w:lvl>
    <w:lvl w:ilvl="7" w:tplc="87E4A65A" w:tentative="1">
      <w:start w:val="1"/>
      <w:numFmt w:val="lowerLetter"/>
      <w:lvlText w:val="%8."/>
      <w:lvlJc w:val="left"/>
      <w:pPr>
        <w:ind w:left="5760" w:hanging="360"/>
      </w:pPr>
    </w:lvl>
    <w:lvl w:ilvl="8" w:tplc="6E4CCBAA" w:tentative="1">
      <w:start w:val="1"/>
      <w:numFmt w:val="lowerRoman"/>
      <w:lvlText w:val="%9."/>
      <w:lvlJc w:val="right"/>
      <w:pPr>
        <w:ind w:left="6480" w:hanging="180"/>
      </w:pPr>
    </w:lvl>
  </w:abstractNum>
  <w:abstractNum w:abstractNumId="41" w15:restartNumberingAfterBreak="0">
    <w:nsid w:val="752E46FB"/>
    <w:multiLevelType w:val="hybridMultilevel"/>
    <w:tmpl w:val="A7B206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5B504F0"/>
    <w:multiLevelType w:val="hybridMultilevel"/>
    <w:tmpl w:val="EFD0BD80"/>
    <w:lvl w:ilvl="0" w:tplc="961663EA">
      <w:start w:val="1"/>
      <w:numFmt w:val="bullet"/>
      <w:pStyle w:val="Checkboxemptybulletpoint"/>
      <w:lvlText w:val=""/>
      <w:lvlJc w:val="left"/>
      <w:pPr>
        <w:ind w:left="927" w:hanging="360"/>
      </w:pPr>
      <w:rPr>
        <w:rFonts w:ascii="Wingdings" w:hAnsi="Wingdings" w:hint="default"/>
        <w:caps w:val="0"/>
        <w:strike w:val="0"/>
        <w:dstrike w:val="0"/>
        <w:vanish w:val="0"/>
        <w:webHidden w:val="0"/>
        <w:color w:val="005391"/>
        <w:sz w:val="22"/>
        <w:u w:val="none"/>
        <w:effect w:val="none"/>
        <w:vertAlign w:val="baseline"/>
        <w:specVanish w:val="0"/>
      </w:rPr>
    </w:lvl>
    <w:lvl w:ilvl="1" w:tplc="A842600C">
      <w:start w:val="1"/>
      <w:numFmt w:val="bullet"/>
      <w:lvlText w:val="o"/>
      <w:lvlJc w:val="left"/>
      <w:pPr>
        <w:ind w:left="1440" w:hanging="360"/>
      </w:pPr>
      <w:rPr>
        <w:rFonts w:ascii="Courier New" w:hAnsi="Courier New" w:cs="Courier New" w:hint="default"/>
      </w:rPr>
    </w:lvl>
    <w:lvl w:ilvl="2" w:tplc="253CE93C">
      <w:start w:val="1"/>
      <w:numFmt w:val="bullet"/>
      <w:lvlText w:val=""/>
      <w:lvlJc w:val="left"/>
      <w:pPr>
        <w:ind w:left="2160" w:hanging="360"/>
      </w:pPr>
      <w:rPr>
        <w:rFonts w:ascii="Wingdings" w:hAnsi="Wingdings" w:hint="default"/>
      </w:rPr>
    </w:lvl>
    <w:lvl w:ilvl="3" w:tplc="4B7A00E0">
      <w:start w:val="1"/>
      <w:numFmt w:val="bullet"/>
      <w:lvlText w:val=""/>
      <w:lvlJc w:val="left"/>
      <w:pPr>
        <w:ind w:left="2880" w:hanging="360"/>
      </w:pPr>
      <w:rPr>
        <w:rFonts w:ascii="Symbol" w:hAnsi="Symbol" w:hint="default"/>
      </w:rPr>
    </w:lvl>
    <w:lvl w:ilvl="4" w:tplc="0C6606CC">
      <w:start w:val="1"/>
      <w:numFmt w:val="bullet"/>
      <w:lvlText w:val="o"/>
      <w:lvlJc w:val="left"/>
      <w:pPr>
        <w:ind w:left="3600" w:hanging="360"/>
      </w:pPr>
      <w:rPr>
        <w:rFonts w:ascii="Courier New" w:hAnsi="Courier New" w:cs="Courier New" w:hint="default"/>
      </w:rPr>
    </w:lvl>
    <w:lvl w:ilvl="5" w:tplc="0B5879FA">
      <w:start w:val="1"/>
      <w:numFmt w:val="bullet"/>
      <w:lvlText w:val=""/>
      <w:lvlJc w:val="left"/>
      <w:pPr>
        <w:ind w:left="4320" w:hanging="360"/>
      </w:pPr>
      <w:rPr>
        <w:rFonts w:ascii="Wingdings" w:hAnsi="Wingdings" w:hint="default"/>
      </w:rPr>
    </w:lvl>
    <w:lvl w:ilvl="6" w:tplc="CEA40E88">
      <w:start w:val="1"/>
      <w:numFmt w:val="bullet"/>
      <w:lvlText w:val=""/>
      <w:lvlJc w:val="left"/>
      <w:pPr>
        <w:ind w:left="5040" w:hanging="360"/>
      </w:pPr>
      <w:rPr>
        <w:rFonts w:ascii="Symbol" w:hAnsi="Symbol" w:hint="default"/>
      </w:rPr>
    </w:lvl>
    <w:lvl w:ilvl="7" w:tplc="B49435AA">
      <w:start w:val="1"/>
      <w:numFmt w:val="bullet"/>
      <w:lvlText w:val="o"/>
      <w:lvlJc w:val="left"/>
      <w:pPr>
        <w:ind w:left="5760" w:hanging="360"/>
      </w:pPr>
      <w:rPr>
        <w:rFonts w:ascii="Courier New" w:hAnsi="Courier New" w:cs="Courier New" w:hint="default"/>
      </w:rPr>
    </w:lvl>
    <w:lvl w:ilvl="8" w:tplc="0D060C38">
      <w:start w:val="1"/>
      <w:numFmt w:val="bullet"/>
      <w:lvlText w:val=""/>
      <w:lvlJc w:val="left"/>
      <w:pPr>
        <w:ind w:left="6480" w:hanging="360"/>
      </w:pPr>
      <w:rPr>
        <w:rFonts w:ascii="Wingdings" w:hAnsi="Wingdings" w:hint="default"/>
      </w:rPr>
    </w:lvl>
  </w:abstractNum>
  <w:abstractNum w:abstractNumId="43" w15:restartNumberingAfterBreak="0">
    <w:nsid w:val="7E3D4A26"/>
    <w:multiLevelType w:val="hybridMultilevel"/>
    <w:tmpl w:val="12247644"/>
    <w:lvl w:ilvl="0" w:tplc="B8DC7AE4">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26"/>
  </w:num>
  <w:num w:numId="3">
    <w:abstractNumId w:val="22"/>
  </w:num>
  <w:num w:numId="4">
    <w:abstractNumId w:val="3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28"/>
  </w:num>
  <w:num w:numId="17">
    <w:abstractNumId w:val="42"/>
  </w:num>
  <w:num w:numId="18">
    <w:abstractNumId w:val="17"/>
  </w:num>
  <w:num w:numId="19">
    <w:abstractNumId w:val="42"/>
  </w:num>
  <w:num w:numId="20">
    <w:abstractNumId w:val="32"/>
  </w:num>
  <w:num w:numId="21">
    <w:abstractNumId w:val="17"/>
  </w:num>
  <w:num w:numId="22">
    <w:abstractNumId w:val="23"/>
  </w:num>
  <w:num w:numId="23">
    <w:abstractNumId w:val="35"/>
  </w:num>
  <w:num w:numId="24">
    <w:abstractNumId w:val="30"/>
  </w:num>
  <w:num w:numId="25">
    <w:abstractNumId w:val="10"/>
  </w:num>
  <w:num w:numId="26">
    <w:abstractNumId w:val="27"/>
  </w:num>
  <w:num w:numId="27">
    <w:abstractNumId w:val="14"/>
  </w:num>
  <w:num w:numId="28">
    <w:abstractNumId w:val="12"/>
  </w:num>
  <w:num w:numId="29">
    <w:abstractNumId w:val="25"/>
  </w:num>
  <w:num w:numId="30">
    <w:abstractNumId w:val="11"/>
  </w:num>
  <w:num w:numId="31">
    <w:abstractNumId w:val="15"/>
  </w:num>
  <w:num w:numId="32">
    <w:abstractNumId w:val="37"/>
  </w:num>
  <w:num w:numId="33">
    <w:abstractNumId w:val="38"/>
  </w:num>
  <w:num w:numId="34">
    <w:abstractNumId w:val="13"/>
  </w:num>
  <w:num w:numId="35">
    <w:abstractNumId w:val="19"/>
  </w:num>
  <w:num w:numId="36">
    <w:abstractNumId w:val="29"/>
  </w:num>
  <w:num w:numId="37">
    <w:abstractNumId w:val="40"/>
  </w:num>
  <w:num w:numId="38">
    <w:abstractNumId w:val="39"/>
  </w:num>
  <w:num w:numId="39">
    <w:abstractNumId w:val="16"/>
  </w:num>
  <w:num w:numId="40">
    <w:abstractNumId w:val="21"/>
  </w:num>
  <w:num w:numId="41">
    <w:abstractNumId w:val="24"/>
  </w:num>
  <w:num w:numId="42">
    <w:abstractNumId w:val="18"/>
  </w:num>
  <w:num w:numId="43">
    <w:abstractNumId w:val="34"/>
  </w:num>
  <w:num w:numId="44">
    <w:abstractNumId w:val="33"/>
  </w:num>
  <w:num w:numId="45">
    <w:abstractNumId w:val="36"/>
  </w:num>
  <w:num w:numId="46">
    <w:abstractNumId w:val="41"/>
  </w:num>
  <w:num w:numId="47">
    <w:abstractNumId w:val="20"/>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328" w:allStyles="0" w:customStyles="0" w:latentStyles="0" w:stylesInUse="1"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4AC"/>
    <w:rsid w:val="00123F35"/>
    <w:rsid w:val="001552E1"/>
    <w:rsid w:val="00181BC2"/>
    <w:rsid w:val="00226700"/>
    <w:rsid w:val="00275956"/>
    <w:rsid w:val="00282D28"/>
    <w:rsid w:val="003357F1"/>
    <w:rsid w:val="003C5CBE"/>
    <w:rsid w:val="004828C1"/>
    <w:rsid w:val="004C67F3"/>
    <w:rsid w:val="004D7655"/>
    <w:rsid w:val="005564BD"/>
    <w:rsid w:val="005F07EF"/>
    <w:rsid w:val="006A4010"/>
    <w:rsid w:val="006D5411"/>
    <w:rsid w:val="00720F96"/>
    <w:rsid w:val="00772294"/>
    <w:rsid w:val="007C2B9C"/>
    <w:rsid w:val="008374D0"/>
    <w:rsid w:val="008524FD"/>
    <w:rsid w:val="008B367A"/>
    <w:rsid w:val="008E14AC"/>
    <w:rsid w:val="008F4DEB"/>
    <w:rsid w:val="00AB11F7"/>
    <w:rsid w:val="00AF23C1"/>
    <w:rsid w:val="00B11EEE"/>
    <w:rsid w:val="00B36E67"/>
    <w:rsid w:val="00C02690"/>
    <w:rsid w:val="00C75557"/>
    <w:rsid w:val="00C75885"/>
    <w:rsid w:val="00C90AF0"/>
    <w:rsid w:val="00CA6BFF"/>
    <w:rsid w:val="00D078C5"/>
    <w:rsid w:val="00DE12AF"/>
    <w:rsid w:val="00DE23D1"/>
    <w:rsid w:val="00E227E2"/>
    <w:rsid w:val="00E36543"/>
    <w:rsid w:val="00E457B7"/>
    <w:rsid w:val="00EE22C3"/>
    <w:rsid w:val="00F46019"/>
    <w:rsid w:val="00F62946"/>
    <w:rsid w:val="00FD6C5E"/>
    <w:rsid w:val="00FE1709"/>
    <w:rsid w:val="00FE660D"/>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D92C5"/>
  <w15:docId w15:val="{D725BB85-0BF5-4AC7-B682-B83B499C3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3419"/>
    <w:pPr>
      <w:spacing w:after="240" w:line="240" w:lineRule="auto"/>
    </w:pPr>
  </w:style>
  <w:style w:type="paragraph" w:styleId="Heading1">
    <w:name w:val="heading 1"/>
    <w:basedOn w:val="Normal"/>
    <w:next w:val="Normal"/>
    <w:link w:val="Heading1Char"/>
    <w:uiPriority w:val="9"/>
    <w:qFormat/>
    <w:rsid w:val="00C61D2E"/>
    <w:pPr>
      <w:keepNext/>
      <w:spacing w:before="3000"/>
      <w:outlineLvl w:val="0"/>
    </w:pPr>
    <w:rPr>
      <w:rFonts w:asciiTheme="majorHAnsi" w:eastAsiaTheme="majorEastAsia" w:hAnsiTheme="majorHAnsi" w:cstheme="majorBidi"/>
      <w:b/>
      <w:color w:val="07478C"/>
      <w:sz w:val="48"/>
      <w:szCs w:val="32"/>
    </w:rPr>
  </w:style>
  <w:style w:type="paragraph" w:styleId="Heading2">
    <w:name w:val="heading 2"/>
    <w:basedOn w:val="Normal"/>
    <w:next w:val="Normal"/>
    <w:link w:val="Heading2Char"/>
    <w:uiPriority w:val="9"/>
    <w:unhideWhenUsed/>
    <w:qFormat/>
    <w:rsid w:val="00815DD0"/>
    <w:pPr>
      <w:keepNext/>
      <w:spacing w:before="120"/>
      <w:outlineLvl w:val="1"/>
    </w:pPr>
    <w:rPr>
      <w:rFonts w:asciiTheme="majorHAnsi" w:eastAsiaTheme="majorEastAsia" w:hAnsiTheme="majorHAnsi" w:cstheme="majorBidi"/>
      <w:b/>
      <w:color w:val="07478C"/>
      <w:sz w:val="36"/>
      <w:szCs w:val="26"/>
    </w:rPr>
  </w:style>
  <w:style w:type="paragraph" w:styleId="Heading3">
    <w:name w:val="heading 3"/>
    <w:basedOn w:val="Normal"/>
    <w:next w:val="Normal"/>
    <w:link w:val="Heading3Char"/>
    <w:uiPriority w:val="9"/>
    <w:unhideWhenUsed/>
    <w:qFormat/>
    <w:rsid w:val="00815DD0"/>
    <w:pPr>
      <w:keepNext/>
      <w:spacing w:before="120" w:after="120"/>
      <w:outlineLvl w:val="2"/>
    </w:pPr>
    <w:rPr>
      <w:rFonts w:asciiTheme="majorHAnsi" w:eastAsiaTheme="majorEastAsia" w:hAnsiTheme="majorHAnsi" w:cstheme="majorBidi"/>
      <w:b/>
      <w:color w:val="07478C"/>
      <w:sz w:val="30"/>
      <w:szCs w:val="24"/>
    </w:rPr>
  </w:style>
  <w:style w:type="paragraph" w:styleId="Heading4">
    <w:name w:val="heading 4"/>
    <w:basedOn w:val="Normal"/>
    <w:next w:val="Normal"/>
    <w:link w:val="Heading4Char"/>
    <w:uiPriority w:val="9"/>
    <w:unhideWhenUsed/>
    <w:qFormat/>
    <w:rsid w:val="0047258C"/>
    <w:pPr>
      <w:keepNext/>
      <w:spacing w:before="120" w:after="60"/>
      <w:outlineLvl w:val="3"/>
    </w:pPr>
    <w:rPr>
      <w:rFonts w:asciiTheme="majorHAnsi" w:eastAsiaTheme="majorEastAsia" w:hAnsiTheme="majorHAnsi" w:cstheme="majorBidi"/>
      <w:b/>
      <w:iCs/>
      <w:color w:val="07478C"/>
      <w:sz w:val="24"/>
    </w:rPr>
  </w:style>
  <w:style w:type="paragraph" w:styleId="Heading5">
    <w:name w:val="heading 5"/>
    <w:basedOn w:val="Normal"/>
    <w:next w:val="Normal"/>
    <w:link w:val="Heading5Char"/>
    <w:uiPriority w:val="9"/>
    <w:unhideWhenUsed/>
    <w:qFormat/>
    <w:rsid w:val="009A56D0"/>
    <w:pPr>
      <w:keepNext/>
      <w:spacing w:after="60"/>
      <w:outlineLvl w:val="4"/>
    </w:pPr>
    <w:rPr>
      <w:rFonts w:asciiTheme="majorHAnsi" w:eastAsiaTheme="majorEastAsia" w:hAnsiTheme="majorHAnsi" w:cstheme="majorBidi"/>
      <w:color w:val="07478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1D2E"/>
    <w:rPr>
      <w:rFonts w:asciiTheme="majorHAnsi" w:eastAsiaTheme="majorEastAsia" w:hAnsiTheme="majorHAnsi" w:cstheme="majorBidi"/>
      <w:b/>
      <w:color w:val="07478C"/>
      <w:sz w:val="48"/>
      <w:szCs w:val="32"/>
    </w:rPr>
  </w:style>
  <w:style w:type="character" w:customStyle="1" w:styleId="Heading2Char">
    <w:name w:val="Heading 2 Char"/>
    <w:basedOn w:val="DefaultParagraphFont"/>
    <w:link w:val="Heading2"/>
    <w:uiPriority w:val="9"/>
    <w:rsid w:val="00815DD0"/>
    <w:rPr>
      <w:rFonts w:asciiTheme="majorHAnsi" w:eastAsiaTheme="majorEastAsia" w:hAnsiTheme="majorHAnsi" w:cstheme="majorBidi"/>
      <w:b/>
      <w:color w:val="07478C"/>
      <w:sz w:val="36"/>
      <w:szCs w:val="26"/>
    </w:rPr>
  </w:style>
  <w:style w:type="paragraph" w:styleId="Subtitle">
    <w:name w:val="Subtitle"/>
    <w:basedOn w:val="Normal"/>
    <w:next w:val="Normal"/>
    <w:link w:val="SubtitleChar"/>
    <w:uiPriority w:val="11"/>
    <w:qFormat/>
    <w:rsid w:val="0064771D"/>
    <w:pPr>
      <w:numPr>
        <w:ilvl w:val="1"/>
      </w:numPr>
      <w:spacing w:before="240"/>
    </w:pPr>
    <w:rPr>
      <w:rFonts w:asciiTheme="majorHAnsi" w:eastAsiaTheme="minorEastAsia" w:hAnsiTheme="majorHAnsi"/>
      <w:b/>
      <w:color w:val="07478C"/>
      <w:spacing w:val="15"/>
      <w:sz w:val="36"/>
    </w:rPr>
  </w:style>
  <w:style w:type="character" w:customStyle="1" w:styleId="SubtitleChar">
    <w:name w:val="Subtitle Char"/>
    <w:basedOn w:val="DefaultParagraphFont"/>
    <w:link w:val="Subtitle"/>
    <w:uiPriority w:val="11"/>
    <w:rsid w:val="0064771D"/>
    <w:rPr>
      <w:rFonts w:asciiTheme="majorHAnsi" w:eastAsiaTheme="minorEastAsia" w:hAnsiTheme="majorHAnsi"/>
      <w:b/>
      <w:color w:val="07478C"/>
      <w:spacing w:val="15"/>
      <w:sz w:val="36"/>
    </w:rPr>
  </w:style>
  <w:style w:type="character" w:styleId="Hyperlink">
    <w:name w:val="Hyperlink"/>
    <w:basedOn w:val="DefaultParagraphFont"/>
    <w:uiPriority w:val="99"/>
    <w:unhideWhenUsed/>
    <w:rsid w:val="0064771D"/>
    <w:rPr>
      <w:color w:val="095EBB"/>
      <w:u w:val="single"/>
    </w:rPr>
  </w:style>
  <w:style w:type="character" w:customStyle="1" w:styleId="Heading3Char">
    <w:name w:val="Heading 3 Char"/>
    <w:basedOn w:val="DefaultParagraphFont"/>
    <w:link w:val="Heading3"/>
    <w:uiPriority w:val="9"/>
    <w:rsid w:val="00815DD0"/>
    <w:rPr>
      <w:rFonts w:asciiTheme="majorHAnsi" w:eastAsiaTheme="majorEastAsia" w:hAnsiTheme="majorHAnsi" w:cstheme="majorBidi"/>
      <w:b/>
      <w:color w:val="07478C"/>
      <w:sz w:val="30"/>
      <w:szCs w:val="24"/>
    </w:rPr>
  </w:style>
  <w:style w:type="paragraph" w:customStyle="1" w:styleId="Bulletlevel1">
    <w:name w:val="Bullet level 1"/>
    <w:basedOn w:val="Normal"/>
    <w:qFormat/>
    <w:rsid w:val="00D236AC"/>
    <w:pPr>
      <w:numPr>
        <w:numId w:val="1"/>
      </w:numPr>
      <w:ind w:left="567" w:hanging="567"/>
      <w:contextualSpacing/>
    </w:pPr>
  </w:style>
  <w:style w:type="paragraph" w:styleId="Header">
    <w:name w:val="header"/>
    <w:basedOn w:val="Normal"/>
    <w:link w:val="HeaderChar"/>
    <w:uiPriority w:val="99"/>
    <w:unhideWhenUsed/>
    <w:rsid w:val="003F0A2D"/>
    <w:pPr>
      <w:tabs>
        <w:tab w:val="center" w:pos="4513"/>
        <w:tab w:val="right" w:pos="9026"/>
      </w:tabs>
      <w:spacing w:after="0"/>
    </w:pPr>
  </w:style>
  <w:style w:type="character" w:customStyle="1" w:styleId="HeaderChar">
    <w:name w:val="Header Char"/>
    <w:basedOn w:val="DefaultParagraphFont"/>
    <w:link w:val="Header"/>
    <w:uiPriority w:val="99"/>
    <w:rsid w:val="003F0A2D"/>
  </w:style>
  <w:style w:type="paragraph" w:styleId="Footer">
    <w:name w:val="footer"/>
    <w:basedOn w:val="Normal"/>
    <w:link w:val="FooterChar"/>
    <w:uiPriority w:val="99"/>
    <w:unhideWhenUsed/>
    <w:rsid w:val="003F0A2D"/>
    <w:pPr>
      <w:tabs>
        <w:tab w:val="center" w:pos="4513"/>
        <w:tab w:val="right" w:pos="9026"/>
      </w:tabs>
      <w:spacing w:after="0"/>
    </w:pPr>
  </w:style>
  <w:style w:type="character" w:customStyle="1" w:styleId="FooterChar">
    <w:name w:val="Footer Char"/>
    <w:basedOn w:val="DefaultParagraphFont"/>
    <w:link w:val="Footer"/>
    <w:uiPriority w:val="99"/>
    <w:rsid w:val="003F0A2D"/>
  </w:style>
  <w:style w:type="character" w:customStyle="1" w:styleId="Heading4Char">
    <w:name w:val="Heading 4 Char"/>
    <w:basedOn w:val="DefaultParagraphFont"/>
    <w:link w:val="Heading4"/>
    <w:uiPriority w:val="9"/>
    <w:rsid w:val="0047258C"/>
    <w:rPr>
      <w:rFonts w:asciiTheme="majorHAnsi" w:eastAsiaTheme="majorEastAsia" w:hAnsiTheme="majorHAnsi" w:cstheme="majorBidi"/>
      <w:b/>
      <w:iCs/>
      <w:color w:val="07478C"/>
      <w:sz w:val="24"/>
    </w:rPr>
  </w:style>
  <w:style w:type="table" w:styleId="TableGrid">
    <w:name w:val="Table Grid"/>
    <w:basedOn w:val="TableNormal"/>
    <w:uiPriority w:val="59"/>
    <w:rsid w:val="00024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606BE5"/>
    <w:pPr>
      <w:keepNext/>
      <w:spacing w:before="40" w:after="0"/>
    </w:pPr>
    <w:rPr>
      <w:rFonts w:asciiTheme="majorHAnsi" w:hAnsiTheme="majorHAnsi"/>
      <w:b/>
      <w:color w:val="07478C"/>
    </w:rPr>
  </w:style>
  <w:style w:type="paragraph" w:styleId="FootnoteText">
    <w:name w:val="footnote text"/>
    <w:basedOn w:val="Normal"/>
    <w:link w:val="FootnoteTextChar"/>
    <w:uiPriority w:val="99"/>
    <w:semiHidden/>
    <w:unhideWhenUsed/>
    <w:rsid w:val="000249BC"/>
    <w:pPr>
      <w:spacing w:after="0"/>
    </w:pPr>
    <w:rPr>
      <w:sz w:val="20"/>
      <w:szCs w:val="20"/>
    </w:rPr>
  </w:style>
  <w:style w:type="character" w:customStyle="1" w:styleId="FootnoteTextChar">
    <w:name w:val="Footnote Text Char"/>
    <w:basedOn w:val="DefaultParagraphFont"/>
    <w:link w:val="FootnoteText"/>
    <w:uiPriority w:val="99"/>
    <w:semiHidden/>
    <w:rsid w:val="000249BC"/>
    <w:rPr>
      <w:sz w:val="20"/>
      <w:szCs w:val="20"/>
    </w:rPr>
  </w:style>
  <w:style w:type="character" w:styleId="FootnoteReference">
    <w:name w:val="footnote reference"/>
    <w:basedOn w:val="DefaultParagraphFont"/>
    <w:uiPriority w:val="99"/>
    <w:semiHidden/>
    <w:unhideWhenUsed/>
    <w:rsid w:val="000249BC"/>
    <w:rPr>
      <w:vertAlign w:val="superscript"/>
    </w:rPr>
  </w:style>
  <w:style w:type="paragraph" w:styleId="ListParagraph">
    <w:name w:val="List Paragraph"/>
    <w:basedOn w:val="Normal"/>
    <w:link w:val="ListParagraphChar"/>
    <w:uiPriority w:val="34"/>
    <w:qFormat/>
    <w:rsid w:val="003C5DA8"/>
    <w:pPr>
      <w:numPr>
        <w:numId w:val="35"/>
      </w:numPr>
      <w:ind w:left="567" w:hanging="567"/>
      <w:contextualSpacing/>
    </w:pPr>
  </w:style>
  <w:style w:type="paragraph" w:styleId="TOC1">
    <w:name w:val="toc 1"/>
    <w:basedOn w:val="Normal"/>
    <w:next w:val="Normal"/>
    <w:autoRedefine/>
    <w:uiPriority w:val="39"/>
    <w:unhideWhenUsed/>
    <w:rsid w:val="00FA414F"/>
    <w:pPr>
      <w:spacing w:before="120" w:after="0"/>
    </w:pPr>
    <w:rPr>
      <w:b/>
      <w:color w:val="07478C"/>
      <w:sz w:val="24"/>
    </w:rPr>
  </w:style>
  <w:style w:type="paragraph" w:styleId="TOC2">
    <w:name w:val="toc 2"/>
    <w:basedOn w:val="Normal"/>
    <w:next w:val="Normal"/>
    <w:autoRedefine/>
    <w:uiPriority w:val="39"/>
    <w:unhideWhenUsed/>
    <w:rsid w:val="00FA414F"/>
    <w:pPr>
      <w:spacing w:after="0"/>
      <w:ind w:left="567"/>
    </w:pPr>
  </w:style>
  <w:style w:type="paragraph" w:styleId="TOC3">
    <w:name w:val="toc 3"/>
    <w:basedOn w:val="Normal"/>
    <w:next w:val="Normal"/>
    <w:autoRedefine/>
    <w:uiPriority w:val="39"/>
    <w:unhideWhenUsed/>
    <w:rsid w:val="00FA414F"/>
    <w:pPr>
      <w:spacing w:after="0"/>
      <w:ind w:left="1134"/>
    </w:pPr>
  </w:style>
  <w:style w:type="paragraph" w:customStyle="1" w:styleId="Tableheading">
    <w:name w:val="Table heading"/>
    <w:basedOn w:val="Normal"/>
    <w:next w:val="Normal"/>
    <w:rsid w:val="00B370BC"/>
    <w:pPr>
      <w:spacing w:after="0"/>
    </w:pPr>
    <w:rPr>
      <w:rFonts w:eastAsia="Times New Roman" w:cs="Times New Roman"/>
      <w:b/>
      <w:bCs/>
      <w:szCs w:val="20"/>
    </w:rPr>
  </w:style>
  <w:style w:type="paragraph" w:customStyle="1" w:styleId="Tableheadingcentred">
    <w:name w:val="Table heading centred"/>
    <w:basedOn w:val="Normal"/>
    <w:next w:val="Normal"/>
    <w:rsid w:val="00B370BC"/>
    <w:pPr>
      <w:spacing w:after="0"/>
      <w:jc w:val="center"/>
    </w:pPr>
    <w:rPr>
      <w:rFonts w:eastAsia="Times New Roman" w:cs="Times New Roman"/>
      <w:b/>
      <w:bCs/>
      <w:szCs w:val="20"/>
    </w:rPr>
  </w:style>
  <w:style w:type="paragraph" w:customStyle="1" w:styleId="Tabletextcentred">
    <w:name w:val="Table text centred"/>
    <w:basedOn w:val="Normal"/>
    <w:next w:val="NoSpacing"/>
    <w:rsid w:val="00B370BC"/>
    <w:pPr>
      <w:spacing w:after="0"/>
      <w:jc w:val="center"/>
    </w:pPr>
    <w:rPr>
      <w:rFonts w:eastAsia="Times New Roman" w:cs="Times New Roman"/>
      <w:szCs w:val="20"/>
    </w:rPr>
  </w:style>
  <w:style w:type="paragraph" w:styleId="NoSpacing">
    <w:name w:val="No Spacing"/>
    <w:uiPriority w:val="1"/>
    <w:qFormat/>
    <w:rsid w:val="00B370BC"/>
    <w:pPr>
      <w:spacing w:after="0" w:line="240" w:lineRule="auto"/>
    </w:pPr>
  </w:style>
  <w:style w:type="character" w:customStyle="1" w:styleId="Heading5Char">
    <w:name w:val="Heading 5 Char"/>
    <w:basedOn w:val="DefaultParagraphFont"/>
    <w:link w:val="Heading5"/>
    <w:uiPriority w:val="9"/>
    <w:rsid w:val="009A56D0"/>
    <w:rPr>
      <w:rFonts w:asciiTheme="majorHAnsi" w:eastAsiaTheme="majorEastAsia" w:hAnsiTheme="majorHAnsi" w:cstheme="majorBidi"/>
      <w:color w:val="07478C"/>
    </w:rPr>
  </w:style>
  <w:style w:type="character" w:styleId="IntenseEmphasis">
    <w:name w:val="Intense Emphasis"/>
    <w:basedOn w:val="DefaultParagraphFont"/>
    <w:uiPriority w:val="21"/>
    <w:qFormat/>
    <w:rsid w:val="0064771D"/>
    <w:rPr>
      <w:rFonts w:asciiTheme="minorHAnsi" w:hAnsiTheme="minorHAnsi"/>
      <w:i/>
      <w:iCs/>
      <w:color w:val="07478C"/>
      <w:sz w:val="22"/>
    </w:rPr>
  </w:style>
  <w:style w:type="paragraph" w:styleId="IntenseQuote">
    <w:name w:val="Intense Quote"/>
    <w:basedOn w:val="Normal"/>
    <w:next w:val="Normal"/>
    <w:link w:val="IntenseQuoteChar"/>
    <w:uiPriority w:val="30"/>
    <w:qFormat/>
    <w:rsid w:val="0064771D"/>
    <w:pPr>
      <w:pBdr>
        <w:top w:val="single" w:sz="4" w:space="10" w:color="5B9BD5" w:themeColor="accent1"/>
        <w:bottom w:val="single" w:sz="4" w:space="10" w:color="5B9BD5" w:themeColor="accent1"/>
      </w:pBdr>
      <w:ind w:left="567" w:right="567"/>
    </w:pPr>
    <w:rPr>
      <w:i/>
      <w:iCs/>
      <w:color w:val="07478C"/>
    </w:rPr>
  </w:style>
  <w:style w:type="character" w:customStyle="1" w:styleId="IntenseQuoteChar">
    <w:name w:val="Intense Quote Char"/>
    <w:basedOn w:val="DefaultParagraphFont"/>
    <w:link w:val="IntenseQuote"/>
    <w:uiPriority w:val="30"/>
    <w:rsid w:val="0064771D"/>
    <w:rPr>
      <w:i/>
      <w:iCs/>
      <w:color w:val="07478C"/>
    </w:rPr>
  </w:style>
  <w:style w:type="character" w:styleId="IntenseReference">
    <w:name w:val="Intense Reference"/>
    <w:basedOn w:val="DefaultParagraphFont"/>
    <w:uiPriority w:val="32"/>
    <w:qFormat/>
    <w:rsid w:val="0064771D"/>
    <w:rPr>
      <w:rFonts w:asciiTheme="minorHAnsi" w:hAnsiTheme="minorHAnsi"/>
      <w:b/>
      <w:bCs/>
      <w:smallCaps/>
      <w:color w:val="07478C"/>
      <w:spacing w:val="5"/>
      <w:sz w:val="22"/>
    </w:rPr>
  </w:style>
  <w:style w:type="character" w:styleId="BookTitle">
    <w:name w:val="Book Title"/>
    <w:basedOn w:val="DefaultParagraphFont"/>
    <w:uiPriority w:val="33"/>
    <w:qFormat/>
    <w:rsid w:val="0064771D"/>
    <w:rPr>
      <w:rFonts w:asciiTheme="minorHAnsi" w:hAnsiTheme="minorHAnsi"/>
      <w:b/>
      <w:bCs/>
      <w:i/>
      <w:iCs/>
      <w:spacing w:val="5"/>
      <w:sz w:val="22"/>
    </w:rPr>
  </w:style>
  <w:style w:type="character" w:styleId="SubtleReference">
    <w:name w:val="Subtle Reference"/>
    <w:basedOn w:val="DefaultParagraphFont"/>
    <w:uiPriority w:val="31"/>
    <w:qFormat/>
    <w:rsid w:val="0064771D"/>
    <w:rPr>
      <w:rFonts w:asciiTheme="minorHAnsi" w:hAnsiTheme="minorHAnsi"/>
      <w:smallCaps/>
      <w:color w:val="5A5A5A" w:themeColor="text1" w:themeTint="A5"/>
      <w:sz w:val="22"/>
    </w:rPr>
  </w:style>
  <w:style w:type="paragraph" w:customStyle="1" w:styleId="Heading2-notshowingincontentsindocument">
    <w:name w:val="Heading 2 - not showing in contents in document"/>
    <w:basedOn w:val="Normal"/>
    <w:next w:val="Normal"/>
    <w:rsid w:val="00815DD0"/>
    <w:pPr>
      <w:spacing w:before="120"/>
      <w:outlineLvl w:val="1"/>
    </w:pPr>
    <w:rPr>
      <w:rFonts w:asciiTheme="majorHAnsi" w:hAnsiTheme="majorHAnsi"/>
      <w:b/>
      <w:color w:val="07478C"/>
      <w:sz w:val="36"/>
      <w:szCs w:val="36"/>
    </w:rPr>
  </w:style>
  <w:style w:type="paragraph" w:customStyle="1" w:styleId="Normal-monthyearforcoverpage">
    <w:name w:val="Normal - month/year for cover page"/>
    <w:basedOn w:val="Normal"/>
    <w:next w:val="Normal"/>
    <w:rsid w:val="00A7176A"/>
    <w:rPr>
      <w:color w:val="07478C"/>
      <w:sz w:val="24"/>
      <w:szCs w:val="24"/>
    </w:rPr>
  </w:style>
  <w:style w:type="paragraph" w:customStyle="1" w:styleId="Heading3-notshowingincontentsindocument">
    <w:name w:val="Heading 3 - not showing in contents in document"/>
    <w:basedOn w:val="Normal"/>
    <w:next w:val="Normal"/>
    <w:rsid w:val="0047258C"/>
    <w:pPr>
      <w:spacing w:before="120" w:after="120"/>
      <w:outlineLvl w:val="2"/>
    </w:pPr>
    <w:rPr>
      <w:color w:val="07478C"/>
      <w:sz w:val="26"/>
      <w:szCs w:val="26"/>
    </w:rPr>
  </w:style>
  <w:style w:type="paragraph" w:customStyle="1" w:styleId="subtitleofdocument">
    <w:name w:val="subtitle of document"/>
    <w:basedOn w:val="Normal"/>
    <w:next w:val="Normal"/>
    <w:rsid w:val="00A7176A"/>
    <w:pPr>
      <w:spacing w:before="1000" w:after="1000"/>
      <w:outlineLvl w:val="1"/>
    </w:pPr>
    <w:rPr>
      <w:rFonts w:asciiTheme="majorHAnsi" w:eastAsia="Times New Roman" w:hAnsiTheme="majorHAnsi" w:cs="Times New Roman"/>
      <w:b/>
      <w:bCs/>
      <w:color w:val="07478C"/>
      <w:sz w:val="36"/>
      <w:szCs w:val="20"/>
    </w:rPr>
  </w:style>
  <w:style w:type="paragraph" w:customStyle="1" w:styleId="Tickedboxbulletpoint">
    <w:name w:val="Ticked box bullet point"/>
    <w:basedOn w:val="Bulletlevel1"/>
    <w:qFormat/>
    <w:rsid w:val="004F3C4E"/>
    <w:pPr>
      <w:numPr>
        <w:numId w:val="16"/>
      </w:numPr>
      <w:spacing w:before="240" w:after="0"/>
      <w:ind w:left="567" w:hanging="567"/>
    </w:pPr>
  </w:style>
  <w:style w:type="paragraph" w:customStyle="1" w:styleId="Checkboxemptybulletpoint">
    <w:name w:val="Check box empty bullet point"/>
    <w:basedOn w:val="Bulletlevel1"/>
    <w:qFormat/>
    <w:rsid w:val="004F3C4E"/>
    <w:pPr>
      <w:numPr>
        <w:numId w:val="17"/>
      </w:numPr>
      <w:spacing w:after="0"/>
      <w:ind w:left="397" w:hanging="397"/>
    </w:pPr>
  </w:style>
  <w:style w:type="paragraph" w:customStyle="1" w:styleId="StyleHeading3Before12pt">
    <w:name w:val="Style Heading 3 + Before:  12 pt"/>
    <w:basedOn w:val="Heading3"/>
    <w:rsid w:val="00815DD0"/>
    <w:rPr>
      <w:rFonts w:eastAsia="Times New Roman" w:cs="Times New Roman"/>
      <w:bCs/>
      <w:szCs w:val="20"/>
    </w:rPr>
  </w:style>
  <w:style w:type="character" w:customStyle="1" w:styleId="ListParagraphChar">
    <w:name w:val="List Paragraph Char"/>
    <w:link w:val="ListParagraph"/>
    <w:uiPriority w:val="34"/>
    <w:rsid w:val="003C5DA8"/>
  </w:style>
  <w:style w:type="character" w:styleId="CommentReference">
    <w:name w:val="annotation reference"/>
    <w:basedOn w:val="DefaultParagraphFont"/>
    <w:uiPriority w:val="99"/>
    <w:semiHidden/>
    <w:unhideWhenUsed/>
    <w:rsid w:val="00634584"/>
    <w:rPr>
      <w:sz w:val="16"/>
      <w:szCs w:val="16"/>
    </w:rPr>
  </w:style>
  <w:style w:type="paragraph" w:styleId="CommentText">
    <w:name w:val="annotation text"/>
    <w:basedOn w:val="Normal"/>
    <w:link w:val="CommentTextChar"/>
    <w:uiPriority w:val="99"/>
    <w:semiHidden/>
    <w:unhideWhenUsed/>
    <w:rsid w:val="00634584"/>
    <w:rPr>
      <w:sz w:val="20"/>
      <w:szCs w:val="20"/>
    </w:rPr>
  </w:style>
  <w:style w:type="character" w:customStyle="1" w:styleId="CommentTextChar">
    <w:name w:val="Comment Text Char"/>
    <w:basedOn w:val="DefaultParagraphFont"/>
    <w:link w:val="CommentText"/>
    <w:uiPriority w:val="99"/>
    <w:semiHidden/>
    <w:rsid w:val="00634584"/>
    <w:rPr>
      <w:sz w:val="20"/>
      <w:szCs w:val="20"/>
    </w:rPr>
  </w:style>
  <w:style w:type="paragraph" w:styleId="CommentSubject">
    <w:name w:val="annotation subject"/>
    <w:basedOn w:val="CommentText"/>
    <w:next w:val="CommentText"/>
    <w:link w:val="CommentSubjectChar"/>
    <w:uiPriority w:val="99"/>
    <w:semiHidden/>
    <w:unhideWhenUsed/>
    <w:rsid w:val="00634584"/>
    <w:rPr>
      <w:b/>
      <w:bCs/>
    </w:rPr>
  </w:style>
  <w:style w:type="character" w:customStyle="1" w:styleId="CommentSubjectChar">
    <w:name w:val="Comment Subject Char"/>
    <w:basedOn w:val="CommentTextChar"/>
    <w:link w:val="CommentSubject"/>
    <w:uiPriority w:val="99"/>
    <w:semiHidden/>
    <w:rsid w:val="00634584"/>
    <w:rPr>
      <w:b/>
      <w:bCs/>
      <w:sz w:val="20"/>
      <w:szCs w:val="20"/>
    </w:rPr>
  </w:style>
  <w:style w:type="paragraph" w:styleId="BalloonText">
    <w:name w:val="Balloon Text"/>
    <w:basedOn w:val="Normal"/>
    <w:link w:val="BalloonTextChar"/>
    <w:uiPriority w:val="99"/>
    <w:semiHidden/>
    <w:unhideWhenUsed/>
    <w:rsid w:val="0063458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584"/>
    <w:rPr>
      <w:rFonts w:ascii="Segoe UI" w:hAnsi="Segoe UI" w:cs="Segoe UI"/>
      <w:sz w:val="18"/>
      <w:szCs w:val="18"/>
    </w:rPr>
  </w:style>
  <w:style w:type="character" w:styleId="FollowedHyperlink">
    <w:name w:val="FollowedHyperlink"/>
    <w:basedOn w:val="DefaultParagraphFont"/>
    <w:uiPriority w:val="99"/>
    <w:semiHidden/>
    <w:unhideWhenUsed/>
    <w:rsid w:val="00B41562"/>
    <w:rPr>
      <w:color w:val="954F72" w:themeColor="followedHyperlink"/>
      <w:u w:val="single"/>
    </w:rPr>
  </w:style>
  <w:style w:type="paragraph" w:styleId="TOC4">
    <w:name w:val="toc 4"/>
    <w:basedOn w:val="Normal"/>
    <w:next w:val="Normal"/>
    <w:autoRedefine/>
    <w:uiPriority w:val="39"/>
    <w:unhideWhenUsed/>
    <w:rsid w:val="0011235F"/>
    <w:pPr>
      <w:spacing w:after="100"/>
      <w:ind w:left="660"/>
    </w:pPr>
  </w:style>
  <w:style w:type="paragraph" w:styleId="Revision">
    <w:name w:val="Revision"/>
    <w:hidden/>
    <w:uiPriority w:val="99"/>
    <w:semiHidden/>
    <w:rsid w:val="00E777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communications.gov.au/have-your-say"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ccan.org.au/our-work/research"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accanreview@communications.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creativecommons.org/licenses/by/3.0/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ccanreview@communications.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jpg@01CF53E2.F599DED0"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8DFF0E8D596C459BF6924D447E3E9E" ma:contentTypeVersion="0" ma:contentTypeDescription="Create a new document." ma:contentTypeScope="" ma:versionID="1d43d26e62fc4211b3ea770fc1237dd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B1B18-5CC7-4B34-A370-60767FA8009A}">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DA77D273-F5C7-40F5-BAFB-332CF8830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EAF60C5-5176-49FB-AB7A-95092674D393}">
  <ds:schemaRefs>
    <ds:schemaRef ds:uri="http://schemas.microsoft.com/sharepoint/v3/contenttype/forms"/>
  </ds:schemaRefs>
</ds:datastoreItem>
</file>

<file path=customXml/itemProps4.xml><?xml version="1.0" encoding="utf-8"?>
<ds:datastoreItem xmlns:ds="http://schemas.openxmlformats.org/officeDocument/2006/customXml" ds:itemID="{C118031F-6C3D-4355-97E7-132631B05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AF4F0A34.dotm</Template>
  <TotalTime>1</TotalTime>
  <Pages>10</Pages>
  <Words>3036</Words>
  <Characters>17310</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Consumer representation: Review of section 593 of the Telecommunications Act 1997―issues paper</vt:lpstr>
    </vt:vector>
  </TitlesOfParts>
  <Company>Department of Communications</Company>
  <LinksUpToDate>false</LinksUpToDate>
  <CharactersWithSpaces>20306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representation: Review of section 593 of the Telecommunications Act 1997―issues paper</dc:title>
  <dc:subject>REVIEW OF CONSUMER REPRESENTATION: PROPOSED RELEASE OF ISSUES PAPER FOR CONSULTATION</dc:subject>
  <dc:creator>Brideson, Amy</dc:creator>
  <cp:lastModifiedBy>Owers, Cameron</cp:lastModifiedBy>
  <cp:revision>2</cp:revision>
  <cp:lastPrinted>2016-08-24T21:11:00Z</cp:lastPrinted>
  <dcterms:created xsi:type="dcterms:W3CDTF">2016-10-24T02:28:00Z</dcterms:created>
  <dcterms:modified xsi:type="dcterms:W3CDTF">2016-10-24T02:28:00Z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ClearanceActualDate">
    <vt:lpwstr>14 September 2016</vt:lpwstr>
  </property>
  <property fmtid="{D5CDD505-2E9C-101B-9397-08002B2CF9AE}" pid="4" name="ClearanceDueDate">
    <vt:lpwstr/>
  </property>
  <property fmtid="{D5CDD505-2E9C-101B-9397-08002B2CF9AE}" pid="5" name="ContentTypeId">
    <vt:lpwstr>0x010100878DFF0E8D596C459BF6924D447E3E9E</vt:lpwstr>
  </property>
  <property fmtid="{D5CDD505-2E9C-101B-9397-08002B2CF9AE}" pid="6" name="Electorates">
    <vt:lpwstr> </vt:lpwstr>
  </property>
  <property fmtid="{D5CDD505-2E9C-101B-9397-08002B2CF9AE}" pid="7" name="GroupResponsible">
    <vt:lpwstr>Branch Public Interest Communications &amp; NBN Migration</vt:lpwstr>
  </property>
  <property fmtid="{D5CDD505-2E9C-101B-9397-08002B2CF9AE}" pid="8" name="HandlingProtocol">
    <vt:lpwstr>Standard</vt:lpwstr>
  </property>
  <property fmtid="{D5CDD505-2E9C-101B-9397-08002B2CF9AE}" pid="9" name="InformationMinister">
    <vt:lpwstr> </vt:lpwstr>
  </property>
  <property fmtid="{D5CDD505-2E9C-101B-9397-08002B2CF9AE}" pid="10" name="LastClearingOfficer">
    <vt:lpwstr>Angela Flannery</vt:lpwstr>
  </property>
  <property fmtid="{D5CDD505-2E9C-101B-9397-08002B2CF9AE}" pid="11" name="Ministers">
    <vt:lpwstr>Mitch Fifield</vt:lpwstr>
  </property>
  <property fmtid="{D5CDD505-2E9C-101B-9397-08002B2CF9AE}" pid="12" name="PdrId">
    <vt:lpwstr>MS16-001946</vt:lpwstr>
  </property>
  <property fmtid="{D5CDD505-2E9C-101B-9397-08002B2CF9AE}" pid="13" name="Principal">
    <vt:lpwstr>Minister Fifield</vt:lpwstr>
  </property>
  <property fmtid="{D5CDD505-2E9C-101B-9397-08002B2CF9AE}" pid="14" name="ReasonForSensitivity">
    <vt:lpwstr/>
  </property>
  <property fmtid="{D5CDD505-2E9C-101B-9397-08002B2CF9AE}" pid="15" name="RegisteredDate">
    <vt:lpwstr>09 September 2016</vt:lpwstr>
  </property>
  <property fmtid="{D5CDD505-2E9C-101B-9397-08002B2CF9AE}" pid="16" name="RequestedAction">
    <vt:lpwstr>Signature</vt:lpwstr>
  </property>
  <property fmtid="{D5CDD505-2E9C-101B-9397-08002B2CF9AE}" pid="17" name="ResponsibleMinister">
    <vt:lpwstr>Mitch Fifield</vt:lpwstr>
  </property>
  <property fmtid="{D5CDD505-2E9C-101B-9397-08002B2CF9AE}" pid="18" name="SecurityClassification">
    <vt:lpwstr>For Official Use Only (FOUO)  </vt:lpwstr>
  </property>
  <property fmtid="{D5CDD505-2E9C-101B-9397-08002B2CF9AE}" pid="19" name="Subject">
    <vt:lpwstr>REVIEW OF CONSUMER REPRESENTATION: PROPOSED RELEASE OF ISSUES PAPER FOR CONSULTATION</vt:lpwstr>
  </property>
  <property fmtid="{D5CDD505-2E9C-101B-9397-08002B2CF9AE}" pid="20" name="TaskSeqNo">
    <vt:lpwstr>0</vt:lpwstr>
  </property>
  <property fmtid="{D5CDD505-2E9C-101B-9397-08002B2CF9AE}" pid="21" name="TemplateSubType">
    <vt:lpwstr>Standard</vt:lpwstr>
  </property>
  <property fmtid="{D5CDD505-2E9C-101B-9397-08002B2CF9AE}" pid="22" name="TemplateType">
    <vt:lpwstr>Information Submission</vt:lpwstr>
  </property>
  <property fmtid="{D5CDD505-2E9C-101B-9397-08002B2CF9AE}" pid="23" name="TrimRevisionNumber">
    <vt:i4>295</vt:i4>
  </property>
  <property fmtid="{D5CDD505-2E9C-101B-9397-08002B2CF9AE}" pid="24" name="TrustedGroups">
    <vt:lpwstr>Parliamentary Coordinator MS, DLO, Ministerial Staff - Coalition 2013, Business Administrator, Limited Distribution MS</vt:lpwstr>
  </property>
</Properties>
</file>