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92488" w14:textId="77777777" w:rsidR="005F794B" w:rsidRDefault="00F82CA0" w:rsidP="00147ABA">
      <w:pPr>
        <w:pStyle w:val="Heading2"/>
      </w:pPr>
      <w:r>
        <w:rPr>
          <w:noProof/>
          <w:lang w:eastAsia="en-AU"/>
        </w:rPr>
        <mc:AlternateContent>
          <mc:Choice Requires="wps">
            <w:drawing>
              <wp:anchor distT="0" distB="0" distL="114300" distR="114300" simplePos="0" relativeHeight="251660288" behindDoc="0" locked="1" layoutInCell="1" allowOverlap="1" wp14:anchorId="056056D1" wp14:editId="5BEF3863">
                <wp:simplePos x="0" y="0"/>
                <wp:positionH relativeFrom="page">
                  <wp:align>center</wp:align>
                </wp:positionH>
                <wp:positionV relativeFrom="page">
                  <wp:align>bottom</wp:align>
                </wp:positionV>
                <wp:extent cx="10691640" cy="7196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691640" cy="719640"/>
                        </a:xfrm>
                        <a:prstGeom prst="rect">
                          <a:avLst/>
                        </a:prstGeom>
                        <a:noFill/>
                        <a:ln w="6350">
                          <a:noFill/>
                        </a:ln>
                      </wps:spPr>
                      <wps:txbx>
                        <w:txbxContent>
                          <w:sdt>
                            <w:sdtPr>
                              <w:alias w:val="Status"/>
                              <w:tag w:val=""/>
                              <w:id w:val="1941020750"/>
                              <w:placeholder>
                                <w:docPart w:val="1078B653FC384753BF2D061F4F09D460"/>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E8A442E" w14:textId="77777777" w:rsidR="00F82CA0" w:rsidRDefault="00563B2D" w:rsidP="00F82CA0">
                                <w:pPr>
                                  <w:pStyle w:val="SecurityMarker"/>
                                </w:pPr>
                                <w:r>
                                  <w:t>OFFICIAL</w:t>
                                </w:r>
                              </w:p>
                            </w:sdtContent>
                          </w:sdt>
                        </w:txbxContent>
                      </wps:txbx>
                      <wps:bodyPr rot="0" spcFirstLastPara="0" vertOverflow="overflow" horzOverflow="overflow" vert="horz" wrap="square" lIns="64800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056D1" id="_x0000_t202" coordsize="21600,21600" o:spt="202" path="m,l,21600r21600,l21600,xe">
                <v:stroke joinstyle="miter"/>
                <v:path gradientshapeok="t" o:connecttype="rect"/>
              </v:shapetype>
              <v:shape id="Text Box 22" o:spid="_x0000_s1026" type="#_x0000_t202" style="position:absolute;margin-left:0;margin-top:0;width:841.85pt;height:56.65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" filled="f" stroked="f" strokeweight=".5pt">
                <v:textbox inset="18mm,0,18mm,7mm">
                  <w:txbxContent>
                    <w:sdt>
                      <w:sdtPr>
                        <w:alias w:val="Status"/>
                        <w:tag w:val=""/>
                        <w:id w:val="1941020750"/>
                        <w:placeholder>
                          <w:docPart w:val="1078B653FC384753BF2D061F4F09D460"/>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E8A442E" w14:textId="77777777" w:rsidR="00F82CA0" w:rsidRDefault="00563B2D" w:rsidP="00F82CA0">
                          <w:pPr>
                            <w:pStyle w:val="SecurityMarker"/>
                          </w:pPr>
                          <w:r>
                            <w:t>OFFICIAL</w:t>
                          </w:r>
                        </w:p>
                      </w:sdtContent>
                    </w:sdt>
                  </w:txbxContent>
                </v:textbox>
                <w10:wrap anchorx="page" anchory="page"/>
                <w10:anchorlock/>
              </v:shape>
            </w:pict>
          </mc:Fallback>
        </mc:AlternateContent>
      </w:r>
      <w:bookmarkStart w:id="0" w:name="_Toc49864353"/>
      <w:r w:rsidR="00E14284" w:rsidRPr="00E14284">
        <w:t>He</w:t>
      </w:r>
      <w:r w:rsidR="00490A34">
        <w:t xml:space="preserve">avy Vehicle National Law </w:t>
      </w:r>
      <w:r w:rsidR="00E14284" w:rsidRPr="00E14284">
        <w:t>Reform</w:t>
      </w:r>
      <w:r w:rsidR="00490A34">
        <w:t xml:space="preserve"> Implementation – Non-legislative </w:t>
      </w:r>
      <w:r w:rsidR="00E14284" w:rsidRPr="00E14284">
        <w:t>Agency leads</w:t>
      </w:r>
      <w:r w:rsidR="005F794B" w:rsidRPr="005F794B">
        <w:t xml:space="preserve"> </w:t>
      </w:r>
      <w:bookmarkEnd w:id="0"/>
    </w:p>
    <w:tbl>
      <w:tblPr>
        <w:tblStyle w:val="DefaultTable1"/>
        <w:tblW w:w="5031" w:type="pct"/>
        <w:tblBorders>
          <w:top w:val="none" w:sz="0" w:space="0" w:color="auto"/>
          <w:bottom w:val="none" w:sz="0" w:space="0" w:color="auto"/>
          <w:insideH w:val="none" w:sz="0" w:space="0" w:color="auto"/>
        </w:tblBorders>
        <w:tblLook w:val="04A0" w:firstRow="1" w:lastRow="0" w:firstColumn="1" w:lastColumn="0" w:noHBand="0" w:noVBand="1"/>
        <w:tblCaption w:val="Sample table"/>
        <w:tblDescription w:val="Sample table"/>
      </w:tblPr>
      <w:tblGrid>
        <w:gridCol w:w="8364"/>
        <w:gridCol w:w="6524"/>
      </w:tblGrid>
      <w:tr w:rsidR="00E14284" w14:paraId="6B0175BA" w14:textId="77777777" w:rsidTr="00DA3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Borders>
              <w:top w:val="none" w:sz="0" w:space="0" w:color="auto"/>
              <w:bottom w:val="none" w:sz="0" w:space="0" w:color="auto"/>
            </w:tcBorders>
          </w:tcPr>
          <w:p w14:paraId="07DB4CED" w14:textId="77777777" w:rsidR="00E14284" w:rsidRDefault="00E14284" w:rsidP="00490A34">
            <w:pPr>
              <w:jc w:val="center"/>
            </w:pPr>
            <w:r>
              <w:rPr>
                <w:bCs/>
              </w:rPr>
              <w:t>Review recommendation</w:t>
            </w:r>
          </w:p>
        </w:tc>
        <w:tc>
          <w:tcPr>
            <w:tcW w:w="2191" w:type="pct"/>
            <w:tcBorders>
              <w:top w:val="none" w:sz="0" w:space="0" w:color="auto"/>
              <w:bottom w:val="none" w:sz="0" w:space="0" w:color="auto"/>
            </w:tcBorders>
          </w:tcPr>
          <w:p w14:paraId="0322D992" w14:textId="77777777" w:rsidR="00E14284" w:rsidRDefault="00E14284" w:rsidP="00490A34">
            <w:pPr>
              <w:jc w:val="center"/>
              <w:cnfStyle w:val="100000000000" w:firstRow="1" w:lastRow="0" w:firstColumn="0" w:lastColumn="0" w:oddVBand="0" w:evenVBand="0" w:oddHBand="0" w:evenHBand="0" w:firstRowFirstColumn="0" w:firstRowLastColumn="0" w:lastRowFirstColumn="0" w:lastRowLastColumn="0"/>
            </w:pPr>
            <w:r>
              <w:rPr>
                <w:bCs/>
              </w:rPr>
              <w:t>Agreed Agency lead</w:t>
            </w:r>
          </w:p>
        </w:tc>
      </w:tr>
      <w:tr w:rsidR="00E14284" w14:paraId="4C78F487"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320E498C" w14:textId="77777777" w:rsidR="00E14284" w:rsidRPr="00490A34" w:rsidRDefault="00E14284" w:rsidP="00490A34">
            <w:pPr>
              <w:rPr>
                <w:b w:val="0"/>
              </w:rPr>
            </w:pPr>
            <w:r w:rsidRPr="00490A34">
              <w:rPr>
                <w:rFonts w:eastAsia="Calibri" w:cs="Times New Roman"/>
                <w:b w:val="0"/>
              </w:rPr>
              <w:t>1.2 Participating jurisdictions required to report every three years on improvements to heavy vehicle productivity, including infrastructure and regulatory settings, based on metrics set by Ministers and produce a three-year forward program for future access improvements.</w:t>
            </w:r>
          </w:p>
        </w:tc>
        <w:tc>
          <w:tcPr>
            <w:tcW w:w="2191" w:type="pct"/>
          </w:tcPr>
          <w:p w14:paraId="69285CB1" w14:textId="77777777" w:rsidR="00E14284" w:rsidRPr="00490A34" w:rsidRDefault="00E14284" w:rsidP="00490A34">
            <w:pPr>
              <w:pStyle w:val="Bullet1"/>
              <w:cnfStyle w:val="000000000000" w:firstRow="0" w:lastRow="0" w:firstColumn="0" w:lastColumn="0" w:oddVBand="0" w:evenVBand="0" w:oddHBand="0" w:evenHBand="0" w:firstRowFirstColumn="0" w:firstRowLastColumn="0" w:lastRowFirstColumn="0" w:lastRowLastColumn="0"/>
            </w:pPr>
            <w:r w:rsidRPr="00490A34">
              <w:t>National Access Framework for Heavy Vehicles Access Working Group (NSW led) (potentially leveraging data collected through Heavy Vehicle Road Reform).</w:t>
            </w:r>
          </w:p>
        </w:tc>
      </w:tr>
      <w:tr w:rsidR="00E14284" w14:paraId="2CE0CB04"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5749AD0B" w14:textId="77777777" w:rsidR="00E14284" w:rsidRPr="00490A34" w:rsidRDefault="00E14284" w:rsidP="00E14284">
            <w:pPr>
              <w:rPr>
                <w:b w:val="0"/>
              </w:rPr>
            </w:pPr>
            <w:r w:rsidRPr="00490A34">
              <w:rPr>
                <w:b w:val="0"/>
              </w:rPr>
              <w:t>1.3 The law and relevant supporting documents should make clear the roles of the respective government parties with respect to heavy vehicle productivity.</w:t>
            </w:r>
          </w:p>
        </w:tc>
        <w:tc>
          <w:tcPr>
            <w:tcW w:w="2191" w:type="pct"/>
          </w:tcPr>
          <w:p w14:paraId="40805C35" w14:textId="77777777" w:rsidR="00E14284" w:rsidRPr="00490A34"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490A34">
              <w:t>National Transport Commission as legislative reform lead (where legislative changes required).</w:t>
            </w:r>
          </w:p>
          <w:p w14:paraId="175E3599" w14:textId="77777777" w:rsidR="00E14284" w:rsidRPr="00490A34"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490A34">
              <w:t>Participating jurisdictions will be responsible for updating supporting documents as applicable in their jurisdiction.</w:t>
            </w:r>
          </w:p>
          <w:p w14:paraId="143AE7FB" w14:textId="77777777" w:rsidR="00E14284" w:rsidRPr="00490A34"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490A34">
              <w:t xml:space="preserve">Queensland to coordinate this work. </w:t>
            </w:r>
          </w:p>
          <w:p w14:paraId="32E240E8" w14:textId="77777777" w:rsidR="00E14284" w:rsidRPr="00490A34"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490A34">
              <w:t>National Heavy Vehicle Regulator to update their documents as required.</w:t>
            </w:r>
          </w:p>
        </w:tc>
      </w:tr>
      <w:tr w:rsidR="00E14284" w14:paraId="181EB77A"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46D91DE9" w14:textId="77777777" w:rsidR="00E14284" w:rsidRPr="00490A34" w:rsidRDefault="00E14284" w:rsidP="00E14284">
            <w:pPr>
              <w:rPr>
                <w:b w:val="0"/>
              </w:rPr>
            </w:pPr>
            <w:r w:rsidRPr="00490A34">
              <w:rPr>
                <w:b w:val="0"/>
              </w:rPr>
              <w:t>1.4 Recognise that the National Heavy Vehicle Regulator role in productivity is specific to:</w:t>
            </w:r>
          </w:p>
          <w:p w14:paraId="125D5C19" w14:textId="77777777" w:rsidR="00E14284" w:rsidRPr="00563B2D" w:rsidRDefault="00E14284" w:rsidP="00C5654D">
            <w:pPr>
              <w:pStyle w:val="ListLegal1"/>
              <w:numPr>
                <w:ilvl w:val="0"/>
                <w:numId w:val="11"/>
              </w:numPr>
              <w:ind w:left="459" w:hanging="459"/>
              <w:rPr>
                <w:b w:val="0"/>
              </w:rPr>
            </w:pPr>
            <w:r w:rsidRPr="00563B2D">
              <w:rPr>
                <w:b w:val="0"/>
              </w:rPr>
              <w:t>Facilitating productivity improvements without compromising safety.</w:t>
            </w:r>
          </w:p>
          <w:p w14:paraId="22A2E681" w14:textId="77777777" w:rsidR="00E14284" w:rsidRPr="00563B2D" w:rsidRDefault="00E14284" w:rsidP="00C5654D">
            <w:pPr>
              <w:pStyle w:val="ListLegal1"/>
              <w:numPr>
                <w:ilvl w:val="0"/>
                <w:numId w:val="11"/>
              </w:numPr>
              <w:ind w:left="459" w:hanging="459"/>
              <w:rPr>
                <w:b w:val="0"/>
              </w:rPr>
            </w:pPr>
            <w:r w:rsidRPr="00563B2D">
              <w:rPr>
                <w:b w:val="0"/>
              </w:rPr>
              <w:t>Creating and maintaining a national integrated access decision making process and system, including the production of statistics.</w:t>
            </w:r>
          </w:p>
          <w:p w14:paraId="5E7197E9" w14:textId="77777777" w:rsidR="00563B2D" w:rsidRDefault="00E14284" w:rsidP="00C5654D">
            <w:pPr>
              <w:pStyle w:val="ListLegal1"/>
              <w:numPr>
                <w:ilvl w:val="0"/>
                <w:numId w:val="11"/>
              </w:numPr>
              <w:ind w:left="459" w:hanging="459"/>
              <w:rPr>
                <w:b w:val="0"/>
              </w:rPr>
            </w:pPr>
            <w:r w:rsidRPr="00563B2D">
              <w:rPr>
                <w:b w:val="0"/>
              </w:rPr>
              <w:t>Supporting uptake of safer and higher productivity vehicles.</w:t>
            </w:r>
          </w:p>
          <w:p w14:paraId="46DDB690" w14:textId="77777777" w:rsidR="00E14284" w:rsidRPr="00563B2D" w:rsidRDefault="00E14284" w:rsidP="00C5654D">
            <w:pPr>
              <w:pStyle w:val="ListLegal1"/>
              <w:numPr>
                <w:ilvl w:val="0"/>
                <w:numId w:val="11"/>
              </w:numPr>
              <w:ind w:left="459" w:hanging="459"/>
              <w:rPr>
                <w:b w:val="0"/>
              </w:rPr>
            </w:pPr>
            <w:r w:rsidRPr="00563B2D">
              <w:rPr>
                <w:b w:val="0"/>
              </w:rPr>
              <w:t>Collaborating with road managers to drive national harmonisation of access.</w:t>
            </w:r>
          </w:p>
        </w:tc>
        <w:tc>
          <w:tcPr>
            <w:tcW w:w="2191" w:type="pct"/>
          </w:tcPr>
          <w:p w14:paraId="42B181E3" w14:textId="77777777" w:rsidR="00E14284" w:rsidRPr="00490A34" w:rsidRDefault="00E14284" w:rsidP="00490A34">
            <w:pPr>
              <w:pStyle w:val="Bullet1"/>
              <w:cnfStyle w:val="000000000000" w:firstRow="0" w:lastRow="0" w:firstColumn="0" w:lastColumn="0" w:oddVBand="0" w:evenVBand="0" w:oddHBand="0" w:evenHBand="0" w:firstRowFirstColumn="0" w:firstRowLastColumn="0" w:lastRowFirstColumn="0" w:lastRowLastColumn="0"/>
            </w:pPr>
            <w:r w:rsidRPr="00490A34">
              <w:t>Legislative reform lead (where overlaps with legislative reforms).</w:t>
            </w:r>
          </w:p>
          <w:p w14:paraId="2ED0B78F" w14:textId="77777777" w:rsidR="00E14284" w:rsidRPr="00490A34" w:rsidRDefault="00E14284" w:rsidP="00490A34">
            <w:pPr>
              <w:pStyle w:val="Bullet1"/>
              <w:cnfStyle w:val="000000000000" w:firstRow="0" w:lastRow="0" w:firstColumn="0" w:lastColumn="0" w:oddVBand="0" w:evenVBand="0" w:oddHBand="0" w:evenHBand="0" w:firstRowFirstColumn="0" w:firstRowLastColumn="0" w:lastRowFirstColumn="0" w:lastRowLastColumn="0"/>
            </w:pPr>
            <w:r w:rsidRPr="00490A34">
              <w:t>Leverage Statement of Expectations development (currently NSW led but rotates across participating jurisdictions).</w:t>
            </w:r>
          </w:p>
        </w:tc>
      </w:tr>
      <w:tr w:rsidR="00E14284" w14:paraId="773752A2"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6D718495" w14:textId="77777777" w:rsidR="00E14284" w:rsidRPr="00490A34" w:rsidRDefault="00E14284" w:rsidP="00490A34">
            <w:pPr>
              <w:rPr>
                <w:b w:val="0"/>
              </w:rPr>
            </w:pPr>
            <w:r w:rsidRPr="00490A34">
              <w:rPr>
                <w:rFonts w:eastAsia="Calibri" w:cs="Times New Roman"/>
                <w:b w:val="0"/>
              </w:rPr>
              <w:t xml:space="preserve">2.2 Retain the existing decision-making criteria for access, however, update ministerial guidelines on access decisions to consider the productivity benefits of the application and require decision makers to consider the impact of rejecting access. </w:t>
            </w:r>
          </w:p>
        </w:tc>
        <w:tc>
          <w:tcPr>
            <w:tcW w:w="2191" w:type="pct"/>
          </w:tcPr>
          <w:p w14:paraId="36F829FC" w14:textId="77777777" w:rsidR="00E14284" w:rsidRPr="00490A34"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490A34">
              <w:t>National Transport Commission as legislative reform lead (where legislative changes required).</w:t>
            </w:r>
          </w:p>
          <w:p w14:paraId="696F8B13" w14:textId="77777777" w:rsidR="00E14284" w:rsidRPr="00490A34"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490A34">
              <w:t>National Access Framework for Heavy Vehicle Access Working Group (NSW led).</w:t>
            </w:r>
          </w:p>
        </w:tc>
      </w:tr>
      <w:tr w:rsidR="00E14284" w14:paraId="58980D32"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2069FEEC" w14:textId="77777777" w:rsidR="00E14284" w:rsidRPr="00490A34" w:rsidRDefault="00E14284" w:rsidP="00626746">
            <w:pPr>
              <w:pStyle w:val="ListParagraph"/>
              <w:spacing w:after="0" w:line="240" w:lineRule="auto"/>
              <w:ind w:left="360"/>
              <w:rPr>
                <w:rFonts w:ascii="Calibri" w:eastAsia="Calibri" w:hAnsi="Calibri" w:cs="Times New Roman"/>
                <w:b w:val="0"/>
              </w:rPr>
            </w:pPr>
          </w:p>
        </w:tc>
        <w:tc>
          <w:tcPr>
            <w:tcW w:w="2191" w:type="pct"/>
          </w:tcPr>
          <w:p w14:paraId="1D657722" w14:textId="77777777" w:rsidR="00E14284" w:rsidRPr="00490A34" w:rsidRDefault="00E14284" w:rsidP="00626746">
            <w:pPr>
              <w:pStyle w:val="Bullet1"/>
              <w:numPr>
                <w:ilvl w:val="0"/>
                <w:numId w:val="0"/>
              </w:numPr>
              <w:ind w:left="284"/>
              <w:cnfStyle w:val="000000000000" w:firstRow="0" w:lastRow="0" w:firstColumn="0" w:lastColumn="0" w:oddVBand="0" w:evenVBand="0" w:oddHBand="0" w:evenHBand="0" w:firstRowFirstColumn="0" w:firstRowLastColumn="0" w:lastRowFirstColumn="0" w:lastRowLastColumn="0"/>
            </w:pPr>
          </w:p>
        </w:tc>
      </w:tr>
      <w:tr w:rsidR="00563B2D" w14:paraId="208909EB"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5C3F19B2" w14:textId="77777777" w:rsidR="00626746" w:rsidRPr="00490A34" w:rsidRDefault="00626746" w:rsidP="00626746">
            <w:pPr>
              <w:rPr>
                <w:rFonts w:eastAsia="Calibri" w:cs="Times New Roman"/>
                <w:b w:val="0"/>
              </w:rPr>
            </w:pPr>
            <w:r w:rsidRPr="00490A34">
              <w:rPr>
                <w:rFonts w:eastAsia="Calibri" w:cs="Times New Roman"/>
                <w:b w:val="0"/>
              </w:rPr>
              <w:lastRenderedPageBreak/>
              <w:t>2.3 Set targets to implement upgraded access arrangements within 3-5 years:</w:t>
            </w:r>
          </w:p>
          <w:p w14:paraId="7BC99608" w14:textId="77777777" w:rsidR="00626746" w:rsidRDefault="00626746" w:rsidP="00C5654D">
            <w:pPr>
              <w:pStyle w:val="ListLegal1"/>
              <w:numPr>
                <w:ilvl w:val="0"/>
                <w:numId w:val="12"/>
              </w:numPr>
              <w:ind w:left="459" w:hanging="459"/>
              <w:rPr>
                <w:rFonts w:ascii="Calibri" w:eastAsia="Calibri" w:hAnsi="Calibri" w:cs="Times New Roman"/>
                <w:b w:val="0"/>
              </w:rPr>
            </w:pPr>
            <w:r w:rsidRPr="00490A34">
              <w:rPr>
                <w:rFonts w:ascii="Calibri" w:eastAsia="Calibri" w:hAnsi="Calibri" w:cs="Times New Roman"/>
                <w:b w:val="0"/>
              </w:rPr>
              <w:t>Automated real time decision making within 3 years.</w:t>
            </w:r>
          </w:p>
          <w:p w14:paraId="7F8D9EF9" w14:textId="77777777" w:rsidR="00563B2D" w:rsidRPr="00626746" w:rsidRDefault="00626746" w:rsidP="00C5654D">
            <w:pPr>
              <w:pStyle w:val="ListLegal1"/>
              <w:numPr>
                <w:ilvl w:val="0"/>
                <w:numId w:val="12"/>
              </w:numPr>
              <w:ind w:left="459" w:hanging="459"/>
              <w:rPr>
                <w:rFonts w:ascii="Calibri" w:eastAsia="Calibri" w:hAnsi="Calibri" w:cs="Times New Roman"/>
                <w:b w:val="0"/>
              </w:rPr>
            </w:pPr>
            <w:r w:rsidRPr="00626746">
              <w:rPr>
                <w:b w:val="0"/>
              </w:rPr>
              <w:t>Implementation of automated access assessment, such that the number of access permits required is reduced by 50% within 3 years and 90% within 5 years for all classes of heavy vehicles (including those under the Performance Based Standards (PBS) scheme).</w:t>
            </w:r>
          </w:p>
        </w:tc>
        <w:tc>
          <w:tcPr>
            <w:tcW w:w="2191" w:type="pct"/>
          </w:tcPr>
          <w:p w14:paraId="7718B036" w14:textId="77777777" w:rsidR="00626746" w:rsidRPr="00490A34" w:rsidRDefault="00626746" w:rsidP="00626746">
            <w:pPr>
              <w:pStyle w:val="Bullet1"/>
              <w:cnfStyle w:val="000000010000" w:firstRow="0" w:lastRow="0" w:firstColumn="0" w:lastColumn="0" w:oddVBand="0" w:evenVBand="0" w:oddHBand="0" w:evenHBand="1" w:firstRowFirstColumn="0" w:firstRowLastColumn="0" w:lastRowFirstColumn="0" w:lastRowLastColumn="0"/>
            </w:pPr>
            <w:r w:rsidRPr="00490A34">
              <w:t>Commonwealth, NSW and Tasmania.</w:t>
            </w:r>
          </w:p>
          <w:p w14:paraId="092D0E44" w14:textId="77777777" w:rsidR="00563B2D" w:rsidRPr="00490A34" w:rsidRDefault="00626746" w:rsidP="00626746">
            <w:pPr>
              <w:pStyle w:val="Bullet1"/>
              <w:cnfStyle w:val="000000010000" w:firstRow="0" w:lastRow="0" w:firstColumn="0" w:lastColumn="0" w:oddVBand="0" w:evenVBand="0" w:oddHBand="0" w:evenHBand="1" w:firstRowFirstColumn="0" w:firstRowLastColumn="0" w:lastRowFirstColumn="0" w:lastRowLastColumn="0"/>
            </w:pPr>
            <w:r w:rsidRPr="00490A34">
              <w:t>Austroads.</w:t>
            </w:r>
          </w:p>
        </w:tc>
      </w:tr>
      <w:tr w:rsidR="00E14284" w14:paraId="3D64772D"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34CCD302" w14:textId="205BB1A6" w:rsidR="00D75DB8" w:rsidRPr="009C01AA" w:rsidRDefault="00E14284" w:rsidP="009C01AA">
            <w:pPr>
              <w:rPr>
                <w:b w:val="0"/>
              </w:rPr>
            </w:pPr>
            <w:r w:rsidRPr="009C01AA">
              <w:rPr>
                <w:b w:val="0"/>
              </w:rPr>
              <w:t>2.4 A national implementation plan</w:t>
            </w:r>
            <w:r w:rsidR="00F67E33" w:rsidRPr="009C01AA">
              <w:rPr>
                <w:b w:val="0"/>
              </w:rPr>
              <w:t xml:space="preserve"> to be produced through Austroads project NEF6393</w:t>
            </w:r>
            <w:r w:rsidR="00DF6DD4" w:rsidRPr="009C01AA">
              <w:rPr>
                <w:b w:val="0"/>
              </w:rPr>
              <w:t xml:space="preserve"> </w:t>
            </w:r>
            <w:r w:rsidRPr="009C01AA">
              <w:rPr>
                <w:b w:val="0"/>
              </w:rPr>
              <w:t>for upgraded access arrangements</w:t>
            </w:r>
            <w:r w:rsidR="00D75DB8" w:rsidRPr="009C01AA">
              <w:rPr>
                <w:b w:val="0"/>
              </w:rPr>
              <w:t>, to</w:t>
            </w:r>
            <w:r w:rsidRPr="009C01AA">
              <w:rPr>
                <w:b w:val="0"/>
              </w:rPr>
              <w:t xml:space="preserve"> be prepared for ITMM endorsement (in early 2023).</w:t>
            </w:r>
          </w:p>
          <w:p w14:paraId="4FA70E62" w14:textId="77777777" w:rsidR="00DA3B27" w:rsidRDefault="00DA3B27" w:rsidP="00DA3B27">
            <w:pPr>
              <w:ind w:left="306"/>
              <w:rPr>
                <w:iCs/>
              </w:rPr>
            </w:pPr>
            <w:r>
              <w:rPr>
                <w:b w:val="0"/>
              </w:rPr>
              <w:t xml:space="preserve"> - </w:t>
            </w:r>
            <w:r w:rsidR="00DF6DD4" w:rsidRPr="009C01AA">
              <w:rPr>
                <w:b w:val="0"/>
              </w:rPr>
              <w:t xml:space="preserve">The NEF6393 project has governance arrangements in place, including reference groups for industry and </w:t>
            </w:r>
            <w:r w:rsidR="00DF6DD4" w:rsidRPr="009C01AA">
              <w:rPr>
                <w:b w:val="0"/>
                <w:iCs/>
              </w:rPr>
              <w:t xml:space="preserve">regulators and road managers, and an oversight group agreed by the Austroads Board) – Austroads Freight Taskforce. </w:t>
            </w:r>
          </w:p>
          <w:p w14:paraId="0629CE09" w14:textId="4E01F1AB" w:rsidR="00A5050D" w:rsidRPr="00DA3B27" w:rsidRDefault="00DA3B27" w:rsidP="00DA3B27">
            <w:pPr>
              <w:ind w:left="306"/>
              <w:rPr>
                <w:b w:val="0"/>
                <w:iCs/>
              </w:rPr>
            </w:pPr>
            <w:r>
              <w:rPr>
                <w:b w:val="0"/>
                <w:iCs/>
              </w:rPr>
              <w:t xml:space="preserve"> - </w:t>
            </w:r>
            <w:r w:rsidR="00DF6DD4" w:rsidRPr="009C01AA">
              <w:rPr>
                <w:b w:val="0"/>
                <w:iCs/>
              </w:rPr>
              <w:t>A</w:t>
            </w:r>
            <w:r w:rsidR="00A5050D" w:rsidRPr="009C01AA">
              <w:rPr>
                <w:b w:val="0"/>
                <w:iCs/>
              </w:rPr>
              <w:t xml:space="preserve"> specialist technical advisor</w:t>
            </w:r>
            <w:r w:rsidR="00DF6DD4" w:rsidRPr="009C01AA">
              <w:rPr>
                <w:b w:val="0"/>
                <w:iCs/>
              </w:rPr>
              <w:t xml:space="preserve"> </w:t>
            </w:r>
            <w:r w:rsidR="00043E7D">
              <w:rPr>
                <w:b w:val="0"/>
                <w:iCs/>
              </w:rPr>
              <w:t>has been</w:t>
            </w:r>
            <w:r w:rsidR="00A5050D" w:rsidRPr="009C01AA">
              <w:rPr>
                <w:b w:val="0"/>
                <w:iCs/>
              </w:rPr>
              <w:t xml:space="preserve"> engaged by the Commonwealth</w:t>
            </w:r>
            <w:r w:rsidR="00DF6DD4" w:rsidRPr="009C01AA">
              <w:rPr>
                <w:b w:val="0"/>
                <w:iCs/>
              </w:rPr>
              <w:t xml:space="preserve"> to </w:t>
            </w:r>
            <w:r w:rsidR="00A5050D" w:rsidRPr="009C01AA">
              <w:rPr>
                <w:b w:val="0"/>
                <w:lang w:val="en-US"/>
              </w:rPr>
              <w:t>provide independent advice to the Steering Committee on the proposed approach, and any concerns or recommendations.</w:t>
            </w:r>
          </w:p>
        </w:tc>
        <w:tc>
          <w:tcPr>
            <w:tcW w:w="2191" w:type="pct"/>
          </w:tcPr>
          <w:p w14:paraId="24AE2EB6" w14:textId="0C6253AE" w:rsidR="00984841" w:rsidRPr="00490A34" w:rsidRDefault="00E14284" w:rsidP="00C5654D">
            <w:pPr>
              <w:pStyle w:val="Bullet1"/>
              <w:cnfStyle w:val="000000000000" w:firstRow="0" w:lastRow="0" w:firstColumn="0" w:lastColumn="0" w:oddVBand="0" w:evenVBand="0" w:oddHBand="0" w:evenHBand="0" w:firstRowFirstColumn="0" w:firstRowLastColumn="0" w:lastRowFirstColumn="0" w:lastRowLastColumn="0"/>
            </w:pPr>
            <w:r w:rsidRPr="00490A34">
              <w:t>Commonwealth, NSW and Tasmania</w:t>
            </w:r>
            <w:r w:rsidR="009C01AA">
              <w:rPr>
                <w:lang w:val="en-AU"/>
              </w:rPr>
              <w:t>, s</w:t>
            </w:r>
            <w:r w:rsidR="00984841" w:rsidRPr="009C01AA">
              <w:rPr>
                <w:lang w:val="en-AU"/>
              </w:rPr>
              <w:t>upported by Austroads Freight Taskforce.</w:t>
            </w:r>
          </w:p>
          <w:p w14:paraId="310C3BF2" w14:textId="35D75890" w:rsidR="00E14284" w:rsidRPr="00490A34" w:rsidRDefault="00984841" w:rsidP="00490A34">
            <w:pPr>
              <w:pStyle w:val="Bullet1"/>
              <w:cnfStyle w:val="000000000000" w:firstRow="0" w:lastRow="0" w:firstColumn="0" w:lastColumn="0" w:oddVBand="0" w:evenVBand="0" w:oddHBand="0" w:evenHBand="0" w:firstRowFirstColumn="0" w:firstRowLastColumn="0" w:lastRowFirstColumn="0" w:lastRowLastColumn="0"/>
            </w:pPr>
            <w:r>
              <w:rPr>
                <w:lang w:val="en-AU"/>
              </w:rPr>
              <w:t xml:space="preserve">WSP </w:t>
            </w:r>
            <w:r w:rsidR="009C01AA">
              <w:rPr>
                <w:lang w:val="en-AU"/>
              </w:rPr>
              <w:t>is</w:t>
            </w:r>
            <w:r>
              <w:rPr>
                <w:lang w:val="en-AU"/>
              </w:rPr>
              <w:t xml:space="preserve"> providing independent technical advice</w:t>
            </w:r>
            <w:r w:rsidR="00680E75">
              <w:rPr>
                <w:lang w:val="en-AU"/>
              </w:rPr>
              <w:t xml:space="preserve"> </w:t>
            </w:r>
            <w:r>
              <w:rPr>
                <w:lang w:val="en-AU"/>
              </w:rPr>
              <w:t>and will</w:t>
            </w:r>
            <w:r w:rsidR="00E14284" w:rsidRPr="00490A34">
              <w:t xml:space="preserve"> liaise with</w:t>
            </w:r>
            <w:r>
              <w:rPr>
                <w:lang w:val="en-AU"/>
              </w:rPr>
              <w:t xml:space="preserve"> jurisdictions, Austroads and</w:t>
            </w:r>
            <w:r w:rsidR="00E14284" w:rsidRPr="00490A34">
              <w:t xml:space="preserve"> the NHVR, on requirements for interoperability</w:t>
            </w:r>
            <w:r w:rsidR="00E93729">
              <w:rPr>
                <w:lang w:val="en-AU"/>
              </w:rPr>
              <w:t>.</w:t>
            </w:r>
            <w:r w:rsidR="00E14284" w:rsidRPr="00490A34">
              <w:t xml:space="preserve"> </w:t>
            </w:r>
          </w:p>
        </w:tc>
      </w:tr>
      <w:tr w:rsidR="00E14284" w14:paraId="705388F8"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523CBF08" w14:textId="77777777" w:rsidR="00E14284" w:rsidRPr="00490A34" w:rsidRDefault="00E14284" w:rsidP="00490A34">
            <w:pPr>
              <w:rPr>
                <w:rFonts w:eastAsia="Calibri" w:cs="Times New Roman"/>
                <w:b w:val="0"/>
              </w:rPr>
            </w:pPr>
            <w:r w:rsidRPr="00490A34">
              <w:rPr>
                <w:rFonts w:eastAsia="Calibri" w:cs="Times New Roman"/>
                <w:b w:val="0"/>
              </w:rPr>
              <w:t>2.5 The National Heavy Vehicle Access Policy Framework (NHVAPF) (NSW) be expedited and brought to the next ITMM for approval.</w:t>
            </w:r>
          </w:p>
        </w:tc>
        <w:tc>
          <w:tcPr>
            <w:tcW w:w="2191" w:type="pct"/>
          </w:tcPr>
          <w:p w14:paraId="7F796CE5" w14:textId="77777777" w:rsidR="00E14284" w:rsidRPr="00490A34"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490A34">
              <w:t xml:space="preserve">NSW supported by National Heavy Vehicle Access Framework Access Working Group. </w:t>
            </w:r>
          </w:p>
        </w:tc>
      </w:tr>
      <w:tr w:rsidR="00E14284" w14:paraId="49ECEC3B"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4FBA94FE" w14:textId="77777777" w:rsidR="00E14284" w:rsidRPr="00490A34" w:rsidRDefault="00E14284" w:rsidP="00490A34">
            <w:pPr>
              <w:rPr>
                <w:rFonts w:eastAsia="Times New Roman"/>
                <w:b w:val="0"/>
                <w:color w:val="000000"/>
                <w:szCs w:val="24"/>
                <w:lang w:val="x-none"/>
              </w:rPr>
            </w:pPr>
            <w:r w:rsidRPr="00490A34">
              <w:rPr>
                <w:b w:val="0"/>
              </w:rPr>
              <w:t xml:space="preserve">2.7 </w:t>
            </w:r>
            <w:r w:rsidRPr="00490A34">
              <w:rPr>
                <w:rFonts w:eastAsia="Calibri" w:cs="Times New Roman"/>
                <w:b w:val="0"/>
              </w:rPr>
              <w:t>A</w:t>
            </w:r>
            <w:r w:rsidRPr="00490A34">
              <w:rPr>
                <w:rFonts w:eastAsia="Times New Roman"/>
                <w:b w:val="0"/>
                <w:color w:val="000000"/>
                <w:szCs w:val="24"/>
                <w:lang w:val="x-none"/>
              </w:rPr>
              <w:t xml:space="preserve">n economic appraisal be conducted on the costs and benefits of an ambitious reform agenda of projects </w:t>
            </w:r>
            <w:r w:rsidRPr="00490A34">
              <w:rPr>
                <w:rFonts w:eastAsia="Times New Roman"/>
                <w:b w:val="0"/>
                <w:color w:val="000000"/>
                <w:szCs w:val="24"/>
                <w:lang w:val="en-US"/>
              </w:rPr>
              <w:t>to open</w:t>
            </w:r>
            <w:r w:rsidRPr="00490A34">
              <w:rPr>
                <w:rFonts w:eastAsia="Times New Roman"/>
                <w:b w:val="0"/>
                <w:color w:val="000000"/>
                <w:szCs w:val="24"/>
                <w:lang w:val="x-none"/>
              </w:rPr>
              <w:t xml:space="preserve"> as-of-right access</w:t>
            </w:r>
            <w:r w:rsidRPr="00490A34">
              <w:rPr>
                <w:rFonts w:eastAsia="Times New Roman"/>
                <w:b w:val="0"/>
                <w:color w:val="000000"/>
                <w:szCs w:val="24"/>
              </w:rPr>
              <w:t xml:space="preserve"> routes along</w:t>
            </w:r>
            <w:r w:rsidRPr="00490A34">
              <w:rPr>
                <w:rFonts w:eastAsia="Times New Roman"/>
                <w:b w:val="0"/>
                <w:color w:val="000000"/>
                <w:szCs w:val="24"/>
                <w:lang w:val="x-none"/>
              </w:rPr>
              <w:t xml:space="preserve"> to the National Road Transport Network</w:t>
            </w:r>
            <w:r w:rsidRPr="00490A34">
              <w:rPr>
                <w:rFonts w:eastAsia="Times New Roman"/>
                <w:b w:val="0"/>
                <w:color w:val="000000"/>
                <w:szCs w:val="24"/>
              </w:rPr>
              <w:t>,</w:t>
            </w:r>
            <w:r w:rsidRPr="00490A34">
              <w:rPr>
                <w:rFonts w:eastAsia="Times New Roman"/>
                <w:b w:val="0"/>
                <w:color w:val="000000"/>
                <w:szCs w:val="24"/>
                <w:lang w:val="x-none"/>
              </w:rPr>
              <w:t xml:space="preserve"> and business cases be prepared where benefits significantly</w:t>
            </w:r>
            <w:r w:rsidRPr="00490A34">
              <w:rPr>
                <w:rFonts w:eastAsia="Times New Roman"/>
                <w:b w:val="0"/>
                <w:color w:val="000000"/>
                <w:szCs w:val="24"/>
              </w:rPr>
              <w:t xml:space="preserve"> </w:t>
            </w:r>
            <w:r w:rsidRPr="00490A34">
              <w:rPr>
                <w:rFonts w:eastAsia="Times New Roman"/>
                <w:b w:val="0"/>
                <w:color w:val="000000"/>
                <w:szCs w:val="24"/>
                <w:lang w:val="x-none"/>
              </w:rPr>
              <w:t>outweigh costs.</w:t>
            </w:r>
          </w:p>
        </w:tc>
        <w:tc>
          <w:tcPr>
            <w:tcW w:w="2191" w:type="pct"/>
          </w:tcPr>
          <w:p w14:paraId="43F2BAB3" w14:textId="77777777" w:rsidR="00E14284" w:rsidRPr="00490A34" w:rsidRDefault="00E14284" w:rsidP="00490A34">
            <w:pPr>
              <w:pStyle w:val="Bullet1"/>
              <w:cnfStyle w:val="000000000000" w:firstRow="0" w:lastRow="0" w:firstColumn="0" w:lastColumn="0" w:oddVBand="0" w:evenVBand="0" w:oddHBand="0" w:evenHBand="0" w:firstRowFirstColumn="0" w:firstRowLastColumn="0" w:lastRowFirstColumn="0" w:lastRowLastColumn="0"/>
            </w:pPr>
            <w:r w:rsidRPr="00490A34">
              <w:t>NSW, SA, WA, Tasmania, NT, Queensland, Victoria (in relation to routes in their jurisdiction).</w:t>
            </w:r>
          </w:p>
          <w:p w14:paraId="51F14A7B" w14:textId="77777777" w:rsidR="00E14284" w:rsidRPr="00490A34" w:rsidRDefault="00E14284" w:rsidP="00623CF7">
            <w:pPr>
              <w:pStyle w:val="Bullet2"/>
              <w:cnfStyle w:val="000000000000" w:firstRow="0" w:lastRow="0" w:firstColumn="0" w:lastColumn="0" w:oddVBand="0" w:evenVBand="0" w:oddHBand="0" w:evenHBand="0" w:firstRowFirstColumn="0" w:firstRowLastColumn="0" w:lastRowFirstColumn="0" w:lastRowLastColumn="0"/>
            </w:pPr>
            <w:r w:rsidRPr="00623CF7">
              <w:t>Victoria to coordinate this</w:t>
            </w:r>
            <w:r w:rsidRPr="00490A34">
              <w:t xml:space="preserve"> work.</w:t>
            </w:r>
          </w:p>
          <w:p w14:paraId="30C32847" w14:textId="77777777" w:rsidR="00E14284" w:rsidRPr="00490A34" w:rsidRDefault="00E14284" w:rsidP="00490A34">
            <w:pPr>
              <w:pStyle w:val="Bullet1"/>
              <w:cnfStyle w:val="000000000000" w:firstRow="0" w:lastRow="0" w:firstColumn="0" w:lastColumn="0" w:oddVBand="0" w:evenVBand="0" w:oddHBand="0" w:evenHBand="0" w:firstRowFirstColumn="0" w:firstRowLastColumn="0" w:lastRowFirstColumn="0" w:lastRowLastColumn="0"/>
            </w:pPr>
            <w:r w:rsidRPr="00490A34">
              <w:t>Support from Austroads or Australian Road Research Board.</w:t>
            </w:r>
          </w:p>
        </w:tc>
      </w:tr>
      <w:tr w:rsidR="00E14284" w14:paraId="465CE3DE"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212F755E" w14:textId="77777777" w:rsidR="00E14284" w:rsidRPr="00490A34" w:rsidRDefault="00E14284" w:rsidP="00E14284">
            <w:pPr>
              <w:rPr>
                <w:rFonts w:eastAsia="Calibri" w:cs="Times New Roman"/>
                <w:b w:val="0"/>
              </w:rPr>
            </w:pPr>
            <w:r w:rsidRPr="00490A34">
              <w:rPr>
                <w:b w:val="0"/>
              </w:rPr>
              <w:t>2.8</w:t>
            </w:r>
            <w:r w:rsidRPr="00490A34">
              <w:rPr>
                <w:rFonts w:eastAsia="Calibri" w:cs="Times New Roman"/>
                <w:b w:val="0"/>
              </w:rPr>
              <w:t xml:space="preserve"> That PBS approvals be better linked with access to networks to: provide certainty of access for PBS Design Approvals, PBS vehicles and common and proven PBS combinations; and improve effectiveness of the PBS design review process by requiring applicants to submit approvals digitally to the National Heavy Vehicle Regulator.</w:t>
            </w:r>
          </w:p>
          <w:p w14:paraId="34B65A23" w14:textId="77777777" w:rsidR="00E14284" w:rsidRPr="00490A34" w:rsidRDefault="00E14284" w:rsidP="00E14284">
            <w:pPr>
              <w:rPr>
                <w:rFonts w:eastAsia="Calibri" w:cs="Times New Roman"/>
                <w:b w:val="0"/>
              </w:rPr>
            </w:pPr>
          </w:p>
        </w:tc>
        <w:tc>
          <w:tcPr>
            <w:tcW w:w="2191" w:type="pct"/>
          </w:tcPr>
          <w:p w14:paraId="52ACB307" w14:textId="77777777" w:rsidR="00E14284" w:rsidRPr="00680E75"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680E75">
              <w:t xml:space="preserve">National Heavy Vehicle Regulator with participating jurisdictions to facilitate access approval. </w:t>
            </w:r>
          </w:p>
        </w:tc>
      </w:tr>
      <w:tr w:rsidR="00E14284" w14:paraId="6C5CA4E9"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749E8AB2" w14:textId="77777777" w:rsidR="00E14284" w:rsidRPr="00490A34" w:rsidRDefault="00E14284" w:rsidP="00E14284">
            <w:pPr>
              <w:rPr>
                <w:rFonts w:eastAsia="Calibri" w:cs="Times New Roman"/>
                <w:b w:val="0"/>
              </w:rPr>
            </w:pPr>
            <w:r w:rsidRPr="00490A34">
              <w:rPr>
                <w:b w:val="0"/>
              </w:rPr>
              <w:lastRenderedPageBreak/>
              <w:t>2.9</w:t>
            </w:r>
            <w:r w:rsidRPr="00490A34">
              <w:rPr>
                <w:rFonts w:eastAsia="Times New Roman"/>
                <w:b w:val="0"/>
                <w:color w:val="000000"/>
                <w:szCs w:val="24"/>
                <w:lang w:val="x-none"/>
              </w:rPr>
              <w:t xml:space="preserve"> Provide corresponding access networks for PBS vehicles to a standard vehicle, general access (up to</w:t>
            </w:r>
            <w:r w:rsidRPr="00490A34">
              <w:rPr>
                <w:rFonts w:eastAsia="Times New Roman"/>
                <w:b w:val="0"/>
                <w:color w:val="000000"/>
                <w:szCs w:val="24"/>
              </w:rPr>
              <w:t xml:space="preserve"> </w:t>
            </w:r>
            <w:r w:rsidRPr="00490A34">
              <w:rPr>
                <w:rFonts w:eastAsia="Times New Roman"/>
                <w:b w:val="0"/>
                <w:color w:val="000000"/>
                <w:szCs w:val="24"/>
                <w:lang w:val="x-none"/>
              </w:rPr>
              <w:t>50.5t GCM) for PBS Level 1 vehicles, and B-double access for PBS Level 2 vehicles</w:t>
            </w:r>
            <w:r w:rsidRPr="00490A34">
              <w:rPr>
                <w:rFonts w:eastAsia="Calibri" w:cs="Times New Roman"/>
                <w:b w:val="0"/>
              </w:rPr>
              <w:t>.</w:t>
            </w:r>
          </w:p>
        </w:tc>
        <w:tc>
          <w:tcPr>
            <w:tcW w:w="2191" w:type="pct"/>
          </w:tcPr>
          <w:p w14:paraId="013BC0B6" w14:textId="65EF6B59" w:rsidR="00E14284" w:rsidRPr="00490A34" w:rsidRDefault="00E14284" w:rsidP="001812E7">
            <w:pPr>
              <w:spacing w:before="120"/>
              <w:cnfStyle w:val="000000000000" w:firstRow="0" w:lastRow="0" w:firstColumn="0" w:lastColumn="0" w:oddVBand="0" w:evenVBand="0" w:oddHBand="0" w:evenHBand="0" w:firstRowFirstColumn="0" w:firstRowLastColumn="0" w:lastRowFirstColumn="0" w:lastRowLastColumn="0"/>
            </w:pPr>
            <w:r w:rsidRPr="00680E75">
              <w:t>National Heavy Vehicle Regulator with</w:t>
            </w:r>
            <w:r w:rsidR="001812E7" w:rsidRPr="00680E75">
              <w:t xml:space="preserve"> the support of the Commonwealth and</w:t>
            </w:r>
            <w:r w:rsidRPr="00680E75">
              <w:t xml:space="preserve"> participating jurisdictions to facilitate access approval.</w:t>
            </w:r>
            <w:r w:rsidR="001812E7" w:rsidRPr="00680E75">
              <w:t xml:space="preserve"> </w:t>
            </w:r>
          </w:p>
        </w:tc>
      </w:tr>
      <w:tr w:rsidR="00E14284" w14:paraId="1B8EF7CE"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392F7196" w14:textId="77777777" w:rsidR="00E14284" w:rsidRPr="00490A34" w:rsidRDefault="00E14284" w:rsidP="00E14284">
            <w:pPr>
              <w:rPr>
                <w:rFonts w:eastAsia="Calibri" w:cs="Times New Roman"/>
                <w:b w:val="0"/>
              </w:rPr>
            </w:pPr>
            <w:r w:rsidRPr="00490A34">
              <w:rPr>
                <w:b w:val="0"/>
              </w:rPr>
              <w:t xml:space="preserve">2.10 </w:t>
            </w:r>
            <w:r w:rsidRPr="00490A34">
              <w:rPr>
                <w:rFonts w:eastAsia="Calibri" w:cs="Times New Roman"/>
                <w:b w:val="0"/>
              </w:rPr>
              <w:t>Proposed improvements to the PBS Scheme:</w:t>
            </w:r>
          </w:p>
          <w:p w14:paraId="6C255EEE" w14:textId="77777777" w:rsidR="00E14284" w:rsidRPr="00490A34" w:rsidRDefault="00E14284" w:rsidP="00C5654D">
            <w:pPr>
              <w:pStyle w:val="ListLegal1"/>
              <w:numPr>
                <w:ilvl w:val="0"/>
                <w:numId w:val="13"/>
              </w:numPr>
              <w:ind w:left="459" w:hanging="459"/>
              <w:rPr>
                <w:rFonts w:eastAsia="Calibri" w:cs="Times New Roman"/>
                <w:b w:val="0"/>
              </w:rPr>
            </w:pPr>
            <w:r w:rsidRPr="00490A34">
              <w:rPr>
                <w:rFonts w:eastAsia="Calibri" w:cs="Times New Roman"/>
                <w:b w:val="0"/>
              </w:rPr>
              <w:t xml:space="preserve">Enable manufacturers of PBS vehicles to self-certify that the build is as per the design.  </w:t>
            </w:r>
          </w:p>
          <w:p w14:paraId="70B7CFB0" w14:textId="77777777" w:rsidR="00E14284" w:rsidRPr="00490A34" w:rsidRDefault="00E14284" w:rsidP="00C5654D">
            <w:pPr>
              <w:pStyle w:val="ListLegal1"/>
              <w:numPr>
                <w:ilvl w:val="0"/>
                <w:numId w:val="13"/>
              </w:numPr>
              <w:ind w:left="459" w:hanging="459"/>
              <w:rPr>
                <w:rFonts w:eastAsia="Calibri" w:cs="Times New Roman"/>
                <w:b w:val="0"/>
              </w:rPr>
            </w:pPr>
            <w:r w:rsidRPr="00490A34">
              <w:rPr>
                <w:rFonts w:eastAsia="Calibri" w:cs="Times New Roman"/>
                <w:b w:val="0"/>
              </w:rPr>
              <w:t xml:space="preserve">Type approval of component vehicles for the PBS Scheme. </w:t>
            </w:r>
          </w:p>
          <w:p w14:paraId="56A77D42" w14:textId="77777777" w:rsidR="00E14284" w:rsidRPr="00490A34" w:rsidRDefault="00E14284" w:rsidP="00C5654D">
            <w:pPr>
              <w:pStyle w:val="ListLegal1"/>
              <w:numPr>
                <w:ilvl w:val="0"/>
                <w:numId w:val="13"/>
              </w:numPr>
              <w:ind w:left="459" w:hanging="459"/>
              <w:rPr>
                <w:rFonts w:eastAsia="Calibri" w:cs="Times New Roman"/>
                <w:b w:val="0"/>
              </w:rPr>
            </w:pPr>
            <w:r w:rsidRPr="00490A34">
              <w:rPr>
                <w:rFonts w:eastAsia="Calibri" w:cs="Times New Roman"/>
                <w:b w:val="0"/>
              </w:rPr>
              <w:t>Update PBS standards to reflect learnings over the last 20 years and recognise technologies where appropriate.</w:t>
            </w:r>
          </w:p>
          <w:p w14:paraId="727D4396" w14:textId="77777777" w:rsidR="00E14284" w:rsidRPr="00490A34" w:rsidRDefault="00E14284" w:rsidP="00C5654D">
            <w:pPr>
              <w:pStyle w:val="ListLegal1"/>
              <w:numPr>
                <w:ilvl w:val="0"/>
                <w:numId w:val="13"/>
              </w:numPr>
              <w:ind w:left="459" w:hanging="459"/>
              <w:rPr>
                <w:rFonts w:eastAsia="Calibri" w:cs="Times New Roman"/>
                <w:b w:val="0"/>
              </w:rPr>
            </w:pPr>
            <w:r w:rsidRPr="00490A34">
              <w:rPr>
                <w:rFonts w:eastAsia="Calibri" w:cs="Times New Roman"/>
                <w:b w:val="0"/>
              </w:rPr>
              <w:t>Streamline governance of PBS scheme and continue to gazette networks for PBS vehicles, until online notices are developed.</w:t>
            </w:r>
          </w:p>
          <w:p w14:paraId="4A96BFF0" w14:textId="77777777" w:rsidR="00E14284" w:rsidRPr="00490A34" w:rsidRDefault="00E14284" w:rsidP="00C5654D">
            <w:pPr>
              <w:pStyle w:val="ListLegal1"/>
              <w:numPr>
                <w:ilvl w:val="0"/>
                <w:numId w:val="13"/>
              </w:numPr>
              <w:ind w:left="459" w:hanging="459"/>
              <w:rPr>
                <w:rFonts w:eastAsia="Calibri" w:cs="Times New Roman"/>
                <w:b w:val="0"/>
              </w:rPr>
            </w:pPr>
            <w:r w:rsidRPr="00490A34">
              <w:rPr>
                <w:rFonts w:eastAsia="Calibri" w:cs="Times New Roman"/>
                <w:b w:val="0"/>
              </w:rPr>
              <w:t>Allow transfer of approvals with sale of a PBS combination.</w:t>
            </w:r>
          </w:p>
        </w:tc>
        <w:tc>
          <w:tcPr>
            <w:tcW w:w="2191" w:type="pct"/>
          </w:tcPr>
          <w:p w14:paraId="144E2A24" w14:textId="77777777" w:rsidR="00E14284" w:rsidRPr="00490A34"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490A34">
              <w:t>National Heavy Vehicle Regulator with input from participating jurisdictions.</w:t>
            </w:r>
          </w:p>
          <w:p w14:paraId="15B3534A" w14:textId="77777777" w:rsidR="00E14284" w:rsidRPr="00490A34"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490A34">
              <w:t>Legislative reform lead (where overlaps with legislative reforms).</w:t>
            </w:r>
          </w:p>
        </w:tc>
      </w:tr>
      <w:tr w:rsidR="00E14284" w14:paraId="56ABB8B1"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56C55CF8" w14:textId="77777777" w:rsidR="00E14284" w:rsidRPr="00490A34" w:rsidRDefault="00E14284" w:rsidP="00E14284">
            <w:pPr>
              <w:rPr>
                <w:rFonts w:eastAsia="Calibri" w:cs="Times New Roman"/>
                <w:b w:val="0"/>
              </w:rPr>
            </w:pPr>
            <w:r w:rsidRPr="00490A34">
              <w:rPr>
                <w:b w:val="0"/>
              </w:rPr>
              <w:t>3.1</w:t>
            </w:r>
            <w:r w:rsidRPr="00490A34">
              <w:rPr>
                <w:rFonts w:eastAsia="Times New Roman"/>
                <w:b w:val="0"/>
                <w:color w:val="000000"/>
                <w:szCs w:val="24"/>
                <w:lang w:val="x-none"/>
              </w:rPr>
              <w:t xml:space="preserve"> Fatigue detection and distraction technology should be pursued as a mechanism for actively managing fatigue.</w:t>
            </w:r>
          </w:p>
        </w:tc>
        <w:tc>
          <w:tcPr>
            <w:tcW w:w="2191" w:type="pct"/>
          </w:tcPr>
          <w:p w14:paraId="6C8C8CB4" w14:textId="77777777" w:rsidR="00E14284" w:rsidRPr="00490A34" w:rsidRDefault="00E14284" w:rsidP="00490A34">
            <w:pPr>
              <w:pStyle w:val="Bullet1"/>
              <w:cnfStyle w:val="000000000000" w:firstRow="0" w:lastRow="0" w:firstColumn="0" w:lastColumn="0" w:oddVBand="0" w:evenVBand="0" w:oddHBand="0" w:evenHBand="0" w:firstRowFirstColumn="0" w:firstRowLastColumn="0" w:lastRowFirstColumn="0" w:lastRowLastColumn="0"/>
            </w:pPr>
            <w:r w:rsidRPr="00490A34">
              <w:t>National Heavy Vehicle Regulator with support from all participating jurisdictions and their law enforcement agencies.</w:t>
            </w:r>
          </w:p>
          <w:p w14:paraId="66FEC3D5" w14:textId="77777777" w:rsidR="00E14284" w:rsidRPr="00490A34" w:rsidRDefault="00E14284" w:rsidP="00490A34">
            <w:pPr>
              <w:pStyle w:val="Bullet1"/>
              <w:cnfStyle w:val="000000000000" w:firstRow="0" w:lastRow="0" w:firstColumn="0" w:lastColumn="0" w:oddVBand="0" w:evenVBand="0" w:oddHBand="0" w:evenHBand="0" w:firstRowFirstColumn="0" w:firstRowLastColumn="0" w:lastRowFirstColumn="0" w:lastRowLastColumn="0"/>
            </w:pPr>
            <w:r w:rsidRPr="00490A34">
              <w:t>Legislative reform lead (where overlaps with legislative reforms).</w:t>
            </w:r>
          </w:p>
        </w:tc>
      </w:tr>
      <w:tr w:rsidR="00E14284" w14:paraId="7D273EAF"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14D930E0" w14:textId="77777777" w:rsidR="00E14284" w:rsidRPr="00490A34" w:rsidRDefault="00E14284" w:rsidP="00E14284">
            <w:pPr>
              <w:rPr>
                <w:b w:val="0"/>
              </w:rPr>
            </w:pPr>
            <w:r w:rsidRPr="00490A34">
              <w:rPr>
                <w:b w:val="0"/>
              </w:rPr>
              <w:t>3.7 Duties and Driver Health:</w:t>
            </w:r>
          </w:p>
          <w:p w14:paraId="6B34BB4B" w14:textId="77777777" w:rsidR="00623CF7" w:rsidRDefault="00E14284" w:rsidP="00C5654D">
            <w:pPr>
              <w:pStyle w:val="ListLegal1"/>
              <w:numPr>
                <w:ilvl w:val="0"/>
                <w:numId w:val="14"/>
              </w:numPr>
              <w:ind w:left="459" w:hanging="459"/>
              <w:rPr>
                <w:b w:val="0"/>
              </w:rPr>
            </w:pPr>
            <w:r w:rsidRPr="00490A34">
              <w:rPr>
                <w:b w:val="0"/>
              </w:rPr>
              <w:t>The commercial standards in Australian Fitness to Drive (AFTD) Guidelines should be upgraded to include risk-based screening tests for diabetes, sleep apnoea and cardiovascular issues.</w:t>
            </w:r>
            <w:bookmarkStart w:id="1" w:name="_Hlk112319202"/>
          </w:p>
          <w:p w14:paraId="610215BE" w14:textId="77777777" w:rsidR="00E14284" w:rsidRPr="00623CF7" w:rsidRDefault="00E14284" w:rsidP="00C5654D">
            <w:pPr>
              <w:pStyle w:val="ListLegal1"/>
              <w:numPr>
                <w:ilvl w:val="0"/>
                <w:numId w:val="14"/>
              </w:numPr>
              <w:ind w:left="459" w:hanging="459"/>
              <w:rPr>
                <w:b w:val="0"/>
              </w:rPr>
            </w:pPr>
            <w:r w:rsidRPr="00623CF7">
              <w:rPr>
                <w:b w:val="0"/>
              </w:rPr>
              <w:t>All heavy vehicle drivers should be required to have regular medicals against the standards as part of the driver licensing process, licensing/accreditation requirements.</w:t>
            </w:r>
            <w:bookmarkEnd w:id="1"/>
          </w:p>
        </w:tc>
        <w:tc>
          <w:tcPr>
            <w:tcW w:w="2191" w:type="pct"/>
          </w:tcPr>
          <w:p w14:paraId="280910A3" w14:textId="77777777" w:rsidR="00E14284" w:rsidRPr="00490A34" w:rsidRDefault="00E14284" w:rsidP="00490A34">
            <w:pPr>
              <w:pStyle w:val="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r w:rsidRPr="00490A34">
              <w:t>3.7a</w:t>
            </w:r>
          </w:p>
          <w:p w14:paraId="7ED0054B" w14:textId="77777777" w:rsidR="00490A34" w:rsidRDefault="00E14284" w:rsidP="00490A34">
            <w:pPr>
              <w:pStyle w:val="Bullet1"/>
              <w:cnfStyle w:val="000000010000" w:firstRow="0" w:lastRow="0" w:firstColumn="0" w:lastColumn="0" w:oddVBand="0" w:evenVBand="0" w:oddHBand="0" w:evenHBand="1" w:firstRowFirstColumn="0" w:firstRowLastColumn="0" w:lastRowFirstColumn="0" w:lastRowLastColumn="0"/>
            </w:pPr>
            <w:r w:rsidRPr="00490A34">
              <w:t>National Transport Commission is leading this project as requested by Infrastructure and Transport Ministers’ Meeting in February 2022.</w:t>
            </w:r>
            <w:r w:rsidR="00490A34" w:rsidRPr="00490A34">
              <w:t xml:space="preserve"> </w:t>
            </w:r>
          </w:p>
          <w:p w14:paraId="0D680469" w14:textId="77777777" w:rsidR="00490A34" w:rsidRPr="00490A34" w:rsidRDefault="00490A34" w:rsidP="00490A34">
            <w:pPr>
              <w:pStyle w:val="Bullet1"/>
              <w:numPr>
                <w:ilvl w:val="0"/>
                <w:numId w:val="0"/>
              </w:numPr>
              <w:cnfStyle w:val="000000010000" w:firstRow="0" w:lastRow="0" w:firstColumn="0" w:lastColumn="0" w:oddVBand="0" w:evenVBand="0" w:oddHBand="0" w:evenHBand="1" w:firstRowFirstColumn="0" w:firstRowLastColumn="0" w:lastRowFirstColumn="0" w:lastRowLastColumn="0"/>
            </w:pPr>
            <w:r w:rsidRPr="00490A34">
              <w:t>3.7b</w:t>
            </w:r>
          </w:p>
          <w:p w14:paraId="6A7DF4DA" w14:textId="77777777" w:rsidR="00E14284" w:rsidRPr="00490A34" w:rsidRDefault="00490A34" w:rsidP="00490A34">
            <w:pPr>
              <w:pStyle w:val="Bullet1"/>
              <w:cnfStyle w:val="000000010000" w:firstRow="0" w:lastRow="0" w:firstColumn="0" w:lastColumn="0" w:oddVBand="0" w:evenVBand="0" w:oddHBand="0" w:evenHBand="1" w:firstRowFirstColumn="0" w:firstRowLastColumn="0" w:lastRowFirstColumn="0" w:lastRowLastColumn="0"/>
            </w:pPr>
            <w:r w:rsidRPr="00490A34">
              <w:t>National Transport Commission</w:t>
            </w:r>
          </w:p>
        </w:tc>
      </w:tr>
      <w:tr w:rsidR="00E14284" w14:paraId="7648F993"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659CCA90" w14:textId="77777777" w:rsidR="00E14284" w:rsidRPr="00490A34" w:rsidRDefault="00490A34" w:rsidP="00E14284">
            <w:pPr>
              <w:rPr>
                <w:rFonts w:eastAsia="Calibri" w:cs="Times New Roman"/>
                <w:b w:val="0"/>
              </w:rPr>
            </w:pPr>
            <w:r w:rsidRPr="00490A34">
              <w:rPr>
                <w:rFonts w:eastAsia="Calibri" w:cs="Times New Roman"/>
                <w:b w:val="0"/>
              </w:rPr>
              <w:t>4.1 The shift to risk-based safety-focused law needs to be supported by skills/resourcing for effective enforcement/compliance.</w:t>
            </w:r>
          </w:p>
        </w:tc>
        <w:tc>
          <w:tcPr>
            <w:tcW w:w="2191" w:type="pct"/>
          </w:tcPr>
          <w:p w14:paraId="4B13F46B" w14:textId="77777777" w:rsidR="00E14284" w:rsidRPr="00490A34" w:rsidRDefault="00490A34" w:rsidP="00490A34">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b/>
                <w:lang w:val="en-AU"/>
              </w:rPr>
            </w:pPr>
            <w:r w:rsidRPr="00490A34">
              <w:rPr>
                <w:rFonts w:eastAsia="Calibri" w:cs="Times New Roman"/>
                <w:lang w:val="en-AU"/>
              </w:rPr>
              <w:t>National Heavy Vehicle Regulator and law enforcement agencies</w:t>
            </w:r>
            <w:r w:rsidR="00E14284" w:rsidRPr="00490A34">
              <w:rPr>
                <w:rFonts w:eastAsia="Calibri" w:cs="Times New Roman"/>
                <w:lang w:val="en-AU"/>
              </w:rPr>
              <w:t>.</w:t>
            </w:r>
          </w:p>
          <w:p w14:paraId="57947B3F" w14:textId="77777777" w:rsidR="00490A34" w:rsidRPr="00490A34" w:rsidRDefault="00490A34" w:rsidP="00490A34">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b/>
                <w:lang w:val="en-AU"/>
              </w:rPr>
            </w:pPr>
            <w:r w:rsidRPr="00490A34">
              <w:rPr>
                <w:rFonts w:eastAsia="Calibri" w:cs="Times New Roman"/>
                <w:lang w:val="en-AU"/>
              </w:rPr>
              <w:t>Legislative reform lead (where overlaps with legislative reforms)</w:t>
            </w:r>
          </w:p>
        </w:tc>
      </w:tr>
      <w:tr w:rsidR="009C01AA" w14:paraId="694E385F"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7FCF2031" w14:textId="77777777" w:rsidR="009C01AA" w:rsidRDefault="009C01AA" w:rsidP="009C01AA"/>
          <w:p w14:paraId="0AB93ACF" w14:textId="77777777" w:rsidR="009C01AA" w:rsidRPr="009C01AA" w:rsidRDefault="009C01AA" w:rsidP="009C01AA">
            <w:pPr>
              <w:rPr>
                <w:rFonts w:eastAsia="Calibri" w:cs="Times New Roman"/>
                <w:b w:val="0"/>
              </w:rPr>
            </w:pPr>
          </w:p>
        </w:tc>
        <w:tc>
          <w:tcPr>
            <w:tcW w:w="2191" w:type="pct"/>
          </w:tcPr>
          <w:p w14:paraId="7F11CF64" w14:textId="6523F921" w:rsidR="009C01AA" w:rsidRPr="00490A34" w:rsidRDefault="009C01AA" w:rsidP="009C01AA">
            <w:pPr>
              <w:pStyle w:val="Bullet1"/>
              <w:numPr>
                <w:ilvl w:val="0"/>
                <w:numId w:val="0"/>
              </w:numPr>
              <w:ind w:left="284" w:hanging="284"/>
              <w:cnfStyle w:val="000000010000" w:firstRow="0" w:lastRow="0" w:firstColumn="0" w:lastColumn="0" w:oddVBand="0" w:evenVBand="0" w:oddHBand="0" w:evenHBand="1" w:firstRowFirstColumn="0" w:firstRowLastColumn="0" w:lastRowFirstColumn="0" w:lastRowLastColumn="0"/>
              <w:rPr>
                <w:rFonts w:eastAsia="Calibri" w:cs="Times New Roman"/>
                <w:lang w:val="en-AU"/>
              </w:rPr>
            </w:pPr>
          </w:p>
        </w:tc>
      </w:tr>
      <w:tr w:rsidR="009C01AA" w14:paraId="382D6A9E"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4CC54AD3" w14:textId="55EBF9EA" w:rsidR="009C01AA" w:rsidRPr="009C01AA" w:rsidRDefault="009C01AA" w:rsidP="009C01AA">
            <w:pPr>
              <w:rPr>
                <w:rFonts w:eastAsia="Calibri" w:cs="Times New Roman"/>
                <w:b w:val="0"/>
              </w:rPr>
            </w:pPr>
            <w:r w:rsidRPr="009C01AA">
              <w:rPr>
                <w:b w:val="0"/>
              </w:rPr>
              <w:lastRenderedPageBreak/>
              <w:t>4.2 That road managers in participating jurisdictions need assurance that there is adequate enforcement and compliance for restricted access vehicles across the national network.  As part of the Implementation Plan for the new access arrangements outlined in recommendation 2.3 and 2.4, a review of compliance and the enforcement of access permission should be conducted.</w:t>
            </w:r>
          </w:p>
        </w:tc>
        <w:tc>
          <w:tcPr>
            <w:tcW w:w="2191" w:type="pct"/>
          </w:tcPr>
          <w:p w14:paraId="2A0F1232" w14:textId="77777777" w:rsidR="009C01AA" w:rsidRPr="009C01AA" w:rsidRDefault="009C01AA" w:rsidP="009C01AA">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lang w:val="en-AU"/>
              </w:rPr>
            </w:pPr>
            <w:r w:rsidRPr="009C01AA">
              <w:rPr>
                <w:rFonts w:eastAsia="Calibri" w:cs="Times New Roman"/>
                <w:lang w:val="en-AU"/>
              </w:rPr>
              <w:t>National Heavy Vehicle Regulator and law enforcement agencies, with Queensland supporting coordination.</w:t>
            </w:r>
          </w:p>
          <w:p w14:paraId="47D4577E" w14:textId="1F39D1D2" w:rsidR="009C01AA" w:rsidRPr="00490A34" w:rsidRDefault="009C01AA" w:rsidP="009C01AA">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lang w:val="en-AU"/>
              </w:rPr>
            </w:pPr>
            <w:r w:rsidRPr="009C01AA">
              <w:rPr>
                <w:rFonts w:eastAsia="Calibri" w:cs="Times New Roman"/>
                <w:lang w:val="en-AU"/>
              </w:rPr>
              <w:t>Legislative reform lead (where overlaps with legislative reforms</w:t>
            </w:r>
            <w:r w:rsidRPr="00DA3B27">
              <w:rPr>
                <w:rFonts w:eastAsia="Calibri" w:cs="Times New Roman"/>
                <w:lang w:val="en-AU"/>
              </w:rPr>
              <w:t>).</w:t>
            </w:r>
          </w:p>
        </w:tc>
      </w:tr>
      <w:tr w:rsidR="009C01AA" w14:paraId="06B12F94"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024A3895" w14:textId="129DAD2F" w:rsidR="009C01AA" w:rsidRPr="009C01AA" w:rsidRDefault="009C01AA" w:rsidP="009C01AA">
            <w:pPr>
              <w:rPr>
                <w:b w:val="0"/>
              </w:rPr>
            </w:pPr>
            <w:r w:rsidRPr="009C01AA">
              <w:rPr>
                <w:b w:val="0"/>
              </w:rPr>
              <w:t>4.3. That record keeping systems be overhauled so that the number and type of penalties being issued by each enforcement body can be readily ascertained and collated at a national level.</w:t>
            </w:r>
          </w:p>
        </w:tc>
        <w:tc>
          <w:tcPr>
            <w:tcW w:w="2191" w:type="pct"/>
          </w:tcPr>
          <w:p w14:paraId="74694CB8" w14:textId="03B7B878" w:rsidR="009C01AA" w:rsidRPr="009C01AA" w:rsidRDefault="009C01AA" w:rsidP="00C5654D">
            <w:pPr>
              <w:pStyle w:val="Bullet1"/>
              <w:cnfStyle w:val="000000010000" w:firstRow="0" w:lastRow="0" w:firstColumn="0" w:lastColumn="0" w:oddVBand="0" w:evenVBand="0" w:oddHBand="0" w:evenHBand="1" w:firstRowFirstColumn="0" w:firstRowLastColumn="0" w:lastRowFirstColumn="0" w:lastRowLastColumn="0"/>
              <w:rPr>
                <w:rFonts w:eastAsia="Calibri" w:cs="Times New Roman"/>
                <w:lang w:val="en-AU"/>
              </w:rPr>
            </w:pPr>
            <w:r w:rsidRPr="009C01AA">
              <w:rPr>
                <w:rFonts w:eastAsia="Calibri" w:cs="Times New Roman"/>
                <w:lang w:val="en-AU"/>
              </w:rPr>
              <w:t>National Heavy Vehicle Regulator and law enforcement agencies with Queensland supporting coordination.</w:t>
            </w:r>
          </w:p>
        </w:tc>
      </w:tr>
      <w:tr w:rsidR="009C01AA" w14:paraId="0A8FD789"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736B06FC" w14:textId="77777777" w:rsidR="009C01AA" w:rsidRPr="009C01AA" w:rsidRDefault="009C01AA" w:rsidP="009C01AA">
            <w:pPr>
              <w:rPr>
                <w:b w:val="0"/>
              </w:rPr>
            </w:pPr>
            <w:r w:rsidRPr="009C01AA">
              <w:rPr>
                <w:b w:val="0"/>
              </w:rPr>
              <w:t>4.4. A national regulatory forum be convened once per year by the National Heavy Vehicle Regulator to for all enforcement agencies to discuss with industry strategies for ensuring enforcement is more consistent.</w:t>
            </w:r>
          </w:p>
          <w:p w14:paraId="714DA3BF" w14:textId="77777777" w:rsidR="009C01AA" w:rsidRPr="009C01AA" w:rsidRDefault="009C01AA" w:rsidP="009C01AA">
            <w:pPr>
              <w:rPr>
                <w:rFonts w:eastAsia="Calibri" w:cs="Times New Roman"/>
                <w:b w:val="0"/>
              </w:rPr>
            </w:pPr>
          </w:p>
        </w:tc>
        <w:tc>
          <w:tcPr>
            <w:tcW w:w="2191" w:type="pct"/>
          </w:tcPr>
          <w:p w14:paraId="4A8FD29E" w14:textId="195AFC78" w:rsidR="009C01AA" w:rsidRPr="00490A34" w:rsidRDefault="009C01AA" w:rsidP="009C01AA">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lang w:val="en-AU"/>
              </w:rPr>
            </w:pPr>
            <w:r w:rsidRPr="009C01AA">
              <w:rPr>
                <w:rFonts w:eastAsia="Calibri" w:cs="Times New Roman"/>
                <w:lang w:val="en-AU"/>
              </w:rPr>
              <w:t>National Heavy Vehicle Regulator.</w:t>
            </w:r>
          </w:p>
        </w:tc>
      </w:tr>
      <w:tr w:rsidR="009C01AA" w14:paraId="0AE9D5D3"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6BF7E2C3" w14:textId="77777777" w:rsidR="009C01AA" w:rsidRPr="009C01AA" w:rsidRDefault="009C01AA" w:rsidP="009C01AA">
            <w:pPr>
              <w:rPr>
                <w:b w:val="0"/>
              </w:rPr>
            </w:pPr>
            <w:r w:rsidRPr="009C01AA">
              <w:rPr>
                <w:b w:val="0"/>
              </w:rPr>
              <w:t>8.1. Jurisdictions that don’t currently allow businesses the option of paying heavy vehicle registration monthly by direct debit should consider implementing this customer service improvement.</w:t>
            </w:r>
          </w:p>
          <w:p w14:paraId="3145E919" w14:textId="77777777" w:rsidR="009C01AA" w:rsidRPr="009C01AA" w:rsidRDefault="009C01AA" w:rsidP="009C01AA">
            <w:pPr>
              <w:rPr>
                <w:rFonts w:eastAsia="Calibri" w:cs="Times New Roman"/>
                <w:b w:val="0"/>
              </w:rPr>
            </w:pPr>
          </w:p>
        </w:tc>
        <w:tc>
          <w:tcPr>
            <w:tcW w:w="2191" w:type="pct"/>
          </w:tcPr>
          <w:p w14:paraId="620C3F6B" w14:textId="5294409D" w:rsidR="009C01AA" w:rsidRPr="00490A34" w:rsidRDefault="009C01AA" w:rsidP="009C01AA">
            <w:pPr>
              <w:pStyle w:val="Bullet1"/>
              <w:cnfStyle w:val="000000010000" w:firstRow="0" w:lastRow="0" w:firstColumn="0" w:lastColumn="0" w:oddVBand="0" w:evenVBand="0" w:oddHBand="0" w:evenHBand="1" w:firstRowFirstColumn="0" w:firstRowLastColumn="0" w:lastRowFirstColumn="0" w:lastRowLastColumn="0"/>
              <w:rPr>
                <w:rFonts w:eastAsia="Calibri" w:cs="Times New Roman"/>
                <w:lang w:val="en-AU"/>
              </w:rPr>
            </w:pPr>
            <w:r w:rsidRPr="009C01AA">
              <w:rPr>
                <w:rFonts w:eastAsia="Calibri" w:cs="Times New Roman"/>
                <w:lang w:val="en-AU"/>
              </w:rPr>
              <w:t>All jurisdictions.</w:t>
            </w:r>
          </w:p>
        </w:tc>
      </w:tr>
      <w:tr w:rsidR="009C01AA" w14:paraId="5A51E2A6"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1FC33E5D" w14:textId="77777777" w:rsidR="009C01AA" w:rsidRPr="009C01AA" w:rsidRDefault="009C01AA" w:rsidP="009C01AA">
            <w:pPr>
              <w:rPr>
                <w:b w:val="0"/>
              </w:rPr>
            </w:pPr>
            <w:r w:rsidRPr="009C01AA">
              <w:rPr>
                <w:b w:val="0"/>
              </w:rPr>
              <w:t>9.1. Reform the delegation of authority in the HVNL so the National Heavy Vehicle Regulator Board has the power to sufficiently regulate and be held accountable for doing so.  At present, many operational and technical matters are still referred to ITMM.</w:t>
            </w:r>
          </w:p>
          <w:p w14:paraId="644F1056" w14:textId="77777777" w:rsidR="009C01AA" w:rsidRPr="009C01AA" w:rsidRDefault="009C01AA" w:rsidP="009C01AA">
            <w:pPr>
              <w:rPr>
                <w:rFonts w:eastAsia="Calibri" w:cs="Times New Roman"/>
                <w:b w:val="0"/>
              </w:rPr>
            </w:pPr>
          </w:p>
        </w:tc>
        <w:tc>
          <w:tcPr>
            <w:tcW w:w="2191" w:type="pct"/>
          </w:tcPr>
          <w:p w14:paraId="4832A788" w14:textId="1C7FA9A5" w:rsidR="009C01AA" w:rsidRPr="00490A34" w:rsidRDefault="009C01AA" w:rsidP="009C01AA">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lang w:val="en-AU"/>
              </w:rPr>
            </w:pPr>
            <w:r w:rsidRPr="00DA3B27">
              <w:rPr>
                <w:rFonts w:eastAsia="Calibri" w:cs="Times New Roman"/>
                <w:lang w:val="en-AU"/>
              </w:rPr>
              <w:t>National Transport Commission as legislative reform lead (this should be progressed as a legislative reform).</w:t>
            </w:r>
          </w:p>
        </w:tc>
      </w:tr>
      <w:tr w:rsidR="009C01AA" w14:paraId="675D597D" w14:textId="77777777" w:rsidTr="00DA3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pct"/>
          </w:tcPr>
          <w:p w14:paraId="203C4270" w14:textId="77777777" w:rsidR="009C01AA" w:rsidRPr="009C01AA" w:rsidRDefault="009C01AA" w:rsidP="009C01AA">
            <w:pPr>
              <w:rPr>
                <w:b w:val="0"/>
              </w:rPr>
            </w:pPr>
            <w:r w:rsidRPr="009C01AA">
              <w:rPr>
                <w:b w:val="0"/>
              </w:rPr>
              <w:t xml:space="preserve">9.2 The new law is likely to give the National Heavy Vehicle Regulator Board greater discretion and flexibility. It seems appropriate to review the composition and skills mix of the Board and its governance (noting that the Board should remain skills-based). The review findings should be incorporated into the new regulatory framework. </w:t>
            </w:r>
          </w:p>
          <w:p w14:paraId="54C87AF3" w14:textId="77777777" w:rsidR="009C01AA" w:rsidRPr="009C01AA" w:rsidRDefault="009C01AA" w:rsidP="009C01AA">
            <w:pPr>
              <w:rPr>
                <w:rFonts w:eastAsia="Calibri" w:cs="Times New Roman"/>
                <w:b w:val="0"/>
              </w:rPr>
            </w:pPr>
          </w:p>
        </w:tc>
        <w:tc>
          <w:tcPr>
            <w:tcW w:w="2191" w:type="pct"/>
          </w:tcPr>
          <w:p w14:paraId="689BD3EA" w14:textId="77777777" w:rsidR="009C01AA" w:rsidRDefault="009C01AA" w:rsidP="00DA3B27">
            <w:pPr>
              <w:pStyle w:val="Bullet1"/>
              <w:cnfStyle w:val="000000010000" w:firstRow="0" w:lastRow="0" w:firstColumn="0" w:lastColumn="0" w:oddVBand="0" w:evenVBand="0" w:oddHBand="0" w:evenHBand="1" w:firstRowFirstColumn="0" w:firstRowLastColumn="0" w:lastRowFirstColumn="0" w:lastRowLastColumn="0"/>
            </w:pPr>
            <w:r>
              <w:t xml:space="preserve">National Transport Commission as legislative reform lead (this will require legislative changes as the Board’s skills are specified in the HVNL). </w:t>
            </w:r>
          </w:p>
          <w:p w14:paraId="2A21A255" w14:textId="3D1DA1F5" w:rsidR="009C01AA" w:rsidRPr="00490A34" w:rsidRDefault="009C01AA" w:rsidP="009C01AA">
            <w:pPr>
              <w:pStyle w:val="Bullet1"/>
              <w:cnfStyle w:val="000000010000" w:firstRow="0" w:lastRow="0" w:firstColumn="0" w:lastColumn="0" w:oddVBand="0" w:evenVBand="0" w:oddHBand="0" w:evenHBand="1" w:firstRowFirstColumn="0" w:firstRowLastColumn="0" w:lastRowFirstColumn="0" w:lastRowLastColumn="0"/>
              <w:rPr>
                <w:rFonts w:eastAsia="Calibri" w:cs="Times New Roman"/>
                <w:lang w:val="en-AU"/>
              </w:rPr>
            </w:pPr>
            <w:r>
              <w:t>Queensland.</w:t>
            </w:r>
          </w:p>
        </w:tc>
      </w:tr>
      <w:tr w:rsidR="009C01AA" w14:paraId="61866739" w14:textId="77777777" w:rsidTr="00DA3B27">
        <w:tc>
          <w:tcPr>
            <w:cnfStyle w:val="001000000000" w:firstRow="0" w:lastRow="0" w:firstColumn="1" w:lastColumn="0" w:oddVBand="0" w:evenVBand="0" w:oddHBand="0" w:evenHBand="0" w:firstRowFirstColumn="0" w:firstRowLastColumn="0" w:lastRowFirstColumn="0" w:lastRowLastColumn="0"/>
            <w:tcW w:w="2809" w:type="pct"/>
          </w:tcPr>
          <w:p w14:paraId="02A70F28" w14:textId="77777777" w:rsidR="00C5654D" w:rsidRDefault="00C5654D" w:rsidP="009C01AA"/>
          <w:p w14:paraId="577F7598" w14:textId="7DF0317A" w:rsidR="009C01AA" w:rsidRPr="009C01AA" w:rsidRDefault="009C01AA" w:rsidP="009C01AA">
            <w:pPr>
              <w:rPr>
                <w:b w:val="0"/>
              </w:rPr>
            </w:pPr>
            <w:r w:rsidRPr="009C01AA">
              <w:rPr>
                <w:b w:val="0"/>
              </w:rPr>
              <w:lastRenderedPageBreak/>
              <w:t>9.3. Detailed proposals on ITMM/Non-ITMM Decision-making:</w:t>
            </w:r>
          </w:p>
          <w:p w14:paraId="4FCF3397" w14:textId="35E9A0C4" w:rsidR="009C01AA" w:rsidRPr="009C01AA" w:rsidRDefault="009C01AA" w:rsidP="00C5654D">
            <w:pPr>
              <w:pStyle w:val="ListLegal1"/>
              <w:numPr>
                <w:ilvl w:val="0"/>
                <w:numId w:val="16"/>
              </w:numPr>
              <w:ind w:left="447" w:hanging="425"/>
              <w:rPr>
                <w:b w:val="0"/>
              </w:rPr>
            </w:pPr>
            <w:r w:rsidRPr="009C01AA">
              <w:rPr>
                <w:b w:val="0"/>
              </w:rPr>
              <w:t>The National Heavy Vehicle Regulator should develop, approve, amend and cancel Codes of Practice, subject to statutory consultation requirements. The National Heavy Vehicle Regulator can develop a Code of Practice at the request of industry, or at the direction of Ministers.</w:t>
            </w:r>
          </w:p>
          <w:p w14:paraId="5AFB0CDC" w14:textId="4DABE944" w:rsidR="009C01AA" w:rsidRPr="009C01AA" w:rsidRDefault="009C01AA" w:rsidP="00C5654D">
            <w:pPr>
              <w:pStyle w:val="ListLegal1"/>
              <w:numPr>
                <w:ilvl w:val="0"/>
                <w:numId w:val="16"/>
              </w:numPr>
              <w:ind w:left="447" w:hanging="425"/>
              <w:rPr>
                <w:b w:val="0"/>
              </w:rPr>
            </w:pPr>
            <w:r w:rsidRPr="009C01AA">
              <w:rPr>
                <w:b w:val="0"/>
              </w:rPr>
              <w:t>Business Rules for certification should be developed and approved by the National Heavy Vehicle Regulator.</w:t>
            </w:r>
          </w:p>
          <w:p w14:paraId="6C292810" w14:textId="3138093A" w:rsidR="009C01AA" w:rsidRPr="009C01AA" w:rsidRDefault="009C01AA" w:rsidP="00C5654D">
            <w:pPr>
              <w:pStyle w:val="ListLegal1"/>
              <w:numPr>
                <w:ilvl w:val="0"/>
                <w:numId w:val="16"/>
              </w:numPr>
              <w:ind w:left="447" w:hanging="425"/>
              <w:rPr>
                <w:b w:val="0"/>
              </w:rPr>
            </w:pPr>
            <w:r w:rsidRPr="009C01AA">
              <w:rPr>
                <w:b w:val="0"/>
              </w:rPr>
              <w:t>Application forms should be developed and approved by the National Heavy Vehicle Regulator (without being subject to any statutory consultation requirements)</w:t>
            </w:r>
            <w:r w:rsidR="00C5654D">
              <w:rPr>
                <w:b w:val="0"/>
                <w:lang w:val="en-AU"/>
              </w:rPr>
              <w:t>.</w:t>
            </w:r>
          </w:p>
          <w:p w14:paraId="01F2ED58" w14:textId="28AAD89B" w:rsidR="009C01AA" w:rsidRPr="009C01AA" w:rsidRDefault="009C01AA" w:rsidP="00C5654D">
            <w:pPr>
              <w:pStyle w:val="ListLegal1"/>
              <w:numPr>
                <w:ilvl w:val="0"/>
                <w:numId w:val="16"/>
              </w:numPr>
              <w:ind w:left="447" w:hanging="425"/>
              <w:rPr>
                <w:b w:val="0"/>
              </w:rPr>
            </w:pPr>
            <w:r w:rsidRPr="009C01AA">
              <w:rPr>
                <w:b w:val="0"/>
              </w:rPr>
              <w:t xml:space="preserve">Ministerial guidelines should be reviewed, and consideration given to adopting an approach that focuses on Ministerial Directions. </w:t>
            </w:r>
          </w:p>
          <w:p w14:paraId="5F880270" w14:textId="4DC6D6CD" w:rsidR="009C01AA" w:rsidRPr="009C01AA" w:rsidRDefault="009C01AA" w:rsidP="00C5654D">
            <w:pPr>
              <w:pStyle w:val="ListLegal1"/>
              <w:numPr>
                <w:ilvl w:val="0"/>
                <w:numId w:val="16"/>
              </w:numPr>
              <w:ind w:left="447" w:hanging="425"/>
              <w:rPr>
                <w:b w:val="0"/>
              </w:rPr>
            </w:pPr>
            <w:r w:rsidRPr="009C01AA">
              <w:rPr>
                <w:b w:val="0"/>
              </w:rPr>
              <w:t>The specific ministerial power in s654(1)(a) to approve a standard for sleeper births should be removed.  Any sleeper berth standard under the law should be made as part of the vehicle standards Heavy Vehicle Safety Obligations.</w:t>
            </w:r>
          </w:p>
          <w:p w14:paraId="662AC470" w14:textId="762AA7E2" w:rsidR="009C01AA" w:rsidRPr="009C01AA" w:rsidRDefault="009C01AA" w:rsidP="00C5654D">
            <w:pPr>
              <w:pStyle w:val="ListLegal1"/>
              <w:numPr>
                <w:ilvl w:val="0"/>
                <w:numId w:val="16"/>
              </w:numPr>
              <w:ind w:left="447" w:hanging="425"/>
              <w:rPr>
                <w:rFonts w:eastAsia="Calibri" w:cs="Times New Roman"/>
                <w:b w:val="0"/>
              </w:rPr>
            </w:pPr>
            <w:r w:rsidRPr="009C01AA">
              <w:rPr>
                <w:b w:val="0"/>
              </w:rPr>
              <w:t>Mechanisms should exist for the decision to approve a Code of Practice to be challenged (and therefore overturned) for circumstances where a party believes a Code of Practice was not developed in line with statutory consultation requirements (process review not merit-based review).</w:t>
            </w:r>
          </w:p>
        </w:tc>
        <w:tc>
          <w:tcPr>
            <w:tcW w:w="2191" w:type="pct"/>
          </w:tcPr>
          <w:p w14:paraId="548A4772" w14:textId="77777777" w:rsidR="00C5654D" w:rsidRDefault="00C5654D" w:rsidP="00C5654D">
            <w:pPr>
              <w:cnfStyle w:val="000000000000" w:firstRow="0" w:lastRow="0" w:firstColumn="0" w:lastColumn="0" w:oddVBand="0" w:evenVBand="0" w:oddHBand="0" w:evenHBand="0" w:firstRowFirstColumn="0" w:firstRowLastColumn="0" w:lastRowFirstColumn="0" w:lastRowLastColumn="0"/>
            </w:pPr>
          </w:p>
          <w:p w14:paraId="34DB07B3" w14:textId="38ACB436" w:rsidR="009C01AA" w:rsidRDefault="009C01AA" w:rsidP="00C5654D">
            <w:pPr>
              <w:cnfStyle w:val="000000000000" w:firstRow="0" w:lastRow="0" w:firstColumn="0" w:lastColumn="0" w:oddVBand="0" w:evenVBand="0" w:oddHBand="0" w:evenHBand="0" w:firstRowFirstColumn="0" w:firstRowLastColumn="0" w:lastRowFirstColumn="0" w:lastRowLastColumn="0"/>
            </w:pPr>
            <w:r>
              <w:lastRenderedPageBreak/>
              <w:t>9.3a</w:t>
            </w:r>
          </w:p>
          <w:p w14:paraId="51C333BF" w14:textId="77777777" w:rsidR="009C01AA" w:rsidRPr="009006FF" w:rsidRDefault="009C01AA" w:rsidP="00C5654D">
            <w:pPr>
              <w:pStyle w:val="Bullet1"/>
              <w:cnfStyle w:val="000000000000" w:firstRow="0" w:lastRow="0" w:firstColumn="0" w:lastColumn="0" w:oddVBand="0" w:evenVBand="0" w:oddHBand="0" w:evenHBand="0" w:firstRowFirstColumn="0" w:firstRowLastColumn="0" w:lastRowFirstColumn="0" w:lastRowLastColumn="0"/>
            </w:pPr>
            <w:r>
              <w:t>National Heavy Vehicle Regulator.</w:t>
            </w:r>
          </w:p>
          <w:p w14:paraId="09FA65EF" w14:textId="77777777" w:rsidR="009C01AA" w:rsidRPr="00C5654D" w:rsidRDefault="009C01AA" w:rsidP="00C5654D">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lang w:val="en-AU"/>
              </w:rPr>
            </w:pPr>
            <w:r>
              <w:t>National Transport Commission as legislative reform lead (where overlaps with legislative reforms).</w:t>
            </w:r>
          </w:p>
          <w:p w14:paraId="6625488E" w14:textId="77777777" w:rsidR="00C5654D" w:rsidRDefault="00C5654D" w:rsidP="00C5654D">
            <w:pPr>
              <w:cnfStyle w:val="000000000000" w:firstRow="0" w:lastRow="0" w:firstColumn="0" w:lastColumn="0" w:oddVBand="0" w:evenVBand="0" w:oddHBand="0" w:evenHBand="0" w:firstRowFirstColumn="0" w:firstRowLastColumn="0" w:lastRowFirstColumn="0" w:lastRowLastColumn="0"/>
            </w:pPr>
            <w:r>
              <w:t>9.3b</w:t>
            </w:r>
          </w:p>
          <w:p w14:paraId="4D0ECFDE" w14:textId="77777777" w:rsidR="00C5654D" w:rsidRPr="00C5654D" w:rsidRDefault="00C5654D" w:rsidP="00C5654D">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lang w:val="en-AU"/>
              </w:rPr>
            </w:pPr>
            <w:r>
              <w:t>National Transport Commission as legislative reform lead (this should be progressed as a legislative reform under activities in 9.1).</w:t>
            </w:r>
          </w:p>
          <w:p w14:paraId="4C494546" w14:textId="77777777" w:rsidR="00C5654D" w:rsidRDefault="00C5654D" w:rsidP="00C5654D">
            <w:pPr>
              <w:cnfStyle w:val="000000000000" w:firstRow="0" w:lastRow="0" w:firstColumn="0" w:lastColumn="0" w:oddVBand="0" w:evenVBand="0" w:oddHBand="0" w:evenHBand="0" w:firstRowFirstColumn="0" w:firstRowLastColumn="0" w:lastRowFirstColumn="0" w:lastRowLastColumn="0"/>
            </w:pPr>
            <w:r>
              <w:t>9.3c</w:t>
            </w:r>
          </w:p>
          <w:p w14:paraId="31F36F2A" w14:textId="77777777" w:rsidR="00C5654D" w:rsidRDefault="00C5654D" w:rsidP="00C5654D">
            <w:pPr>
              <w:pStyle w:val="Bullet1"/>
              <w:cnfStyle w:val="000000000000" w:firstRow="0" w:lastRow="0" w:firstColumn="0" w:lastColumn="0" w:oddVBand="0" w:evenVBand="0" w:oddHBand="0" w:evenHBand="0" w:firstRowFirstColumn="0" w:firstRowLastColumn="0" w:lastRowFirstColumn="0" w:lastRowLastColumn="0"/>
            </w:pPr>
            <w:r>
              <w:t>National Heavy Vehicle Regulator.</w:t>
            </w:r>
          </w:p>
          <w:p w14:paraId="28E20ED6" w14:textId="77777777" w:rsidR="00C5654D" w:rsidRPr="00C5654D" w:rsidRDefault="00C5654D" w:rsidP="00C5654D">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lang w:val="en-AU"/>
              </w:rPr>
            </w:pPr>
            <w:r>
              <w:t>National Transport Commission as legislative reform lead (if legislative amendments required).</w:t>
            </w:r>
          </w:p>
          <w:p w14:paraId="035FF7FF" w14:textId="77777777" w:rsidR="00C5654D" w:rsidRDefault="00C5654D" w:rsidP="00C5654D">
            <w:pPr>
              <w:cnfStyle w:val="000000000000" w:firstRow="0" w:lastRow="0" w:firstColumn="0" w:lastColumn="0" w:oddVBand="0" w:evenVBand="0" w:oddHBand="0" w:evenHBand="0" w:firstRowFirstColumn="0" w:firstRowLastColumn="0" w:lastRowFirstColumn="0" w:lastRowLastColumn="0"/>
            </w:pPr>
            <w:r>
              <w:t>9.3d</w:t>
            </w:r>
          </w:p>
          <w:p w14:paraId="60F6D378" w14:textId="77777777" w:rsidR="00C5654D" w:rsidRPr="00C5654D" w:rsidRDefault="00C5654D" w:rsidP="00C5654D">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lang w:val="en-AU"/>
              </w:rPr>
            </w:pPr>
            <w:r>
              <w:t>National Transport Commission as legislative reform lead (this should be progressed as a legislative reform under activities in 9.1).</w:t>
            </w:r>
          </w:p>
          <w:p w14:paraId="781B9502" w14:textId="77777777" w:rsidR="00C5654D" w:rsidRDefault="00C5654D" w:rsidP="00C5654D">
            <w:pPr>
              <w:cnfStyle w:val="000000000000" w:firstRow="0" w:lastRow="0" w:firstColumn="0" w:lastColumn="0" w:oddVBand="0" w:evenVBand="0" w:oddHBand="0" w:evenHBand="0" w:firstRowFirstColumn="0" w:firstRowLastColumn="0" w:lastRowFirstColumn="0" w:lastRowLastColumn="0"/>
            </w:pPr>
            <w:r>
              <w:t>9.3e</w:t>
            </w:r>
          </w:p>
          <w:p w14:paraId="6AF9B81A" w14:textId="77777777" w:rsidR="00C5654D" w:rsidRPr="00C5654D" w:rsidRDefault="00C5654D" w:rsidP="00C5654D">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lang w:val="en-AU"/>
              </w:rPr>
            </w:pPr>
            <w:r>
              <w:t>National Transport Commission as legislative reform lead (this should be progressed as a legislative reform).</w:t>
            </w:r>
          </w:p>
          <w:p w14:paraId="09189C3C" w14:textId="77777777" w:rsidR="00C5654D" w:rsidRDefault="00C5654D" w:rsidP="00C5654D">
            <w:pPr>
              <w:cnfStyle w:val="000000000000" w:firstRow="0" w:lastRow="0" w:firstColumn="0" w:lastColumn="0" w:oddVBand="0" w:evenVBand="0" w:oddHBand="0" w:evenHBand="0" w:firstRowFirstColumn="0" w:firstRowLastColumn="0" w:lastRowFirstColumn="0" w:lastRowLastColumn="0"/>
            </w:pPr>
            <w:r>
              <w:t>9.3h</w:t>
            </w:r>
          </w:p>
          <w:p w14:paraId="11BED88E" w14:textId="102E54BC" w:rsidR="00C5654D" w:rsidRPr="00490A34" w:rsidRDefault="00C5654D" w:rsidP="00C5654D">
            <w:pPr>
              <w:pStyle w:val="Bullet1"/>
              <w:cnfStyle w:val="000000000000" w:firstRow="0" w:lastRow="0" w:firstColumn="0" w:lastColumn="0" w:oddVBand="0" w:evenVBand="0" w:oddHBand="0" w:evenHBand="0" w:firstRowFirstColumn="0" w:firstRowLastColumn="0" w:lastRowFirstColumn="0" w:lastRowLastColumn="0"/>
              <w:rPr>
                <w:rFonts w:eastAsia="Calibri" w:cs="Times New Roman"/>
                <w:lang w:val="en-AU"/>
              </w:rPr>
            </w:pPr>
            <w:r>
              <w:t>National Transport Commission as legislative reform lead (this should be progressed as a legislative reform).</w:t>
            </w:r>
            <w:bookmarkStart w:id="2" w:name="_GoBack"/>
            <w:bookmarkEnd w:id="2"/>
          </w:p>
        </w:tc>
      </w:tr>
    </w:tbl>
    <w:p w14:paraId="0116D78F" w14:textId="77777777" w:rsidR="00043E7D" w:rsidRDefault="00043E7D" w:rsidP="00490A34">
      <w:pPr>
        <w:rPr>
          <w:bCs/>
          <w:sz w:val="20"/>
          <w:szCs w:val="20"/>
        </w:rPr>
      </w:pPr>
    </w:p>
    <w:p w14:paraId="258C305F" w14:textId="77777777" w:rsidR="00043E7D" w:rsidRDefault="00043E7D" w:rsidP="00490A34">
      <w:pPr>
        <w:rPr>
          <w:bCs/>
          <w:sz w:val="20"/>
          <w:szCs w:val="20"/>
        </w:rPr>
      </w:pPr>
    </w:p>
    <w:p w14:paraId="4097E052" w14:textId="77777777" w:rsidR="00043E7D" w:rsidRDefault="00043E7D" w:rsidP="00490A34">
      <w:pPr>
        <w:rPr>
          <w:bCs/>
          <w:sz w:val="20"/>
          <w:szCs w:val="20"/>
        </w:rPr>
      </w:pPr>
    </w:p>
    <w:p w14:paraId="2CB81E22" w14:textId="4A5B5275" w:rsidR="00626746" w:rsidRDefault="00043E7D" w:rsidP="00490A34">
      <w:pPr>
        <w:rPr>
          <w:bCs/>
          <w:sz w:val="20"/>
          <w:szCs w:val="20"/>
        </w:rPr>
      </w:pPr>
      <w:r w:rsidRPr="00043E7D">
        <w:rPr>
          <w:bCs/>
          <w:i/>
          <w:sz w:val="20"/>
          <w:szCs w:val="20"/>
        </w:rPr>
        <w:t>Note:</w:t>
      </w:r>
      <w:r>
        <w:rPr>
          <w:bCs/>
          <w:sz w:val="20"/>
          <w:szCs w:val="20"/>
        </w:rPr>
        <w:t xml:space="preserve"> </w:t>
      </w:r>
      <w:r w:rsidR="00490A34" w:rsidRPr="00626746">
        <w:rPr>
          <w:bCs/>
          <w:sz w:val="20"/>
          <w:szCs w:val="20"/>
        </w:rPr>
        <w:t xml:space="preserve">Some reforms have been redrafted for brevity. </w:t>
      </w:r>
    </w:p>
    <w:p w14:paraId="2E68CBD4" w14:textId="77777777" w:rsidR="00490A34" w:rsidRPr="00626746" w:rsidRDefault="00490A34" w:rsidP="00490A34">
      <w:pPr>
        <w:rPr>
          <w:bCs/>
          <w:sz w:val="20"/>
          <w:szCs w:val="20"/>
        </w:rPr>
      </w:pPr>
      <w:r w:rsidRPr="00626746">
        <w:rPr>
          <w:bCs/>
          <w:sz w:val="20"/>
          <w:szCs w:val="20"/>
        </w:rPr>
        <w:t>The full report and associated reforms can be found at the Heavy Vehicle National Law Reform Implementation</w:t>
      </w:r>
      <w:r w:rsidR="00626746">
        <w:rPr>
          <w:bCs/>
          <w:sz w:val="20"/>
          <w:szCs w:val="20"/>
        </w:rPr>
        <w:t xml:space="preserve"> </w:t>
      </w:r>
      <w:r w:rsidRPr="00626746">
        <w:rPr>
          <w:bCs/>
          <w:sz w:val="20"/>
          <w:szCs w:val="20"/>
        </w:rPr>
        <w:t xml:space="preserve">Steering Committee site </w:t>
      </w:r>
      <w:hyperlink r:id="rId9" w:history="1">
        <w:r w:rsidRPr="00626746">
          <w:rPr>
            <w:rStyle w:val="Hyperlink"/>
            <w:bCs/>
            <w:sz w:val="20"/>
            <w:szCs w:val="20"/>
          </w:rPr>
          <w:t>here</w:t>
        </w:r>
      </w:hyperlink>
      <w:r w:rsidRPr="00626746">
        <w:rPr>
          <w:bCs/>
          <w:sz w:val="20"/>
          <w:szCs w:val="20"/>
        </w:rPr>
        <w:t>.</w:t>
      </w:r>
    </w:p>
    <w:sectPr w:rsidR="00490A34" w:rsidRPr="00626746" w:rsidSect="00DA3B27">
      <w:headerReference w:type="default" r:id="rId10"/>
      <w:footerReference w:type="default" r:id="rId11"/>
      <w:headerReference w:type="first" r:id="rId12"/>
      <w:pgSz w:w="16838" w:h="11906" w:orient="landscape" w:code="9"/>
      <w:pgMar w:top="253" w:right="1021" w:bottom="1021" w:left="1021"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B7DD7" w14:textId="77777777" w:rsidR="00E14284" w:rsidRDefault="00E14284" w:rsidP="008456D5">
      <w:pPr>
        <w:spacing w:before="0" w:after="0"/>
      </w:pPr>
      <w:r>
        <w:separator/>
      </w:r>
    </w:p>
  </w:endnote>
  <w:endnote w:type="continuationSeparator" w:id="0">
    <w:p w14:paraId="689DE4FF" w14:textId="77777777" w:rsidR="00E14284" w:rsidRDefault="00E1428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ACF9" w14:textId="77777777" w:rsidR="00147ABA" w:rsidRDefault="00147ABA" w:rsidP="00546218">
    <w:pPr>
      <w:pStyle w:val="Footer"/>
      <w:spacing w:before="720"/>
    </w:pPr>
    <w:r>
      <w:rPr>
        <w:noProof/>
        <w:lang w:eastAsia="en-AU"/>
      </w:rPr>
      <mc:AlternateContent>
        <mc:Choice Requires="wps">
          <w:drawing>
            <wp:anchor distT="0" distB="0" distL="114300" distR="114300" simplePos="0" relativeHeight="251680768" behindDoc="1" locked="1" layoutInCell="1" allowOverlap="1" wp14:anchorId="54692F63" wp14:editId="624BC74C">
              <wp:simplePos x="0" y="0"/>
              <wp:positionH relativeFrom="page">
                <wp:align>right</wp:align>
              </wp:positionH>
              <wp:positionV relativeFrom="page">
                <wp:align>bottom</wp:align>
              </wp:positionV>
              <wp:extent cx="1007640" cy="53964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F04ADF0" w14:textId="77777777" w:rsidR="00147ABA" w:rsidRPr="007A05BE" w:rsidRDefault="00147AB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916A7">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92F63" id="_x0000_t202" coordsize="21600,21600" o:spt="202" path="m,l,21600r21600,l21600,xe">
              <v:stroke joinstyle="miter"/>
              <v:path gradientshapeok="t" o:connecttype="rect"/>
            </v:shapetype>
            <v:shape id="Text Box 8" o:spid="_x0000_s1027" type="#_x0000_t202" style="position:absolute;margin-left:28.15pt;margin-top:0;width:79.35pt;height:42.5pt;z-index:-2516357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" filled="f" stroked="f" strokeweight=".5pt">
              <v:textbox inset="0,0,18mm,10mm">
                <w:txbxContent>
                  <w:p w14:paraId="7F04ADF0" w14:textId="77777777" w:rsidR="00147ABA" w:rsidRPr="007A05BE" w:rsidRDefault="00147AB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916A7">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029A2C0" wp14:editId="2855680F">
              <wp:simplePos x="0" y="0"/>
              <wp:positionH relativeFrom="page">
                <wp:align>right</wp:align>
              </wp:positionH>
              <wp:positionV relativeFrom="page">
                <wp:align>bottom</wp:align>
              </wp:positionV>
              <wp:extent cx="4320000" cy="53964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2014822876"/>
                            <w:showingPlcHdr/>
                            <w:dataBinding w:prefixMappings="xmlns:ns0='http://purl.org/dc/elements/1.1/' xmlns:ns1='http://schemas.openxmlformats.org/package/2006/metadata/core-properties' " w:xpath="/ns1:coreProperties[1]/ns0:title[1]" w:storeItemID="{6C3C8BC8-F283-45AE-878A-BAB7291924A1}"/>
                            <w:text/>
                          </w:sdtPr>
                          <w:sdtEndPr/>
                          <w:sdtContent>
                            <w:p w14:paraId="02FFB1FA" w14:textId="77777777" w:rsidR="00147ABA" w:rsidRDefault="00147ABA" w:rsidP="007A05BE">
                              <w:pPr>
                                <w:pStyle w:val="Footer"/>
                                <w:jc w:val="right"/>
                              </w:pPr>
                              <w:r>
                                <w:t xml:space="preserve">     </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9A2C0" id="Text Box 9" o:spid="_x0000_s1028" type="#_x0000_t202" style="position:absolute;margin-left:288.95pt;margin-top:0;width:340.15pt;height:42.5pt;z-index:-2516367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MfL+&#10;Mo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2014822876"/>
                      <w:showingPlcHdr/>
                      <w:dataBinding w:prefixMappings="xmlns:ns0='http://purl.org/dc/elements/1.1/' xmlns:ns1='http://schemas.openxmlformats.org/package/2006/metadata/core-properties' " w:xpath="/ns1:coreProperties[1]/ns0:title[1]" w:storeItemID="{6C3C8BC8-F283-45AE-878A-BAB7291924A1}"/>
                      <w:text/>
                    </w:sdtPr>
                    <w:sdtEndPr/>
                    <w:sdtContent>
                      <w:p w14:paraId="02FFB1FA" w14:textId="77777777" w:rsidR="00147ABA" w:rsidRDefault="00147ABA" w:rsidP="007A05BE">
                        <w:pPr>
                          <w:pStyle w:val="Footer"/>
                          <w:jc w:val="right"/>
                        </w:pPr>
                        <w:r>
                          <w:t xml:space="preserve">     </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6F85C5C9" wp14:editId="7A01B504">
          <wp:simplePos x="0" y="0"/>
          <wp:positionH relativeFrom="page">
            <wp:align>right</wp:align>
          </wp:positionH>
          <wp:positionV relativeFrom="page">
            <wp:align>bottom</wp:align>
          </wp:positionV>
          <wp:extent cx="10692000" cy="18324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E3DE6" w14:textId="77777777" w:rsidR="00E14284" w:rsidRPr="005912BE" w:rsidRDefault="00E14284" w:rsidP="005912BE">
      <w:pPr>
        <w:spacing w:before="300"/>
        <w:rPr>
          <w:color w:val="008089" w:themeColor="accent2"/>
        </w:rPr>
      </w:pPr>
      <w:r w:rsidRPr="000D244D">
        <w:rPr>
          <w:color w:val="004044" w:themeColor="accent2" w:themeShade="80"/>
        </w:rPr>
        <w:t>----------</w:t>
      </w:r>
    </w:p>
  </w:footnote>
  <w:footnote w:type="continuationSeparator" w:id="0">
    <w:p w14:paraId="563F4C92" w14:textId="77777777" w:rsidR="00E14284" w:rsidRDefault="00E14284"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745211177"/>
      <w:placeholder>
        <w:docPart w:val="DB70416715D94EA0B060FC40D9FF9EDD"/>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72BF661" w14:textId="77777777" w:rsidR="00F82CA0" w:rsidRDefault="00563B2D" w:rsidP="00F82CA0">
        <w:pPr>
          <w:pStyle w:val="SecurityMarker"/>
        </w:pPr>
        <w:r>
          <w:t>OFFICIAL</w:t>
        </w:r>
      </w:p>
    </w:sdtContent>
  </w:sdt>
  <w:p w14:paraId="1C97DFA7" w14:textId="707C022A" w:rsidR="00F82CA0" w:rsidRDefault="00DA3B27" w:rsidP="00DA3B27">
    <w:pPr>
      <w:pStyle w:val="Header"/>
      <w:tabs>
        <w:tab w:val="center" w:pos="7398"/>
        <w:tab w:val="right" w:pos="14796"/>
      </w:tabs>
      <w:spacing w:after="720"/>
    </w:pPr>
    <w:r>
      <w:tab/>
    </w:r>
    <w:r>
      <w:tab/>
    </w:r>
    <w:r w:rsidR="007916A7">
      <w:t xml:space="preserve">Heavy Vehicle National Law Reform – </w:t>
    </w:r>
    <w:r w:rsidR="00680E75">
      <w:t>non-legislative</w:t>
    </w:r>
    <w:r w:rsidR="007916A7">
      <w:t xml:space="preserve"> reforms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E477046866E64BF298840FD8F83AEAF4"/>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3BF3A94" w14:textId="77777777" w:rsidR="00F82CA0" w:rsidRDefault="00563B2D" w:rsidP="00F82CA0">
        <w:pPr>
          <w:pStyle w:val="SecurityMarker"/>
        </w:pPr>
        <w:r>
          <w:t>OFFICIAL</w:t>
        </w:r>
      </w:p>
    </w:sdtContent>
  </w:sdt>
  <w:p w14:paraId="7A370658" w14:textId="77777777" w:rsidR="00F82CA0" w:rsidRDefault="00DA3B27" w:rsidP="00F82CA0">
    <w:pPr>
      <w:pStyle w:val="Header"/>
      <w:spacing w:after="720"/>
    </w:pPr>
    <w:fldSimple w:instr=" STYLEREF  &quot;Heading 1&quot; \l  \* MERGEFORMAT ">
      <w:r w:rsidR="00E14284">
        <w:rPr>
          <w:noProof/>
        </w:rPr>
        <w:t>Heading 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AC6EBA"/>
    <w:multiLevelType w:val="hybridMultilevel"/>
    <w:tmpl w:val="38907E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621AED"/>
    <w:multiLevelType w:val="multilevel"/>
    <w:tmpl w:val="C2EED61A"/>
    <w:numStyleLink w:val="NumberedHeadings"/>
  </w:abstractNum>
  <w:abstractNum w:abstractNumId="3" w15:restartNumberingAfterBreak="0">
    <w:nsid w:val="1C8837D8"/>
    <w:multiLevelType w:val="hybridMultilevel"/>
    <w:tmpl w:val="31E47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1B711C"/>
    <w:multiLevelType w:val="hybridMultilevel"/>
    <w:tmpl w:val="38907E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317399"/>
    <w:multiLevelType w:val="hybridMultilevel"/>
    <w:tmpl w:val="38907E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A51938"/>
    <w:multiLevelType w:val="multilevel"/>
    <w:tmpl w:val="298C34E4"/>
    <w:numStyleLink w:val="AppendixNumbers"/>
  </w:abstractNum>
  <w:abstractNum w:abstractNumId="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3261" w:firstLine="0"/>
      </w:pPr>
      <w:rPr>
        <w:rFonts w:hint="default"/>
      </w:rPr>
    </w:lvl>
    <w:lvl w:ilvl="1">
      <w:start w:val="1"/>
      <w:numFmt w:val="decimal"/>
      <w:pStyle w:val="AttachmentHeading2"/>
      <w:lvlText w:val="%1.%2"/>
      <w:lvlJc w:val="left"/>
      <w:pPr>
        <w:ind w:left="4112" w:hanging="851"/>
      </w:pPr>
      <w:rPr>
        <w:rFonts w:hint="default"/>
      </w:rPr>
    </w:lvl>
    <w:lvl w:ilvl="2">
      <w:start w:val="1"/>
      <w:numFmt w:val="lowerRoman"/>
      <w:lvlText w:val="%3)"/>
      <w:lvlJc w:val="left"/>
      <w:pPr>
        <w:ind w:left="4341" w:hanging="360"/>
      </w:pPr>
      <w:rPr>
        <w:rFonts w:hint="default"/>
      </w:rPr>
    </w:lvl>
    <w:lvl w:ilvl="3">
      <w:start w:val="1"/>
      <w:numFmt w:val="decimal"/>
      <w:lvlText w:val="(%4)"/>
      <w:lvlJc w:val="left"/>
      <w:pPr>
        <w:ind w:left="4701" w:hanging="360"/>
      </w:pPr>
      <w:rPr>
        <w:rFonts w:hint="default"/>
      </w:rPr>
    </w:lvl>
    <w:lvl w:ilvl="4">
      <w:start w:val="1"/>
      <w:numFmt w:val="lowerLetter"/>
      <w:lvlText w:val="(%5)"/>
      <w:lvlJc w:val="left"/>
      <w:pPr>
        <w:ind w:left="5061" w:hanging="360"/>
      </w:pPr>
      <w:rPr>
        <w:rFonts w:hint="default"/>
      </w:rPr>
    </w:lvl>
    <w:lvl w:ilvl="5">
      <w:start w:val="1"/>
      <w:numFmt w:val="lowerRoman"/>
      <w:lvlText w:val="(%6)"/>
      <w:lvlJc w:val="left"/>
      <w:pPr>
        <w:ind w:left="5421" w:hanging="360"/>
      </w:pPr>
      <w:rPr>
        <w:rFonts w:hint="default"/>
      </w:rPr>
    </w:lvl>
    <w:lvl w:ilvl="6">
      <w:start w:val="1"/>
      <w:numFmt w:val="decimal"/>
      <w:lvlText w:val="%7."/>
      <w:lvlJc w:val="left"/>
      <w:pPr>
        <w:ind w:left="5781" w:hanging="360"/>
      </w:pPr>
      <w:rPr>
        <w:rFonts w:hint="default"/>
      </w:rPr>
    </w:lvl>
    <w:lvl w:ilvl="7">
      <w:start w:val="1"/>
      <w:numFmt w:val="lowerLetter"/>
      <w:lvlText w:val="%8."/>
      <w:lvlJc w:val="left"/>
      <w:pPr>
        <w:ind w:left="6141" w:hanging="360"/>
      </w:pPr>
      <w:rPr>
        <w:rFonts w:hint="default"/>
      </w:rPr>
    </w:lvl>
    <w:lvl w:ilvl="8">
      <w:start w:val="1"/>
      <w:numFmt w:val="lowerRoman"/>
      <w:lvlText w:val="%9."/>
      <w:lvlJc w:val="left"/>
      <w:pPr>
        <w:ind w:left="6501" w:hanging="360"/>
      </w:pPr>
      <w:rPr>
        <w:rFonts w:hint="default"/>
      </w:rPr>
    </w:lvl>
  </w:abstractNum>
  <w:abstractNum w:abstractNumId="1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2F5D7D"/>
    <w:multiLevelType w:val="hybridMultilevel"/>
    <w:tmpl w:val="B64ABD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A56B91"/>
    <w:multiLevelType w:val="hybridMultilevel"/>
    <w:tmpl w:val="38907E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14"/>
  </w:num>
  <w:num w:numId="3">
    <w:abstractNumId w:val="0"/>
  </w:num>
  <w:num w:numId="4">
    <w:abstractNumId w:val="8"/>
  </w:num>
  <w:num w:numId="5">
    <w:abstractNumId w:val="2"/>
  </w:num>
  <w:num w:numId="6">
    <w:abstractNumId w:val="5"/>
  </w:num>
  <w:num w:numId="7">
    <w:abstractNumId w:val="7"/>
  </w:num>
  <w:num w:numId="8">
    <w:abstractNumId w:val="10"/>
  </w:num>
  <w:num w:numId="9">
    <w:abstractNumId w:val="11"/>
  </w:num>
  <w:num w:numId="10">
    <w:abstractNumId w:val="11"/>
  </w:num>
  <w:num w:numId="11">
    <w:abstractNumId w:val="12"/>
  </w:num>
  <w:num w:numId="12">
    <w:abstractNumId w:val="1"/>
  </w:num>
  <w:num w:numId="13">
    <w:abstractNumId w:val="6"/>
  </w:num>
  <w:num w:numId="14">
    <w:abstractNumId w:val="4"/>
  </w:num>
  <w:num w:numId="15">
    <w:abstractNumId w:val="3"/>
  </w:num>
  <w:num w:numId="16">
    <w:abstractNumId w:val="13"/>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84"/>
    <w:rsid w:val="0001430B"/>
    <w:rsid w:val="00043E7D"/>
    <w:rsid w:val="00073C0B"/>
    <w:rsid w:val="000D244D"/>
    <w:rsid w:val="000E24BA"/>
    <w:rsid w:val="000E5674"/>
    <w:rsid w:val="000F672E"/>
    <w:rsid w:val="00126834"/>
    <w:rsid w:val="001349C6"/>
    <w:rsid w:val="00147ABA"/>
    <w:rsid w:val="001812E7"/>
    <w:rsid w:val="00193EF3"/>
    <w:rsid w:val="001F5825"/>
    <w:rsid w:val="00203071"/>
    <w:rsid w:val="002254D5"/>
    <w:rsid w:val="0022611D"/>
    <w:rsid w:val="00260BD5"/>
    <w:rsid w:val="00284164"/>
    <w:rsid w:val="00287C77"/>
    <w:rsid w:val="002B3569"/>
    <w:rsid w:val="002B7197"/>
    <w:rsid w:val="002E1ADA"/>
    <w:rsid w:val="00351AB4"/>
    <w:rsid w:val="003720E9"/>
    <w:rsid w:val="003C625A"/>
    <w:rsid w:val="003F775D"/>
    <w:rsid w:val="00420F04"/>
    <w:rsid w:val="00444726"/>
    <w:rsid w:val="00477E77"/>
    <w:rsid w:val="00490A34"/>
    <w:rsid w:val="004B03E0"/>
    <w:rsid w:val="00515C0E"/>
    <w:rsid w:val="00524D1C"/>
    <w:rsid w:val="00541213"/>
    <w:rsid w:val="00546218"/>
    <w:rsid w:val="005603F5"/>
    <w:rsid w:val="00563B2D"/>
    <w:rsid w:val="005878B3"/>
    <w:rsid w:val="005912BE"/>
    <w:rsid w:val="005D3FCB"/>
    <w:rsid w:val="005F794B"/>
    <w:rsid w:val="00623CF7"/>
    <w:rsid w:val="00626746"/>
    <w:rsid w:val="00680E75"/>
    <w:rsid w:val="006E0395"/>
    <w:rsid w:val="006E1ECA"/>
    <w:rsid w:val="00763588"/>
    <w:rsid w:val="007916A7"/>
    <w:rsid w:val="007A05BE"/>
    <w:rsid w:val="008067A1"/>
    <w:rsid w:val="008456D5"/>
    <w:rsid w:val="0084634B"/>
    <w:rsid w:val="008A1887"/>
    <w:rsid w:val="008B6A81"/>
    <w:rsid w:val="008E2A0D"/>
    <w:rsid w:val="00902D70"/>
    <w:rsid w:val="00911B96"/>
    <w:rsid w:val="00951405"/>
    <w:rsid w:val="009560FF"/>
    <w:rsid w:val="0095769E"/>
    <w:rsid w:val="00984841"/>
    <w:rsid w:val="009B00F2"/>
    <w:rsid w:val="009C01AA"/>
    <w:rsid w:val="009D2721"/>
    <w:rsid w:val="009F7051"/>
    <w:rsid w:val="00A070A2"/>
    <w:rsid w:val="00A5050D"/>
    <w:rsid w:val="00A64F23"/>
    <w:rsid w:val="00A95970"/>
    <w:rsid w:val="00AD7703"/>
    <w:rsid w:val="00B1450F"/>
    <w:rsid w:val="00B42AC2"/>
    <w:rsid w:val="00B80CD9"/>
    <w:rsid w:val="00BB37C0"/>
    <w:rsid w:val="00BB3AAC"/>
    <w:rsid w:val="00C058FD"/>
    <w:rsid w:val="00C5654D"/>
    <w:rsid w:val="00CB2A6F"/>
    <w:rsid w:val="00CD233E"/>
    <w:rsid w:val="00CF6CFD"/>
    <w:rsid w:val="00D07944"/>
    <w:rsid w:val="00D1674F"/>
    <w:rsid w:val="00D34671"/>
    <w:rsid w:val="00D5655E"/>
    <w:rsid w:val="00D659E9"/>
    <w:rsid w:val="00D74B59"/>
    <w:rsid w:val="00D75DB8"/>
    <w:rsid w:val="00DA3B27"/>
    <w:rsid w:val="00DB59A7"/>
    <w:rsid w:val="00DE06AB"/>
    <w:rsid w:val="00DE4362"/>
    <w:rsid w:val="00DE4FE2"/>
    <w:rsid w:val="00DF6DD4"/>
    <w:rsid w:val="00E04908"/>
    <w:rsid w:val="00E14284"/>
    <w:rsid w:val="00E56F88"/>
    <w:rsid w:val="00E71689"/>
    <w:rsid w:val="00E83B82"/>
    <w:rsid w:val="00E93729"/>
    <w:rsid w:val="00F201FB"/>
    <w:rsid w:val="00F67CDB"/>
    <w:rsid w:val="00F67E33"/>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406861"/>
  <w15:chartTrackingRefBased/>
  <w15:docId w15:val="{A989FB83-DFDD-4B11-A686-A86D7A3D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8D1"/>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10"/>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10"/>
      </w:numPr>
    </w:pPr>
    <w:rPr>
      <w:kern w:val="12"/>
      <w:sz w:val="20"/>
      <w:szCs w:val="20"/>
    </w:rPr>
  </w:style>
  <w:style w:type="numbering" w:customStyle="1" w:styleId="BoxedBullets">
    <w:name w:val="Boxed Bullets"/>
    <w:uiPriority w:val="99"/>
    <w:rsid w:val="001F5825"/>
    <w:pPr>
      <w:numPr>
        <w:numId w:val="9"/>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paragraph" w:styleId="ListParagraph">
    <w:name w:val="List Paragraph"/>
    <w:basedOn w:val="Normal"/>
    <w:uiPriority w:val="34"/>
    <w:qFormat/>
    <w:rsid w:val="00E14284"/>
    <w:pPr>
      <w:suppressAutoHyphens w:val="0"/>
      <w:spacing w:before="0" w:after="160" w:line="259" w:lineRule="auto"/>
      <w:ind w:left="720"/>
      <w:contextualSpacing/>
    </w:pPr>
    <w:rPr>
      <w:color w:val="auto"/>
    </w:rPr>
  </w:style>
  <w:style w:type="paragraph" w:styleId="BalloonText">
    <w:name w:val="Balloon Text"/>
    <w:basedOn w:val="Normal"/>
    <w:link w:val="BalloonTextChar"/>
    <w:uiPriority w:val="99"/>
    <w:semiHidden/>
    <w:unhideWhenUsed/>
    <w:rsid w:val="00E1428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284"/>
    <w:rPr>
      <w:rFonts w:ascii="Segoe UI" w:hAnsi="Segoe UI" w:cs="Segoe UI"/>
      <w:sz w:val="18"/>
      <w:szCs w:val="18"/>
    </w:rPr>
  </w:style>
  <w:style w:type="character" w:styleId="CommentReference">
    <w:name w:val="annotation reference"/>
    <w:basedOn w:val="DefaultParagraphFont"/>
    <w:uiPriority w:val="99"/>
    <w:semiHidden/>
    <w:unhideWhenUsed/>
    <w:rsid w:val="00911B96"/>
    <w:rPr>
      <w:sz w:val="16"/>
      <w:szCs w:val="16"/>
    </w:rPr>
  </w:style>
  <w:style w:type="paragraph" w:styleId="CommentText">
    <w:name w:val="annotation text"/>
    <w:basedOn w:val="Normal"/>
    <w:link w:val="CommentTextChar"/>
    <w:uiPriority w:val="99"/>
    <w:unhideWhenUsed/>
    <w:rsid w:val="00911B96"/>
    <w:rPr>
      <w:sz w:val="20"/>
      <w:szCs w:val="20"/>
    </w:rPr>
  </w:style>
  <w:style w:type="character" w:customStyle="1" w:styleId="CommentTextChar">
    <w:name w:val="Comment Text Char"/>
    <w:basedOn w:val="DefaultParagraphFont"/>
    <w:link w:val="CommentText"/>
    <w:uiPriority w:val="99"/>
    <w:rsid w:val="00911B96"/>
    <w:rPr>
      <w:sz w:val="20"/>
      <w:szCs w:val="20"/>
    </w:rPr>
  </w:style>
  <w:style w:type="paragraph" w:styleId="CommentSubject">
    <w:name w:val="annotation subject"/>
    <w:basedOn w:val="CommentText"/>
    <w:next w:val="CommentText"/>
    <w:link w:val="CommentSubjectChar"/>
    <w:uiPriority w:val="99"/>
    <w:semiHidden/>
    <w:unhideWhenUsed/>
    <w:rsid w:val="00911B96"/>
    <w:rPr>
      <w:b/>
      <w:bCs/>
    </w:rPr>
  </w:style>
  <w:style w:type="character" w:customStyle="1" w:styleId="CommentSubjectChar">
    <w:name w:val="Comment Subject Char"/>
    <w:basedOn w:val="CommentTextChar"/>
    <w:link w:val="CommentSubject"/>
    <w:uiPriority w:val="99"/>
    <w:semiHidden/>
    <w:rsid w:val="00911B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465844">
      <w:bodyDiv w:val="1"/>
      <w:marLeft w:val="0"/>
      <w:marRight w:val="0"/>
      <w:marTop w:val="0"/>
      <w:marBottom w:val="0"/>
      <w:divBdr>
        <w:top w:val="none" w:sz="0" w:space="0" w:color="auto"/>
        <w:left w:val="none" w:sz="0" w:space="0" w:color="auto"/>
        <w:bottom w:val="none" w:sz="0" w:space="0" w:color="auto"/>
        <w:right w:val="none" w:sz="0" w:space="0" w:color="auto"/>
      </w:divBdr>
    </w:div>
    <w:div w:id="125392713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frastructure.gov.au/infrastructure-transport-vehicles/transport-strategy-policy/infrastructure-and-transport-ministers-meetings/heavy-vehicle-national-law-reform-implementation-steering-committee"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78B653FC384753BF2D061F4F09D460"/>
        <w:category>
          <w:name w:val="General"/>
          <w:gallery w:val="placeholder"/>
        </w:category>
        <w:types>
          <w:type w:val="bbPlcHdr"/>
        </w:types>
        <w:behaviors>
          <w:behavior w:val="content"/>
        </w:behaviors>
        <w:guid w:val="{AA2CCCFC-2515-4C73-859D-A96CF50030CA}"/>
      </w:docPartPr>
      <w:docPartBody>
        <w:p w:rsidR="005179BB" w:rsidRDefault="005179BB">
          <w:pPr>
            <w:pStyle w:val="1078B653FC384753BF2D061F4F09D460"/>
          </w:pPr>
          <w:r w:rsidRPr="004D23EB">
            <w:rPr>
              <w:rStyle w:val="PlaceholderText"/>
            </w:rPr>
            <w:t>[Status]</w:t>
          </w:r>
        </w:p>
      </w:docPartBody>
    </w:docPart>
    <w:docPart>
      <w:docPartPr>
        <w:name w:val="DB70416715D94EA0B060FC40D9FF9EDD"/>
        <w:category>
          <w:name w:val="General"/>
          <w:gallery w:val="placeholder"/>
        </w:category>
        <w:types>
          <w:type w:val="bbPlcHdr"/>
        </w:types>
        <w:behaviors>
          <w:behavior w:val="content"/>
        </w:behaviors>
        <w:guid w:val="{83570258-0CD1-4775-A714-AAF50000DEDD}"/>
      </w:docPartPr>
      <w:docPartBody>
        <w:p w:rsidR="005179BB" w:rsidRDefault="005179BB">
          <w:pPr>
            <w:pStyle w:val="DB70416715D94EA0B060FC40D9FF9EDD"/>
          </w:pPr>
          <w:r w:rsidRPr="00A64A8B">
            <w:rPr>
              <w:rStyle w:val="PlaceholderText"/>
            </w:rPr>
            <w:t>[Status]</w:t>
          </w:r>
        </w:p>
      </w:docPartBody>
    </w:docPart>
    <w:docPart>
      <w:docPartPr>
        <w:name w:val="E477046866E64BF298840FD8F83AEAF4"/>
        <w:category>
          <w:name w:val="General"/>
          <w:gallery w:val="placeholder"/>
        </w:category>
        <w:types>
          <w:type w:val="bbPlcHdr"/>
        </w:types>
        <w:behaviors>
          <w:behavior w:val="content"/>
        </w:behaviors>
        <w:guid w:val="{D3BE6A0A-F8B9-4C88-BBAA-54E03C86B7F7}"/>
      </w:docPartPr>
      <w:docPartBody>
        <w:p w:rsidR="005179BB" w:rsidRDefault="005179BB">
          <w:pPr>
            <w:pStyle w:val="E477046866E64BF298840FD8F83AEAF4"/>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BB"/>
    <w:rsid w:val="00517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FD915C59A342EC83900BCAB80D9E86">
    <w:name w:val="CFFD915C59A342EC83900BCAB80D9E86"/>
  </w:style>
  <w:style w:type="paragraph" w:customStyle="1" w:styleId="B2DA7A26B5F046DBB325A384DF912C7A">
    <w:name w:val="B2DA7A26B5F046DBB325A384DF912C7A"/>
  </w:style>
  <w:style w:type="paragraph" w:customStyle="1" w:styleId="F5630E357C344FFB891C191011A8C8B3">
    <w:name w:val="F5630E357C344FFB891C191011A8C8B3"/>
  </w:style>
  <w:style w:type="paragraph" w:customStyle="1" w:styleId="1078B653FC384753BF2D061F4F09D460">
    <w:name w:val="1078B653FC384753BF2D061F4F09D460"/>
  </w:style>
  <w:style w:type="paragraph" w:customStyle="1" w:styleId="3BC32B60E6C640819AF86E0514E0B17D">
    <w:name w:val="3BC32B60E6C640819AF86E0514E0B17D"/>
  </w:style>
  <w:style w:type="paragraph" w:customStyle="1" w:styleId="04B3740DFE954A7AA307FA5905CE635C">
    <w:name w:val="04B3740DFE954A7AA307FA5905CE635C"/>
  </w:style>
  <w:style w:type="paragraph" w:customStyle="1" w:styleId="1CB77ACDC12B4D33AD04C2903FC720C2">
    <w:name w:val="1CB77ACDC12B4D33AD04C2903FC720C2"/>
  </w:style>
  <w:style w:type="paragraph" w:customStyle="1" w:styleId="2BDFA6D9848544C3BD7B96C84638C28C">
    <w:name w:val="2BDFA6D9848544C3BD7B96C84638C28C"/>
  </w:style>
  <w:style w:type="paragraph" w:customStyle="1" w:styleId="DB70416715D94EA0B060FC40D9FF9EDD">
    <w:name w:val="DB70416715D94EA0B060FC40D9FF9EDD"/>
  </w:style>
  <w:style w:type="paragraph" w:customStyle="1" w:styleId="E477046866E64BF298840FD8F83AEAF4">
    <w:name w:val="E477046866E64BF298840FD8F83AE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72122A-B111-4566-BCE7-BF68B1C1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23</TotalTime>
  <Pages>5</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GANNON2 Helen</cp:lastModifiedBy>
  <cp:revision>5</cp:revision>
  <dcterms:created xsi:type="dcterms:W3CDTF">2023-03-29T01:10:00Z</dcterms:created>
  <dcterms:modified xsi:type="dcterms:W3CDTF">2023-03-29T01:39:00Z</dcterms:modified>
  <cp:contentStatus>OFFICIAL</cp:contentStatus>
</cp:coreProperties>
</file>