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1E90" w14:textId="7EDA720B" w:rsidR="00BA24FB" w:rsidRPr="003F0E07" w:rsidRDefault="00CB3719" w:rsidP="00BA24FB">
      <w:pPr>
        <w:pStyle w:val="SecurityMarker"/>
        <w:ind w:left="-1247"/>
        <w:rPr>
          <w:color w:val="auto"/>
        </w:rPr>
      </w:pPr>
      <w:r w:rsidRPr="003F0E07">
        <w:rPr>
          <w:color w:val="auto"/>
        </w:rPr>
        <w:t>OFFICIAL</w:t>
      </w:r>
    </w:p>
    <w:p w14:paraId="538A4D8F" w14:textId="33D88213" w:rsidR="008456D5" w:rsidRDefault="00982BA1" w:rsidP="00BA24FB">
      <w:pPr>
        <w:spacing w:before="360"/>
        <w:ind w:left="-1247"/>
      </w:pPr>
      <w:r w:rsidRPr="00614528">
        <w:rPr>
          <w:noProof/>
          <w:sz w:val="24"/>
          <w:szCs w:val="24"/>
          <w:lang w:eastAsia="en-AU"/>
        </w:rPr>
        <w:t>[</w:t>
      </w:r>
      <w:r w:rsidRPr="00614528">
        <w:rPr>
          <w:noProof/>
          <w:sz w:val="24"/>
          <w:szCs w:val="24"/>
          <w:highlight w:val="cyan"/>
          <w:lang w:eastAsia="en-AU"/>
        </w:rPr>
        <w:t>Insert Infrastructure and Transport Ministers’ Meeting logo</w:t>
      </w:r>
      <w:r w:rsidRPr="00614528">
        <w:rPr>
          <w:noProof/>
          <w:sz w:val="24"/>
          <w:szCs w:val="24"/>
          <w:lang w:eastAsia="en-AU"/>
        </w:rPr>
        <w:t>]</w:t>
      </w:r>
    </w:p>
    <w:p w14:paraId="7BCE3938" w14:textId="50ADF1BB" w:rsidR="00151C39" w:rsidRDefault="004B785C" w:rsidP="00982BA1">
      <w:pPr>
        <w:pStyle w:val="Title"/>
        <w:spacing w:before="2040"/>
      </w:pPr>
      <w:r>
        <w:t xml:space="preserve">2024-27 National Connected and Automated Vehicle (CAV) </w:t>
      </w:r>
      <w:r w:rsidR="003F43D9">
        <w:br/>
      </w:r>
      <w:r w:rsidR="003A1738">
        <w:t>Action</w:t>
      </w:r>
      <w:r>
        <w:t xml:space="preserve"> Plan – draft for public consultation</w:t>
      </w:r>
    </w:p>
    <w:p w14:paraId="3176041E" w14:textId="6599AE56" w:rsidR="00DE4FE2" w:rsidRDefault="004B785C" w:rsidP="00DE4FE2">
      <w:pPr>
        <w:pStyle w:val="CoverDate"/>
      </w:pPr>
      <w:r>
        <w:t>October 2023</w:t>
      </w:r>
    </w:p>
    <w:p w14:paraId="75378AEF" w14:textId="109FAA58" w:rsidR="00DE4FE2" w:rsidRDefault="0094417E" w:rsidP="00FD31CB">
      <w:pPr>
        <w:pStyle w:val="CoverPhoto"/>
      </w:pPr>
      <w:r>
        <w:rPr>
          <w:noProof/>
          <w:lang w:eastAsia="en-AU"/>
        </w:rPr>
        <w:drawing>
          <wp:inline distT="0" distB="0" distL="0" distR="0" wp14:anchorId="7C7FAF10" wp14:editId="09530784">
            <wp:extent cx="6090198" cy="4567489"/>
            <wp:effectExtent l="0" t="0" r="6350" b="5080"/>
            <wp:docPr id="15" name="Picture 15" descr="Image of a driverless car evaluating upcoming traffic.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5514" cy="4578975"/>
                    </a:xfrm>
                    <a:prstGeom prst="rect">
                      <a:avLst/>
                    </a:prstGeom>
                  </pic:spPr>
                </pic:pic>
              </a:graphicData>
            </a:graphic>
          </wp:inline>
        </w:drawing>
      </w:r>
    </w:p>
    <w:p w14:paraId="6ED9EB3B" w14:textId="77777777" w:rsidR="00DE4FE2" w:rsidRDefault="00DE4FE2">
      <w:pPr>
        <w:sectPr w:rsidR="00DE4FE2" w:rsidSect="00BA24FB">
          <w:headerReference w:type="even" r:id="rId10"/>
          <w:headerReference w:type="default" r:id="rId11"/>
          <w:footerReference w:type="even" r:id="rId12"/>
          <w:footerReference w:type="default" r:id="rId13"/>
          <w:headerReference w:type="first" r:id="rId14"/>
          <w:footerReference w:type="first" r:id="rId15"/>
          <w:pgSz w:w="11906" w:h="16838" w:code="9"/>
          <w:pgMar w:top="340" w:right="1021" w:bottom="1021" w:left="2268" w:header="0" w:footer="397" w:gutter="0"/>
          <w:cols w:space="708"/>
          <w:titlePg/>
          <w:docGrid w:linePitch="360"/>
        </w:sectPr>
      </w:pPr>
    </w:p>
    <w:p w14:paraId="597DF768" w14:textId="7F1A6EDC" w:rsidR="009A6F50" w:rsidRPr="00614528" w:rsidRDefault="009A6F50" w:rsidP="009A6F50">
      <w:pPr>
        <w:pStyle w:val="NoSpacing"/>
        <w:spacing w:before="120"/>
        <w:rPr>
          <w:sz w:val="24"/>
          <w:szCs w:val="24"/>
        </w:rPr>
      </w:pPr>
      <w:r w:rsidRPr="00614528">
        <w:rPr>
          <w:sz w:val="24"/>
          <w:szCs w:val="24"/>
        </w:rPr>
        <w:lastRenderedPageBreak/>
        <w:t>[</w:t>
      </w:r>
      <w:r w:rsidR="008D30DF" w:rsidRPr="008D30DF">
        <w:rPr>
          <w:color w:val="auto"/>
          <w:sz w:val="24"/>
          <w:szCs w:val="24"/>
          <w:highlight w:val="cyan"/>
        </w:rPr>
        <w:t>S</w:t>
      </w:r>
      <w:r w:rsidRPr="00614528">
        <w:rPr>
          <w:sz w:val="24"/>
          <w:szCs w:val="24"/>
          <w:highlight w:val="cyan"/>
        </w:rPr>
        <w:t xml:space="preserve">tatement </w:t>
      </w:r>
      <w:r w:rsidR="007C086F">
        <w:rPr>
          <w:sz w:val="24"/>
          <w:szCs w:val="24"/>
          <w:highlight w:val="cyan"/>
        </w:rPr>
        <w:t xml:space="preserve">to be completed </w:t>
      </w:r>
      <w:r w:rsidRPr="00614528">
        <w:rPr>
          <w:sz w:val="24"/>
          <w:szCs w:val="24"/>
          <w:highlight w:val="cyan"/>
        </w:rPr>
        <w:t xml:space="preserve">once </w:t>
      </w:r>
      <w:r w:rsidR="00F070DF">
        <w:rPr>
          <w:sz w:val="24"/>
          <w:szCs w:val="24"/>
          <w:highlight w:val="cyan"/>
        </w:rPr>
        <w:t xml:space="preserve">Action Plan </w:t>
      </w:r>
      <w:r w:rsidRPr="00614528">
        <w:rPr>
          <w:sz w:val="24"/>
          <w:szCs w:val="24"/>
          <w:highlight w:val="cyan"/>
        </w:rPr>
        <w:t>finalised</w:t>
      </w:r>
      <w:r w:rsidRPr="00614528">
        <w:rPr>
          <w:sz w:val="24"/>
          <w:szCs w:val="24"/>
        </w:rPr>
        <w:t>]</w:t>
      </w:r>
    </w:p>
    <w:p w14:paraId="50893D20" w14:textId="77777777" w:rsidR="009A6F50" w:rsidRDefault="009A6F50" w:rsidP="009A6F50">
      <w:pPr>
        <w:pStyle w:val="NoSpacing"/>
        <w:spacing w:before="120"/>
      </w:pPr>
    </w:p>
    <w:p w14:paraId="3BFAE77E" w14:textId="0D2B209E" w:rsidR="009A6F50" w:rsidRPr="000E5674" w:rsidRDefault="009A6F50" w:rsidP="009A6F50">
      <w:pPr>
        <w:pStyle w:val="NoSpacing"/>
        <w:spacing w:before="120"/>
      </w:pPr>
      <w:r w:rsidRPr="000E5674">
        <w:t xml:space="preserve">© Commonwealth of Australia </w:t>
      </w:r>
      <w:r w:rsidRPr="008D30DF">
        <w:t>202</w:t>
      </w:r>
      <w:r w:rsidR="008D30DF" w:rsidRPr="008D30DF">
        <w:t>3</w:t>
      </w:r>
    </w:p>
    <w:p w14:paraId="238F91B6" w14:textId="77777777" w:rsidR="009A6F50" w:rsidRPr="000E5674" w:rsidRDefault="009A6F50" w:rsidP="009A6F50">
      <w:pPr>
        <w:pStyle w:val="NoSpacing"/>
        <w:spacing w:before="120"/>
      </w:pPr>
      <w:r w:rsidRPr="000E5674">
        <w:t xml:space="preserve">ISBN </w:t>
      </w:r>
      <w:r w:rsidRPr="000E5674">
        <w:rPr>
          <w:highlight w:val="yellow"/>
        </w:rPr>
        <w:t>XXX-X-XXX-XXXXX-X</w:t>
      </w:r>
    </w:p>
    <w:p w14:paraId="55D5AACA" w14:textId="64B623EB" w:rsidR="009A6F50" w:rsidRPr="000E5674" w:rsidRDefault="009A6F50" w:rsidP="009A6F50">
      <w:pPr>
        <w:pStyle w:val="NoSpacing"/>
        <w:spacing w:before="120"/>
      </w:pPr>
      <w:r w:rsidRPr="008D30DF">
        <w:t>Month 202</w:t>
      </w:r>
      <w:r w:rsidR="00F070DF" w:rsidRPr="00F070DF">
        <w:rPr>
          <w:highlight w:val="yellow"/>
        </w:rPr>
        <w:t>X</w:t>
      </w:r>
      <w:r w:rsidRPr="000E5674">
        <w:t xml:space="preserve"> / INFRASTRUCTURE </w:t>
      </w:r>
      <w:r w:rsidRPr="000E5674">
        <w:rPr>
          <w:highlight w:val="yellow"/>
        </w:rPr>
        <w:t>XXXX</w:t>
      </w:r>
    </w:p>
    <w:p w14:paraId="0105DFA7" w14:textId="77777777" w:rsidR="009A6F50" w:rsidRPr="000E5674" w:rsidRDefault="009A6F50" w:rsidP="009A6F50">
      <w:pPr>
        <w:pStyle w:val="ImprintHeading"/>
        <w:spacing w:before="120" w:after="80"/>
      </w:pPr>
      <w:r w:rsidRPr="000E5674">
        <w:t>Ownership of intellectual property rights in this publication</w:t>
      </w:r>
    </w:p>
    <w:p w14:paraId="5961BC18" w14:textId="77777777" w:rsidR="009A6F50" w:rsidRPr="000E5674" w:rsidRDefault="009A6F50" w:rsidP="009A6F50">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246E445C" w14:textId="77777777" w:rsidR="00E160B4" w:rsidRPr="00852C85" w:rsidRDefault="00E160B4" w:rsidP="00E160B4">
      <w:pPr>
        <w:pStyle w:val="ImprintHeading"/>
        <w:spacing w:before="120" w:after="80"/>
      </w:pPr>
      <w:r w:rsidRPr="00852C85">
        <w:t>Creative Commons licence</w:t>
      </w:r>
    </w:p>
    <w:p w14:paraId="354131A6" w14:textId="77777777" w:rsidR="00E160B4" w:rsidRDefault="00E160B4" w:rsidP="00E160B4">
      <w:pPr>
        <w:pStyle w:val="ImprintHeading"/>
        <w:spacing w:before="120" w:after="80"/>
        <w:rPr>
          <w:lang w:val="en-US"/>
        </w:rPr>
      </w:pPr>
      <w:r>
        <w:rPr>
          <w:noProof/>
        </w:rPr>
        <w:drawing>
          <wp:inline distT="0" distB="0" distL="0" distR="0" wp14:anchorId="48AB8DF3" wp14:editId="78716E81">
            <wp:extent cx="836930" cy="293370"/>
            <wp:effectExtent l="0" t="0" r="1270" b="0"/>
            <wp:docPr id="14" name="Picture 14" descr="Logo:  Creative Commons." title="Creative Commons logo"/>
            <wp:cNvGraphicFramePr/>
            <a:graphic xmlns:a="http://schemas.openxmlformats.org/drawingml/2006/main">
              <a:graphicData uri="http://schemas.openxmlformats.org/drawingml/2006/picture">
                <pic:pic xmlns:pic="http://schemas.openxmlformats.org/drawingml/2006/picture">
                  <pic:nvPicPr>
                    <pic:cNvPr id="14" name="Picture 14" descr="Logo:  Creative Commons." title="Creative Commons logo"/>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211A77EF" w14:textId="77777777" w:rsidR="00E160B4" w:rsidRPr="00852C85" w:rsidRDefault="00E160B4" w:rsidP="00E160B4">
      <w:pPr>
        <w:spacing w:before="120"/>
        <w:rPr>
          <w:lang w:val="x-none"/>
        </w:rPr>
      </w:pPr>
      <w:r w:rsidRPr="00852C85">
        <w:rPr>
          <w:lang w:val="x-none"/>
        </w:rPr>
        <w:t>The copyright in this publication is licensed under a Creative Commons Attribution 4.0 International licence, with the exception of:</w:t>
      </w:r>
    </w:p>
    <w:p w14:paraId="0F77E25F" w14:textId="77777777" w:rsidR="00E160B4" w:rsidRPr="00726705" w:rsidRDefault="00E160B4" w:rsidP="00E160B4">
      <w:pPr>
        <w:pStyle w:val="ImprintHeading"/>
        <w:numPr>
          <w:ilvl w:val="0"/>
          <w:numId w:val="45"/>
        </w:numPr>
        <w:spacing w:before="120" w:after="80"/>
        <w:rPr>
          <w:lang w:val="en-US"/>
        </w:rPr>
      </w:pPr>
      <w:r>
        <w:rPr>
          <w:b w:val="0"/>
          <w:lang w:val="en-US"/>
        </w:rPr>
        <w:t xml:space="preserve">the Infrastructure and Transport Ministers’ Meeting logo, </w:t>
      </w:r>
    </w:p>
    <w:p w14:paraId="05340220" w14:textId="77777777" w:rsidR="00E160B4" w:rsidRPr="00852C85" w:rsidRDefault="00E160B4" w:rsidP="00E160B4">
      <w:pPr>
        <w:pStyle w:val="ImprintHeading"/>
        <w:numPr>
          <w:ilvl w:val="0"/>
          <w:numId w:val="45"/>
        </w:numPr>
        <w:spacing w:before="120" w:after="80"/>
        <w:rPr>
          <w:lang w:val="en-US"/>
        </w:rPr>
      </w:pPr>
      <w:r>
        <w:rPr>
          <w:b w:val="0"/>
          <w:lang w:val="en-US"/>
        </w:rPr>
        <w:t>any photos and graphics, and</w:t>
      </w:r>
    </w:p>
    <w:p w14:paraId="37422E29" w14:textId="77777777" w:rsidR="00E160B4" w:rsidRPr="00852C85" w:rsidRDefault="00E160B4" w:rsidP="00E160B4">
      <w:pPr>
        <w:pStyle w:val="ImprintHeading"/>
        <w:numPr>
          <w:ilvl w:val="0"/>
          <w:numId w:val="45"/>
        </w:numPr>
        <w:spacing w:before="120" w:after="80"/>
        <w:rPr>
          <w:b w:val="0"/>
          <w:lang w:val="en-US"/>
        </w:rPr>
      </w:pPr>
      <w:r w:rsidRPr="00852C85">
        <w:rPr>
          <w:b w:val="0"/>
          <w:lang w:val="en-US"/>
        </w:rPr>
        <w:t xml:space="preserve">any </w:t>
      </w:r>
      <w:proofErr w:type="gramStart"/>
      <w:r w:rsidRPr="00852C85">
        <w:rPr>
          <w:b w:val="0"/>
          <w:lang w:val="en-US"/>
        </w:rPr>
        <w:t>third party</w:t>
      </w:r>
      <w:proofErr w:type="gramEnd"/>
      <w:r w:rsidRPr="00852C85">
        <w:rPr>
          <w:b w:val="0"/>
          <w:lang w:val="en-US"/>
        </w:rPr>
        <w:t xml:space="preserve"> material</w:t>
      </w:r>
      <w:r>
        <w:rPr>
          <w:b w:val="0"/>
          <w:lang w:val="en-US"/>
        </w:rPr>
        <w:t>.</w:t>
      </w:r>
    </w:p>
    <w:p w14:paraId="00F1BF01" w14:textId="77777777" w:rsidR="00E160B4" w:rsidRPr="00EA5950" w:rsidRDefault="00E160B4" w:rsidP="00E160B4">
      <w:pPr>
        <w:spacing w:before="120"/>
        <w:rPr>
          <w:lang w:val="en-US"/>
        </w:rPr>
      </w:pPr>
      <w:r w:rsidRPr="00852C85">
        <w:rPr>
          <w:lang w:val="x-none"/>
        </w:rPr>
        <w:t xml:space="preserve">The Creative Commons Attribution 4.0 International licence is a standard form licence agreement that allows you to copy, communicate and adapt this publication provided that you attribute the work to the Commonwealth and abide by the other licence terms. The full licence terms and a summary of those terms are available from </w:t>
      </w:r>
      <w:hyperlink r:id="rId18" w:history="1">
        <w:r w:rsidRPr="00ED1AA9">
          <w:rPr>
            <w:rStyle w:val="Hyperlink"/>
            <w:lang w:val="x-none"/>
          </w:rPr>
          <w:t>https://creativecommons.org</w:t>
        </w:r>
      </w:hyperlink>
      <w:r>
        <w:rPr>
          <w:lang w:val="en-US"/>
        </w:rPr>
        <w:t>.</w:t>
      </w:r>
    </w:p>
    <w:p w14:paraId="55393040" w14:textId="77777777" w:rsidR="00E160B4" w:rsidRPr="00852C85" w:rsidRDefault="00E160B4" w:rsidP="00E160B4">
      <w:pPr>
        <w:spacing w:before="120"/>
        <w:rPr>
          <w:lang w:val="x-none"/>
        </w:rPr>
      </w:pPr>
      <w:r w:rsidRPr="00852C85">
        <w:rPr>
          <w:lang w:val="x-none"/>
        </w:rPr>
        <w:t xml:space="preserve">This publication should be attributed in the following way: © Commonwealth of Australia 2024, </w:t>
      </w:r>
      <w:r>
        <w:rPr>
          <w:lang w:val="en-US"/>
        </w:rPr>
        <w:t>2024–27 National Connected and Automated Vehicle (CAV) Action Plan</w:t>
      </w:r>
      <w:r w:rsidRPr="00852C85">
        <w:rPr>
          <w:lang w:val="x-none"/>
        </w:rPr>
        <w:t>.</w:t>
      </w:r>
    </w:p>
    <w:p w14:paraId="0DFCEB82" w14:textId="77777777" w:rsidR="00E160B4" w:rsidRPr="00852C85" w:rsidRDefault="00E160B4" w:rsidP="00E160B4">
      <w:pPr>
        <w:pStyle w:val="ImprintHeading"/>
        <w:spacing w:before="120" w:after="80"/>
      </w:pPr>
      <w:r w:rsidRPr="00852C85">
        <w:t>Third party copyright</w:t>
      </w:r>
    </w:p>
    <w:p w14:paraId="3AE39A84" w14:textId="77777777" w:rsidR="00E160B4" w:rsidRDefault="00E160B4" w:rsidP="00E160B4">
      <w:pPr>
        <w:pStyle w:val="ImprintHeading"/>
        <w:spacing w:before="120" w:after="80"/>
        <w:rPr>
          <w:b w:val="0"/>
          <w:lang w:val="en-US"/>
        </w:rPr>
      </w:pPr>
      <w:r>
        <w:rPr>
          <w:b w:val="0"/>
          <w:lang w:val="en-US"/>
        </w:rPr>
        <w:t>Wherever a third party holds copyright in material presented in this publication, the copyright remains with that party. Their permission may be required to use the material.</w:t>
      </w:r>
    </w:p>
    <w:p w14:paraId="1579C7EE" w14:textId="77777777" w:rsidR="009A6F50" w:rsidRPr="000E5674" w:rsidRDefault="009A6F50" w:rsidP="009A6F50">
      <w:pPr>
        <w:pStyle w:val="ImprintHeading"/>
        <w:spacing w:before="120" w:after="80"/>
      </w:pPr>
      <w:r w:rsidRPr="000E5674">
        <w:t>Disclaimer</w:t>
      </w:r>
    </w:p>
    <w:p w14:paraId="7BF7A0EB" w14:textId="77777777" w:rsidR="009A6F50" w:rsidRPr="000E5674" w:rsidRDefault="009A6F50" w:rsidP="009A6F50">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5E53EB2" w14:textId="77777777" w:rsidR="009A6F50" w:rsidRDefault="009A6F50" w:rsidP="009A6F50">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398A300B" w14:textId="77777777" w:rsidR="009A6F50" w:rsidRDefault="009A6F50" w:rsidP="009A6F50">
      <w:pPr>
        <w:pStyle w:val="ImprintHeading"/>
        <w:spacing w:before="120" w:after="80"/>
      </w:pPr>
      <w:bookmarkStart w:id="0" w:name="_GoBack"/>
      <w:bookmarkEnd w:id="0"/>
      <w:r>
        <w:t>Contact us</w:t>
      </w:r>
    </w:p>
    <w:p w14:paraId="0561F469" w14:textId="77777777" w:rsidR="009A6F50" w:rsidRDefault="009A6F50" w:rsidP="009A6F50">
      <w:pPr>
        <w:spacing w:before="120"/>
        <w:rPr>
          <w:lang w:val="x-none"/>
        </w:rPr>
      </w:pPr>
      <w:r>
        <w:rPr>
          <w:lang w:val="x-none"/>
        </w:rPr>
        <w:t xml:space="preserve">This publication is available in </w:t>
      </w:r>
      <w:r>
        <w:rPr>
          <w:i/>
          <w:highlight w:val="yellow"/>
          <w:lang w:val="x-none"/>
        </w:rPr>
        <w:t>hard copy</w:t>
      </w:r>
      <w:r>
        <w:rPr>
          <w:i/>
          <w:highlight w:val="yellow"/>
          <w:lang w:val="en-US"/>
        </w:rPr>
        <w:t>/</w:t>
      </w:r>
      <w:r>
        <w:rPr>
          <w:i/>
          <w:highlight w:val="yellow"/>
          <w:lang w:val="x-none"/>
        </w:rPr>
        <w:t>PDF format</w:t>
      </w:r>
      <w:r>
        <w:rPr>
          <w:i/>
          <w:highlight w:val="yellow"/>
          <w:lang w:val="en-US"/>
        </w:rPr>
        <w:t>/Word format/other format</w:t>
      </w:r>
      <w:r>
        <w:rPr>
          <w:lang w:val="x-none"/>
        </w:rPr>
        <w: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please contact:</w:t>
      </w:r>
    </w:p>
    <w:p w14:paraId="19EA0E87" w14:textId="77777777" w:rsidR="009A6F50" w:rsidRDefault="009A6F50" w:rsidP="009A6F50">
      <w:pPr>
        <w:spacing w:before="120"/>
        <w:rPr>
          <w:i/>
          <w:kern w:val="12"/>
          <w:highlight w:val="yellow"/>
        </w:rPr>
      </w:pPr>
      <w:r>
        <w:rPr>
          <w:i/>
          <w:kern w:val="12"/>
          <w:highlight w:val="yellow"/>
        </w:rPr>
        <w:t>[Add contact point for publication here]</w:t>
      </w:r>
    </w:p>
    <w:p w14:paraId="433C153A" w14:textId="77777777" w:rsidR="009A6F50" w:rsidRDefault="009A6F50" w:rsidP="009A6F50">
      <w:pPr>
        <w:spacing w:before="120"/>
        <w:rPr>
          <w:lang w:val="en-US"/>
        </w:rPr>
      </w:pPr>
      <w:r>
        <w:rPr>
          <w:lang w:val="x-none"/>
        </w:rPr>
        <w:t xml:space="preserve">Email: </w:t>
      </w:r>
      <w:r>
        <w:rPr>
          <w:i/>
          <w:kern w:val="12"/>
          <w:highlight w:val="yellow"/>
        </w:rPr>
        <w:t>[add contact email here]</w:t>
      </w:r>
    </w:p>
    <w:p w14:paraId="3FEEB0D5" w14:textId="76DB87EA" w:rsidR="00546218" w:rsidRPr="009A6F50" w:rsidRDefault="009A6F50" w:rsidP="009A6F50">
      <w:pPr>
        <w:spacing w:before="120"/>
        <w:rPr>
          <w:kern w:val="12"/>
          <w:highlight w:val="yellow"/>
        </w:rPr>
      </w:pPr>
      <w:r>
        <w:rPr>
          <w:lang w:val="x-none"/>
        </w:rPr>
        <w:t>Website:</w:t>
      </w:r>
      <w:r>
        <w:rPr>
          <w:lang w:val="en-US"/>
        </w:rPr>
        <w:t xml:space="preserve"> </w:t>
      </w:r>
      <w:r>
        <w:rPr>
          <w:i/>
          <w:kern w:val="12"/>
          <w:highlight w:val="yellow"/>
        </w:rPr>
        <w:t>[if applicable, add website where this is published here]</w:t>
      </w:r>
      <w:r w:rsidR="00546218">
        <w:br w:type="page"/>
      </w:r>
    </w:p>
    <w:p w14:paraId="4302B5AB" w14:textId="77777777" w:rsidR="00DE4FE2" w:rsidRDefault="002B7197" w:rsidP="00CF6CFD">
      <w:pPr>
        <w:pStyle w:val="TOCHeading"/>
      </w:pPr>
      <w:r>
        <w:lastRenderedPageBreak/>
        <w:t>Table of C</w:t>
      </w:r>
      <w:r w:rsidR="00DE4FE2">
        <w:t>ontents</w:t>
      </w:r>
    </w:p>
    <w:p w14:paraId="5A00363D" w14:textId="239CEF46" w:rsidR="002E4AB0"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48430722" w:history="1">
        <w:r w:rsidR="002E4AB0" w:rsidRPr="00891B13">
          <w:rPr>
            <w:rStyle w:val="Hyperlink"/>
            <w:noProof/>
            <w:lang w:val="en-US"/>
          </w:rPr>
          <w:t>Preamble</w:t>
        </w:r>
        <w:r w:rsidR="002E4AB0">
          <w:rPr>
            <w:noProof/>
            <w:webHidden/>
          </w:rPr>
          <w:tab/>
        </w:r>
        <w:r w:rsidR="002E4AB0">
          <w:rPr>
            <w:noProof/>
            <w:webHidden/>
          </w:rPr>
          <w:fldChar w:fldCharType="begin"/>
        </w:r>
        <w:r w:rsidR="002E4AB0">
          <w:rPr>
            <w:noProof/>
            <w:webHidden/>
          </w:rPr>
          <w:instrText xml:space="preserve"> PAGEREF _Toc148430722 \h </w:instrText>
        </w:r>
        <w:r w:rsidR="002E4AB0">
          <w:rPr>
            <w:noProof/>
            <w:webHidden/>
          </w:rPr>
        </w:r>
        <w:r w:rsidR="002E4AB0">
          <w:rPr>
            <w:noProof/>
            <w:webHidden/>
          </w:rPr>
          <w:fldChar w:fldCharType="separate"/>
        </w:r>
        <w:r w:rsidR="007E35C2">
          <w:rPr>
            <w:noProof/>
            <w:webHidden/>
          </w:rPr>
          <w:t>4</w:t>
        </w:r>
        <w:r w:rsidR="002E4AB0">
          <w:rPr>
            <w:noProof/>
            <w:webHidden/>
          </w:rPr>
          <w:fldChar w:fldCharType="end"/>
        </w:r>
      </w:hyperlink>
    </w:p>
    <w:p w14:paraId="552DA930" w14:textId="0EBA923A" w:rsidR="002E4AB0" w:rsidRDefault="00DA4A9F">
      <w:pPr>
        <w:pStyle w:val="TOC1"/>
        <w:rPr>
          <w:rFonts w:eastAsiaTheme="minorEastAsia"/>
          <w:b w:val="0"/>
          <w:noProof/>
          <w:color w:val="auto"/>
          <w:sz w:val="22"/>
          <w:u w:val="none"/>
          <w:lang w:eastAsia="en-AU"/>
        </w:rPr>
      </w:pPr>
      <w:hyperlink w:anchor="_Toc148430723" w:history="1">
        <w:r w:rsidR="002E4AB0" w:rsidRPr="00891B13">
          <w:rPr>
            <w:rStyle w:val="Hyperlink"/>
            <w:noProof/>
            <w:lang w:val="en-US"/>
          </w:rPr>
          <w:t>Key priorities for 2024-27</w:t>
        </w:r>
        <w:r w:rsidR="002E4AB0">
          <w:rPr>
            <w:noProof/>
            <w:webHidden/>
          </w:rPr>
          <w:tab/>
        </w:r>
        <w:r w:rsidR="002E4AB0">
          <w:rPr>
            <w:noProof/>
            <w:webHidden/>
          </w:rPr>
          <w:fldChar w:fldCharType="begin"/>
        </w:r>
        <w:r w:rsidR="002E4AB0">
          <w:rPr>
            <w:noProof/>
            <w:webHidden/>
          </w:rPr>
          <w:instrText xml:space="preserve"> PAGEREF _Toc148430723 \h </w:instrText>
        </w:r>
        <w:r w:rsidR="002E4AB0">
          <w:rPr>
            <w:noProof/>
            <w:webHidden/>
          </w:rPr>
        </w:r>
        <w:r w:rsidR="002E4AB0">
          <w:rPr>
            <w:noProof/>
            <w:webHidden/>
          </w:rPr>
          <w:fldChar w:fldCharType="separate"/>
        </w:r>
        <w:r w:rsidR="007E35C2">
          <w:rPr>
            <w:noProof/>
            <w:webHidden/>
          </w:rPr>
          <w:t>5</w:t>
        </w:r>
        <w:r w:rsidR="002E4AB0">
          <w:rPr>
            <w:noProof/>
            <w:webHidden/>
          </w:rPr>
          <w:fldChar w:fldCharType="end"/>
        </w:r>
      </w:hyperlink>
    </w:p>
    <w:p w14:paraId="53C066E9" w14:textId="52162CAE" w:rsidR="002E4AB0" w:rsidRDefault="00DA4A9F">
      <w:pPr>
        <w:pStyle w:val="TOC1"/>
        <w:rPr>
          <w:rFonts w:eastAsiaTheme="minorEastAsia"/>
          <w:b w:val="0"/>
          <w:noProof/>
          <w:color w:val="auto"/>
          <w:sz w:val="22"/>
          <w:u w:val="none"/>
          <w:lang w:eastAsia="en-AU"/>
        </w:rPr>
      </w:pPr>
      <w:hyperlink w:anchor="_Toc148430724" w:history="1">
        <w:r w:rsidR="002E4AB0" w:rsidRPr="00891B13">
          <w:rPr>
            <w:rStyle w:val="Hyperlink"/>
            <w:noProof/>
            <w:lang w:val="en-US"/>
          </w:rPr>
          <w:t>Structure</w:t>
        </w:r>
        <w:r w:rsidR="002E4AB0">
          <w:rPr>
            <w:noProof/>
            <w:webHidden/>
          </w:rPr>
          <w:tab/>
        </w:r>
        <w:r w:rsidR="002E4AB0">
          <w:rPr>
            <w:noProof/>
            <w:webHidden/>
          </w:rPr>
          <w:fldChar w:fldCharType="begin"/>
        </w:r>
        <w:r w:rsidR="002E4AB0">
          <w:rPr>
            <w:noProof/>
            <w:webHidden/>
          </w:rPr>
          <w:instrText xml:space="preserve"> PAGEREF _Toc148430724 \h </w:instrText>
        </w:r>
        <w:r w:rsidR="002E4AB0">
          <w:rPr>
            <w:noProof/>
            <w:webHidden/>
          </w:rPr>
        </w:r>
        <w:r w:rsidR="002E4AB0">
          <w:rPr>
            <w:noProof/>
            <w:webHidden/>
          </w:rPr>
          <w:fldChar w:fldCharType="separate"/>
        </w:r>
        <w:r w:rsidR="007E35C2">
          <w:rPr>
            <w:noProof/>
            <w:webHidden/>
          </w:rPr>
          <w:t>5</w:t>
        </w:r>
        <w:r w:rsidR="002E4AB0">
          <w:rPr>
            <w:noProof/>
            <w:webHidden/>
          </w:rPr>
          <w:fldChar w:fldCharType="end"/>
        </w:r>
      </w:hyperlink>
    </w:p>
    <w:p w14:paraId="1738D5A2" w14:textId="7F45EB7E" w:rsidR="002E4AB0" w:rsidRDefault="00DA4A9F">
      <w:pPr>
        <w:pStyle w:val="TOC1"/>
        <w:rPr>
          <w:rFonts w:eastAsiaTheme="minorEastAsia"/>
          <w:b w:val="0"/>
          <w:noProof/>
          <w:color w:val="auto"/>
          <w:sz w:val="22"/>
          <w:u w:val="none"/>
          <w:lang w:eastAsia="en-AU"/>
        </w:rPr>
      </w:pPr>
      <w:hyperlink w:anchor="_Toc148430725" w:history="1">
        <w:r w:rsidR="002E4AB0" w:rsidRPr="00891B13">
          <w:rPr>
            <w:rStyle w:val="Hyperlink"/>
            <w:noProof/>
          </w:rPr>
          <w:t>2024-27 Actions</w:t>
        </w:r>
        <w:r w:rsidR="002E4AB0">
          <w:rPr>
            <w:noProof/>
            <w:webHidden/>
          </w:rPr>
          <w:tab/>
        </w:r>
        <w:r w:rsidR="002E4AB0">
          <w:rPr>
            <w:noProof/>
            <w:webHidden/>
          </w:rPr>
          <w:fldChar w:fldCharType="begin"/>
        </w:r>
        <w:r w:rsidR="002E4AB0">
          <w:rPr>
            <w:noProof/>
            <w:webHidden/>
          </w:rPr>
          <w:instrText xml:space="preserve"> PAGEREF _Toc148430725 \h </w:instrText>
        </w:r>
        <w:r w:rsidR="002E4AB0">
          <w:rPr>
            <w:noProof/>
            <w:webHidden/>
          </w:rPr>
        </w:r>
        <w:r w:rsidR="002E4AB0">
          <w:rPr>
            <w:noProof/>
            <w:webHidden/>
          </w:rPr>
          <w:fldChar w:fldCharType="separate"/>
        </w:r>
        <w:r w:rsidR="007E35C2">
          <w:rPr>
            <w:noProof/>
            <w:webHidden/>
          </w:rPr>
          <w:t>7</w:t>
        </w:r>
        <w:r w:rsidR="002E4AB0">
          <w:rPr>
            <w:noProof/>
            <w:webHidden/>
          </w:rPr>
          <w:fldChar w:fldCharType="end"/>
        </w:r>
      </w:hyperlink>
    </w:p>
    <w:p w14:paraId="7A686B49" w14:textId="13BA29E4" w:rsidR="002E4AB0" w:rsidRDefault="00DA4A9F">
      <w:pPr>
        <w:pStyle w:val="TOC2"/>
        <w:tabs>
          <w:tab w:val="right" w:pos="9854"/>
        </w:tabs>
        <w:rPr>
          <w:rFonts w:eastAsiaTheme="minorEastAsia"/>
          <w:noProof/>
          <w:color w:val="auto"/>
          <w:lang w:eastAsia="en-AU"/>
        </w:rPr>
      </w:pPr>
      <w:hyperlink w:anchor="_Toc148430726" w:history="1">
        <w:r w:rsidR="002E4AB0" w:rsidRPr="00891B13">
          <w:rPr>
            <w:rStyle w:val="Hyperlink"/>
            <w:noProof/>
            <w:lang w:val="en-US"/>
          </w:rPr>
          <w:t>Workstream 1: Vehicle automation</w:t>
        </w:r>
        <w:r w:rsidR="002E4AB0">
          <w:rPr>
            <w:noProof/>
            <w:webHidden/>
          </w:rPr>
          <w:tab/>
        </w:r>
        <w:r w:rsidR="002E4AB0">
          <w:rPr>
            <w:noProof/>
            <w:webHidden/>
          </w:rPr>
          <w:fldChar w:fldCharType="begin"/>
        </w:r>
        <w:r w:rsidR="002E4AB0">
          <w:rPr>
            <w:noProof/>
            <w:webHidden/>
          </w:rPr>
          <w:instrText xml:space="preserve"> PAGEREF _Toc148430726 \h </w:instrText>
        </w:r>
        <w:r w:rsidR="002E4AB0">
          <w:rPr>
            <w:noProof/>
            <w:webHidden/>
          </w:rPr>
        </w:r>
        <w:r w:rsidR="002E4AB0">
          <w:rPr>
            <w:noProof/>
            <w:webHidden/>
          </w:rPr>
          <w:fldChar w:fldCharType="separate"/>
        </w:r>
        <w:r w:rsidR="007E35C2">
          <w:rPr>
            <w:noProof/>
            <w:webHidden/>
          </w:rPr>
          <w:t>7</w:t>
        </w:r>
        <w:r w:rsidR="002E4AB0">
          <w:rPr>
            <w:noProof/>
            <w:webHidden/>
          </w:rPr>
          <w:fldChar w:fldCharType="end"/>
        </w:r>
      </w:hyperlink>
    </w:p>
    <w:p w14:paraId="12E8BBA5" w14:textId="4B2D0908" w:rsidR="002E4AB0" w:rsidRDefault="00DA4A9F">
      <w:pPr>
        <w:pStyle w:val="TOC2"/>
        <w:tabs>
          <w:tab w:val="right" w:pos="9854"/>
        </w:tabs>
        <w:rPr>
          <w:rFonts w:eastAsiaTheme="minorEastAsia"/>
          <w:noProof/>
          <w:color w:val="auto"/>
          <w:lang w:eastAsia="en-AU"/>
        </w:rPr>
      </w:pPr>
      <w:hyperlink w:anchor="_Toc148430727" w:history="1">
        <w:r w:rsidR="002E4AB0" w:rsidRPr="00891B13">
          <w:rPr>
            <w:rStyle w:val="Hyperlink"/>
            <w:noProof/>
            <w:lang w:val="en-US"/>
          </w:rPr>
          <w:t>Workstream 2: Vehicle connectivity</w:t>
        </w:r>
        <w:r w:rsidR="002E4AB0">
          <w:rPr>
            <w:noProof/>
            <w:webHidden/>
          </w:rPr>
          <w:tab/>
        </w:r>
        <w:r w:rsidR="002E4AB0">
          <w:rPr>
            <w:noProof/>
            <w:webHidden/>
          </w:rPr>
          <w:fldChar w:fldCharType="begin"/>
        </w:r>
        <w:r w:rsidR="002E4AB0">
          <w:rPr>
            <w:noProof/>
            <w:webHidden/>
          </w:rPr>
          <w:instrText xml:space="preserve"> PAGEREF _Toc148430727 \h </w:instrText>
        </w:r>
        <w:r w:rsidR="002E4AB0">
          <w:rPr>
            <w:noProof/>
            <w:webHidden/>
          </w:rPr>
        </w:r>
        <w:r w:rsidR="002E4AB0">
          <w:rPr>
            <w:noProof/>
            <w:webHidden/>
          </w:rPr>
          <w:fldChar w:fldCharType="separate"/>
        </w:r>
        <w:r w:rsidR="007E35C2">
          <w:rPr>
            <w:noProof/>
            <w:webHidden/>
          </w:rPr>
          <w:t>10</w:t>
        </w:r>
        <w:r w:rsidR="002E4AB0">
          <w:rPr>
            <w:noProof/>
            <w:webHidden/>
          </w:rPr>
          <w:fldChar w:fldCharType="end"/>
        </w:r>
      </w:hyperlink>
    </w:p>
    <w:p w14:paraId="0573609E" w14:textId="647A4135" w:rsidR="002E4AB0" w:rsidRDefault="00DA4A9F">
      <w:pPr>
        <w:pStyle w:val="TOC2"/>
        <w:tabs>
          <w:tab w:val="right" w:pos="9854"/>
        </w:tabs>
        <w:rPr>
          <w:rFonts w:eastAsiaTheme="minorEastAsia"/>
          <w:noProof/>
          <w:color w:val="auto"/>
          <w:lang w:eastAsia="en-AU"/>
        </w:rPr>
      </w:pPr>
      <w:hyperlink w:anchor="_Toc148430728" w:history="1">
        <w:r w:rsidR="002E4AB0" w:rsidRPr="00891B13">
          <w:rPr>
            <w:rStyle w:val="Hyperlink"/>
            <w:noProof/>
            <w:lang w:val="en-US"/>
          </w:rPr>
          <w:t>Workstream 3: Cross-cutting actions supporting CAVs</w:t>
        </w:r>
        <w:r w:rsidR="002E4AB0">
          <w:rPr>
            <w:noProof/>
            <w:webHidden/>
          </w:rPr>
          <w:tab/>
        </w:r>
        <w:r w:rsidR="002E4AB0">
          <w:rPr>
            <w:noProof/>
            <w:webHidden/>
          </w:rPr>
          <w:fldChar w:fldCharType="begin"/>
        </w:r>
        <w:r w:rsidR="002E4AB0">
          <w:rPr>
            <w:noProof/>
            <w:webHidden/>
          </w:rPr>
          <w:instrText xml:space="preserve"> PAGEREF _Toc148430728 \h </w:instrText>
        </w:r>
        <w:r w:rsidR="002E4AB0">
          <w:rPr>
            <w:noProof/>
            <w:webHidden/>
          </w:rPr>
        </w:r>
        <w:r w:rsidR="002E4AB0">
          <w:rPr>
            <w:noProof/>
            <w:webHidden/>
          </w:rPr>
          <w:fldChar w:fldCharType="separate"/>
        </w:r>
        <w:r w:rsidR="007E35C2">
          <w:rPr>
            <w:noProof/>
            <w:webHidden/>
          </w:rPr>
          <w:t>14</w:t>
        </w:r>
        <w:r w:rsidR="002E4AB0">
          <w:rPr>
            <w:noProof/>
            <w:webHidden/>
          </w:rPr>
          <w:fldChar w:fldCharType="end"/>
        </w:r>
      </w:hyperlink>
    </w:p>
    <w:p w14:paraId="364E3F4D" w14:textId="77777777" w:rsidR="00DE4FE2" w:rsidRDefault="00A95970">
      <w:r>
        <w:fldChar w:fldCharType="end"/>
      </w:r>
    </w:p>
    <w:p w14:paraId="72DF45C3" w14:textId="77777777" w:rsidR="005912BE" w:rsidRDefault="005912BE"/>
    <w:p w14:paraId="7A842D0B" w14:textId="77777777" w:rsidR="005912BE" w:rsidRDefault="005912BE">
      <w:pPr>
        <w:sectPr w:rsidR="005912BE" w:rsidSect="00F640DD">
          <w:headerReference w:type="even" r:id="rId19"/>
          <w:headerReference w:type="default" r:id="rId20"/>
          <w:footerReference w:type="default" r:id="rId21"/>
          <w:headerReference w:type="first" r:id="rId22"/>
          <w:footerReference w:type="first" r:id="rId23"/>
          <w:pgSz w:w="11906" w:h="16838" w:code="9"/>
          <w:pgMar w:top="1021" w:right="1021" w:bottom="1021" w:left="1021" w:header="340" w:footer="397" w:gutter="0"/>
          <w:cols w:space="708"/>
          <w:docGrid w:linePitch="360"/>
        </w:sectPr>
      </w:pPr>
    </w:p>
    <w:p w14:paraId="3BC0EBB8" w14:textId="77777777" w:rsidR="00290219" w:rsidRPr="00C675BE" w:rsidRDefault="00290219" w:rsidP="00D31A3C">
      <w:pPr>
        <w:pStyle w:val="Heading1"/>
        <w:spacing w:before="120"/>
        <w:rPr>
          <w:lang w:val="en-US"/>
        </w:rPr>
      </w:pPr>
      <w:bookmarkStart w:id="1" w:name="_Toc148430722"/>
      <w:r w:rsidRPr="00C675BE">
        <w:rPr>
          <w:lang w:val="en-US"/>
        </w:rPr>
        <w:lastRenderedPageBreak/>
        <w:t>Preamble</w:t>
      </w:r>
      <w:bookmarkEnd w:id="1"/>
    </w:p>
    <w:p w14:paraId="731FBAE5" w14:textId="77777777" w:rsidR="00290219" w:rsidRDefault="00290219" w:rsidP="00290219">
      <w:pPr>
        <w:rPr>
          <w:lang w:val="en-US"/>
        </w:rPr>
      </w:pPr>
      <w:r w:rsidRPr="00100851">
        <w:rPr>
          <w:lang w:val="en-US"/>
        </w:rPr>
        <w:t>Th</w:t>
      </w:r>
      <w:r>
        <w:rPr>
          <w:lang w:val="en-US"/>
        </w:rPr>
        <w:t>e</w:t>
      </w:r>
      <w:r w:rsidRPr="00100851">
        <w:rPr>
          <w:lang w:val="en-US"/>
        </w:rPr>
        <w:t xml:space="preserve"> </w:t>
      </w:r>
      <w:r w:rsidRPr="002627A4">
        <w:rPr>
          <w:i/>
          <w:lang w:val="en-US"/>
        </w:rPr>
        <w:t xml:space="preserve">2024-27 </w:t>
      </w:r>
      <w:r>
        <w:rPr>
          <w:i/>
          <w:lang w:val="en-US"/>
        </w:rPr>
        <w:t xml:space="preserve">National </w:t>
      </w:r>
      <w:r w:rsidRPr="002627A4">
        <w:rPr>
          <w:i/>
          <w:lang w:val="en-US"/>
        </w:rPr>
        <w:t>Connected and Automated Vehicle (CAV) Action Plan</w:t>
      </w:r>
      <w:r>
        <w:rPr>
          <w:lang w:val="en-US"/>
        </w:rPr>
        <w:t xml:space="preserve"> helps implement the </w:t>
      </w:r>
      <w:r w:rsidRPr="00484FC5">
        <w:rPr>
          <w:i/>
          <w:lang w:val="en-US"/>
        </w:rPr>
        <w:t>National Road Transport Technology Strategy</w:t>
      </w:r>
      <w:r>
        <w:rPr>
          <w:lang w:val="en-US"/>
        </w:rPr>
        <w:t xml:space="preserve"> vision of a </w:t>
      </w:r>
      <w:r w:rsidRPr="00311D9A">
        <w:rPr>
          <w:b/>
          <w:lang w:val="en-GB"/>
        </w:rPr>
        <w:t>safer</w:t>
      </w:r>
      <w:r w:rsidRPr="00311D9A">
        <w:rPr>
          <w:lang w:val="en-GB"/>
        </w:rPr>
        <w:t xml:space="preserve">, more </w:t>
      </w:r>
      <w:r w:rsidRPr="00311D9A">
        <w:rPr>
          <w:b/>
          <w:lang w:val="en-GB"/>
        </w:rPr>
        <w:t>efficient</w:t>
      </w:r>
      <w:r w:rsidRPr="00311D9A">
        <w:rPr>
          <w:lang w:val="en-GB"/>
        </w:rPr>
        <w:t xml:space="preserve">, </w:t>
      </w:r>
      <w:r w:rsidRPr="00311D9A">
        <w:rPr>
          <w:b/>
          <w:lang w:val="en-GB"/>
        </w:rPr>
        <w:t>productive</w:t>
      </w:r>
      <w:r w:rsidRPr="00311D9A">
        <w:rPr>
          <w:lang w:val="en-GB"/>
        </w:rPr>
        <w:t xml:space="preserve">, </w:t>
      </w:r>
      <w:r w:rsidRPr="00311D9A">
        <w:rPr>
          <w:b/>
          <w:lang w:val="en-GB"/>
        </w:rPr>
        <w:t>sustainable</w:t>
      </w:r>
      <w:r w:rsidRPr="00311D9A">
        <w:rPr>
          <w:lang w:val="en-GB"/>
        </w:rPr>
        <w:t xml:space="preserve"> and </w:t>
      </w:r>
      <w:r w:rsidRPr="00311D9A">
        <w:rPr>
          <w:b/>
          <w:lang w:val="en-GB"/>
        </w:rPr>
        <w:t>accessible</w:t>
      </w:r>
      <w:r w:rsidRPr="00311D9A">
        <w:rPr>
          <w:lang w:val="en-GB"/>
        </w:rPr>
        <w:t xml:space="preserve"> transport system for </w:t>
      </w:r>
      <w:r>
        <w:rPr>
          <w:lang w:val="en-GB"/>
        </w:rPr>
        <w:t xml:space="preserve">all Australians </w:t>
      </w:r>
      <w:r w:rsidRPr="00311D9A">
        <w:rPr>
          <w:lang w:val="en-GB"/>
        </w:rPr>
        <w:t xml:space="preserve">through deployment and uptake of new road transport technologies to </w:t>
      </w:r>
      <w:r>
        <w:rPr>
          <w:lang w:val="en-GB"/>
        </w:rPr>
        <w:t>enhance</w:t>
      </w:r>
      <w:r w:rsidRPr="00311D9A">
        <w:rPr>
          <w:lang w:val="en-GB"/>
        </w:rPr>
        <w:t xml:space="preserve"> social</w:t>
      </w:r>
      <w:r>
        <w:rPr>
          <w:lang w:val="en-GB"/>
        </w:rPr>
        <w:t>, environmental</w:t>
      </w:r>
      <w:r w:rsidRPr="00311D9A">
        <w:rPr>
          <w:lang w:val="en-GB"/>
        </w:rPr>
        <w:t xml:space="preserve"> and economic well-being</w:t>
      </w:r>
      <w:r>
        <w:rPr>
          <w:lang w:val="en-GB"/>
        </w:rPr>
        <w:t>.</w:t>
      </w:r>
    </w:p>
    <w:p w14:paraId="2351E738" w14:textId="77777777" w:rsidR="00290219" w:rsidRDefault="00290219" w:rsidP="00290219">
      <w:pPr>
        <w:rPr>
          <w:lang w:val="en-US"/>
        </w:rPr>
      </w:pPr>
      <w:r>
        <w:rPr>
          <w:lang w:val="en-US"/>
        </w:rPr>
        <w:t xml:space="preserve">The 2024-27 Action Plan builds on the 2016-19 and 2020-23 </w:t>
      </w:r>
      <w:r w:rsidRPr="00100851">
        <w:rPr>
          <w:lang w:val="en-US"/>
        </w:rPr>
        <w:t xml:space="preserve">National Land Transport Technology Action Plans </w:t>
      </w:r>
      <w:r>
        <w:rPr>
          <w:lang w:val="en-US"/>
        </w:rPr>
        <w:t xml:space="preserve">to prepare Australia for the deployment of CAVs, including Cooperative Intelligent Transport Systems (C-ITS), </w:t>
      </w:r>
      <w:r w:rsidRPr="00311D9A">
        <w:rPr>
          <w:lang w:val="en-GB"/>
        </w:rPr>
        <w:t xml:space="preserve">and </w:t>
      </w:r>
      <w:r>
        <w:rPr>
          <w:lang w:val="en-GB"/>
        </w:rPr>
        <w:t>related</w:t>
      </w:r>
      <w:r w:rsidRPr="00311D9A">
        <w:rPr>
          <w:lang w:val="en-GB"/>
        </w:rPr>
        <w:t xml:space="preserve"> future mobility technologies and services</w:t>
      </w:r>
      <w:r>
        <w:rPr>
          <w:lang w:val="en-US"/>
        </w:rPr>
        <w:t xml:space="preserve">. Significant progress has been made in preparing for the deployment of CAVs under the 2016-19 and 2020-23 action plans.  </w:t>
      </w:r>
    </w:p>
    <w:p w14:paraId="182004EC" w14:textId="77777777" w:rsidR="00290219" w:rsidRDefault="00290219" w:rsidP="00290219">
      <w:pPr>
        <w:spacing w:after="120"/>
        <w:rPr>
          <w:lang w:val="en-US"/>
        </w:rPr>
      </w:pPr>
      <w:r>
        <w:rPr>
          <w:lang w:val="en-US"/>
        </w:rPr>
        <w:t xml:space="preserve">In February 2022, </w:t>
      </w:r>
      <w:r w:rsidRPr="005120A8">
        <w:rPr>
          <w:lang w:val="en-US"/>
        </w:rPr>
        <w:t xml:space="preserve">Infrastructure and Transport Ministers from all jurisdictions agreed to develop a national </w:t>
      </w:r>
      <w:r>
        <w:rPr>
          <w:lang w:val="en-US"/>
        </w:rPr>
        <w:t>automated vehicle (</w:t>
      </w:r>
      <w:r w:rsidRPr="005120A8">
        <w:rPr>
          <w:lang w:val="en-US"/>
        </w:rPr>
        <w:t>AV</w:t>
      </w:r>
      <w:r>
        <w:rPr>
          <w:lang w:val="en-US"/>
        </w:rPr>
        <w:t>)</w:t>
      </w:r>
      <w:r w:rsidRPr="005120A8">
        <w:rPr>
          <w:lang w:val="en-US"/>
        </w:rPr>
        <w:t xml:space="preserve"> safety law </w:t>
      </w:r>
      <w:r>
        <w:rPr>
          <w:lang w:val="en-US"/>
        </w:rPr>
        <w:t xml:space="preserve">(AVSL) </w:t>
      </w:r>
      <w:r w:rsidRPr="005120A8">
        <w:rPr>
          <w:lang w:val="en-US"/>
        </w:rPr>
        <w:t>and AV in-service safety regulator</w:t>
      </w:r>
      <w:r>
        <w:rPr>
          <w:lang w:val="en-US"/>
        </w:rPr>
        <w:t>, expected</w:t>
      </w:r>
      <w:r w:rsidRPr="005120A8">
        <w:rPr>
          <w:lang w:val="en-US"/>
        </w:rPr>
        <w:t xml:space="preserve"> to </w:t>
      </w:r>
      <w:r>
        <w:rPr>
          <w:lang w:val="en-US"/>
        </w:rPr>
        <w:t>commence</w:t>
      </w:r>
      <w:r w:rsidRPr="005120A8">
        <w:rPr>
          <w:lang w:val="en-US"/>
        </w:rPr>
        <w:t xml:space="preserve"> by 2026</w:t>
      </w:r>
      <w:r>
        <w:rPr>
          <w:lang w:val="en-US"/>
        </w:rPr>
        <w:t>.</w:t>
      </w:r>
      <w:r>
        <w:rPr>
          <w:rStyle w:val="FootnoteReference"/>
          <w:lang w:val="en-US"/>
        </w:rPr>
        <w:footnoteReference w:id="1"/>
      </w:r>
      <w:r>
        <w:rPr>
          <w:lang w:val="en-US"/>
        </w:rPr>
        <w:t xml:space="preserve"> The new law will regulate the entities that assume responsibility for vehicles with an Automated Driving System (ADS), so that automated vehicles (AVs) operate safely and legally on public roads. </w:t>
      </w:r>
      <w:r w:rsidRPr="002D1DCA">
        <w:rPr>
          <w:lang w:val="en-US"/>
        </w:rPr>
        <w:t xml:space="preserve">Work also </w:t>
      </w:r>
      <w:r>
        <w:rPr>
          <w:lang w:val="en-US"/>
        </w:rPr>
        <w:t>started on</w:t>
      </w:r>
      <w:r w:rsidRPr="002D1DCA">
        <w:rPr>
          <w:lang w:val="en-US"/>
        </w:rPr>
        <w:t xml:space="preserve"> an Australian Design Rule (ADR 90/01)</w:t>
      </w:r>
      <w:r>
        <w:rPr>
          <w:lang w:val="en-US"/>
        </w:rPr>
        <w:t xml:space="preserve"> that provides an initial pathway to supply vehicles with ADS to the Australian market</w:t>
      </w:r>
      <w:r>
        <w:rPr>
          <w:rStyle w:val="FootnoteReference"/>
          <w:lang w:val="en-US"/>
        </w:rPr>
        <w:footnoteReference w:id="2"/>
      </w:r>
      <w:r>
        <w:rPr>
          <w:lang w:val="en-US"/>
        </w:rPr>
        <w:t>, and update state and territory road traffic laws to regulate the human users of AVs and so enforcement officers have powers to interact with AVs at the roadside. This will allow the end-to-end regulatory framework to support the deployment of AVs across their initial provision and on-road life.</w:t>
      </w:r>
    </w:p>
    <w:p w14:paraId="1F698058" w14:textId="77777777" w:rsidR="00290219" w:rsidRDefault="00290219" w:rsidP="00290219">
      <w:pPr>
        <w:spacing w:after="120"/>
        <w:rPr>
          <w:lang w:val="en-US"/>
        </w:rPr>
      </w:pPr>
      <w:r>
        <w:t>The</w:t>
      </w:r>
      <w:r w:rsidRPr="00F64166">
        <w:t xml:space="preserve"> Australian Communication</w:t>
      </w:r>
      <w:r>
        <w:t>s</w:t>
      </w:r>
      <w:r w:rsidRPr="00F64166">
        <w:t xml:space="preserve"> and Media Authority </w:t>
      </w:r>
      <w:r>
        <w:t xml:space="preserve">(ACMA) </w:t>
      </w:r>
      <w:r w:rsidRPr="00F64166">
        <w:t xml:space="preserve">made the </w:t>
      </w:r>
      <w:r w:rsidRPr="00F64166">
        <w:rPr>
          <w:i/>
        </w:rPr>
        <w:t>Radiocommunications (Intelligent Transport Systems) Class Licence 2017</w:t>
      </w:r>
      <w:r>
        <w:rPr>
          <w:i/>
        </w:rPr>
        <w:t>,</w:t>
      </w:r>
      <w:r>
        <w:rPr>
          <w:rStyle w:val="FootnoteReference"/>
          <w:i/>
        </w:rPr>
        <w:footnoteReference w:id="3"/>
      </w:r>
      <w:r w:rsidRPr="00F64166">
        <w:t xml:space="preserve"> </w:t>
      </w:r>
      <w:r>
        <w:t>making available 70 MHz of spectrum in the 5.9 GHz band for</w:t>
      </w:r>
      <w:r w:rsidRPr="00F64166">
        <w:t xml:space="preserve"> C-ITS applications.</w:t>
      </w:r>
      <w:r>
        <w:t xml:space="preserve"> </w:t>
      </w:r>
      <w:r w:rsidRPr="00F64166">
        <w:t xml:space="preserve">The Commonwealth, in partnership with Queensland, New South Wales and Austroads </w:t>
      </w:r>
      <w:r>
        <w:t>examined</w:t>
      </w:r>
      <w:r w:rsidRPr="00F64166">
        <w:t xml:space="preserve"> possible C-ITS deployment models for</w:t>
      </w:r>
      <w:r>
        <w:t xml:space="preserve"> Australia</w:t>
      </w:r>
      <w:r>
        <w:rPr>
          <w:rStyle w:val="FootnoteReference"/>
        </w:rPr>
        <w:footnoteReference w:id="4"/>
      </w:r>
      <w:r>
        <w:t>, and t</w:t>
      </w:r>
      <w:r>
        <w:rPr>
          <w:lang w:val="en-US"/>
        </w:rPr>
        <w:t>he</w:t>
      </w:r>
      <w:r w:rsidRPr="005120A8">
        <w:rPr>
          <w:lang w:val="en-US"/>
        </w:rPr>
        <w:t xml:space="preserve"> </w:t>
      </w:r>
      <w:r>
        <w:rPr>
          <w:lang w:val="en-US"/>
        </w:rPr>
        <w:t>[</w:t>
      </w:r>
      <w:r w:rsidRPr="00F64166">
        <w:rPr>
          <w:i/>
          <w:highlight w:val="cyan"/>
        </w:rPr>
        <w:t>Principles for a National Approach to C</w:t>
      </w:r>
      <w:r>
        <w:rPr>
          <w:i/>
          <w:highlight w:val="cyan"/>
        </w:rPr>
        <w:noBreakHyphen/>
      </w:r>
      <w:r w:rsidRPr="00F64166">
        <w:rPr>
          <w:i/>
          <w:highlight w:val="cyan"/>
        </w:rPr>
        <w:t>ITS in Australia</w:t>
      </w:r>
      <w:r w:rsidRPr="00F64166">
        <w:rPr>
          <w:highlight w:val="cyan"/>
        </w:rPr>
        <w:t xml:space="preserve"> </w:t>
      </w:r>
      <w:r>
        <w:rPr>
          <w:highlight w:val="cyan"/>
        </w:rPr>
        <w:t>were</w:t>
      </w:r>
      <w:r w:rsidRPr="00F64166">
        <w:rPr>
          <w:highlight w:val="cyan"/>
        </w:rPr>
        <w:t xml:space="preserve"> endorsed by Infrastructure and Transport Ministers</w:t>
      </w:r>
      <w:r>
        <w:rPr>
          <w:highlight w:val="cyan"/>
        </w:rPr>
        <w:t>]</w:t>
      </w:r>
      <w:r w:rsidRPr="0070551D">
        <w:rPr>
          <w:rStyle w:val="FootnoteReference"/>
          <w:i/>
          <w:highlight w:val="cyan"/>
        </w:rPr>
        <w:t xml:space="preserve"> </w:t>
      </w:r>
      <w:r>
        <w:rPr>
          <w:rStyle w:val="FootnoteReference"/>
          <w:i/>
          <w:highlight w:val="cyan"/>
        </w:rPr>
        <w:footnoteReference w:id="5"/>
      </w:r>
      <w:r>
        <w:t xml:space="preserve"> to help guide future work on establishing C-ITS in Australia.</w:t>
      </w:r>
      <w:r>
        <w:rPr>
          <w:lang w:val="en-US"/>
        </w:rPr>
        <w:t xml:space="preserve"> An [</w:t>
      </w:r>
      <w:proofErr w:type="spellStart"/>
      <w:r w:rsidRPr="00F64166">
        <w:rPr>
          <w:highlight w:val="cyan"/>
          <w:lang w:val="en-US"/>
        </w:rPr>
        <w:t>iMOVE</w:t>
      </w:r>
      <w:proofErr w:type="spellEnd"/>
      <w:r w:rsidRPr="00F64166">
        <w:rPr>
          <w:highlight w:val="cyan"/>
          <w:lang w:val="en-US"/>
        </w:rPr>
        <w:t xml:space="preserve"> </w:t>
      </w:r>
      <w:r>
        <w:rPr>
          <w:highlight w:val="cyan"/>
          <w:lang w:val="en-US"/>
        </w:rPr>
        <w:t>project that examined</w:t>
      </w:r>
      <w:r w:rsidRPr="00F64166">
        <w:rPr>
          <w:highlight w:val="cyan"/>
        </w:rPr>
        <w:t xml:space="preserve"> specific issues relating to </w:t>
      </w:r>
      <w:r>
        <w:rPr>
          <w:highlight w:val="cyan"/>
        </w:rPr>
        <w:t xml:space="preserve">C-ITS </w:t>
      </w:r>
      <w:r w:rsidRPr="00F64166">
        <w:rPr>
          <w:highlight w:val="cyan"/>
        </w:rPr>
        <w:t>short-range communications</w:t>
      </w:r>
      <w:r>
        <w:rPr>
          <w:highlight w:val="cyan"/>
        </w:rPr>
        <w:t>, and associated standards</w:t>
      </w:r>
      <w:r>
        <w:rPr>
          <w:rStyle w:val="FootnoteReference"/>
          <w:highlight w:val="cyan"/>
        </w:rPr>
        <w:footnoteReference w:id="6"/>
      </w:r>
      <w:r>
        <w:rPr>
          <w:highlight w:val="cyan"/>
        </w:rPr>
        <w:t>]</w:t>
      </w:r>
      <w:r>
        <w:t xml:space="preserve"> is </w:t>
      </w:r>
      <w:r>
        <w:rPr>
          <w:lang w:val="en-US"/>
        </w:rPr>
        <w:t>also helping to inform C-ITS next steps.</w:t>
      </w:r>
    </w:p>
    <w:p w14:paraId="2D6D62B2" w14:textId="77777777" w:rsidR="00290219" w:rsidRDefault="00290219" w:rsidP="00290219">
      <w:pPr>
        <w:spacing w:after="120"/>
        <w:rPr>
          <w:lang w:val="en-US"/>
        </w:rPr>
      </w:pPr>
      <w:r w:rsidRPr="00F64166">
        <w:t>The National Transport Commission (NTC)</w:t>
      </w:r>
      <w:r>
        <w:t>, in partnership with Austroads,</w:t>
      </w:r>
      <w:r w:rsidRPr="00F64166">
        <w:t xml:space="preserve"> published the </w:t>
      </w:r>
      <w:r w:rsidRPr="00EF2FCA">
        <w:rPr>
          <w:i/>
        </w:rPr>
        <w:t>Guidelines for Trials of Automated Vehicles in Australia</w:t>
      </w:r>
      <w:r>
        <w:rPr>
          <w:i/>
        </w:rPr>
        <w:t xml:space="preserve"> </w:t>
      </w:r>
      <w:r w:rsidRPr="00F64166">
        <w:t>and consolidated information for CAV trial applicants</w:t>
      </w:r>
      <w:r>
        <w:t xml:space="preserve"> through</w:t>
      </w:r>
      <w:r w:rsidRPr="00F64166">
        <w:t xml:space="preserve"> a</w:t>
      </w:r>
      <w:r>
        <w:t>n</w:t>
      </w:r>
      <w:r w:rsidRPr="00F64166">
        <w:t xml:space="preserve"> online information hub.</w:t>
      </w:r>
      <w:r w:rsidRPr="00EF2FCA">
        <w:rPr>
          <w:rStyle w:val="FootnoteReference"/>
          <w:i/>
        </w:rPr>
        <w:t xml:space="preserve"> </w:t>
      </w:r>
      <w:r>
        <w:rPr>
          <w:rStyle w:val="FootnoteReference"/>
          <w:i/>
        </w:rPr>
        <w:footnoteReference w:id="7"/>
      </w:r>
      <w:r>
        <w:t xml:space="preserve"> </w:t>
      </w:r>
      <w:proofErr w:type="spellStart"/>
      <w:r>
        <w:rPr>
          <w:lang w:val="en-US"/>
        </w:rPr>
        <w:t>Austroads</w:t>
      </w:r>
      <w:proofErr w:type="spellEnd"/>
      <w:r>
        <w:rPr>
          <w:lang w:val="en-US"/>
        </w:rPr>
        <w:t xml:space="preserve"> developed an online portal to consolidate lessons learned from Australian CAV trials.</w:t>
      </w:r>
      <w:r>
        <w:rPr>
          <w:rStyle w:val="FootnoteReference"/>
          <w:lang w:val="en-US"/>
        </w:rPr>
        <w:footnoteReference w:id="8"/>
      </w:r>
      <w:r>
        <w:rPr>
          <w:lang w:val="en-US"/>
        </w:rPr>
        <w:t xml:space="preserve"> </w:t>
      </w:r>
      <w:r w:rsidRPr="00F64166">
        <w:rPr>
          <w:lang w:val="en-US"/>
        </w:rPr>
        <w:t>All states and territories have trialed CAVs</w:t>
      </w:r>
      <w:r>
        <w:rPr>
          <w:lang w:val="en-US"/>
        </w:rPr>
        <w:t xml:space="preserve">, and </w:t>
      </w:r>
      <w:r w:rsidRPr="00F64166">
        <w:rPr>
          <w:lang w:val="en-US"/>
        </w:rPr>
        <w:t>Queensland, New South Wales and Victoria have also trialed C-ITS</w:t>
      </w:r>
      <w:r>
        <w:rPr>
          <w:lang w:val="en-US"/>
        </w:rPr>
        <w:t xml:space="preserve">. </w:t>
      </w:r>
      <w:r w:rsidRPr="00F64166">
        <w:rPr>
          <w:lang w:val="en-US"/>
        </w:rPr>
        <w:t>Trials have grown in size and complexity with Queensland</w:t>
      </w:r>
      <w:r>
        <w:rPr>
          <w:lang w:val="en-US"/>
        </w:rPr>
        <w:t xml:space="preserve"> undertaking the largest on-road CAV and C-ITS trial to date – this also included a pilot of a Security Credential Management System for C-ITS that makes sure the messages exchanged with and between vehicles and/or infrastructure are genuine. </w:t>
      </w:r>
    </w:p>
    <w:p w14:paraId="58701F61" w14:textId="77777777" w:rsidR="00290219" w:rsidRDefault="00290219" w:rsidP="00290219">
      <w:pPr>
        <w:spacing w:after="120"/>
        <w:rPr>
          <w:lang w:val="en-US"/>
        </w:rPr>
      </w:pPr>
      <w:r>
        <w:rPr>
          <w:lang w:val="en-US"/>
        </w:rPr>
        <w:t xml:space="preserve">The </w:t>
      </w:r>
      <w:proofErr w:type="spellStart"/>
      <w:r>
        <w:rPr>
          <w:lang w:val="en-US"/>
        </w:rPr>
        <w:t>Austroads</w:t>
      </w:r>
      <w:proofErr w:type="spellEnd"/>
      <w:r>
        <w:rPr>
          <w:lang w:val="en-US"/>
        </w:rPr>
        <w:t xml:space="preserve"> Future Vehicles and Technology (</w:t>
      </w:r>
      <w:proofErr w:type="spellStart"/>
      <w:r>
        <w:rPr>
          <w:lang w:val="en-US"/>
        </w:rPr>
        <w:t>FVaT</w:t>
      </w:r>
      <w:proofErr w:type="spellEnd"/>
      <w:r>
        <w:rPr>
          <w:lang w:val="en-US"/>
        </w:rPr>
        <w:t>) Program is working on the digital and physical infrastructure and data needs of CAVs, and the Australian and New Zealand Governments have delivered</w:t>
      </w:r>
      <w:r w:rsidRPr="00F64166">
        <w:rPr>
          <w:lang w:val="en-US"/>
        </w:rPr>
        <w:t xml:space="preserve"> </w:t>
      </w:r>
      <w:proofErr w:type="spellStart"/>
      <w:r w:rsidRPr="00F64166">
        <w:rPr>
          <w:lang w:val="en-US"/>
        </w:rPr>
        <w:t>SouthPAN</w:t>
      </w:r>
      <w:proofErr w:type="spellEnd"/>
      <w:r>
        <w:rPr>
          <w:lang w:val="en-US"/>
        </w:rPr>
        <w:t xml:space="preserve"> that provides satellite positioning accuracy nationally potentially capable of supporting CAV operation.</w:t>
      </w:r>
      <w:r>
        <w:rPr>
          <w:rStyle w:val="FootnoteReference"/>
          <w:lang w:val="en-US"/>
        </w:rPr>
        <w:footnoteReference w:id="9"/>
      </w:r>
    </w:p>
    <w:p w14:paraId="6070A879" w14:textId="77777777" w:rsidR="00290219" w:rsidRPr="00F64166" w:rsidRDefault="00290219" w:rsidP="00DF341D">
      <w:pPr>
        <w:pStyle w:val="Heading1"/>
        <w:spacing w:before="360"/>
        <w:rPr>
          <w:lang w:val="en-US"/>
        </w:rPr>
      </w:pPr>
      <w:bookmarkStart w:id="2" w:name="_Toc148430723"/>
      <w:r w:rsidRPr="00F64166">
        <w:rPr>
          <w:lang w:val="en-US"/>
        </w:rPr>
        <w:lastRenderedPageBreak/>
        <w:t>Key priorities</w:t>
      </w:r>
      <w:r>
        <w:rPr>
          <w:lang w:val="en-US"/>
        </w:rPr>
        <w:t xml:space="preserve"> for 2024-27</w:t>
      </w:r>
      <w:bookmarkEnd w:id="2"/>
    </w:p>
    <w:p w14:paraId="5CFC1ACC" w14:textId="77777777" w:rsidR="00290219" w:rsidRDefault="00290219" w:rsidP="00290219">
      <w:pPr>
        <w:rPr>
          <w:lang w:val="en-US"/>
        </w:rPr>
      </w:pPr>
      <w:r>
        <w:rPr>
          <w:lang w:val="en-US"/>
        </w:rPr>
        <w:t>CAVs, including C-ITS, are the key currently emerging road transport technologies and were the main focus of the last two action plans. This 2024-27 Action Plan makes this focus explicit.</w:t>
      </w:r>
    </w:p>
    <w:p w14:paraId="4E9CF314" w14:textId="77777777" w:rsidR="00290219" w:rsidRDefault="00290219" w:rsidP="00290219">
      <w:pPr>
        <w:rPr>
          <w:lang w:val="en-US"/>
        </w:rPr>
      </w:pPr>
      <w:r>
        <w:rPr>
          <w:lang w:val="en-US"/>
        </w:rPr>
        <w:t xml:space="preserve">The 2024-27 Action Plan sets out </w:t>
      </w:r>
      <w:r w:rsidRPr="00BA7752">
        <w:rPr>
          <w:b/>
        </w:rPr>
        <w:t>national priority actions that the Commonwealth, states and territories will work together to implement</w:t>
      </w:r>
      <w:r>
        <w:rPr>
          <w:lang w:val="en-US"/>
        </w:rPr>
        <w:t xml:space="preserve"> that can take Australia forward to deployment of CAVs. </w:t>
      </w:r>
    </w:p>
    <w:p w14:paraId="7626207A" w14:textId="77777777" w:rsidR="00290219" w:rsidRDefault="00290219" w:rsidP="00290219">
      <w:pPr>
        <w:spacing w:after="120"/>
        <w:rPr>
          <w:lang w:val="en-US"/>
        </w:rPr>
      </w:pPr>
      <w:r>
        <w:rPr>
          <w:lang w:val="en-US"/>
        </w:rPr>
        <w:t>The key priorities for the Action Plan are to:</w:t>
      </w:r>
    </w:p>
    <w:p w14:paraId="2FB8DCD6" w14:textId="77777777" w:rsidR="00290219" w:rsidRDefault="00290219" w:rsidP="00290219">
      <w:pPr>
        <w:pStyle w:val="ListParagraph"/>
        <w:numPr>
          <w:ilvl w:val="0"/>
          <w:numId w:val="36"/>
        </w:numPr>
        <w:spacing w:line="259" w:lineRule="auto"/>
        <w:rPr>
          <w:lang w:val="en-US"/>
        </w:rPr>
      </w:pPr>
      <w:r>
        <w:rPr>
          <w:lang w:val="en-US"/>
        </w:rPr>
        <w:t>complete the work underway to establish the</w:t>
      </w:r>
      <w:r w:rsidRPr="001B5C4B">
        <w:rPr>
          <w:lang w:val="en-US"/>
        </w:rPr>
        <w:t xml:space="preserve"> end-to-end</w:t>
      </w:r>
      <w:r>
        <w:rPr>
          <w:lang w:val="en-US"/>
        </w:rPr>
        <w:t xml:space="preserve"> AV</w:t>
      </w:r>
      <w:r w:rsidRPr="001B5C4B">
        <w:rPr>
          <w:lang w:val="en-US"/>
        </w:rPr>
        <w:t xml:space="preserve"> regulatory framework for the safe commercial deployment of AVs in Australia</w:t>
      </w:r>
    </w:p>
    <w:p w14:paraId="61FCC299" w14:textId="77777777" w:rsidR="00290219" w:rsidRDefault="00290219" w:rsidP="00290219">
      <w:pPr>
        <w:pStyle w:val="ListParagraph"/>
        <w:numPr>
          <w:ilvl w:val="0"/>
          <w:numId w:val="36"/>
        </w:numPr>
        <w:spacing w:line="259" w:lineRule="auto"/>
        <w:rPr>
          <w:lang w:val="en-US"/>
        </w:rPr>
      </w:pPr>
      <w:r>
        <w:rPr>
          <w:lang w:val="en-US"/>
        </w:rPr>
        <w:t>further advance nationally consistent C-ITS deployment in Australia, and</w:t>
      </w:r>
    </w:p>
    <w:p w14:paraId="38C26503" w14:textId="77777777" w:rsidR="00290219" w:rsidRPr="00D45040" w:rsidRDefault="00290219" w:rsidP="00290219">
      <w:pPr>
        <w:pStyle w:val="ListParagraph"/>
        <w:numPr>
          <w:ilvl w:val="0"/>
          <w:numId w:val="36"/>
        </w:numPr>
        <w:spacing w:line="259" w:lineRule="auto"/>
        <w:rPr>
          <w:lang w:val="en-US"/>
        </w:rPr>
      </w:pPr>
      <w:r w:rsidRPr="00D45040">
        <w:rPr>
          <w:lang w:val="en-US"/>
        </w:rPr>
        <w:t>consider cross-cutting issues including data sharing, workforce impacts, supporting infrastructure and accessibility and sustainability issues.</w:t>
      </w:r>
    </w:p>
    <w:p w14:paraId="14AA007B" w14:textId="77777777" w:rsidR="00290219" w:rsidRDefault="00290219" w:rsidP="00290219">
      <w:pPr>
        <w:rPr>
          <w:lang w:val="en-US"/>
        </w:rPr>
      </w:pPr>
      <w:r>
        <w:rPr>
          <w:lang w:val="en-US"/>
        </w:rPr>
        <w:t>Alongside work underway by states and territories,</w:t>
      </w:r>
      <w:r>
        <w:rPr>
          <w:rStyle w:val="FootnoteReference"/>
          <w:lang w:val="en-US"/>
        </w:rPr>
        <w:footnoteReference w:id="10"/>
      </w:r>
      <w:r>
        <w:rPr>
          <w:lang w:val="en-US"/>
        </w:rPr>
        <w:t xml:space="preserve"> the Action Plan also aims to address AV readiness gaps identified in the National Transport Commission’s</w:t>
      </w:r>
      <w:r w:rsidRPr="00E61BB4">
        <w:rPr>
          <w:highlight w:val="cyan"/>
          <w:lang w:val="en-US"/>
        </w:rPr>
        <w:t xml:space="preserve"> </w:t>
      </w:r>
      <w:r>
        <w:rPr>
          <w:highlight w:val="cyan"/>
          <w:lang w:val="en-US"/>
        </w:rPr>
        <w:t>[</w:t>
      </w:r>
      <w:r w:rsidRPr="004E06C5">
        <w:rPr>
          <w:i/>
          <w:highlight w:val="cyan"/>
          <w:lang w:val="en-US"/>
        </w:rPr>
        <w:t>AV Readiness Report</w:t>
      </w:r>
      <w:r>
        <w:rPr>
          <w:rStyle w:val="FootnoteReference"/>
          <w:highlight w:val="cyan"/>
          <w:lang w:val="en-US"/>
        </w:rPr>
        <w:footnoteReference w:id="11"/>
      </w:r>
      <w:r>
        <w:rPr>
          <w:i/>
          <w:highlight w:val="cyan"/>
          <w:lang w:val="en-US"/>
        </w:rPr>
        <w:t>]</w:t>
      </w:r>
      <w:r>
        <w:rPr>
          <w:highlight w:val="cyan"/>
          <w:lang w:val="en-US"/>
        </w:rPr>
        <w:t xml:space="preserve"> </w:t>
      </w:r>
      <w:r w:rsidRPr="00D076EF">
        <w:rPr>
          <w:lang w:val="en-US"/>
        </w:rPr>
        <w:t>that span across the areas of</w:t>
      </w:r>
      <w:r>
        <w:rPr>
          <w:lang w:val="en-US"/>
        </w:rPr>
        <w:t>:</w:t>
      </w:r>
    </w:p>
    <w:p w14:paraId="58E120BC" w14:textId="77777777" w:rsidR="00290219" w:rsidRDefault="00290219" w:rsidP="00290219">
      <w:pPr>
        <w:pStyle w:val="ListParagraph"/>
        <w:numPr>
          <w:ilvl w:val="0"/>
          <w:numId w:val="38"/>
        </w:numPr>
        <w:spacing w:after="160" w:line="259" w:lineRule="auto"/>
        <w:rPr>
          <w:lang w:val="en-US"/>
        </w:rPr>
      </w:pPr>
      <w:r w:rsidRPr="00387253">
        <w:rPr>
          <w:lang w:val="en-US"/>
        </w:rPr>
        <w:t>Policy and legislation</w:t>
      </w:r>
    </w:p>
    <w:p w14:paraId="4FB1B306" w14:textId="77777777" w:rsidR="00290219" w:rsidRDefault="00290219" w:rsidP="00290219">
      <w:pPr>
        <w:pStyle w:val="ListParagraph"/>
        <w:numPr>
          <w:ilvl w:val="0"/>
          <w:numId w:val="38"/>
        </w:numPr>
        <w:spacing w:after="160" w:line="259" w:lineRule="auto"/>
        <w:rPr>
          <w:lang w:val="en-US"/>
        </w:rPr>
      </w:pPr>
      <w:r w:rsidRPr="00387253">
        <w:rPr>
          <w:lang w:val="en-US"/>
        </w:rPr>
        <w:t>Technology and innovation</w:t>
      </w:r>
    </w:p>
    <w:p w14:paraId="6F2DC824" w14:textId="77777777" w:rsidR="00290219" w:rsidRDefault="00290219" w:rsidP="00290219">
      <w:pPr>
        <w:pStyle w:val="ListParagraph"/>
        <w:numPr>
          <w:ilvl w:val="0"/>
          <w:numId w:val="38"/>
        </w:numPr>
        <w:spacing w:after="160" w:line="259" w:lineRule="auto"/>
        <w:rPr>
          <w:lang w:val="en-US"/>
        </w:rPr>
      </w:pPr>
      <w:r w:rsidRPr="00387253">
        <w:rPr>
          <w:lang w:val="en-US"/>
        </w:rPr>
        <w:t>Infrastructure, and</w:t>
      </w:r>
    </w:p>
    <w:p w14:paraId="4A63FA8C" w14:textId="2E9589A2" w:rsidR="00290219" w:rsidRPr="00BA7752" w:rsidRDefault="00290219" w:rsidP="00290219">
      <w:pPr>
        <w:pStyle w:val="ListParagraph"/>
        <w:numPr>
          <w:ilvl w:val="0"/>
          <w:numId w:val="38"/>
        </w:numPr>
        <w:spacing w:after="160" w:line="259" w:lineRule="auto"/>
        <w:rPr>
          <w:lang w:val="en-US"/>
        </w:rPr>
      </w:pPr>
      <w:r w:rsidRPr="00387253">
        <w:rPr>
          <w:lang w:val="en-US"/>
        </w:rPr>
        <w:t>Business and community acceptance.</w:t>
      </w:r>
    </w:p>
    <w:p w14:paraId="788FB53B" w14:textId="77777777" w:rsidR="00290219" w:rsidRPr="00657DE1" w:rsidRDefault="00290219" w:rsidP="00290219">
      <w:pPr>
        <w:rPr>
          <w:lang w:val="en-US"/>
        </w:rPr>
      </w:pPr>
      <w:r>
        <w:t>Each action in this Action Plan references back to the relevant readiness pillar identified in the AV Readiness Report.</w:t>
      </w:r>
    </w:p>
    <w:p w14:paraId="3C28999C" w14:textId="77777777" w:rsidR="00290219" w:rsidRPr="00F64166" w:rsidRDefault="00290219" w:rsidP="00DF341D">
      <w:pPr>
        <w:pStyle w:val="Heading1"/>
        <w:spacing w:before="360"/>
        <w:rPr>
          <w:lang w:val="en-US"/>
        </w:rPr>
      </w:pPr>
      <w:bookmarkStart w:id="3" w:name="_Toc148430724"/>
      <w:r w:rsidRPr="00F64166">
        <w:rPr>
          <w:lang w:val="en-US"/>
        </w:rPr>
        <w:t>Structure</w:t>
      </w:r>
      <w:bookmarkEnd w:id="3"/>
    </w:p>
    <w:p w14:paraId="7C99D534" w14:textId="77777777" w:rsidR="00290219" w:rsidRDefault="00290219" w:rsidP="00290219">
      <w:pPr>
        <w:rPr>
          <w:lang w:val="en-US"/>
        </w:rPr>
      </w:pPr>
      <w:r>
        <w:rPr>
          <w:lang w:val="en-US"/>
        </w:rPr>
        <w:t xml:space="preserve">The Action Plan is structured around three workstreams: vehicle automation, vehicle connectivity and cross-cutting actions to support CAVs. It sets out the lead jurisdiction or agency for each action, and timing for completing the action. It also indicates where each action fits in the technology deployment cycle (see diagram 1 and explanatory text below) and </w:t>
      </w:r>
      <w:r w:rsidRPr="00D076EF">
        <w:rPr>
          <w:lang w:val="en-US"/>
        </w:rPr>
        <w:t>the relevant area of readiness taken from the AV Readiness Report. While the AV Readiness Report applies to AVs, the areas of readiness from the report have broader applicability and provide a useful, alternative lens for grouping actions in the Action Plan.</w:t>
      </w:r>
      <w:r>
        <w:rPr>
          <w:lang w:val="en-US"/>
        </w:rPr>
        <w:t xml:space="preserve"> </w:t>
      </w:r>
    </w:p>
    <w:p w14:paraId="34951C6F" w14:textId="77777777" w:rsidR="002E4AB0" w:rsidRDefault="002E4AB0" w:rsidP="00290219">
      <w:pPr>
        <w:rPr>
          <w:lang w:val="en-US"/>
        </w:rPr>
      </w:pPr>
      <w:r w:rsidRPr="00290219">
        <w:rPr>
          <w:b/>
        </w:rPr>
        <w:t>Diagram 1: Technology deployment lifecycle</w:t>
      </w:r>
    </w:p>
    <w:p w14:paraId="5770A192" w14:textId="77777777" w:rsidR="00290219" w:rsidRDefault="00290219" w:rsidP="00290219">
      <w:pPr>
        <w:rPr>
          <w:b/>
          <w:lang w:val="en-US"/>
        </w:rPr>
      </w:pPr>
      <w:r>
        <w:rPr>
          <w:b/>
          <w:noProof/>
          <w:lang w:eastAsia="en-AU"/>
        </w:rPr>
        <w:drawing>
          <wp:inline distT="0" distB="0" distL="0" distR="0" wp14:anchorId="61C7F1A3" wp14:editId="4E8DE5BD">
            <wp:extent cx="5915025" cy="1314450"/>
            <wp:effectExtent l="0" t="0" r="0" b="0"/>
            <wp:docPr id="7" name="Diagram 7" descr="Diagram of the technology deployment lifecycle featuring six circles in a line from left to right across the page. Each circle represents a stage of the technology deployment cycle in the following order: Research and develop, Test/trial, Prepare to deploy, Deploy, Manage/maintain, and Transition and reti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6F33050" w14:textId="77777777" w:rsidR="00290219" w:rsidRDefault="00290219" w:rsidP="00290219">
      <w:pPr>
        <w:pStyle w:val="CommentText"/>
        <w:spacing w:line="259" w:lineRule="auto"/>
        <w:rPr>
          <w:sz w:val="22"/>
          <w:szCs w:val="22"/>
          <w:lang w:val="en-US"/>
        </w:rPr>
      </w:pPr>
      <w:r w:rsidRPr="00E47A86">
        <w:rPr>
          <w:sz w:val="22"/>
          <w:szCs w:val="22"/>
          <w:lang w:val="en-US"/>
        </w:rPr>
        <w:t xml:space="preserve">The </w:t>
      </w:r>
      <w:r>
        <w:rPr>
          <w:sz w:val="22"/>
          <w:szCs w:val="22"/>
          <w:lang w:val="en-US"/>
        </w:rPr>
        <w:t>A</w:t>
      </w:r>
      <w:r w:rsidRPr="00E47A86">
        <w:rPr>
          <w:sz w:val="22"/>
          <w:szCs w:val="22"/>
          <w:lang w:val="en-US"/>
        </w:rPr>
        <w:t xml:space="preserve">ction </w:t>
      </w:r>
      <w:r>
        <w:rPr>
          <w:sz w:val="22"/>
          <w:szCs w:val="22"/>
          <w:lang w:val="en-US"/>
        </w:rPr>
        <w:t>P</w:t>
      </w:r>
      <w:r w:rsidRPr="00E47A86">
        <w:rPr>
          <w:sz w:val="22"/>
          <w:szCs w:val="22"/>
          <w:lang w:val="en-US"/>
        </w:rPr>
        <w:t xml:space="preserve">lan identifies and maps the actions across the stages of the technology deployment lifecycle to </w:t>
      </w:r>
      <w:r>
        <w:rPr>
          <w:sz w:val="22"/>
          <w:szCs w:val="22"/>
          <w:lang w:val="en-US"/>
        </w:rPr>
        <w:t>show</w:t>
      </w:r>
      <w:r w:rsidRPr="00E47A86">
        <w:rPr>
          <w:sz w:val="22"/>
          <w:szCs w:val="22"/>
          <w:lang w:val="en-US"/>
        </w:rPr>
        <w:t xml:space="preserve"> how close the technology is to deployment</w:t>
      </w:r>
      <w:r>
        <w:rPr>
          <w:sz w:val="22"/>
          <w:szCs w:val="22"/>
          <w:lang w:val="en-US"/>
        </w:rPr>
        <w:t>:</w:t>
      </w:r>
    </w:p>
    <w:p w14:paraId="0A91317A" w14:textId="77777777" w:rsidR="00290219" w:rsidRDefault="00290219" w:rsidP="00290219">
      <w:pPr>
        <w:pStyle w:val="CommentText"/>
        <w:numPr>
          <w:ilvl w:val="0"/>
          <w:numId w:val="37"/>
        </w:numPr>
        <w:spacing w:line="259" w:lineRule="auto"/>
        <w:rPr>
          <w:sz w:val="22"/>
          <w:szCs w:val="22"/>
          <w:lang w:val="en-US"/>
        </w:rPr>
      </w:pPr>
      <w:r w:rsidRPr="00E47A86">
        <w:rPr>
          <w:sz w:val="22"/>
          <w:szCs w:val="22"/>
          <w:lang w:val="en-US"/>
        </w:rPr>
        <w:t xml:space="preserve">The research and development stage </w:t>
      </w:r>
      <w:proofErr w:type="gramStart"/>
      <w:r w:rsidRPr="00E47A86">
        <w:rPr>
          <w:sz w:val="22"/>
          <w:szCs w:val="22"/>
          <w:lang w:val="en-US"/>
        </w:rPr>
        <w:t>considers</w:t>
      </w:r>
      <w:proofErr w:type="gramEnd"/>
      <w:r w:rsidRPr="00E47A86">
        <w:rPr>
          <w:sz w:val="22"/>
          <w:szCs w:val="22"/>
          <w:lang w:val="en-US"/>
        </w:rPr>
        <w:t xml:space="preserve"> the emerging opportunities, and cost</w:t>
      </w:r>
      <w:r>
        <w:rPr>
          <w:sz w:val="22"/>
          <w:szCs w:val="22"/>
          <w:lang w:val="en-US"/>
        </w:rPr>
        <w:t>s</w:t>
      </w:r>
      <w:r w:rsidRPr="00E47A86">
        <w:rPr>
          <w:sz w:val="22"/>
          <w:szCs w:val="22"/>
          <w:lang w:val="en-US"/>
        </w:rPr>
        <w:t xml:space="preserve"> and benefits of deployment. </w:t>
      </w:r>
    </w:p>
    <w:p w14:paraId="7F23C293" w14:textId="77777777" w:rsidR="00290219" w:rsidRDefault="00290219" w:rsidP="00290219">
      <w:pPr>
        <w:pStyle w:val="CommentText"/>
        <w:numPr>
          <w:ilvl w:val="0"/>
          <w:numId w:val="37"/>
        </w:numPr>
        <w:spacing w:line="259" w:lineRule="auto"/>
        <w:rPr>
          <w:sz w:val="22"/>
          <w:szCs w:val="22"/>
          <w:lang w:val="en-US"/>
        </w:rPr>
      </w:pPr>
      <w:r w:rsidRPr="00E47A86">
        <w:rPr>
          <w:sz w:val="22"/>
          <w:szCs w:val="22"/>
          <w:lang w:val="en-US"/>
        </w:rPr>
        <w:lastRenderedPageBreak/>
        <w:t>Trials</w:t>
      </w:r>
      <w:r>
        <w:rPr>
          <w:sz w:val="22"/>
          <w:szCs w:val="22"/>
          <w:lang w:val="en-US"/>
        </w:rPr>
        <w:t>/pilots</w:t>
      </w:r>
      <w:r w:rsidRPr="00E47A86">
        <w:rPr>
          <w:sz w:val="22"/>
          <w:szCs w:val="22"/>
          <w:lang w:val="en-US"/>
        </w:rPr>
        <w:t xml:space="preserve"> are used to test solutions, confirm cost and benefit assumptions, and ensure that the opportunity meets the objectives and end-user needs. </w:t>
      </w:r>
    </w:p>
    <w:p w14:paraId="19EC7685" w14:textId="77777777" w:rsidR="00290219" w:rsidRDefault="00290219" w:rsidP="00290219">
      <w:pPr>
        <w:pStyle w:val="CommentText"/>
        <w:numPr>
          <w:ilvl w:val="0"/>
          <w:numId w:val="37"/>
        </w:numPr>
        <w:spacing w:line="259" w:lineRule="auto"/>
        <w:rPr>
          <w:sz w:val="22"/>
          <w:szCs w:val="22"/>
          <w:lang w:val="en-US"/>
        </w:rPr>
      </w:pPr>
      <w:r w:rsidRPr="00E47A86">
        <w:rPr>
          <w:sz w:val="22"/>
          <w:szCs w:val="22"/>
          <w:lang w:val="en-US"/>
        </w:rPr>
        <w:t>Preparing to deploy may include development of supportive policy, regulation</w:t>
      </w:r>
      <w:r>
        <w:rPr>
          <w:sz w:val="22"/>
          <w:szCs w:val="22"/>
          <w:lang w:val="en-US"/>
        </w:rPr>
        <w:t>, standards, guidelines, specifications</w:t>
      </w:r>
      <w:r w:rsidRPr="00E47A86">
        <w:rPr>
          <w:sz w:val="22"/>
          <w:szCs w:val="22"/>
          <w:lang w:val="en-US"/>
        </w:rPr>
        <w:t xml:space="preserve"> and investment strategies, and enabling digital and physical infrastructure</w:t>
      </w:r>
      <w:r>
        <w:rPr>
          <w:sz w:val="22"/>
          <w:szCs w:val="22"/>
          <w:lang w:val="en-US"/>
        </w:rPr>
        <w:t xml:space="preserve"> development</w:t>
      </w:r>
      <w:r w:rsidRPr="00E47A86">
        <w:rPr>
          <w:sz w:val="22"/>
          <w:szCs w:val="22"/>
          <w:lang w:val="en-US"/>
        </w:rPr>
        <w:t xml:space="preserve"> to support deployment. </w:t>
      </w:r>
    </w:p>
    <w:p w14:paraId="1F8B7C33" w14:textId="77777777" w:rsidR="00290219" w:rsidRDefault="00290219" w:rsidP="00290219">
      <w:pPr>
        <w:pStyle w:val="CommentText"/>
        <w:numPr>
          <w:ilvl w:val="0"/>
          <w:numId w:val="37"/>
        </w:numPr>
        <w:spacing w:line="259" w:lineRule="auto"/>
        <w:rPr>
          <w:sz w:val="22"/>
          <w:szCs w:val="22"/>
          <w:lang w:val="en-US"/>
        </w:rPr>
      </w:pPr>
      <w:r w:rsidRPr="00E47A86">
        <w:rPr>
          <w:sz w:val="22"/>
          <w:szCs w:val="22"/>
          <w:lang w:val="en-US"/>
        </w:rPr>
        <w:t xml:space="preserve">Deployment moves the solution into production, with an opportunity to evaluate, harden and extend services during the </w:t>
      </w:r>
      <w:r>
        <w:rPr>
          <w:sz w:val="22"/>
          <w:szCs w:val="22"/>
          <w:lang w:val="en-US"/>
        </w:rPr>
        <w:t xml:space="preserve">manage and </w:t>
      </w:r>
      <w:r w:rsidRPr="00E47A86">
        <w:rPr>
          <w:sz w:val="22"/>
          <w:szCs w:val="22"/>
          <w:lang w:val="en-US"/>
        </w:rPr>
        <w:t>maint</w:t>
      </w:r>
      <w:r>
        <w:rPr>
          <w:sz w:val="22"/>
          <w:szCs w:val="22"/>
          <w:lang w:val="en-US"/>
        </w:rPr>
        <w:t>ain</w:t>
      </w:r>
      <w:r w:rsidRPr="00E47A86">
        <w:rPr>
          <w:sz w:val="22"/>
          <w:szCs w:val="22"/>
          <w:lang w:val="en-US"/>
        </w:rPr>
        <w:t xml:space="preserve"> phase. </w:t>
      </w:r>
    </w:p>
    <w:p w14:paraId="452866A0" w14:textId="77777777" w:rsidR="00290219" w:rsidRDefault="00290219" w:rsidP="00290219">
      <w:pPr>
        <w:pStyle w:val="CommentText"/>
        <w:numPr>
          <w:ilvl w:val="0"/>
          <w:numId w:val="37"/>
        </w:numPr>
        <w:spacing w:line="259" w:lineRule="auto"/>
        <w:rPr>
          <w:sz w:val="22"/>
          <w:szCs w:val="22"/>
          <w:lang w:val="en-US"/>
        </w:rPr>
      </w:pPr>
      <w:r w:rsidRPr="00E47A86">
        <w:rPr>
          <w:sz w:val="22"/>
          <w:szCs w:val="22"/>
          <w:lang w:val="en-US"/>
        </w:rPr>
        <w:t xml:space="preserve">The transition and retire stage </w:t>
      </w:r>
      <w:proofErr w:type="gramStart"/>
      <w:r w:rsidRPr="00E47A86">
        <w:rPr>
          <w:sz w:val="22"/>
          <w:szCs w:val="22"/>
          <w:lang w:val="en-US"/>
        </w:rPr>
        <w:t>prepares</w:t>
      </w:r>
      <w:proofErr w:type="gramEnd"/>
      <w:r w:rsidRPr="00E47A86">
        <w:rPr>
          <w:sz w:val="22"/>
          <w:szCs w:val="22"/>
          <w:lang w:val="en-US"/>
        </w:rPr>
        <w:t xml:space="preserve"> for the next stage of deployment – this may be upgrades to the next generation of technology or a new technology platform, or decommissioning and disposal including recycling. </w:t>
      </w:r>
    </w:p>
    <w:p w14:paraId="39F5E782" w14:textId="1FE834B9" w:rsidR="00A53455" w:rsidRDefault="00290219" w:rsidP="00290219">
      <w:pPr>
        <w:rPr>
          <w:lang w:val="en-US"/>
        </w:rPr>
      </w:pPr>
      <w:r w:rsidRPr="00E47A86">
        <w:rPr>
          <w:lang w:val="en-US"/>
        </w:rPr>
        <w:t xml:space="preserve">The actions in the 2024-27 Action Plan </w:t>
      </w:r>
      <w:r>
        <w:rPr>
          <w:lang w:val="en-US"/>
        </w:rPr>
        <w:t>predominantly</w:t>
      </w:r>
      <w:r w:rsidRPr="00E47A86">
        <w:rPr>
          <w:lang w:val="en-US"/>
        </w:rPr>
        <w:t xml:space="preserve"> fall into the first three stages of the cycle.</w:t>
      </w:r>
    </w:p>
    <w:p w14:paraId="2A3B6CA2" w14:textId="77777777" w:rsidR="00DF341D" w:rsidRDefault="00DF341D" w:rsidP="00290219">
      <w:pPr>
        <w:rPr>
          <w:lang w:val="en-US"/>
        </w:rPr>
      </w:pPr>
    </w:p>
    <w:p w14:paraId="0B1AD84A" w14:textId="77777777" w:rsidR="00DF341D" w:rsidRDefault="00DF341D" w:rsidP="00290219">
      <w:pPr>
        <w:rPr>
          <w:lang w:val="en-US"/>
        </w:rPr>
        <w:sectPr w:rsidR="00DF341D" w:rsidSect="00DF341D">
          <w:headerReference w:type="even" r:id="rId29"/>
          <w:headerReference w:type="default" r:id="rId30"/>
          <w:headerReference w:type="first" r:id="rId31"/>
          <w:pgSz w:w="11906" w:h="16838" w:code="9"/>
          <w:pgMar w:top="1021" w:right="1021" w:bottom="1021" w:left="1021" w:header="340" w:footer="397" w:gutter="0"/>
          <w:cols w:space="708"/>
          <w:docGrid w:linePitch="360"/>
        </w:sectPr>
      </w:pPr>
    </w:p>
    <w:p w14:paraId="2A59EEB8" w14:textId="77777777" w:rsidR="002E4AB0" w:rsidRPr="002E4AB0" w:rsidRDefault="002E4AB0" w:rsidP="00DF341D">
      <w:pPr>
        <w:pStyle w:val="Heading1"/>
        <w:spacing w:before="360"/>
      </w:pPr>
      <w:bookmarkStart w:id="4" w:name="_Toc148430725"/>
      <w:r w:rsidRPr="002E4AB0">
        <w:lastRenderedPageBreak/>
        <w:t>2024-27 Actions</w:t>
      </w:r>
      <w:bookmarkEnd w:id="4"/>
    </w:p>
    <w:p w14:paraId="5727CC6E" w14:textId="77777777" w:rsidR="002E4AB0" w:rsidRPr="00EE6169" w:rsidRDefault="002E4AB0" w:rsidP="002E4AB0">
      <w:pPr>
        <w:pStyle w:val="Heading2"/>
        <w:rPr>
          <w:lang w:val="en-US"/>
        </w:rPr>
      </w:pPr>
      <w:bookmarkStart w:id="5" w:name="_Toc148430726"/>
      <w:r>
        <w:rPr>
          <w:lang w:val="en-US"/>
        </w:rPr>
        <w:t>Workstream 1: Vehicle automation</w:t>
      </w:r>
      <w:bookmarkEnd w:id="5"/>
    </w:p>
    <w:tbl>
      <w:tblPr>
        <w:tblStyle w:val="TableGrid"/>
        <w:tblW w:w="14454" w:type="dxa"/>
        <w:tblLook w:val="04A0" w:firstRow="1" w:lastRow="0" w:firstColumn="1" w:lastColumn="0" w:noHBand="0" w:noVBand="1"/>
      </w:tblPr>
      <w:tblGrid>
        <w:gridCol w:w="3105"/>
        <w:gridCol w:w="5626"/>
        <w:gridCol w:w="1754"/>
        <w:gridCol w:w="1089"/>
        <w:gridCol w:w="1462"/>
        <w:gridCol w:w="1418"/>
      </w:tblGrid>
      <w:tr w:rsidR="002E4AB0" w:rsidRPr="000263AB" w14:paraId="187A289A" w14:textId="77777777" w:rsidTr="002A575C">
        <w:trPr>
          <w:tblHeader/>
        </w:trPr>
        <w:tc>
          <w:tcPr>
            <w:tcW w:w="3105" w:type="dxa"/>
            <w:tcBorders>
              <w:bottom w:val="single" w:sz="4" w:space="0" w:color="auto"/>
            </w:tcBorders>
            <w:shd w:val="clear" w:color="auto" w:fill="A8D9C0" w:themeFill="accent6" w:themeFillTint="99"/>
          </w:tcPr>
          <w:p w14:paraId="2CDA6BA8" w14:textId="77777777" w:rsidR="002E4AB0" w:rsidRPr="000263AB" w:rsidRDefault="002E4AB0" w:rsidP="002A575C">
            <w:pPr>
              <w:rPr>
                <w:b/>
                <w:lang w:val="en-US"/>
              </w:rPr>
            </w:pPr>
            <w:r w:rsidRPr="000263AB">
              <w:rPr>
                <w:b/>
                <w:lang w:val="en-US"/>
              </w:rPr>
              <w:t>Action</w:t>
            </w:r>
          </w:p>
        </w:tc>
        <w:tc>
          <w:tcPr>
            <w:tcW w:w="5626" w:type="dxa"/>
            <w:tcBorders>
              <w:bottom w:val="single" w:sz="4" w:space="0" w:color="auto"/>
            </w:tcBorders>
            <w:shd w:val="clear" w:color="auto" w:fill="A8D9C0" w:themeFill="accent6" w:themeFillTint="99"/>
          </w:tcPr>
          <w:p w14:paraId="5260E1C0" w14:textId="77777777" w:rsidR="002E4AB0" w:rsidRPr="000263AB" w:rsidRDefault="002E4AB0" w:rsidP="002A575C">
            <w:pPr>
              <w:rPr>
                <w:b/>
                <w:lang w:val="en-US"/>
              </w:rPr>
            </w:pPr>
            <w:r w:rsidRPr="000263AB">
              <w:rPr>
                <w:b/>
                <w:lang w:val="en-US"/>
              </w:rPr>
              <w:t>Description</w:t>
            </w:r>
          </w:p>
        </w:tc>
        <w:tc>
          <w:tcPr>
            <w:tcW w:w="1754" w:type="dxa"/>
            <w:tcBorders>
              <w:bottom w:val="single" w:sz="4" w:space="0" w:color="auto"/>
            </w:tcBorders>
            <w:shd w:val="clear" w:color="auto" w:fill="A8D9C0" w:themeFill="accent6" w:themeFillTint="99"/>
          </w:tcPr>
          <w:p w14:paraId="69C154CB" w14:textId="77777777" w:rsidR="002E4AB0" w:rsidRPr="000263AB" w:rsidRDefault="002E4AB0" w:rsidP="002A575C">
            <w:pPr>
              <w:rPr>
                <w:b/>
                <w:lang w:val="en-US"/>
              </w:rPr>
            </w:pPr>
            <w:r w:rsidRPr="000263AB">
              <w:rPr>
                <w:b/>
                <w:lang w:val="en-US"/>
              </w:rPr>
              <w:t>Lead</w:t>
            </w:r>
          </w:p>
        </w:tc>
        <w:tc>
          <w:tcPr>
            <w:tcW w:w="1089" w:type="dxa"/>
            <w:tcBorders>
              <w:bottom w:val="single" w:sz="4" w:space="0" w:color="auto"/>
            </w:tcBorders>
            <w:shd w:val="clear" w:color="auto" w:fill="A8D9C0" w:themeFill="accent6" w:themeFillTint="99"/>
          </w:tcPr>
          <w:p w14:paraId="38DEEBFA" w14:textId="77777777" w:rsidR="002E4AB0" w:rsidRPr="000263AB" w:rsidRDefault="002E4AB0" w:rsidP="002A575C">
            <w:pPr>
              <w:rPr>
                <w:b/>
                <w:lang w:val="en-US"/>
              </w:rPr>
            </w:pPr>
            <w:r w:rsidRPr="000263AB">
              <w:rPr>
                <w:b/>
                <w:lang w:val="en-US"/>
              </w:rPr>
              <w:t>Timing</w:t>
            </w:r>
          </w:p>
        </w:tc>
        <w:tc>
          <w:tcPr>
            <w:tcW w:w="1462" w:type="dxa"/>
            <w:tcBorders>
              <w:bottom w:val="single" w:sz="4" w:space="0" w:color="auto"/>
            </w:tcBorders>
            <w:shd w:val="clear" w:color="auto" w:fill="A8D9C0" w:themeFill="accent6" w:themeFillTint="99"/>
          </w:tcPr>
          <w:p w14:paraId="5B0FB5CD" w14:textId="77777777" w:rsidR="002E4AB0" w:rsidRPr="000263AB" w:rsidRDefault="002E4AB0" w:rsidP="002A575C">
            <w:pPr>
              <w:rPr>
                <w:b/>
                <w:lang w:val="en-US"/>
              </w:rPr>
            </w:pPr>
            <w:r w:rsidRPr="000263AB">
              <w:rPr>
                <w:b/>
                <w:lang w:val="en-US"/>
              </w:rPr>
              <w:t>Technology deployment stage</w:t>
            </w:r>
          </w:p>
        </w:tc>
        <w:tc>
          <w:tcPr>
            <w:tcW w:w="1418" w:type="dxa"/>
            <w:tcBorders>
              <w:bottom w:val="single" w:sz="4" w:space="0" w:color="auto"/>
            </w:tcBorders>
            <w:shd w:val="clear" w:color="auto" w:fill="A8D9C0" w:themeFill="accent6" w:themeFillTint="99"/>
          </w:tcPr>
          <w:p w14:paraId="04BE6D77" w14:textId="77777777" w:rsidR="002E4AB0" w:rsidRPr="000263AB" w:rsidRDefault="002E4AB0" w:rsidP="002A575C">
            <w:pPr>
              <w:rPr>
                <w:b/>
                <w:lang w:val="en-US"/>
              </w:rPr>
            </w:pPr>
            <w:r w:rsidRPr="000263AB">
              <w:rPr>
                <w:b/>
                <w:lang w:val="en-US"/>
              </w:rPr>
              <w:t>AV readiness pillar</w:t>
            </w:r>
          </w:p>
        </w:tc>
      </w:tr>
      <w:tr w:rsidR="002E4AB0" w14:paraId="439A44A8" w14:textId="77777777" w:rsidTr="002A575C">
        <w:tc>
          <w:tcPr>
            <w:tcW w:w="3105" w:type="dxa"/>
            <w:shd w:val="clear" w:color="auto" w:fill="C5E6D5" w:themeFill="accent6" w:themeFillTint="66"/>
          </w:tcPr>
          <w:p w14:paraId="21746288" w14:textId="77777777" w:rsidR="002E4AB0" w:rsidRPr="0015692C" w:rsidRDefault="002E4AB0" w:rsidP="002A575C">
            <w:pPr>
              <w:spacing w:after="120"/>
              <w:rPr>
                <w:b/>
                <w:sz w:val="20"/>
                <w:szCs w:val="20"/>
                <w:lang w:val="en-US"/>
              </w:rPr>
            </w:pPr>
            <w:r w:rsidRPr="0015692C">
              <w:rPr>
                <w:b/>
                <w:sz w:val="20"/>
                <w:szCs w:val="20"/>
                <w:lang w:val="en-US"/>
              </w:rPr>
              <w:t xml:space="preserve">1.1 </w:t>
            </w:r>
            <w:r w:rsidRPr="006C43B1">
              <w:rPr>
                <w:rFonts w:cstheme="minorHAnsi"/>
                <w:b/>
                <w:sz w:val="20"/>
                <w:szCs w:val="20"/>
                <w:lang w:val="en-US"/>
              </w:rPr>
              <w:t xml:space="preserve">Monitor and </w:t>
            </w:r>
            <w:proofErr w:type="spellStart"/>
            <w:r w:rsidRPr="006C43B1">
              <w:rPr>
                <w:rFonts w:cstheme="minorHAnsi"/>
                <w:b/>
                <w:sz w:val="20"/>
                <w:szCs w:val="20"/>
                <w:lang w:val="en-US"/>
              </w:rPr>
              <w:t>harmonise</w:t>
            </w:r>
            <w:proofErr w:type="spellEnd"/>
            <w:r w:rsidRPr="006C43B1">
              <w:rPr>
                <w:rFonts w:cstheme="minorHAnsi"/>
                <w:b/>
                <w:sz w:val="20"/>
                <w:szCs w:val="20"/>
                <w:lang w:val="en-US"/>
              </w:rPr>
              <w:t xml:space="preserve"> A</w:t>
            </w:r>
            <w:r>
              <w:rPr>
                <w:rFonts w:cstheme="minorHAnsi"/>
                <w:b/>
                <w:sz w:val="20"/>
                <w:szCs w:val="20"/>
                <w:lang w:val="en-US"/>
              </w:rPr>
              <w:t>ustralian Design Rules (A</w:t>
            </w:r>
            <w:r w:rsidRPr="006C43B1">
              <w:rPr>
                <w:rFonts w:cstheme="minorHAnsi"/>
                <w:b/>
                <w:sz w:val="20"/>
                <w:szCs w:val="20"/>
                <w:lang w:val="en-US"/>
              </w:rPr>
              <w:t>DRs</w:t>
            </w:r>
            <w:r>
              <w:rPr>
                <w:rFonts w:cstheme="minorHAnsi"/>
                <w:b/>
                <w:sz w:val="20"/>
                <w:szCs w:val="20"/>
                <w:lang w:val="en-US"/>
              </w:rPr>
              <w:t>)</w:t>
            </w:r>
            <w:r w:rsidRPr="006C43B1">
              <w:rPr>
                <w:rFonts w:cstheme="minorHAnsi"/>
                <w:b/>
                <w:sz w:val="20"/>
                <w:szCs w:val="20"/>
                <w:lang w:val="en-US"/>
              </w:rPr>
              <w:t xml:space="preserve"> as necessary to provide for additional </w:t>
            </w:r>
            <w:r>
              <w:rPr>
                <w:rFonts w:cstheme="minorHAnsi"/>
                <w:b/>
                <w:sz w:val="20"/>
                <w:szCs w:val="20"/>
                <w:lang w:val="en-US"/>
              </w:rPr>
              <w:t xml:space="preserve">Advanced Driver Assistance System (ADAS) and automated driving system (ADS) </w:t>
            </w:r>
            <w:r w:rsidRPr="006C43B1">
              <w:rPr>
                <w:rFonts w:cstheme="minorHAnsi"/>
                <w:b/>
                <w:sz w:val="20"/>
                <w:szCs w:val="20"/>
                <w:lang w:val="en-US"/>
              </w:rPr>
              <w:t>functionalities as international vehicle regulations are developed</w:t>
            </w:r>
            <w:r>
              <w:rPr>
                <w:rFonts w:cstheme="minorHAnsi"/>
                <w:b/>
                <w:sz w:val="20"/>
                <w:szCs w:val="20"/>
                <w:lang w:val="en-US"/>
              </w:rPr>
              <w:t xml:space="preserve"> </w:t>
            </w:r>
          </w:p>
        </w:tc>
        <w:tc>
          <w:tcPr>
            <w:tcW w:w="5626" w:type="dxa"/>
            <w:shd w:val="clear" w:color="auto" w:fill="E2F2EA" w:themeFill="accent6" w:themeFillTint="33"/>
          </w:tcPr>
          <w:p w14:paraId="08F4B2EF" w14:textId="77777777" w:rsidR="002E4AB0" w:rsidRPr="00847554" w:rsidRDefault="002E4AB0" w:rsidP="002A575C">
            <w:pPr>
              <w:spacing w:after="120"/>
              <w:rPr>
                <w:rFonts w:cstheme="minorHAnsi"/>
                <w:sz w:val="20"/>
                <w:szCs w:val="20"/>
                <w:lang w:val="en-US"/>
              </w:rPr>
            </w:pPr>
            <w:r w:rsidRPr="00847554">
              <w:rPr>
                <w:rFonts w:cstheme="minorHAnsi"/>
                <w:sz w:val="20"/>
                <w:szCs w:val="20"/>
                <w:lang w:val="en-US"/>
              </w:rPr>
              <w:t xml:space="preserve">This action would ensure relevant ADRs </w:t>
            </w:r>
            <w:r>
              <w:rPr>
                <w:rFonts w:cstheme="minorHAnsi"/>
                <w:sz w:val="20"/>
                <w:szCs w:val="20"/>
                <w:lang w:val="en-US"/>
              </w:rPr>
              <w:t>are developed and/or</w:t>
            </w:r>
            <w:r w:rsidRPr="00847554">
              <w:rPr>
                <w:rFonts w:cstheme="minorHAnsi"/>
                <w:sz w:val="20"/>
                <w:szCs w:val="20"/>
                <w:lang w:val="en-US"/>
              </w:rPr>
              <w:t xml:space="preserve"> updated</w:t>
            </w:r>
            <w:r>
              <w:rPr>
                <w:rFonts w:cstheme="minorHAnsi"/>
                <w:sz w:val="20"/>
                <w:szCs w:val="20"/>
                <w:lang w:val="en-US"/>
              </w:rPr>
              <w:t xml:space="preserve"> as ADAS and</w:t>
            </w:r>
            <w:r w:rsidRPr="00847554">
              <w:rPr>
                <w:rFonts w:cstheme="minorHAnsi"/>
                <w:sz w:val="20"/>
                <w:szCs w:val="20"/>
                <w:lang w:val="en-US"/>
              </w:rPr>
              <w:t xml:space="preserve"> </w:t>
            </w:r>
            <w:r>
              <w:rPr>
                <w:rFonts w:cstheme="minorHAnsi"/>
                <w:sz w:val="20"/>
                <w:szCs w:val="20"/>
                <w:lang w:val="en-US"/>
              </w:rPr>
              <w:t>ADS are developed (including ADRs for driver monitoring systems), so that vehicles with these features and systems can be supplied in Australia</w:t>
            </w:r>
            <w:r w:rsidRPr="00847554">
              <w:rPr>
                <w:rFonts w:cstheme="minorHAnsi"/>
                <w:sz w:val="20"/>
                <w:szCs w:val="20"/>
                <w:lang w:val="en-US"/>
              </w:rPr>
              <w:t xml:space="preserve">. </w:t>
            </w:r>
          </w:p>
          <w:p w14:paraId="2E811ECB" w14:textId="77777777" w:rsidR="002E4AB0" w:rsidRPr="0015692C" w:rsidRDefault="002E4AB0" w:rsidP="00DA3925">
            <w:pPr>
              <w:spacing w:after="240"/>
              <w:rPr>
                <w:rFonts w:cstheme="minorHAnsi"/>
                <w:sz w:val="20"/>
                <w:szCs w:val="20"/>
                <w:lang w:val="en-US"/>
              </w:rPr>
            </w:pPr>
            <w:r w:rsidRPr="00847554">
              <w:rPr>
                <w:rFonts w:cstheme="minorHAnsi"/>
                <w:sz w:val="20"/>
                <w:szCs w:val="20"/>
                <w:lang w:val="en-US"/>
              </w:rPr>
              <w:t xml:space="preserve">Wherever possible, </w:t>
            </w:r>
            <w:r>
              <w:rPr>
                <w:rFonts w:cstheme="minorHAnsi"/>
                <w:sz w:val="20"/>
                <w:szCs w:val="20"/>
                <w:lang w:val="en-US"/>
              </w:rPr>
              <w:t>vehicle</w:t>
            </w:r>
            <w:r w:rsidRPr="00847554">
              <w:rPr>
                <w:rFonts w:cstheme="minorHAnsi"/>
                <w:sz w:val="20"/>
                <w:szCs w:val="20"/>
                <w:lang w:val="en-US"/>
              </w:rPr>
              <w:t xml:space="preserve"> standards are aligned with relevant international standards to </w:t>
            </w:r>
            <w:proofErr w:type="spellStart"/>
            <w:r w:rsidRPr="00847554">
              <w:rPr>
                <w:rFonts w:cstheme="minorHAnsi"/>
                <w:sz w:val="20"/>
                <w:szCs w:val="20"/>
                <w:lang w:val="en-US"/>
              </w:rPr>
              <w:t>minimise</w:t>
            </w:r>
            <w:proofErr w:type="spellEnd"/>
            <w:r w:rsidRPr="00847554">
              <w:rPr>
                <w:rFonts w:cstheme="minorHAnsi"/>
                <w:sz w:val="20"/>
                <w:szCs w:val="20"/>
                <w:lang w:val="en-US"/>
              </w:rPr>
              <w:t xml:space="preserve"> barriers to entry and deployment, while also </w:t>
            </w:r>
            <w:r>
              <w:rPr>
                <w:rFonts w:cstheme="minorHAnsi"/>
                <w:sz w:val="20"/>
                <w:szCs w:val="20"/>
                <w:lang w:val="en-US"/>
              </w:rPr>
              <w:t>addressing</w:t>
            </w:r>
            <w:r w:rsidRPr="00847554">
              <w:rPr>
                <w:rFonts w:cstheme="minorHAnsi"/>
                <w:sz w:val="20"/>
                <w:szCs w:val="20"/>
                <w:lang w:val="en-US"/>
              </w:rPr>
              <w:t xml:space="preserve"> </w:t>
            </w:r>
            <w:r>
              <w:rPr>
                <w:rFonts w:cstheme="minorHAnsi"/>
                <w:sz w:val="20"/>
                <w:szCs w:val="20"/>
                <w:lang w:val="en-US"/>
              </w:rPr>
              <w:t xml:space="preserve">any </w:t>
            </w:r>
            <w:r w:rsidRPr="00847554">
              <w:rPr>
                <w:rFonts w:cstheme="minorHAnsi"/>
                <w:sz w:val="20"/>
                <w:szCs w:val="20"/>
                <w:lang w:val="en-US"/>
              </w:rPr>
              <w:t>unique Australian characteristics.</w:t>
            </w:r>
          </w:p>
        </w:tc>
        <w:tc>
          <w:tcPr>
            <w:tcW w:w="1754" w:type="dxa"/>
            <w:shd w:val="clear" w:color="auto" w:fill="E2F2EA" w:themeFill="accent6" w:themeFillTint="33"/>
          </w:tcPr>
          <w:p w14:paraId="2A870C6B" w14:textId="77777777" w:rsidR="002E4AB0" w:rsidRPr="0015692C" w:rsidRDefault="002E4AB0" w:rsidP="002A575C">
            <w:pPr>
              <w:rPr>
                <w:sz w:val="20"/>
                <w:szCs w:val="20"/>
                <w:lang w:val="en-US"/>
              </w:rPr>
            </w:pPr>
            <w:r w:rsidRPr="0015692C">
              <w:rPr>
                <w:sz w:val="20"/>
                <w:szCs w:val="20"/>
                <w:lang w:val="en-US"/>
              </w:rPr>
              <w:t>Commonwealth</w:t>
            </w:r>
            <w:r>
              <w:rPr>
                <w:sz w:val="20"/>
                <w:szCs w:val="20"/>
                <w:lang w:val="en-US"/>
              </w:rPr>
              <w:t xml:space="preserve"> (lead), in consultation with the states and territories</w:t>
            </w:r>
          </w:p>
        </w:tc>
        <w:tc>
          <w:tcPr>
            <w:tcW w:w="1089" w:type="dxa"/>
            <w:shd w:val="clear" w:color="auto" w:fill="E2F2EA" w:themeFill="accent6" w:themeFillTint="33"/>
          </w:tcPr>
          <w:p w14:paraId="19F420F7" w14:textId="77777777" w:rsidR="002E4AB0" w:rsidRPr="0015692C" w:rsidRDefault="002E4AB0" w:rsidP="002A575C">
            <w:pPr>
              <w:rPr>
                <w:sz w:val="20"/>
                <w:szCs w:val="20"/>
                <w:lang w:val="en-US"/>
              </w:rPr>
            </w:pPr>
            <w:r>
              <w:rPr>
                <w:sz w:val="20"/>
                <w:szCs w:val="20"/>
                <w:lang w:val="en-US"/>
              </w:rPr>
              <w:t>2024-2027</w:t>
            </w:r>
          </w:p>
        </w:tc>
        <w:tc>
          <w:tcPr>
            <w:tcW w:w="1462" w:type="dxa"/>
            <w:shd w:val="clear" w:color="auto" w:fill="E2F2EA" w:themeFill="accent6" w:themeFillTint="33"/>
          </w:tcPr>
          <w:p w14:paraId="45A17122" w14:textId="77777777" w:rsidR="002E4AB0" w:rsidRPr="0015692C" w:rsidRDefault="002E4AB0" w:rsidP="002A575C">
            <w:pPr>
              <w:rPr>
                <w:sz w:val="20"/>
                <w:szCs w:val="20"/>
                <w:lang w:val="en-US"/>
              </w:rPr>
            </w:pPr>
            <w:r>
              <w:rPr>
                <w:sz w:val="20"/>
                <w:szCs w:val="20"/>
                <w:lang w:val="en-US"/>
              </w:rPr>
              <w:t>Prepare to deploy</w:t>
            </w:r>
          </w:p>
        </w:tc>
        <w:tc>
          <w:tcPr>
            <w:tcW w:w="1418" w:type="dxa"/>
            <w:shd w:val="clear" w:color="auto" w:fill="E2F2EA" w:themeFill="accent6" w:themeFillTint="33"/>
          </w:tcPr>
          <w:p w14:paraId="5D7DF12D" w14:textId="77777777" w:rsidR="002E4AB0" w:rsidRPr="0015692C" w:rsidRDefault="002E4AB0" w:rsidP="002A575C">
            <w:pPr>
              <w:rPr>
                <w:sz w:val="20"/>
                <w:szCs w:val="20"/>
                <w:lang w:val="en-US"/>
              </w:rPr>
            </w:pPr>
            <w:r>
              <w:rPr>
                <w:sz w:val="20"/>
                <w:szCs w:val="20"/>
                <w:lang w:val="en-US"/>
              </w:rPr>
              <w:t>Policy and legislation</w:t>
            </w:r>
          </w:p>
        </w:tc>
      </w:tr>
      <w:tr w:rsidR="002E4AB0" w14:paraId="64CC7DC9" w14:textId="77777777" w:rsidTr="002A575C">
        <w:trPr>
          <w:trHeight w:val="300"/>
        </w:trPr>
        <w:tc>
          <w:tcPr>
            <w:tcW w:w="3105" w:type="dxa"/>
            <w:shd w:val="clear" w:color="auto" w:fill="C5E6D5" w:themeFill="accent6" w:themeFillTint="66"/>
          </w:tcPr>
          <w:p w14:paraId="1048BDCC" w14:textId="77777777" w:rsidR="002E4AB0" w:rsidRPr="37FE2427" w:rsidRDefault="002E4AB0" w:rsidP="002A575C">
            <w:pPr>
              <w:rPr>
                <w:b/>
                <w:bCs/>
                <w:sz w:val="20"/>
                <w:szCs w:val="20"/>
                <w:lang w:val="en-US"/>
              </w:rPr>
            </w:pPr>
            <w:r>
              <w:rPr>
                <w:b/>
                <w:bCs/>
                <w:sz w:val="20"/>
                <w:szCs w:val="20"/>
                <w:lang w:val="en-US"/>
              </w:rPr>
              <w:t>1.2 Lead inter-jurisdictional coordination and engagement to support delivery of the national end-to-end regulatory framework for AVs</w:t>
            </w:r>
          </w:p>
        </w:tc>
        <w:tc>
          <w:tcPr>
            <w:tcW w:w="5626" w:type="dxa"/>
            <w:shd w:val="clear" w:color="auto" w:fill="E2F2EA" w:themeFill="accent6" w:themeFillTint="33"/>
          </w:tcPr>
          <w:p w14:paraId="51A5E9A4" w14:textId="77777777" w:rsidR="002E4AB0" w:rsidRPr="37FE2427" w:rsidRDefault="002E4AB0" w:rsidP="00DA3925">
            <w:pPr>
              <w:spacing w:after="240"/>
              <w:rPr>
                <w:sz w:val="20"/>
                <w:szCs w:val="20"/>
              </w:rPr>
            </w:pPr>
            <w:r>
              <w:rPr>
                <w:sz w:val="20"/>
                <w:szCs w:val="20"/>
              </w:rPr>
              <w:t>This action continues the National Transport Commission’s (NTC) work to coordinate and foster collaboration across the Commonwealth, states and territories to deliver an integrated national AV regulatory framework. This coordination role is expected to continue until the regulatory framework is in place by the end of 2026.</w:t>
            </w:r>
          </w:p>
        </w:tc>
        <w:tc>
          <w:tcPr>
            <w:tcW w:w="1754" w:type="dxa"/>
            <w:shd w:val="clear" w:color="auto" w:fill="E2F2EA" w:themeFill="accent6" w:themeFillTint="33"/>
          </w:tcPr>
          <w:p w14:paraId="65010AB3" w14:textId="77777777" w:rsidR="002E4AB0" w:rsidRPr="37FE2427" w:rsidRDefault="002E4AB0" w:rsidP="002A575C">
            <w:pPr>
              <w:rPr>
                <w:sz w:val="20"/>
                <w:szCs w:val="20"/>
              </w:rPr>
            </w:pPr>
            <w:r>
              <w:rPr>
                <w:sz w:val="20"/>
                <w:szCs w:val="20"/>
              </w:rPr>
              <w:t>The NTC (lead) in consultation with the Commonwealth, states and territories</w:t>
            </w:r>
          </w:p>
        </w:tc>
        <w:tc>
          <w:tcPr>
            <w:tcW w:w="1089" w:type="dxa"/>
            <w:shd w:val="clear" w:color="auto" w:fill="E2F2EA" w:themeFill="accent6" w:themeFillTint="33"/>
          </w:tcPr>
          <w:p w14:paraId="740451DC" w14:textId="77777777" w:rsidR="002E4AB0" w:rsidRPr="37FE2427" w:rsidRDefault="002E4AB0" w:rsidP="002A575C">
            <w:pPr>
              <w:rPr>
                <w:sz w:val="20"/>
                <w:szCs w:val="20"/>
                <w:lang w:val="en-US"/>
              </w:rPr>
            </w:pPr>
            <w:r>
              <w:rPr>
                <w:sz w:val="20"/>
                <w:szCs w:val="20"/>
                <w:lang w:val="en-US"/>
              </w:rPr>
              <w:t>2024-2026</w:t>
            </w:r>
          </w:p>
        </w:tc>
        <w:tc>
          <w:tcPr>
            <w:tcW w:w="1462" w:type="dxa"/>
            <w:shd w:val="clear" w:color="auto" w:fill="E2F2EA" w:themeFill="accent6" w:themeFillTint="33"/>
          </w:tcPr>
          <w:p w14:paraId="64C56725" w14:textId="77777777" w:rsidR="002E4AB0" w:rsidRPr="37FE2427" w:rsidRDefault="002E4AB0" w:rsidP="002A575C">
            <w:pPr>
              <w:rPr>
                <w:sz w:val="20"/>
                <w:szCs w:val="20"/>
                <w:lang w:val="en-US"/>
              </w:rPr>
            </w:pPr>
            <w:r>
              <w:rPr>
                <w:sz w:val="20"/>
                <w:szCs w:val="20"/>
                <w:lang w:val="en-US"/>
              </w:rPr>
              <w:t>Prepare to deploy</w:t>
            </w:r>
          </w:p>
        </w:tc>
        <w:tc>
          <w:tcPr>
            <w:tcW w:w="1418" w:type="dxa"/>
            <w:shd w:val="clear" w:color="auto" w:fill="E2F2EA" w:themeFill="accent6" w:themeFillTint="33"/>
          </w:tcPr>
          <w:p w14:paraId="0412EAF5" w14:textId="77777777" w:rsidR="002E4AB0" w:rsidRPr="37FE2427" w:rsidRDefault="002E4AB0" w:rsidP="002A575C">
            <w:pPr>
              <w:rPr>
                <w:sz w:val="20"/>
                <w:szCs w:val="20"/>
                <w:lang w:val="en-US"/>
              </w:rPr>
            </w:pPr>
            <w:r>
              <w:rPr>
                <w:sz w:val="20"/>
                <w:szCs w:val="20"/>
                <w:lang w:val="en-US"/>
              </w:rPr>
              <w:t>Policy and legislation</w:t>
            </w:r>
          </w:p>
        </w:tc>
      </w:tr>
      <w:tr w:rsidR="002E4AB0" w:rsidRPr="004B155B" w14:paraId="5FD6F19A" w14:textId="77777777" w:rsidTr="002A575C">
        <w:tc>
          <w:tcPr>
            <w:tcW w:w="3105" w:type="dxa"/>
            <w:shd w:val="clear" w:color="auto" w:fill="C5E6D5" w:themeFill="accent6" w:themeFillTint="66"/>
          </w:tcPr>
          <w:p w14:paraId="14027E7C" w14:textId="77777777" w:rsidR="002E4AB0" w:rsidRPr="004B155B" w:rsidRDefault="002E4AB0" w:rsidP="002A575C">
            <w:pPr>
              <w:rPr>
                <w:b/>
                <w:sz w:val="20"/>
                <w:szCs w:val="20"/>
                <w:lang w:val="en-US"/>
              </w:rPr>
            </w:pPr>
            <w:r w:rsidRPr="004B155B">
              <w:rPr>
                <w:b/>
                <w:sz w:val="20"/>
                <w:szCs w:val="20"/>
                <w:lang w:val="en-US"/>
              </w:rPr>
              <w:t>1.</w:t>
            </w:r>
            <w:r>
              <w:rPr>
                <w:b/>
                <w:sz w:val="20"/>
                <w:szCs w:val="20"/>
                <w:lang w:val="en-US"/>
              </w:rPr>
              <w:t>3</w:t>
            </w:r>
            <w:r w:rsidRPr="004B155B">
              <w:rPr>
                <w:rFonts w:cstheme="minorHAnsi"/>
                <w:b/>
                <w:sz w:val="20"/>
                <w:szCs w:val="20"/>
                <w:lang w:val="en-US"/>
              </w:rPr>
              <w:t xml:space="preserve"> Implement next steps for the national AV safety law from introduction of legislation through to commencement</w:t>
            </w:r>
            <w:r>
              <w:rPr>
                <w:rFonts w:cstheme="minorHAnsi"/>
                <w:b/>
                <w:sz w:val="20"/>
                <w:szCs w:val="20"/>
                <w:lang w:val="en-US"/>
              </w:rPr>
              <w:t xml:space="preserve">, and establish </w:t>
            </w:r>
            <w:r w:rsidRPr="00890771">
              <w:rPr>
                <w:rFonts w:cstheme="minorHAnsi"/>
                <w:b/>
                <w:sz w:val="20"/>
                <w:szCs w:val="20"/>
                <w:lang w:val="en-US"/>
              </w:rPr>
              <w:t>the AV in-service safety regulator</w:t>
            </w:r>
          </w:p>
        </w:tc>
        <w:tc>
          <w:tcPr>
            <w:tcW w:w="5626" w:type="dxa"/>
            <w:shd w:val="clear" w:color="auto" w:fill="E2F2EA" w:themeFill="accent6" w:themeFillTint="33"/>
          </w:tcPr>
          <w:p w14:paraId="3EBB1531" w14:textId="77777777" w:rsidR="002E4AB0" w:rsidRPr="004B155B" w:rsidRDefault="002E4AB0" w:rsidP="00DA3925">
            <w:pPr>
              <w:spacing w:after="240"/>
              <w:rPr>
                <w:sz w:val="20"/>
                <w:szCs w:val="20"/>
                <w:lang w:val="en-US"/>
              </w:rPr>
            </w:pPr>
            <w:r w:rsidRPr="00847554">
              <w:rPr>
                <w:sz w:val="20"/>
                <w:szCs w:val="20"/>
              </w:rPr>
              <w:t>This action would complete work underway to develop and implement the national AV safety law</w:t>
            </w:r>
            <w:r>
              <w:rPr>
                <w:sz w:val="20"/>
                <w:szCs w:val="20"/>
              </w:rPr>
              <w:t xml:space="preserve"> (AVSL) to enable the safe commercial deployment of AVs in Australia</w:t>
            </w:r>
            <w:r w:rsidRPr="00847554">
              <w:rPr>
                <w:sz w:val="20"/>
                <w:szCs w:val="20"/>
              </w:rPr>
              <w:t xml:space="preserve">. </w:t>
            </w:r>
            <w:r>
              <w:rPr>
                <w:sz w:val="20"/>
                <w:szCs w:val="20"/>
              </w:rPr>
              <w:t>It</w:t>
            </w:r>
            <w:r w:rsidRPr="00847554">
              <w:rPr>
                <w:sz w:val="20"/>
                <w:szCs w:val="20"/>
              </w:rPr>
              <w:t xml:space="preserve"> would </w:t>
            </w:r>
            <w:r>
              <w:rPr>
                <w:sz w:val="20"/>
                <w:szCs w:val="20"/>
              </w:rPr>
              <w:t xml:space="preserve">also </w:t>
            </w:r>
            <w:r w:rsidRPr="00847554">
              <w:rPr>
                <w:sz w:val="20"/>
                <w:szCs w:val="20"/>
              </w:rPr>
              <w:t xml:space="preserve">complete work underway to </w:t>
            </w:r>
            <w:r>
              <w:rPr>
                <w:sz w:val="20"/>
                <w:szCs w:val="20"/>
              </w:rPr>
              <w:t xml:space="preserve">design, stand-up and commence operation of </w:t>
            </w:r>
            <w:r w:rsidRPr="00847554">
              <w:rPr>
                <w:sz w:val="20"/>
                <w:szCs w:val="20"/>
              </w:rPr>
              <w:t>the AV</w:t>
            </w:r>
            <w:r>
              <w:rPr>
                <w:sz w:val="20"/>
                <w:szCs w:val="20"/>
              </w:rPr>
              <w:t xml:space="preserve"> in-service</w:t>
            </w:r>
            <w:r w:rsidRPr="00847554">
              <w:rPr>
                <w:sz w:val="20"/>
                <w:szCs w:val="20"/>
              </w:rPr>
              <w:t xml:space="preserve"> safety regulator. The </w:t>
            </w:r>
            <w:r>
              <w:rPr>
                <w:sz w:val="20"/>
                <w:szCs w:val="20"/>
              </w:rPr>
              <w:t>AVSL</w:t>
            </w:r>
            <w:r w:rsidRPr="00847554">
              <w:rPr>
                <w:sz w:val="20"/>
                <w:szCs w:val="20"/>
              </w:rPr>
              <w:t xml:space="preserve"> is intended to commence by the end of 2026. The </w:t>
            </w:r>
            <w:r>
              <w:rPr>
                <w:sz w:val="20"/>
                <w:szCs w:val="20"/>
              </w:rPr>
              <w:t>regulator is intended to commence operations by the end of 2026 (to align with the AVSL)</w:t>
            </w:r>
            <w:r w:rsidRPr="00847554">
              <w:rPr>
                <w:sz w:val="20"/>
                <w:szCs w:val="20"/>
              </w:rPr>
              <w:t>.</w:t>
            </w:r>
          </w:p>
        </w:tc>
        <w:tc>
          <w:tcPr>
            <w:tcW w:w="1754" w:type="dxa"/>
            <w:shd w:val="clear" w:color="auto" w:fill="E2F2EA" w:themeFill="accent6" w:themeFillTint="33"/>
          </w:tcPr>
          <w:p w14:paraId="2A28D0D8" w14:textId="77777777" w:rsidR="002E4AB0" w:rsidRPr="004B155B" w:rsidRDefault="002E4AB0" w:rsidP="002A575C">
            <w:pPr>
              <w:spacing w:after="120"/>
              <w:rPr>
                <w:sz w:val="20"/>
                <w:szCs w:val="20"/>
                <w:lang w:val="en-US"/>
              </w:rPr>
            </w:pPr>
            <w:r w:rsidRPr="00847554">
              <w:rPr>
                <w:sz w:val="20"/>
                <w:szCs w:val="20"/>
              </w:rPr>
              <w:t xml:space="preserve">Commonwealth (lead), in consultation with </w:t>
            </w:r>
            <w:r>
              <w:rPr>
                <w:sz w:val="20"/>
                <w:szCs w:val="20"/>
              </w:rPr>
              <w:t xml:space="preserve">the </w:t>
            </w:r>
            <w:r w:rsidRPr="00847554">
              <w:rPr>
                <w:sz w:val="20"/>
                <w:szCs w:val="20"/>
              </w:rPr>
              <w:t>states and territories and NTC</w:t>
            </w:r>
          </w:p>
        </w:tc>
        <w:tc>
          <w:tcPr>
            <w:tcW w:w="1089" w:type="dxa"/>
            <w:shd w:val="clear" w:color="auto" w:fill="E2F2EA" w:themeFill="accent6" w:themeFillTint="33"/>
          </w:tcPr>
          <w:p w14:paraId="7AE0B25A" w14:textId="77777777" w:rsidR="002E4AB0" w:rsidRPr="004B155B" w:rsidRDefault="002E4AB0" w:rsidP="002A575C">
            <w:pPr>
              <w:rPr>
                <w:sz w:val="20"/>
                <w:szCs w:val="20"/>
                <w:lang w:val="en-US"/>
              </w:rPr>
            </w:pPr>
            <w:r>
              <w:rPr>
                <w:sz w:val="20"/>
                <w:szCs w:val="20"/>
                <w:lang w:val="en-US"/>
              </w:rPr>
              <w:t>2024-2026</w:t>
            </w:r>
          </w:p>
        </w:tc>
        <w:tc>
          <w:tcPr>
            <w:tcW w:w="1462" w:type="dxa"/>
            <w:shd w:val="clear" w:color="auto" w:fill="E2F2EA" w:themeFill="accent6" w:themeFillTint="33"/>
          </w:tcPr>
          <w:p w14:paraId="19271644" w14:textId="77777777" w:rsidR="002E4AB0" w:rsidRPr="004B155B" w:rsidRDefault="002E4AB0" w:rsidP="002A575C">
            <w:pPr>
              <w:rPr>
                <w:sz w:val="20"/>
                <w:szCs w:val="20"/>
                <w:lang w:val="en-US"/>
              </w:rPr>
            </w:pPr>
            <w:r>
              <w:rPr>
                <w:sz w:val="20"/>
                <w:szCs w:val="20"/>
                <w:lang w:val="en-US"/>
              </w:rPr>
              <w:t>Prepare to deploy</w:t>
            </w:r>
          </w:p>
        </w:tc>
        <w:tc>
          <w:tcPr>
            <w:tcW w:w="1418" w:type="dxa"/>
            <w:shd w:val="clear" w:color="auto" w:fill="E2F2EA" w:themeFill="accent6" w:themeFillTint="33"/>
          </w:tcPr>
          <w:p w14:paraId="0B8DF404" w14:textId="77777777" w:rsidR="002E4AB0" w:rsidRPr="004B155B" w:rsidRDefault="002E4AB0" w:rsidP="002A575C">
            <w:pPr>
              <w:rPr>
                <w:sz w:val="20"/>
                <w:szCs w:val="20"/>
                <w:lang w:val="en-US"/>
              </w:rPr>
            </w:pPr>
            <w:r>
              <w:rPr>
                <w:sz w:val="20"/>
                <w:szCs w:val="20"/>
                <w:lang w:val="en-US"/>
              </w:rPr>
              <w:t>Policy and legislation</w:t>
            </w:r>
          </w:p>
        </w:tc>
      </w:tr>
      <w:tr w:rsidR="002E4AB0" w:rsidRPr="004B155B" w14:paraId="4AF1CCDA" w14:textId="77777777" w:rsidTr="002A575C">
        <w:trPr>
          <w:trHeight w:val="3414"/>
        </w:trPr>
        <w:tc>
          <w:tcPr>
            <w:tcW w:w="3105" w:type="dxa"/>
            <w:shd w:val="clear" w:color="auto" w:fill="C5E6D5" w:themeFill="accent6" w:themeFillTint="66"/>
          </w:tcPr>
          <w:p w14:paraId="53FF8AF8" w14:textId="77777777" w:rsidR="002E4AB0" w:rsidRDefault="002E4AB0" w:rsidP="002A575C">
            <w:pPr>
              <w:rPr>
                <w:b/>
                <w:sz w:val="20"/>
                <w:szCs w:val="20"/>
                <w:lang w:val="en-US"/>
              </w:rPr>
            </w:pPr>
            <w:r>
              <w:rPr>
                <w:b/>
                <w:sz w:val="20"/>
                <w:szCs w:val="20"/>
                <w:lang w:val="en-US"/>
              </w:rPr>
              <w:lastRenderedPageBreak/>
              <w:t>1.4 Progress complementary state and territory law changes to support the national AV safety law:</w:t>
            </w:r>
          </w:p>
          <w:p w14:paraId="0D8326C3" w14:textId="6D9293FE" w:rsidR="002E4AB0" w:rsidRPr="00330E45" w:rsidRDefault="002E4AB0" w:rsidP="002E4AB0">
            <w:pPr>
              <w:pStyle w:val="ListParagraph"/>
              <w:numPr>
                <w:ilvl w:val="0"/>
                <w:numId w:val="42"/>
              </w:numPr>
              <w:spacing w:after="0" w:line="240" w:lineRule="auto"/>
              <w:ind w:left="457"/>
              <w:rPr>
                <w:b/>
                <w:lang w:val="en-US"/>
              </w:rPr>
            </w:pPr>
            <w:r w:rsidRPr="00330E45">
              <w:rPr>
                <w:b/>
                <w:lang w:val="en-US"/>
              </w:rPr>
              <w:t>Part (a)</w:t>
            </w:r>
            <w:r>
              <w:rPr>
                <w:b/>
                <w:lang w:val="en-US"/>
              </w:rPr>
              <w:t xml:space="preserve"> </w:t>
            </w:r>
            <w:r w:rsidR="00B966CD">
              <w:rPr>
                <w:b/>
                <w:lang w:val="en-US"/>
              </w:rPr>
              <w:t>–</w:t>
            </w:r>
            <w:r>
              <w:rPr>
                <w:b/>
                <w:lang w:val="en-US"/>
              </w:rPr>
              <w:t xml:space="preserve"> </w:t>
            </w:r>
            <w:r w:rsidRPr="00330E45">
              <w:rPr>
                <w:b/>
                <w:lang w:val="en-US"/>
              </w:rPr>
              <w:t>Develop national policy positions and/or model law</w:t>
            </w:r>
            <w:r w:rsidR="00FF16A0">
              <w:rPr>
                <w:b/>
                <w:lang w:val="en-US"/>
              </w:rPr>
              <w:t>,</w:t>
            </w:r>
            <w:r>
              <w:rPr>
                <w:b/>
                <w:lang w:val="en-US"/>
              </w:rPr>
              <w:t xml:space="preserve"> </w:t>
            </w:r>
            <w:r w:rsidRPr="00330E45">
              <w:rPr>
                <w:b/>
                <w:lang w:val="en-US"/>
              </w:rPr>
              <w:t xml:space="preserve">and </w:t>
            </w:r>
          </w:p>
          <w:p w14:paraId="7B72B212" w14:textId="1715804C" w:rsidR="002E4AB0" w:rsidRPr="00330E45" w:rsidRDefault="002E4AB0" w:rsidP="002E4AB0">
            <w:pPr>
              <w:pStyle w:val="ListParagraph"/>
              <w:numPr>
                <w:ilvl w:val="0"/>
                <w:numId w:val="42"/>
              </w:numPr>
              <w:spacing w:after="0" w:line="240" w:lineRule="auto"/>
              <w:ind w:left="457"/>
              <w:rPr>
                <w:b/>
                <w:lang w:val="en-US"/>
              </w:rPr>
            </w:pPr>
            <w:r w:rsidRPr="00330E45">
              <w:rPr>
                <w:b/>
                <w:lang w:val="en-US"/>
              </w:rPr>
              <w:t>Part (b)</w:t>
            </w:r>
            <w:r>
              <w:rPr>
                <w:b/>
                <w:lang w:val="en-US"/>
              </w:rPr>
              <w:t xml:space="preserve"> </w:t>
            </w:r>
            <w:r w:rsidR="00B966CD">
              <w:rPr>
                <w:b/>
                <w:lang w:val="en-US"/>
              </w:rPr>
              <w:t>–</w:t>
            </w:r>
            <w:r>
              <w:rPr>
                <w:b/>
                <w:lang w:val="en-US"/>
              </w:rPr>
              <w:t xml:space="preserve"> I</w:t>
            </w:r>
            <w:r w:rsidRPr="00330E45">
              <w:rPr>
                <w:b/>
                <w:lang w:val="en-US"/>
              </w:rPr>
              <w:t xml:space="preserve">mplement state and territory law changes and changes to state and territory operational systems </w:t>
            </w:r>
          </w:p>
          <w:p w14:paraId="7A265552" w14:textId="77777777" w:rsidR="002E4AB0" w:rsidRPr="00643A01" w:rsidRDefault="002E4AB0" w:rsidP="002A575C">
            <w:pPr>
              <w:pStyle w:val="ListParagraph"/>
              <w:ind w:left="357"/>
              <w:rPr>
                <w:b/>
                <w:lang w:val="en-US"/>
              </w:rPr>
            </w:pPr>
          </w:p>
        </w:tc>
        <w:tc>
          <w:tcPr>
            <w:tcW w:w="5626" w:type="dxa"/>
            <w:shd w:val="clear" w:color="auto" w:fill="E2F2EA" w:themeFill="accent6" w:themeFillTint="33"/>
          </w:tcPr>
          <w:p w14:paraId="2BA42380" w14:textId="77777777" w:rsidR="002E4AB0" w:rsidRPr="00421778" w:rsidRDefault="002E4AB0" w:rsidP="002A575C">
            <w:pPr>
              <w:spacing w:after="120"/>
              <w:rPr>
                <w:rFonts w:cstheme="minorHAnsi"/>
                <w:sz w:val="20"/>
                <w:szCs w:val="20"/>
                <w:lang w:val="en-US"/>
              </w:rPr>
            </w:pPr>
            <w:r w:rsidRPr="00421778">
              <w:rPr>
                <w:rFonts w:cstheme="minorHAnsi"/>
                <w:sz w:val="20"/>
                <w:szCs w:val="20"/>
                <w:lang w:val="en-US"/>
              </w:rPr>
              <w:t xml:space="preserve">This action builds on previous work to develop national policy positions and coordinate across the Commonwealth, states and territories to deliver an integrated national AV regulatory framework. </w:t>
            </w:r>
          </w:p>
          <w:p w14:paraId="52F2B0F4" w14:textId="77777777" w:rsidR="002E4AB0" w:rsidRDefault="002E4AB0" w:rsidP="002A575C">
            <w:pPr>
              <w:spacing w:after="120"/>
              <w:rPr>
                <w:rFonts w:cstheme="minorHAnsi"/>
                <w:sz w:val="20"/>
                <w:szCs w:val="20"/>
                <w:lang w:val="en-US"/>
              </w:rPr>
            </w:pPr>
            <w:r w:rsidRPr="00421778">
              <w:rPr>
                <w:rFonts w:cstheme="minorHAnsi"/>
                <w:sz w:val="20"/>
                <w:szCs w:val="20"/>
                <w:lang w:val="en-US"/>
              </w:rPr>
              <w:t xml:space="preserve">Part (a) will develop national policy positions/model law to support the states and territories to implement the complementary law changes. </w:t>
            </w:r>
          </w:p>
          <w:p w14:paraId="437B571C" w14:textId="77777777" w:rsidR="002E4AB0" w:rsidRPr="00421778" w:rsidRDefault="002E4AB0" w:rsidP="002A575C">
            <w:pPr>
              <w:spacing w:after="120"/>
              <w:rPr>
                <w:rFonts w:cstheme="minorHAnsi"/>
                <w:sz w:val="20"/>
                <w:szCs w:val="20"/>
                <w:lang w:val="en-US"/>
              </w:rPr>
            </w:pPr>
            <w:r w:rsidRPr="00421778">
              <w:rPr>
                <w:rFonts w:cstheme="minorHAnsi"/>
                <w:sz w:val="20"/>
                <w:szCs w:val="20"/>
                <w:lang w:val="en-US"/>
              </w:rPr>
              <w:t xml:space="preserve">Part (b) would update state and territory road traffic laws, operational systems, including vehicle registration, and on-road enforcement activities to regulate the human users of AVs based on the national policy positions/model law developed under Part (a). </w:t>
            </w:r>
          </w:p>
          <w:p w14:paraId="6DC9982C" w14:textId="3A2712FE" w:rsidR="00EF741B" w:rsidRPr="00EF741B" w:rsidRDefault="002E4AB0" w:rsidP="006A4066">
            <w:pPr>
              <w:spacing w:after="1080"/>
              <w:rPr>
                <w:rFonts w:cstheme="minorHAnsi"/>
                <w:sz w:val="20"/>
                <w:szCs w:val="20"/>
                <w:lang w:val="en-US"/>
              </w:rPr>
            </w:pPr>
            <w:r w:rsidRPr="00421778">
              <w:rPr>
                <w:rFonts w:cstheme="minorHAnsi"/>
                <w:sz w:val="20"/>
                <w:szCs w:val="20"/>
                <w:lang w:val="en-US"/>
              </w:rPr>
              <w:t>The law changes are intended to be in place by the end of 2026 (to align with the national AVSL). Changes to state and territory systems to support these activities are also expected to be complete by the end of 2026.</w:t>
            </w:r>
          </w:p>
        </w:tc>
        <w:tc>
          <w:tcPr>
            <w:tcW w:w="1754" w:type="dxa"/>
            <w:shd w:val="clear" w:color="auto" w:fill="E2F2EA" w:themeFill="accent6" w:themeFillTint="33"/>
          </w:tcPr>
          <w:p w14:paraId="69DFC95E" w14:textId="77777777" w:rsidR="002E4AB0" w:rsidRPr="00847554" w:rsidRDefault="002E4AB0" w:rsidP="002A575C">
            <w:pPr>
              <w:spacing w:after="120"/>
              <w:rPr>
                <w:sz w:val="20"/>
                <w:szCs w:val="20"/>
              </w:rPr>
            </w:pPr>
            <w:r w:rsidRPr="37FE2427">
              <w:rPr>
                <w:sz w:val="20"/>
                <w:szCs w:val="20"/>
              </w:rPr>
              <w:t xml:space="preserve">The NTC </w:t>
            </w:r>
            <w:r>
              <w:rPr>
                <w:sz w:val="20"/>
                <w:szCs w:val="20"/>
              </w:rPr>
              <w:t>will lead Part (a),</w:t>
            </w:r>
            <w:r w:rsidRPr="37FE2427">
              <w:rPr>
                <w:sz w:val="20"/>
                <w:szCs w:val="20"/>
              </w:rPr>
              <w:t xml:space="preserve"> in consultation with the </w:t>
            </w:r>
            <w:r>
              <w:rPr>
                <w:sz w:val="20"/>
                <w:szCs w:val="20"/>
              </w:rPr>
              <w:t xml:space="preserve">states and territories and </w:t>
            </w:r>
            <w:r w:rsidRPr="37FE2427">
              <w:rPr>
                <w:sz w:val="20"/>
                <w:szCs w:val="20"/>
              </w:rPr>
              <w:t>Commonwealth</w:t>
            </w:r>
          </w:p>
          <w:p w14:paraId="493CFEE1" w14:textId="77777777" w:rsidR="002E4AB0" w:rsidRDefault="002E4AB0" w:rsidP="002A575C">
            <w:pPr>
              <w:rPr>
                <w:sz w:val="20"/>
                <w:szCs w:val="20"/>
              </w:rPr>
            </w:pPr>
            <w:r>
              <w:rPr>
                <w:sz w:val="20"/>
                <w:szCs w:val="20"/>
              </w:rPr>
              <w:t xml:space="preserve">States and territories will lead Part (b), in consultation with the NTC and </w:t>
            </w:r>
            <w:r w:rsidRPr="00847554">
              <w:rPr>
                <w:sz w:val="20"/>
                <w:szCs w:val="20"/>
              </w:rPr>
              <w:t>Commonwealth</w:t>
            </w:r>
          </w:p>
          <w:p w14:paraId="440ACE83" w14:textId="77777777" w:rsidR="002E4AB0" w:rsidRPr="00847554" w:rsidRDefault="002E4AB0" w:rsidP="002A575C">
            <w:pPr>
              <w:rPr>
                <w:sz w:val="20"/>
                <w:szCs w:val="20"/>
              </w:rPr>
            </w:pPr>
          </w:p>
        </w:tc>
        <w:tc>
          <w:tcPr>
            <w:tcW w:w="1089" w:type="dxa"/>
            <w:shd w:val="clear" w:color="auto" w:fill="E2F2EA" w:themeFill="accent6" w:themeFillTint="33"/>
          </w:tcPr>
          <w:p w14:paraId="6DA14A15" w14:textId="77777777" w:rsidR="002E4AB0" w:rsidRDefault="002E4AB0" w:rsidP="002A575C">
            <w:pPr>
              <w:rPr>
                <w:sz w:val="20"/>
                <w:szCs w:val="20"/>
                <w:lang w:val="en-US"/>
              </w:rPr>
            </w:pPr>
            <w:r>
              <w:rPr>
                <w:sz w:val="20"/>
                <w:szCs w:val="20"/>
                <w:lang w:val="en-US"/>
              </w:rPr>
              <w:t>2024-2026</w:t>
            </w:r>
          </w:p>
          <w:p w14:paraId="5FA4074E" w14:textId="77777777" w:rsidR="002E4AB0" w:rsidRDefault="002E4AB0" w:rsidP="002A575C">
            <w:pPr>
              <w:rPr>
                <w:sz w:val="20"/>
                <w:szCs w:val="20"/>
                <w:lang w:val="en-US"/>
              </w:rPr>
            </w:pPr>
          </w:p>
        </w:tc>
        <w:tc>
          <w:tcPr>
            <w:tcW w:w="1462" w:type="dxa"/>
            <w:shd w:val="clear" w:color="auto" w:fill="E2F2EA" w:themeFill="accent6" w:themeFillTint="33"/>
          </w:tcPr>
          <w:p w14:paraId="32B928F5" w14:textId="77777777" w:rsidR="002E4AB0" w:rsidRDefault="002E4AB0" w:rsidP="002A575C">
            <w:pPr>
              <w:rPr>
                <w:sz w:val="20"/>
                <w:szCs w:val="20"/>
                <w:lang w:val="en-US"/>
              </w:rPr>
            </w:pPr>
            <w:r>
              <w:rPr>
                <w:sz w:val="20"/>
                <w:szCs w:val="20"/>
                <w:lang w:val="en-US"/>
              </w:rPr>
              <w:t>Prepare to deploy</w:t>
            </w:r>
          </w:p>
          <w:p w14:paraId="04650EE2" w14:textId="77777777" w:rsidR="002E4AB0" w:rsidRDefault="002E4AB0" w:rsidP="002A575C">
            <w:pPr>
              <w:rPr>
                <w:sz w:val="20"/>
                <w:szCs w:val="20"/>
                <w:lang w:val="en-US"/>
              </w:rPr>
            </w:pPr>
          </w:p>
        </w:tc>
        <w:tc>
          <w:tcPr>
            <w:tcW w:w="1418" w:type="dxa"/>
            <w:shd w:val="clear" w:color="auto" w:fill="E2F2EA" w:themeFill="accent6" w:themeFillTint="33"/>
          </w:tcPr>
          <w:p w14:paraId="33F89958" w14:textId="77777777" w:rsidR="002E4AB0" w:rsidRDefault="002E4AB0" w:rsidP="002A575C">
            <w:pPr>
              <w:rPr>
                <w:sz w:val="20"/>
                <w:szCs w:val="20"/>
                <w:lang w:val="en-US"/>
              </w:rPr>
            </w:pPr>
            <w:r>
              <w:rPr>
                <w:sz w:val="20"/>
                <w:szCs w:val="20"/>
                <w:lang w:val="en-US"/>
              </w:rPr>
              <w:t>Policy and legislation</w:t>
            </w:r>
          </w:p>
          <w:p w14:paraId="631F8302" w14:textId="77777777" w:rsidR="002E4AB0" w:rsidRDefault="002E4AB0" w:rsidP="002A575C">
            <w:pPr>
              <w:rPr>
                <w:sz w:val="20"/>
                <w:szCs w:val="20"/>
                <w:lang w:val="en-US"/>
              </w:rPr>
            </w:pPr>
          </w:p>
        </w:tc>
      </w:tr>
      <w:tr w:rsidR="002E4AB0" w:rsidRPr="004B155B" w14:paraId="6B48055A" w14:textId="77777777" w:rsidTr="002A575C">
        <w:tc>
          <w:tcPr>
            <w:tcW w:w="3105" w:type="dxa"/>
            <w:shd w:val="clear" w:color="auto" w:fill="C5E6D5" w:themeFill="accent6" w:themeFillTint="66"/>
          </w:tcPr>
          <w:p w14:paraId="394C9AF7" w14:textId="59F6F30C" w:rsidR="00EF741B" w:rsidRPr="006A4066" w:rsidRDefault="002E4AB0" w:rsidP="006A4066">
            <w:pPr>
              <w:spacing w:after="960"/>
              <w:rPr>
                <w:rFonts w:cstheme="minorHAnsi"/>
                <w:b/>
                <w:sz w:val="20"/>
                <w:szCs w:val="20"/>
                <w:lang w:val="en-US"/>
              </w:rPr>
            </w:pPr>
            <w:r w:rsidRPr="00250873">
              <w:rPr>
                <w:b/>
                <w:sz w:val="20"/>
                <w:szCs w:val="20"/>
                <w:lang w:val="en-US"/>
              </w:rPr>
              <w:t>1.</w:t>
            </w:r>
            <w:r>
              <w:rPr>
                <w:b/>
                <w:sz w:val="20"/>
                <w:szCs w:val="20"/>
                <w:lang w:val="en-US"/>
              </w:rPr>
              <w:t>5</w:t>
            </w:r>
            <w:r w:rsidRPr="00250873">
              <w:rPr>
                <w:b/>
                <w:sz w:val="20"/>
                <w:szCs w:val="20"/>
                <w:lang w:val="en-US"/>
              </w:rPr>
              <w:t xml:space="preserve"> </w:t>
            </w:r>
            <w:r>
              <w:rPr>
                <w:rFonts w:cstheme="minorHAnsi"/>
                <w:b/>
                <w:sz w:val="20"/>
                <w:szCs w:val="20"/>
                <w:lang w:val="en-US"/>
              </w:rPr>
              <w:t>Monitor progress in implementing</w:t>
            </w:r>
            <w:r w:rsidRPr="00250873">
              <w:rPr>
                <w:rFonts w:cstheme="minorHAnsi"/>
                <w:b/>
                <w:sz w:val="20"/>
                <w:szCs w:val="20"/>
                <w:lang w:val="en-US"/>
              </w:rPr>
              <w:t xml:space="preserve"> changes to state and territory-based motor accident injury insurance schemes</w:t>
            </w:r>
            <w:r>
              <w:rPr>
                <w:rFonts w:cstheme="minorHAnsi"/>
                <w:b/>
                <w:sz w:val="20"/>
                <w:szCs w:val="20"/>
                <w:lang w:val="en-US"/>
              </w:rPr>
              <w:t>,</w:t>
            </w:r>
            <w:r w:rsidRPr="00250873">
              <w:rPr>
                <w:rFonts w:cstheme="minorHAnsi"/>
                <w:b/>
                <w:sz w:val="20"/>
                <w:szCs w:val="20"/>
                <w:lang w:val="en-US"/>
              </w:rPr>
              <w:t xml:space="preserve"> </w:t>
            </w:r>
            <w:r>
              <w:rPr>
                <w:rFonts w:cstheme="minorHAnsi"/>
                <w:b/>
                <w:sz w:val="20"/>
                <w:szCs w:val="20"/>
                <w:lang w:val="en-US"/>
              </w:rPr>
              <w:t xml:space="preserve">with a view </w:t>
            </w:r>
            <w:r w:rsidRPr="00250873">
              <w:rPr>
                <w:rFonts w:cstheme="minorHAnsi"/>
                <w:b/>
                <w:sz w:val="20"/>
                <w:szCs w:val="20"/>
                <w:lang w:val="en-US"/>
              </w:rPr>
              <w:t>to ensur</w:t>
            </w:r>
            <w:r>
              <w:rPr>
                <w:rFonts w:cstheme="minorHAnsi"/>
                <w:b/>
                <w:sz w:val="20"/>
                <w:szCs w:val="20"/>
                <w:lang w:val="en-US"/>
              </w:rPr>
              <w:t>ing</w:t>
            </w:r>
            <w:r w:rsidRPr="00250873">
              <w:rPr>
                <w:rFonts w:cstheme="minorHAnsi"/>
                <w:b/>
                <w:sz w:val="20"/>
                <w:szCs w:val="20"/>
                <w:lang w:val="en-US"/>
              </w:rPr>
              <w:t xml:space="preserve"> appropriate insurance arrangements are in place to deal with crashes caused by AVs</w:t>
            </w:r>
          </w:p>
        </w:tc>
        <w:tc>
          <w:tcPr>
            <w:tcW w:w="5626" w:type="dxa"/>
            <w:shd w:val="clear" w:color="auto" w:fill="E2F2EA" w:themeFill="accent6" w:themeFillTint="33"/>
          </w:tcPr>
          <w:p w14:paraId="4AE1D26B" w14:textId="77777777" w:rsidR="002E4AB0" w:rsidRPr="004B155B" w:rsidRDefault="002E4AB0" w:rsidP="002A575C">
            <w:pPr>
              <w:rPr>
                <w:sz w:val="20"/>
                <w:szCs w:val="20"/>
                <w:lang w:val="en-US"/>
              </w:rPr>
            </w:pPr>
            <w:r w:rsidRPr="00847554">
              <w:rPr>
                <w:rFonts w:cstheme="minorHAnsi"/>
                <w:sz w:val="20"/>
                <w:szCs w:val="20"/>
                <w:lang w:val="en-US"/>
              </w:rPr>
              <w:t>This action would</w:t>
            </w:r>
            <w:r>
              <w:rPr>
                <w:rFonts w:cstheme="minorHAnsi"/>
                <w:sz w:val="20"/>
                <w:szCs w:val="20"/>
                <w:lang w:val="en-US"/>
              </w:rPr>
              <w:t xml:space="preserve"> monitor progress to</w:t>
            </w:r>
            <w:r w:rsidRPr="00847554">
              <w:rPr>
                <w:rFonts w:cstheme="minorHAnsi"/>
                <w:sz w:val="20"/>
                <w:szCs w:val="20"/>
                <w:lang w:val="en-US"/>
              </w:rPr>
              <w:t xml:space="preserve"> implement changes flowing from the review into state and territory-based motor accident injury insurance schemes (an action in the 2020-23 Action Plan). </w:t>
            </w:r>
            <w:r>
              <w:rPr>
                <w:sz w:val="20"/>
                <w:szCs w:val="20"/>
              </w:rPr>
              <w:t>The changes are intended to be in place</w:t>
            </w:r>
            <w:r w:rsidRPr="00847554">
              <w:rPr>
                <w:sz w:val="20"/>
                <w:szCs w:val="20"/>
              </w:rPr>
              <w:t xml:space="preserve"> by the end of 2026 (to align with the national </w:t>
            </w:r>
            <w:r>
              <w:rPr>
                <w:sz w:val="20"/>
                <w:szCs w:val="20"/>
              </w:rPr>
              <w:t>AVSL</w:t>
            </w:r>
            <w:r w:rsidRPr="00847554">
              <w:rPr>
                <w:sz w:val="20"/>
                <w:szCs w:val="20"/>
              </w:rPr>
              <w:t>).</w:t>
            </w:r>
          </w:p>
        </w:tc>
        <w:tc>
          <w:tcPr>
            <w:tcW w:w="1754" w:type="dxa"/>
            <w:shd w:val="clear" w:color="auto" w:fill="E2F2EA" w:themeFill="accent6" w:themeFillTint="33"/>
          </w:tcPr>
          <w:p w14:paraId="545220CC" w14:textId="77777777" w:rsidR="002E4AB0" w:rsidRPr="004B155B" w:rsidRDefault="002E4AB0" w:rsidP="002A575C">
            <w:pPr>
              <w:spacing w:after="120"/>
              <w:rPr>
                <w:sz w:val="20"/>
                <w:szCs w:val="20"/>
                <w:lang w:val="en-US"/>
              </w:rPr>
            </w:pPr>
            <w:r>
              <w:rPr>
                <w:rFonts w:cstheme="minorHAnsi"/>
                <w:sz w:val="20"/>
                <w:szCs w:val="20"/>
                <w:lang w:val="en-US"/>
              </w:rPr>
              <w:t>States and territories</w:t>
            </w:r>
            <w:r w:rsidRPr="00847554">
              <w:rPr>
                <w:rFonts w:cstheme="minorHAnsi"/>
                <w:sz w:val="20"/>
                <w:szCs w:val="20"/>
                <w:lang w:val="en-US"/>
              </w:rPr>
              <w:t xml:space="preserve"> (lead), in consultation with </w:t>
            </w:r>
            <w:r>
              <w:rPr>
                <w:rFonts w:cstheme="minorHAnsi"/>
                <w:sz w:val="20"/>
                <w:szCs w:val="20"/>
                <w:lang w:val="en-US"/>
              </w:rPr>
              <w:t>the NTC and Commonwealth</w:t>
            </w:r>
          </w:p>
        </w:tc>
        <w:tc>
          <w:tcPr>
            <w:tcW w:w="1089" w:type="dxa"/>
            <w:shd w:val="clear" w:color="auto" w:fill="E2F2EA" w:themeFill="accent6" w:themeFillTint="33"/>
          </w:tcPr>
          <w:p w14:paraId="6DC10859" w14:textId="77777777" w:rsidR="002E4AB0" w:rsidRPr="004B155B" w:rsidRDefault="002E4AB0" w:rsidP="002A575C">
            <w:pPr>
              <w:rPr>
                <w:sz w:val="20"/>
                <w:szCs w:val="20"/>
                <w:lang w:val="en-US"/>
              </w:rPr>
            </w:pPr>
            <w:r>
              <w:rPr>
                <w:sz w:val="20"/>
                <w:szCs w:val="20"/>
                <w:lang w:val="en-US"/>
              </w:rPr>
              <w:t>2024-2026</w:t>
            </w:r>
          </w:p>
        </w:tc>
        <w:tc>
          <w:tcPr>
            <w:tcW w:w="1462" w:type="dxa"/>
            <w:shd w:val="clear" w:color="auto" w:fill="E2F2EA" w:themeFill="accent6" w:themeFillTint="33"/>
          </w:tcPr>
          <w:p w14:paraId="216A4129" w14:textId="77777777" w:rsidR="002E4AB0" w:rsidRPr="004B155B" w:rsidRDefault="002E4AB0" w:rsidP="002A575C">
            <w:pPr>
              <w:rPr>
                <w:sz w:val="20"/>
                <w:szCs w:val="20"/>
                <w:lang w:val="en-US"/>
              </w:rPr>
            </w:pPr>
            <w:r>
              <w:rPr>
                <w:sz w:val="20"/>
                <w:szCs w:val="20"/>
                <w:lang w:val="en-US"/>
              </w:rPr>
              <w:t>Prepare to deploy</w:t>
            </w:r>
          </w:p>
        </w:tc>
        <w:tc>
          <w:tcPr>
            <w:tcW w:w="1418" w:type="dxa"/>
            <w:shd w:val="clear" w:color="auto" w:fill="E2F2EA" w:themeFill="accent6" w:themeFillTint="33"/>
          </w:tcPr>
          <w:p w14:paraId="04527B12" w14:textId="77777777" w:rsidR="002E4AB0" w:rsidRPr="004B155B" w:rsidRDefault="002E4AB0" w:rsidP="002A575C">
            <w:pPr>
              <w:rPr>
                <w:sz w:val="20"/>
                <w:szCs w:val="20"/>
                <w:lang w:val="en-US"/>
              </w:rPr>
            </w:pPr>
            <w:r>
              <w:rPr>
                <w:sz w:val="20"/>
                <w:szCs w:val="20"/>
                <w:lang w:val="en-US"/>
              </w:rPr>
              <w:t>Policy and legislation</w:t>
            </w:r>
          </w:p>
        </w:tc>
      </w:tr>
      <w:tr w:rsidR="002E4AB0" w:rsidRPr="004B155B" w14:paraId="0BF038B7" w14:textId="77777777" w:rsidTr="002A575C">
        <w:tc>
          <w:tcPr>
            <w:tcW w:w="3105" w:type="dxa"/>
            <w:shd w:val="clear" w:color="auto" w:fill="C5E6D5" w:themeFill="accent6" w:themeFillTint="66"/>
          </w:tcPr>
          <w:p w14:paraId="45024727" w14:textId="77777777" w:rsidR="002E4AB0" w:rsidRPr="00250873" w:rsidRDefault="002E4AB0" w:rsidP="002A575C">
            <w:pPr>
              <w:spacing w:after="120"/>
              <w:rPr>
                <w:b/>
                <w:sz w:val="20"/>
                <w:szCs w:val="20"/>
                <w:lang w:val="en-US"/>
              </w:rPr>
            </w:pPr>
            <w:r>
              <w:rPr>
                <w:b/>
                <w:sz w:val="20"/>
                <w:szCs w:val="20"/>
                <w:lang w:val="en-US"/>
              </w:rPr>
              <w:lastRenderedPageBreak/>
              <w:t>1.6 Develop and maintain a central repository of education and training materials for ADAS and ADS that can be used by government and industry to facilitate consistent messaging for vehicle users</w:t>
            </w:r>
          </w:p>
        </w:tc>
        <w:tc>
          <w:tcPr>
            <w:tcW w:w="5626" w:type="dxa"/>
            <w:shd w:val="clear" w:color="auto" w:fill="E2F2EA" w:themeFill="accent6" w:themeFillTint="33"/>
          </w:tcPr>
          <w:p w14:paraId="03708DF2" w14:textId="77777777" w:rsidR="002E4AB0" w:rsidRPr="00847554" w:rsidRDefault="002E4AB0" w:rsidP="00DA3925">
            <w:pPr>
              <w:spacing w:after="240"/>
              <w:rPr>
                <w:rFonts w:cstheme="minorHAnsi"/>
                <w:sz w:val="20"/>
                <w:szCs w:val="20"/>
                <w:lang w:val="en-US"/>
              </w:rPr>
            </w:pPr>
            <w:r>
              <w:rPr>
                <w:rFonts w:cstheme="minorHAnsi"/>
                <w:sz w:val="20"/>
                <w:szCs w:val="20"/>
                <w:lang w:val="en-US"/>
              </w:rPr>
              <w:t xml:space="preserve">This action would help educate vehicle users about the operation and use of vehicle ADAS and ADS (once they enter the market). It would develop and maintain a central repository of education and training materials for government and industry building on </w:t>
            </w:r>
            <w:proofErr w:type="spellStart"/>
            <w:r w:rsidRPr="002A1FCA">
              <w:rPr>
                <w:sz w:val="20"/>
                <w:szCs w:val="20"/>
                <w:lang w:val="en-US"/>
              </w:rPr>
              <w:t>Austroads</w:t>
            </w:r>
            <w:proofErr w:type="spellEnd"/>
            <w:r w:rsidRPr="002A1FCA">
              <w:rPr>
                <w:sz w:val="20"/>
                <w:szCs w:val="20"/>
                <w:lang w:val="en-US"/>
              </w:rPr>
              <w:t xml:space="preserve"> </w:t>
            </w:r>
            <w:r w:rsidRPr="002A1FCA">
              <w:rPr>
                <w:i/>
                <w:sz w:val="20"/>
                <w:szCs w:val="20"/>
              </w:rPr>
              <w:t>Incorporating advanced driver assistance systems into driver licensing, education and training practices</w:t>
            </w:r>
            <w:r>
              <w:rPr>
                <w:i/>
                <w:sz w:val="20"/>
                <w:szCs w:val="20"/>
              </w:rPr>
              <w:t xml:space="preserve"> </w:t>
            </w:r>
            <w:r>
              <w:rPr>
                <w:sz w:val="20"/>
                <w:szCs w:val="20"/>
                <w:lang w:val="en-US"/>
              </w:rPr>
              <w:t>(</w:t>
            </w:r>
            <w:r w:rsidRPr="002A1FCA">
              <w:rPr>
                <w:sz w:val="20"/>
                <w:szCs w:val="20"/>
                <w:lang w:val="en-US"/>
              </w:rPr>
              <w:t>SRL6287</w:t>
            </w:r>
            <w:r>
              <w:rPr>
                <w:sz w:val="20"/>
                <w:szCs w:val="20"/>
                <w:lang w:val="en-US"/>
              </w:rPr>
              <w:t>)</w:t>
            </w:r>
            <w:r>
              <w:rPr>
                <w:rStyle w:val="FootnoteReference"/>
                <w:sz w:val="20"/>
                <w:szCs w:val="20"/>
              </w:rPr>
              <w:footnoteReference w:id="12"/>
            </w:r>
            <w:r>
              <w:rPr>
                <w:rFonts w:cstheme="minorHAnsi"/>
                <w:sz w:val="20"/>
                <w:szCs w:val="20"/>
                <w:lang w:val="en-US"/>
              </w:rPr>
              <w:t xml:space="preserve">. The materials would be updated as technologies develop. </w:t>
            </w:r>
            <w:r w:rsidRPr="0052033A">
              <w:rPr>
                <w:sz w:val="20"/>
                <w:szCs w:val="20"/>
                <w:lang w:val="en-US"/>
              </w:rPr>
              <w:t>This action may support the in-service regulator’s educative role once the in-service regulator is established (see also Action 1.8).</w:t>
            </w:r>
            <w:r w:rsidRPr="001A7CE0">
              <w:rPr>
                <w:color w:val="auto"/>
                <w:sz w:val="20"/>
                <w:szCs w:val="20"/>
                <w:lang w:val="en-US"/>
              </w:rPr>
              <w:t xml:space="preserve"> </w:t>
            </w:r>
            <w:r>
              <w:rPr>
                <w:rFonts w:cstheme="minorHAnsi"/>
                <w:sz w:val="20"/>
                <w:szCs w:val="20"/>
                <w:lang w:val="en-US"/>
              </w:rPr>
              <w:t xml:space="preserve">Note, this action would be subject to </w:t>
            </w:r>
            <w:proofErr w:type="spellStart"/>
            <w:r>
              <w:rPr>
                <w:rFonts w:cstheme="minorHAnsi"/>
                <w:sz w:val="20"/>
                <w:szCs w:val="20"/>
                <w:lang w:val="en-US"/>
              </w:rPr>
              <w:t>Austroads</w:t>
            </w:r>
            <w:proofErr w:type="spellEnd"/>
            <w:r>
              <w:rPr>
                <w:rFonts w:cstheme="minorHAnsi"/>
                <w:sz w:val="20"/>
                <w:szCs w:val="20"/>
                <w:lang w:val="en-US"/>
              </w:rPr>
              <w:t xml:space="preserve"> Board approval.</w:t>
            </w:r>
          </w:p>
        </w:tc>
        <w:tc>
          <w:tcPr>
            <w:tcW w:w="1754" w:type="dxa"/>
            <w:shd w:val="clear" w:color="auto" w:fill="E2F2EA" w:themeFill="accent6" w:themeFillTint="33"/>
          </w:tcPr>
          <w:p w14:paraId="10022A2D" w14:textId="77777777" w:rsidR="002E4AB0" w:rsidRPr="00847554" w:rsidRDefault="002E4AB0" w:rsidP="002A575C">
            <w:pPr>
              <w:rPr>
                <w:rFonts w:cstheme="minorHAnsi"/>
                <w:sz w:val="20"/>
                <w:szCs w:val="20"/>
                <w:lang w:val="en-US"/>
              </w:rPr>
            </w:pPr>
            <w:proofErr w:type="spellStart"/>
            <w:r>
              <w:rPr>
                <w:rFonts w:cstheme="minorHAnsi"/>
                <w:sz w:val="20"/>
                <w:szCs w:val="20"/>
                <w:lang w:val="en-US"/>
              </w:rPr>
              <w:t>Austroads</w:t>
            </w:r>
            <w:proofErr w:type="spellEnd"/>
            <w:r>
              <w:rPr>
                <w:rFonts w:cstheme="minorHAnsi"/>
                <w:sz w:val="20"/>
                <w:szCs w:val="20"/>
                <w:lang w:val="en-US"/>
              </w:rPr>
              <w:t xml:space="preserve"> (lead), in consultation with the Commonwealth, states and territories</w:t>
            </w:r>
          </w:p>
        </w:tc>
        <w:tc>
          <w:tcPr>
            <w:tcW w:w="1089" w:type="dxa"/>
            <w:shd w:val="clear" w:color="auto" w:fill="E2F2EA" w:themeFill="accent6" w:themeFillTint="33"/>
          </w:tcPr>
          <w:p w14:paraId="3E18A8BC" w14:textId="77777777" w:rsidR="002E4AB0" w:rsidRDefault="002E4AB0" w:rsidP="002A575C">
            <w:pPr>
              <w:rPr>
                <w:sz w:val="20"/>
                <w:szCs w:val="20"/>
                <w:lang w:val="en-US"/>
              </w:rPr>
            </w:pPr>
            <w:r>
              <w:rPr>
                <w:sz w:val="20"/>
                <w:szCs w:val="20"/>
                <w:lang w:val="en-US"/>
              </w:rPr>
              <w:t>2024-2027</w:t>
            </w:r>
          </w:p>
        </w:tc>
        <w:tc>
          <w:tcPr>
            <w:tcW w:w="1462" w:type="dxa"/>
            <w:shd w:val="clear" w:color="auto" w:fill="E2F2EA" w:themeFill="accent6" w:themeFillTint="33"/>
          </w:tcPr>
          <w:p w14:paraId="530E0A77" w14:textId="77777777" w:rsidR="002E4AB0" w:rsidRDefault="002E4AB0" w:rsidP="002A575C">
            <w:pPr>
              <w:rPr>
                <w:sz w:val="20"/>
                <w:szCs w:val="20"/>
                <w:lang w:val="en-US"/>
              </w:rPr>
            </w:pPr>
            <w:r>
              <w:rPr>
                <w:sz w:val="20"/>
                <w:szCs w:val="20"/>
                <w:lang w:val="en-US"/>
              </w:rPr>
              <w:t>Prepare to deploy</w:t>
            </w:r>
          </w:p>
        </w:tc>
        <w:tc>
          <w:tcPr>
            <w:tcW w:w="1418" w:type="dxa"/>
            <w:shd w:val="clear" w:color="auto" w:fill="E2F2EA" w:themeFill="accent6" w:themeFillTint="33"/>
          </w:tcPr>
          <w:p w14:paraId="5CB44CB9" w14:textId="77777777" w:rsidR="002E4AB0" w:rsidRDefault="002E4AB0" w:rsidP="002A575C">
            <w:pPr>
              <w:rPr>
                <w:sz w:val="20"/>
                <w:szCs w:val="20"/>
                <w:lang w:val="en-US"/>
              </w:rPr>
            </w:pPr>
            <w:r>
              <w:rPr>
                <w:sz w:val="20"/>
                <w:szCs w:val="20"/>
                <w:lang w:val="en-US"/>
              </w:rPr>
              <w:t>Business and community acceptance</w:t>
            </w:r>
          </w:p>
        </w:tc>
      </w:tr>
      <w:tr w:rsidR="002E4AB0" w:rsidRPr="004B155B" w14:paraId="3B5B30AD" w14:textId="77777777" w:rsidTr="002A575C">
        <w:tc>
          <w:tcPr>
            <w:tcW w:w="3105" w:type="dxa"/>
            <w:shd w:val="clear" w:color="auto" w:fill="C5E6D5" w:themeFill="accent6" w:themeFillTint="66"/>
          </w:tcPr>
          <w:p w14:paraId="19BC805A" w14:textId="77777777" w:rsidR="002E4AB0" w:rsidRPr="005C0AD7" w:rsidRDefault="002E4AB0" w:rsidP="002A575C">
            <w:pPr>
              <w:spacing w:after="120"/>
              <w:rPr>
                <w:b/>
                <w:sz w:val="20"/>
                <w:szCs w:val="20"/>
                <w:lang w:val="en-US"/>
              </w:rPr>
            </w:pPr>
            <w:r w:rsidRPr="005C0AD7">
              <w:rPr>
                <w:b/>
                <w:sz w:val="20"/>
                <w:szCs w:val="20"/>
                <w:lang w:val="en-US"/>
              </w:rPr>
              <w:t>1.</w:t>
            </w:r>
            <w:r>
              <w:rPr>
                <w:b/>
                <w:sz w:val="20"/>
                <w:szCs w:val="20"/>
                <w:lang w:val="en-US"/>
              </w:rPr>
              <w:t>7</w:t>
            </w:r>
            <w:r w:rsidRPr="005C0AD7">
              <w:rPr>
                <w:b/>
                <w:sz w:val="20"/>
                <w:szCs w:val="20"/>
                <w:lang w:val="en-US"/>
              </w:rPr>
              <w:t xml:space="preserve"> </w:t>
            </w:r>
            <w:r w:rsidRPr="005C0AD7">
              <w:rPr>
                <w:rFonts w:cstheme="minorHAnsi"/>
                <w:b/>
                <w:sz w:val="20"/>
                <w:szCs w:val="20"/>
                <w:lang w:val="en-US"/>
              </w:rPr>
              <w:t xml:space="preserve">Develop </w:t>
            </w:r>
            <w:r>
              <w:rPr>
                <w:rFonts w:cstheme="minorHAnsi"/>
                <w:b/>
                <w:sz w:val="20"/>
                <w:szCs w:val="20"/>
                <w:lang w:val="en-US"/>
              </w:rPr>
              <w:t xml:space="preserve">education materials </w:t>
            </w:r>
            <w:r w:rsidRPr="005C0AD7">
              <w:rPr>
                <w:rFonts w:cstheme="minorHAnsi"/>
                <w:b/>
                <w:sz w:val="20"/>
                <w:szCs w:val="20"/>
                <w:lang w:val="en-US"/>
              </w:rPr>
              <w:t>targeted towards commencement of the national AV safety law</w:t>
            </w:r>
            <w:r>
              <w:rPr>
                <w:rFonts w:cstheme="minorHAnsi"/>
                <w:b/>
                <w:sz w:val="20"/>
                <w:szCs w:val="20"/>
                <w:lang w:val="en-US"/>
              </w:rPr>
              <w:t>, to facilitate consistent messaging</w:t>
            </w:r>
            <w:r w:rsidRPr="005C0AD7">
              <w:rPr>
                <w:rFonts w:cstheme="minorHAnsi"/>
                <w:b/>
                <w:sz w:val="20"/>
                <w:szCs w:val="20"/>
                <w:lang w:val="en-US"/>
              </w:rPr>
              <w:t xml:space="preserve"> </w:t>
            </w:r>
            <w:r>
              <w:rPr>
                <w:rFonts w:cstheme="minorHAnsi"/>
                <w:b/>
                <w:sz w:val="20"/>
                <w:szCs w:val="20"/>
                <w:lang w:val="en-US"/>
              </w:rPr>
              <w:t>for industry and vehicle users</w:t>
            </w:r>
          </w:p>
        </w:tc>
        <w:tc>
          <w:tcPr>
            <w:tcW w:w="5626" w:type="dxa"/>
            <w:shd w:val="clear" w:color="auto" w:fill="E2F2EA" w:themeFill="accent6" w:themeFillTint="33"/>
          </w:tcPr>
          <w:p w14:paraId="6F94B530" w14:textId="77777777" w:rsidR="002E4AB0" w:rsidRPr="004B155B" w:rsidRDefault="002E4AB0" w:rsidP="00DA3925">
            <w:pPr>
              <w:spacing w:after="240"/>
              <w:rPr>
                <w:sz w:val="20"/>
                <w:szCs w:val="20"/>
                <w:lang w:val="en-US"/>
              </w:rPr>
            </w:pPr>
            <w:r w:rsidRPr="002A1FCA">
              <w:rPr>
                <w:rFonts w:cstheme="minorHAnsi"/>
                <w:sz w:val="20"/>
                <w:szCs w:val="20"/>
                <w:lang w:val="en-US"/>
              </w:rPr>
              <w:t xml:space="preserve">This action would help educate </w:t>
            </w:r>
            <w:r>
              <w:rPr>
                <w:rFonts w:cstheme="minorHAnsi"/>
                <w:sz w:val="20"/>
                <w:szCs w:val="20"/>
                <w:lang w:val="en-US"/>
              </w:rPr>
              <w:t xml:space="preserve">industry and the </w:t>
            </w:r>
            <w:r w:rsidRPr="002A1FCA">
              <w:rPr>
                <w:rFonts w:cstheme="minorHAnsi"/>
                <w:sz w:val="20"/>
                <w:szCs w:val="20"/>
                <w:lang w:val="en-US"/>
              </w:rPr>
              <w:t xml:space="preserve">public </w:t>
            </w:r>
            <w:r>
              <w:rPr>
                <w:rFonts w:cstheme="minorHAnsi"/>
                <w:sz w:val="20"/>
                <w:szCs w:val="20"/>
                <w:lang w:val="en-US"/>
              </w:rPr>
              <w:t xml:space="preserve">about </w:t>
            </w:r>
            <w:r w:rsidRPr="002A1FCA">
              <w:rPr>
                <w:rFonts w:cstheme="minorHAnsi"/>
                <w:sz w:val="20"/>
                <w:szCs w:val="20"/>
                <w:lang w:val="en-US"/>
              </w:rPr>
              <w:t>user</w:t>
            </w:r>
            <w:r>
              <w:rPr>
                <w:rFonts w:cstheme="minorHAnsi"/>
                <w:sz w:val="20"/>
                <w:szCs w:val="20"/>
                <w:lang w:val="en-US"/>
              </w:rPr>
              <w:t xml:space="preserve"> and entity responsibilities</w:t>
            </w:r>
            <w:r w:rsidRPr="002A1FCA">
              <w:rPr>
                <w:rFonts w:cstheme="minorHAnsi"/>
                <w:sz w:val="20"/>
                <w:szCs w:val="20"/>
                <w:lang w:val="en-US"/>
              </w:rPr>
              <w:t xml:space="preserve"> under the national AV</w:t>
            </w:r>
            <w:r>
              <w:rPr>
                <w:rFonts w:cstheme="minorHAnsi"/>
                <w:sz w:val="20"/>
                <w:szCs w:val="20"/>
                <w:lang w:val="en-US"/>
              </w:rPr>
              <w:t>SL. The AV in-service safety regulator, once established, is expected to have a key educative role in relation to AV regulation for industry and vehicle users</w:t>
            </w:r>
            <w:r w:rsidRPr="002A1FCA">
              <w:rPr>
                <w:rFonts w:cstheme="minorHAnsi"/>
                <w:sz w:val="20"/>
                <w:szCs w:val="20"/>
                <w:lang w:val="en-US"/>
              </w:rPr>
              <w:t xml:space="preserve">. </w:t>
            </w:r>
          </w:p>
        </w:tc>
        <w:tc>
          <w:tcPr>
            <w:tcW w:w="1754" w:type="dxa"/>
            <w:shd w:val="clear" w:color="auto" w:fill="E2F2EA" w:themeFill="accent6" w:themeFillTint="33"/>
          </w:tcPr>
          <w:p w14:paraId="36F7F0FE" w14:textId="77777777" w:rsidR="002E4AB0" w:rsidRPr="004B155B" w:rsidRDefault="002E4AB0" w:rsidP="002A575C">
            <w:pPr>
              <w:rPr>
                <w:sz w:val="20"/>
                <w:szCs w:val="20"/>
                <w:lang w:val="en-US"/>
              </w:rPr>
            </w:pPr>
            <w:r w:rsidRPr="00847554">
              <w:rPr>
                <w:rFonts w:cstheme="minorHAnsi"/>
                <w:sz w:val="20"/>
                <w:szCs w:val="20"/>
                <w:lang w:val="en-US"/>
              </w:rPr>
              <w:t>Commonwealth</w:t>
            </w:r>
            <w:r>
              <w:rPr>
                <w:rFonts w:cstheme="minorHAnsi"/>
                <w:sz w:val="20"/>
                <w:szCs w:val="20"/>
                <w:lang w:val="en-US"/>
              </w:rPr>
              <w:t xml:space="preserve"> (lead)</w:t>
            </w:r>
            <w:r w:rsidRPr="00847554">
              <w:rPr>
                <w:rFonts w:cstheme="minorHAnsi"/>
                <w:sz w:val="20"/>
                <w:szCs w:val="20"/>
                <w:lang w:val="en-US"/>
              </w:rPr>
              <w:t xml:space="preserve">, in consultation with </w:t>
            </w:r>
            <w:r>
              <w:rPr>
                <w:rFonts w:cstheme="minorHAnsi"/>
                <w:sz w:val="20"/>
                <w:szCs w:val="20"/>
                <w:lang w:val="en-US"/>
              </w:rPr>
              <w:t xml:space="preserve">the </w:t>
            </w:r>
            <w:r w:rsidRPr="00847554">
              <w:rPr>
                <w:rFonts w:cstheme="minorHAnsi"/>
                <w:sz w:val="20"/>
                <w:szCs w:val="20"/>
                <w:lang w:val="en-US"/>
              </w:rPr>
              <w:t>states and territories</w:t>
            </w:r>
          </w:p>
        </w:tc>
        <w:tc>
          <w:tcPr>
            <w:tcW w:w="1089" w:type="dxa"/>
            <w:shd w:val="clear" w:color="auto" w:fill="E2F2EA" w:themeFill="accent6" w:themeFillTint="33"/>
          </w:tcPr>
          <w:p w14:paraId="60E5122B" w14:textId="77777777" w:rsidR="002E4AB0" w:rsidRPr="004B155B" w:rsidRDefault="002E4AB0" w:rsidP="002A575C">
            <w:pPr>
              <w:rPr>
                <w:sz w:val="20"/>
                <w:szCs w:val="20"/>
                <w:lang w:val="en-US"/>
              </w:rPr>
            </w:pPr>
            <w:r>
              <w:rPr>
                <w:sz w:val="20"/>
                <w:szCs w:val="20"/>
                <w:lang w:val="en-US"/>
              </w:rPr>
              <w:t>2025-2026</w:t>
            </w:r>
          </w:p>
        </w:tc>
        <w:tc>
          <w:tcPr>
            <w:tcW w:w="1462" w:type="dxa"/>
            <w:shd w:val="clear" w:color="auto" w:fill="E2F2EA" w:themeFill="accent6" w:themeFillTint="33"/>
          </w:tcPr>
          <w:p w14:paraId="4EF6E9EA" w14:textId="77777777" w:rsidR="002E4AB0" w:rsidRPr="004B155B" w:rsidRDefault="002E4AB0" w:rsidP="002A575C">
            <w:pPr>
              <w:rPr>
                <w:sz w:val="20"/>
                <w:szCs w:val="20"/>
                <w:lang w:val="en-US"/>
              </w:rPr>
            </w:pPr>
            <w:r>
              <w:rPr>
                <w:sz w:val="20"/>
                <w:szCs w:val="20"/>
                <w:lang w:val="en-US"/>
              </w:rPr>
              <w:t>Prepare to deploy</w:t>
            </w:r>
          </w:p>
        </w:tc>
        <w:tc>
          <w:tcPr>
            <w:tcW w:w="1418" w:type="dxa"/>
            <w:shd w:val="clear" w:color="auto" w:fill="E2F2EA" w:themeFill="accent6" w:themeFillTint="33"/>
          </w:tcPr>
          <w:p w14:paraId="71789E3B" w14:textId="77777777" w:rsidR="002E4AB0" w:rsidRPr="004B155B" w:rsidRDefault="002E4AB0" w:rsidP="002A575C">
            <w:pPr>
              <w:rPr>
                <w:sz w:val="20"/>
                <w:szCs w:val="20"/>
                <w:lang w:val="en-US"/>
              </w:rPr>
            </w:pPr>
            <w:r>
              <w:rPr>
                <w:sz w:val="20"/>
                <w:szCs w:val="20"/>
                <w:lang w:val="en-US"/>
              </w:rPr>
              <w:t>Business and community acceptance</w:t>
            </w:r>
          </w:p>
        </w:tc>
      </w:tr>
    </w:tbl>
    <w:p w14:paraId="34671E69" w14:textId="77777777" w:rsidR="002E4AB0" w:rsidRDefault="002E4AB0" w:rsidP="002E4AB0">
      <w:pPr>
        <w:rPr>
          <w:b/>
          <w:lang w:val="en-US"/>
        </w:rPr>
      </w:pPr>
    </w:p>
    <w:p w14:paraId="73067982" w14:textId="77777777" w:rsidR="002E4AB0" w:rsidRDefault="002E4AB0" w:rsidP="002E4AB0">
      <w:pPr>
        <w:pStyle w:val="Heading2"/>
        <w:rPr>
          <w:lang w:val="en-US"/>
        </w:rPr>
      </w:pPr>
      <w:r>
        <w:rPr>
          <w:lang w:val="en-US"/>
        </w:rPr>
        <w:br w:type="page"/>
      </w:r>
      <w:bookmarkStart w:id="6" w:name="_Toc148430727"/>
      <w:r>
        <w:rPr>
          <w:lang w:val="en-US"/>
        </w:rPr>
        <w:lastRenderedPageBreak/>
        <w:t>Workstream 2: Vehicle connectivity</w:t>
      </w:r>
      <w:bookmarkEnd w:id="6"/>
    </w:p>
    <w:tbl>
      <w:tblPr>
        <w:tblStyle w:val="TableGrid"/>
        <w:tblW w:w="14454" w:type="dxa"/>
        <w:tblLayout w:type="fixed"/>
        <w:tblLook w:val="04A0" w:firstRow="1" w:lastRow="0" w:firstColumn="1" w:lastColumn="0" w:noHBand="0" w:noVBand="1"/>
      </w:tblPr>
      <w:tblGrid>
        <w:gridCol w:w="3114"/>
        <w:gridCol w:w="5670"/>
        <w:gridCol w:w="1701"/>
        <w:gridCol w:w="1134"/>
        <w:gridCol w:w="1417"/>
        <w:gridCol w:w="1418"/>
      </w:tblGrid>
      <w:tr w:rsidR="002E4AB0" w14:paraId="3F1C1586" w14:textId="77777777" w:rsidTr="002A575C">
        <w:trPr>
          <w:tblHeader/>
        </w:trPr>
        <w:tc>
          <w:tcPr>
            <w:tcW w:w="3114" w:type="dxa"/>
            <w:tcBorders>
              <w:bottom w:val="single" w:sz="4" w:space="0" w:color="auto"/>
            </w:tcBorders>
            <w:shd w:val="clear" w:color="auto" w:fill="D9E5BB" w:themeFill="accent5" w:themeFillTint="99"/>
          </w:tcPr>
          <w:p w14:paraId="5A70687C" w14:textId="77777777" w:rsidR="002E4AB0" w:rsidRDefault="002E4AB0" w:rsidP="002A575C">
            <w:pPr>
              <w:rPr>
                <w:b/>
                <w:lang w:val="en-US"/>
              </w:rPr>
            </w:pPr>
            <w:r>
              <w:rPr>
                <w:b/>
                <w:lang w:val="en-US"/>
              </w:rPr>
              <w:t>Action</w:t>
            </w:r>
          </w:p>
        </w:tc>
        <w:tc>
          <w:tcPr>
            <w:tcW w:w="5670" w:type="dxa"/>
            <w:tcBorders>
              <w:bottom w:val="single" w:sz="4" w:space="0" w:color="auto"/>
            </w:tcBorders>
            <w:shd w:val="clear" w:color="auto" w:fill="D9E5BB" w:themeFill="accent5" w:themeFillTint="99"/>
          </w:tcPr>
          <w:p w14:paraId="25654B6B" w14:textId="77777777" w:rsidR="002E4AB0" w:rsidRDefault="002E4AB0" w:rsidP="002A575C">
            <w:pPr>
              <w:rPr>
                <w:b/>
                <w:lang w:val="en-US"/>
              </w:rPr>
            </w:pPr>
            <w:r>
              <w:rPr>
                <w:b/>
                <w:lang w:val="en-US"/>
              </w:rPr>
              <w:t>Description</w:t>
            </w:r>
          </w:p>
        </w:tc>
        <w:tc>
          <w:tcPr>
            <w:tcW w:w="1701" w:type="dxa"/>
            <w:tcBorders>
              <w:bottom w:val="single" w:sz="4" w:space="0" w:color="auto"/>
            </w:tcBorders>
            <w:shd w:val="clear" w:color="auto" w:fill="D9E5BB" w:themeFill="accent5" w:themeFillTint="99"/>
          </w:tcPr>
          <w:p w14:paraId="3A0B10B4" w14:textId="77777777" w:rsidR="002E4AB0" w:rsidRDefault="002E4AB0" w:rsidP="002A575C">
            <w:pPr>
              <w:rPr>
                <w:b/>
                <w:lang w:val="en-US"/>
              </w:rPr>
            </w:pPr>
            <w:r>
              <w:rPr>
                <w:b/>
                <w:lang w:val="en-US"/>
              </w:rPr>
              <w:t>Lead</w:t>
            </w:r>
          </w:p>
        </w:tc>
        <w:tc>
          <w:tcPr>
            <w:tcW w:w="1134" w:type="dxa"/>
            <w:tcBorders>
              <w:bottom w:val="single" w:sz="4" w:space="0" w:color="auto"/>
            </w:tcBorders>
            <w:shd w:val="clear" w:color="auto" w:fill="D9E5BB" w:themeFill="accent5" w:themeFillTint="99"/>
          </w:tcPr>
          <w:p w14:paraId="558C9225" w14:textId="77777777" w:rsidR="002E4AB0" w:rsidRDefault="002E4AB0" w:rsidP="002A575C">
            <w:pPr>
              <w:rPr>
                <w:b/>
                <w:lang w:val="en-US"/>
              </w:rPr>
            </w:pPr>
            <w:r>
              <w:rPr>
                <w:b/>
                <w:lang w:val="en-US"/>
              </w:rPr>
              <w:t>Timing</w:t>
            </w:r>
          </w:p>
        </w:tc>
        <w:tc>
          <w:tcPr>
            <w:tcW w:w="1417" w:type="dxa"/>
            <w:tcBorders>
              <w:bottom w:val="single" w:sz="4" w:space="0" w:color="auto"/>
            </w:tcBorders>
            <w:shd w:val="clear" w:color="auto" w:fill="D9E5BB" w:themeFill="accent5" w:themeFillTint="99"/>
          </w:tcPr>
          <w:p w14:paraId="0CCF7D98" w14:textId="77777777" w:rsidR="002E4AB0" w:rsidRDefault="002E4AB0" w:rsidP="002A575C">
            <w:pPr>
              <w:rPr>
                <w:b/>
                <w:lang w:val="en-US"/>
              </w:rPr>
            </w:pPr>
            <w:r>
              <w:rPr>
                <w:b/>
                <w:lang w:val="en-US"/>
              </w:rPr>
              <w:t>Technology deployment stage</w:t>
            </w:r>
          </w:p>
        </w:tc>
        <w:tc>
          <w:tcPr>
            <w:tcW w:w="1418" w:type="dxa"/>
            <w:tcBorders>
              <w:bottom w:val="single" w:sz="4" w:space="0" w:color="auto"/>
            </w:tcBorders>
            <w:shd w:val="clear" w:color="auto" w:fill="D9E5BB" w:themeFill="accent5" w:themeFillTint="99"/>
          </w:tcPr>
          <w:p w14:paraId="0F11F621" w14:textId="77777777" w:rsidR="002E4AB0" w:rsidRDefault="002E4AB0" w:rsidP="002A575C">
            <w:pPr>
              <w:rPr>
                <w:b/>
                <w:lang w:val="en-US"/>
              </w:rPr>
            </w:pPr>
            <w:r>
              <w:rPr>
                <w:b/>
                <w:lang w:val="en-US"/>
              </w:rPr>
              <w:t>AV readiness pillar</w:t>
            </w:r>
          </w:p>
        </w:tc>
      </w:tr>
      <w:tr w:rsidR="002E4AB0" w14:paraId="75589A33" w14:textId="77777777" w:rsidTr="002A575C">
        <w:trPr>
          <w:trHeight w:val="4243"/>
        </w:trPr>
        <w:tc>
          <w:tcPr>
            <w:tcW w:w="3114" w:type="dxa"/>
            <w:shd w:val="clear" w:color="auto" w:fill="E5EDD2" w:themeFill="accent5" w:themeFillTint="66"/>
          </w:tcPr>
          <w:p w14:paraId="33727EBC" w14:textId="77777777" w:rsidR="002E4AB0" w:rsidRPr="0015692C" w:rsidRDefault="002E4AB0" w:rsidP="002A575C">
            <w:pPr>
              <w:rPr>
                <w:b/>
                <w:sz w:val="20"/>
                <w:szCs w:val="20"/>
                <w:lang w:val="en-US"/>
              </w:rPr>
            </w:pPr>
            <w:r>
              <w:rPr>
                <w:b/>
                <w:sz w:val="20"/>
                <w:szCs w:val="20"/>
                <w:lang w:val="en-US"/>
              </w:rPr>
              <w:t xml:space="preserve">2.1 </w:t>
            </w:r>
            <w:r w:rsidRPr="00847554">
              <w:rPr>
                <w:rFonts w:cstheme="minorHAnsi"/>
                <w:b/>
                <w:sz w:val="20"/>
                <w:szCs w:val="20"/>
                <w:lang w:val="en-US"/>
              </w:rPr>
              <w:t>Develop and publish a national plan for implementing C-ITS in Australia that enables a staged and flexible approach to meet the different needs and timeframes of jurisdictions, while ensuring national consistency</w:t>
            </w:r>
          </w:p>
        </w:tc>
        <w:tc>
          <w:tcPr>
            <w:tcW w:w="5670" w:type="dxa"/>
            <w:shd w:val="clear" w:color="auto" w:fill="F2F6E8" w:themeFill="accent5" w:themeFillTint="33"/>
          </w:tcPr>
          <w:p w14:paraId="4A74CFF5" w14:textId="77777777" w:rsidR="002E4AB0" w:rsidRPr="00847554" w:rsidRDefault="002E4AB0" w:rsidP="002A575C">
            <w:pPr>
              <w:spacing w:after="120"/>
              <w:rPr>
                <w:rFonts w:cstheme="minorHAnsi"/>
                <w:sz w:val="20"/>
                <w:szCs w:val="20"/>
                <w:lang w:val="en-US"/>
              </w:rPr>
            </w:pPr>
            <w:bookmarkStart w:id="7" w:name="_Hlk121998662"/>
            <w:r w:rsidRPr="00847554">
              <w:rPr>
                <w:rFonts w:cstheme="minorHAnsi"/>
                <w:sz w:val="20"/>
                <w:szCs w:val="20"/>
                <w:lang w:val="en-US"/>
              </w:rPr>
              <w:t xml:space="preserve">This action would set out the agreed next steps for </w:t>
            </w:r>
            <w:r>
              <w:rPr>
                <w:rFonts w:cstheme="minorHAnsi"/>
                <w:sz w:val="20"/>
                <w:szCs w:val="20"/>
                <w:lang w:val="en-US"/>
              </w:rPr>
              <w:t>build</w:t>
            </w:r>
            <w:r w:rsidRPr="00847554">
              <w:rPr>
                <w:rFonts w:cstheme="minorHAnsi"/>
                <w:sz w:val="20"/>
                <w:szCs w:val="20"/>
                <w:lang w:val="en-US"/>
              </w:rPr>
              <w:t>ing</w:t>
            </w:r>
            <w:r>
              <w:rPr>
                <w:rFonts w:cstheme="minorHAnsi"/>
                <w:sz w:val="20"/>
                <w:szCs w:val="20"/>
                <w:lang w:val="en-US"/>
              </w:rPr>
              <w:t xml:space="preserve"> on</w:t>
            </w:r>
            <w:r w:rsidRPr="00847554">
              <w:rPr>
                <w:rFonts w:cstheme="minorHAnsi"/>
                <w:sz w:val="20"/>
                <w:szCs w:val="20"/>
                <w:lang w:val="en-US"/>
              </w:rPr>
              <w:t xml:space="preserve"> </w:t>
            </w:r>
            <w:r>
              <w:rPr>
                <w:rFonts w:cstheme="minorHAnsi"/>
                <w:sz w:val="20"/>
                <w:szCs w:val="20"/>
                <w:lang w:val="en-US"/>
              </w:rPr>
              <w:t>[</w:t>
            </w:r>
            <w:r w:rsidRPr="009B63C5">
              <w:rPr>
                <w:rFonts w:cstheme="minorHAnsi"/>
                <w:sz w:val="20"/>
                <w:szCs w:val="20"/>
                <w:highlight w:val="cyan"/>
                <w:lang w:val="en-US"/>
              </w:rPr>
              <w:t xml:space="preserve">the </w:t>
            </w:r>
            <w:r w:rsidRPr="009B63C5">
              <w:rPr>
                <w:rFonts w:cstheme="minorHAnsi"/>
                <w:i/>
                <w:sz w:val="20"/>
                <w:szCs w:val="20"/>
                <w:highlight w:val="cyan"/>
                <w:lang w:val="en-US"/>
              </w:rPr>
              <w:t>Principles for a</w:t>
            </w:r>
            <w:r w:rsidRPr="009B63C5">
              <w:rPr>
                <w:rFonts w:cstheme="minorHAnsi"/>
                <w:sz w:val="20"/>
                <w:szCs w:val="20"/>
                <w:highlight w:val="cyan"/>
                <w:lang w:val="en-US"/>
              </w:rPr>
              <w:t xml:space="preserve"> </w:t>
            </w:r>
            <w:r w:rsidRPr="009B63C5">
              <w:rPr>
                <w:rFonts w:cstheme="minorHAnsi"/>
                <w:i/>
                <w:sz w:val="20"/>
                <w:szCs w:val="20"/>
                <w:highlight w:val="cyan"/>
                <w:lang w:val="en-US"/>
              </w:rPr>
              <w:t>National Approach to Cooperative Intelligent Transport Systems (C-ITS) in Australia</w:t>
            </w:r>
            <w:r>
              <w:rPr>
                <w:rFonts w:cstheme="minorHAnsi"/>
                <w:i/>
                <w:sz w:val="20"/>
                <w:szCs w:val="20"/>
                <w:highlight w:val="cyan"/>
                <w:lang w:val="en-US"/>
              </w:rPr>
              <w:t>]</w:t>
            </w:r>
            <w:r>
              <w:rPr>
                <w:rStyle w:val="FootnoteReference"/>
                <w:rFonts w:cstheme="minorHAnsi"/>
                <w:i/>
                <w:sz w:val="20"/>
                <w:szCs w:val="20"/>
                <w:highlight w:val="cyan"/>
                <w:lang w:val="en-US"/>
              </w:rPr>
              <w:footnoteReference w:id="13"/>
            </w:r>
            <w:r w:rsidRPr="00847554">
              <w:rPr>
                <w:rFonts w:cstheme="minorHAnsi"/>
                <w:sz w:val="20"/>
                <w:szCs w:val="20"/>
                <w:lang w:val="en-US"/>
              </w:rPr>
              <w:t xml:space="preserve">, drawing on </w:t>
            </w:r>
            <w:r>
              <w:rPr>
                <w:rFonts w:cstheme="minorHAnsi"/>
                <w:sz w:val="20"/>
                <w:szCs w:val="20"/>
                <w:lang w:val="en-US"/>
              </w:rPr>
              <w:t>outcomes from industry and public consultation and research comparing</w:t>
            </w:r>
            <w:r w:rsidRPr="00847554">
              <w:rPr>
                <w:rFonts w:cstheme="minorHAnsi"/>
                <w:sz w:val="20"/>
                <w:szCs w:val="20"/>
                <w:lang w:val="en-US"/>
              </w:rPr>
              <w:t xml:space="preserve"> short</w:t>
            </w:r>
            <w:r>
              <w:rPr>
                <w:rFonts w:cstheme="minorHAnsi"/>
                <w:sz w:val="20"/>
                <w:szCs w:val="20"/>
                <w:lang w:val="en-US"/>
              </w:rPr>
              <w:t>-</w:t>
            </w:r>
            <w:r w:rsidRPr="00847554">
              <w:rPr>
                <w:rFonts w:cstheme="minorHAnsi"/>
                <w:sz w:val="20"/>
                <w:szCs w:val="20"/>
                <w:lang w:val="en-US"/>
              </w:rPr>
              <w:t>range communications and associated standards.</w:t>
            </w:r>
          </w:p>
          <w:bookmarkEnd w:id="7"/>
          <w:p w14:paraId="7E5AC5CA" w14:textId="77777777" w:rsidR="002E4AB0" w:rsidRPr="00847554" w:rsidRDefault="002E4AB0" w:rsidP="002A575C">
            <w:pPr>
              <w:rPr>
                <w:rFonts w:cstheme="minorHAnsi"/>
                <w:sz w:val="20"/>
                <w:szCs w:val="20"/>
                <w:lang w:val="en-US"/>
              </w:rPr>
            </w:pPr>
            <w:r w:rsidRPr="00847554">
              <w:rPr>
                <w:rFonts w:cstheme="minorHAnsi"/>
                <w:sz w:val="20"/>
                <w:szCs w:val="20"/>
                <w:lang w:val="en-US"/>
              </w:rPr>
              <w:t>The plan could potentially cover things like:</w:t>
            </w:r>
          </w:p>
          <w:p w14:paraId="7B62C3C6" w14:textId="77777777" w:rsidR="002E4AB0" w:rsidRDefault="002E4AB0" w:rsidP="002E4AB0">
            <w:pPr>
              <w:pStyle w:val="ListParagraph"/>
              <w:numPr>
                <w:ilvl w:val="0"/>
                <w:numId w:val="39"/>
              </w:numPr>
              <w:spacing w:after="0" w:line="240" w:lineRule="auto"/>
              <w:contextualSpacing w:val="0"/>
              <w:rPr>
                <w:rFonts w:cstheme="minorHAnsi"/>
                <w:lang w:val="en-US"/>
              </w:rPr>
            </w:pPr>
            <w:r>
              <w:rPr>
                <w:rFonts w:cstheme="minorHAnsi"/>
                <w:lang w:val="en-US"/>
              </w:rPr>
              <w:t>a standard set of initial use cases to be deployed nationally</w:t>
            </w:r>
          </w:p>
          <w:p w14:paraId="16FD8AA1" w14:textId="77777777" w:rsidR="002E4AB0" w:rsidRPr="00847554" w:rsidRDefault="002E4AB0" w:rsidP="002E4AB0">
            <w:pPr>
              <w:pStyle w:val="ListParagraph"/>
              <w:numPr>
                <w:ilvl w:val="0"/>
                <w:numId w:val="39"/>
              </w:numPr>
              <w:spacing w:after="0" w:line="240" w:lineRule="auto"/>
              <w:contextualSpacing w:val="0"/>
              <w:rPr>
                <w:rFonts w:cstheme="minorHAnsi"/>
                <w:lang w:val="en-US"/>
              </w:rPr>
            </w:pPr>
            <w:r w:rsidRPr="00847554">
              <w:rPr>
                <w:rFonts w:cstheme="minorHAnsi"/>
                <w:lang w:val="en-US"/>
              </w:rPr>
              <w:t>data sources, data sharing</w:t>
            </w:r>
            <w:r>
              <w:rPr>
                <w:rFonts w:cstheme="minorHAnsi"/>
                <w:lang w:val="en-US"/>
              </w:rPr>
              <w:t>, alignment of data standards (including for existing use cases)</w:t>
            </w:r>
            <w:r w:rsidRPr="00847554">
              <w:rPr>
                <w:rFonts w:cstheme="minorHAnsi"/>
                <w:lang w:val="en-US"/>
              </w:rPr>
              <w:t xml:space="preserve"> and mechanisms for achieving a common data repository (single or interoperable systems)</w:t>
            </w:r>
          </w:p>
          <w:p w14:paraId="17BBF42B" w14:textId="77777777" w:rsidR="002E4AB0" w:rsidRDefault="002E4AB0" w:rsidP="002E4AB0">
            <w:pPr>
              <w:pStyle w:val="ListParagraph"/>
              <w:numPr>
                <w:ilvl w:val="0"/>
                <w:numId w:val="39"/>
              </w:numPr>
              <w:spacing w:after="0" w:line="240" w:lineRule="auto"/>
              <w:contextualSpacing w:val="0"/>
              <w:rPr>
                <w:rFonts w:cstheme="minorHAnsi"/>
                <w:lang w:val="en-US"/>
              </w:rPr>
            </w:pPr>
            <w:r w:rsidRPr="00847554">
              <w:rPr>
                <w:rFonts w:cstheme="minorHAnsi"/>
                <w:lang w:val="en-US"/>
              </w:rPr>
              <w:t>a</w:t>
            </w:r>
            <w:r>
              <w:rPr>
                <w:rFonts w:cstheme="minorHAnsi"/>
                <w:lang w:val="en-US"/>
              </w:rPr>
              <w:t xml:space="preserve">pproach to governance of a nationally </w:t>
            </w:r>
            <w:proofErr w:type="spellStart"/>
            <w:r>
              <w:rPr>
                <w:rFonts w:cstheme="minorHAnsi"/>
                <w:lang w:val="en-US"/>
              </w:rPr>
              <w:t>harmonised</w:t>
            </w:r>
            <w:proofErr w:type="spellEnd"/>
            <w:r>
              <w:rPr>
                <w:rFonts w:cstheme="minorHAnsi"/>
                <w:lang w:val="en-US"/>
              </w:rPr>
              <w:t xml:space="preserve"> C-ITS</w:t>
            </w:r>
          </w:p>
          <w:p w14:paraId="2092D982" w14:textId="77777777" w:rsidR="002E4AB0" w:rsidRDefault="002E4AB0" w:rsidP="002E4AB0">
            <w:pPr>
              <w:pStyle w:val="ListParagraph"/>
              <w:numPr>
                <w:ilvl w:val="0"/>
                <w:numId w:val="39"/>
              </w:numPr>
              <w:spacing w:after="0" w:line="240" w:lineRule="auto"/>
              <w:contextualSpacing w:val="0"/>
              <w:rPr>
                <w:rFonts w:cstheme="minorHAnsi"/>
                <w:lang w:val="en-US"/>
              </w:rPr>
            </w:pPr>
            <w:r>
              <w:rPr>
                <w:rFonts w:cstheme="minorHAnsi"/>
                <w:lang w:val="en-US"/>
              </w:rPr>
              <w:t>approach to developing a national C-ITS architecture</w:t>
            </w:r>
          </w:p>
          <w:p w14:paraId="3CAF196F" w14:textId="77777777" w:rsidR="002E4AB0" w:rsidRPr="00847554" w:rsidRDefault="002E4AB0" w:rsidP="002E4AB0">
            <w:pPr>
              <w:pStyle w:val="ListParagraph"/>
              <w:numPr>
                <w:ilvl w:val="0"/>
                <w:numId w:val="39"/>
              </w:numPr>
              <w:spacing w:after="0" w:line="240" w:lineRule="auto"/>
              <w:contextualSpacing w:val="0"/>
              <w:rPr>
                <w:rFonts w:cstheme="minorHAnsi"/>
                <w:lang w:val="en-US"/>
              </w:rPr>
            </w:pPr>
            <w:r>
              <w:rPr>
                <w:rFonts w:cstheme="minorHAnsi"/>
                <w:lang w:val="en-US"/>
              </w:rPr>
              <w:t>approach to managing the security of C-ITS messages</w:t>
            </w:r>
            <w:r w:rsidRPr="00847554">
              <w:rPr>
                <w:rFonts w:cstheme="minorHAnsi"/>
                <w:lang w:val="en-US"/>
              </w:rPr>
              <w:t xml:space="preserve"> </w:t>
            </w:r>
          </w:p>
          <w:p w14:paraId="246F7C8F" w14:textId="77777777" w:rsidR="002E4AB0" w:rsidRPr="00847554" w:rsidRDefault="002E4AB0" w:rsidP="002E4AB0">
            <w:pPr>
              <w:pStyle w:val="ListParagraph"/>
              <w:numPr>
                <w:ilvl w:val="0"/>
                <w:numId w:val="39"/>
              </w:numPr>
              <w:spacing w:after="0" w:line="240" w:lineRule="auto"/>
              <w:contextualSpacing w:val="0"/>
              <w:rPr>
                <w:rFonts w:cstheme="minorHAnsi"/>
                <w:lang w:val="en-US"/>
              </w:rPr>
            </w:pPr>
            <w:r>
              <w:rPr>
                <w:rFonts w:cstheme="minorHAnsi"/>
                <w:lang w:val="en-US"/>
              </w:rPr>
              <w:t xml:space="preserve">approach to </w:t>
            </w:r>
            <w:r w:rsidRPr="00847554">
              <w:rPr>
                <w:rFonts w:cstheme="minorHAnsi"/>
                <w:lang w:val="en-US"/>
              </w:rPr>
              <w:t xml:space="preserve">leveraging </w:t>
            </w:r>
            <w:r>
              <w:rPr>
                <w:rFonts w:cstheme="minorHAnsi"/>
                <w:lang w:val="en-US"/>
              </w:rPr>
              <w:t>existing government and private sector initiatives, and consumer devices to deliver C-ITS</w:t>
            </w:r>
          </w:p>
          <w:p w14:paraId="640A4D7E" w14:textId="77777777" w:rsidR="002E4AB0" w:rsidRDefault="002E4AB0" w:rsidP="002E4AB0">
            <w:pPr>
              <w:pStyle w:val="ListParagraph"/>
              <w:numPr>
                <w:ilvl w:val="0"/>
                <w:numId w:val="39"/>
              </w:numPr>
              <w:spacing w:line="240" w:lineRule="auto"/>
              <w:rPr>
                <w:rFonts w:cstheme="minorHAnsi"/>
                <w:lang w:val="en-US"/>
              </w:rPr>
            </w:pPr>
            <w:r w:rsidRPr="00F86BAD">
              <w:rPr>
                <w:rFonts w:cstheme="minorHAnsi"/>
                <w:lang w:val="en-US"/>
              </w:rPr>
              <w:t xml:space="preserve">statement of intent </w:t>
            </w:r>
            <w:r>
              <w:rPr>
                <w:rFonts w:cstheme="minorHAnsi"/>
                <w:lang w:val="en-US"/>
              </w:rPr>
              <w:t>on</w:t>
            </w:r>
            <w:r w:rsidRPr="00F86BAD">
              <w:rPr>
                <w:rFonts w:cstheme="minorHAnsi"/>
                <w:lang w:val="en-US"/>
              </w:rPr>
              <w:t xml:space="preserve"> standards, short range communications and</w:t>
            </w:r>
            <w:r>
              <w:rPr>
                <w:rFonts w:cstheme="minorHAnsi"/>
                <w:lang w:val="en-US"/>
              </w:rPr>
              <w:t>/or</w:t>
            </w:r>
            <w:r w:rsidRPr="00F86BAD">
              <w:rPr>
                <w:rFonts w:cstheme="minorHAnsi"/>
                <w:lang w:val="en-US"/>
              </w:rPr>
              <w:t xml:space="preserve"> spectrum</w:t>
            </w:r>
          </w:p>
          <w:p w14:paraId="7A4BC8EA" w14:textId="1763CCD4" w:rsidR="00EF741B" w:rsidRPr="00EF741B" w:rsidRDefault="002E4AB0" w:rsidP="00EF741B">
            <w:pPr>
              <w:pStyle w:val="ListParagraph"/>
              <w:numPr>
                <w:ilvl w:val="0"/>
                <w:numId w:val="39"/>
              </w:numPr>
              <w:spacing w:after="1920" w:line="240" w:lineRule="auto"/>
              <w:ind w:left="357" w:hanging="357"/>
              <w:rPr>
                <w:rFonts w:cstheme="minorHAnsi"/>
                <w:lang w:val="en-US"/>
              </w:rPr>
            </w:pPr>
            <w:r>
              <w:rPr>
                <w:rFonts w:cstheme="minorHAnsi"/>
                <w:lang w:val="en-US"/>
              </w:rPr>
              <w:t>consolidated investment view and identifying strategic corridors.</w:t>
            </w:r>
          </w:p>
        </w:tc>
        <w:tc>
          <w:tcPr>
            <w:tcW w:w="1701" w:type="dxa"/>
            <w:shd w:val="clear" w:color="auto" w:fill="F2F6E8" w:themeFill="accent5" w:themeFillTint="33"/>
          </w:tcPr>
          <w:p w14:paraId="4867B9A9" w14:textId="77777777" w:rsidR="002E4AB0" w:rsidRPr="0015692C" w:rsidRDefault="002E4AB0" w:rsidP="002A575C">
            <w:pPr>
              <w:rPr>
                <w:sz w:val="20"/>
                <w:szCs w:val="20"/>
                <w:lang w:val="en-US"/>
              </w:rPr>
            </w:pPr>
            <w:r>
              <w:rPr>
                <w:sz w:val="20"/>
                <w:szCs w:val="20"/>
              </w:rPr>
              <w:t xml:space="preserve">Commonwealth, states and territories </w:t>
            </w:r>
          </w:p>
        </w:tc>
        <w:tc>
          <w:tcPr>
            <w:tcW w:w="1134" w:type="dxa"/>
            <w:shd w:val="clear" w:color="auto" w:fill="F2F6E8" w:themeFill="accent5" w:themeFillTint="33"/>
          </w:tcPr>
          <w:p w14:paraId="4E4A5D96" w14:textId="77777777" w:rsidR="002E4AB0" w:rsidRPr="0015692C" w:rsidRDefault="002E4AB0" w:rsidP="002A575C">
            <w:pPr>
              <w:rPr>
                <w:sz w:val="20"/>
                <w:szCs w:val="20"/>
                <w:lang w:val="en-US"/>
              </w:rPr>
            </w:pPr>
            <w:r>
              <w:rPr>
                <w:sz w:val="20"/>
                <w:szCs w:val="20"/>
                <w:lang w:val="en-US"/>
              </w:rPr>
              <w:t>2024-2025</w:t>
            </w:r>
          </w:p>
        </w:tc>
        <w:tc>
          <w:tcPr>
            <w:tcW w:w="1417" w:type="dxa"/>
            <w:shd w:val="clear" w:color="auto" w:fill="F2F6E8" w:themeFill="accent5" w:themeFillTint="33"/>
          </w:tcPr>
          <w:p w14:paraId="15F5317D" w14:textId="77777777" w:rsidR="002E4AB0" w:rsidRPr="0015692C" w:rsidRDefault="002E4AB0" w:rsidP="002A575C">
            <w:pPr>
              <w:rPr>
                <w:sz w:val="20"/>
                <w:szCs w:val="20"/>
                <w:lang w:val="en-US"/>
              </w:rPr>
            </w:pPr>
            <w:r>
              <w:rPr>
                <w:sz w:val="20"/>
                <w:szCs w:val="20"/>
                <w:lang w:val="en-US"/>
              </w:rPr>
              <w:t>Prepare to deploy</w:t>
            </w:r>
          </w:p>
        </w:tc>
        <w:tc>
          <w:tcPr>
            <w:tcW w:w="1418" w:type="dxa"/>
            <w:shd w:val="clear" w:color="auto" w:fill="F2F6E8" w:themeFill="accent5" w:themeFillTint="33"/>
          </w:tcPr>
          <w:p w14:paraId="7A7854C2" w14:textId="77777777" w:rsidR="002E4AB0" w:rsidRPr="0015692C" w:rsidRDefault="002E4AB0" w:rsidP="002A575C">
            <w:pPr>
              <w:rPr>
                <w:sz w:val="20"/>
                <w:szCs w:val="20"/>
                <w:lang w:val="en-US"/>
              </w:rPr>
            </w:pPr>
            <w:r>
              <w:rPr>
                <w:sz w:val="20"/>
                <w:szCs w:val="20"/>
                <w:lang w:val="en-US"/>
              </w:rPr>
              <w:t>Policy and legislation</w:t>
            </w:r>
          </w:p>
        </w:tc>
      </w:tr>
      <w:tr w:rsidR="002E4AB0" w14:paraId="3358E233" w14:textId="77777777" w:rsidTr="002A575C">
        <w:tc>
          <w:tcPr>
            <w:tcW w:w="3114" w:type="dxa"/>
            <w:shd w:val="clear" w:color="auto" w:fill="E5EDD2" w:themeFill="accent5" w:themeFillTint="66"/>
          </w:tcPr>
          <w:p w14:paraId="63207CF4" w14:textId="77777777" w:rsidR="002E4AB0" w:rsidRDefault="002E4AB0" w:rsidP="002A575C">
            <w:pPr>
              <w:rPr>
                <w:b/>
                <w:sz w:val="20"/>
                <w:szCs w:val="20"/>
                <w:lang w:val="en-US"/>
              </w:rPr>
            </w:pPr>
            <w:r w:rsidRPr="00282108">
              <w:rPr>
                <w:b/>
                <w:sz w:val="20"/>
                <w:szCs w:val="20"/>
                <w:lang w:val="en-US"/>
              </w:rPr>
              <w:lastRenderedPageBreak/>
              <w:t>2.</w:t>
            </w:r>
            <w:r>
              <w:rPr>
                <w:b/>
                <w:sz w:val="20"/>
                <w:szCs w:val="20"/>
                <w:lang w:val="en-US"/>
              </w:rPr>
              <w:t>2</w:t>
            </w:r>
            <w:r w:rsidRPr="00282108">
              <w:rPr>
                <w:b/>
                <w:sz w:val="20"/>
                <w:szCs w:val="20"/>
                <w:lang w:val="en-US"/>
              </w:rPr>
              <w:t xml:space="preserve"> </w:t>
            </w:r>
            <w:r>
              <w:rPr>
                <w:b/>
                <w:sz w:val="20"/>
                <w:szCs w:val="20"/>
                <w:lang w:val="en-US"/>
              </w:rPr>
              <w:t xml:space="preserve">Develop a nationally </w:t>
            </w:r>
            <w:proofErr w:type="spellStart"/>
            <w:r>
              <w:rPr>
                <w:b/>
                <w:sz w:val="20"/>
                <w:szCs w:val="20"/>
                <w:lang w:val="en-US"/>
              </w:rPr>
              <w:t>harmonised</w:t>
            </w:r>
            <w:proofErr w:type="spellEnd"/>
            <w:r>
              <w:rPr>
                <w:b/>
                <w:sz w:val="20"/>
                <w:szCs w:val="20"/>
                <w:lang w:val="en-US"/>
              </w:rPr>
              <w:t xml:space="preserve"> repository of road manager data (C-ITS central station) to support common C-ITS use cases across jurisdictions: </w:t>
            </w:r>
          </w:p>
          <w:p w14:paraId="7066822A" w14:textId="6F454BCA" w:rsidR="002E4AB0" w:rsidRPr="00330E45" w:rsidRDefault="002E4AB0" w:rsidP="002E4AB0">
            <w:pPr>
              <w:pStyle w:val="ListParagraph"/>
              <w:numPr>
                <w:ilvl w:val="0"/>
                <w:numId w:val="43"/>
              </w:numPr>
              <w:spacing w:after="0" w:line="240" w:lineRule="auto"/>
              <w:ind w:left="457"/>
              <w:rPr>
                <w:b/>
                <w:lang w:val="en-US"/>
              </w:rPr>
            </w:pPr>
            <w:r w:rsidRPr="00330E45">
              <w:rPr>
                <w:b/>
                <w:lang w:val="en-US"/>
              </w:rPr>
              <w:t>Part (a)</w:t>
            </w:r>
            <w:r>
              <w:rPr>
                <w:b/>
                <w:lang w:val="en-US"/>
              </w:rPr>
              <w:t xml:space="preserve"> – </w:t>
            </w:r>
            <w:r w:rsidRPr="00330E45">
              <w:rPr>
                <w:b/>
                <w:lang w:val="en-US"/>
              </w:rPr>
              <w:t>Identify potential options and provide guidance</w:t>
            </w:r>
            <w:r w:rsidR="00FF16A0">
              <w:rPr>
                <w:b/>
                <w:lang w:val="en-US"/>
              </w:rPr>
              <w:t>,</w:t>
            </w:r>
            <w:r>
              <w:rPr>
                <w:b/>
                <w:lang w:val="en-US"/>
              </w:rPr>
              <w:t xml:space="preserve"> </w:t>
            </w:r>
            <w:r w:rsidRPr="00330E45">
              <w:rPr>
                <w:b/>
                <w:lang w:val="en-US"/>
              </w:rPr>
              <w:t xml:space="preserve">and </w:t>
            </w:r>
          </w:p>
          <w:p w14:paraId="279C8A2F" w14:textId="77777777" w:rsidR="002E4AB0" w:rsidRPr="00330E45" w:rsidRDefault="002E4AB0" w:rsidP="002E4AB0">
            <w:pPr>
              <w:pStyle w:val="ListParagraph"/>
              <w:numPr>
                <w:ilvl w:val="0"/>
                <w:numId w:val="43"/>
              </w:numPr>
              <w:spacing w:after="0" w:line="240" w:lineRule="auto"/>
              <w:ind w:left="457"/>
              <w:rPr>
                <w:b/>
                <w:lang w:val="en-US"/>
              </w:rPr>
            </w:pPr>
            <w:r w:rsidRPr="00330E45">
              <w:rPr>
                <w:b/>
                <w:lang w:val="en-US"/>
              </w:rPr>
              <w:t xml:space="preserve">Part (b) </w:t>
            </w:r>
            <w:r>
              <w:rPr>
                <w:b/>
                <w:lang w:val="en-US"/>
              </w:rPr>
              <w:t>– Prepare</w:t>
            </w:r>
            <w:r w:rsidRPr="00330E45">
              <w:rPr>
                <w:b/>
                <w:lang w:val="en-US"/>
              </w:rPr>
              <w:t xml:space="preserve"> a business case </w:t>
            </w:r>
          </w:p>
          <w:p w14:paraId="3B6DE98B" w14:textId="77777777" w:rsidR="002E4AB0" w:rsidRPr="00282108" w:rsidRDefault="002E4AB0" w:rsidP="002A575C">
            <w:pPr>
              <w:pStyle w:val="ListParagraph"/>
              <w:ind w:left="360"/>
              <w:rPr>
                <w:b/>
                <w:lang w:val="en-US"/>
              </w:rPr>
            </w:pPr>
          </w:p>
        </w:tc>
        <w:tc>
          <w:tcPr>
            <w:tcW w:w="5670" w:type="dxa"/>
            <w:shd w:val="clear" w:color="auto" w:fill="F2F6E8" w:themeFill="accent5" w:themeFillTint="33"/>
          </w:tcPr>
          <w:p w14:paraId="02A54361" w14:textId="77777777" w:rsidR="002E4AB0" w:rsidRDefault="002E4AB0" w:rsidP="002A575C">
            <w:pPr>
              <w:spacing w:after="120"/>
              <w:rPr>
                <w:rFonts w:cstheme="minorHAnsi"/>
                <w:sz w:val="20"/>
                <w:szCs w:val="20"/>
                <w:lang w:val="en-US"/>
              </w:rPr>
            </w:pPr>
            <w:r w:rsidRPr="00DE74E7">
              <w:rPr>
                <w:rFonts w:cstheme="minorHAnsi"/>
                <w:sz w:val="20"/>
                <w:szCs w:val="20"/>
                <w:lang w:val="en-US"/>
              </w:rPr>
              <w:t>This action would form part of the C-ITS implementation plan (action 2.1).</w:t>
            </w:r>
            <w:r>
              <w:rPr>
                <w:rFonts w:cstheme="minorHAnsi"/>
                <w:sz w:val="20"/>
                <w:szCs w:val="20"/>
                <w:lang w:val="en-US"/>
              </w:rPr>
              <w:t xml:space="preserve"> </w:t>
            </w:r>
          </w:p>
          <w:p w14:paraId="19169777" w14:textId="77777777" w:rsidR="002E4AB0" w:rsidRPr="00FA5491" w:rsidRDefault="002E4AB0" w:rsidP="002A575C">
            <w:pPr>
              <w:spacing w:after="120"/>
              <w:rPr>
                <w:sz w:val="20"/>
                <w:szCs w:val="20"/>
                <w:lang w:val="en-US"/>
              </w:rPr>
            </w:pPr>
            <w:r>
              <w:rPr>
                <w:rFonts w:cstheme="minorHAnsi"/>
                <w:sz w:val="20"/>
                <w:szCs w:val="20"/>
                <w:lang w:val="en-US"/>
              </w:rPr>
              <w:t>Part (a)</w:t>
            </w:r>
            <w:r w:rsidRPr="00DE74E7">
              <w:rPr>
                <w:rFonts w:cstheme="minorHAnsi"/>
                <w:sz w:val="20"/>
                <w:szCs w:val="20"/>
                <w:lang w:val="en-US"/>
              </w:rPr>
              <w:t xml:space="preserve"> would </w:t>
            </w:r>
            <w:r>
              <w:rPr>
                <w:sz w:val="20"/>
                <w:szCs w:val="20"/>
                <w:lang w:val="en-US"/>
              </w:rPr>
              <w:t xml:space="preserve">identify potential </w:t>
            </w:r>
            <w:r w:rsidRPr="00DE74E7">
              <w:rPr>
                <w:sz w:val="20"/>
                <w:szCs w:val="20"/>
                <w:lang w:val="en-US"/>
              </w:rPr>
              <w:t xml:space="preserve">options for a nationally </w:t>
            </w:r>
            <w:proofErr w:type="spellStart"/>
            <w:r w:rsidRPr="00DE74E7">
              <w:rPr>
                <w:sz w:val="20"/>
                <w:szCs w:val="20"/>
                <w:lang w:val="en-US"/>
              </w:rPr>
              <w:t>harmonised</w:t>
            </w:r>
            <w:proofErr w:type="spellEnd"/>
            <w:r w:rsidRPr="00DE74E7">
              <w:rPr>
                <w:sz w:val="20"/>
                <w:szCs w:val="20"/>
                <w:lang w:val="en-US"/>
              </w:rPr>
              <w:t xml:space="preserve"> C</w:t>
            </w:r>
            <w:r w:rsidRPr="00DE74E7">
              <w:rPr>
                <w:sz w:val="20"/>
                <w:szCs w:val="20"/>
                <w:lang w:val="en-US"/>
              </w:rPr>
              <w:noBreakHyphen/>
              <w:t>ITS central station or stations</w:t>
            </w:r>
            <w:r>
              <w:rPr>
                <w:sz w:val="20"/>
                <w:szCs w:val="20"/>
                <w:lang w:val="en-US"/>
              </w:rPr>
              <w:t>. It would also</w:t>
            </w:r>
            <w:r w:rsidRPr="00DE74E7">
              <w:rPr>
                <w:sz w:val="20"/>
                <w:szCs w:val="20"/>
                <w:lang w:val="en-US"/>
              </w:rPr>
              <w:t xml:space="preserve"> provide guidance to support </w:t>
            </w:r>
            <w:proofErr w:type="spellStart"/>
            <w:r w:rsidRPr="00DE74E7">
              <w:rPr>
                <w:sz w:val="20"/>
                <w:szCs w:val="20"/>
                <w:lang w:val="en-US"/>
              </w:rPr>
              <w:t>harmonised</w:t>
            </w:r>
            <w:proofErr w:type="spellEnd"/>
            <w:r w:rsidRPr="00DE74E7">
              <w:rPr>
                <w:sz w:val="20"/>
                <w:szCs w:val="20"/>
                <w:lang w:val="en-US"/>
              </w:rPr>
              <w:t xml:space="preserve"> C-ITS systems that meet the needs of all jurisdictions and support a range of C-ITS business models. The options and guidance could include consideration of issues such as: central station governance, </w:t>
            </w:r>
            <w:r>
              <w:rPr>
                <w:sz w:val="20"/>
                <w:szCs w:val="20"/>
                <w:lang w:val="en-US"/>
              </w:rPr>
              <w:t xml:space="preserve">architecture, </w:t>
            </w:r>
            <w:r w:rsidRPr="00DE74E7">
              <w:rPr>
                <w:sz w:val="20"/>
                <w:szCs w:val="20"/>
                <w:lang w:val="en-US"/>
              </w:rPr>
              <w:t xml:space="preserve">design, costs (including economies of scale) and operations; relevant data security, cyber-security and privacy rules; and minimum/maximum latency considerations and technology developments (e.g. edge computing). </w:t>
            </w:r>
            <w:r>
              <w:rPr>
                <w:sz w:val="20"/>
                <w:szCs w:val="20"/>
                <w:lang w:val="en-US"/>
              </w:rPr>
              <w:t>Part (a) would provide the technical inputs to inform Part (b).</w:t>
            </w:r>
            <w:r>
              <w:rPr>
                <w:rFonts w:cstheme="minorHAnsi"/>
                <w:sz w:val="20"/>
                <w:szCs w:val="20"/>
                <w:lang w:val="en-US"/>
              </w:rPr>
              <w:t xml:space="preserve"> Note, Part (a) would be subject to </w:t>
            </w:r>
            <w:proofErr w:type="spellStart"/>
            <w:r>
              <w:rPr>
                <w:rFonts w:cstheme="minorHAnsi"/>
                <w:sz w:val="20"/>
                <w:szCs w:val="20"/>
                <w:lang w:val="en-US"/>
              </w:rPr>
              <w:t>Austroads</w:t>
            </w:r>
            <w:proofErr w:type="spellEnd"/>
            <w:r>
              <w:rPr>
                <w:rFonts w:cstheme="minorHAnsi"/>
                <w:sz w:val="20"/>
                <w:szCs w:val="20"/>
                <w:lang w:val="en-US"/>
              </w:rPr>
              <w:t xml:space="preserve"> Board approval.</w:t>
            </w:r>
          </w:p>
          <w:p w14:paraId="12BD5EB1" w14:textId="77777777" w:rsidR="002E4AB0" w:rsidRDefault="002E4AB0" w:rsidP="002A575C">
            <w:pPr>
              <w:spacing w:after="120"/>
              <w:rPr>
                <w:rFonts w:cstheme="minorHAnsi"/>
                <w:sz w:val="20"/>
                <w:szCs w:val="20"/>
                <w:lang w:val="en-US"/>
              </w:rPr>
            </w:pPr>
            <w:r>
              <w:rPr>
                <w:sz w:val="20"/>
                <w:szCs w:val="20"/>
                <w:lang w:val="en-US"/>
              </w:rPr>
              <w:t xml:space="preserve">Part (b) </w:t>
            </w:r>
            <w:r w:rsidRPr="006F6EF7">
              <w:rPr>
                <w:rFonts w:cstheme="minorHAnsi"/>
                <w:sz w:val="20"/>
                <w:szCs w:val="20"/>
                <w:lang w:val="en-US"/>
              </w:rPr>
              <w:t xml:space="preserve">would build on </w:t>
            </w:r>
            <w:r>
              <w:rPr>
                <w:rFonts w:cstheme="minorHAnsi"/>
                <w:sz w:val="20"/>
                <w:szCs w:val="20"/>
                <w:lang w:val="en-US"/>
              </w:rPr>
              <w:t>Part</w:t>
            </w:r>
            <w:r w:rsidRPr="006F6EF7">
              <w:rPr>
                <w:rFonts w:cstheme="minorHAnsi"/>
                <w:sz w:val="20"/>
                <w:szCs w:val="20"/>
                <w:lang w:val="en-US"/>
              </w:rPr>
              <w:t xml:space="preserve"> (a) to</w:t>
            </w:r>
            <w:r>
              <w:rPr>
                <w:rFonts w:cstheme="minorHAnsi"/>
                <w:sz w:val="20"/>
                <w:szCs w:val="20"/>
                <w:lang w:val="en-US"/>
              </w:rPr>
              <w:t xml:space="preserve"> identify preferred options and develop a business case </w:t>
            </w:r>
            <w:r w:rsidRPr="006F6EF7">
              <w:rPr>
                <w:rFonts w:cstheme="minorHAnsi"/>
                <w:sz w:val="20"/>
                <w:szCs w:val="20"/>
                <w:lang w:val="en-US"/>
              </w:rPr>
              <w:t xml:space="preserve">for a </w:t>
            </w:r>
            <w:r>
              <w:rPr>
                <w:rFonts w:cstheme="minorHAnsi"/>
                <w:sz w:val="20"/>
                <w:szCs w:val="20"/>
                <w:lang w:val="en-US"/>
              </w:rPr>
              <w:t>C-ITS</w:t>
            </w:r>
            <w:r w:rsidRPr="006F6EF7">
              <w:rPr>
                <w:rFonts w:cstheme="minorHAnsi"/>
                <w:sz w:val="20"/>
                <w:szCs w:val="20"/>
                <w:lang w:val="en-US"/>
              </w:rPr>
              <w:t xml:space="preserve"> central station/s. The central station</w:t>
            </w:r>
            <w:r>
              <w:rPr>
                <w:rFonts w:cstheme="minorHAnsi"/>
                <w:sz w:val="20"/>
                <w:szCs w:val="20"/>
                <w:lang w:val="en-US"/>
              </w:rPr>
              <w:t>/s</w:t>
            </w:r>
            <w:r w:rsidRPr="006F6EF7">
              <w:rPr>
                <w:rFonts w:cstheme="minorHAnsi"/>
                <w:sz w:val="20"/>
                <w:szCs w:val="20"/>
                <w:lang w:val="en-US"/>
              </w:rPr>
              <w:t xml:space="preserve"> would hold the road manager data and support common C-ITS use cases across jurisdictions</w:t>
            </w:r>
            <w:r w:rsidRPr="00407DFE">
              <w:rPr>
                <w:rFonts w:cstheme="minorHAnsi"/>
                <w:sz w:val="20"/>
                <w:szCs w:val="20"/>
                <w:lang w:val="en-US"/>
              </w:rPr>
              <w:t>.</w:t>
            </w:r>
            <w:r w:rsidRPr="00847554">
              <w:rPr>
                <w:rFonts w:cstheme="minorHAnsi"/>
                <w:sz w:val="20"/>
                <w:szCs w:val="20"/>
                <w:lang w:val="en-US"/>
              </w:rPr>
              <w:t xml:space="preserve"> </w:t>
            </w:r>
          </w:p>
          <w:p w14:paraId="05E66819" w14:textId="77777777" w:rsidR="002E4AB0" w:rsidRPr="00282108" w:rsidRDefault="002E4AB0" w:rsidP="002A575C">
            <w:pPr>
              <w:rPr>
                <w:rFonts w:cstheme="minorHAnsi"/>
                <w:sz w:val="20"/>
                <w:szCs w:val="20"/>
                <w:lang w:val="en-US"/>
              </w:rPr>
            </w:pPr>
            <w:r w:rsidRPr="00282108">
              <w:rPr>
                <w:rFonts w:cstheme="minorHAnsi"/>
                <w:sz w:val="20"/>
                <w:szCs w:val="20"/>
                <w:lang w:val="en-US"/>
              </w:rPr>
              <w:t xml:space="preserve">It would be informed by previous </w:t>
            </w:r>
            <w:proofErr w:type="spellStart"/>
            <w:r w:rsidRPr="00282108">
              <w:rPr>
                <w:rFonts w:cstheme="minorHAnsi"/>
                <w:sz w:val="20"/>
                <w:szCs w:val="20"/>
                <w:lang w:val="en-US"/>
              </w:rPr>
              <w:t>Austroads</w:t>
            </w:r>
            <w:proofErr w:type="spellEnd"/>
            <w:r w:rsidRPr="00282108">
              <w:rPr>
                <w:rFonts w:cstheme="minorHAnsi"/>
                <w:sz w:val="20"/>
                <w:szCs w:val="20"/>
                <w:lang w:val="en-US"/>
              </w:rPr>
              <w:t xml:space="preserve"> work including: </w:t>
            </w:r>
          </w:p>
          <w:p w14:paraId="7334389B" w14:textId="77777777" w:rsidR="002E4AB0" w:rsidRPr="00282108" w:rsidRDefault="002E4AB0" w:rsidP="002E4AB0">
            <w:pPr>
              <w:pStyle w:val="ListParagraph"/>
              <w:numPr>
                <w:ilvl w:val="0"/>
                <w:numId w:val="41"/>
              </w:numPr>
              <w:spacing w:line="240" w:lineRule="auto"/>
              <w:rPr>
                <w:rFonts w:cstheme="minorHAnsi"/>
                <w:lang w:val="en-US"/>
              </w:rPr>
            </w:pPr>
            <w:r w:rsidRPr="00282108">
              <w:rPr>
                <w:rFonts w:ascii="Calibri" w:eastAsia="Calibri" w:hAnsi="Calibri" w:cs="Calibri"/>
                <w:i/>
              </w:rPr>
              <w:t>Connected vehicle and road agency data exchange</w:t>
            </w:r>
            <w:r w:rsidRPr="00282108">
              <w:rPr>
                <w:rFonts w:ascii="Calibri" w:eastAsia="Calibri" w:hAnsi="Calibri" w:cs="Calibri"/>
              </w:rPr>
              <w:t xml:space="preserve"> (FCA6314)</w:t>
            </w:r>
          </w:p>
          <w:p w14:paraId="356C94FC" w14:textId="77777777" w:rsidR="002E4AB0" w:rsidRPr="00282108" w:rsidRDefault="002E4AB0" w:rsidP="002E4AB0">
            <w:pPr>
              <w:pStyle w:val="ListParagraph"/>
              <w:numPr>
                <w:ilvl w:val="0"/>
                <w:numId w:val="41"/>
              </w:numPr>
              <w:spacing w:after="0" w:line="240" w:lineRule="auto"/>
              <w:ind w:left="357" w:hanging="357"/>
              <w:rPr>
                <w:rFonts w:cstheme="minorHAnsi"/>
                <w:lang w:val="en-US"/>
              </w:rPr>
            </w:pPr>
            <w:r w:rsidRPr="00282108">
              <w:rPr>
                <w:rFonts w:ascii="Calibri" w:eastAsia="Calibri" w:hAnsi="Calibri" w:cs="Calibri"/>
                <w:i/>
              </w:rPr>
              <w:t>Guidance for Developing Standardised Transport Data Exchange for Australia and New Zealand</w:t>
            </w:r>
            <w:r w:rsidRPr="00282108">
              <w:rPr>
                <w:rFonts w:ascii="Calibri" w:eastAsia="Calibri" w:hAnsi="Calibri" w:cs="Calibri"/>
              </w:rPr>
              <w:t xml:space="preserve"> (CAV6376)</w:t>
            </w:r>
          </w:p>
          <w:p w14:paraId="219C58FF" w14:textId="77777777" w:rsidR="002E4AB0" w:rsidRPr="00282108" w:rsidRDefault="002E4AB0" w:rsidP="002E4AB0">
            <w:pPr>
              <w:pStyle w:val="ListParagraph"/>
              <w:numPr>
                <w:ilvl w:val="0"/>
                <w:numId w:val="40"/>
              </w:numPr>
              <w:spacing w:after="0" w:line="240" w:lineRule="auto"/>
              <w:ind w:left="357" w:hanging="357"/>
              <w:contextualSpacing w:val="0"/>
              <w:rPr>
                <w:rFonts w:cstheme="minorHAnsi"/>
                <w:lang w:val="en-US"/>
              </w:rPr>
            </w:pPr>
            <w:r w:rsidRPr="00282108">
              <w:rPr>
                <w:rFonts w:cstheme="minorHAnsi"/>
                <w:i/>
                <w:lang w:val="en-US"/>
              </w:rPr>
              <w:t>Road Authority Data for Connected and Automated Vehicles</w:t>
            </w:r>
            <w:r w:rsidRPr="00282108">
              <w:rPr>
                <w:rFonts w:cstheme="minorHAnsi"/>
                <w:lang w:val="en-US"/>
              </w:rPr>
              <w:t xml:space="preserve"> (RADCAV) (AP-R662-21)</w:t>
            </w:r>
            <w:r w:rsidRPr="00282108">
              <w:rPr>
                <w:rStyle w:val="FootnoteReference"/>
                <w:rFonts w:cstheme="minorHAnsi"/>
                <w:lang w:val="en-US"/>
              </w:rPr>
              <w:footnoteReference w:id="14"/>
            </w:r>
            <w:r w:rsidRPr="00282108">
              <w:rPr>
                <w:rFonts w:cstheme="minorHAnsi"/>
                <w:lang w:val="en-US"/>
              </w:rPr>
              <w:t xml:space="preserve"> which identifies high priority data sets to make available for CAVs, and </w:t>
            </w:r>
          </w:p>
          <w:p w14:paraId="060EF320" w14:textId="77777777" w:rsidR="002E4AB0" w:rsidRPr="0099097F" w:rsidRDefault="002E4AB0" w:rsidP="00DA3925">
            <w:pPr>
              <w:pStyle w:val="ListParagraph"/>
              <w:numPr>
                <w:ilvl w:val="0"/>
                <w:numId w:val="40"/>
              </w:numPr>
              <w:spacing w:after="240" w:line="240" w:lineRule="auto"/>
              <w:ind w:left="357" w:hanging="357"/>
              <w:rPr>
                <w:lang w:val="en-US"/>
              </w:rPr>
            </w:pPr>
            <w:r w:rsidRPr="0099097F">
              <w:rPr>
                <w:rFonts w:cstheme="minorHAnsi"/>
                <w:i/>
                <w:lang w:val="en-US"/>
              </w:rPr>
              <w:t>Agency Business Capability Model to Support Connected Vehicles (</w:t>
            </w:r>
            <w:r w:rsidRPr="0099097F">
              <w:rPr>
                <w:rFonts w:cstheme="minorHAnsi"/>
                <w:lang w:val="en-US"/>
              </w:rPr>
              <w:t>AP-R664-22)</w:t>
            </w:r>
            <w:r w:rsidRPr="00282108">
              <w:rPr>
                <w:rStyle w:val="FootnoteReference"/>
                <w:rFonts w:cstheme="minorHAnsi"/>
                <w:i/>
                <w:lang w:val="en-US"/>
              </w:rPr>
              <w:footnoteReference w:id="15"/>
            </w:r>
            <w:r w:rsidRPr="0099097F">
              <w:rPr>
                <w:rFonts w:cstheme="minorHAnsi"/>
                <w:lang w:val="en-US"/>
              </w:rPr>
              <w:t>.</w:t>
            </w:r>
          </w:p>
        </w:tc>
        <w:tc>
          <w:tcPr>
            <w:tcW w:w="1701" w:type="dxa"/>
            <w:shd w:val="clear" w:color="auto" w:fill="F2F6E8" w:themeFill="accent5" w:themeFillTint="33"/>
          </w:tcPr>
          <w:p w14:paraId="0691C6DB" w14:textId="77777777" w:rsidR="002E4AB0" w:rsidRDefault="002E4AB0" w:rsidP="002A575C">
            <w:pPr>
              <w:rPr>
                <w:sz w:val="20"/>
                <w:szCs w:val="20"/>
                <w:lang w:val="en-US"/>
              </w:rPr>
            </w:pPr>
            <w:proofErr w:type="spellStart"/>
            <w:r>
              <w:rPr>
                <w:sz w:val="20"/>
                <w:szCs w:val="20"/>
                <w:lang w:val="en-US"/>
              </w:rPr>
              <w:t>Austroads</w:t>
            </w:r>
            <w:proofErr w:type="spellEnd"/>
            <w:r>
              <w:rPr>
                <w:sz w:val="20"/>
                <w:szCs w:val="20"/>
                <w:lang w:val="en-US"/>
              </w:rPr>
              <w:t xml:space="preserve"> will lead Part (a), in consultation with the Commonwealth, states and territories</w:t>
            </w:r>
          </w:p>
          <w:p w14:paraId="218663D3" w14:textId="77777777" w:rsidR="002E4AB0" w:rsidRDefault="002E4AB0" w:rsidP="002A575C">
            <w:pPr>
              <w:rPr>
                <w:sz w:val="20"/>
                <w:szCs w:val="20"/>
                <w:lang w:val="en-US"/>
              </w:rPr>
            </w:pPr>
          </w:p>
          <w:p w14:paraId="3BB06C32" w14:textId="77777777" w:rsidR="002E4AB0" w:rsidRDefault="002E4AB0" w:rsidP="002A575C">
            <w:pPr>
              <w:rPr>
                <w:sz w:val="20"/>
                <w:szCs w:val="20"/>
                <w:lang w:val="en-US"/>
              </w:rPr>
            </w:pPr>
            <w:r>
              <w:rPr>
                <w:sz w:val="20"/>
                <w:szCs w:val="20"/>
                <w:lang w:val="en-US"/>
              </w:rPr>
              <w:t xml:space="preserve">Commonwealth, states and territories will lead Part (b), in consultation with </w:t>
            </w:r>
            <w:proofErr w:type="spellStart"/>
            <w:r>
              <w:rPr>
                <w:sz w:val="20"/>
                <w:szCs w:val="20"/>
                <w:lang w:val="en-US"/>
              </w:rPr>
              <w:t>Austroads</w:t>
            </w:r>
            <w:proofErr w:type="spellEnd"/>
          </w:p>
        </w:tc>
        <w:tc>
          <w:tcPr>
            <w:tcW w:w="1134" w:type="dxa"/>
            <w:shd w:val="clear" w:color="auto" w:fill="F2F6E8" w:themeFill="accent5" w:themeFillTint="33"/>
          </w:tcPr>
          <w:p w14:paraId="7A338C22" w14:textId="77777777" w:rsidR="002E4AB0" w:rsidRDefault="002E4AB0" w:rsidP="002A575C">
            <w:pPr>
              <w:rPr>
                <w:sz w:val="20"/>
                <w:szCs w:val="20"/>
                <w:lang w:val="en-US"/>
              </w:rPr>
            </w:pPr>
            <w:r>
              <w:rPr>
                <w:sz w:val="20"/>
                <w:szCs w:val="20"/>
                <w:lang w:val="en-US"/>
              </w:rPr>
              <w:t>2024-2026</w:t>
            </w:r>
          </w:p>
        </w:tc>
        <w:tc>
          <w:tcPr>
            <w:tcW w:w="1417" w:type="dxa"/>
            <w:shd w:val="clear" w:color="auto" w:fill="F2F6E8" w:themeFill="accent5" w:themeFillTint="33"/>
          </w:tcPr>
          <w:p w14:paraId="2693E99E" w14:textId="77777777" w:rsidR="002E4AB0" w:rsidRDefault="002E4AB0" w:rsidP="002A575C">
            <w:pPr>
              <w:rPr>
                <w:sz w:val="20"/>
                <w:szCs w:val="20"/>
                <w:lang w:val="en-US"/>
              </w:rPr>
            </w:pPr>
            <w:r>
              <w:rPr>
                <w:sz w:val="20"/>
                <w:szCs w:val="20"/>
                <w:lang w:val="en-US"/>
              </w:rPr>
              <w:t>Research and develop (Part (a)) and Prepare to deploy (Part (b))</w:t>
            </w:r>
          </w:p>
        </w:tc>
        <w:tc>
          <w:tcPr>
            <w:tcW w:w="1418" w:type="dxa"/>
            <w:shd w:val="clear" w:color="auto" w:fill="F2F6E8" w:themeFill="accent5" w:themeFillTint="33"/>
          </w:tcPr>
          <w:p w14:paraId="13761038" w14:textId="77777777" w:rsidR="002E4AB0" w:rsidRDefault="002E4AB0" w:rsidP="002A575C">
            <w:pPr>
              <w:rPr>
                <w:sz w:val="20"/>
                <w:szCs w:val="20"/>
                <w:lang w:val="en-US"/>
              </w:rPr>
            </w:pPr>
            <w:r>
              <w:rPr>
                <w:sz w:val="20"/>
                <w:szCs w:val="20"/>
                <w:lang w:val="en-US"/>
              </w:rPr>
              <w:t>Supporting infrastructure</w:t>
            </w:r>
          </w:p>
        </w:tc>
      </w:tr>
      <w:tr w:rsidR="002E4AB0" w14:paraId="3911A1AD" w14:textId="77777777" w:rsidTr="002A575C">
        <w:trPr>
          <w:trHeight w:val="3658"/>
        </w:trPr>
        <w:tc>
          <w:tcPr>
            <w:tcW w:w="3114" w:type="dxa"/>
            <w:shd w:val="clear" w:color="auto" w:fill="E5EDD2" w:themeFill="accent5" w:themeFillTint="66"/>
          </w:tcPr>
          <w:p w14:paraId="73EA9EA8" w14:textId="77777777" w:rsidR="002E4AB0" w:rsidRDefault="002E4AB0" w:rsidP="002A575C">
            <w:pPr>
              <w:spacing w:after="120"/>
              <w:rPr>
                <w:rFonts w:cstheme="minorHAnsi"/>
                <w:b/>
                <w:sz w:val="20"/>
                <w:szCs w:val="20"/>
                <w:lang w:val="en-US"/>
              </w:rPr>
            </w:pPr>
            <w:r w:rsidRPr="006F6EF7">
              <w:rPr>
                <w:b/>
                <w:sz w:val="20"/>
                <w:szCs w:val="20"/>
                <w:lang w:val="en-US"/>
              </w:rPr>
              <w:lastRenderedPageBreak/>
              <w:t>2.</w:t>
            </w:r>
            <w:r>
              <w:rPr>
                <w:b/>
                <w:sz w:val="20"/>
                <w:szCs w:val="20"/>
                <w:lang w:val="en-US"/>
              </w:rPr>
              <w:t>3</w:t>
            </w:r>
            <w:r w:rsidRPr="006F6EF7">
              <w:rPr>
                <w:b/>
                <w:sz w:val="20"/>
                <w:szCs w:val="20"/>
                <w:lang w:val="en-US"/>
              </w:rPr>
              <w:t xml:space="preserve"> </w:t>
            </w:r>
            <w:r>
              <w:rPr>
                <w:b/>
                <w:sz w:val="20"/>
                <w:szCs w:val="20"/>
                <w:lang w:val="en-US"/>
              </w:rPr>
              <w:t>Develop a national system to manage the security of C-ITS messages</w:t>
            </w:r>
            <w:r>
              <w:rPr>
                <w:rFonts w:cstheme="minorHAnsi"/>
                <w:b/>
                <w:sz w:val="20"/>
                <w:szCs w:val="20"/>
                <w:lang w:val="en-US"/>
              </w:rPr>
              <w:t xml:space="preserve"> </w:t>
            </w:r>
            <w:r w:rsidRPr="00847554">
              <w:rPr>
                <w:rFonts w:cstheme="minorHAnsi"/>
                <w:b/>
                <w:sz w:val="20"/>
                <w:szCs w:val="20"/>
                <w:lang w:val="en-US"/>
              </w:rPr>
              <w:t>that is compatible with national security requirements</w:t>
            </w:r>
            <w:r>
              <w:rPr>
                <w:rFonts w:cstheme="minorHAnsi"/>
                <w:b/>
                <w:sz w:val="20"/>
                <w:szCs w:val="20"/>
                <w:lang w:val="en-US"/>
              </w:rPr>
              <w:t>:</w:t>
            </w:r>
          </w:p>
          <w:p w14:paraId="0AD594F6" w14:textId="5F95AF09" w:rsidR="002E4AB0" w:rsidRPr="00330E45" w:rsidRDefault="002E4AB0" w:rsidP="002E4AB0">
            <w:pPr>
              <w:pStyle w:val="ListParagraph"/>
              <w:numPr>
                <w:ilvl w:val="0"/>
                <w:numId w:val="44"/>
              </w:numPr>
              <w:spacing w:line="240" w:lineRule="auto"/>
              <w:ind w:left="457"/>
              <w:rPr>
                <w:b/>
                <w:lang w:val="en-US"/>
              </w:rPr>
            </w:pPr>
            <w:r w:rsidRPr="00330E45">
              <w:rPr>
                <w:b/>
                <w:lang w:val="en-US"/>
              </w:rPr>
              <w:t>Part (a)</w:t>
            </w:r>
            <w:r>
              <w:rPr>
                <w:b/>
                <w:lang w:val="en-US"/>
              </w:rPr>
              <w:t xml:space="preserve"> – </w:t>
            </w:r>
            <w:r w:rsidRPr="00330E45">
              <w:rPr>
                <w:b/>
                <w:lang w:val="en-US"/>
              </w:rPr>
              <w:t>Identify potential options</w:t>
            </w:r>
            <w:r w:rsidR="00FF16A0">
              <w:rPr>
                <w:b/>
                <w:lang w:val="en-US"/>
              </w:rPr>
              <w:t>,</w:t>
            </w:r>
            <w:r w:rsidRPr="00330E45">
              <w:rPr>
                <w:b/>
                <w:lang w:val="en-US"/>
              </w:rPr>
              <w:t xml:space="preserve"> and </w:t>
            </w:r>
          </w:p>
          <w:p w14:paraId="3EC053A5" w14:textId="77777777" w:rsidR="002E4AB0" w:rsidRPr="00330E45" w:rsidRDefault="002E4AB0" w:rsidP="002E4AB0">
            <w:pPr>
              <w:pStyle w:val="ListParagraph"/>
              <w:numPr>
                <w:ilvl w:val="0"/>
                <w:numId w:val="44"/>
              </w:numPr>
              <w:spacing w:line="240" w:lineRule="auto"/>
              <w:ind w:left="457"/>
              <w:rPr>
                <w:b/>
                <w:lang w:val="en-US"/>
              </w:rPr>
            </w:pPr>
            <w:r w:rsidRPr="00330E45">
              <w:rPr>
                <w:b/>
                <w:lang w:val="en-US"/>
              </w:rPr>
              <w:t xml:space="preserve">Part (b) </w:t>
            </w:r>
            <w:r>
              <w:rPr>
                <w:b/>
                <w:lang w:val="en-US"/>
              </w:rPr>
              <w:t>– P</w:t>
            </w:r>
            <w:r w:rsidRPr="00330E45">
              <w:rPr>
                <w:b/>
                <w:lang w:val="en-US"/>
              </w:rPr>
              <w:t xml:space="preserve">repare a business case </w:t>
            </w:r>
          </w:p>
        </w:tc>
        <w:tc>
          <w:tcPr>
            <w:tcW w:w="5670" w:type="dxa"/>
            <w:shd w:val="clear" w:color="auto" w:fill="F2F6E8" w:themeFill="accent5" w:themeFillTint="33"/>
          </w:tcPr>
          <w:p w14:paraId="7355B635" w14:textId="77777777" w:rsidR="002E4AB0" w:rsidRDefault="002E4AB0" w:rsidP="002A575C">
            <w:pPr>
              <w:pStyle w:val="non-heading"/>
              <w:spacing w:after="120"/>
              <w:rPr>
                <w:rFonts w:asciiTheme="minorHAnsi" w:hAnsiTheme="minorHAnsi" w:cstheme="minorHAnsi"/>
                <w:sz w:val="20"/>
              </w:rPr>
            </w:pPr>
            <w:r w:rsidRPr="00E646D6">
              <w:rPr>
                <w:rFonts w:asciiTheme="minorHAnsi" w:hAnsiTheme="minorHAnsi" w:cstheme="minorHAnsi"/>
                <w:sz w:val="20"/>
              </w:rPr>
              <w:t>This action would</w:t>
            </w:r>
            <w:r>
              <w:rPr>
                <w:rFonts w:asciiTheme="minorHAnsi" w:hAnsiTheme="minorHAnsi" w:cstheme="minorHAnsi"/>
                <w:sz w:val="20"/>
              </w:rPr>
              <w:t xml:space="preserve"> form part of the C-ITS implementation plan (action 2.1). </w:t>
            </w:r>
          </w:p>
          <w:p w14:paraId="3A3C0438" w14:textId="77777777" w:rsidR="002E4AB0" w:rsidRPr="00574A98" w:rsidRDefault="002E4AB0" w:rsidP="002A575C">
            <w:pPr>
              <w:pStyle w:val="non-heading"/>
              <w:spacing w:after="120"/>
              <w:rPr>
                <w:rFonts w:cstheme="minorHAnsi"/>
                <w:sz w:val="20"/>
              </w:rPr>
            </w:pPr>
            <w:r>
              <w:rPr>
                <w:rFonts w:asciiTheme="minorHAnsi" w:hAnsiTheme="minorHAnsi" w:cstheme="minorHAnsi"/>
                <w:sz w:val="20"/>
              </w:rPr>
              <w:t>Part (a) would</w:t>
            </w:r>
            <w:r w:rsidRPr="00E646D6">
              <w:rPr>
                <w:rFonts w:asciiTheme="minorHAnsi" w:hAnsiTheme="minorHAnsi" w:cstheme="minorHAnsi"/>
                <w:sz w:val="20"/>
              </w:rPr>
              <w:t xml:space="preserve"> build on the </w:t>
            </w:r>
            <w:r>
              <w:rPr>
                <w:rFonts w:asciiTheme="minorHAnsi" w:hAnsiTheme="minorHAnsi" w:cstheme="minorHAnsi"/>
                <w:sz w:val="20"/>
              </w:rPr>
              <w:t>lessons learned from</w:t>
            </w:r>
            <w:r w:rsidRPr="00E646D6">
              <w:rPr>
                <w:rFonts w:asciiTheme="minorHAnsi" w:hAnsiTheme="minorHAnsi" w:cstheme="minorHAnsi"/>
                <w:sz w:val="20"/>
              </w:rPr>
              <w:t xml:space="preserve"> the </w:t>
            </w:r>
            <w:r w:rsidRPr="000E0C65">
              <w:rPr>
                <w:rFonts w:asciiTheme="minorHAnsi" w:hAnsiTheme="minorHAnsi" w:cstheme="minorHAnsi"/>
                <w:i/>
                <w:sz w:val="20"/>
              </w:rPr>
              <w:t>Ipswich Connected Vehicle Pilot</w:t>
            </w:r>
            <w:r>
              <w:rPr>
                <w:rStyle w:val="FootnoteReference"/>
                <w:rFonts w:asciiTheme="minorHAnsi" w:hAnsiTheme="minorHAnsi" w:cstheme="minorHAnsi"/>
                <w:i/>
                <w:sz w:val="20"/>
              </w:rPr>
              <w:footnoteReference w:id="16"/>
            </w:r>
            <w:r w:rsidRPr="00E646D6">
              <w:rPr>
                <w:rFonts w:asciiTheme="minorHAnsi" w:hAnsiTheme="minorHAnsi" w:cstheme="minorHAnsi"/>
                <w:sz w:val="20"/>
              </w:rPr>
              <w:t xml:space="preserve"> to </w:t>
            </w:r>
            <w:r>
              <w:rPr>
                <w:rFonts w:asciiTheme="minorHAnsi" w:hAnsiTheme="minorHAnsi" w:cstheme="minorHAnsi"/>
                <w:sz w:val="20"/>
              </w:rPr>
              <w:t>identify</w:t>
            </w:r>
            <w:r w:rsidRPr="00E646D6">
              <w:rPr>
                <w:rFonts w:asciiTheme="minorHAnsi" w:hAnsiTheme="minorHAnsi" w:cstheme="minorHAnsi"/>
                <w:sz w:val="20"/>
              </w:rPr>
              <w:t xml:space="preserve"> </w:t>
            </w:r>
            <w:r>
              <w:rPr>
                <w:rFonts w:asciiTheme="minorHAnsi" w:hAnsiTheme="minorHAnsi" w:cstheme="minorHAnsi"/>
                <w:sz w:val="20"/>
              </w:rPr>
              <w:t xml:space="preserve">the options for a national system for managing the security of C-ITS messages, including the associated benefits, costs and technical requirements for each option. A security management system would ensure that messages exchanged via C-ITS are genuine. Part (a) would provide the technical inputs to inform Part (b). </w:t>
            </w:r>
            <w:r w:rsidRPr="00ED523B">
              <w:rPr>
                <w:rFonts w:asciiTheme="minorHAnsi" w:hAnsiTheme="minorHAnsi" w:cstheme="minorHAnsi"/>
                <w:sz w:val="20"/>
              </w:rPr>
              <w:t xml:space="preserve">Note, </w:t>
            </w:r>
            <w:r>
              <w:rPr>
                <w:rFonts w:asciiTheme="minorHAnsi" w:hAnsiTheme="minorHAnsi" w:cstheme="minorHAnsi"/>
                <w:sz w:val="20"/>
              </w:rPr>
              <w:t>Part (a)</w:t>
            </w:r>
            <w:r w:rsidRPr="00ED523B">
              <w:rPr>
                <w:rFonts w:asciiTheme="minorHAnsi" w:hAnsiTheme="minorHAnsi" w:cstheme="minorHAnsi"/>
                <w:sz w:val="20"/>
              </w:rPr>
              <w:t xml:space="preserve"> would be subject to </w:t>
            </w:r>
            <w:proofErr w:type="spellStart"/>
            <w:r w:rsidRPr="00ED523B">
              <w:rPr>
                <w:rFonts w:asciiTheme="minorHAnsi" w:hAnsiTheme="minorHAnsi" w:cstheme="minorHAnsi"/>
                <w:sz w:val="20"/>
              </w:rPr>
              <w:t>Austroads</w:t>
            </w:r>
            <w:proofErr w:type="spellEnd"/>
            <w:r w:rsidRPr="00ED523B">
              <w:rPr>
                <w:rFonts w:asciiTheme="minorHAnsi" w:hAnsiTheme="minorHAnsi" w:cstheme="minorHAnsi"/>
                <w:sz w:val="20"/>
              </w:rPr>
              <w:t xml:space="preserve"> Board approval.</w:t>
            </w:r>
          </w:p>
          <w:p w14:paraId="2B7AA0A7" w14:textId="77777777" w:rsidR="002E4AB0" w:rsidRPr="00574A98" w:rsidRDefault="002E4AB0" w:rsidP="00DA3925">
            <w:pPr>
              <w:spacing w:after="240"/>
              <w:rPr>
                <w:rFonts w:cstheme="minorHAnsi"/>
                <w:sz w:val="20"/>
              </w:rPr>
            </w:pPr>
            <w:r>
              <w:rPr>
                <w:rFonts w:cstheme="minorHAnsi"/>
                <w:sz w:val="20"/>
                <w:szCs w:val="20"/>
                <w:lang w:val="en-US"/>
              </w:rPr>
              <w:t>Part (b)</w:t>
            </w:r>
            <w:r w:rsidRPr="00574A98">
              <w:rPr>
                <w:rFonts w:cstheme="minorHAnsi"/>
                <w:sz w:val="20"/>
                <w:szCs w:val="20"/>
                <w:lang w:val="en-US"/>
              </w:rPr>
              <w:t xml:space="preserve"> </w:t>
            </w:r>
            <w:r w:rsidRPr="00A60728">
              <w:rPr>
                <w:rFonts w:cstheme="minorHAnsi"/>
                <w:sz w:val="20"/>
                <w:szCs w:val="20"/>
                <w:lang w:val="en-US"/>
              </w:rPr>
              <w:t>would</w:t>
            </w:r>
            <w:r>
              <w:rPr>
                <w:rFonts w:cstheme="minorHAnsi"/>
                <w:sz w:val="20"/>
                <w:szCs w:val="20"/>
                <w:lang w:val="en-US"/>
              </w:rPr>
              <w:t xml:space="preserve"> build on the </w:t>
            </w:r>
            <w:proofErr w:type="spellStart"/>
            <w:r>
              <w:rPr>
                <w:rFonts w:cstheme="minorHAnsi"/>
                <w:sz w:val="20"/>
                <w:szCs w:val="20"/>
                <w:lang w:val="en-US"/>
              </w:rPr>
              <w:t>Austroads</w:t>
            </w:r>
            <w:proofErr w:type="spellEnd"/>
            <w:r>
              <w:rPr>
                <w:rFonts w:cstheme="minorHAnsi"/>
                <w:sz w:val="20"/>
                <w:szCs w:val="20"/>
                <w:lang w:val="en-US"/>
              </w:rPr>
              <w:t xml:space="preserve"> technical work under Part (a) to develop a business case for a national system for managing the security of C-ITS messages that is compliant with national security requirements.</w:t>
            </w:r>
          </w:p>
        </w:tc>
        <w:tc>
          <w:tcPr>
            <w:tcW w:w="1701" w:type="dxa"/>
            <w:shd w:val="clear" w:color="auto" w:fill="F2F6E8" w:themeFill="accent5" w:themeFillTint="33"/>
          </w:tcPr>
          <w:p w14:paraId="1A71E503" w14:textId="77777777" w:rsidR="002E4AB0" w:rsidDel="00BA4B3C" w:rsidRDefault="002E4AB0" w:rsidP="002A575C">
            <w:pPr>
              <w:rPr>
                <w:sz w:val="20"/>
                <w:szCs w:val="20"/>
              </w:rPr>
            </w:pPr>
            <w:r>
              <w:rPr>
                <w:sz w:val="20"/>
                <w:szCs w:val="20"/>
              </w:rPr>
              <w:t>Austroads will lead Part (a), in consultation with the Commonwealth, states and territories</w:t>
            </w:r>
          </w:p>
          <w:p w14:paraId="1E6B5C5D" w14:textId="77777777" w:rsidR="002E4AB0" w:rsidRDefault="002E4AB0" w:rsidP="002A575C">
            <w:pPr>
              <w:rPr>
                <w:sz w:val="20"/>
                <w:szCs w:val="20"/>
              </w:rPr>
            </w:pPr>
          </w:p>
          <w:p w14:paraId="17C31F13" w14:textId="77777777" w:rsidR="002E4AB0" w:rsidDel="00BA4B3C" w:rsidRDefault="002E4AB0" w:rsidP="002A575C">
            <w:pPr>
              <w:rPr>
                <w:sz w:val="20"/>
                <w:szCs w:val="20"/>
              </w:rPr>
            </w:pPr>
            <w:r>
              <w:rPr>
                <w:sz w:val="20"/>
                <w:szCs w:val="20"/>
              </w:rPr>
              <w:t>Commonwealth, states and territories will lead Part (b), in consultation with Austroads</w:t>
            </w:r>
          </w:p>
        </w:tc>
        <w:tc>
          <w:tcPr>
            <w:tcW w:w="1134" w:type="dxa"/>
            <w:shd w:val="clear" w:color="auto" w:fill="F2F6E8" w:themeFill="accent5" w:themeFillTint="33"/>
          </w:tcPr>
          <w:p w14:paraId="338BD3BA" w14:textId="77777777" w:rsidR="002E4AB0" w:rsidRDefault="002E4AB0" w:rsidP="002A575C">
            <w:pPr>
              <w:rPr>
                <w:sz w:val="20"/>
                <w:szCs w:val="20"/>
                <w:lang w:val="en-US"/>
              </w:rPr>
            </w:pPr>
            <w:r>
              <w:rPr>
                <w:sz w:val="20"/>
                <w:szCs w:val="20"/>
                <w:lang w:val="en-US"/>
              </w:rPr>
              <w:t>2024-2026</w:t>
            </w:r>
          </w:p>
          <w:p w14:paraId="16464669" w14:textId="77777777" w:rsidR="002E4AB0" w:rsidRDefault="002E4AB0" w:rsidP="002A575C">
            <w:pPr>
              <w:rPr>
                <w:sz w:val="20"/>
                <w:szCs w:val="20"/>
                <w:lang w:val="en-US"/>
              </w:rPr>
            </w:pPr>
          </w:p>
        </w:tc>
        <w:tc>
          <w:tcPr>
            <w:tcW w:w="1417" w:type="dxa"/>
            <w:shd w:val="clear" w:color="auto" w:fill="F2F6E8" w:themeFill="accent5" w:themeFillTint="33"/>
          </w:tcPr>
          <w:p w14:paraId="2107FAB2" w14:textId="77777777" w:rsidR="002E4AB0" w:rsidRDefault="002E4AB0" w:rsidP="002A575C">
            <w:pPr>
              <w:rPr>
                <w:sz w:val="20"/>
                <w:szCs w:val="20"/>
                <w:lang w:val="en-US"/>
              </w:rPr>
            </w:pPr>
            <w:r>
              <w:rPr>
                <w:sz w:val="20"/>
                <w:szCs w:val="20"/>
                <w:lang w:val="en-US"/>
              </w:rPr>
              <w:t>Research and develop (Part (a)) and</w:t>
            </w:r>
          </w:p>
          <w:p w14:paraId="4A293C41" w14:textId="77777777" w:rsidR="002E4AB0" w:rsidRDefault="002E4AB0" w:rsidP="002A575C">
            <w:pPr>
              <w:rPr>
                <w:sz w:val="20"/>
                <w:szCs w:val="20"/>
                <w:lang w:val="en-US"/>
              </w:rPr>
            </w:pPr>
            <w:r>
              <w:rPr>
                <w:sz w:val="20"/>
                <w:szCs w:val="20"/>
                <w:lang w:val="en-US"/>
              </w:rPr>
              <w:t>Prepare to deploy (Part (b))</w:t>
            </w:r>
          </w:p>
        </w:tc>
        <w:tc>
          <w:tcPr>
            <w:tcW w:w="1418" w:type="dxa"/>
            <w:shd w:val="clear" w:color="auto" w:fill="F2F6E8" w:themeFill="accent5" w:themeFillTint="33"/>
          </w:tcPr>
          <w:p w14:paraId="2AF96F4B" w14:textId="77777777" w:rsidR="002E4AB0" w:rsidRDefault="002E4AB0" w:rsidP="002A575C">
            <w:pPr>
              <w:rPr>
                <w:sz w:val="20"/>
                <w:szCs w:val="20"/>
                <w:lang w:val="en-US"/>
              </w:rPr>
            </w:pPr>
            <w:r>
              <w:rPr>
                <w:sz w:val="20"/>
                <w:szCs w:val="20"/>
                <w:lang w:val="en-US"/>
              </w:rPr>
              <w:t>Supporting infrastructure</w:t>
            </w:r>
          </w:p>
          <w:p w14:paraId="3E2F5661" w14:textId="77777777" w:rsidR="002E4AB0" w:rsidRDefault="002E4AB0" w:rsidP="002A575C">
            <w:pPr>
              <w:rPr>
                <w:sz w:val="20"/>
                <w:szCs w:val="20"/>
                <w:lang w:val="en-US"/>
              </w:rPr>
            </w:pPr>
          </w:p>
        </w:tc>
      </w:tr>
      <w:tr w:rsidR="002E4AB0" w14:paraId="1635CECE" w14:textId="77777777" w:rsidTr="002A575C">
        <w:tc>
          <w:tcPr>
            <w:tcW w:w="3114" w:type="dxa"/>
            <w:shd w:val="clear" w:color="auto" w:fill="E5EDD2" w:themeFill="accent5" w:themeFillTint="66"/>
          </w:tcPr>
          <w:p w14:paraId="74744CE6" w14:textId="77777777" w:rsidR="002E4AB0" w:rsidRPr="0015692C" w:rsidRDefault="002E4AB0" w:rsidP="002A575C">
            <w:pPr>
              <w:rPr>
                <w:b/>
                <w:sz w:val="20"/>
                <w:szCs w:val="20"/>
                <w:lang w:val="en-US"/>
              </w:rPr>
            </w:pPr>
            <w:r>
              <w:rPr>
                <w:b/>
                <w:sz w:val="20"/>
                <w:szCs w:val="20"/>
                <w:lang w:val="en-US"/>
              </w:rPr>
              <w:t xml:space="preserve">2.4 </w:t>
            </w:r>
            <w:r w:rsidRPr="00847554">
              <w:rPr>
                <w:rFonts w:cstheme="minorHAnsi"/>
                <w:b/>
                <w:sz w:val="20"/>
                <w:szCs w:val="20"/>
                <w:lang w:val="en-US"/>
              </w:rPr>
              <w:t>Monitor radiofrequency spectrum arrangements for C</w:t>
            </w:r>
            <w:r w:rsidRPr="00847554">
              <w:rPr>
                <w:rFonts w:cstheme="minorHAnsi"/>
                <w:b/>
                <w:sz w:val="20"/>
                <w:szCs w:val="20"/>
                <w:lang w:val="en-US"/>
              </w:rPr>
              <w:noBreakHyphen/>
              <w:t>ITS with a view to ensuring they remain fit for purpose and align with key international markets</w:t>
            </w:r>
          </w:p>
        </w:tc>
        <w:tc>
          <w:tcPr>
            <w:tcW w:w="5670" w:type="dxa"/>
            <w:shd w:val="clear" w:color="auto" w:fill="F2F6E8" w:themeFill="accent5" w:themeFillTint="33"/>
          </w:tcPr>
          <w:p w14:paraId="2CB718B4" w14:textId="77777777" w:rsidR="002E4AB0" w:rsidRPr="0015692C" w:rsidRDefault="002E4AB0" w:rsidP="00DA3925">
            <w:pPr>
              <w:spacing w:after="240"/>
              <w:rPr>
                <w:rFonts w:cstheme="minorHAnsi"/>
                <w:sz w:val="20"/>
                <w:szCs w:val="20"/>
                <w:lang w:val="en-US"/>
              </w:rPr>
            </w:pPr>
            <w:r w:rsidRPr="00574A98">
              <w:rPr>
                <w:rFonts w:cstheme="minorHAnsi"/>
                <w:sz w:val="20"/>
                <w:szCs w:val="20"/>
                <w:lang w:val="en-US"/>
              </w:rPr>
              <w:t xml:space="preserve">This action would form part of the C-ITS </w:t>
            </w:r>
            <w:r>
              <w:rPr>
                <w:rFonts w:cstheme="minorHAnsi"/>
                <w:sz w:val="20"/>
                <w:szCs w:val="20"/>
                <w:lang w:val="en-US"/>
              </w:rPr>
              <w:t xml:space="preserve">implementation </w:t>
            </w:r>
            <w:r w:rsidRPr="00574A98">
              <w:rPr>
                <w:rFonts w:cstheme="minorHAnsi"/>
                <w:sz w:val="20"/>
                <w:szCs w:val="20"/>
                <w:lang w:val="en-US"/>
              </w:rPr>
              <w:t xml:space="preserve">plan (action </w:t>
            </w:r>
            <w:r>
              <w:rPr>
                <w:rFonts w:cstheme="minorHAnsi"/>
                <w:sz w:val="20"/>
                <w:szCs w:val="20"/>
                <w:lang w:val="en-US"/>
              </w:rPr>
              <w:t>2.1</w:t>
            </w:r>
            <w:r w:rsidRPr="00574A98">
              <w:rPr>
                <w:rFonts w:cstheme="minorHAnsi"/>
                <w:sz w:val="20"/>
                <w:szCs w:val="20"/>
                <w:lang w:val="en-US"/>
              </w:rPr>
              <w:t>).</w:t>
            </w:r>
            <w:r w:rsidRPr="00847554">
              <w:rPr>
                <w:rFonts w:cstheme="minorHAnsi"/>
                <w:sz w:val="20"/>
                <w:szCs w:val="20"/>
                <w:lang w:val="en-US"/>
              </w:rPr>
              <w:t xml:space="preserve"> </w:t>
            </w:r>
            <w:r>
              <w:rPr>
                <w:rFonts w:cstheme="minorHAnsi"/>
                <w:sz w:val="20"/>
                <w:szCs w:val="20"/>
                <w:lang w:val="en-US"/>
              </w:rPr>
              <w:t xml:space="preserve">It would monitor international spectrum developments with a view to ensuring that Australia’s spectrum arrangements remain aligned with key international markets, and are able to appropriately support both short-range and long-range C-ITS communications. This will help to enable the supply of compatible C-ITS equipment and vehicles to the Australian market. </w:t>
            </w:r>
            <w:r w:rsidRPr="00847554">
              <w:rPr>
                <w:rFonts w:cstheme="minorHAnsi"/>
                <w:sz w:val="20"/>
                <w:szCs w:val="20"/>
                <w:lang w:val="en-US"/>
              </w:rPr>
              <w:t xml:space="preserve"> </w:t>
            </w:r>
          </w:p>
        </w:tc>
        <w:tc>
          <w:tcPr>
            <w:tcW w:w="1701" w:type="dxa"/>
            <w:shd w:val="clear" w:color="auto" w:fill="F2F6E8" w:themeFill="accent5" w:themeFillTint="33"/>
          </w:tcPr>
          <w:p w14:paraId="073B82B1" w14:textId="77777777" w:rsidR="002E4AB0" w:rsidRPr="0015692C" w:rsidRDefault="002E4AB0" w:rsidP="002A575C">
            <w:pPr>
              <w:spacing w:after="120"/>
              <w:rPr>
                <w:sz w:val="20"/>
                <w:szCs w:val="20"/>
                <w:lang w:val="en-US"/>
              </w:rPr>
            </w:pPr>
            <w:r w:rsidRPr="00847554">
              <w:rPr>
                <w:rFonts w:cstheme="minorHAnsi"/>
                <w:sz w:val="20"/>
                <w:szCs w:val="20"/>
                <w:lang w:val="en-US"/>
              </w:rPr>
              <w:t>Commonwealth (lead)</w:t>
            </w:r>
            <w:r>
              <w:rPr>
                <w:rFonts w:cstheme="minorHAnsi"/>
                <w:sz w:val="20"/>
                <w:szCs w:val="20"/>
                <w:lang w:val="en-US"/>
              </w:rPr>
              <w:t>,</w:t>
            </w:r>
            <w:r w:rsidRPr="00847554">
              <w:rPr>
                <w:rFonts w:cstheme="minorHAnsi"/>
                <w:sz w:val="20"/>
                <w:szCs w:val="20"/>
                <w:lang w:val="en-US"/>
              </w:rPr>
              <w:t xml:space="preserve"> in consultation with </w:t>
            </w:r>
            <w:proofErr w:type="spellStart"/>
            <w:r w:rsidRPr="00847554">
              <w:rPr>
                <w:rFonts w:cstheme="minorHAnsi"/>
                <w:sz w:val="20"/>
                <w:szCs w:val="20"/>
                <w:lang w:val="en-US"/>
              </w:rPr>
              <w:t>Austroads</w:t>
            </w:r>
            <w:proofErr w:type="spellEnd"/>
            <w:r w:rsidRPr="00847554">
              <w:rPr>
                <w:rFonts w:cstheme="minorHAnsi"/>
                <w:sz w:val="20"/>
                <w:szCs w:val="20"/>
                <w:lang w:val="en-US"/>
              </w:rPr>
              <w:t>, states and territories</w:t>
            </w:r>
          </w:p>
        </w:tc>
        <w:tc>
          <w:tcPr>
            <w:tcW w:w="1134" w:type="dxa"/>
            <w:shd w:val="clear" w:color="auto" w:fill="F2F6E8" w:themeFill="accent5" w:themeFillTint="33"/>
          </w:tcPr>
          <w:p w14:paraId="111176DA" w14:textId="77777777" w:rsidR="002E4AB0" w:rsidRPr="0015692C" w:rsidRDefault="002E4AB0" w:rsidP="002A575C">
            <w:pPr>
              <w:rPr>
                <w:sz w:val="20"/>
                <w:szCs w:val="20"/>
                <w:lang w:val="en-US"/>
              </w:rPr>
            </w:pPr>
            <w:r>
              <w:rPr>
                <w:sz w:val="20"/>
                <w:szCs w:val="20"/>
                <w:lang w:val="en-US"/>
              </w:rPr>
              <w:t>2024-2026</w:t>
            </w:r>
          </w:p>
        </w:tc>
        <w:tc>
          <w:tcPr>
            <w:tcW w:w="1417" w:type="dxa"/>
            <w:shd w:val="clear" w:color="auto" w:fill="F2F6E8" w:themeFill="accent5" w:themeFillTint="33"/>
          </w:tcPr>
          <w:p w14:paraId="660945A9" w14:textId="77777777" w:rsidR="002E4AB0" w:rsidRPr="0015692C" w:rsidRDefault="002E4AB0" w:rsidP="002A575C">
            <w:pPr>
              <w:rPr>
                <w:sz w:val="20"/>
                <w:szCs w:val="20"/>
                <w:lang w:val="en-US"/>
              </w:rPr>
            </w:pPr>
            <w:r>
              <w:rPr>
                <w:sz w:val="20"/>
                <w:szCs w:val="20"/>
                <w:lang w:val="en-US"/>
              </w:rPr>
              <w:t>Manage and maintain</w:t>
            </w:r>
          </w:p>
        </w:tc>
        <w:tc>
          <w:tcPr>
            <w:tcW w:w="1418" w:type="dxa"/>
            <w:shd w:val="clear" w:color="auto" w:fill="F2F6E8" w:themeFill="accent5" w:themeFillTint="33"/>
          </w:tcPr>
          <w:p w14:paraId="0CC254A4" w14:textId="77777777" w:rsidR="002E4AB0" w:rsidRPr="0015692C" w:rsidRDefault="002E4AB0" w:rsidP="002A575C">
            <w:pPr>
              <w:rPr>
                <w:sz w:val="20"/>
                <w:szCs w:val="20"/>
                <w:lang w:val="en-US"/>
              </w:rPr>
            </w:pPr>
            <w:r>
              <w:rPr>
                <w:sz w:val="20"/>
                <w:szCs w:val="20"/>
                <w:lang w:val="en-US"/>
              </w:rPr>
              <w:t>Supporting infrastructure</w:t>
            </w:r>
          </w:p>
        </w:tc>
      </w:tr>
      <w:tr w:rsidR="002E4AB0" w14:paraId="225C3779" w14:textId="77777777" w:rsidTr="002A575C">
        <w:tc>
          <w:tcPr>
            <w:tcW w:w="3114" w:type="dxa"/>
            <w:shd w:val="clear" w:color="auto" w:fill="E5EDD2" w:themeFill="accent5" w:themeFillTint="66"/>
          </w:tcPr>
          <w:p w14:paraId="294B634B" w14:textId="77777777" w:rsidR="002E4AB0" w:rsidRPr="0015692C" w:rsidRDefault="002E4AB0" w:rsidP="00DA3925">
            <w:pPr>
              <w:spacing w:after="240"/>
              <w:rPr>
                <w:b/>
                <w:sz w:val="20"/>
                <w:szCs w:val="20"/>
                <w:lang w:val="en-US"/>
              </w:rPr>
            </w:pPr>
            <w:r>
              <w:rPr>
                <w:b/>
                <w:sz w:val="20"/>
                <w:szCs w:val="20"/>
                <w:lang w:val="en-US"/>
              </w:rPr>
              <w:t xml:space="preserve">2.5 </w:t>
            </w:r>
            <w:r w:rsidRPr="00847554">
              <w:rPr>
                <w:rFonts w:eastAsia="Times New Roman" w:cstheme="minorHAnsi"/>
                <w:b/>
                <w:bCs/>
                <w:sz w:val="20"/>
                <w:szCs w:val="20"/>
              </w:rPr>
              <w:t xml:space="preserve">Identify any impediments to </w:t>
            </w:r>
            <w:r>
              <w:rPr>
                <w:rFonts w:eastAsia="Times New Roman" w:cstheme="minorHAnsi"/>
                <w:b/>
                <w:bCs/>
                <w:sz w:val="20"/>
                <w:szCs w:val="20"/>
              </w:rPr>
              <w:t xml:space="preserve">implementing the </w:t>
            </w:r>
            <w:proofErr w:type="spellStart"/>
            <w:r w:rsidRPr="00847554">
              <w:rPr>
                <w:rFonts w:eastAsia="Times New Roman" w:cstheme="minorHAnsi"/>
                <w:b/>
                <w:bCs/>
                <w:sz w:val="20"/>
                <w:szCs w:val="20"/>
              </w:rPr>
              <w:t>eCall</w:t>
            </w:r>
            <w:proofErr w:type="spellEnd"/>
            <w:r>
              <w:rPr>
                <w:rFonts w:eastAsia="Times New Roman" w:cstheme="minorHAnsi"/>
                <w:b/>
                <w:bCs/>
                <w:sz w:val="20"/>
                <w:szCs w:val="20"/>
              </w:rPr>
              <w:t xml:space="preserve"> in-vehicle automated crash notification (ACN) system</w:t>
            </w:r>
            <w:r w:rsidRPr="00847554">
              <w:rPr>
                <w:rFonts w:eastAsia="Times New Roman" w:cstheme="minorHAnsi"/>
                <w:b/>
                <w:bCs/>
                <w:sz w:val="20"/>
                <w:szCs w:val="20"/>
              </w:rPr>
              <w:t xml:space="preserve">, and develop options to overcome identified impediments to </w:t>
            </w:r>
            <w:proofErr w:type="spellStart"/>
            <w:r w:rsidRPr="00847554">
              <w:rPr>
                <w:rFonts w:eastAsia="Times New Roman" w:cstheme="minorHAnsi"/>
                <w:b/>
                <w:bCs/>
                <w:sz w:val="20"/>
                <w:szCs w:val="20"/>
              </w:rPr>
              <w:t>eCall</w:t>
            </w:r>
            <w:proofErr w:type="spellEnd"/>
            <w:r w:rsidRPr="00847554">
              <w:rPr>
                <w:rFonts w:eastAsia="Times New Roman" w:cstheme="minorHAnsi"/>
                <w:b/>
                <w:bCs/>
                <w:sz w:val="20"/>
                <w:szCs w:val="20"/>
              </w:rPr>
              <w:t xml:space="preserve"> implementation in Australia</w:t>
            </w:r>
          </w:p>
        </w:tc>
        <w:tc>
          <w:tcPr>
            <w:tcW w:w="5670" w:type="dxa"/>
            <w:shd w:val="clear" w:color="auto" w:fill="F2F6E8" w:themeFill="accent5" w:themeFillTint="33"/>
          </w:tcPr>
          <w:p w14:paraId="4C2CFF66" w14:textId="77777777" w:rsidR="002E4AB0" w:rsidRPr="0015692C" w:rsidRDefault="002E4AB0" w:rsidP="002A575C">
            <w:pPr>
              <w:spacing w:after="120"/>
              <w:rPr>
                <w:rFonts w:cstheme="minorHAnsi"/>
                <w:sz w:val="20"/>
                <w:szCs w:val="20"/>
                <w:lang w:val="en-US"/>
              </w:rPr>
            </w:pPr>
            <w:r w:rsidRPr="00847554">
              <w:rPr>
                <w:rFonts w:cstheme="minorHAnsi"/>
                <w:sz w:val="20"/>
                <w:szCs w:val="20"/>
                <w:lang w:val="en-US"/>
              </w:rPr>
              <w:t>This action would provide the information base, including potential costs</w:t>
            </w:r>
            <w:r>
              <w:rPr>
                <w:rFonts w:cstheme="minorHAnsi"/>
                <w:sz w:val="20"/>
                <w:szCs w:val="20"/>
                <w:lang w:val="en-US"/>
              </w:rPr>
              <w:t xml:space="preserve"> and benefits</w:t>
            </w:r>
            <w:r w:rsidRPr="00847554">
              <w:rPr>
                <w:rFonts w:cstheme="minorHAnsi"/>
                <w:sz w:val="20"/>
                <w:szCs w:val="20"/>
                <w:lang w:val="en-US"/>
              </w:rPr>
              <w:t xml:space="preserve">, to inform consideration of how </w:t>
            </w:r>
            <w:proofErr w:type="spellStart"/>
            <w:r w:rsidRPr="00847554">
              <w:rPr>
                <w:rFonts w:cstheme="minorHAnsi"/>
                <w:sz w:val="20"/>
                <w:szCs w:val="20"/>
                <w:lang w:val="en-US"/>
              </w:rPr>
              <w:t>eCall</w:t>
            </w:r>
            <w:proofErr w:type="spellEnd"/>
            <w:r w:rsidRPr="00847554">
              <w:rPr>
                <w:rFonts w:cstheme="minorHAnsi"/>
                <w:sz w:val="20"/>
                <w:szCs w:val="20"/>
                <w:lang w:val="en-US"/>
              </w:rPr>
              <w:t xml:space="preserve"> could be implemented in Australia.</w:t>
            </w:r>
            <w:r>
              <w:rPr>
                <w:rFonts w:cstheme="minorHAnsi"/>
                <w:sz w:val="20"/>
                <w:szCs w:val="20"/>
                <w:lang w:val="en-US"/>
              </w:rPr>
              <w:t xml:space="preserve"> It would include consideration of the potential interactions with smartphone functionality.</w:t>
            </w:r>
            <w:r w:rsidRPr="00847554">
              <w:rPr>
                <w:rFonts w:cstheme="minorHAnsi"/>
                <w:sz w:val="20"/>
                <w:szCs w:val="20"/>
                <w:lang w:val="en-US"/>
              </w:rPr>
              <w:t xml:space="preserve"> </w:t>
            </w:r>
            <w:r w:rsidRPr="001A714D">
              <w:rPr>
                <w:rFonts w:cstheme="minorHAnsi"/>
                <w:sz w:val="20"/>
                <w:szCs w:val="20"/>
                <w:lang w:val="en-US"/>
              </w:rPr>
              <w:t xml:space="preserve">It would build on </w:t>
            </w:r>
            <w:proofErr w:type="spellStart"/>
            <w:r w:rsidRPr="001A714D">
              <w:rPr>
                <w:rFonts w:cstheme="minorHAnsi"/>
                <w:sz w:val="20"/>
                <w:szCs w:val="20"/>
                <w:lang w:val="en-US"/>
              </w:rPr>
              <w:t>Austroads</w:t>
            </w:r>
            <w:proofErr w:type="spellEnd"/>
            <w:r>
              <w:rPr>
                <w:rFonts w:cstheme="minorHAnsi"/>
                <w:sz w:val="20"/>
                <w:szCs w:val="20"/>
                <w:lang w:val="en-US"/>
              </w:rPr>
              <w:t xml:space="preserve"> work to consider current approaches to </w:t>
            </w:r>
            <w:proofErr w:type="spellStart"/>
            <w:r>
              <w:rPr>
                <w:rFonts w:cstheme="minorHAnsi"/>
                <w:sz w:val="20"/>
                <w:szCs w:val="20"/>
                <w:lang w:val="en-US"/>
              </w:rPr>
              <w:t>eCall</w:t>
            </w:r>
            <w:proofErr w:type="spellEnd"/>
            <w:r>
              <w:rPr>
                <w:rFonts w:cstheme="minorHAnsi"/>
                <w:sz w:val="20"/>
                <w:szCs w:val="20"/>
                <w:lang w:val="en-US"/>
              </w:rPr>
              <w:t xml:space="preserve"> for Australia and New Zealand</w:t>
            </w:r>
            <w:r w:rsidRPr="001A714D">
              <w:rPr>
                <w:rFonts w:cstheme="minorHAnsi"/>
                <w:sz w:val="20"/>
                <w:szCs w:val="20"/>
                <w:lang w:val="en-US"/>
              </w:rPr>
              <w:t xml:space="preserve"> (CAV6424)</w:t>
            </w:r>
            <w:r>
              <w:rPr>
                <w:rFonts w:cstheme="minorHAnsi"/>
                <w:sz w:val="20"/>
                <w:szCs w:val="20"/>
                <w:lang w:val="en-US"/>
              </w:rPr>
              <w:t>.</w:t>
            </w:r>
          </w:p>
        </w:tc>
        <w:tc>
          <w:tcPr>
            <w:tcW w:w="1701" w:type="dxa"/>
            <w:shd w:val="clear" w:color="auto" w:fill="F2F6E8" w:themeFill="accent5" w:themeFillTint="33"/>
          </w:tcPr>
          <w:p w14:paraId="754ECD02" w14:textId="77777777" w:rsidR="002E4AB0" w:rsidRPr="0015692C" w:rsidRDefault="002E4AB0" w:rsidP="002A575C">
            <w:pPr>
              <w:rPr>
                <w:sz w:val="20"/>
                <w:szCs w:val="20"/>
                <w:lang w:val="en-US"/>
              </w:rPr>
            </w:pPr>
            <w:r w:rsidRPr="00847554">
              <w:rPr>
                <w:rFonts w:cstheme="minorHAnsi"/>
                <w:sz w:val="20"/>
                <w:szCs w:val="20"/>
                <w:lang w:val="en-US"/>
              </w:rPr>
              <w:t xml:space="preserve">Commonwealth (lead), in consultation with </w:t>
            </w:r>
            <w:r>
              <w:rPr>
                <w:rFonts w:cstheme="minorHAnsi"/>
                <w:sz w:val="20"/>
                <w:szCs w:val="20"/>
                <w:lang w:val="en-US"/>
              </w:rPr>
              <w:t xml:space="preserve">the </w:t>
            </w:r>
            <w:r w:rsidRPr="00847554">
              <w:rPr>
                <w:rFonts w:cstheme="minorHAnsi"/>
                <w:sz w:val="20"/>
                <w:szCs w:val="20"/>
                <w:lang w:val="en-US"/>
              </w:rPr>
              <w:t>states and territories</w:t>
            </w:r>
          </w:p>
        </w:tc>
        <w:tc>
          <w:tcPr>
            <w:tcW w:w="1134" w:type="dxa"/>
            <w:shd w:val="clear" w:color="auto" w:fill="F2F6E8" w:themeFill="accent5" w:themeFillTint="33"/>
          </w:tcPr>
          <w:p w14:paraId="6B1BC793" w14:textId="77777777" w:rsidR="002E4AB0" w:rsidRPr="0015692C" w:rsidRDefault="002E4AB0" w:rsidP="002A575C">
            <w:pPr>
              <w:rPr>
                <w:sz w:val="20"/>
                <w:szCs w:val="20"/>
                <w:lang w:val="en-US"/>
              </w:rPr>
            </w:pPr>
            <w:r>
              <w:rPr>
                <w:sz w:val="20"/>
                <w:szCs w:val="20"/>
                <w:lang w:val="en-US"/>
              </w:rPr>
              <w:t>2024-2025</w:t>
            </w:r>
          </w:p>
        </w:tc>
        <w:tc>
          <w:tcPr>
            <w:tcW w:w="1417" w:type="dxa"/>
            <w:shd w:val="clear" w:color="auto" w:fill="F2F6E8" w:themeFill="accent5" w:themeFillTint="33"/>
          </w:tcPr>
          <w:p w14:paraId="23C44A5D" w14:textId="77777777" w:rsidR="002E4AB0" w:rsidRPr="0015692C" w:rsidRDefault="002E4AB0" w:rsidP="002A575C">
            <w:pPr>
              <w:rPr>
                <w:sz w:val="20"/>
                <w:szCs w:val="20"/>
                <w:lang w:val="en-US"/>
              </w:rPr>
            </w:pPr>
            <w:r>
              <w:rPr>
                <w:sz w:val="20"/>
                <w:szCs w:val="20"/>
                <w:lang w:val="en-US"/>
              </w:rPr>
              <w:t>Research and develop</w:t>
            </w:r>
          </w:p>
        </w:tc>
        <w:tc>
          <w:tcPr>
            <w:tcW w:w="1418" w:type="dxa"/>
            <w:shd w:val="clear" w:color="auto" w:fill="F2F6E8" w:themeFill="accent5" w:themeFillTint="33"/>
          </w:tcPr>
          <w:p w14:paraId="3C65A448" w14:textId="77777777" w:rsidR="002E4AB0" w:rsidRPr="0015692C" w:rsidRDefault="002E4AB0" w:rsidP="002A575C">
            <w:pPr>
              <w:rPr>
                <w:sz w:val="20"/>
                <w:szCs w:val="20"/>
                <w:lang w:val="en-US"/>
              </w:rPr>
            </w:pPr>
            <w:r>
              <w:rPr>
                <w:sz w:val="20"/>
                <w:szCs w:val="20"/>
                <w:lang w:val="en-US"/>
              </w:rPr>
              <w:t>Technology and innovation</w:t>
            </w:r>
          </w:p>
        </w:tc>
      </w:tr>
      <w:tr w:rsidR="002E4AB0" w14:paraId="091DA76D" w14:textId="77777777" w:rsidTr="002A575C">
        <w:tc>
          <w:tcPr>
            <w:tcW w:w="3114" w:type="dxa"/>
            <w:shd w:val="clear" w:color="auto" w:fill="E5EDD2" w:themeFill="accent5" w:themeFillTint="66"/>
          </w:tcPr>
          <w:p w14:paraId="46C8E437" w14:textId="77777777" w:rsidR="002E4AB0" w:rsidRPr="0015692C" w:rsidRDefault="002E4AB0" w:rsidP="002A575C">
            <w:pPr>
              <w:rPr>
                <w:b/>
                <w:sz w:val="20"/>
                <w:szCs w:val="20"/>
                <w:lang w:val="en-US"/>
              </w:rPr>
            </w:pPr>
            <w:r>
              <w:rPr>
                <w:b/>
                <w:sz w:val="20"/>
                <w:szCs w:val="20"/>
                <w:lang w:val="en-US"/>
              </w:rPr>
              <w:lastRenderedPageBreak/>
              <w:t xml:space="preserve">2.6 </w:t>
            </w:r>
            <w:r w:rsidRPr="006C43B1">
              <w:rPr>
                <w:rFonts w:cstheme="minorHAnsi"/>
                <w:b/>
                <w:sz w:val="20"/>
                <w:szCs w:val="20"/>
                <w:lang w:val="en-US"/>
              </w:rPr>
              <w:t xml:space="preserve">Monitor and </w:t>
            </w:r>
            <w:proofErr w:type="spellStart"/>
            <w:r w:rsidRPr="006C43B1">
              <w:rPr>
                <w:rFonts w:cstheme="minorHAnsi"/>
                <w:b/>
                <w:sz w:val="20"/>
                <w:szCs w:val="20"/>
                <w:lang w:val="en-US"/>
              </w:rPr>
              <w:t>harmonise</w:t>
            </w:r>
            <w:proofErr w:type="spellEnd"/>
            <w:r w:rsidRPr="006C43B1">
              <w:rPr>
                <w:rFonts w:cstheme="minorHAnsi"/>
                <w:b/>
                <w:sz w:val="20"/>
                <w:szCs w:val="20"/>
                <w:lang w:val="en-US"/>
              </w:rPr>
              <w:t xml:space="preserve"> ADRs as necessary to provide for</w:t>
            </w:r>
            <w:r>
              <w:rPr>
                <w:rFonts w:cstheme="minorHAnsi"/>
                <w:b/>
                <w:sz w:val="20"/>
                <w:szCs w:val="20"/>
                <w:lang w:val="en-US"/>
              </w:rPr>
              <w:t xml:space="preserve"> connectivity</w:t>
            </w:r>
            <w:r w:rsidRPr="006C43B1">
              <w:rPr>
                <w:rFonts w:cstheme="minorHAnsi"/>
                <w:b/>
                <w:sz w:val="20"/>
                <w:szCs w:val="20"/>
                <w:lang w:val="en-US"/>
              </w:rPr>
              <w:t xml:space="preserve"> functionalities as international vehicle regulations are developed</w:t>
            </w:r>
          </w:p>
        </w:tc>
        <w:tc>
          <w:tcPr>
            <w:tcW w:w="5670" w:type="dxa"/>
            <w:shd w:val="clear" w:color="auto" w:fill="F2F6E8" w:themeFill="accent5" w:themeFillTint="33"/>
          </w:tcPr>
          <w:p w14:paraId="23E7E1DB" w14:textId="77777777" w:rsidR="002E4AB0" w:rsidRPr="00847554" w:rsidRDefault="002E4AB0" w:rsidP="002A575C">
            <w:pPr>
              <w:spacing w:after="120"/>
              <w:rPr>
                <w:rFonts w:cstheme="minorHAnsi"/>
                <w:sz w:val="20"/>
                <w:szCs w:val="20"/>
                <w:lang w:val="en-US"/>
              </w:rPr>
            </w:pPr>
            <w:r w:rsidRPr="00847554">
              <w:rPr>
                <w:rFonts w:cstheme="minorHAnsi"/>
                <w:sz w:val="20"/>
                <w:szCs w:val="20"/>
                <w:lang w:val="en-US"/>
              </w:rPr>
              <w:t xml:space="preserve">This action would ensure relevant ADRs </w:t>
            </w:r>
            <w:r>
              <w:rPr>
                <w:rFonts w:cstheme="minorHAnsi"/>
                <w:sz w:val="20"/>
                <w:szCs w:val="20"/>
                <w:lang w:val="en-US"/>
              </w:rPr>
              <w:t>are developed and/or</w:t>
            </w:r>
            <w:r w:rsidRPr="00847554">
              <w:rPr>
                <w:rFonts w:cstheme="minorHAnsi"/>
                <w:sz w:val="20"/>
                <w:szCs w:val="20"/>
                <w:lang w:val="en-US"/>
              </w:rPr>
              <w:t xml:space="preserve"> updated </w:t>
            </w:r>
            <w:r>
              <w:rPr>
                <w:rFonts w:cstheme="minorHAnsi"/>
                <w:sz w:val="20"/>
                <w:szCs w:val="20"/>
                <w:lang w:val="en-US"/>
              </w:rPr>
              <w:t>as connectivity features develop in vehicles, so that vehicles with these features can be supplied in Australia</w:t>
            </w:r>
            <w:r w:rsidRPr="00847554">
              <w:rPr>
                <w:rFonts w:cstheme="minorHAnsi"/>
                <w:sz w:val="20"/>
                <w:szCs w:val="20"/>
                <w:lang w:val="en-US"/>
              </w:rPr>
              <w:t>.</w:t>
            </w:r>
          </w:p>
          <w:p w14:paraId="11D05A2A" w14:textId="77777777" w:rsidR="002E4AB0" w:rsidRPr="0015692C" w:rsidRDefault="002E4AB0" w:rsidP="00DA3925">
            <w:pPr>
              <w:spacing w:after="240"/>
              <w:rPr>
                <w:rFonts w:cstheme="minorHAnsi"/>
                <w:sz w:val="20"/>
                <w:szCs w:val="20"/>
                <w:lang w:val="en-US"/>
              </w:rPr>
            </w:pPr>
            <w:r w:rsidRPr="00847554">
              <w:rPr>
                <w:rFonts w:cstheme="minorHAnsi"/>
                <w:sz w:val="20"/>
                <w:szCs w:val="20"/>
                <w:lang w:val="en-US"/>
              </w:rPr>
              <w:t>Wherever possible,</w:t>
            </w:r>
            <w:r>
              <w:rPr>
                <w:rFonts w:cstheme="minorHAnsi"/>
                <w:sz w:val="20"/>
                <w:szCs w:val="20"/>
                <w:lang w:val="en-US"/>
              </w:rPr>
              <w:t xml:space="preserve"> vehicle</w:t>
            </w:r>
            <w:r w:rsidRPr="00847554">
              <w:rPr>
                <w:rFonts w:cstheme="minorHAnsi"/>
                <w:sz w:val="20"/>
                <w:szCs w:val="20"/>
                <w:lang w:val="en-US"/>
              </w:rPr>
              <w:t xml:space="preserve"> standards are aligned with relevant international standards to </w:t>
            </w:r>
            <w:proofErr w:type="spellStart"/>
            <w:r w:rsidRPr="00847554">
              <w:rPr>
                <w:rFonts w:cstheme="minorHAnsi"/>
                <w:sz w:val="20"/>
                <w:szCs w:val="20"/>
                <w:lang w:val="en-US"/>
              </w:rPr>
              <w:t>minimise</w:t>
            </w:r>
            <w:proofErr w:type="spellEnd"/>
            <w:r w:rsidRPr="00847554">
              <w:rPr>
                <w:rFonts w:cstheme="minorHAnsi"/>
                <w:sz w:val="20"/>
                <w:szCs w:val="20"/>
                <w:lang w:val="en-US"/>
              </w:rPr>
              <w:t xml:space="preserve"> barriers to entry and deployment, while also </w:t>
            </w:r>
            <w:r>
              <w:rPr>
                <w:rFonts w:cstheme="minorHAnsi"/>
                <w:sz w:val="20"/>
                <w:szCs w:val="20"/>
                <w:lang w:val="en-US"/>
              </w:rPr>
              <w:t>addressing</w:t>
            </w:r>
            <w:r w:rsidRPr="00847554">
              <w:rPr>
                <w:rFonts w:cstheme="minorHAnsi"/>
                <w:sz w:val="20"/>
                <w:szCs w:val="20"/>
                <w:lang w:val="en-US"/>
              </w:rPr>
              <w:t xml:space="preserve"> </w:t>
            </w:r>
            <w:r>
              <w:rPr>
                <w:rFonts w:cstheme="minorHAnsi"/>
                <w:sz w:val="20"/>
                <w:szCs w:val="20"/>
                <w:lang w:val="en-US"/>
              </w:rPr>
              <w:t xml:space="preserve">any </w:t>
            </w:r>
            <w:r w:rsidRPr="00847554">
              <w:rPr>
                <w:rFonts w:cstheme="minorHAnsi"/>
                <w:sz w:val="20"/>
                <w:szCs w:val="20"/>
                <w:lang w:val="en-US"/>
              </w:rPr>
              <w:t>unique Australian</w:t>
            </w:r>
            <w:r>
              <w:rPr>
                <w:rFonts w:cstheme="minorHAnsi"/>
                <w:sz w:val="20"/>
                <w:szCs w:val="20"/>
                <w:lang w:val="en-US"/>
              </w:rPr>
              <w:t xml:space="preserve"> </w:t>
            </w:r>
            <w:r w:rsidRPr="00847554">
              <w:rPr>
                <w:rFonts w:cstheme="minorHAnsi"/>
                <w:sz w:val="20"/>
                <w:szCs w:val="20"/>
                <w:lang w:val="en-US"/>
              </w:rPr>
              <w:t>characteristics.</w:t>
            </w:r>
          </w:p>
        </w:tc>
        <w:tc>
          <w:tcPr>
            <w:tcW w:w="1701" w:type="dxa"/>
            <w:shd w:val="clear" w:color="auto" w:fill="F2F6E8" w:themeFill="accent5" w:themeFillTint="33"/>
          </w:tcPr>
          <w:p w14:paraId="011FBB4D" w14:textId="77777777" w:rsidR="002E4AB0" w:rsidRPr="0015692C" w:rsidRDefault="002E4AB0" w:rsidP="002A575C">
            <w:pPr>
              <w:rPr>
                <w:sz w:val="20"/>
                <w:szCs w:val="20"/>
                <w:lang w:val="en-US"/>
              </w:rPr>
            </w:pPr>
            <w:r>
              <w:rPr>
                <w:sz w:val="20"/>
                <w:szCs w:val="20"/>
                <w:lang w:val="en-US"/>
              </w:rPr>
              <w:t>Commonwealth (lead), in consultation with the states and territories</w:t>
            </w:r>
          </w:p>
        </w:tc>
        <w:tc>
          <w:tcPr>
            <w:tcW w:w="1134" w:type="dxa"/>
            <w:shd w:val="clear" w:color="auto" w:fill="F2F6E8" w:themeFill="accent5" w:themeFillTint="33"/>
          </w:tcPr>
          <w:p w14:paraId="39613BBC" w14:textId="77777777" w:rsidR="002E4AB0" w:rsidRPr="0015692C" w:rsidRDefault="002E4AB0" w:rsidP="002A575C">
            <w:pPr>
              <w:rPr>
                <w:sz w:val="20"/>
                <w:szCs w:val="20"/>
                <w:lang w:val="en-US"/>
              </w:rPr>
            </w:pPr>
            <w:r>
              <w:rPr>
                <w:sz w:val="20"/>
                <w:szCs w:val="20"/>
                <w:lang w:val="en-US"/>
              </w:rPr>
              <w:t>2024-2027</w:t>
            </w:r>
          </w:p>
        </w:tc>
        <w:tc>
          <w:tcPr>
            <w:tcW w:w="1417" w:type="dxa"/>
            <w:shd w:val="clear" w:color="auto" w:fill="F2F6E8" w:themeFill="accent5" w:themeFillTint="33"/>
          </w:tcPr>
          <w:p w14:paraId="623D6F11" w14:textId="77777777" w:rsidR="002E4AB0" w:rsidRPr="0015692C" w:rsidRDefault="002E4AB0" w:rsidP="002A575C">
            <w:pPr>
              <w:rPr>
                <w:sz w:val="20"/>
                <w:szCs w:val="20"/>
                <w:lang w:val="en-US"/>
              </w:rPr>
            </w:pPr>
            <w:r>
              <w:rPr>
                <w:sz w:val="20"/>
                <w:szCs w:val="20"/>
                <w:lang w:val="en-US"/>
              </w:rPr>
              <w:t>Prepare to deploy</w:t>
            </w:r>
          </w:p>
        </w:tc>
        <w:tc>
          <w:tcPr>
            <w:tcW w:w="1418" w:type="dxa"/>
            <w:shd w:val="clear" w:color="auto" w:fill="F2F6E8" w:themeFill="accent5" w:themeFillTint="33"/>
          </w:tcPr>
          <w:p w14:paraId="69DAC753" w14:textId="77777777" w:rsidR="002E4AB0" w:rsidRPr="0015692C" w:rsidRDefault="002E4AB0" w:rsidP="002A575C">
            <w:pPr>
              <w:rPr>
                <w:sz w:val="20"/>
                <w:szCs w:val="20"/>
                <w:lang w:val="en-US"/>
              </w:rPr>
            </w:pPr>
            <w:r>
              <w:rPr>
                <w:sz w:val="20"/>
                <w:szCs w:val="20"/>
                <w:lang w:val="en-US"/>
              </w:rPr>
              <w:t>Policy and legislation</w:t>
            </w:r>
          </w:p>
        </w:tc>
      </w:tr>
    </w:tbl>
    <w:p w14:paraId="51ACC621" w14:textId="77777777" w:rsidR="002E4AB0" w:rsidRDefault="002E4AB0" w:rsidP="002E4AB0">
      <w:pPr>
        <w:rPr>
          <w:b/>
          <w:lang w:val="en-US"/>
        </w:rPr>
      </w:pPr>
    </w:p>
    <w:p w14:paraId="6C39CF67" w14:textId="77777777" w:rsidR="002E4AB0" w:rsidRDefault="002E4AB0" w:rsidP="002E4AB0">
      <w:pPr>
        <w:pStyle w:val="Heading2"/>
        <w:rPr>
          <w:lang w:val="en-US"/>
        </w:rPr>
      </w:pPr>
      <w:r>
        <w:rPr>
          <w:b/>
          <w:lang w:val="en-US"/>
        </w:rPr>
        <w:br w:type="page"/>
      </w:r>
      <w:bookmarkStart w:id="8" w:name="_Toc148430728"/>
      <w:r>
        <w:rPr>
          <w:lang w:val="en-US"/>
        </w:rPr>
        <w:lastRenderedPageBreak/>
        <w:t>Workstream 3: Cross-cutting actions supporting CAVs</w:t>
      </w:r>
      <w:bookmarkEnd w:id="8"/>
    </w:p>
    <w:tbl>
      <w:tblPr>
        <w:tblStyle w:val="TableGrid"/>
        <w:tblW w:w="14454" w:type="dxa"/>
        <w:tblLook w:val="04A0" w:firstRow="1" w:lastRow="0" w:firstColumn="1" w:lastColumn="0" w:noHBand="0" w:noVBand="1"/>
      </w:tblPr>
      <w:tblGrid>
        <w:gridCol w:w="2968"/>
        <w:gridCol w:w="5665"/>
        <w:gridCol w:w="1618"/>
        <w:gridCol w:w="1215"/>
        <w:gridCol w:w="1510"/>
        <w:gridCol w:w="1478"/>
      </w:tblGrid>
      <w:tr w:rsidR="002E4AB0" w14:paraId="640FD67C" w14:textId="77777777" w:rsidTr="002A575C">
        <w:trPr>
          <w:tblHeader/>
        </w:trPr>
        <w:tc>
          <w:tcPr>
            <w:tcW w:w="2968" w:type="dxa"/>
            <w:tcBorders>
              <w:bottom w:val="single" w:sz="4" w:space="0" w:color="auto"/>
            </w:tcBorders>
            <w:shd w:val="clear" w:color="auto" w:fill="1FF0FF" w:themeFill="accent2" w:themeFillTint="99"/>
          </w:tcPr>
          <w:p w14:paraId="00D6A672" w14:textId="77777777" w:rsidR="002E4AB0" w:rsidRDefault="002E4AB0" w:rsidP="002A575C">
            <w:pPr>
              <w:rPr>
                <w:b/>
                <w:lang w:val="en-US"/>
              </w:rPr>
            </w:pPr>
            <w:r>
              <w:rPr>
                <w:b/>
                <w:lang w:val="en-US"/>
              </w:rPr>
              <w:t>Action</w:t>
            </w:r>
          </w:p>
        </w:tc>
        <w:tc>
          <w:tcPr>
            <w:tcW w:w="5665" w:type="dxa"/>
            <w:tcBorders>
              <w:bottom w:val="single" w:sz="4" w:space="0" w:color="auto"/>
            </w:tcBorders>
            <w:shd w:val="clear" w:color="auto" w:fill="1FF0FF" w:themeFill="accent2" w:themeFillTint="99"/>
          </w:tcPr>
          <w:p w14:paraId="45BC18FD" w14:textId="77777777" w:rsidR="002E4AB0" w:rsidRDefault="002E4AB0" w:rsidP="002A575C">
            <w:pPr>
              <w:rPr>
                <w:b/>
                <w:lang w:val="en-US"/>
              </w:rPr>
            </w:pPr>
            <w:r>
              <w:rPr>
                <w:b/>
                <w:lang w:val="en-US"/>
              </w:rPr>
              <w:t>Description</w:t>
            </w:r>
          </w:p>
        </w:tc>
        <w:tc>
          <w:tcPr>
            <w:tcW w:w="1618" w:type="dxa"/>
            <w:tcBorders>
              <w:bottom w:val="single" w:sz="4" w:space="0" w:color="auto"/>
            </w:tcBorders>
            <w:shd w:val="clear" w:color="auto" w:fill="1FF0FF" w:themeFill="accent2" w:themeFillTint="99"/>
          </w:tcPr>
          <w:p w14:paraId="5C1776E1" w14:textId="77777777" w:rsidR="002E4AB0" w:rsidRDefault="002E4AB0" w:rsidP="002A575C">
            <w:pPr>
              <w:rPr>
                <w:b/>
                <w:lang w:val="en-US"/>
              </w:rPr>
            </w:pPr>
            <w:r>
              <w:rPr>
                <w:b/>
                <w:lang w:val="en-US"/>
              </w:rPr>
              <w:t>Lead</w:t>
            </w:r>
          </w:p>
        </w:tc>
        <w:tc>
          <w:tcPr>
            <w:tcW w:w="1215" w:type="dxa"/>
            <w:tcBorders>
              <w:bottom w:val="single" w:sz="4" w:space="0" w:color="auto"/>
            </w:tcBorders>
            <w:shd w:val="clear" w:color="auto" w:fill="1FF0FF" w:themeFill="accent2" w:themeFillTint="99"/>
          </w:tcPr>
          <w:p w14:paraId="0B387A4C" w14:textId="77777777" w:rsidR="002E4AB0" w:rsidRDefault="002E4AB0" w:rsidP="002A575C">
            <w:pPr>
              <w:rPr>
                <w:b/>
                <w:lang w:val="en-US"/>
              </w:rPr>
            </w:pPr>
            <w:r>
              <w:rPr>
                <w:b/>
                <w:lang w:val="en-US"/>
              </w:rPr>
              <w:t>Timeframe</w:t>
            </w:r>
          </w:p>
        </w:tc>
        <w:tc>
          <w:tcPr>
            <w:tcW w:w="1510" w:type="dxa"/>
            <w:tcBorders>
              <w:bottom w:val="single" w:sz="4" w:space="0" w:color="auto"/>
            </w:tcBorders>
            <w:shd w:val="clear" w:color="auto" w:fill="1FF0FF" w:themeFill="accent2" w:themeFillTint="99"/>
          </w:tcPr>
          <w:p w14:paraId="10B85FF2" w14:textId="77777777" w:rsidR="002E4AB0" w:rsidRDefault="002E4AB0" w:rsidP="002A575C">
            <w:pPr>
              <w:rPr>
                <w:b/>
                <w:lang w:val="en-US"/>
              </w:rPr>
            </w:pPr>
            <w:r>
              <w:rPr>
                <w:b/>
                <w:lang w:val="en-US"/>
              </w:rPr>
              <w:t>Technology deployment stage</w:t>
            </w:r>
          </w:p>
        </w:tc>
        <w:tc>
          <w:tcPr>
            <w:tcW w:w="1478" w:type="dxa"/>
            <w:tcBorders>
              <w:bottom w:val="single" w:sz="4" w:space="0" w:color="auto"/>
            </w:tcBorders>
            <w:shd w:val="clear" w:color="auto" w:fill="1FF0FF" w:themeFill="accent2" w:themeFillTint="99"/>
          </w:tcPr>
          <w:p w14:paraId="0C459272" w14:textId="77777777" w:rsidR="002E4AB0" w:rsidRDefault="002E4AB0" w:rsidP="002A575C">
            <w:pPr>
              <w:rPr>
                <w:b/>
                <w:lang w:val="en-US"/>
              </w:rPr>
            </w:pPr>
            <w:r>
              <w:rPr>
                <w:b/>
                <w:lang w:val="en-US"/>
              </w:rPr>
              <w:t>AV readiness pillar</w:t>
            </w:r>
          </w:p>
        </w:tc>
      </w:tr>
      <w:tr w:rsidR="002E4AB0" w14:paraId="15586EB8" w14:textId="77777777" w:rsidTr="002A575C">
        <w:tc>
          <w:tcPr>
            <w:tcW w:w="2968" w:type="dxa"/>
            <w:shd w:val="clear" w:color="auto" w:fill="69F5FF" w:themeFill="accent2" w:themeFillTint="66"/>
          </w:tcPr>
          <w:p w14:paraId="4EA4404B" w14:textId="77777777" w:rsidR="002E4AB0" w:rsidRPr="0015692C" w:rsidRDefault="002E4AB0" w:rsidP="002A575C">
            <w:pPr>
              <w:rPr>
                <w:b/>
                <w:sz w:val="20"/>
                <w:szCs w:val="20"/>
                <w:lang w:val="en-US"/>
              </w:rPr>
            </w:pPr>
            <w:bookmarkStart w:id="9" w:name="_Hlk138682083"/>
            <w:r>
              <w:rPr>
                <w:b/>
                <w:sz w:val="20"/>
                <w:szCs w:val="20"/>
                <w:lang w:val="en-US"/>
              </w:rPr>
              <w:t xml:space="preserve">3.1 </w:t>
            </w:r>
            <w:r w:rsidRPr="00847554">
              <w:rPr>
                <w:rFonts w:cstheme="minorHAnsi"/>
                <w:b/>
                <w:sz w:val="20"/>
                <w:szCs w:val="20"/>
                <w:lang w:val="en-US"/>
              </w:rPr>
              <w:t xml:space="preserve">Consider and develop an approach for looking holistically at the treatment of </w:t>
            </w:r>
            <w:r>
              <w:rPr>
                <w:rFonts w:cstheme="minorHAnsi"/>
                <w:b/>
                <w:sz w:val="20"/>
                <w:szCs w:val="20"/>
                <w:lang w:val="en-US"/>
              </w:rPr>
              <w:t>C</w:t>
            </w:r>
            <w:r w:rsidRPr="00847554">
              <w:rPr>
                <w:rFonts w:cstheme="minorHAnsi"/>
                <w:b/>
                <w:sz w:val="20"/>
                <w:szCs w:val="20"/>
                <w:lang w:val="en-US"/>
              </w:rPr>
              <w:t>AVs</w:t>
            </w:r>
            <w:r>
              <w:rPr>
                <w:rFonts w:cstheme="minorHAnsi"/>
                <w:b/>
                <w:sz w:val="20"/>
                <w:szCs w:val="20"/>
                <w:lang w:val="en-US"/>
              </w:rPr>
              <w:t xml:space="preserve"> </w:t>
            </w:r>
            <w:r w:rsidRPr="00847554">
              <w:rPr>
                <w:rFonts w:cstheme="minorHAnsi"/>
                <w:b/>
                <w:sz w:val="20"/>
                <w:szCs w:val="20"/>
                <w:lang w:val="en-US"/>
              </w:rPr>
              <w:t>under Commonwealth</w:t>
            </w:r>
            <w:r>
              <w:rPr>
                <w:rFonts w:cstheme="minorHAnsi"/>
                <w:b/>
                <w:sz w:val="20"/>
                <w:szCs w:val="20"/>
                <w:lang w:val="en-US"/>
              </w:rPr>
              <w:t>, state and territory</w:t>
            </w:r>
            <w:r w:rsidRPr="00847554">
              <w:rPr>
                <w:rFonts w:cstheme="minorHAnsi"/>
                <w:b/>
                <w:sz w:val="20"/>
                <w:szCs w:val="20"/>
                <w:lang w:val="en-US"/>
              </w:rPr>
              <w:t xml:space="preserve"> law</w:t>
            </w:r>
          </w:p>
        </w:tc>
        <w:tc>
          <w:tcPr>
            <w:tcW w:w="5665" w:type="dxa"/>
            <w:shd w:val="clear" w:color="auto" w:fill="B4FAFF" w:themeFill="accent2" w:themeFillTint="33"/>
          </w:tcPr>
          <w:p w14:paraId="0E4350A5" w14:textId="77777777" w:rsidR="002E4AB0" w:rsidRPr="008B20BD" w:rsidRDefault="002E4AB0" w:rsidP="002A575C">
            <w:pPr>
              <w:spacing w:after="120"/>
              <w:rPr>
                <w:rFonts w:cstheme="minorHAnsi"/>
                <w:sz w:val="20"/>
                <w:szCs w:val="20"/>
                <w:lang w:val="en-US"/>
              </w:rPr>
            </w:pPr>
            <w:r w:rsidRPr="008B20BD">
              <w:rPr>
                <w:rFonts w:cstheme="minorHAnsi"/>
                <w:sz w:val="20"/>
                <w:szCs w:val="20"/>
                <w:lang w:val="en-US"/>
              </w:rPr>
              <w:t>This action would complement the AVSL</w:t>
            </w:r>
            <w:r w:rsidRPr="00440F07">
              <w:rPr>
                <w:rFonts w:cstheme="minorHAnsi"/>
                <w:sz w:val="20"/>
                <w:szCs w:val="20"/>
                <w:lang w:val="en-US"/>
              </w:rPr>
              <w:t xml:space="preserve"> and be a next step for ensuring Australia has appropriate laws to deal with </w:t>
            </w:r>
            <w:r w:rsidRPr="008B20BD">
              <w:rPr>
                <w:rFonts w:cstheme="minorHAnsi"/>
                <w:sz w:val="20"/>
                <w:szCs w:val="20"/>
                <w:lang w:val="en-US"/>
              </w:rPr>
              <w:t>CAVs, including C-ITS. The AVSL is intended regulate the safety of AVs but would not specifically address safety risks of connected vehicles. The connectivity in vehicles falls within the scope of Commonwealth telecommunications law. CAVs may also be governed by other laws including privacy law, competition and consumer law and security law.</w:t>
            </w:r>
          </w:p>
          <w:p w14:paraId="477983C9" w14:textId="77777777" w:rsidR="002E4AB0" w:rsidRPr="00440F07" w:rsidRDefault="002E4AB0" w:rsidP="002A575C">
            <w:pPr>
              <w:spacing w:after="120"/>
              <w:rPr>
                <w:rFonts w:cstheme="minorHAnsi"/>
                <w:sz w:val="20"/>
                <w:szCs w:val="20"/>
                <w:lang w:val="en-US"/>
              </w:rPr>
            </w:pPr>
            <w:r w:rsidRPr="008B20BD">
              <w:rPr>
                <w:rFonts w:cstheme="minorHAnsi"/>
                <w:sz w:val="20"/>
                <w:szCs w:val="20"/>
                <w:lang w:val="en-US"/>
              </w:rPr>
              <w:t>This action would develop an approach to examining existing laws (Commonwealth, state and territory) that govern CAVs to determine whether they are appropriate and identify any gaps. This action would also consider whether there are aspects of C-ITS that should be regulated, and whether there are laws beyond road traffic laws (which the AVSL is expected to cover) that</w:t>
            </w:r>
            <w:r w:rsidRPr="00440F07">
              <w:rPr>
                <w:rFonts w:cstheme="minorHAnsi"/>
                <w:sz w:val="20"/>
                <w:szCs w:val="20"/>
                <w:lang w:val="en-US"/>
              </w:rPr>
              <w:t xml:space="preserve"> require actions by drivers and </w:t>
            </w:r>
            <w:r w:rsidRPr="008B20BD">
              <w:rPr>
                <w:rFonts w:cstheme="minorHAnsi"/>
                <w:sz w:val="20"/>
                <w:szCs w:val="20"/>
                <w:lang w:val="en-US"/>
              </w:rPr>
              <w:t xml:space="preserve">what changes may be needed if human drivers are no longer present in higher level AVs. </w:t>
            </w:r>
          </w:p>
          <w:p w14:paraId="1BC1988E" w14:textId="01B52BB2" w:rsidR="00EF741B" w:rsidRPr="0015692C" w:rsidRDefault="002E4AB0" w:rsidP="00F8678E">
            <w:pPr>
              <w:spacing w:after="840"/>
              <w:rPr>
                <w:rFonts w:cstheme="minorHAnsi"/>
                <w:sz w:val="20"/>
                <w:szCs w:val="20"/>
                <w:lang w:val="en-US"/>
              </w:rPr>
            </w:pPr>
            <w:r w:rsidRPr="008B20BD">
              <w:rPr>
                <w:rFonts w:cstheme="minorHAnsi"/>
                <w:sz w:val="20"/>
                <w:szCs w:val="20"/>
                <w:lang w:val="en-US"/>
              </w:rPr>
              <w:t xml:space="preserve">This action </w:t>
            </w:r>
            <w:r w:rsidRPr="00440F07">
              <w:rPr>
                <w:rFonts w:cstheme="minorHAnsi"/>
                <w:sz w:val="20"/>
                <w:szCs w:val="20"/>
                <w:lang w:val="en-US"/>
              </w:rPr>
              <w:t xml:space="preserve">would help address incomplete action 5.3 from the 2020-23 </w:t>
            </w:r>
            <w:r>
              <w:rPr>
                <w:rFonts w:cstheme="minorHAnsi"/>
                <w:sz w:val="20"/>
                <w:szCs w:val="20"/>
                <w:lang w:val="en-US"/>
              </w:rPr>
              <w:t>A</w:t>
            </w:r>
            <w:r w:rsidRPr="00440F07">
              <w:rPr>
                <w:rFonts w:cstheme="minorHAnsi"/>
                <w:sz w:val="20"/>
                <w:szCs w:val="20"/>
                <w:lang w:val="en-US"/>
              </w:rPr>
              <w:t xml:space="preserve">ction </w:t>
            </w:r>
            <w:r>
              <w:rPr>
                <w:rFonts w:cstheme="minorHAnsi"/>
                <w:sz w:val="20"/>
                <w:szCs w:val="20"/>
                <w:lang w:val="en-US"/>
              </w:rPr>
              <w:t>P</w:t>
            </w:r>
            <w:r w:rsidRPr="00440F07">
              <w:rPr>
                <w:rFonts w:cstheme="minorHAnsi"/>
                <w:sz w:val="20"/>
                <w:szCs w:val="20"/>
                <w:lang w:val="en-US"/>
              </w:rPr>
              <w:t>lan on researching competition impacts of AVs</w:t>
            </w:r>
            <w:r w:rsidRPr="008B20BD">
              <w:rPr>
                <w:rFonts w:cstheme="minorHAnsi"/>
                <w:sz w:val="20"/>
                <w:szCs w:val="20"/>
                <w:lang w:val="en-US"/>
              </w:rPr>
              <w:t>.</w:t>
            </w:r>
          </w:p>
        </w:tc>
        <w:tc>
          <w:tcPr>
            <w:tcW w:w="1618" w:type="dxa"/>
            <w:shd w:val="clear" w:color="auto" w:fill="B4FAFF" w:themeFill="accent2" w:themeFillTint="33"/>
          </w:tcPr>
          <w:p w14:paraId="6D062D97" w14:textId="77777777" w:rsidR="002E4AB0" w:rsidRPr="0015692C" w:rsidRDefault="002E4AB0" w:rsidP="002A575C">
            <w:pPr>
              <w:rPr>
                <w:sz w:val="20"/>
                <w:szCs w:val="20"/>
                <w:lang w:val="en-US"/>
              </w:rPr>
            </w:pPr>
            <w:r>
              <w:rPr>
                <w:sz w:val="20"/>
                <w:szCs w:val="20"/>
                <w:lang w:val="en-US"/>
              </w:rPr>
              <w:t>Commonwealth, states and territories, in consultation with the NTC</w:t>
            </w:r>
          </w:p>
        </w:tc>
        <w:tc>
          <w:tcPr>
            <w:tcW w:w="1215" w:type="dxa"/>
            <w:shd w:val="clear" w:color="auto" w:fill="B4FAFF" w:themeFill="accent2" w:themeFillTint="33"/>
          </w:tcPr>
          <w:p w14:paraId="210FE7ED" w14:textId="77777777" w:rsidR="002E4AB0" w:rsidRPr="0015692C" w:rsidRDefault="002E4AB0" w:rsidP="002A575C">
            <w:pPr>
              <w:rPr>
                <w:sz w:val="20"/>
                <w:szCs w:val="20"/>
                <w:lang w:val="en-US"/>
              </w:rPr>
            </w:pPr>
            <w:r>
              <w:rPr>
                <w:sz w:val="20"/>
                <w:szCs w:val="20"/>
                <w:lang w:val="en-US"/>
              </w:rPr>
              <w:t>2024-2027</w:t>
            </w:r>
          </w:p>
        </w:tc>
        <w:tc>
          <w:tcPr>
            <w:tcW w:w="1510" w:type="dxa"/>
            <w:shd w:val="clear" w:color="auto" w:fill="B4FAFF" w:themeFill="accent2" w:themeFillTint="33"/>
          </w:tcPr>
          <w:p w14:paraId="7A41427D" w14:textId="77777777" w:rsidR="002E4AB0" w:rsidRPr="0015692C" w:rsidRDefault="002E4AB0" w:rsidP="002A575C">
            <w:pPr>
              <w:rPr>
                <w:sz w:val="20"/>
                <w:szCs w:val="20"/>
                <w:lang w:val="en-US"/>
              </w:rPr>
            </w:pPr>
            <w:r>
              <w:rPr>
                <w:sz w:val="20"/>
                <w:szCs w:val="20"/>
                <w:lang w:val="en-US"/>
              </w:rPr>
              <w:t>Prepare to deploy</w:t>
            </w:r>
          </w:p>
        </w:tc>
        <w:tc>
          <w:tcPr>
            <w:tcW w:w="1478" w:type="dxa"/>
            <w:shd w:val="clear" w:color="auto" w:fill="B4FAFF" w:themeFill="accent2" w:themeFillTint="33"/>
          </w:tcPr>
          <w:p w14:paraId="34A0BBFB" w14:textId="77777777" w:rsidR="002E4AB0" w:rsidRPr="0015692C" w:rsidRDefault="002E4AB0" w:rsidP="002A575C">
            <w:pPr>
              <w:rPr>
                <w:sz w:val="20"/>
                <w:szCs w:val="20"/>
                <w:lang w:val="en-US"/>
              </w:rPr>
            </w:pPr>
            <w:r>
              <w:rPr>
                <w:sz w:val="20"/>
                <w:szCs w:val="20"/>
                <w:lang w:val="en-US"/>
              </w:rPr>
              <w:t>Policy and legislation</w:t>
            </w:r>
          </w:p>
        </w:tc>
      </w:tr>
      <w:bookmarkEnd w:id="9"/>
      <w:tr w:rsidR="002E4AB0" w14:paraId="646A7837" w14:textId="77777777" w:rsidTr="002A575C">
        <w:tc>
          <w:tcPr>
            <w:tcW w:w="2968" w:type="dxa"/>
            <w:shd w:val="clear" w:color="auto" w:fill="69F5FF" w:themeFill="accent2" w:themeFillTint="66"/>
          </w:tcPr>
          <w:p w14:paraId="7C9C36D9" w14:textId="77777777" w:rsidR="002E4AB0" w:rsidRPr="00035726" w:rsidRDefault="002E4AB0" w:rsidP="002A575C">
            <w:pPr>
              <w:spacing w:after="120"/>
              <w:rPr>
                <w:b/>
                <w:sz w:val="20"/>
                <w:szCs w:val="20"/>
                <w:lang w:val="en-US"/>
              </w:rPr>
            </w:pPr>
            <w:r w:rsidRPr="00035726">
              <w:rPr>
                <w:b/>
                <w:sz w:val="20"/>
                <w:szCs w:val="20"/>
                <w:lang w:val="en-US"/>
              </w:rPr>
              <w:t xml:space="preserve">3.2 </w:t>
            </w:r>
            <w:r>
              <w:rPr>
                <w:rFonts w:cstheme="minorHAnsi"/>
                <w:b/>
                <w:sz w:val="20"/>
                <w:szCs w:val="20"/>
                <w:lang w:val="en-US"/>
              </w:rPr>
              <w:t xml:space="preserve">Explore opportunities </w:t>
            </w:r>
            <w:r w:rsidRPr="00035726">
              <w:rPr>
                <w:rFonts w:cstheme="minorHAnsi"/>
                <w:b/>
                <w:sz w:val="20"/>
                <w:szCs w:val="20"/>
                <w:lang w:val="en-US"/>
              </w:rPr>
              <w:t>for data sharing and management between government and industry to support CAVs</w:t>
            </w:r>
            <w:r>
              <w:rPr>
                <w:rFonts w:cstheme="minorHAnsi"/>
                <w:b/>
                <w:sz w:val="20"/>
                <w:szCs w:val="20"/>
                <w:lang w:val="en-US"/>
              </w:rPr>
              <w:t xml:space="preserve"> </w:t>
            </w:r>
          </w:p>
        </w:tc>
        <w:tc>
          <w:tcPr>
            <w:tcW w:w="5665" w:type="dxa"/>
            <w:shd w:val="clear" w:color="auto" w:fill="B4FAFF" w:themeFill="accent2" w:themeFillTint="33"/>
          </w:tcPr>
          <w:p w14:paraId="0FF110E8" w14:textId="6E603C0A" w:rsidR="00EF741B" w:rsidRPr="00F8678E" w:rsidRDefault="002E4AB0" w:rsidP="00F8678E">
            <w:pPr>
              <w:spacing w:after="960"/>
              <w:rPr>
                <w:sz w:val="20"/>
                <w:szCs w:val="20"/>
                <w:lang w:val="en-US"/>
              </w:rPr>
            </w:pPr>
            <w:r w:rsidRPr="00035726">
              <w:rPr>
                <w:rFonts w:cstheme="minorHAnsi"/>
                <w:sz w:val="20"/>
                <w:szCs w:val="20"/>
                <w:lang w:val="en-US"/>
              </w:rPr>
              <w:t>This action would build on the work of the NTC’s National Vehicle Data Working Group (NVDWG) to develop a</w:t>
            </w:r>
            <w:r>
              <w:rPr>
                <w:rFonts w:cstheme="minorHAnsi"/>
                <w:sz w:val="20"/>
                <w:szCs w:val="20"/>
                <w:lang w:val="en-US"/>
              </w:rPr>
              <w:t xml:space="preserve"> </w:t>
            </w:r>
            <w:r w:rsidRPr="37FE2427">
              <w:rPr>
                <w:sz w:val="20"/>
                <w:szCs w:val="20"/>
                <w:lang w:val="en-US"/>
              </w:rPr>
              <w:t xml:space="preserve">vision, principles and roadmap for </w:t>
            </w:r>
            <w:r w:rsidRPr="00035726">
              <w:rPr>
                <w:rFonts w:cstheme="minorHAnsi"/>
                <w:sz w:val="20"/>
                <w:szCs w:val="20"/>
                <w:lang w:val="en-US"/>
              </w:rPr>
              <w:t xml:space="preserve">data sharing and management </w:t>
            </w:r>
            <w:r>
              <w:rPr>
                <w:rFonts w:cstheme="minorHAnsi"/>
                <w:sz w:val="20"/>
                <w:szCs w:val="20"/>
                <w:lang w:val="en-US"/>
              </w:rPr>
              <w:t>between</w:t>
            </w:r>
            <w:r w:rsidRPr="00035726">
              <w:rPr>
                <w:rFonts w:cstheme="minorHAnsi"/>
                <w:sz w:val="20"/>
                <w:szCs w:val="20"/>
                <w:lang w:val="en-US"/>
              </w:rPr>
              <w:t xml:space="preserve"> government and industry to support CAVs i.e. </w:t>
            </w:r>
            <w:r>
              <w:rPr>
                <w:rFonts w:cstheme="minorHAnsi"/>
                <w:sz w:val="20"/>
                <w:szCs w:val="20"/>
                <w:lang w:val="en-US"/>
              </w:rPr>
              <w:t xml:space="preserve">data </w:t>
            </w:r>
            <w:r w:rsidRPr="00035726">
              <w:rPr>
                <w:rFonts w:cstheme="minorHAnsi"/>
                <w:sz w:val="20"/>
                <w:szCs w:val="20"/>
                <w:lang w:val="en-US"/>
              </w:rPr>
              <w:t xml:space="preserve">to facilitate CAV service provision. </w:t>
            </w:r>
            <w:r w:rsidRPr="37FE2427">
              <w:rPr>
                <w:sz w:val="20"/>
                <w:szCs w:val="20"/>
                <w:lang w:val="en-US"/>
              </w:rPr>
              <w:t>Priorities for the group will be informed by industry and governm</w:t>
            </w:r>
            <w:r>
              <w:rPr>
                <w:sz w:val="20"/>
                <w:szCs w:val="20"/>
                <w:lang w:val="en-US"/>
              </w:rPr>
              <w:t>e</w:t>
            </w:r>
            <w:r w:rsidRPr="37FE2427">
              <w:rPr>
                <w:sz w:val="20"/>
                <w:szCs w:val="20"/>
                <w:lang w:val="en-US"/>
              </w:rPr>
              <w:t>nt consultation</w:t>
            </w:r>
            <w:r w:rsidR="00EF741B">
              <w:rPr>
                <w:sz w:val="20"/>
                <w:szCs w:val="20"/>
                <w:lang w:val="en-US"/>
              </w:rPr>
              <w:t>.</w:t>
            </w:r>
          </w:p>
        </w:tc>
        <w:tc>
          <w:tcPr>
            <w:tcW w:w="1618" w:type="dxa"/>
            <w:shd w:val="clear" w:color="auto" w:fill="B4FAFF" w:themeFill="accent2" w:themeFillTint="33"/>
          </w:tcPr>
          <w:p w14:paraId="2E224151" w14:textId="77777777" w:rsidR="002E4AB0" w:rsidRPr="00035726" w:rsidRDefault="002E4AB0" w:rsidP="002A575C">
            <w:pPr>
              <w:rPr>
                <w:sz w:val="20"/>
                <w:szCs w:val="20"/>
                <w:lang w:val="en-US"/>
              </w:rPr>
            </w:pPr>
            <w:r w:rsidRPr="00035726">
              <w:rPr>
                <w:rFonts w:cstheme="minorHAnsi"/>
                <w:sz w:val="20"/>
                <w:szCs w:val="20"/>
                <w:lang w:val="en-US"/>
              </w:rPr>
              <w:t>NTC (lead)</w:t>
            </w:r>
            <w:r>
              <w:rPr>
                <w:rFonts w:cstheme="minorHAnsi"/>
                <w:sz w:val="20"/>
                <w:szCs w:val="20"/>
                <w:lang w:val="en-US"/>
              </w:rPr>
              <w:t>,</w:t>
            </w:r>
            <w:r w:rsidRPr="00035726">
              <w:rPr>
                <w:rFonts w:cstheme="minorHAnsi"/>
                <w:sz w:val="20"/>
                <w:szCs w:val="20"/>
                <w:lang w:val="en-US"/>
              </w:rPr>
              <w:t xml:space="preserve"> in consultation with the Commonwealth, states and territories</w:t>
            </w:r>
          </w:p>
        </w:tc>
        <w:tc>
          <w:tcPr>
            <w:tcW w:w="1215" w:type="dxa"/>
            <w:shd w:val="clear" w:color="auto" w:fill="B4FAFF" w:themeFill="accent2" w:themeFillTint="33"/>
          </w:tcPr>
          <w:p w14:paraId="73307A45" w14:textId="77777777" w:rsidR="002E4AB0" w:rsidRPr="00035726" w:rsidRDefault="002E4AB0" w:rsidP="002A575C">
            <w:pPr>
              <w:rPr>
                <w:sz w:val="20"/>
                <w:szCs w:val="20"/>
                <w:lang w:val="en-US"/>
              </w:rPr>
            </w:pPr>
            <w:r w:rsidRPr="00035726">
              <w:rPr>
                <w:sz w:val="20"/>
                <w:szCs w:val="20"/>
                <w:lang w:val="en-US"/>
              </w:rPr>
              <w:t>2024-2025</w:t>
            </w:r>
          </w:p>
        </w:tc>
        <w:tc>
          <w:tcPr>
            <w:tcW w:w="1510" w:type="dxa"/>
            <w:shd w:val="clear" w:color="auto" w:fill="B4FAFF" w:themeFill="accent2" w:themeFillTint="33"/>
          </w:tcPr>
          <w:p w14:paraId="25CF8B99" w14:textId="77777777" w:rsidR="002E4AB0" w:rsidRPr="00035726" w:rsidRDefault="002E4AB0" w:rsidP="002A575C">
            <w:pPr>
              <w:rPr>
                <w:sz w:val="20"/>
                <w:szCs w:val="20"/>
                <w:lang w:val="en-US"/>
              </w:rPr>
            </w:pPr>
            <w:r w:rsidRPr="00035726">
              <w:rPr>
                <w:sz w:val="20"/>
                <w:szCs w:val="20"/>
                <w:lang w:val="en-US"/>
              </w:rPr>
              <w:t>Research and develop</w:t>
            </w:r>
          </w:p>
        </w:tc>
        <w:tc>
          <w:tcPr>
            <w:tcW w:w="1478" w:type="dxa"/>
            <w:shd w:val="clear" w:color="auto" w:fill="B4FAFF" w:themeFill="accent2" w:themeFillTint="33"/>
          </w:tcPr>
          <w:p w14:paraId="262B4107" w14:textId="77777777" w:rsidR="002E4AB0" w:rsidRPr="00035726" w:rsidRDefault="002E4AB0" w:rsidP="002A575C">
            <w:pPr>
              <w:rPr>
                <w:sz w:val="20"/>
                <w:szCs w:val="20"/>
                <w:lang w:val="en-US"/>
              </w:rPr>
            </w:pPr>
            <w:r w:rsidRPr="00035726">
              <w:rPr>
                <w:sz w:val="20"/>
                <w:szCs w:val="20"/>
                <w:lang w:val="en-US"/>
              </w:rPr>
              <w:t>Policy and legislation</w:t>
            </w:r>
          </w:p>
        </w:tc>
      </w:tr>
      <w:tr w:rsidR="002E4AB0" w14:paraId="577AF596" w14:textId="77777777" w:rsidTr="002A575C">
        <w:tc>
          <w:tcPr>
            <w:tcW w:w="2968" w:type="dxa"/>
            <w:shd w:val="clear" w:color="auto" w:fill="69F5FF" w:themeFill="accent2" w:themeFillTint="66"/>
          </w:tcPr>
          <w:p w14:paraId="6392CB8B" w14:textId="77777777" w:rsidR="002E4AB0" w:rsidRDefault="002E4AB0" w:rsidP="002A575C">
            <w:pPr>
              <w:rPr>
                <w:b/>
                <w:sz w:val="20"/>
                <w:szCs w:val="20"/>
                <w:lang w:val="en-US"/>
              </w:rPr>
            </w:pPr>
            <w:r>
              <w:rPr>
                <w:b/>
                <w:sz w:val="20"/>
                <w:szCs w:val="20"/>
                <w:lang w:val="en-US"/>
              </w:rPr>
              <w:lastRenderedPageBreak/>
              <w:t xml:space="preserve">3.3 </w:t>
            </w:r>
            <w:r w:rsidRPr="37FE2427">
              <w:rPr>
                <w:b/>
                <w:bCs/>
                <w:sz w:val="20"/>
                <w:szCs w:val="20"/>
                <w:lang w:val="en-US"/>
              </w:rPr>
              <w:t>Review Australia’s readiness for the commercial deployment of AVs at regular intervals, including exploring opportunities to incorporate connected vehicle technologies</w:t>
            </w:r>
          </w:p>
        </w:tc>
        <w:tc>
          <w:tcPr>
            <w:tcW w:w="5665" w:type="dxa"/>
            <w:shd w:val="clear" w:color="auto" w:fill="B4FAFF" w:themeFill="accent2" w:themeFillTint="33"/>
          </w:tcPr>
          <w:p w14:paraId="7941AE4D" w14:textId="5A0154A6" w:rsidR="00EF741B" w:rsidRPr="00EF741B" w:rsidRDefault="002E4AB0" w:rsidP="00F8678E">
            <w:pPr>
              <w:pStyle w:val="CommentText"/>
              <w:spacing w:after="1560"/>
              <w:rPr>
                <w:lang w:val="en-US"/>
              </w:rPr>
            </w:pPr>
            <w:r w:rsidRPr="37FE2427">
              <w:rPr>
                <w:lang w:val="en-US"/>
              </w:rPr>
              <w:t>This action captures the NTC’s AV readiness report which provides regular assessments of Australia’s readiness for the commercial deployment and adoption of AVs. The AV readiness report aims to identify readiness gaps and inform actions in the lead-up to AV deployment, as well as help measure Australia’s overall progress towards deployment.</w:t>
            </w:r>
            <w:r w:rsidR="00EF741B">
              <w:rPr>
                <w:lang w:val="en-US"/>
              </w:rPr>
              <w:t xml:space="preserve"> </w:t>
            </w:r>
            <w:r w:rsidRPr="37FE2427">
              <w:rPr>
                <w:lang w:val="en-US"/>
              </w:rPr>
              <w:t>It would also include exploring opportunities to incorporate a</w:t>
            </w:r>
            <w:r>
              <w:rPr>
                <w:lang w:val="en-US"/>
              </w:rPr>
              <w:t>n</w:t>
            </w:r>
            <w:r w:rsidRPr="37FE2427">
              <w:rPr>
                <w:lang w:val="en-US"/>
              </w:rPr>
              <w:t xml:space="preserve"> assessment of readiness for connected vehicle technologies.</w:t>
            </w:r>
          </w:p>
        </w:tc>
        <w:tc>
          <w:tcPr>
            <w:tcW w:w="1618" w:type="dxa"/>
            <w:shd w:val="clear" w:color="auto" w:fill="B4FAFF" w:themeFill="accent2" w:themeFillTint="33"/>
          </w:tcPr>
          <w:p w14:paraId="67C8A5B9" w14:textId="77777777" w:rsidR="002E4AB0" w:rsidRPr="008C7ED2" w:rsidRDefault="002E4AB0" w:rsidP="002A575C">
            <w:pPr>
              <w:rPr>
                <w:sz w:val="20"/>
                <w:szCs w:val="20"/>
              </w:rPr>
            </w:pPr>
            <w:r>
              <w:rPr>
                <w:sz w:val="20"/>
                <w:szCs w:val="20"/>
              </w:rPr>
              <w:t>NTC (lead), in consultation with the Commonwealth, states and territories</w:t>
            </w:r>
          </w:p>
        </w:tc>
        <w:tc>
          <w:tcPr>
            <w:tcW w:w="1215" w:type="dxa"/>
            <w:shd w:val="clear" w:color="auto" w:fill="B4FAFF" w:themeFill="accent2" w:themeFillTint="33"/>
          </w:tcPr>
          <w:p w14:paraId="178A9DD3" w14:textId="77777777" w:rsidR="002E4AB0" w:rsidRDefault="002E4AB0" w:rsidP="002A575C">
            <w:pPr>
              <w:rPr>
                <w:sz w:val="20"/>
                <w:szCs w:val="20"/>
                <w:lang w:val="en-US"/>
              </w:rPr>
            </w:pPr>
            <w:r>
              <w:rPr>
                <w:sz w:val="20"/>
                <w:szCs w:val="20"/>
                <w:lang w:val="en-US"/>
              </w:rPr>
              <w:t>2025 and 2027</w:t>
            </w:r>
          </w:p>
        </w:tc>
        <w:tc>
          <w:tcPr>
            <w:tcW w:w="1510" w:type="dxa"/>
            <w:shd w:val="clear" w:color="auto" w:fill="B4FAFF" w:themeFill="accent2" w:themeFillTint="33"/>
          </w:tcPr>
          <w:p w14:paraId="3BD5658B" w14:textId="77777777" w:rsidR="002E4AB0" w:rsidRDefault="002E4AB0" w:rsidP="002A575C">
            <w:pPr>
              <w:rPr>
                <w:sz w:val="20"/>
                <w:szCs w:val="20"/>
                <w:lang w:val="en-US"/>
              </w:rPr>
            </w:pPr>
            <w:r>
              <w:rPr>
                <w:sz w:val="20"/>
                <w:szCs w:val="20"/>
                <w:lang w:val="en-US"/>
              </w:rPr>
              <w:t>Prepare to deploy</w:t>
            </w:r>
          </w:p>
        </w:tc>
        <w:tc>
          <w:tcPr>
            <w:tcW w:w="1478" w:type="dxa"/>
            <w:shd w:val="clear" w:color="auto" w:fill="B4FAFF" w:themeFill="accent2" w:themeFillTint="33"/>
          </w:tcPr>
          <w:p w14:paraId="04A560B0" w14:textId="77777777" w:rsidR="002E4AB0" w:rsidRDefault="002E4AB0" w:rsidP="002A575C">
            <w:pPr>
              <w:rPr>
                <w:sz w:val="20"/>
                <w:szCs w:val="20"/>
                <w:lang w:val="en-US"/>
              </w:rPr>
            </w:pPr>
            <w:r>
              <w:rPr>
                <w:sz w:val="20"/>
                <w:szCs w:val="20"/>
                <w:lang w:val="en-US"/>
              </w:rPr>
              <w:t>All</w:t>
            </w:r>
          </w:p>
        </w:tc>
      </w:tr>
      <w:tr w:rsidR="002E4AB0" w14:paraId="2B36C213" w14:textId="77777777" w:rsidTr="002A575C">
        <w:tc>
          <w:tcPr>
            <w:tcW w:w="2968" w:type="dxa"/>
            <w:shd w:val="clear" w:color="auto" w:fill="69F5FF" w:themeFill="accent2" w:themeFillTint="66"/>
          </w:tcPr>
          <w:p w14:paraId="232C576E" w14:textId="77777777" w:rsidR="002E4AB0" w:rsidRPr="0015692C" w:rsidRDefault="002E4AB0" w:rsidP="002A575C">
            <w:pPr>
              <w:rPr>
                <w:b/>
                <w:sz w:val="20"/>
                <w:szCs w:val="20"/>
                <w:lang w:val="en-US"/>
              </w:rPr>
            </w:pPr>
            <w:r>
              <w:rPr>
                <w:b/>
                <w:sz w:val="20"/>
                <w:szCs w:val="20"/>
                <w:lang w:val="en-US"/>
              </w:rPr>
              <w:t>3.4 Examine efforts in key international markets (e.g. the European Union (EU), United States (US)) and nationally within Australia to</w:t>
            </w:r>
            <w:r>
              <w:rPr>
                <w:rFonts w:cstheme="minorHAnsi"/>
                <w:b/>
                <w:sz w:val="20"/>
                <w:szCs w:val="20"/>
                <w:lang w:val="en-US"/>
              </w:rPr>
              <w:t xml:space="preserve"> d</w:t>
            </w:r>
            <w:r w:rsidRPr="00BA744B">
              <w:rPr>
                <w:rFonts w:cstheme="minorHAnsi"/>
                <w:b/>
                <w:sz w:val="20"/>
                <w:szCs w:val="20"/>
                <w:lang w:val="en-US"/>
              </w:rPr>
              <w:t>evelop a ratings framework</w:t>
            </w:r>
            <w:r>
              <w:rPr>
                <w:rFonts w:cstheme="minorHAnsi"/>
                <w:b/>
                <w:sz w:val="20"/>
                <w:szCs w:val="20"/>
                <w:lang w:val="en-US"/>
              </w:rPr>
              <w:t>/s</w:t>
            </w:r>
            <w:r w:rsidRPr="00BA744B">
              <w:rPr>
                <w:rFonts w:cstheme="minorHAnsi"/>
                <w:b/>
                <w:sz w:val="20"/>
                <w:szCs w:val="20"/>
                <w:lang w:val="en-US"/>
              </w:rPr>
              <w:t xml:space="preserve"> for assessing the readiness of roads for CAVs</w:t>
            </w:r>
            <w:r>
              <w:rPr>
                <w:rFonts w:cstheme="minorHAnsi"/>
                <w:b/>
                <w:sz w:val="20"/>
                <w:szCs w:val="20"/>
                <w:lang w:val="en-US"/>
              </w:rPr>
              <w:t xml:space="preserve"> and consider their applicability to the Australian context</w:t>
            </w:r>
            <w:r w:rsidRPr="00BA744B">
              <w:rPr>
                <w:rFonts w:cstheme="minorHAnsi"/>
                <w:b/>
                <w:sz w:val="20"/>
                <w:szCs w:val="20"/>
                <w:lang w:val="en-US"/>
              </w:rPr>
              <w:t xml:space="preserve"> </w:t>
            </w:r>
          </w:p>
        </w:tc>
        <w:tc>
          <w:tcPr>
            <w:tcW w:w="5665" w:type="dxa"/>
            <w:shd w:val="clear" w:color="auto" w:fill="B4FAFF" w:themeFill="accent2" w:themeFillTint="33"/>
          </w:tcPr>
          <w:p w14:paraId="7722EBED" w14:textId="2A70EAA8" w:rsidR="00EF741B" w:rsidRPr="0015692C" w:rsidRDefault="002E4AB0" w:rsidP="00F8678E">
            <w:pPr>
              <w:pStyle w:val="CommentText"/>
              <w:spacing w:after="1560"/>
              <w:rPr>
                <w:rFonts w:cstheme="minorHAnsi"/>
                <w:lang w:val="en-US"/>
              </w:rPr>
            </w:pPr>
            <w:r w:rsidRPr="008C7ED2">
              <w:rPr>
                <w:rFonts w:cstheme="minorHAnsi"/>
                <w:lang w:val="en-US"/>
              </w:rPr>
              <w:t>Th</w:t>
            </w:r>
            <w:r>
              <w:rPr>
                <w:rFonts w:cstheme="minorHAnsi"/>
                <w:lang w:val="en-US"/>
              </w:rPr>
              <w:t>is action would examine international efforts to develop framework/s for assessing road</w:t>
            </w:r>
            <w:r w:rsidRPr="008C7ED2">
              <w:rPr>
                <w:rFonts w:cstheme="minorHAnsi"/>
                <w:lang w:val="en-US"/>
              </w:rPr>
              <w:t xml:space="preserve"> readiness</w:t>
            </w:r>
            <w:r>
              <w:rPr>
                <w:rFonts w:cstheme="minorHAnsi"/>
                <w:lang w:val="en-US"/>
              </w:rPr>
              <w:t xml:space="preserve"> for CAVs</w:t>
            </w:r>
            <w:r w:rsidRPr="008C7ED2">
              <w:rPr>
                <w:rFonts w:cstheme="minorHAnsi"/>
                <w:lang w:val="en-US"/>
              </w:rPr>
              <w:t xml:space="preserve"> </w:t>
            </w:r>
            <w:r>
              <w:rPr>
                <w:rFonts w:cstheme="minorHAnsi"/>
                <w:lang w:val="en-US"/>
              </w:rPr>
              <w:t>and</w:t>
            </w:r>
            <w:r w:rsidRPr="008C7ED2">
              <w:rPr>
                <w:rFonts w:cstheme="minorHAnsi"/>
                <w:lang w:val="en-US"/>
              </w:rPr>
              <w:t xml:space="preserve"> </w:t>
            </w:r>
            <w:r>
              <w:rPr>
                <w:rFonts w:cstheme="minorHAnsi"/>
                <w:lang w:val="en-US"/>
              </w:rPr>
              <w:t xml:space="preserve">consider their applicability for Australia. It would build on a number of projects in the EU and US that have developed potential frameworks including the Permanent International Association for Road Congresses (PIARC) (World Road Association) </w:t>
            </w:r>
            <w:hyperlink r:id="rId32" w:history="1">
              <w:r w:rsidRPr="009736BD">
                <w:rPr>
                  <w:rStyle w:val="Hyperlink"/>
                  <w:rFonts w:cstheme="minorHAnsi"/>
                  <w:lang w:val="en-US"/>
                </w:rPr>
                <w:t>Smart Roads Classification: A PIARC special project</w:t>
              </w:r>
            </w:hyperlink>
            <w:r>
              <w:rPr>
                <w:rFonts w:cstheme="minorHAnsi"/>
                <w:lang w:val="en-US"/>
              </w:rPr>
              <w:t xml:space="preserve"> and</w:t>
            </w:r>
            <w:r>
              <w:t xml:space="preserve"> </w:t>
            </w:r>
            <w:hyperlink r:id="rId33" w:history="1">
              <w:r w:rsidRPr="00011003">
                <w:rPr>
                  <w:rStyle w:val="Hyperlink"/>
                </w:rPr>
                <w:t>Smart Roads Classification System</w:t>
              </w:r>
            </w:hyperlink>
            <w:r w:rsidRPr="00011003">
              <w:t xml:space="preserve"> (SRC)</w:t>
            </w:r>
            <w:r w:rsidRPr="009516A8">
              <w:rPr>
                <w:rStyle w:val="Hyperlink"/>
              </w:rPr>
              <w:t>,</w:t>
            </w:r>
            <w:r w:rsidRPr="00011003">
              <w:t xml:space="preserve"> </w:t>
            </w:r>
            <w:hyperlink r:id="rId34" w:history="1">
              <w:r w:rsidRPr="00011003">
                <w:rPr>
                  <w:rStyle w:val="Hyperlink"/>
                </w:rPr>
                <w:t>INFRAMIX</w:t>
              </w:r>
            </w:hyperlink>
            <w:r w:rsidRPr="00011003">
              <w:t xml:space="preserve"> and </w:t>
            </w:r>
            <w:hyperlink r:id="rId35" w:history="1">
              <w:r w:rsidRPr="005C62D3">
                <w:rPr>
                  <w:rStyle w:val="Hyperlink"/>
                </w:rPr>
                <w:t>Connected Roadway Classification System Development</w:t>
              </w:r>
            </w:hyperlink>
            <w:r w:rsidRPr="00011003">
              <w:t>.</w:t>
            </w:r>
            <w:r>
              <w:t xml:space="preserve"> It would also build on Austroads </w:t>
            </w:r>
            <w:r>
              <w:rPr>
                <w:i/>
              </w:rPr>
              <w:t>Infrastructure Changes to Support Automated Vehicles on Rural and Metropolitan Highways and Freeways: Audit Specification</w:t>
            </w:r>
            <w:r>
              <w:t xml:space="preserve"> (AP-T347-19).</w:t>
            </w:r>
            <w:r>
              <w:rPr>
                <w:rFonts w:cstheme="minorHAnsi"/>
                <w:lang w:val="en-US"/>
              </w:rPr>
              <w:t xml:space="preserve"> Note, this action would be subject to </w:t>
            </w:r>
            <w:proofErr w:type="spellStart"/>
            <w:r>
              <w:rPr>
                <w:rFonts w:cstheme="minorHAnsi"/>
                <w:lang w:val="en-US"/>
              </w:rPr>
              <w:t>Austroads</w:t>
            </w:r>
            <w:proofErr w:type="spellEnd"/>
            <w:r>
              <w:rPr>
                <w:rFonts w:cstheme="minorHAnsi"/>
                <w:lang w:val="en-US"/>
              </w:rPr>
              <w:t xml:space="preserve"> Board approval.</w:t>
            </w:r>
          </w:p>
        </w:tc>
        <w:tc>
          <w:tcPr>
            <w:tcW w:w="1618" w:type="dxa"/>
            <w:shd w:val="clear" w:color="auto" w:fill="B4FAFF" w:themeFill="accent2" w:themeFillTint="33"/>
          </w:tcPr>
          <w:p w14:paraId="11C1E28E" w14:textId="77777777" w:rsidR="002E4AB0" w:rsidRPr="0015692C" w:rsidRDefault="002E4AB0" w:rsidP="002A575C">
            <w:pPr>
              <w:rPr>
                <w:sz w:val="20"/>
                <w:szCs w:val="20"/>
                <w:lang w:val="en-US"/>
              </w:rPr>
            </w:pPr>
            <w:r w:rsidRPr="008C7ED2">
              <w:rPr>
                <w:sz w:val="20"/>
                <w:szCs w:val="20"/>
              </w:rPr>
              <w:t>Austroads (lead), in consultation with the Commonwealth, states and territories</w:t>
            </w:r>
          </w:p>
        </w:tc>
        <w:tc>
          <w:tcPr>
            <w:tcW w:w="1215" w:type="dxa"/>
            <w:shd w:val="clear" w:color="auto" w:fill="B4FAFF" w:themeFill="accent2" w:themeFillTint="33"/>
          </w:tcPr>
          <w:p w14:paraId="561D1403" w14:textId="77777777" w:rsidR="002E4AB0" w:rsidRPr="0015692C" w:rsidRDefault="002E4AB0" w:rsidP="002A575C">
            <w:pPr>
              <w:rPr>
                <w:sz w:val="20"/>
                <w:szCs w:val="20"/>
                <w:lang w:val="en-US"/>
              </w:rPr>
            </w:pPr>
            <w:r>
              <w:rPr>
                <w:sz w:val="20"/>
                <w:szCs w:val="20"/>
                <w:lang w:val="en-US"/>
              </w:rPr>
              <w:t>2024-2025</w:t>
            </w:r>
          </w:p>
        </w:tc>
        <w:tc>
          <w:tcPr>
            <w:tcW w:w="1510" w:type="dxa"/>
            <w:shd w:val="clear" w:color="auto" w:fill="B4FAFF" w:themeFill="accent2" w:themeFillTint="33"/>
          </w:tcPr>
          <w:p w14:paraId="34959A4C" w14:textId="77777777" w:rsidR="002E4AB0" w:rsidRPr="0015692C" w:rsidRDefault="002E4AB0" w:rsidP="002A575C">
            <w:pPr>
              <w:rPr>
                <w:sz w:val="20"/>
                <w:szCs w:val="20"/>
                <w:lang w:val="en-US"/>
              </w:rPr>
            </w:pPr>
            <w:r>
              <w:rPr>
                <w:sz w:val="20"/>
                <w:szCs w:val="20"/>
                <w:lang w:val="en-US"/>
              </w:rPr>
              <w:t>Research and develop</w:t>
            </w:r>
          </w:p>
        </w:tc>
        <w:tc>
          <w:tcPr>
            <w:tcW w:w="1478" w:type="dxa"/>
            <w:shd w:val="clear" w:color="auto" w:fill="B4FAFF" w:themeFill="accent2" w:themeFillTint="33"/>
          </w:tcPr>
          <w:p w14:paraId="6A4D1BF7" w14:textId="77777777" w:rsidR="002E4AB0" w:rsidRPr="0015692C" w:rsidRDefault="002E4AB0" w:rsidP="002A575C">
            <w:pPr>
              <w:rPr>
                <w:sz w:val="20"/>
                <w:szCs w:val="20"/>
                <w:lang w:val="en-US"/>
              </w:rPr>
            </w:pPr>
            <w:r>
              <w:rPr>
                <w:sz w:val="20"/>
                <w:szCs w:val="20"/>
                <w:lang w:val="en-US"/>
              </w:rPr>
              <w:t>Supporting infrastructure</w:t>
            </w:r>
          </w:p>
        </w:tc>
      </w:tr>
      <w:tr w:rsidR="002E4AB0" w14:paraId="39F01C39" w14:textId="77777777" w:rsidTr="00793DF1">
        <w:trPr>
          <w:trHeight w:val="3975"/>
        </w:trPr>
        <w:tc>
          <w:tcPr>
            <w:tcW w:w="2968" w:type="dxa"/>
            <w:shd w:val="clear" w:color="auto" w:fill="69F5FF" w:themeFill="accent2" w:themeFillTint="66"/>
          </w:tcPr>
          <w:p w14:paraId="6EC02998" w14:textId="77777777" w:rsidR="002E4AB0" w:rsidRPr="00B22D60" w:rsidRDefault="002E4AB0" w:rsidP="002A575C">
            <w:pPr>
              <w:rPr>
                <w:b/>
                <w:sz w:val="20"/>
                <w:szCs w:val="20"/>
                <w:lang w:val="en-US"/>
              </w:rPr>
            </w:pPr>
            <w:bookmarkStart w:id="10" w:name="_Hlk132630442"/>
            <w:r>
              <w:rPr>
                <w:b/>
                <w:sz w:val="20"/>
                <w:szCs w:val="20"/>
                <w:lang w:val="en-US"/>
              </w:rPr>
              <w:lastRenderedPageBreak/>
              <w:t>3.5 Develop guidance on the physical road infrastructure needed to support CAVs</w:t>
            </w:r>
            <w:bookmarkEnd w:id="10"/>
          </w:p>
        </w:tc>
        <w:tc>
          <w:tcPr>
            <w:tcW w:w="5665" w:type="dxa"/>
            <w:shd w:val="clear" w:color="auto" w:fill="B4FAFF" w:themeFill="accent2" w:themeFillTint="33"/>
          </w:tcPr>
          <w:p w14:paraId="5D088C20" w14:textId="44E9B68D" w:rsidR="00EF741B" w:rsidRPr="00F8678E" w:rsidRDefault="002E4AB0" w:rsidP="00F8678E">
            <w:pPr>
              <w:spacing w:after="1080"/>
              <w:rPr>
                <w:rFonts w:cstheme="minorHAnsi"/>
                <w:sz w:val="20"/>
                <w:szCs w:val="20"/>
                <w:lang w:val="en-US"/>
              </w:rPr>
            </w:pPr>
            <w:bookmarkStart w:id="11" w:name="_Hlk132630520"/>
            <w:r w:rsidRPr="008C7ED2">
              <w:rPr>
                <w:rFonts w:cstheme="minorHAnsi"/>
                <w:sz w:val="20"/>
                <w:szCs w:val="20"/>
                <w:lang w:val="en-US"/>
              </w:rPr>
              <w:t>Th</w:t>
            </w:r>
            <w:r>
              <w:rPr>
                <w:rFonts w:cstheme="minorHAnsi"/>
                <w:sz w:val="20"/>
                <w:szCs w:val="20"/>
                <w:lang w:val="en-US"/>
              </w:rPr>
              <w:t xml:space="preserve">is </w:t>
            </w:r>
            <w:r w:rsidRPr="008C7ED2">
              <w:rPr>
                <w:rFonts w:cstheme="minorHAnsi"/>
                <w:sz w:val="20"/>
                <w:szCs w:val="20"/>
                <w:lang w:val="en-US"/>
              </w:rPr>
              <w:t xml:space="preserve">action would </w:t>
            </w:r>
            <w:r>
              <w:rPr>
                <w:rFonts w:cstheme="minorHAnsi"/>
                <w:sz w:val="20"/>
                <w:szCs w:val="20"/>
                <w:lang w:val="en-US"/>
              </w:rPr>
              <w:t xml:space="preserve">build on </w:t>
            </w:r>
            <w:proofErr w:type="spellStart"/>
            <w:r>
              <w:rPr>
                <w:rFonts w:cstheme="minorHAnsi"/>
                <w:sz w:val="20"/>
                <w:szCs w:val="20"/>
                <w:lang w:val="en-US"/>
              </w:rPr>
              <w:t>Austroads</w:t>
            </w:r>
            <w:proofErr w:type="spellEnd"/>
            <w:r>
              <w:rPr>
                <w:rFonts w:cstheme="minorHAnsi"/>
                <w:sz w:val="20"/>
                <w:szCs w:val="20"/>
                <w:lang w:val="en-US"/>
              </w:rPr>
              <w:t xml:space="preserve"> </w:t>
            </w:r>
            <w:r w:rsidRPr="008C7ED2">
              <w:rPr>
                <w:rFonts w:ascii="Calibri" w:eastAsia="Calibri" w:hAnsi="Calibri" w:cs="Calibri"/>
                <w:i/>
                <w:sz w:val="20"/>
                <w:szCs w:val="20"/>
              </w:rPr>
              <w:t>Minimum requirements for signs, signals and lines</w:t>
            </w:r>
            <w:r w:rsidRPr="008C7ED2">
              <w:rPr>
                <w:rFonts w:ascii="Calibri" w:eastAsia="Calibri" w:hAnsi="Calibri" w:cs="Calibri"/>
                <w:sz w:val="20"/>
                <w:szCs w:val="20"/>
              </w:rPr>
              <w:t xml:space="preserve"> (CAV6383) that synthesises</w:t>
            </w:r>
            <w:r>
              <w:rPr>
                <w:rFonts w:ascii="Calibri" w:eastAsia="Calibri" w:hAnsi="Calibri" w:cs="Calibri"/>
                <w:sz w:val="20"/>
                <w:szCs w:val="20"/>
              </w:rPr>
              <w:t xml:space="preserve"> 2022 and 2019 Austroads projects</w:t>
            </w:r>
            <w:r w:rsidR="005C60E8">
              <w:rPr>
                <w:rStyle w:val="FootnoteReference"/>
                <w:rFonts w:ascii="Calibri" w:eastAsia="Calibri" w:hAnsi="Calibri" w:cs="Calibri"/>
                <w:sz w:val="20"/>
                <w:szCs w:val="20"/>
              </w:rPr>
              <w:footnoteReference w:id="17"/>
            </w:r>
            <w:r>
              <w:rPr>
                <w:rFonts w:cstheme="minorHAnsi"/>
                <w:sz w:val="20"/>
                <w:szCs w:val="20"/>
                <w:lang w:val="en-US"/>
              </w:rPr>
              <w:t xml:space="preserve"> </w:t>
            </w:r>
            <w:r>
              <w:rPr>
                <w:rFonts w:ascii="Calibri" w:eastAsia="Calibri" w:hAnsi="Calibri" w:cs="Calibri"/>
                <w:sz w:val="20"/>
                <w:szCs w:val="20"/>
              </w:rPr>
              <w:t xml:space="preserve">and further identified physical infrastructure practices that could support CAVs and inform road agency decision-making in Australia and New Zealand. The guidance could include, for example, </w:t>
            </w:r>
            <w:r>
              <w:rPr>
                <w:sz w:val="20"/>
                <w:szCs w:val="20"/>
                <w:lang w:val="en-US"/>
              </w:rPr>
              <w:t xml:space="preserve">minimum requirements (e.g. width, clarity, retro-reflectivity) for longitudinal and other line markings; </w:t>
            </w:r>
            <w:proofErr w:type="spellStart"/>
            <w:r>
              <w:rPr>
                <w:sz w:val="20"/>
                <w:szCs w:val="20"/>
                <w:lang w:val="en-US"/>
              </w:rPr>
              <w:t>harmonisation</w:t>
            </w:r>
            <w:proofErr w:type="spellEnd"/>
            <w:r>
              <w:rPr>
                <w:sz w:val="20"/>
                <w:szCs w:val="20"/>
                <w:lang w:val="en-US"/>
              </w:rPr>
              <w:t xml:space="preserve"> of practices relating to non-electronic signs (e.g. standard designs, lateral and vertical placements, visibility and legibility levels) across jurisdictions; and/or what would be required to ‘train’ machine vision systems for operation on Australian roads.</w:t>
            </w:r>
            <w:r>
              <w:rPr>
                <w:rFonts w:cstheme="minorHAnsi"/>
                <w:sz w:val="20"/>
                <w:szCs w:val="20"/>
                <w:lang w:val="en-US"/>
              </w:rPr>
              <w:t xml:space="preserve"> Note, this action would be subject to </w:t>
            </w:r>
            <w:proofErr w:type="spellStart"/>
            <w:r>
              <w:rPr>
                <w:rFonts w:cstheme="minorHAnsi"/>
                <w:sz w:val="20"/>
                <w:szCs w:val="20"/>
                <w:lang w:val="en-US"/>
              </w:rPr>
              <w:t>Austroads</w:t>
            </w:r>
            <w:proofErr w:type="spellEnd"/>
            <w:r>
              <w:rPr>
                <w:rFonts w:cstheme="minorHAnsi"/>
                <w:sz w:val="20"/>
                <w:szCs w:val="20"/>
                <w:lang w:val="en-US"/>
              </w:rPr>
              <w:t xml:space="preserve"> Board approval.</w:t>
            </w:r>
            <w:bookmarkEnd w:id="11"/>
          </w:p>
        </w:tc>
        <w:tc>
          <w:tcPr>
            <w:tcW w:w="1618" w:type="dxa"/>
            <w:shd w:val="clear" w:color="auto" w:fill="B4FAFF" w:themeFill="accent2" w:themeFillTint="33"/>
          </w:tcPr>
          <w:p w14:paraId="2BF494A6" w14:textId="77777777" w:rsidR="002E4AB0" w:rsidRDefault="002E4AB0" w:rsidP="002A575C">
            <w:pPr>
              <w:rPr>
                <w:sz w:val="20"/>
                <w:szCs w:val="20"/>
              </w:rPr>
            </w:pPr>
            <w:r>
              <w:rPr>
                <w:sz w:val="20"/>
                <w:szCs w:val="20"/>
              </w:rPr>
              <w:t>Austroads (lead), in consultation with the states and territories and Commonwealth</w:t>
            </w:r>
          </w:p>
          <w:p w14:paraId="60F762CB" w14:textId="77777777" w:rsidR="002E4AB0" w:rsidRPr="0015692C" w:rsidRDefault="002E4AB0" w:rsidP="002A575C">
            <w:pPr>
              <w:rPr>
                <w:sz w:val="20"/>
                <w:szCs w:val="20"/>
                <w:lang w:val="en-US"/>
              </w:rPr>
            </w:pPr>
          </w:p>
        </w:tc>
        <w:tc>
          <w:tcPr>
            <w:tcW w:w="1215" w:type="dxa"/>
            <w:shd w:val="clear" w:color="auto" w:fill="B4FAFF" w:themeFill="accent2" w:themeFillTint="33"/>
          </w:tcPr>
          <w:p w14:paraId="0D95F252" w14:textId="77777777" w:rsidR="002E4AB0" w:rsidRPr="0015692C" w:rsidRDefault="002E4AB0" w:rsidP="002A575C">
            <w:pPr>
              <w:rPr>
                <w:sz w:val="20"/>
                <w:szCs w:val="20"/>
                <w:lang w:val="en-US"/>
              </w:rPr>
            </w:pPr>
            <w:r>
              <w:rPr>
                <w:sz w:val="20"/>
                <w:szCs w:val="20"/>
                <w:lang w:val="en-US"/>
              </w:rPr>
              <w:t>2024-2027</w:t>
            </w:r>
          </w:p>
        </w:tc>
        <w:tc>
          <w:tcPr>
            <w:tcW w:w="1510" w:type="dxa"/>
            <w:shd w:val="clear" w:color="auto" w:fill="B4FAFF" w:themeFill="accent2" w:themeFillTint="33"/>
          </w:tcPr>
          <w:p w14:paraId="4C7DEED5" w14:textId="77777777" w:rsidR="002E4AB0" w:rsidRPr="0015692C" w:rsidRDefault="002E4AB0" w:rsidP="002A575C">
            <w:pPr>
              <w:rPr>
                <w:sz w:val="20"/>
                <w:szCs w:val="20"/>
                <w:lang w:val="en-US"/>
              </w:rPr>
            </w:pPr>
            <w:r>
              <w:rPr>
                <w:sz w:val="20"/>
                <w:szCs w:val="20"/>
                <w:lang w:val="en-US"/>
              </w:rPr>
              <w:t>Prepare to deploy</w:t>
            </w:r>
          </w:p>
        </w:tc>
        <w:tc>
          <w:tcPr>
            <w:tcW w:w="1478" w:type="dxa"/>
            <w:shd w:val="clear" w:color="auto" w:fill="B4FAFF" w:themeFill="accent2" w:themeFillTint="33"/>
          </w:tcPr>
          <w:p w14:paraId="16404051" w14:textId="77777777" w:rsidR="002E4AB0" w:rsidRPr="0015692C" w:rsidRDefault="002E4AB0" w:rsidP="002A575C">
            <w:pPr>
              <w:rPr>
                <w:sz w:val="20"/>
                <w:szCs w:val="20"/>
                <w:lang w:val="en-US"/>
              </w:rPr>
            </w:pPr>
            <w:r>
              <w:rPr>
                <w:sz w:val="20"/>
                <w:szCs w:val="20"/>
                <w:lang w:val="en-US"/>
              </w:rPr>
              <w:t>Policy and legislation</w:t>
            </w:r>
          </w:p>
        </w:tc>
      </w:tr>
      <w:tr w:rsidR="002E4AB0" w14:paraId="758C4CE4" w14:textId="77777777" w:rsidTr="002A575C">
        <w:tc>
          <w:tcPr>
            <w:tcW w:w="2968" w:type="dxa"/>
            <w:shd w:val="clear" w:color="auto" w:fill="69F5FF" w:themeFill="accent2" w:themeFillTint="66"/>
          </w:tcPr>
          <w:p w14:paraId="4B778468" w14:textId="77777777" w:rsidR="002E4AB0" w:rsidRPr="0015692C" w:rsidRDefault="002E4AB0" w:rsidP="002A575C">
            <w:pPr>
              <w:rPr>
                <w:b/>
                <w:sz w:val="20"/>
                <w:szCs w:val="20"/>
                <w:lang w:val="en-US"/>
              </w:rPr>
            </w:pPr>
            <w:r>
              <w:rPr>
                <w:b/>
                <w:sz w:val="20"/>
                <w:szCs w:val="20"/>
                <w:lang w:val="en-US"/>
              </w:rPr>
              <w:t xml:space="preserve">3.6 </w:t>
            </w:r>
            <w:r>
              <w:rPr>
                <w:rFonts w:cstheme="minorHAnsi"/>
                <w:b/>
                <w:sz w:val="20"/>
                <w:szCs w:val="20"/>
                <w:lang w:val="en-US"/>
              </w:rPr>
              <w:t xml:space="preserve">Investigate how precise positioning offered by </w:t>
            </w:r>
            <w:proofErr w:type="spellStart"/>
            <w:r>
              <w:rPr>
                <w:rFonts w:cstheme="minorHAnsi"/>
                <w:b/>
                <w:sz w:val="20"/>
                <w:szCs w:val="20"/>
                <w:lang w:val="en-US"/>
              </w:rPr>
              <w:t>SouthPAN</w:t>
            </w:r>
            <w:proofErr w:type="spellEnd"/>
            <w:r>
              <w:rPr>
                <w:rFonts w:cstheme="minorHAnsi"/>
                <w:b/>
                <w:sz w:val="20"/>
                <w:szCs w:val="20"/>
                <w:lang w:val="en-US"/>
              </w:rPr>
              <w:t xml:space="preserve"> and the National Positioning Infrastructure Capability can support CAVs and the practical steps needed for CAVs to make use of these services</w:t>
            </w:r>
          </w:p>
        </w:tc>
        <w:tc>
          <w:tcPr>
            <w:tcW w:w="5665" w:type="dxa"/>
            <w:shd w:val="clear" w:color="auto" w:fill="B4FAFF" w:themeFill="accent2" w:themeFillTint="33"/>
          </w:tcPr>
          <w:p w14:paraId="431F717B" w14:textId="14E2671B" w:rsidR="00EF741B" w:rsidRPr="0015692C" w:rsidRDefault="002E4AB0" w:rsidP="004F66C4">
            <w:pPr>
              <w:spacing w:after="1200"/>
              <w:rPr>
                <w:rFonts w:cstheme="minorHAnsi"/>
                <w:sz w:val="20"/>
                <w:szCs w:val="20"/>
                <w:lang w:val="en-US"/>
              </w:rPr>
            </w:pPr>
            <w:r w:rsidRPr="00847554">
              <w:rPr>
                <w:rFonts w:cstheme="minorHAnsi"/>
                <w:sz w:val="20"/>
                <w:szCs w:val="20"/>
                <w:lang w:val="en-US"/>
              </w:rPr>
              <w:t>This action would</w:t>
            </w:r>
            <w:r>
              <w:rPr>
                <w:rFonts w:cstheme="minorHAnsi"/>
                <w:sz w:val="20"/>
                <w:szCs w:val="20"/>
                <w:lang w:val="en-US"/>
              </w:rPr>
              <w:t xml:space="preserve"> investigate how precise positioning can support CAVs. This would include a comparison of </w:t>
            </w:r>
            <w:hyperlink r:id="rId36" w:history="1">
              <w:proofErr w:type="spellStart"/>
              <w:r w:rsidRPr="00BB5FE8">
                <w:rPr>
                  <w:rStyle w:val="Hyperlink"/>
                  <w:rFonts w:cstheme="minorHAnsi"/>
                  <w:sz w:val="20"/>
                  <w:szCs w:val="20"/>
                  <w:lang w:val="en-US"/>
                </w:rPr>
                <w:t>SouthPAN</w:t>
              </w:r>
              <w:proofErr w:type="spellEnd"/>
            </w:hyperlink>
            <w:r>
              <w:rPr>
                <w:rFonts w:cstheme="minorHAnsi"/>
                <w:sz w:val="20"/>
                <w:szCs w:val="20"/>
                <w:lang w:val="en-US"/>
              </w:rPr>
              <w:t xml:space="preserve"> and the </w:t>
            </w:r>
            <w:hyperlink r:id="rId37" w:history="1">
              <w:r w:rsidRPr="00BB5FE8">
                <w:rPr>
                  <w:rStyle w:val="Hyperlink"/>
                  <w:rFonts w:cstheme="minorHAnsi"/>
                  <w:sz w:val="20"/>
                  <w:szCs w:val="20"/>
                  <w:lang w:val="en-US"/>
                </w:rPr>
                <w:t>National Positioning Infrastructure Capability</w:t>
              </w:r>
            </w:hyperlink>
            <w:r>
              <w:rPr>
                <w:rFonts w:cstheme="minorHAnsi"/>
                <w:sz w:val="20"/>
                <w:szCs w:val="20"/>
                <w:lang w:val="en-US"/>
              </w:rPr>
              <w:t xml:space="preserve">, including how they work, their coverage and their existing and planned future capabilities, and identifying what role each could play in supporting CAVs. It would also identify the practical steps needed for CAVs to make use of these services, including any need to work with OEMs on product roadmaps. Note, this action would be subject to </w:t>
            </w:r>
            <w:proofErr w:type="spellStart"/>
            <w:r>
              <w:rPr>
                <w:rFonts w:cstheme="minorHAnsi"/>
                <w:sz w:val="20"/>
                <w:szCs w:val="20"/>
                <w:lang w:val="en-US"/>
              </w:rPr>
              <w:t>Austroads</w:t>
            </w:r>
            <w:proofErr w:type="spellEnd"/>
            <w:r>
              <w:rPr>
                <w:rFonts w:cstheme="minorHAnsi"/>
                <w:sz w:val="20"/>
                <w:szCs w:val="20"/>
                <w:lang w:val="en-US"/>
              </w:rPr>
              <w:t xml:space="preserve"> Board approval.</w:t>
            </w:r>
          </w:p>
        </w:tc>
        <w:tc>
          <w:tcPr>
            <w:tcW w:w="1618" w:type="dxa"/>
            <w:shd w:val="clear" w:color="auto" w:fill="B4FAFF" w:themeFill="accent2" w:themeFillTint="33"/>
          </w:tcPr>
          <w:p w14:paraId="28516483" w14:textId="77777777" w:rsidR="002E4AB0" w:rsidRPr="0015692C" w:rsidRDefault="002E4AB0" w:rsidP="002A575C">
            <w:pPr>
              <w:spacing w:after="120"/>
              <w:rPr>
                <w:sz w:val="20"/>
                <w:szCs w:val="20"/>
                <w:lang w:val="en-US"/>
              </w:rPr>
            </w:pPr>
            <w:proofErr w:type="spellStart"/>
            <w:r w:rsidRPr="00847554">
              <w:rPr>
                <w:rFonts w:cstheme="minorHAnsi"/>
                <w:sz w:val="20"/>
                <w:szCs w:val="20"/>
                <w:lang w:val="en-US"/>
              </w:rPr>
              <w:t>Austroads</w:t>
            </w:r>
            <w:proofErr w:type="spellEnd"/>
            <w:r w:rsidRPr="00847554">
              <w:rPr>
                <w:rFonts w:cstheme="minorHAnsi"/>
                <w:sz w:val="20"/>
                <w:szCs w:val="20"/>
                <w:lang w:val="en-US"/>
              </w:rPr>
              <w:t xml:space="preserve"> (lead), in consultation with the Commonwealth, states and territories</w:t>
            </w:r>
          </w:p>
        </w:tc>
        <w:tc>
          <w:tcPr>
            <w:tcW w:w="1215" w:type="dxa"/>
            <w:shd w:val="clear" w:color="auto" w:fill="B4FAFF" w:themeFill="accent2" w:themeFillTint="33"/>
          </w:tcPr>
          <w:p w14:paraId="5589AD7C" w14:textId="77777777" w:rsidR="002E4AB0" w:rsidRPr="0015692C" w:rsidRDefault="002E4AB0" w:rsidP="002A575C">
            <w:pPr>
              <w:rPr>
                <w:sz w:val="20"/>
                <w:szCs w:val="20"/>
                <w:lang w:val="en-US"/>
              </w:rPr>
            </w:pPr>
            <w:r>
              <w:rPr>
                <w:sz w:val="20"/>
                <w:szCs w:val="20"/>
                <w:lang w:val="en-US"/>
              </w:rPr>
              <w:t>2024</w:t>
            </w:r>
          </w:p>
        </w:tc>
        <w:tc>
          <w:tcPr>
            <w:tcW w:w="1510" w:type="dxa"/>
            <w:shd w:val="clear" w:color="auto" w:fill="B4FAFF" w:themeFill="accent2" w:themeFillTint="33"/>
          </w:tcPr>
          <w:p w14:paraId="1DD15B38" w14:textId="77777777" w:rsidR="002E4AB0" w:rsidRPr="0015692C" w:rsidRDefault="002E4AB0" w:rsidP="002A575C">
            <w:pPr>
              <w:rPr>
                <w:sz w:val="20"/>
                <w:szCs w:val="20"/>
                <w:lang w:val="en-US"/>
              </w:rPr>
            </w:pPr>
            <w:r>
              <w:rPr>
                <w:sz w:val="20"/>
                <w:szCs w:val="20"/>
                <w:lang w:val="en-US"/>
              </w:rPr>
              <w:t>Research and develop</w:t>
            </w:r>
          </w:p>
        </w:tc>
        <w:tc>
          <w:tcPr>
            <w:tcW w:w="1478" w:type="dxa"/>
            <w:shd w:val="clear" w:color="auto" w:fill="B4FAFF" w:themeFill="accent2" w:themeFillTint="33"/>
          </w:tcPr>
          <w:p w14:paraId="03A53FC6" w14:textId="77777777" w:rsidR="002E4AB0" w:rsidRPr="0015692C" w:rsidRDefault="002E4AB0" w:rsidP="002A575C">
            <w:pPr>
              <w:rPr>
                <w:sz w:val="20"/>
                <w:szCs w:val="20"/>
                <w:lang w:val="en-US"/>
              </w:rPr>
            </w:pPr>
            <w:r>
              <w:rPr>
                <w:sz w:val="20"/>
                <w:szCs w:val="20"/>
                <w:lang w:val="en-US"/>
              </w:rPr>
              <w:t>Supporting infrastructure</w:t>
            </w:r>
          </w:p>
        </w:tc>
      </w:tr>
      <w:tr w:rsidR="002E4AB0" w14:paraId="2A6773D6" w14:textId="77777777" w:rsidTr="002A575C">
        <w:tc>
          <w:tcPr>
            <w:tcW w:w="2968" w:type="dxa"/>
            <w:shd w:val="clear" w:color="auto" w:fill="69F5FF" w:themeFill="accent2" w:themeFillTint="66"/>
          </w:tcPr>
          <w:p w14:paraId="226ECF5A" w14:textId="77777777" w:rsidR="002E4AB0" w:rsidRPr="0015692C" w:rsidRDefault="002E4AB0" w:rsidP="002A575C">
            <w:pPr>
              <w:rPr>
                <w:b/>
                <w:sz w:val="20"/>
                <w:szCs w:val="20"/>
                <w:lang w:val="en-US"/>
              </w:rPr>
            </w:pPr>
            <w:r>
              <w:rPr>
                <w:b/>
                <w:sz w:val="20"/>
                <w:szCs w:val="20"/>
                <w:lang w:val="en-US"/>
              </w:rPr>
              <w:lastRenderedPageBreak/>
              <w:t xml:space="preserve">3.7 </w:t>
            </w:r>
            <w:r w:rsidRPr="00847554">
              <w:rPr>
                <w:rFonts w:cstheme="minorHAnsi"/>
                <w:b/>
                <w:sz w:val="20"/>
                <w:szCs w:val="20"/>
                <w:lang w:val="en-US"/>
              </w:rPr>
              <w:t xml:space="preserve">Investigate how sound and haptic technologies are currently being deployed in vehicles, including their impact on </w:t>
            </w:r>
            <w:r>
              <w:rPr>
                <w:rFonts w:cstheme="minorHAnsi"/>
                <w:b/>
                <w:sz w:val="20"/>
                <w:szCs w:val="20"/>
                <w:lang w:val="en-US"/>
              </w:rPr>
              <w:t>vehicle occupant</w:t>
            </w:r>
            <w:r w:rsidRPr="00847554">
              <w:rPr>
                <w:rFonts w:cstheme="minorHAnsi"/>
                <w:b/>
                <w:sz w:val="20"/>
                <w:szCs w:val="20"/>
                <w:lang w:val="en-US"/>
              </w:rPr>
              <w:t xml:space="preserve"> distraction</w:t>
            </w:r>
            <w:r>
              <w:rPr>
                <w:rFonts w:cstheme="minorHAnsi"/>
                <w:b/>
                <w:sz w:val="20"/>
                <w:szCs w:val="20"/>
                <w:lang w:val="en-US"/>
              </w:rPr>
              <w:t>,</w:t>
            </w:r>
            <w:r w:rsidRPr="00847554">
              <w:rPr>
                <w:rFonts w:cstheme="minorHAnsi"/>
                <w:b/>
                <w:sz w:val="20"/>
                <w:szCs w:val="20"/>
                <w:lang w:val="en-US"/>
              </w:rPr>
              <w:t xml:space="preserve"> safety</w:t>
            </w:r>
            <w:r>
              <w:rPr>
                <w:rFonts w:cstheme="minorHAnsi"/>
                <w:b/>
                <w:sz w:val="20"/>
                <w:szCs w:val="20"/>
                <w:lang w:val="en-US"/>
              </w:rPr>
              <w:t xml:space="preserve"> and accessibility, and</w:t>
            </w:r>
            <w:r w:rsidRPr="00847554">
              <w:rPr>
                <w:rFonts w:cstheme="minorHAnsi"/>
                <w:b/>
                <w:sz w:val="20"/>
                <w:szCs w:val="20"/>
                <w:lang w:val="en-US"/>
              </w:rPr>
              <w:t xml:space="preserve"> how this is regulated internationally</w:t>
            </w:r>
          </w:p>
        </w:tc>
        <w:tc>
          <w:tcPr>
            <w:tcW w:w="5665" w:type="dxa"/>
            <w:shd w:val="clear" w:color="auto" w:fill="B4FAFF" w:themeFill="accent2" w:themeFillTint="33"/>
          </w:tcPr>
          <w:p w14:paraId="10156160" w14:textId="77777777" w:rsidR="002E4AB0" w:rsidRPr="00847554" w:rsidRDefault="002E4AB0" w:rsidP="002A575C">
            <w:pPr>
              <w:spacing w:after="120"/>
              <w:rPr>
                <w:rFonts w:cstheme="minorHAnsi"/>
                <w:sz w:val="20"/>
                <w:szCs w:val="20"/>
                <w:lang w:val="en-US"/>
              </w:rPr>
            </w:pPr>
            <w:r w:rsidRPr="00847554">
              <w:rPr>
                <w:rFonts w:cstheme="minorHAnsi"/>
                <w:sz w:val="20"/>
                <w:szCs w:val="20"/>
                <w:lang w:val="en-US"/>
              </w:rPr>
              <w:t xml:space="preserve">This action would consider market and regulatory developments internationally in the area of sound and touch technologies for vehicles, including alerts/warnings communicated to </w:t>
            </w:r>
            <w:r>
              <w:rPr>
                <w:rFonts w:cstheme="minorHAnsi"/>
                <w:sz w:val="20"/>
                <w:szCs w:val="20"/>
                <w:lang w:val="en-US"/>
              </w:rPr>
              <w:t>vehicle occupants (including drivers),</w:t>
            </w:r>
            <w:r w:rsidRPr="00847554">
              <w:rPr>
                <w:rFonts w:cstheme="minorHAnsi"/>
                <w:sz w:val="20"/>
                <w:szCs w:val="20"/>
                <w:lang w:val="en-US"/>
              </w:rPr>
              <w:t xml:space="preserve"> from systems like C-ITS and cloud connected services and </w:t>
            </w:r>
            <w:r>
              <w:rPr>
                <w:rFonts w:cstheme="minorHAnsi"/>
                <w:sz w:val="20"/>
                <w:szCs w:val="20"/>
                <w:lang w:val="en-US"/>
              </w:rPr>
              <w:t xml:space="preserve">sound and </w:t>
            </w:r>
            <w:r w:rsidRPr="00847554">
              <w:rPr>
                <w:rFonts w:cstheme="minorHAnsi"/>
                <w:sz w:val="20"/>
                <w:szCs w:val="20"/>
                <w:lang w:val="en-US"/>
              </w:rPr>
              <w:t xml:space="preserve">haptic feedback (e.g. vibrations) when using </w:t>
            </w:r>
            <w:r>
              <w:rPr>
                <w:rFonts w:cstheme="minorHAnsi"/>
                <w:sz w:val="20"/>
                <w:szCs w:val="20"/>
                <w:lang w:val="en-US"/>
              </w:rPr>
              <w:t>systems</w:t>
            </w:r>
            <w:r w:rsidRPr="00847554">
              <w:rPr>
                <w:rFonts w:cstheme="minorHAnsi"/>
                <w:sz w:val="20"/>
                <w:szCs w:val="20"/>
                <w:lang w:val="en-US"/>
              </w:rPr>
              <w:t xml:space="preserve"> in the vehicle</w:t>
            </w:r>
            <w:r>
              <w:rPr>
                <w:rFonts w:cstheme="minorHAnsi"/>
                <w:sz w:val="20"/>
                <w:szCs w:val="20"/>
                <w:lang w:val="en-US"/>
              </w:rPr>
              <w:t>. It would consider the impact on vehicle occupant distraction, safety and accessibility (e.g. for older drivers and people with disability), and identify potential implications for the Australian environment</w:t>
            </w:r>
            <w:r w:rsidRPr="00847554">
              <w:rPr>
                <w:rFonts w:cstheme="minorHAnsi"/>
                <w:sz w:val="20"/>
                <w:szCs w:val="20"/>
                <w:lang w:val="en-US"/>
              </w:rPr>
              <w:t xml:space="preserve">. </w:t>
            </w:r>
          </w:p>
          <w:p w14:paraId="1F4563C3" w14:textId="5396C568" w:rsidR="002E4AB0" w:rsidRPr="0015692C" w:rsidRDefault="002E4AB0" w:rsidP="00F8678E">
            <w:pPr>
              <w:spacing w:after="360"/>
              <w:rPr>
                <w:rFonts w:cstheme="minorHAnsi"/>
                <w:sz w:val="20"/>
                <w:szCs w:val="20"/>
                <w:lang w:val="en-US"/>
              </w:rPr>
            </w:pPr>
            <w:r w:rsidRPr="00847554">
              <w:rPr>
                <w:sz w:val="20"/>
                <w:szCs w:val="20"/>
                <w:lang w:val="en-US"/>
              </w:rPr>
              <w:t xml:space="preserve">This work could build on the </w:t>
            </w:r>
            <w:r w:rsidR="005C62D3">
              <w:rPr>
                <w:sz w:val="20"/>
                <w:szCs w:val="20"/>
                <w:lang w:val="en-US"/>
              </w:rPr>
              <w:t xml:space="preserve">Queensland Department of Transport and Main Roads </w:t>
            </w:r>
            <w:r w:rsidRPr="00847554">
              <w:rPr>
                <w:sz w:val="20"/>
                <w:szCs w:val="20"/>
                <w:lang w:val="en-US"/>
              </w:rPr>
              <w:t>2019</w:t>
            </w:r>
            <w:r w:rsidRPr="00847554">
              <w:rPr>
                <w:color w:val="FF0000"/>
                <w:sz w:val="20"/>
                <w:szCs w:val="20"/>
                <w:lang w:val="en-US"/>
              </w:rPr>
              <w:t xml:space="preserve"> </w:t>
            </w:r>
            <w:hyperlink r:id="rId38" w:history="1">
              <w:r w:rsidRPr="00847554">
                <w:rPr>
                  <w:rStyle w:val="Hyperlink"/>
                  <w:sz w:val="20"/>
                  <w:szCs w:val="20"/>
                  <w:lang w:val="en-US"/>
                </w:rPr>
                <w:t>National Roadmap on Driver Distraction</w:t>
              </w:r>
            </w:hyperlink>
            <w:r w:rsidRPr="00847554">
              <w:rPr>
                <w:color w:val="FF0000"/>
                <w:sz w:val="20"/>
                <w:szCs w:val="20"/>
                <w:lang w:val="en-US"/>
              </w:rPr>
              <w:t xml:space="preserve"> </w:t>
            </w:r>
            <w:r w:rsidRPr="00847554">
              <w:rPr>
                <w:sz w:val="20"/>
                <w:szCs w:val="20"/>
                <w:lang w:val="en-US"/>
              </w:rPr>
              <w:t xml:space="preserve">which sets out </w:t>
            </w:r>
            <w:r w:rsidRPr="00847554">
              <w:rPr>
                <w:sz w:val="20"/>
                <w:szCs w:val="20"/>
              </w:rPr>
              <w:t>solutions/strategies to address the</w:t>
            </w:r>
            <w:r>
              <w:rPr>
                <w:sz w:val="20"/>
                <w:szCs w:val="20"/>
              </w:rPr>
              <w:t xml:space="preserve"> issue of </w:t>
            </w:r>
            <w:r w:rsidRPr="00847554">
              <w:rPr>
                <w:sz w:val="20"/>
                <w:szCs w:val="20"/>
              </w:rPr>
              <w:t>driver distraction including designing for safer interaction and lists</w:t>
            </w:r>
            <w:r>
              <w:rPr>
                <w:sz w:val="20"/>
                <w:szCs w:val="20"/>
              </w:rPr>
              <w:t xml:space="preserve"> </w:t>
            </w:r>
            <w:r w:rsidRPr="00847554">
              <w:rPr>
                <w:sz w:val="20"/>
                <w:szCs w:val="20"/>
              </w:rPr>
              <w:t>projects that could help implement the strategies including evaluating human machine interfaces, shaping vehicle design rules and working with OEMs on product roadmaps.</w:t>
            </w:r>
          </w:p>
        </w:tc>
        <w:tc>
          <w:tcPr>
            <w:tcW w:w="1618" w:type="dxa"/>
            <w:shd w:val="clear" w:color="auto" w:fill="B4FAFF" w:themeFill="accent2" w:themeFillTint="33"/>
          </w:tcPr>
          <w:p w14:paraId="4410F90B" w14:textId="77777777" w:rsidR="002E4AB0" w:rsidRPr="0015692C" w:rsidRDefault="002E4AB0" w:rsidP="002A575C">
            <w:pPr>
              <w:rPr>
                <w:sz w:val="20"/>
                <w:szCs w:val="20"/>
                <w:lang w:val="en-US"/>
              </w:rPr>
            </w:pPr>
            <w:r>
              <w:rPr>
                <w:sz w:val="20"/>
                <w:szCs w:val="20"/>
                <w:lang w:val="en-US"/>
              </w:rPr>
              <w:t xml:space="preserve">Commonwealth (lead), in consultation with </w:t>
            </w:r>
            <w:proofErr w:type="spellStart"/>
            <w:r>
              <w:rPr>
                <w:sz w:val="20"/>
                <w:szCs w:val="20"/>
                <w:lang w:val="en-US"/>
              </w:rPr>
              <w:t>Austroads</w:t>
            </w:r>
            <w:proofErr w:type="spellEnd"/>
            <w:r>
              <w:rPr>
                <w:sz w:val="20"/>
                <w:szCs w:val="20"/>
                <w:lang w:val="en-US"/>
              </w:rPr>
              <w:t>, states and territories</w:t>
            </w:r>
          </w:p>
        </w:tc>
        <w:tc>
          <w:tcPr>
            <w:tcW w:w="1215" w:type="dxa"/>
            <w:shd w:val="clear" w:color="auto" w:fill="B4FAFF" w:themeFill="accent2" w:themeFillTint="33"/>
          </w:tcPr>
          <w:p w14:paraId="5A2F0698" w14:textId="77777777" w:rsidR="002E4AB0" w:rsidRPr="0015692C" w:rsidRDefault="002E4AB0" w:rsidP="002A575C">
            <w:pPr>
              <w:rPr>
                <w:sz w:val="20"/>
                <w:szCs w:val="20"/>
                <w:lang w:val="en-US"/>
              </w:rPr>
            </w:pPr>
            <w:r>
              <w:rPr>
                <w:sz w:val="20"/>
                <w:szCs w:val="20"/>
                <w:lang w:val="en-US"/>
              </w:rPr>
              <w:t>2025</w:t>
            </w:r>
          </w:p>
        </w:tc>
        <w:tc>
          <w:tcPr>
            <w:tcW w:w="1510" w:type="dxa"/>
            <w:shd w:val="clear" w:color="auto" w:fill="B4FAFF" w:themeFill="accent2" w:themeFillTint="33"/>
          </w:tcPr>
          <w:p w14:paraId="591CC8C3" w14:textId="77777777" w:rsidR="002E4AB0" w:rsidRPr="0015692C" w:rsidRDefault="002E4AB0" w:rsidP="002A575C">
            <w:pPr>
              <w:rPr>
                <w:sz w:val="20"/>
                <w:szCs w:val="20"/>
                <w:lang w:val="en-US"/>
              </w:rPr>
            </w:pPr>
            <w:r>
              <w:rPr>
                <w:sz w:val="20"/>
                <w:szCs w:val="20"/>
                <w:lang w:val="en-US"/>
              </w:rPr>
              <w:t>Research and develop</w:t>
            </w:r>
          </w:p>
        </w:tc>
        <w:tc>
          <w:tcPr>
            <w:tcW w:w="1478" w:type="dxa"/>
            <w:shd w:val="clear" w:color="auto" w:fill="B4FAFF" w:themeFill="accent2" w:themeFillTint="33"/>
          </w:tcPr>
          <w:p w14:paraId="404ECEFC" w14:textId="77777777" w:rsidR="002E4AB0" w:rsidRPr="0015692C" w:rsidRDefault="002E4AB0" w:rsidP="002A575C">
            <w:pPr>
              <w:rPr>
                <w:sz w:val="20"/>
                <w:szCs w:val="20"/>
                <w:lang w:val="en-US"/>
              </w:rPr>
            </w:pPr>
            <w:r>
              <w:rPr>
                <w:sz w:val="20"/>
                <w:szCs w:val="20"/>
                <w:lang w:val="en-US"/>
              </w:rPr>
              <w:t>Technology and innovation</w:t>
            </w:r>
          </w:p>
        </w:tc>
      </w:tr>
      <w:tr w:rsidR="002E4AB0" w14:paraId="0FE63F12" w14:textId="77777777" w:rsidTr="002A575C">
        <w:tc>
          <w:tcPr>
            <w:tcW w:w="2968" w:type="dxa"/>
            <w:shd w:val="clear" w:color="auto" w:fill="69F5FF" w:themeFill="accent2" w:themeFillTint="66"/>
          </w:tcPr>
          <w:p w14:paraId="5DD3ADDC" w14:textId="77777777" w:rsidR="002E4AB0" w:rsidRDefault="002E4AB0" w:rsidP="002A575C">
            <w:pPr>
              <w:rPr>
                <w:b/>
                <w:sz w:val="20"/>
                <w:szCs w:val="20"/>
                <w:lang w:val="en-US"/>
              </w:rPr>
            </w:pPr>
            <w:r>
              <w:rPr>
                <w:b/>
                <w:sz w:val="20"/>
                <w:szCs w:val="20"/>
                <w:lang w:val="en-US"/>
              </w:rPr>
              <w:t xml:space="preserve">3.8 </w:t>
            </w:r>
            <w:r>
              <w:rPr>
                <w:b/>
                <w:bCs/>
                <w:color w:val="000000"/>
                <w:sz w:val="20"/>
                <w:szCs w:val="20"/>
                <w:lang w:val="en-US"/>
              </w:rPr>
              <w:t>Develop guidance for CAV vehicle manufacturers and deployers on making CAVs accessible</w:t>
            </w:r>
          </w:p>
        </w:tc>
        <w:tc>
          <w:tcPr>
            <w:tcW w:w="5665" w:type="dxa"/>
            <w:shd w:val="clear" w:color="auto" w:fill="B4FAFF" w:themeFill="accent2" w:themeFillTint="33"/>
          </w:tcPr>
          <w:p w14:paraId="1CC1B7F3" w14:textId="345672AE" w:rsidR="00EF741B" w:rsidRPr="00F8678E" w:rsidRDefault="002E4AB0" w:rsidP="00F8678E">
            <w:pPr>
              <w:spacing w:after="360"/>
              <w:rPr>
                <w:rFonts w:cstheme="minorHAnsi"/>
                <w:color w:val="000000"/>
                <w:sz w:val="20"/>
                <w:szCs w:val="20"/>
                <w:lang w:val="en-US"/>
              </w:rPr>
            </w:pPr>
            <w:r w:rsidRPr="00104202">
              <w:rPr>
                <w:rFonts w:cstheme="minorHAnsi"/>
                <w:color w:val="000000"/>
                <w:sz w:val="20"/>
                <w:szCs w:val="20"/>
                <w:lang w:val="en-US"/>
              </w:rPr>
              <w:t xml:space="preserve">This action would build on </w:t>
            </w:r>
            <w:proofErr w:type="spellStart"/>
            <w:r w:rsidRPr="00104202">
              <w:rPr>
                <w:rFonts w:cstheme="minorHAnsi"/>
                <w:color w:val="000000"/>
                <w:sz w:val="20"/>
                <w:szCs w:val="20"/>
              </w:rPr>
              <w:t>iMOVE</w:t>
            </w:r>
            <w:proofErr w:type="spellEnd"/>
            <w:r w:rsidRPr="00104202">
              <w:rPr>
                <w:rFonts w:cstheme="minorHAnsi"/>
                <w:color w:val="000000"/>
                <w:sz w:val="20"/>
                <w:szCs w:val="20"/>
              </w:rPr>
              <w:t xml:space="preserve"> research</w:t>
            </w:r>
            <w:r w:rsidRPr="00104202">
              <w:rPr>
                <w:rFonts w:cstheme="minorHAnsi"/>
                <w:color w:val="000000"/>
                <w:sz w:val="20"/>
                <w:szCs w:val="20"/>
                <w:lang w:val="en-US"/>
              </w:rPr>
              <w:t xml:space="preserve"> on CAV opportunities and barriers for people with disability.</w:t>
            </w:r>
            <w:r w:rsidR="005C60E8">
              <w:rPr>
                <w:rStyle w:val="FootnoteReference"/>
                <w:rFonts w:cstheme="minorHAnsi"/>
                <w:color w:val="000000"/>
                <w:sz w:val="20"/>
                <w:szCs w:val="20"/>
                <w:lang w:val="en-US"/>
              </w:rPr>
              <w:footnoteReference w:id="18"/>
            </w:r>
            <w:r w:rsidRPr="00104202">
              <w:rPr>
                <w:rFonts w:cstheme="minorHAnsi"/>
                <w:color w:val="000000"/>
                <w:sz w:val="20"/>
                <w:szCs w:val="20"/>
                <w:lang w:val="en-US"/>
              </w:rPr>
              <w:t xml:space="preserve"> </w:t>
            </w:r>
            <w:r w:rsidRPr="00104202">
              <w:rPr>
                <w:rFonts w:cstheme="minorHAnsi"/>
                <w:color w:val="000000"/>
                <w:sz w:val="20"/>
                <w:szCs w:val="20"/>
                <w:vertAlign w:val="superscript"/>
                <w:lang w:val="en-US"/>
              </w:rPr>
              <w:t xml:space="preserve"> </w:t>
            </w:r>
            <w:r w:rsidRPr="00104202">
              <w:rPr>
                <w:rFonts w:cstheme="minorHAnsi"/>
                <w:color w:val="000000"/>
                <w:sz w:val="20"/>
                <w:szCs w:val="20"/>
                <w:lang w:val="en-US"/>
              </w:rPr>
              <w:t xml:space="preserve">It would develop guidance to help developers and deployers of CAVs make their vehicles and services accessible. The guidance would address issues such as vehicle design, monitoring and direct assistance, the human machine interface and CAV operations. The action could also consider the outcomes of the </w:t>
            </w:r>
            <w:proofErr w:type="spellStart"/>
            <w:r w:rsidRPr="00104202">
              <w:rPr>
                <w:rFonts w:cstheme="minorHAnsi"/>
                <w:color w:val="000000"/>
                <w:sz w:val="20"/>
                <w:szCs w:val="20"/>
              </w:rPr>
              <w:t>iMOVE</w:t>
            </w:r>
            <w:proofErr w:type="spellEnd"/>
            <w:r w:rsidRPr="00104202">
              <w:rPr>
                <w:rFonts w:cstheme="minorHAnsi"/>
                <w:color w:val="000000"/>
                <w:sz w:val="20"/>
                <w:szCs w:val="20"/>
              </w:rPr>
              <w:t xml:space="preserve"> project</w:t>
            </w:r>
            <w:r w:rsidRPr="00104202">
              <w:rPr>
                <w:rFonts w:cstheme="minorHAnsi"/>
                <w:color w:val="000000"/>
                <w:sz w:val="20"/>
                <w:szCs w:val="20"/>
                <w:lang w:val="en-US"/>
              </w:rPr>
              <w:t xml:space="preserve"> looking at perceptions of ADAS and AVs in older adults, including their interactions with currently available technologies and the extent to which ADAS and AVs can improve older driver safety and</w:t>
            </w:r>
            <w:r w:rsidRPr="00CD218B">
              <w:rPr>
                <w:rFonts w:cstheme="minorHAnsi"/>
                <w:color w:val="000000"/>
                <w:sz w:val="20"/>
                <w:szCs w:val="20"/>
                <w:lang w:val="en-US"/>
              </w:rPr>
              <w:t xml:space="preserve"> mobility</w:t>
            </w:r>
            <w:r w:rsidRPr="00BE1715">
              <w:rPr>
                <w:rFonts w:cstheme="minorHAnsi"/>
                <w:color w:val="000000"/>
                <w:sz w:val="20"/>
                <w:szCs w:val="20"/>
                <w:lang w:val="en-US"/>
              </w:rPr>
              <w:t>.</w:t>
            </w:r>
            <w:r w:rsidR="005C60E8">
              <w:rPr>
                <w:rStyle w:val="FootnoteReference"/>
                <w:rFonts w:cstheme="minorHAnsi"/>
                <w:color w:val="000000"/>
                <w:sz w:val="20"/>
                <w:szCs w:val="20"/>
                <w:lang w:val="en-US"/>
              </w:rPr>
              <w:footnoteReference w:id="19"/>
            </w:r>
            <w:r w:rsidRPr="00104202">
              <w:rPr>
                <w:rFonts w:cstheme="minorHAnsi"/>
                <w:color w:val="000000"/>
                <w:sz w:val="20"/>
                <w:szCs w:val="20"/>
                <w:lang w:val="en-US"/>
              </w:rPr>
              <w:t> </w:t>
            </w:r>
          </w:p>
        </w:tc>
        <w:tc>
          <w:tcPr>
            <w:tcW w:w="1618" w:type="dxa"/>
            <w:shd w:val="clear" w:color="auto" w:fill="B4FAFF" w:themeFill="accent2" w:themeFillTint="33"/>
          </w:tcPr>
          <w:p w14:paraId="4EBAB5C0" w14:textId="77777777" w:rsidR="002E4AB0" w:rsidRDefault="002E4AB0" w:rsidP="002A575C">
            <w:pPr>
              <w:rPr>
                <w:sz w:val="20"/>
                <w:szCs w:val="20"/>
                <w:lang w:val="en-US"/>
              </w:rPr>
            </w:pPr>
            <w:r>
              <w:rPr>
                <w:sz w:val="20"/>
                <w:szCs w:val="20"/>
                <w:lang w:val="en-US"/>
              </w:rPr>
              <w:t>Commonwealth (lead), in consultation with the states and territories</w:t>
            </w:r>
          </w:p>
        </w:tc>
        <w:tc>
          <w:tcPr>
            <w:tcW w:w="1215" w:type="dxa"/>
            <w:shd w:val="clear" w:color="auto" w:fill="B4FAFF" w:themeFill="accent2" w:themeFillTint="33"/>
          </w:tcPr>
          <w:p w14:paraId="6BDB63BC" w14:textId="77777777" w:rsidR="002E4AB0" w:rsidRDefault="002E4AB0" w:rsidP="002A575C">
            <w:pPr>
              <w:rPr>
                <w:sz w:val="20"/>
                <w:szCs w:val="20"/>
                <w:lang w:val="en-US"/>
              </w:rPr>
            </w:pPr>
            <w:r>
              <w:rPr>
                <w:sz w:val="20"/>
                <w:szCs w:val="20"/>
                <w:lang w:val="en-US"/>
              </w:rPr>
              <w:t>2024-2025</w:t>
            </w:r>
          </w:p>
        </w:tc>
        <w:tc>
          <w:tcPr>
            <w:tcW w:w="1510" w:type="dxa"/>
            <w:shd w:val="clear" w:color="auto" w:fill="B4FAFF" w:themeFill="accent2" w:themeFillTint="33"/>
          </w:tcPr>
          <w:p w14:paraId="5A8E0D18" w14:textId="77777777" w:rsidR="002E4AB0" w:rsidRDefault="002E4AB0" w:rsidP="002A575C">
            <w:pPr>
              <w:rPr>
                <w:sz w:val="20"/>
                <w:szCs w:val="20"/>
                <w:lang w:val="en-US"/>
              </w:rPr>
            </w:pPr>
            <w:r>
              <w:rPr>
                <w:sz w:val="20"/>
                <w:szCs w:val="20"/>
                <w:lang w:val="en-US"/>
              </w:rPr>
              <w:t>Prepare to deploy</w:t>
            </w:r>
          </w:p>
        </w:tc>
        <w:tc>
          <w:tcPr>
            <w:tcW w:w="1478" w:type="dxa"/>
            <w:shd w:val="clear" w:color="auto" w:fill="B4FAFF" w:themeFill="accent2" w:themeFillTint="33"/>
          </w:tcPr>
          <w:p w14:paraId="16993DD8" w14:textId="77777777" w:rsidR="002E4AB0" w:rsidRDefault="002E4AB0" w:rsidP="002A575C">
            <w:pPr>
              <w:rPr>
                <w:sz w:val="20"/>
                <w:szCs w:val="20"/>
                <w:lang w:val="en-US"/>
              </w:rPr>
            </w:pPr>
            <w:r>
              <w:rPr>
                <w:sz w:val="20"/>
                <w:szCs w:val="20"/>
                <w:lang w:val="en-US"/>
              </w:rPr>
              <w:t>Policy and legislation</w:t>
            </w:r>
          </w:p>
        </w:tc>
      </w:tr>
      <w:tr w:rsidR="002E4AB0" w14:paraId="0F61D808" w14:textId="77777777" w:rsidTr="002A575C">
        <w:tc>
          <w:tcPr>
            <w:tcW w:w="2968" w:type="dxa"/>
            <w:shd w:val="clear" w:color="auto" w:fill="69F5FF" w:themeFill="accent2" w:themeFillTint="66"/>
          </w:tcPr>
          <w:p w14:paraId="0F0E407A" w14:textId="441EF256" w:rsidR="002E4AB0" w:rsidRPr="00756862" w:rsidRDefault="002E4AB0" w:rsidP="002A575C">
            <w:pPr>
              <w:rPr>
                <w:b/>
                <w:sz w:val="20"/>
                <w:szCs w:val="20"/>
                <w:lang w:val="en-US"/>
              </w:rPr>
            </w:pPr>
            <w:r>
              <w:rPr>
                <w:b/>
                <w:sz w:val="20"/>
                <w:szCs w:val="20"/>
                <w:lang w:val="en-US"/>
              </w:rPr>
              <w:lastRenderedPageBreak/>
              <w:t>3.9 Identify the workforce impacts of CAVs over the next 5</w:t>
            </w:r>
            <w:r w:rsidR="00D96F2C">
              <w:rPr>
                <w:b/>
                <w:sz w:val="20"/>
                <w:szCs w:val="20"/>
                <w:lang w:val="en-US"/>
              </w:rPr>
              <w:noBreakHyphen/>
            </w:r>
            <w:r>
              <w:rPr>
                <w:b/>
                <w:sz w:val="20"/>
                <w:szCs w:val="20"/>
                <w:lang w:val="en-US"/>
              </w:rPr>
              <w:t>10 years, including the key disrupted and emerging occupations; and the skills, training and education needs for the CAV impacted and emerging CAV workforce</w:t>
            </w:r>
          </w:p>
        </w:tc>
        <w:tc>
          <w:tcPr>
            <w:tcW w:w="5666" w:type="dxa"/>
            <w:shd w:val="clear" w:color="auto" w:fill="B4FAFF" w:themeFill="accent2" w:themeFillTint="33"/>
          </w:tcPr>
          <w:p w14:paraId="30CC3EDF" w14:textId="77777777" w:rsidR="002E4AB0" w:rsidRPr="00611FB7" w:rsidRDefault="002E4AB0" w:rsidP="00EF741B">
            <w:pPr>
              <w:spacing w:after="120"/>
              <w:rPr>
                <w:sz w:val="20"/>
                <w:szCs w:val="20"/>
              </w:rPr>
            </w:pPr>
            <w:r w:rsidRPr="00756862">
              <w:rPr>
                <w:rFonts w:cstheme="minorHAnsi"/>
                <w:sz w:val="20"/>
                <w:szCs w:val="20"/>
                <w:lang w:val="en-US"/>
              </w:rPr>
              <w:t xml:space="preserve">This action would </w:t>
            </w:r>
            <w:r>
              <w:rPr>
                <w:sz w:val="20"/>
                <w:szCs w:val="20"/>
                <w:lang w:val="en-US"/>
              </w:rPr>
              <w:t xml:space="preserve">identify the workforce impacts of CAVs (considering both the connectivity and automation elements) over the next 5-10 years, including the </w:t>
            </w:r>
            <w:r>
              <w:rPr>
                <w:sz w:val="20"/>
                <w:szCs w:val="20"/>
              </w:rPr>
              <w:t xml:space="preserve">key disrupted occupations and need for reskilling, and the emerging occupations and needs of a future CAV workforce (e.g. CAV technology development, deployment, operations and maintenance). </w:t>
            </w:r>
            <w:r>
              <w:rPr>
                <w:sz w:val="20"/>
                <w:szCs w:val="20"/>
                <w:lang w:val="en-US"/>
              </w:rPr>
              <w:t xml:space="preserve">It would consider the skills, training and education requirements to support reskilling and the emerging CAV workforce </w:t>
            </w:r>
            <w:r w:rsidRPr="00756862">
              <w:rPr>
                <w:rFonts w:cstheme="minorHAnsi"/>
                <w:sz w:val="20"/>
                <w:szCs w:val="20"/>
                <w:lang w:val="en-US"/>
              </w:rPr>
              <w:t xml:space="preserve">(workforce capability is a key driver of CAV industry investment and deployment decisions). It would build on </w:t>
            </w:r>
            <w:proofErr w:type="spellStart"/>
            <w:r w:rsidRPr="00756862">
              <w:rPr>
                <w:rFonts w:cstheme="minorHAnsi"/>
                <w:sz w:val="20"/>
                <w:szCs w:val="20"/>
                <w:lang w:val="en-US"/>
              </w:rPr>
              <w:t>iMOVE</w:t>
            </w:r>
            <w:proofErr w:type="spellEnd"/>
            <w:r w:rsidRPr="00756862">
              <w:rPr>
                <w:rFonts w:cstheme="minorHAnsi"/>
                <w:sz w:val="20"/>
                <w:szCs w:val="20"/>
                <w:lang w:val="en-US"/>
              </w:rPr>
              <w:t xml:space="preserve"> research</w:t>
            </w:r>
            <w:r w:rsidRPr="00756862">
              <w:rPr>
                <w:rStyle w:val="FootnoteReference"/>
                <w:rFonts w:cstheme="minorHAnsi"/>
                <w:sz w:val="20"/>
                <w:szCs w:val="20"/>
                <w:lang w:val="en-US"/>
              </w:rPr>
              <w:footnoteReference w:id="20"/>
            </w:r>
            <w:r w:rsidRPr="00756862">
              <w:rPr>
                <w:sz w:val="20"/>
                <w:szCs w:val="20"/>
                <w:lang w:val="en-US"/>
              </w:rPr>
              <w:t xml:space="preserve"> on workforce implications of transport </w:t>
            </w:r>
            <w:proofErr w:type="spellStart"/>
            <w:r w:rsidRPr="00756862">
              <w:rPr>
                <w:sz w:val="20"/>
                <w:szCs w:val="20"/>
                <w:lang w:val="en-US"/>
              </w:rPr>
              <w:t>digitalisation</w:t>
            </w:r>
            <w:proofErr w:type="spellEnd"/>
            <w:r w:rsidRPr="00756862">
              <w:rPr>
                <w:sz w:val="20"/>
                <w:szCs w:val="20"/>
                <w:lang w:val="en-US"/>
              </w:rPr>
              <w:t xml:space="preserve"> and automation. </w:t>
            </w:r>
          </w:p>
        </w:tc>
        <w:tc>
          <w:tcPr>
            <w:tcW w:w="1618" w:type="dxa"/>
            <w:shd w:val="clear" w:color="auto" w:fill="B4FAFF" w:themeFill="accent2" w:themeFillTint="33"/>
          </w:tcPr>
          <w:p w14:paraId="2694AD7B" w14:textId="77777777" w:rsidR="002E4AB0" w:rsidRPr="00756862" w:rsidRDefault="002E4AB0" w:rsidP="002A575C">
            <w:pPr>
              <w:rPr>
                <w:sz w:val="20"/>
                <w:szCs w:val="20"/>
                <w:lang w:val="en-US"/>
              </w:rPr>
            </w:pPr>
            <w:r>
              <w:rPr>
                <w:sz w:val="20"/>
                <w:szCs w:val="20"/>
                <w:lang w:val="en-US"/>
              </w:rPr>
              <w:t>Commonwealth (lead)</w:t>
            </w:r>
            <w:r w:rsidRPr="00756862">
              <w:rPr>
                <w:sz w:val="20"/>
                <w:szCs w:val="20"/>
                <w:lang w:val="en-US"/>
              </w:rPr>
              <w:t>,</w:t>
            </w:r>
            <w:r>
              <w:rPr>
                <w:sz w:val="20"/>
                <w:szCs w:val="20"/>
                <w:lang w:val="en-US"/>
              </w:rPr>
              <w:t xml:space="preserve"> in consultation with</w:t>
            </w:r>
            <w:r w:rsidRPr="00756862">
              <w:rPr>
                <w:sz w:val="20"/>
                <w:szCs w:val="20"/>
                <w:lang w:val="en-US"/>
              </w:rPr>
              <w:t xml:space="preserve"> </w:t>
            </w:r>
            <w:r>
              <w:rPr>
                <w:sz w:val="20"/>
                <w:szCs w:val="20"/>
                <w:lang w:val="en-US"/>
              </w:rPr>
              <w:t xml:space="preserve">the </w:t>
            </w:r>
            <w:r w:rsidRPr="00756862">
              <w:rPr>
                <w:sz w:val="20"/>
                <w:szCs w:val="20"/>
                <w:lang w:val="en-US"/>
              </w:rPr>
              <w:t>states and territories</w:t>
            </w:r>
          </w:p>
        </w:tc>
        <w:tc>
          <w:tcPr>
            <w:tcW w:w="1215" w:type="dxa"/>
            <w:shd w:val="clear" w:color="auto" w:fill="B4FAFF" w:themeFill="accent2" w:themeFillTint="33"/>
          </w:tcPr>
          <w:p w14:paraId="30D01190" w14:textId="77777777" w:rsidR="002E4AB0" w:rsidRPr="00756862" w:rsidRDefault="002E4AB0" w:rsidP="002A575C">
            <w:pPr>
              <w:rPr>
                <w:sz w:val="20"/>
                <w:szCs w:val="20"/>
                <w:lang w:val="en-US"/>
              </w:rPr>
            </w:pPr>
            <w:r w:rsidRPr="00756862">
              <w:rPr>
                <w:sz w:val="20"/>
                <w:szCs w:val="20"/>
                <w:lang w:val="en-US"/>
              </w:rPr>
              <w:t>2024-20</w:t>
            </w:r>
            <w:r>
              <w:rPr>
                <w:sz w:val="20"/>
                <w:szCs w:val="20"/>
                <w:lang w:val="en-US"/>
              </w:rPr>
              <w:t>25</w:t>
            </w:r>
          </w:p>
        </w:tc>
        <w:tc>
          <w:tcPr>
            <w:tcW w:w="1509" w:type="dxa"/>
            <w:shd w:val="clear" w:color="auto" w:fill="B4FAFF" w:themeFill="accent2" w:themeFillTint="33"/>
          </w:tcPr>
          <w:p w14:paraId="393E9EE6" w14:textId="77777777" w:rsidR="002E4AB0" w:rsidRPr="00756862" w:rsidRDefault="002E4AB0" w:rsidP="002A575C">
            <w:pPr>
              <w:rPr>
                <w:sz w:val="20"/>
                <w:szCs w:val="20"/>
                <w:lang w:val="en-US"/>
              </w:rPr>
            </w:pPr>
            <w:r w:rsidRPr="00756862">
              <w:rPr>
                <w:sz w:val="20"/>
                <w:szCs w:val="20"/>
                <w:lang w:val="en-US"/>
              </w:rPr>
              <w:t>Prepare to deploy</w:t>
            </w:r>
          </w:p>
        </w:tc>
        <w:tc>
          <w:tcPr>
            <w:tcW w:w="1478" w:type="dxa"/>
            <w:shd w:val="clear" w:color="auto" w:fill="B4FAFF" w:themeFill="accent2" w:themeFillTint="33"/>
          </w:tcPr>
          <w:p w14:paraId="3262B260" w14:textId="77777777" w:rsidR="002E4AB0" w:rsidRPr="00756862" w:rsidRDefault="002E4AB0" w:rsidP="002A575C">
            <w:pPr>
              <w:rPr>
                <w:sz w:val="20"/>
                <w:szCs w:val="20"/>
                <w:lang w:val="en-US"/>
              </w:rPr>
            </w:pPr>
            <w:r w:rsidRPr="00756862">
              <w:rPr>
                <w:sz w:val="20"/>
                <w:szCs w:val="20"/>
                <w:lang w:val="en-US"/>
              </w:rPr>
              <w:t>Business and community acceptance</w:t>
            </w:r>
          </w:p>
        </w:tc>
      </w:tr>
      <w:tr w:rsidR="002E4AB0" w14:paraId="05AA2E7E" w14:textId="77777777" w:rsidTr="002A575C">
        <w:tc>
          <w:tcPr>
            <w:tcW w:w="2968" w:type="dxa"/>
            <w:shd w:val="clear" w:color="auto" w:fill="69F5FF" w:themeFill="accent2" w:themeFillTint="66"/>
          </w:tcPr>
          <w:p w14:paraId="37A96580" w14:textId="77777777" w:rsidR="002E4AB0" w:rsidRPr="0015692C" w:rsidRDefault="002E4AB0" w:rsidP="002A575C">
            <w:pPr>
              <w:rPr>
                <w:b/>
                <w:sz w:val="20"/>
                <w:szCs w:val="20"/>
                <w:lang w:val="en-US"/>
              </w:rPr>
            </w:pPr>
            <w:r>
              <w:rPr>
                <w:b/>
                <w:sz w:val="20"/>
                <w:szCs w:val="20"/>
                <w:lang w:val="en-US"/>
              </w:rPr>
              <w:t xml:space="preserve">3.10 </w:t>
            </w:r>
            <w:r w:rsidRPr="00847554">
              <w:rPr>
                <w:rFonts w:cstheme="minorHAnsi"/>
                <w:b/>
                <w:sz w:val="20"/>
                <w:szCs w:val="20"/>
                <w:lang w:val="en-US"/>
              </w:rPr>
              <w:t>Investigate whether there is a role for national coordination of Mobility as a Service (</w:t>
            </w:r>
            <w:proofErr w:type="spellStart"/>
            <w:r w:rsidRPr="00847554">
              <w:rPr>
                <w:rFonts w:cstheme="minorHAnsi"/>
                <w:b/>
                <w:sz w:val="20"/>
                <w:szCs w:val="20"/>
                <w:lang w:val="en-US"/>
              </w:rPr>
              <w:t>MaaS</w:t>
            </w:r>
            <w:proofErr w:type="spellEnd"/>
            <w:r w:rsidRPr="00847554">
              <w:rPr>
                <w:rFonts w:cstheme="minorHAnsi"/>
                <w:b/>
                <w:sz w:val="20"/>
                <w:szCs w:val="20"/>
                <w:lang w:val="en-US"/>
              </w:rPr>
              <w:t>) implementation</w:t>
            </w:r>
            <w:r>
              <w:rPr>
                <w:rFonts w:cstheme="minorHAnsi"/>
                <w:b/>
                <w:sz w:val="20"/>
                <w:szCs w:val="20"/>
                <w:lang w:val="en-US"/>
              </w:rPr>
              <w:t xml:space="preserve"> in Australia</w:t>
            </w:r>
          </w:p>
        </w:tc>
        <w:tc>
          <w:tcPr>
            <w:tcW w:w="5666" w:type="dxa"/>
            <w:shd w:val="clear" w:color="auto" w:fill="B4FAFF" w:themeFill="accent2" w:themeFillTint="33"/>
          </w:tcPr>
          <w:p w14:paraId="78A7BAFC" w14:textId="77777777" w:rsidR="002E4AB0" w:rsidRPr="0015692C" w:rsidRDefault="002E4AB0" w:rsidP="00EF741B">
            <w:pPr>
              <w:spacing w:after="120"/>
              <w:rPr>
                <w:rFonts w:cstheme="minorHAnsi"/>
                <w:sz w:val="20"/>
                <w:szCs w:val="20"/>
                <w:lang w:val="en-US"/>
              </w:rPr>
            </w:pPr>
            <w:r w:rsidRPr="00847554">
              <w:rPr>
                <w:rFonts w:cstheme="minorHAnsi"/>
                <w:sz w:val="20"/>
                <w:szCs w:val="20"/>
                <w:lang w:val="en-US"/>
              </w:rPr>
              <w:t xml:space="preserve">This action would look at whether there is a need for national coordination of </w:t>
            </w:r>
            <w:proofErr w:type="spellStart"/>
            <w:r w:rsidRPr="00847554">
              <w:rPr>
                <w:rFonts w:cstheme="minorHAnsi"/>
                <w:sz w:val="20"/>
                <w:szCs w:val="20"/>
                <w:lang w:val="en-US"/>
              </w:rPr>
              <w:t>MaaS</w:t>
            </w:r>
            <w:proofErr w:type="spellEnd"/>
            <w:r w:rsidRPr="00847554">
              <w:rPr>
                <w:rFonts w:cstheme="minorHAnsi"/>
                <w:sz w:val="20"/>
                <w:szCs w:val="20"/>
                <w:lang w:val="en-US"/>
              </w:rPr>
              <w:t xml:space="preserve">. </w:t>
            </w:r>
            <w:proofErr w:type="spellStart"/>
            <w:r>
              <w:rPr>
                <w:rFonts w:cstheme="minorHAnsi"/>
                <w:sz w:val="20"/>
                <w:szCs w:val="20"/>
                <w:lang w:val="en-US"/>
              </w:rPr>
              <w:t>MaaS</w:t>
            </w:r>
            <w:proofErr w:type="spellEnd"/>
            <w:r w:rsidRPr="00847554">
              <w:rPr>
                <w:rFonts w:cstheme="minorHAnsi"/>
                <w:sz w:val="20"/>
                <w:szCs w:val="20"/>
                <w:lang w:val="en-US"/>
              </w:rPr>
              <w:t xml:space="preserve"> has </w:t>
            </w:r>
            <w:r>
              <w:rPr>
                <w:rFonts w:cstheme="minorHAnsi"/>
                <w:sz w:val="20"/>
                <w:szCs w:val="20"/>
                <w:lang w:val="en-US"/>
              </w:rPr>
              <w:t xml:space="preserve">traditionally </w:t>
            </w:r>
            <w:r w:rsidRPr="00847554">
              <w:rPr>
                <w:rFonts w:cstheme="minorHAnsi"/>
                <w:sz w:val="20"/>
                <w:szCs w:val="20"/>
                <w:lang w:val="en-US"/>
              </w:rPr>
              <w:t>been a state and territory issue</w:t>
            </w:r>
            <w:r>
              <w:rPr>
                <w:rFonts w:cstheme="minorHAnsi"/>
                <w:sz w:val="20"/>
                <w:szCs w:val="20"/>
                <w:lang w:val="en-US"/>
              </w:rPr>
              <w:t>,</w:t>
            </w:r>
            <w:r w:rsidRPr="00847554">
              <w:rPr>
                <w:rFonts w:cstheme="minorHAnsi"/>
                <w:sz w:val="20"/>
                <w:szCs w:val="20"/>
                <w:lang w:val="en-US"/>
              </w:rPr>
              <w:t xml:space="preserve"> linked to public transport ticketing systems which are bespoke and not interoperable. NSW and QLD are trialing </w:t>
            </w:r>
            <w:proofErr w:type="spellStart"/>
            <w:r w:rsidRPr="00847554">
              <w:rPr>
                <w:rFonts w:cstheme="minorHAnsi"/>
                <w:sz w:val="20"/>
                <w:szCs w:val="20"/>
                <w:lang w:val="en-US"/>
              </w:rPr>
              <w:t>MaaS</w:t>
            </w:r>
            <w:proofErr w:type="spellEnd"/>
            <w:r w:rsidRPr="00847554">
              <w:rPr>
                <w:rFonts w:cstheme="minorHAnsi"/>
                <w:sz w:val="20"/>
                <w:szCs w:val="20"/>
                <w:lang w:val="en-US"/>
              </w:rPr>
              <w:t xml:space="preserve"> platforms that include transport options like taxis, rideshare and e-scooters as well as public transport.</w:t>
            </w:r>
            <w:r w:rsidRPr="00847554">
              <w:rPr>
                <w:rStyle w:val="FootnoteReference"/>
                <w:rFonts w:cstheme="minorHAnsi"/>
                <w:sz w:val="20"/>
                <w:szCs w:val="20"/>
                <w:lang w:val="en-US"/>
              </w:rPr>
              <w:footnoteReference w:id="21"/>
            </w:r>
            <w:r w:rsidRPr="00847554">
              <w:rPr>
                <w:rFonts w:cstheme="minorHAnsi"/>
                <w:sz w:val="20"/>
                <w:szCs w:val="20"/>
                <w:lang w:val="en-US"/>
              </w:rPr>
              <w:t xml:space="preserve">  This action could</w:t>
            </w:r>
            <w:r>
              <w:rPr>
                <w:rFonts w:cstheme="minorHAnsi"/>
                <w:sz w:val="20"/>
                <w:szCs w:val="20"/>
                <w:lang w:val="en-US"/>
              </w:rPr>
              <w:t xml:space="preserve"> also</w:t>
            </w:r>
            <w:r w:rsidRPr="00847554">
              <w:rPr>
                <w:rFonts w:cstheme="minorHAnsi"/>
                <w:sz w:val="20"/>
                <w:szCs w:val="20"/>
                <w:lang w:val="en-US"/>
              </w:rPr>
              <w:t xml:space="preserve"> consider if there is a technological solution that would enable a national approach to </w:t>
            </w:r>
            <w:proofErr w:type="spellStart"/>
            <w:r w:rsidRPr="00847554">
              <w:rPr>
                <w:rFonts w:cstheme="minorHAnsi"/>
                <w:sz w:val="20"/>
                <w:szCs w:val="20"/>
                <w:lang w:val="en-US"/>
              </w:rPr>
              <w:t>MaaS</w:t>
            </w:r>
            <w:proofErr w:type="spellEnd"/>
            <w:r w:rsidRPr="00847554">
              <w:rPr>
                <w:rFonts w:cstheme="minorHAnsi"/>
                <w:sz w:val="20"/>
                <w:szCs w:val="20"/>
                <w:lang w:val="en-US"/>
              </w:rPr>
              <w:t xml:space="preserve">. </w:t>
            </w:r>
          </w:p>
        </w:tc>
        <w:tc>
          <w:tcPr>
            <w:tcW w:w="1618" w:type="dxa"/>
            <w:shd w:val="clear" w:color="auto" w:fill="B4FAFF" w:themeFill="accent2" w:themeFillTint="33"/>
          </w:tcPr>
          <w:p w14:paraId="55BD4D6E" w14:textId="77777777" w:rsidR="002E4AB0" w:rsidRPr="0015692C" w:rsidRDefault="002E4AB0" w:rsidP="002A575C">
            <w:pPr>
              <w:rPr>
                <w:sz w:val="20"/>
                <w:szCs w:val="20"/>
                <w:lang w:val="en-US"/>
              </w:rPr>
            </w:pPr>
            <w:r w:rsidRPr="00847554">
              <w:rPr>
                <w:rFonts w:cstheme="minorHAnsi"/>
                <w:sz w:val="20"/>
                <w:szCs w:val="20"/>
                <w:lang w:val="en-US"/>
              </w:rPr>
              <w:t xml:space="preserve">Commonwealth (lead), in consultation with </w:t>
            </w:r>
            <w:r>
              <w:rPr>
                <w:rFonts w:cstheme="minorHAnsi"/>
                <w:sz w:val="20"/>
                <w:szCs w:val="20"/>
                <w:lang w:val="en-US"/>
              </w:rPr>
              <w:t xml:space="preserve">the </w:t>
            </w:r>
            <w:r w:rsidRPr="00847554">
              <w:rPr>
                <w:rFonts w:cstheme="minorHAnsi"/>
                <w:sz w:val="20"/>
                <w:szCs w:val="20"/>
                <w:lang w:val="en-US"/>
              </w:rPr>
              <w:t>states and territories</w:t>
            </w:r>
          </w:p>
        </w:tc>
        <w:tc>
          <w:tcPr>
            <w:tcW w:w="1215" w:type="dxa"/>
            <w:shd w:val="clear" w:color="auto" w:fill="B4FAFF" w:themeFill="accent2" w:themeFillTint="33"/>
          </w:tcPr>
          <w:p w14:paraId="5A5066C7" w14:textId="77777777" w:rsidR="002E4AB0" w:rsidRPr="0015692C" w:rsidRDefault="002E4AB0" w:rsidP="002A575C">
            <w:pPr>
              <w:rPr>
                <w:sz w:val="20"/>
                <w:szCs w:val="20"/>
                <w:lang w:val="en-US"/>
              </w:rPr>
            </w:pPr>
            <w:r>
              <w:rPr>
                <w:sz w:val="20"/>
                <w:szCs w:val="20"/>
                <w:lang w:val="en-US"/>
              </w:rPr>
              <w:t>2025</w:t>
            </w:r>
          </w:p>
        </w:tc>
        <w:tc>
          <w:tcPr>
            <w:tcW w:w="1509" w:type="dxa"/>
            <w:shd w:val="clear" w:color="auto" w:fill="B4FAFF" w:themeFill="accent2" w:themeFillTint="33"/>
          </w:tcPr>
          <w:p w14:paraId="5983B6C2" w14:textId="77777777" w:rsidR="002E4AB0" w:rsidRPr="0015692C" w:rsidRDefault="002E4AB0" w:rsidP="002A575C">
            <w:pPr>
              <w:rPr>
                <w:sz w:val="20"/>
                <w:szCs w:val="20"/>
                <w:lang w:val="en-US"/>
              </w:rPr>
            </w:pPr>
            <w:r>
              <w:rPr>
                <w:sz w:val="20"/>
                <w:szCs w:val="20"/>
                <w:lang w:val="en-US"/>
              </w:rPr>
              <w:t>Prepare to deploy</w:t>
            </w:r>
          </w:p>
        </w:tc>
        <w:tc>
          <w:tcPr>
            <w:tcW w:w="1478" w:type="dxa"/>
            <w:shd w:val="clear" w:color="auto" w:fill="B4FAFF" w:themeFill="accent2" w:themeFillTint="33"/>
          </w:tcPr>
          <w:p w14:paraId="2D0721D8" w14:textId="77777777" w:rsidR="002E4AB0" w:rsidRPr="0015692C" w:rsidRDefault="002E4AB0" w:rsidP="002A575C">
            <w:pPr>
              <w:rPr>
                <w:sz w:val="20"/>
                <w:szCs w:val="20"/>
                <w:lang w:val="en-US"/>
              </w:rPr>
            </w:pPr>
            <w:r>
              <w:rPr>
                <w:sz w:val="20"/>
                <w:szCs w:val="20"/>
                <w:lang w:val="en-US"/>
              </w:rPr>
              <w:t>Business and community acceptance</w:t>
            </w:r>
          </w:p>
        </w:tc>
      </w:tr>
      <w:tr w:rsidR="002E4AB0" w14:paraId="1C4EC965" w14:textId="77777777" w:rsidTr="002A575C">
        <w:tc>
          <w:tcPr>
            <w:tcW w:w="2968" w:type="dxa"/>
            <w:shd w:val="clear" w:color="auto" w:fill="69F5FF" w:themeFill="accent2" w:themeFillTint="66"/>
          </w:tcPr>
          <w:p w14:paraId="6CC65523" w14:textId="77777777" w:rsidR="002E4AB0" w:rsidRPr="006428E5" w:rsidRDefault="002E4AB0" w:rsidP="002A575C">
            <w:pPr>
              <w:rPr>
                <w:b/>
                <w:sz w:val="20"/>
                <w:szCs w:val="20"/>
                <w:lang w:val="en-US"/>
              </w:rPr>
            </w:pPr>
            <w:r w:rsidRPr="007A31C7">
              <w:rPr>
                <w:b/>
                <w:sz w:val="20"/>
                <w:szCs w:val="20"/>
                <w:lang w:val="en-US"/>
              </w:rPr>
              <w:t>3.1</w:t>
            </w:r>
            <w:r>
              <w:rPr>
                <w:b/>
                <w:sz w:val="20"/>
                <w:szCs w:val="20"/>
                <w:lang w:val="en-US"/>
              </w:rPr>
              <w:t>1</w:t>
            </w:r>
            <w:r w:rsidRPr="007A31C7">
              <w:rPr>
                <w:b/>
                <w:sz w:val="20"/>
                <w:szCs w:val="20"/>
                <w:lang w:val="en-US"/>
              </w:rPr>
              <w:t xml:space="preserve"> Identify potential strategies for reducing greenhouse gas emissions from road transport through the optimal deployment of CAVs, including C-ITS, across the technology lifecycle</w:t>
            </w:r>
          </w:p>
          <w:p w14:paraId="0FBD16DB" w14:textId="77777777" w:rsidR="002E4AB0" w:rsidRPr="006428E5" w:rsidRDefault="002E4AB0" w:rsidP="002A575C">
            <w:pPr>
              <w:rPr>
                <w:b/>
                <w:sz w:val="20"/>
                <w:szCs w:val="20"/>
                <w:lang w:val="en-US"/>
              </w:rPr>
            </w:pPr>
          </w:p>
        </w:tc>
        <w:tc>
          <w:tcPr>
            <w:tcW w:w="5666" w:type="dxa"/>
            <w:shd w:val="clear" w:color="auto" w:fill="B4FAFF" w:themeFill="accent2" w:themeFillTint="33"/>
          </w:tcPr>
          <w:p w14:paraId="64227BD7" w14:textId="77777777" w:rsidR="002E4AB0" w:rsidRPr="00847554" w:rsidRDefault="002E4AB0" w:rsidP="00EF741B">
            <w:pPr>
              <w:spacing w:after="120"/>
              <w:rPr>
                <w:rFonts w:cstheme="minorHAnsi"/>
                <w:sz w:val="20"/>
                <w:szCs w:val="20"/>
                <w:lang w:val="en-US"/>
              </w:rPr>
            </w:pPr>
            <w:r>
              <w:rPr>
                <w:rFonts w:cstheme="minorHAnsi"/>
                <w:sz w:val="20"/>
                <w:szCs w:val="20"/>
                <w:lang w:val="en-US"/>
              </w:rPr>
              <w:t xml:space="preserve">This action would look at potential strategies to </w:t>
            </w:r>
            <w:proofErr w:type="spellStart"/>
            <w:r>
              <w:rPr>
                <w:rFonts w:cstheme="minorHAnsi"/>
                <w:sz w:val="20"/>
                <w:szCs w:val="20"/>
                <w:lang w:val="en-US"/>
              </w:rPr>
              <w:t>maximise</w:t>
            </w:r>
            <w:proofErr w:type="spellEnd"/>
            <w:r>
              <w:rPr>
                <w:rFonts w:cstheme="minorHAnsi"/>
                <w:sz w:val="20"/>
                <w:szCs w:val="20"/>
                <w:lang w:val="en-US"/>
              </w:rPr>
              <w:t xml:space="preserve"> the greenhouse gas emission reduction benefits of road transport technologies, including CAVs and </w:t>
            </w:r>
            <w:proofErr w:type="spellStart"/>
            <w:r>
              <w:rPr>
                <w:rFonts w:cstheme="minorHAnsi"/>
                <w:sz w:val="20"/>
                <w:szCs w:val="20"/>
                <w:lang w:val="en-US"/>
              </w:rPr>
              <w:t>MaaS</w:t>
            </w:r>
            <w:proofErr w:type="spellEnd"/>
            <w:r>
              <w:rPr>
                <w:rFonts w:cstheme="minorHAnsi"/>
                <w:sz w:val="20"/>
                <w:szCs w:val="20"/>
                <w:lang w:val="en-US"/>
              </w:rPr>
              <w:t xml:space="preserve">, separate from electric vehicle uptake. It would help inform development of policies and regulations, and investment in supporting systems, by considering ways to </w:t>
            </w:r>
            <w:proofErr w:type="spellStart"/>
            <w:r>
              <w:rPr>
                <w:rFonts w:cstheme="minorHAnsi"/>
                <w:sz w:val="20"/>
                <w:szCs w:val="20"/>
                <w:lang w:val="en-US"/>
              </w:rPr>
              <w:t>maximise</w:t>
            </w:r>
            <w:proofErr w:type="spellEnd"/>
            <w:r>
              <w:rPr>
                <w:rFonts w:cstheme="minorHAnsi"/>
                <w:sz w:val="20"/>
                <w:szCs w:val="20"/>
                <w:lang w:val="en-US"/>
              </w:rPr>
              <w:t xml:space="preserve"> emissions reductions through design, deployment, operation and management of CAVs, including C-ITS. This would include consideration of end of life decommissioning and recycling. Note, this action would be subject to </w:t>
            </w:r>
            <w:proofErr w:type="spellStart"/>
            <w:r>
              <w:rPr>
                <w:rFonts w:cstheme="minorHAnsi"/>
                <w:sz w:val="20"/>
                <w:szCs w:val="20"/>
                <w:lang w:val="en-US"/>
              </w:rPr>
              <w:t>Austroads</w:t>
            </w:r>
            <w:proofErr w:type="spellEnd"/>
            <w:r>
              <w:rPr>
                <w:rFonts w:cstheme="minorHAnsi"/>
                <w:sz w:val="20"/>
                <w:szCs w:val="20"/>
                <w:lang w:val="en-US"/>
              </w:rPr>
              <w:t xml:space="preserve"> Board approval.</w:t>
            </w:r>
          </w:p>
        </w:tc>
        <w:tc>
          <w:tcPr>
            <w:tcW w:w="1618" w:type="dxa"/>
            <w:shd w:val="clear" w:color="auto" w:fill="B4FAFF" w:themeFill="accent2" w:themeFillTint="33"/>
          </w:tcPr>
          <w:p w14:paraId="19F5CE5C" w14:textId="77777777" w:rsidR="002E4AB0" w:rsidRPr="00847554" w:rsidRDefault="002E4AB0" w:rsidP="002A575C">
            <w:pPr>
              <w:rPr>
                <w:rFonts w:cstheme="minorHAnsi"/>
                <w:sz w:val="20"/>
                <w:szCs w:val="20"/>
                <w:lang w:val="en-US"/>
              </w:rPr>
            </w:pPr>
            <w:proofErr w:type="spellStart"/>
            <w:r>
              <w:rPr>
                <w:rFonts w:cstheme="minorHAnsi"/>
                <w:sz w:val="20"/>
                <w:szCs w:val="20"/>
                <w:lang w:val="en-US"/>
              </w:rPr>
              <w:t>Austroads</w:t>
            </w:r>
            <w:proofErr w:type="spellEnd"/>
            <w:r>
              <w:rPr>
                <w:rFonts w:cstheme="minorHAnsi"/>
                <w:sz w:val="20"/>
                <w:szCs w:val="20"/>
                <w:lang w:val="en-US"/>
              </w:rPr>
              <w:t xml:space="preserve"> (lead), in consultation with the Commonwealth, states and territories</w:t>
            </w:r>
          </w:p>
        </w:tc>
        <w:tc>
          <w:tcPr>
            <w:tcW w:w="1215" w:type="dxa"/>
            <w:shd w:val="clear" w:color="auto" w:fill="B4FAFF" w:themeFill="accent2" w:themeFillTint="33"/>
          </w:tcPr>
          <w:p w14:paraId="05FA5E71" w14:textId="77777777" w:rsidR="002E4AB0" w:rsidRDefault="002E4AB0" w:rsidP="002A575C">
            <w:pPr>
              <w:rPr>
                <w:sz w:val="20"/>
                <w:szCs w:val="20"/>
                <w:lang w:val="en-US"/>
              </w:rPr>
            </w:pPr>
            <w:r>
              <w:rPr>
                <w:sz w:val="20"/>
                <w:szCs w:val="20"/>
                <w:lang w:val="en-US"/>
              </w:rPr>
              <w:t>2024-2026</w:t>
            </w:r>
          </w:p>
        </w:tc>
        <w:tc>
          <w:tcPr>
            <w:tcW w:w="1509" w:type="dxa"/>
            <w:shd w:val="clear" w:color="auto" w:fill="B4FAFF" w:themeFill="accent2" w:themeFillTint="33"/>
          </w:tcPr>
          <w:p w14:paraId="7105BF4F" w14:textId="77777777" w:rsidR="002E4AB0" w:rsidRDefault="002E4AB0" w:rsidP="002A575C">
            <w:pPr>
              <w:rPr>
                <w:sz w:val="20"/>
                <w:szCs w:val="20"/>
                <w:lang w:val="en-US"/>
              </w:rPr>
            </w:pPr>
            <w:r>
              <w:rPr>
                <w:sz w:val="20"/>
                <w:szCs w:val="20"/>
                <w:lang w:val="en-US"/>
              </w:rPr>
              <w:t>Research and develop</w:t>
            </w:r>
          </w:p>
        </w:tc>
        <w:tc>
          <w:tcPr>
            <w:tcW w:w="1478" w:type="dxa"/>
            <w:shd w:val="clear" w:color="auto" w:fill="B4FAFF" w:themeFill="accent2" w:themeFillTint="33"/>
          </w:tcPr>
          <w:p w14:paraId="048924A0" w14:textId="77777777" w:rsidR="002E4AB0" w:rsidRDefault="002E4AB0" w:rsidP="002A575C">
            <w:pPr>
              <w:rPr>
                <w:sz w:val="20"/>
                <w:szCs w:val="20"/>
                <w:lang w:val="en-US"/>
              </w:rPr>
            </w:pPr>
            <w:r>
              <w:rPr>
                <w:sz w:val="20"/>
                <w:szCs w:val="20"/>
                <w:lang w:val="en-US"/>
              </w:rPr>
              <w:t>Technology and innovation</w:t>
            </w:r>
          </w:p>
        </w:tc>
      </w:tr>
    </w:tbl>
    <w:p w14:paraId="1590F52C" w14:textId="77777777" w:rsidR="00151C39" w:rsidRPr="00311D9A" w:rsidRDefault="00151C39" w:rsidP="00EF741B">
      <w:pPr>
        <w:rPr>
          <w:lang w:val="en-US"/>
        </w:rPr>
      </w:pPr>
    </w:p>
    <w:sectPr w:rsidR="00151C39" w:rsidRPr="00311D9A" w:rsidSect="00E20AD6">
      <w:pgSz w:w="16838" w:h="11906" w:orient="landscape" w:code="9"/>
      <w:pgMar w:top="851" w:right="1021" w:bottom="85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C30D3" w14:textId="77777777" w:rsidR="00EB4B25" w:rsidRDefault="00EB4B25" w:rsidP="008456D5">
      <w:pPr>
        <w:spacing w:before="0" w:after="0"/>
      </w:pPr>
      <w:r>
        <w:separator/>
      </w:r>
    </w:p>
  </w:endnote>
  <w:endnote w:type="continuationSeparator" w:id="0">
    <w:p w14:paraId="6B6DB1DF" w14:textId="77777777" w:rsidR="00EB4B25" w:rsidRDefault="00EB4B2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E2E9" w14:textId="77777777" w:rsidR="002A575C" w:rsidRDefault="002A575C" w:rsidP="00E50D64">
    <w:pPr>
      <w:pStyle w:val="Footer"/>
      <w:spacing w:before="720"/>
      <w:jc w:val="right"/>
    </w:pPr>
    <w:r>
      <w:rPr>
        <w:noProof/>
        <w:lang w:eastAsia="en-AU"/>
      </w:rPr>
      <mc:AlternateContent>
        <mc:Choice Requires="wps">
          <w:drawing>
            <wp:inline distT="0" distB="0" distL="0" distR="0" wp14:anchorId="5C56807D" wp14:editId="7D8C26A1">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5CEA775" w14:textId="395215F5" w:rsidR="002A575C" w:rsidRPr="007A05BE" w:rsidRDefault="002A575C"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3536B">
                            <w:rPr>
                              <w:rStyle w:val="PageNumber"/>
                              <w:noProof/>
                            </w:rPr>
                            <w:t>19</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5C56807D"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5CEA775" w14:textId="395215F5" w:rsidR="002A575C" w:rsidRPr="007A05BE" w:rsidRDefault="002A575C"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3536B">
                      <w:rPr>
                        <w:rStyle w:val="PageNumber"/>
                        <w:noProof/>
                      </w:rPr>
                      <w:t>19</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04B2EBEC" wp14:editId="65875D8D">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BB57A45" w14:textId="6FAE2182" w:rsidR="002A575C" w:rsidRDefault="004B785C" w:rsidP="00E50D64">
                              <w:pPr>
                                <w:pStyle w:val="Footer"/>
                              </w:pPr>
                              <w:r>
                                <w:t>2024-27 National Connected and Automated Vehicle CAV) Action Plan – draft for public consultation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 w14:anchorId="04B2EBEC" id="Text Box 18" o:spid="_x0000_s1027"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BB57A45" w14:textId="6FAE2182" w:rsidR="002A575C" w:rsidRDefault="004B785C" w:rsidP="00E50D64">
                        <w:pPr>
                          <w:pStyle w:val="Footer"/>
                        </w:pPr>
                        <w:r>
                          <w:t>2024-27 National Connected and Automated Vehicle CAV) Action Plan – draft for public consultation</w:t>
                        </w:r>
                      </w:p>
                    </w:sdtContent>
                  </w:sdt>
                </w:txbxContent>
              </v:textbox>
              <w10:anchorlock/>
            </v:shape>
          </w:pict>
        </mc:Fallback>
      </mc:AlternateContent>
    </w:r>
    <w:r>
      <w:rPr>
        <w:noProof/>
        <w:lang w:eastAsia="en-AU"/>
      </w:rPr>
      <w:drawing>
        <wp:inline distT="0" distB="0" distL="0" distR="0" wp14:anchorId="3B7214A2" wp14:editId="0E7A4A61">
          <wp:extent cx="10692000" cy="183240"/>
          <wp:effectExtent l="0" t="0" r="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65D7" w14:textId="77777777" w:rsidR="002A575C" w:rsidRDefault="002A575C" w:rsidP="00546218">
    <w:pPr>
      <w:pStyle w:val="Footer"/>
      <w:spacing w:before="720"/>
    </w:pPr>
    <w:r>
      <w:rPr>
        <w:noProof/>
        <w:lang w:eastAsia="en-AU"/>
      </w:rPr>
      <mc:AlternateContent>
        <mc:Choice Requires="wps">
          <w:drawing>
            <wp:inline distT="0" distB="0" distL="0" distR="0" wp14:anchorId="4C6BE3F4" wp14:editId="5E69C3D2">
              <wp:extent cx="1007640" cy="539640"/>
              <wp:effectExtent l="0" t="0" r="0" b="0"/>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55F1A8F" w14:textId="3B0CD5B5" w:rsidR="002A575C" w:rsidRPr="007A05BE" w:rsidRDefault="002A575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D31CB">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inline>
          </w:drawing>
        </mc:Choice>
        <mc:Fallback>
          <w:pict>
            <v:shapetype w14:anchorId="4C6BE3F4" id="_x0000_t202" coordsize="21600,21600" o:spt="202" path="m,l,21600r21600,l21600,xe">
              <v:stroke joinstyle="miter"/>
              <v:path gradientshapeok="t" o:connecttype="rect"/>
            </v:shapetype>
            <v:shape id="Text Box 4" o:spid="_x0000_s1028" type="#_x0000_t202" style="width:79.35pt;height:4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455F1A8F" w14:textId="3B0CD5B5" w:rsidR="002A575C" w:rsidRPr="007A05BE" w:rsidRDefault="002A575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D31CB">
                      <w:rPr>
                        <w:rStyle w:val="PageNumber"/>
                        <w:noProof/>
                      </w:rPr>
                      <w:t>2</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57FDE7A1" wp14:editId="421C1FDE">
              <wp:extent cx="4320000" cy="539640"/>
              <wp:effectExtent l="0" t="0" r="0" b="0"/>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1FDB5982" w14:textId="20B1DA37" w:rsidR="002A575C" w:rsidRDefault="004B785C" w:rsidP="007A05BE">
                              <w:pPr>
                                <w:pStyle w:val="Footer"/>
                                <w:jc w:val="right"/>
                              </w:pPr>
                              <w:r>
                                <w:t>2024-27 National Connected and Automated Vehicle CAV) Action Plan – draft for public consultation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inline>
          </w:drawing>
        </mc:Choice>
        <mc:Fallback>
          <w:pict>
            <v:shape w14:anchorId="57FDE7A1" id="Text Box 3" o:spid="_x0000_s1029" type="#_x0000_t202" style="width:340.15pt;height:4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1FDB5982" w14:textId="20B1DA37" w:rsidR="002A575C" w:rsidRDefault="004B785C" w:rsidP="007A05BE">
                        <w:pPr>
                          <w:pStyle w:val="Footer"/>
                          <w:jc w:val="right"/>
                        </w:pPr>
                        <w:r>
                          <w:t>2024-27 National Connected and Automated Vehicle CAV) Action Plan – draft for public consultation</w:t>
                        </w:r>
                      </w:p>
                    </w:sdtContent>
                  </w:sdt>
                </w:txbxContent>
              </v:textbox>
              <w10:anchorlock/>
            </v:shape>
          </w:pict>
        </mc:Fallback>
      </mc:AlternateContent>
    </w:r>
    <w:r>
      <w:rPr>
        <w:noProof/>
        <w:lang w:eastAsia="en-AU"/>
      </w:rPr>
      <w:drawing>
        <wp:inline distT="0" distB="0" distL="0" distR="0" wp14:anchorId="57335D11" wp14:editId="1D7A1F09">
          <wp:extent cx="10692000" cy="183240"/>
          <wp:effectExtent l="0" t="0" r="0" b="7620"/>
          <wp:docPr id="9" name="Picture 9" descr="Decorate 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020653"/>
      <w:docPartObj>
        <w:docPartGallery w:val="Page Numbers (Bottom of Page)"/>
        <w:docPartUnique/>
      </w:docPartObj>
    </w:sdtPr>
    <w:sdtEndPr>
      <w:rPr>
        <w:noProof/>
        <w:sz w:val="20"/>
        <w:szCs w:val="20"/>
      </w:rPr>
    </w:sdtEndPr>
    <w:sdtContent>
      <w:p w14:paraId="6DF39170" w14:textId="790961E6" w:rsidR="004B785C" w:rsidRPr="00D31A3C" w:rsidRDefault="004B785C">
        <w:pPr>
          <w:pStyle w:val="Footer"/>
          <w:jc w:val="right"/>
          <w:rPr>
            <w:sz w:val="20"/>
            <w:szCs w:val="20"/>
          </w:rPr>
        </w:pPr>
        <w:r w:rsidRPr="00D31A3C">
          <w:rPr>
            <w:sz w:val="20"/>
            <w:szCs w:val="20"/>
          </w:rPr>
          <w:fldChar w:fldCharType="begin"/>
        </w:r>
        <w:r w:rsidRPr="00D31A3C">
          <w:rPr>
            <w:sz w:val="20"/>
            <w:szCs w:val="20"/>
          </w:rPr>
          <w:instrText xml:space="preserve"> PAGE   \* MERGEFORMAT </w:instrText>
        </w:r>
        <w:r w:rsidRPr="00D31A3C">
          <w:rPr>
            <w:sz w:val="20"/>
            <w:szCs w:val="20"/>
          </w:rPr>
          <w:fldChar w:fldCharType="separate"/>
        </w:r>
        <w:r w:rsidR="00FD31CB">
          <w:rPr>
            <w:noProof/>
            <w:sz w:val="20"/>
            <w:szCs w:val="20"/>
          </w:rPr>
          <w:t>1</w:t>
        </w:r>
        <w:r w:rsidRPr="00D31A3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229411"/>
      <w:docPartObj>
        <w:docPartGallery w:val="Page Numbers (Bottom of Page)"/>
        <w:docPartUnique/>
      </w:docPartObj>
    </w:sdtPr>
    <w:sdtEndPr>
      <w:rPr>
        <w:noProof/>
      </w:rPr>
    </w:sdtEndPr>
    <w:sdtContent>
      <w:p w14:paraId="24647951" w14:textId="6BAC5436" w:rsidR="004B785C" w:rsidRDefault="004B785C">
        <w:pPr>
          <w:pStyle w:val="Footer"/>
          <w:jc w:val="right"/>
        </w:pPr>
        <w:r w:rsidRPr="00CB3719">
          <w:rPr>
            <w:sz w:val="20"/>
            <w:szCs w:val="20"/>
          </w:rPr>
          <w:fldChar w:fldCharType="begin"/>
        </w:r>
        <w:r w:rsidRPr="00CB3719">
          <w:rPr>
            <w:sz w:val="20"/>
            <w:szCs w:val="20"/>
          </w:rPr>
          <w:instrText xml:space="preserve"> PAGE   \* MERGEFORMAT </w:instrText>
        </w:r>
        <w:r w:rsidRPr="00CB3719">
          <w:rPr>
            <w:sz w:val="20"/>
            <w:szCs w:val="20"/>
          </w:rPr>
          <w:fldChar w:fldCharType="separate"/>
        </w:r>
        <w:r w:rsidR="00FD31CB">
          <w:rPr>
            <w:noProof/>
            <w:sz w:val="20"/>
            <w:szCs w:val="20"/>
          </w:rPr>
          <w:t>2</w:t>
        </w:r>
        <w:r w:rsidRPr="00CB3719">
          <w:rPr>
            <w:noProof/>
            <w:sz w:val="20"/>
            <w:szCs w:val="20"/>
          </w:rPr>
          <w:fldChar w:fldCharType="end"/>
        </w:r>
      </w:p>
    </w:sdtContent>
  </w:sdt>
  <w:p w14:paraId="1959175B" w14:textId="74C5DDAF" w:rsidR="002A575C" w:rsidRPr="003F0E07" w:rsidRDefault="004B785C" w:rsidP="003F0E07">
    <w:pPr>
      <w:jc w:val="center"/>
      <w:rPr>
        <w:b/>
        <w:color w:val="auto"/>
      </w:rPr>
    </w:pPr>
    <w:r w:rsidRPr="003F0E07">
      <w:rPr>
        <w:b/>
        <w:color w:val="auto"/>
      </w:rPr>
      <w:t>OFFICIAL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4037" w14:textId="77777777" w:rsidR="002A575C" w:rsidRDefault="002A575C" w:rsidP="00BA24FB">
    <w:pPr>
      <w:pStyle w:val="Footer"/>
      <w:spacing w:before="360"/>
    </w:pPr>
  </w:p>
  <w:p w14:paraId="1B426802" w14:textId="77777777" w:rsidR="002A575C" w:rsidRDefault="00DA4A9F" w:rsidP="00BA24FB">
    <w:pPr>
      <w:pStyle w:val="SecurityMarker"/>
    </w:pPr>
    <w:sdt>
      <w:sdtPr>
        <w:alias w:val="Status"/>
        <w:tag w:val=""/>
        <w:id w:val="-1420637097"/>
        <w:placeholder>
          <w:docPart w:val="1ABC3CC3C3D44FEB80ED93676154033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A575C">
          <w:t>OFFICIAL</w:t>
        </w:r>
      </w:sdtContent>
    </w:sdt>
    <w:r w:rsidR="002A575C">
      <w:rPr>
        <w:noProof/>
        <w:lang w:eastAsia="en-AU"/>
      </w:rPr>
      <mc:AlternateContent>
        <mc:Choice Requires="wps">
          <w:drawing>
            <wp:inline distT="0" distB="0" distL="0" distR="0" wp14:anchorId="06952F6F" wp14:editId="76100A31">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E2D44B6" w14:textId="160AD3D8" w:rsidR="002A575C" w:rsidRDefault="002A575C"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3536B">
                            <w:rPr>
                              <w:rStyle w:val="PageNumber"/>
                              <w:noProof/>
                            </w:rPr>
                            <w:t>19</w:t>
                          </w:r>
                          <w:r w:rsidRPr="007A05BE">
                            <w:rPr>
                              <w:rStyle w:val="PageNumber"/>
                            </w:rPr>
                            <w:fldChar w:fldCharType="end"/>
                          </w:r>
                        </w:p>
                        <w:p w14:paraId="09B1DFA6" w14:textId="77777777" w:rsidR="002A575C" w:rsidRPr="00077FE0" w:rsidRDefault="002A575C"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06952F6F" id="_x0000_t202" coordsize="21600,21600" o:spt="202" path="m,l,21600r21600,l21600,xe">
              <v:stroke joinstyle="miter"/>
              <v:path gradientshapeok="t" o:connecttype="rect"/>
            </v:shapetype>
            <v:shape id="Text Box 10" o:spid="_x0000_s1030"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" filled="f" stroked="f" strokeweight=".5pt">
              <v:textbox inset="0,0,18mm,7mm">
                <w:txbxContent>
                  <w:p w14:paraId="5E2D44B6" w14:textId="160AD3D8" w:rsidR="002A575C" w:rsidRDefault="002A575C"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3536B">
                      <w:rPr>
                        <w:rStyle w:val="PageNumber"/>
                        <w:noProof/>
                      </w:rPr>
                      <w:t>19</w:t>
                    </w:r>
                    <w:r w:rsidRPr="007A05BE">
                      <w:rPr>
                        <w:rStyle w:val="PageNumber"/>
                      </w:rPr>
                      <w:fldChar w:fldCharType="end"/>
                    </w:r>
                  </w:p>
                  <w:p w14:paraId="09B1DFA6" w14:textId="77777777" w:rsidR="002A575C" w:rsidRPr="00077FE0" w:rsidRDefault="002A575C" w:rsidP="00BA24FB">
                    <w:pPr>
                      <w:pStyle w:val="SecurityMarker"/>
                      <w:jc w:val="right"/>
                      <w:rPr>
                        <w:color w:val="FFFFFF" w:themeColor="background1"/>
                      </w:rPr>
                    </w:pPr>
                  </w:p>
                </w:txbxContent>
              </v:textbox>
              <w10:anchorlock/>
            </v:shape>
          </w:pict>
        </mc:Fallback>
      </mc:AlternateContent>
    </w:r>
    <w:r w:rsidR="002A575C">
      <w:rPr>
        <w:noProof/>
        <w:lang w:eastAsia="en-AU"/>
      </w:rPr>
      <mc:AlternateContent>
        <mc:Choice Requires="wps">
          <w:drawing>
            <wp:inline distT="0" distB="0" distL="0" distR="0" wp14:anchorId="2DBF63BC" wp14:editId="73A66AB3">
              <wp:extent cx="4320000" cy="720000"/>
              <wp:effectExtent l="0" t="0" r="0" b="0"/>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5BA3602E" w14:textId="30CFD21E" w:rsidR="002A575C" w:rsidRPr="00097369" w:rsidRDefault="004B785C" w:rsidP="00BA24FB">
                              <w:pPr>
                                <w:pStyle w:val="Footer"/>
                                <w:jc w:val="right"/>
                              </w:pPr>
                              <w:r>
                                <w:t>2024-27 National Connected and Automated Vehicle CAV) Action Plan – draft for public consultation</w:t>
                              </w:r>
                            </w:p>
                          </w:sdtContent>
                        </w:sdt>
                        <w:p w14:paraId="25ADA705" w14:textId="77777777" w:rsidR="002A575C" w:rsidRPr="00077FE0" w:rsidRDefault="002A575C"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inline>
          </w:drawing>
        </mc:Choice>
        <mc:Fallback>
          <w:pict>
            <v:shape w14:anchorId="2DBF63BC" id="Text Box 20" o:spid="_x0000_s1031" type="#_x0000_t202" style="width:340.1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xKhA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Ci7bxK&#10;hAIAABQFAAAOAAAAAAAAAAAAAAAAAC4CAABkcnMvZTJvRG9jLnhtbFBLAQItABQABgAIAAAAIQCL&#10;R7wP3AAAAAUBAAAPAAAAAAAAAAAAAAAAAN4EAABkcnMvZG93bnJldi54bWxQSwUGAAAAAAQABADz&#10;AAAA5wUAAAAA&#10;" filled="f" stroked="f" strokeweight=".5pt">
              <v:textbox inset="0,0,28mm,7mm">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5BA3602E" w14:textId="30CFD21E" w:rsidR="002A575C" w:rsidRPr="00097369" w:rsidRDefault="004B785C" w:rsidP="00BA24FB">
                        <w:pPr>
                          <w:pStyle w:val="Footer"/>
                          <w:jc w:val="right"/>
                        </w:pPr>
                        <w:r>
                          <w:t>2024-27 National Connected and Automated Vehicle CAV) Action Plan – draft for public consultation</w:t>
                        </w:r>
                      </w:p>
                    </w:sdtContent>
                  </w:sdt>
                  <w:p w14:paraId="25ADA705" w14:textId="77777777" w:rsidR="002A575C" w:rsidRPr="00077FE0" w:rsidRDefault="002A575C" w:rsidP="00BA24FB">
                    <w:pPr>
                      <w:pStyle w:val="SecurityMarker"/>
                      <w:jc w:val="right"/>
                      <w:rPr>
                        <w:color w:val="FFFFFF" w:themeColor="background1"/>
                      </w:rPr>
                    </w:pPr>
                  </w:p>
                </w:txbxContent>
              </v:textbox>
              <w10:anchorlock/>
            </v:shape>
          </w:pict>
        </mc:Fallback>
      </mc:AlternateContent>
    </w:r>
    <w:r w:rsidR="002A575C">
      <w:rPr>
        <w:noProof/>
        <w:lang w:eastAsia="en-AU"/>
      </w:rPr>
      <w:drawing>
        <wp:inline distT="0" distB="0" distL="0" distR="0" wp14:anchorId="21E8D408" wp14:editId="1D6C5C91">
          <wp:extent cx="10692000" cy="183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E083D" w14:textId="77777777" w:rsidR="00EB4B25" w:rsidRPr="005912BE" w:rsidRDefault="00EB4B25" w:rsidP="005912BE">
      <w:pPr>
        <w:spacing w:before="300"/>
        <w:rPr>
          <w:color w:val="008089" w:themeColor="accent2"/>
        </w:rPr>
      </w:pPr>
      <w:r w:rsidRPr="004063DE">
        <w:rPr>
          <w:color w:val="004044" w:themeColor="accent2" w:themeShade="80"/>
        </w:rPr>
        <w:t>----------</w:t>
      </w:r>
    </w:p>
  </w:footnote>
  <w:footnote w:type="continuationSeparator" w:id="0">
    <w:p w14:paraId="21AC0C9F" w14:textId="77777777" w:rsidR="00EB4B25" w:rsidRDefault="00EB4B25" w:rsidP="008456D5">
      <w:pPr>
        <w:spacing w:before="0" w:after="0"/>
      </w:pPr>
      <w:r>
        <w:continuationSeparator/>
      </w:r>
    </w:p>
  </w:footnote>
  <w:footnote w:id="1">
    <w:p w14:paraId="106D800E" w14:textId="37DACC46"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1" w:history="1">
        <w:r w:rsidRPr="00DA3925">
          <w:rPr>
            <w:rStyle w:val="Hyperlink"/>
            <w:szCs w:val="18"/>
          </w:rPr>
          <w:t>16th ITMM Communique 11 February 2022 (infrastructure.gov.au)</w:t>
        </w:r>
      </w:hyperlink>
    </w:p>
  </w:footnote>
  <w:footnote w:id="2">
    <w:p w14:paraId="53D646B7" w14:textId="5FDB74FE"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2" w:history="1">
        <w:r w:rsidRPr="00DA3925">
          <w:rPr>
            <w:rStyle w:val="Hyperlink"/>
            <w:szCs w:val="18"/>
          </w:rPr>
          <w:t>First supply and in-service automated vehicle law | Department of Infrastructure, Transport, Regional Development, Communications and the Arts</w:t>
        </w:r>
      </w:hyperlink>
    </w:p>
  </w:footnote>
  <w:footnote w:id="3">
    <w:p w14:paraId="5E63CC12" w14:textId="01240CC5"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3" w:history="1">
        <w:r w:rsidRPr="00DA3925">
          <w:rPr>
            <w:rStyle w:val="Hyperlink"/>
            <w:szCs w:val="18"/>
          </w:rPr>
          <w:t>Radiocommunications (Intelligent Transport Systems) Class Licence 2017 (legislation.gov.au)</w:t>
        </w:r>
      </w:hyperlink>
    </w:p>
  </w:footnote>
  <w:footnote w:id="4">
    <w:p w14:paraId="3598B677" w14:textId="5F0A8289"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4" w:history="1">
        <w:r w:rsidRPr="00DA3925">
          <w:rPr>
            <w:rStyle w:val="Hyperlink"/>
            <w:szCs w:val="18"/>
          </w:rPr>
          <w:t>WSP Report – Advice on Strategies to Support C-ITS in Australia | Department of Infrastructure, Transport, Regional Development, Communications and the Arts</w:t>
        </w:r>
      </w:hyperlink>
    </w:p>
  </w:footnote>
  <w:footnote w:id="5">
    <w:p w14:paraId="3E9CCA99" w14:textId="77777777"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r w:rsidRPr="00DA3925">
        <w:rPr>
          <w:szCs w:val="18"/>
          <w:highlight w:val="cyan"/>
        </w:rPr>
        <w:t xml:space="preserve">Note Principles not yet endorsed by governments – </w:t>
      </w:r>
      <w:r w:rsidRPr="00DA3925">
        <w:rPr>
          <w:szCs w:val="18"/>
          <w:highlight w:val="cyan"/>
          <w:lang w:val="en-US"/>
        </w:rPr>
        <w:t>Link to Principles once published]</w:t>
      </w:r>
    </w:p>
  </w:footnote>
  <w:footnote w:id="6">
    <w:p w14:paraId="2015217B" w14:textId="313E989D"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5" w:history="1">
        <w:r w:rsidRPr="00DA3925">
          <w:rPr>
            <w:rStyle w:val="Hyperlink"/>
            <w:szCs w:val="18"/>
          </w:rPr>
          <w:t>What C-ITS technologies for national deployment in Australia? (imoveaustralia.com)</w:t>
        </w:r>
      </w:hyperlink>
      <w:r w:rsidRPr="00DA3925">
        <w:rPr>
          <w:rStyle w:val="Hyperlink"/>
          <w:szCs w:val="18"/>
          <w:lang w:val="en-US"/>
        </w:rPr>
        <w:t xml:space="preserve"> </w:t>
      </w:r>
      <w:r w:rsidRPr="00DA3925">
        <w:rPr>
          <w:rStyle w:val="Hyperlink"/>
          <w:color w:val="auto"/>
          <w:szCs w:val="18"/>
          <w:lang w:val="en-US"/>
        </w:rPr>
        <w:t>[</w:t>
      </w:r>
      <w:r w:rsidRPr="00DA3925">
        <w:rPr>
          <w:rStyle w:val="Hyperlink"/>
          <w:color w:val="auto"/>
          <w:szCs w:val="18"/>
          <w:highlight w:val="cyan"/>
          <w:lang w:val="en-US"/>
        </w:rPr>
        <w:t>Note project underway – Link to report when published</w:t>
      </w:r>
      <w:r w:rsidRPr="00DA3925">
        <w:rPr>
          <w:rStyle w:val="Hyperlink"/>
          <w:color w:val="auto"/>
          <w:szCs w:val="18"/>
          <w:lang w:val="en-US"/>
        </w:rPr>
        <w:t>]</w:t>
      </w:r>
    </w:p>
  </w:footnote>
  <w:footnote w:id="7">
    <w:p w14:paraId="65B2339D" w14:textId="24FA26F2"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6" w:history="1">
        <w:r w:rsidRPr="00DA3925">
          <w:rPr>
            <w:rStyle w:val="Hyperlink"/>
            <w:szCs w:val="18"/>
          </w:rPr>
          <w:t>Guidelines for trials of automated vehicles in Australia 2020 (ntc.gov.au)</w:t>
        </w:r>
      </w:hyperlink>
      <w:r w:rsidRPr="00DA3925">
        <w:rPr>
          <w:rStyle w:val="Hyperlink"/>
          <w:szCs w:val="18"/>
        </w:rPr>
        <w:t xml:space="preserve"> </w:t>
      </w:r>
      <w:r w:rsidRPr="00DA3925">
        <w:rPr>
          <w:rStyle w:val="Hyperlink"/>
          <w:color w:val="auto"/>
          <w:szCs w:val="18"/>
          <w:highlight w:val="cyan"/>
        </w:rPr>
        <w:t>[Note 2023 version being settled – link to new Guidelines when published]</w:t>
      </w:r>
      <w:r w:rsidRPr="00DA3925">
        <w:rPr>
          <w:szCs w:val="18"/>
        </w:rPr>
        <w:t xml:space="preserve"> and </w:t>
      </w:r>
      <w:hyperlink r:id="rId7" w:history="1">
        <w:r w:rsidRPr="00DA3925">
          <w:rPr>
            <w:rStyle w:val="Hyperlink"/>
            <w:szCs w:val="18"/>
          </w:rPr>
          <w:t>How to set up trials of automated vehicles in Australia | National Transport Commission (ntc.gov.au)</w:t>
        </w:r>
      </w:hyperlink>
    </w:p>
  </w:footnote>
  <w:footnote w:id="8">
    <w:p w14:paraId="0072F644" w14:textId="2BB4E6CF"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hyperlink r:id="rId8" w:history="1">
        <w:r w:rsidRPr="00DA3925">
          <w:rPr>
            <w:rStyle w:val="Hyperlink"/>
            <w:szCs w:val="18"/>
          </w:rPr>
          <w:t>Australian and New Zealand Trials | Austroads</w:t>
        </w:r>
      </w:hyperlink>
    </w:p>
  </w:footnote>
  <w:footnote w:id="9">
    <w:p w14:paraId="555E3537" w14:textId="56076552" w:rsidR="002A575C" w:rsidRPr="00290219" w:rsidRDefault="002A575C" w:rsidP="00290219">
      <w:pPr>
        <w:pStyle w:val="FootnoteText"/>
        <w:ind w:left="0" w:firstLine="0"/>
        <w:rPr>
          <w:sz w:val="20"/>
          <w:szCs w:val="20"/>
          <w:lang w:val="en-US"/>
        </w:rPr>
      </w:pPr>
      <w:r w:rsidRPr="00290219">
        <w:rPr>
          <w:rStyle w:val="FootnoteReference"/>
          <w:sz w:val="20"/>
          <w:szCs w:val="20"/>
        </w:rPr>
        <w:footnoteRef/>
      </w:r>
      <w:r w:rsidRPr="00290219">
        <w:rPr>
          <w:sz w:val="20"/>
          <w:szCs w:val="20"/>
        </w:rPr>
        <w:t xml:space="preserve"> </w:t>
      </w:r>
      <w:hyperlink r:id="rId9" w:history="1">
        <w:r w:rsidRPr="00290219">
          <w:rPr>
            <w:rStyle w:val="Hyperlink"/>
            <w:sz w:val="20"/>
            <w:szCs w:val="20"/>
          </w:rPr>
          <w:t>Southern Positioning Augmentation Network (</w:t>
        </w:r>
        <w:r w:rsidRPr="00290219">
          <w:rPr>
            <w:rStyle w:val="Hyperlink"/>
            <w:sz w:val="20"/>
            <w:szCs w:val="20"/>
          </w:rPr>
          <w:t>SouthPAN) | Geoscience Australia</w:t>
        </w:r>
      </w:hyperlink>
    </w:p>
  </w:footnote>
  <w:footnote w:id="10">
    <w:p w14:paraId="1A2C66C3" w14:textId="77777777" w:rsidR="002A575C" w:rsidRPr="00DA3925" w:rsidRDefault="002A575C" w:rsidP="00290219">
      <w:pPr>
        <w:spacing w:before="0" w:after="0"/>
        <w:rPr>
          <w:sz w:val="18"/>
          <w:szCs w:val="18"/>
        </w:rPr>
      </w:pPr>
      <w:r w:rsidRPr="00DA3925">
        <w:rPr>
          <w:rStyle w:val="FootnoteReference"/>
          <w:sz w:val="18"/>
          <w:szCs w:val="18"/>
        </w:rPr>
        <w:footnoteRef/>
      </w:r>
      <w:r w:rsidRPr="00DA3925">
        <w:rPr>
          <w:sz w:val="18"/>
          <w:szCs w:val="18"/>
        </w:rPr>
        <w:t xml:space="preserve"> State and territory strategies and roadmaps set out the activities they are each undertaking within their own jurisdictions to facilitate technology deployment.</w:t>
      </w:r>
    </w:p>
  </w:footnote>
  <w:footnote w:id="11">
    <w:p w14:paraId="346EF55F" w14:textId="77777777" w:rsidR="002A575C" w:rsidRPr="00DA3925" w:rsidRDefault="002A575C" w:rsidP="00290219">
      <w:pPr>
        <w:pStyle w:val="FootnoteText"/>
        <w:ind w:left="0" w:firstLine="0"/>
        <w:rPr>
          <w:szCs w:val="18"/>
          <w:lang w:val="en-US"/>
        </w:rPr>
      </w:pPr>
      <w:r w:rsidRPr="00DA3925">
        <w:rPr>
          <w:rStyle w:val="FootnoteReference"/>
          <w:szCs w:val="18"/>
        </w:rPr>
        <w:footnoteRef/>
      </w:r>
      <w:r w:rsidRPr="00DA3925">
        <w:rPr>
          <w:szCs w:val="18"/>
        </w:rPr>
        <w:t xml:space="preserve"> [</w:t>
      </w:r>
      <w:r w:rsidRPr="00DA3925">
        <w:rPr>
          <w:szCs w:val="18"/>
          <w:highlight w:val="cyan"/>
        </w:rPr>
        <w:t>Note AV Readiness Report not yet available – Link to report once published]</w:t>
      </w:r>
    </w:p>
  </w:footnote>
  <w:footnote w:id="12">
    <w:p w14:paraId="1FC80FA3" w14:textId="74C6D79F" w:rsidR="002A575C" w:rsidRPr="00061AA9" w:rsidRDefault="002A575C" w:rsidP="002E4AB0">
      <w:pPr>
        <w:pStyle w:val="FootnoteText"/>
        <w:rPr>
          <w:szCs w:val="18"/>
          <w:lang w:val="en-US"/>
        </w:rPr>
      </w:pPr>
      <w:r w:rsidRPr="00061AA9">
        <w:rPr>
          <w:rStyle w:val="FootnoteReference"/>
          <w:szCs w:val="18"/>
        </w:rPr>
        <w:footnoteRef/>
      </w:r>
      <w:r w:rsidRPr="00061AA9">
        <w:rPr>
          <w:szCs w:val="18"/>
        </w:rPr>
        <w:t xml:space="preserve"> </w:t>
      </w:r>
      <w:hyperlink r:id="rId10" w:history="1">
        <w:r w:rsidRPr="00061AA9">
          <w:rPr>
            <w:rStyle w:val="Hyperlink"/>
            <w:szCs w:val="18"/>
          </w:rPr>
          <w:t>Project | Austroads</w:t>
        </w:r>
      </w:hyperlink>
    </w:p>
  </w:footnote>
  <w:footnote w:id="13">
    <w:p w14:paraId="590C96B0" w14:textId="77777777" w:rsidR="002A575C" w:rsidRPr="00DA3925" w:rsidRDefault="002A575C" w:rsidP="002E4AB0">
      <w:pPr>
        <w:pStyle w:val="FootnoteText"/>
        <w:ind w:left="0" w:firstLine="0"/>
        <w:rPr>
          <w:szCs w:val="18"/>
          <w:lang w:val="en-US"/>
        </w:rPr>
      </w:pPr>
      <w:r w:rsidRPr="00DA3925">
        <w:rPr>
          <w:rStyle w:val="FootnoteReference"/>
          <w:szCs w:val="18"/>
        </w:rPr>
        <w:footnoteRef/>
      </w:r>
      <w:r w:rsidRPr="00DA3925">
        <w:rPr>
          <w:szCs w:val="18"/>
        </w:rPr>
        <w:t xml:space="preserve"> </w:t>
      </w:r>
      <w:r w:rsidRPr="00DA3925">
        <w:rPr>
          <w:szCs w:val="18"/>
          <w:highlight w:val="cyan"/>
        </w:rPr>
        <w:t xml:space="preserve">[As noted above, Principles not yet endorsed by governments – </w:t>
      </w:r>
      <w:r w:rsidRPr="00DA3925">
        <w:rPr>
          <w:szCs w:val="18"/>
          <w:highlight w:val="cyan"/>
          <w:lang w:val="en-US"/>
        </w:rPr>
        <w:t>Link to Principles once published]</w:t>
      </w:r>
    </w:p>
  </w:footnote>
  <w:footnote w:id="14">
    <w:p w14:paraId="52FDB9CC" w14:textId="0B4AF0FE" w:rsidR="002A575C" w:rsidRPr="00DA3925" w:rsidRDefault="002A575C" w:rsidP="002E4AB0">
      <w:pPr>
        <w:pStyle w:val="FootnoteText"/>
        <w:ind w:left="0" w:firstLine="0"/>
        <w:rPr>
          <w:szCs w:val="18"/>
          <w:lang w:val="en-GB"/>
        </w:rPr>
      </w:pPr>
      <w:r w:rsidRPr="00DA3925">
        <w:rPr>
          <w:rStyle w:val="FootnoteReference"/>
          <w:szCs w:val="18"/>
        </w:rPr>
        <w:footnoteRef/>
      </w:r>
      <w:r w:rsidRPr="00DA3925">
        <w:rPr>
          <w:szCs w:val="18"/>
        </w:rPr>
        <w:t xml:space="preserve"> </w:t>
      </w:r>
      <w:hyperlink r:id="rId11" w:history="1">
        <w:r w:rsidRPr="00DA3925">
          <w:rPr>
            <w:rStyle w:val="Hyperlink"/>
            <w:szCs w:val="18"/>
          </w:rPr>
          <w:t>AP-R662-21 | Austroads</w:t>
        </w:r>
      </w:hyperlink>
    </w:p>
  </w:footnote>
  <w:footnote w:id="15">
    <w:p w14:paraId="6ACDBB79" w14:textId="550BE80F" w:rsidR="002A575C" w:rsidRPr="00DA3925" w:rsidRDefault="002A575C" w:rsidP="002E4AB0">
      <w:pPr>
        <w:pStyle w:val="FootnoteText"/>
        <w:ind w:left="0" w:firstLine="0"/>
        <w:rPr>
          <w:szCs w:val="18"/>
          <w:lang w:val="en-GB"/>
        </w:rPr>
      </w:pPr>
      <w:r w:rsidRPr="00DA3925">
        <w:rPr>
          <w:rStyle w:val="FootnoteReference"/>
          <w:szCs w:val="18"/>
        </w:rPr>
        <w:footnoteRef/>
      </w:r>
      <w:r w:rsidRPr="00DA3925">
        <w:rPr>
          <w:szCs w:val="18"/>
        </w:rPr>
        <w:t xml:space="preserve"> </w:t>
      </w:r>
      <w:hyperlink r:id="rId12" w:history="1">
        <w:r w:rsidRPr="00DA3925">
          <w:rPr>
            <w:rStyle w:val="Hyperlink"/>
            <w:szCs w:val="18"/>
          </w:rPr>
          <w:t>AP-R664-22 | Austroads</w:t>
        </w:r>
      </w:hyperlink>
    </w:p>
  </w:footnote>
  <w:footnote w:id="16">
    <w:p w14:paraId="719DEE2A" w14:textId="72D76C69" w:rsidR="002A575C" w:rsidRPr="00DA3925" w:rsidRDefault="002A575C" w:rsidP="002E4AB0">
      <w:pPr>
        <w:pStyle w:val="FootnoteText"/>
        <w:ind w:left="0" w:firstLine="0"/>
        <w:rPr>
          <w:szCs w:val="18"/>
          <w:lang w:val="en-US"/>
        </w:rPr>
      </w:pPr>
      <w:r w:rsidRPr="00DA3925">
        <w:rPr>
          <w:rStyle w:val="FootnoteReference"/>
          <w:szCs w:val="18"/>
        </w:rPr>
        <w:footnoteRef/>
      </w:r>
      <w:r w:rsidRPr="00DA3925">
        <w:rPr>
          <w:szCs w:val="18"/>
        </w:rPr>
        <w:t xml:space="preserve"> </w:t>
      </w:r>
      <w:r w:rsidR="00B41F34">
        <w:rPr>
          <w:szCs w:val="18"/>
        </w:rPr>
        <w:t>Queensland</w:t>
      </w:r>
      <w:r w:rsidR="002A4E85">
        <w:rPr>
          <w:szCs w:val="18"/>
        </w:rPr>
        <w:t xml:space="preserve"> Department of Transport and Main Roads, </w:t>
      </w:r>
      <w:hyperlink r:id="rId13" w:history="1">
        <w:r w:rsidRPr="00DA3925">
          <w:rPr>
            <w:rStyle w:val="Hyperlink"/>
            <w:i/>
            <w:szCs w:val="18"/>
            <w:lang w:val="en-US"/>
          </w:rPr>
          <w:t>Ipswich Connected Vehicle Pilot: Lessons Learned Report</w:t>
        </w:r>
      </w:hyperlink>
      <w:r w:rsidRPr="00DA3925">
        <w:rPr>
          <w:szCs w:val="18"/>
          <w:lang w:val="en-US"/>
        </w:rPr>
        <w:t>, March 2022, p. 33-36</w:t>
      </w:r>
    </w:p>
  </w:footnote>
  <w:footnote w:id="17">
    <w:p w14:paraId="320853BD" w14:textId="561DEEF2" w:rsidR="005C60E8" w:rsidRPr="005C60E8" w:rsidRDefault="005C60E8">
      <w:pPr>
        <w:pStyle w:val="FootnoteText"/>
        <w:rPr>
          <w:lang w:val="en-US"/>
        </w:rPr>
      </w:pPr>
      <w:r>
        <w:rPr>
          <w:rStyle w:val="FootnoteReference"/>
        </w:rPr>
        <w:footnoteRef/>
      </w:r>
      <w:r>
        <w:t xml:space="preserve"> </w:t>
      </w:r>
      <w:hyperlink r:id="rId14" w:history="1">
        <w:r w:rsidR="004F66C4">
          <w:rPr>
            <w:rStyle w:val="Hyperlink"/>
          </w:rPr>
          <w:t>AP-R665-22 | Austroads</w:t>
        </w:r>
      </w:hyperlink>
      <w:r w:rsidR="004F66C4">
        <w:t xml:space="preserve">; </w:t>
      </w:r>
      <w:hyperlink r:id="rId15" w:history="1">
        <w:r w:rsidR="004F66C4">
          <w:rPr>
            <w:rStyle w:val="Hyperlink"/>
          </w:rPr>
          <w:t>AP-R606-19 | Austroads</w:t>
        </w:r>
      </w:hyperlink>
    </w:p>
  </w:footnote>
  <w:footnote w:id="18">
    <w:p w14:paraId="0719D0F5" w14:textId="713F02CC" w:rsidR="005C60E8" w:rsidRPr="005C60E8" w:rsidRDefault="005C60E8">
      <w:pPr>
        <w:pStyle w:val="FootnoteText"/>
        <w:rPr>
          <w:lang w:val="en-US"/>
        </w:rPr>
      </w:pPr>
      <w:r>
        <w:rPr>
          <w:rStyle w:val="FootnoteReference"/>
        </w:rPr>
        <w:footnoteRef/>
      </w:r>
      <w:r>
        <w:t xml:space="preserve"> </w:t>
      </w:r>
      <w:hyperlink r:id="rId16" w:history="1">
        <w:r w:rsidR="00B463C8">
          <w:rPr>
            <w:rStyle w:val="Hyperlink"/>
          </w:rPr>
          <w:t>DSAPT-CAV-and-PWD-barriers-and-opportunities.pdf (imoveaustralia.com)</w:t>
        </w:r>
      </w:hyperlink>
    </w:p>
  </w:footnote>
  <w:footnote w:id="19">
    <w:p w14:paraId="737A5C71" w14:textId="4C38F596" w:rsidR="005C60E8" w:rsidRPr="005C60E8" w:rsidRDefault="005C60E8">
      <w:pPr>
        <w:pStyle w:val="FootnoteText"/>
        <w:rPr>
          <w:lang w:val="en-US"/>
        </w:rPr>
      </w:pPr>
      <w:r>
        <w:rPr>
          <w:rStyle w:val="FootnoteReference"/>
        </w:rPr>
        <w:footnoteRef/>
      </w:r>
      <w:r>
        <w:t xml:space="preserve"> </w:t>
      </w:r>
      <w:hyperlink r:id="rId17" w:history="1">
        <w:r w:rsidR="00B16528">
          <w:rPr>
            <w:rStyle w:val="Hyperlink"/>
          </w:rPr>
          <w:t>Older drivers: Advanced driving assistance technologies and AVs (imoveaustralia.com)</w:t>
        </w:r>
      </w:hyperlink>
      <w:r w:rsidR="00B16528">
        <w:t xml:space="preserve"> [</w:t>
      </w:r>
      <w:r w:rsidR="00B16528" w:rsidRPr="00B16528">
        <w:rPr>
          <w:highlight w:val="cyan"/>
        </w:rPr>
        <w:t>Note project underway – Link to report when published</w:t>
      </w:r>
      <w:r w:rsidR="00B16528">
        <w:t>]</w:t>
      </w:r>
    </w:p>
  </w:footnote>
  <w:footnote w:id="20">
    <w:p w14:paraId="63C558BD" w14:textId="5224BDE6" w:rsidR="002A575C" w:rsidRPr="00DA3925" w:rsidRDefault="002A575C" w:rsidP="002E4AB0">
      <w:pPr>
        <w:pStyle w:val="FootnoteText"/>
        <w:ind w:left="0" w:firstLine="0"/>
        <w:rPr>
          <w:szCs w:val="18"/>
          <w:lang w:val="en-US"/>
        </w:rPr>
      </w:pPr>
      <w:r w:rsidRPr="00DA3925">
        <w:rPr>
          <w:rStyle w:val="FootnoteReference"/>
          <w:szCs w:val="18"/>
        </w:rPr>
        <w:footnoteRef/>
      </w:r>
      <w:r w:rsidRPr="00DA3925">
        <w:rPr>
          <w:szCs w:val="18"/>
        </w:rPr>
        <w:t xml:space="preserve"> </w:t>
      </w:r>
      <w:hyperlink r:id="rId18" w:history="1">
        <w:r w:rsidRPr="00DA3925">
          <w:rPr>
            <w:rStyle w:val="Hyperlink"/>
            <w:szCs w:val="18"/>
          </w:rPr>
          <w:t>Creating our future transport and mobility workforce (imoveaustralia.com)</w:t>
        </w:r>
      </w:hyperlink>
    </w:p>
  </w:footnote>
  <w:footnote w:id="21">
    <w:p w14:paraId="24EA36DC" w14:textId="448F55B7" w:rsidR="002A575C" w:rsidRPr="00DA3925" w:rsidRDefault="002A575C" w:rsidP="002E4AB0">
      <w:pPr>
        <w:pStyle w:val="FootnoteText"/>
        <w:ind w:left="0" w:firstLine="0"/>
        <w:rPr>
          <w:szCs w:val="18"/>
          <w:lang w:val="en-US"/>
        </w:rPr>
      </w:pPr>
      <w:r w:rsidRPr="005C62D3">
        <w:rPr>
          <w:rStyle w:val="FootnoteReference"/>
          <w:szCs w:val="18"/>
        </w:rPr>
        <w:footnoteRef/>
      </w:r>
      <w:r w:rsidRPr="005C62D3">
        <w:rPr>
          <w:szCs w:val="18"/>
        </w:rPr>
        <w:t xml:space="preserve"> </w:t>
      </w:r>
      <w:hyperlink r:id="rId19" w:history="1">
        <w:r w:rsidR="005C62D3" w:rsidRPr="005C62D3">
          <w:rPr>
            <w:rStyle w:val="Hyperlink"/>
          </w:rPr>
          <w:t>ODIN PASS: A Mobility as Service trial at UQ (imoveaustralia.com)</w:t>
        </w:r>
      </w:hyperlink>
      <w:r w:rsidR="005C62D3" w:rsidRPr="005C62D3">
        <w:rPr>
          <w:color w:val="auto"/>
        </w:rPr>
        <w:t xml:space="preserve"> and </w:t>
      </w:r>
      <w:hyperlink r:id="rId20" w:history="1">
        <w:r w:rsidR="005C62D3" w:rsidRPr="005C62D3">
          <w:rPr>
            <w:rStyle w:val="Hyperlink"/>
          </w:rPr>
          <w:t xml:space="preserve">Sydney </w:t>
        </w:r>
        <w:r w:rsidR="005C62D3" w:rsidRPr="005C62D3">
          <w:rPr>
            <w:rStyle w:val="Hyperlink"/>
          </w:rPr>
          <w:t>MaaS trial: Design, implementation, lessons, the future (imoveaustralia.com)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5DB3" w14:textId="1CCF18C4" w:rsidR="002A575C" w:rsidRDefault="00DA4A9F" w:rsidP="00D87AD8">
    <w:pPr>
      <w:pStyle w:val="Header"/>
      <w:spacing w:after="1320"/>
      <w:jc w:val="left"/>
    </w:pPr>
    <w:r>
      <w:rPr>
        <w:noProof/>
      </w:rPr>
      <w:pict w14:anchorId="0485D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79" o:spid="_x0000_s4098" type="#_x0000_t136" style="position:absolute;margin-left:0;margin-top:0;width:379.65pt;height:227.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fldChar w:fldCharType="begin"/>
    </w:r>
    <w:r>
      <w:instrText xml:space="preserve"> STYLEREF  "Heading 1"  \* MERGEFORMAT </w:instrText>
    </w:r>
    <w:r>
      <w:fldChar w:fldCharType="separate"/>
    </w:r>
    <w:r w:rsidR="00F3536B">
      <w:rPr>
        <w:noProof/>
      </w:rPr>
      <w:t>Preamble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B239" w14:textId="2152B7B1" w:rsidR="004B785C" w:rsidRDefault="00DA4A9F" w:rsidP="00546218">
    <w:pPr>
      <w:pStyle w:val="Header"/>
      <w:spacing w:after="1320"/>
    </w:pPr>
    <w:r>
      <w:rPr>
        <w:noProof/>
      </w:rPr>
      <w:pict w14:anchorId="6591B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0" o:spid="_x0000_s4099" type="#_x0000_t136" style="position:absolute;left:0;text-align:left;margin-left:0;margin-top:0;width:379.65pt;height:227.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EFE9" w14:textId="75E14D54" w:rsidR="00EE099C" w:rsidRDefault="00DA4A9F">
    <w:pPr>
      <w:pStyle w:val="Header"/>
    </w:pPr>
    <w:r>
      <w:rPr>
        <w:noProof/>
      </w:rPr>
      <w:pict w14:anchorId="02363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78" o:spid="_x0000_s4097" type="#_x0000_t136" style="position:absolute;left:0;text-align:left;margin-left:0;margin-top:0;width:379.65pt;height:227.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4E6C" w14:textId="5B9D3ED2" w:rsidR="00EE099C" w:rsidRDefault="00DA4A9F">
    <w:pPr>
      <w:pStyle w:val="Header"/>
    </w:pPr>
    <w:r>
      <w:rPr>
        <w:noProof/>
      </w:rPr>
      <w:pict w14:anchorId="0BA53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2" o:spid="_x0000_s4101" type="#_x0000_t136" style="position:absolute;left:0;text-align:left;margin-left:0;margin-top:0;width:379.65pt;height:227.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25B8" w14:textId="575CA786" w:rsidR="002A575C" w:rsidRDefault="00DA4A9F" w:rsidP="008A39D7">
    <w:pPr>
      <w:pStyle w:val="SecurityMarker"/>
    </w:pPr>
    <w:r>
      <w:rPr>
        <w:noProof/>
      </w:rPr>
      <w:pict w14:anchorId="345C6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3" o:spid="_x0000_s4102" type="#_x0000_t136" style="position:absolute;left:0;text-align:left;margin-left:0;margin-top:0;width:379.65pt;height:227.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6541CBB3" w14:textId="7ED861E8" w:rsidR="002A575C" w:rsidRPr="003F0E07" w:rsidRDefault="004B785C" w:rsidP="00777083">
    <w:pPr>
      <w:spacing w:after="720"/>
      <w:jc w:val="center"/>
      <w:rPr>
        <w:b/>
        <w:color w:val="auto"/>
      </w:rPr>
    </w:pPr>
    <w:r w:rsidRPr="003F0E07">
      <w:rPr>
        <w:b/>
        <w:color w:val="auto"/>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FA79" w14:textId="74997469" w:rsidR="002A575C" w:rsidRDefault="00DA4A9F" w:rsidP="00546218">
    <w:pPr>
      <w:pStyle w:val="Header"/>
      <w:spacing w:after="1320"/>
    </w:pPr>
    <w:r>
      <w:rPr>
        <w:noProof/>
      </w:rPr>
      <w:pict w14:anchorId="0567A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1" o:spid="_x0000_s4100" type="#_x0000_t136" style="position:absolute;left:0;text-align:left;margin-left:0;margin-top:0;width:379.65pt;height:227.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E8D9" w14:textId="795FED96" w:rsidR="00EE099C" w:rsidRDefault="00DA4A9F">
    <w:pPr>
      <w:pStyle w:val="Header"/>
    </w:pPr>
    <w:r>
      <w:rPr>
        <w:noProof/>
      </w:rPr>
      <w:pict w14:anchorId="2044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5" o:spid="_x0000_s4104" type="#_x0000_t136" style="position:absolute;left:0;text-align:left;margin-left:0;margin-top:0;width:379.65pt;height:227.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C302" w14:textId="761855D7" w:rsidR="002A575C" w:rsidRPr="003F0E07" w:rsidRDefault="00DA4A9F" w:rsidP="00F640DD">
    <w:pPr>
      <w:spacing w:after="240"/>
      <w:jc w:val="center"/>
      <w:rPr>
        <w:b/>
        <w:color w:val="auto"/>
      </w:rPr>
    </w:pPr>
    <w:r>
      <w:rPr>
        <w:noProof/>
      </w:rPr>
      <w:pict w14:anchorId="4DBA1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6" o:spid="_x0000_s4105" type="#_x0000_t136" style="position:absolute;left:0;text-align:left;margin-left:0;margin-top:0;width:379.65pt;height:227.7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B3719" w:rsidRPr="003F0E07">
      <w:rPr>
        <w:b/>
        <w:color w:val="auto"/>
      </w:rPr>
      <w:t>OFFICIAL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870D" w14:textId="1029C43E" w:rsidR="002A575C" w:rsidRDefault="00DA4A9F" w:rsidP="00BA24FB">
    <w:pPr>
      <w:pStyle w:val="SecurityMarker"/>
    </w:pPr>
    <w:r>
      <w:rPr>
        <w:noProof/>
      </w:rPr>
      <w:pict w14:anchorId="4C0FA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9584" o:spid="_x0000_s4103" type="#_x0000_t136" style="position:absolute;left:0;text-align:left;margin-left:0;margin-top:0;width:379.65pt;height:227.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
    <w:sdtPr>
      <w:alias w:val="Status"/>
      <w:tag w:val=""/>
      <w:id w:val="-1075507228"/>
      <w:placeholder>
        <w:docPart w:val="5F27A3864C1E4584B69276902EE1D80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7CE326C" w14:textId="77777777" w:rsidR="002A575C" w:rsidRDefault="002A575C" w:rsidP="00BA24FB">
        <w:pPr>
          <w:pStyle w:val="SecurityMarker"/>
        </w:pPr>
        <w:r>
          <w:t>OFFICIAL</w:t>
        </w:r>
      </w:p>
    </w:sdtContent>
  </w:sdt>
  <w:p w14:paraId="71EAC593" w14:textId="1A648F7A" w:rsidR="002A575C" w:rsidRDefault="00DA4A9F" w:rsidP="00BA24FB">
    <w:pPr>
      <w:pStyle w:val="Header"/>
      <w:spacing w:after="720"/>
    </w:pPr>
    <w:r>
      <w:fldChar w:fldCharType="begin"/>
    </w:r>
    <w:r>
      <w:instrText xml:space="preserve"> STYLEREF  "Heading 1" \l  \* MERGEFORMAT </w:instrText>
    </w:r>
    <w:r>
      <w:fldChar w:fldCharType="separate"/>
    </w:r>
    <w:r w:rsidR="00F3536B">
      <w:rPr>
        <w:noProof/>
      </w:rPr>
      <w:t>Preamble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144AC1"/>
    <w:multiLevelType w:val="hybridMultilevel"/>
    <w:tmpl w:val="43129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0D85AF4"/>
    <w:multiLevelType w:val="hybridMultilevel"/>
    <w:tmpl w:val="1C26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341CCC"/>
    <w:multiLevelType w:val="hybridMultilevel"/>
    <w:tmpl w:val="FFD41F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C7414EF"/>
    <w:multiLevelType w:val="hybridMultilevel"/>
    <w:tmpl w:val="963E6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DB273D"/>
    <w:multiLevelType w:val="hybridMultilevel"/>
    <w:tmpl w:val="2408A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BB96445"/>
    <w:multiLevelType w:val="hybridMultilevel"/>
    <w:tmpl w:val="0AD8705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3CB16AB"/>
    <w:multiLevelType w:val="hybridMultilevel"/>
    <w:tmpl w:val="80C8F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CE0096"/>
    <w:multiLevelType w:val="hybridMultilevel"/>
    <w:tmpl w:val="768419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52DB6872"/>
    <w:multiLevelType w:val="hybridMultilevel"/>
    <w:tmpl w:val="2BB06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817F44"/>
    <w:multiLevelType w:val="hybridMultilevel"/>
    <w:tmpl w:val="4D4480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C03299"/>
    <w:multiLevelType w:val="hybridMultilevel"/>
    <w:tmpl w:val="B64C2F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E925CE"/>
    <w:multiLevelType w:val="hybridMultilevel"/>
    <w:tmpl w:val="D256DAD0"/>
    <w:lvl w:ilvl="0" w:tplc="F7AAC92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571270"/>
    <w:multiLevelType w:val="hybridMultilevel"/>
    <w:tmpl w:val="FFC6F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D4001A"/>
    <w:multiLevelType w:val="hybridMultilevel"/>
    <w:tmpl w:val="2B8E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F92E9D"/>
    <w:multiLevelType w:val="hybridMultilevel"/>
    <w:tmpl w:val="02886FC4"/>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33" w15:restartNumberingAfterBreak="0">
    <w:nsid w:val="7E375353"/>
    <w:multiLevelType w:val="hybridMultilevel"/>
    <w:tmpl w:val="C3CAB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ED21F9F"/>
    <w:multiLevelType w:val="hybridMultilevel"/>
    <w:tmpl w:val="99AC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0"/>
  </w:num>
  <w:num w:numId="26">
    <w:abstractNumId w:val="30"/>
  </w:num>
  <w:num w:numId="27">
    <w:abstractNumId w:val="30"/>
  </w:num>
  <w:num w:numId="2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26"/>
  </w:num>
  <w:num w:numId="32">
    <w:abstractNumId w:val="25"/>
  </w:num>
  <w:num w:numId="33">
    <w:abstractNumId w:val="19"/>
  </w:num>
  <w:num w:numId="34">
    <w:abstractNumId w:val="11"/>
  </w:num>
  <w:num w:numId="35">
    <w:abstractNumId w:val="32"/>
  </w:num>
  <w:num w:numId="36">
    <w:abstractNumId w:val="23"/>
  </w:num>
  <w:num w:numId="37">
    <w:abstractNumId w:val="35"/>
  </w:num>
  <w:num w:numId="38">
    <w:abstractNumId w:val="15"/>
  </w:num>
  <w:num w:numId="39">
    <w:abstractNumId w:val="24"/>
  </w:num>
  <w:num w:numId="40">
    <w:abstractNumId w:val="28"/>
  </w:num>
  <w:num w:numId="41">
    <w:abstractNumId w:val="29"/>
  </w:num>
  <w:num w:numId="42">
    <w:abstractNumId w:val="31"/>
  </w:num>
  <w:num w:numId="43">
    <w:abstractNumId w:val="33"/>
  </w:num>
  <w:num w:numId="44">
    <w:abstractNumId w:val="2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FF"/>
    <w:rsid w:val="000003DE"/>
    <w:rsid w:val="0001430B"/>
    <w:rsid w:val="000259C4"/>
    <w:rsid w:val="00041240"/>
    <w:rsid w:val="000751BE"/>
    <w:rsid w:val="00085622"/>
    <w:rsid w:val="00093D1C"/>
    <w:rsid w:val="000B55EB"/>
    <w:rsid w:val="000D7D72"/>
    <w:rsid w:val="000E0F52"/>
    <w:rsid w:val="000E24BA"/>
    <w:rsid w:val="000E5674"/>
    <w:rsid w:val="001041F2"/>
    <w:rsid w:val="001137E6"/>
    <w:rsid w:val="001253BE"/>
    <w:rsid w:val="001349C6"/>
    <w:rsid w:val="00151C39"/>
    <w:rsid w:val="00165B91"/>
    <w:rsid w:val="00176512"/>
    <w:rsid w:val="001803E3"/>
    <w:rsid w:val="00187223"/>
    <w:rsid w:val="001A28FA"/>
    <w:rsid w:val="001A7CE0"/>
    <w:rsid w:val="001B6533"/>
    <w:rsid w:val="001E5419"/>
    <w:rsid w:val="00206DF0"/>
    <w:rsid w:val="002254D5"/>
    <w:rsid w:val="0022611D"/>
    <w:rsid w:val="002367BB"/>
    <w:rsid w:val="00281184"/>
    <w:rsid w:val="00284164"/>
    <w:rsid w:val="00290219"/>
    <w:rsid w:val="00291050"/>
    <w:rsid w:val="0029245D"/>
    <w:rsid w:val="002A4E85"/>
    <w:rsid w:val="002A575C"/>
    <w:rsid w:val="002B3569"/>
    <w:rsid w:val="002B7197"/>
    <w:rsid w:val="002E1ADA"/>
    <w:rsid w:val="002E45AC"/>
    <w:rsid w:val="002E4AB0"/>
    <w:rsid w:val="00302183"/>
    <w:rsid w:val="003229F8"/>
    <w:rsid w:val="003261CF"/>
    <w:rsid w:val="003503D5"/>
    <w:rsid w:val="00353E1F"/>
    <w:rsid w:val="003720E9"/>
    <w:rsid w:val="00384418"/>
    <w:rsid w:val="00392673"/>
    <w:rsid w:val="003A1738"/>
    <w:rsid w:val="003C256D"/>
    <w:rsid w:val="003C625A"/>
    <w:rsid w:val="003D1159"/>
    <w:rsid w:val="003F0E07"/>
    <w:rsid w:val="003F43D9"/>
    <w:rsid w:val="003F775D"/>
    <w:rsid w:val="004031E2"/>
    <w:rsid w:val="00405415"/>
    <w:rsid w:val="004063DE"/>
    <w:rsid w:val="00420F04"/>
    <w:rsid w:val="00477E77"/>
    <w:rsid w:val="004838F0"/>
    <w:rsid w:val="004A3726"/>
    <w:rsid w:val="004B785C"/>
    <w:rsid w:val="004D4D67"/>
    <w:rsid w:val="004D5A50"/>
    <w:rsid w:val="004F66C4"/>
    <w:rsid w:val="00530E92"/>
    <w:rsid w:val="00541213"/>
    <w:rsid w:val="00546218"/>
    <w:rsid w:val="005610AB"/>
    <w:rsid w:val="005912BE"/>
    <w:rsid w:val="005A5A2D"/>
    <w:rsid w:val="005C60E8"/>
    <w:rsid w:val="005C62D3"/>
    <w:rsid w:val="005E15B0"/>
    <w:rsid w:val="005F794B"/>
    <w:rsid w:val="00610B5B"/>
    <w:rsid w:val="00646420"/>
    <w:rsid w:val="006A4066"/>
    <w:rsid w:val="006C09E8"/>
    <w:rsid w:val="006C513C"/>
    <w:rsid w:val="006D08F5"/>
    <w:rsid w:val="006E1ECA"/>
    <w:rsid w:val="006F3F6E"/>
    <w:rsid w:val="00740289"/>
    <w:rsid w:val="0075502F"/>
    <w:rsid w:val="00777083"/>
    <w:rsid w:val="00784CAA"/>
    <w:rsid w:val="00793DF1"/>
    <w:rsid w:val="007A05BE"/>
    <w:rsid w:val="007B05C1"/>
    <w:rsid w:val="007C086F"/>
    <w:rsid w:val="007E35C2"/>
    <w:rsid w:val="008067A1"/>
    <w:rsid w:val="00817970"/>
    <w:rsid w:val="008219CD"/>
    <w:rsid w:val="00831729"/>
    <w:rsid w:val="0084160B"/>
    <w:rsid w:val="008456D5"/>
    <w:rsid w:val="00845C59"/>
    <w:rsid w:val="0084634B"/>
    <w:rsid w:val="0085705B"/>
    <w:rsid w:val="008A1887"/>
    <w:rsid w:val="008A39D7"/>
    <w:rsid w:val="008B6A81"/>
    <w:rsid w:val="008D30DF"/>
    <w:rsid w:val="008E2A0D"/>
    <w:rsid w:val="008E3E31"/>
    <w:rsid w:val="008F2673"/>
    <w:rsid w:val="00933388"/>
    <w:rsid w:val="0094417E"/>
    <w:rsid w:val="00974FAC"/>
    <w:rsid w:val="009762C4"/>
    <w:rsid w:val="00982BA1"/>
    <w:rsid w:val="009A6F50"/>
    <w:rsid w:val="009B00F2"/>
    <w:rsid w:val="009B4485"/>
    <w:rsid w:val="009D7CCE"/>
    <w:rsid w:val="00A070A2"/>
    <w:rsid w:val="00A07B45"/>
    <w:rsid w:val="00A171FA"/>
    <w:rsid w:val="00A3239E"/>
    <w:rsid w:val="00A3353F"/>
    <w:rsid w:val="00A53455"/>
    <w:rsid w:val="00A9196B"/>
    <w:rsid w:val="00A95970"/>
    <w:rsid w:val="00AC1302"/>
    <w:rsid w:val="00AC27CD"/>
    <w:rsid w:val="00AD7703"/>
    <w:rsid w:val="00B06D96"/>
    <w:rsid w:val="00B16528"/>
    <w:rsid w:val="00B3555B"/>
    <w:rsid w:val="00B41F34"/>
    <w:rsid w:val="00B42AC2"/>
    <w:rsid w:val="00B463C8"/>
    <w:rsid w:val="00B77723"/>
    <w:rsid w:val="00B84304"/>
    <w:rsid w:val="00B86511"/>
    <w:rsid w:val="00B966CD"/>
    <w:rsid w:val="00BA24FB"/>
    <w:rsid w:val="00BB2E79"/>
    <w:rsid w:val="00BB3AAC"/>
    <w:rsid w:val="00BD0764"/>
    <w:rsid w:val="00BD2E66"/>
    <w:rsid w:val="00BD6A8B"/>
    <w:rsid w:val="00C151F5"/>
    <w:rsid w:val="00C27E39"/>
    <w:rsid w:val="00C6432A"/>
    <w:rsid w:val="00C729FF"/>
    <w:rsid w:val="00C83B88"/>
    <w:rsid w:val="00C94537"/>
    <w:rsid w:val="00CB3719"/>
    <w:rsid w:val="00CD233E"/>
    <w:rsid w:val="00CF6CFD"/>
    <w:rsid w:val="00D11838"/>
    <w:rsid w:val="00D31A3C"/>
    <w:rsid w:val="00D5655E"/>
    <w:rsid w:val="00D8681B"/>
    <w:rsid w:val="00D87744"/>
    <w:rsid w:val="00D87AD8"/>
    <w:rsid w:val="00D96F2C"/>
    <w:rsid w:val="00DA3925"/>
    <w:rsid w:val="00DA4A9F"/>
    <w:rsid w:val="00DC05F7"/>
    <w:rsid w:val="00DC0C3E"/>
    <w:rsid w:val="00DC377F"/>
    <w:rsid w:val="00DC722D"/>
    <w:rsid w:val="00DE184A"/>
    <w:rsid w:val="00DE4362"/>
    <w:rsid w:val="00DE4865"/>
    <w:rsid w:val="00DE4FE2"/>
    <w:rsid w:val="00DF341D"/>
    <w:rsid w:val="00E04908"/>
    <w:rsid w:val="00E160B4"/>
    <w:rsid w:val="00E20AD6"/>
    <w:rsid w:val="00E22CFE"/>
    <w:rsid w:val="00E23718"/>
    <w:rsid w:val="00E50D64"/>
    <w:rsid w:val="00E6528A"/>
    <w:rsid w:val="00E73374"/>
    <w:rsid w:val="00EB4B25"/>
    <w:rsid w:val="00EE06C0"/>
    <w:rsid w:val="00EE099C"/>
    <w:rsid w:val="00EE6972"/>
    <w:rsid w:val="00EF741B"/>
    <w:rsid w:val="00F070DF"/>
    <w:rsid w:val="00F1428D"/>
    <w:rsid w:val="00F33EF2"/>
    <w:rsid w:val="00F3536B"/>
    <w:rsid w:val="00F57602"/>
    <w:rsid w:val="00F640DD"/>
    <w:rsid w:val="00F67CDB"/>
    <w:rsid w:val="00F8678E"/>
    <w:rsid w:val="00FC32B2"/>
    <w:rsid w:val="00FC34AF"/>
    <w:rsid w:val="00FD31CB"/>
    <w:rsid w:val="00FF1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4:docId w14:val="112AD00E"/>
  <w15:chartTrackingRefBased/>
  <w15:docId w15:val="{A72F5621-2A2E-47D2-9785-BE6B033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styleId="ListParagraph">
    <w:name w:val="List Paragraph"/>
    <w:aliases w:val="CAB - List Bullet,List Bullet Cab,Bullet Points,CV text,Dot pt,F5 List Paragraph,Indicator Text,L,List Paragraph Char Char Char,List Paragraph1,List Paragraph11,List Paragraph12,MAIN CONTENT,No Spacing1,Numbered Para 1,Recommendation,列出段"/>
    <w:basedOn w:val="Normal"/>
    <w:link w:val="ListParagraphChar"/>
    <w:uiPriority w:val="34"/>
    <w:qFormat/>
    <w:rsid w:val="00974FAC"/>
    <w:pPr>
      <w:suppressAutoHyphens w:val="0"/>
      <w:spacing w:before="0" w:after="120" w:line="264" w:lineRule="auto"/>
      <w:ind w:left="720"/>
      <w:contextualSpacing/>
    </w:pPr>
    <w:rPr>
      <w:rFonts w:eastAsiaTheme="minorEastAsia"/>
      <w:color w:val="auto"/>
      <w:sz w:val="20"/>
      <w:szCs w:val="20"/>
    </w:rPr>
  </w:style>
  <w:style w:type="paragraph" w:styleId="CommentText">
    <w:name w:val="annotation text"/>
    <w:basedOn w:val="Normal"/>
    <w:link w:val="CommentTextChar"/>
    <w:uiPriority w:val="99"/>
    <w:unhideWhenUsed/>
    <w:rsid w:val="00290219"/>
    <w:pPr>
      <w:suppressAutoHyphens w:val="0"/>
      <w:spacing w:before="0" w:after="160"/>
    </w:pPr>
    <w:rPr>
      <w:color w:val="auto"/>
      <w:sz w:val="20"/>
      <w:szCs w:val="20"/>
    </w:rPr>
  </w:style>
  <w:style w:type="character" w:customStyle="1" w:styleId="CommentTextChar">
    <w:name w:val="Comment Text Char"/>
    <w:basedOn w:val="DefaultParagraphFont"/>
    <w:link w:val="CommentText"/>
    <w:uiPriority w:val="99"/>
    <w:rsid w:val="00290219"/>
    <w:rPr>
      <w:color w:val="auto"/>
      <w:sz w:val="20"/>
      <w:szCs w:val="20"/>
    </w:rPr>
  </w:style>
  <w:style w:type="character" w:customStyle="1" w:styleId="ListParagraphChar">
    <w:name w:val="List Paragraph Char"/>
    <w:aliases w:val="CAB - List Bullet Char,List Bullet Cab Char,Bullet Points Char,CV text Char,Dot pt Char,F5 List Paragraph Char,Indicator Text Char,L Char,List Paragraph Char Char Char Char,List Paragraph1 Char,List Paragraph11 Char,MAIN CONTENT Char"/>
    <w:link w:val="ListParagraph"/>
    <w:uiPriority w:val="34"/>
    <w:qFormat/>
    <w:rsid w:val="00290219"/>
    <w:rPr>
      <w:rFonts w:eastAsiaTheme="minorEastAsia"/>
      <w:color w:val="auto"/>
      <w:sz w:val="20"/>
      <w:szCs w:val="20"/>
    </w:rPr>
  </w:style>
  <w:style w:type="paragraph" w:customStyle="1" w:styleId="non-heading">
    <w:name w:val="non-heading"/>
    <w:basedOn w:val="Normal"/>
    <w:uiPriority w:val="99"/>
    <w:rsid w:val="002E4AB0"/>
    <w:pPr>
      <w:suppressAutoHyphens w:val="0"/>
      <w:spacing w:before="0" w:after="0"/>
    </w:pPr>
    <w:rPr>
      <w:rFonts w:ascii="Arial Narrow" w:eastAsia="Times New Roman" w:hAnsi="Arial Narrow" w:cs="Times New Roman"/>
      <w:color w:val="auto"/>
      <w:sz w:val="18"/>
      <w:szCs w:val="20"/>
      <w:lang w:val="en-US"/>
    </w:rPr>
  </w:style>
  <w:style w:type="character" w:styleId="CommentReference">
    <w:name w:val="annotation reference"/>
    <w:basedOn w:val="DefaultParagraphFont"/>
    <w:uiPriority w:val="99"/>
    <w:semiHidden/>
    <w:unhideWhenUsed/>
    <w:rsid w:val="002A575C"/>
    <w:rPr>
      <w:sz w:val="16"/>
      <w:szCs w:val="16"/>
    </w:rPr>
  </w:style>
  <w:style w:type="paragraph" w:styleId="CommentSubject">
    <w:name w:val="annotation subject"/>
    <w:basedOn w:val="CommentText"/>
    <w:next w:val="CommentText"/>
    <w:link w:val="CommentSubjectChar"/>
    <w:uiPriority w:val="99"/>
    <w:semiHidden/>
    <w:unhideWhenUsed/>
    <w:rsid w:val="002A575C"/>
    <w:pPr>
      <w:suppressAutoHyphens/>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2A575C"/>
    <w:rPr>
      <w:b/>
      <w:bCs/>
      <w:color w:val="auto"/>
      <w:sz w:val="20"/>
      <w:szCs w:val="20"/>
    </w:rPr>
  </w:style>
  <w:style w:type="paragraph" w:styleId="BalloonText">
    <w:name w:val="Balloon Text"/>
    <w:basedOn w:val="Normal"/>
    <w:link w:val="BalloonTextChar"/>
    <w:uiPriority w:val="99"/>
    <w:semiHidden/>
    <w:unhideWhenUsed/>
    <w:rsid w:val="002A57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5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610AB"/>
    <w:rPr>
      <w:color w:val="605E5C"/>
      <w:shd w:val="clear" w:color="auto" w:fill="E1DFDD"/>
    </w:rPr>
  </w:style>
  <w:style w:type="character" w:styleId="UnresolvedMention">
    <w:name w:val="Unresolved Mention"/>
    <w:basedOn w:val="DefaultParagraphFont"/>
    <w:uiPriority w:val="99"/>
    <w:semiHidden/>
    <w:unhideWhenUsed/>
    <w:rsid w:val="00E73374"/>
    <w:rPr>
      <w:color w:val="605E5C"/>
      <w:shd w:val="clear" w:color="auto" w:fill="E1DFDD"/>
    </w:rPr>
  </w:style>
  <w:style w:type="paragraph" w:styleId="Revision">
    <w:name w:val="Revision"/>
    <w:hidden/>
    <w:uiPriority w:val="99"/>
    <w:semiHidden/>
    <w:rsid w:val="00B77723"/>
    <w:pPr>
      <w:spacing w:before="0" w:after="0"/>
    </w:pPr>
  </w:style>
  <w:style w:type="character" w:styleId="FollowedHyperlink">
    <w:name w:val="FollowedHyperlink"/>
    <w:basedOn w:val="DefaultParagraphFont"/>
    <w:uiPriority w:val="99"/>
    <w:semiHidden/>
    <w:unhideWhenUsed/>
    <w:rsid w:val="005C62D3"/>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 TargetMode="External"/><Relationship Id="rId26" Type="http://schemas.openxmlformats.org/officeDocument/2006/relationships/diagramQuickStyle" Target="diagrams/quickStyle1.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hyperlink" Target="https://www.inframix.eu/infrastructure-categorizat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jpg@01CF53E2.F599DED0" TargetMode="External"/><Relationship Id="rId25" Type="http://schemas.openxmlformats.org/officeDocument/2006/relationships/diagramLayout" Target="diagrams/layout1.xml"/><Relationship Id="rId33" Type="http://schemas.openxmlformats.org/officeDocument/2006/relationships/hyperlink" Target="https://poliformat.upv.es/access/content/user/24389381/Contenido%20abierto%20al%20p%C3%BAblico/PIARC/Executive%20Summary%20SRC%20Proposal%20for%20Q3%2020210526.pdf" TargetMode="External"/><Relationship Id="rId38" Type="http://schemas.openxmlformats.org/officeDocument/2006/relationships/hyperlink" Target="https://cdn-nrspp-s3-aus.s3.ap-southeast-2.amazonaws.com/wp-content/uploads/sites/4/2020/06/24093633/National-Roadmap-on-Driver-Distraction-APPROVED-v.02.2.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Data" Target="diagrams/data1.xml"/><Relationship Id="rId32" Type="http://schemas.openxmlformats.org/officeDocument/2006/relationships/hyperlink" Target="https://www.piarc.org/en/order-library/36443-en-Smart%20Roads%20Classification" TargetMode="External"/><Relationship Id="rId37" Type="http://schemas.openxmlformats.org/officeDocument/2006/relationships/hyperlink" Target="https://www.ga.gov.au/scientific-topics/positioning-navigation/positioning-australia/about-the-program/national-positioning-infrastructure-capability"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07/relationships/diagramDrawing" Target="diagrams/drawing1.xml"/><Relationship Id="rId36" Type="http://schemas.openxmlformats.org/officeDocument/2006/relationships/hyperlink" Target="https://www.ga.gov.au/scientific-topics/positioning-navigation/positioning-australia/about-the-program/southpan"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diagramColors" Target="diagrams/colors1.xml"/><Relationship Id="rId30" Type="http://schemas.openxmlformats.org/officeDocument/2006/relationships/header" Target="header8.xml"/><Relationship Id="rId35" Type="http://schemas.openxmlformats.org/officeDocument/2006/relationships/hyperlink" Target="https://apps.trb.org/cmsfeed/TRBNetProjectDisplay.asp?ProjectID=42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austroads.com.au/drivers-and-vehicles/future-vehicles-and-technology/trials" TargetMode="External"/><Relationship Id="rId13" Type="http://schemas.openxmlformats.org/officeDocument/2006/relationships/hyperlink" Target="https://www.tmr.qld.gov.au/business-industry/Technical-standards-publications/Ipswich-Connected-Vehicle-Pilot" TargetMode="External"/><Relationship Id="rId18" Type="http://schemas.openxmlformats.org/officeDocument/2006/relationships/hyperlink" Target="https://imoveaustralia.com/project/project-outcomes/creating-our-future-transport-and-mobility-workforce/" TargetMode="External"/><Relationship Id="rId3" Type="http://schemas.openxmlformats.org/officeDocument/2006/relationships/hyperlink" Target="https://www.legislation.gov.au/Details/F2021C01285" TargetMode="External"/><Relationship Id="rId7" Type="http://schemas.openxmlformats.org/officeDocument/2006/relationships/hyperlink" Target="https://www.ntc.gov.au/codes-and-guidelines/automated-vehicle-trial-guidelines/how-to-set-up-a-trial" TargetMode="External"/><Relationship Id="rId12" Type="http://schemas.openxmlformats.org/officeDocument/2006/relationships/hyperlink" Target="https://austroads.com.au/publications/connected-and-automated-vehicles/ap-r664-22" TargetMode="External"/><Relationship Id="rId17" Type="http://schemas.openxmlformats.org/officeDocument/2006/relationships/hyperlink" Target="https://imoveaustralia.com/project/older-drivers-advanced-driving-assistance-technologies-and-avs/" TargetMode="External"/><Relationship Id="rId2" Type="http://schemas.openxmlformats.org/officeDocument/2006/relationships/hyperlink" Target="https://www.infrastructure.gov.au/infrastructure-transport-vehicles/transport-strategy-policy/office-future-transport-technology/first-supply-in-service-automated-vehicle-law" TargetMode="External"/><Relationship Id="rId16" Type="http://schemas.openxmlformats.org/officeDocument/2006/relationships/hyperlink" Target="https://imoveaustralia.com/wp-content/uploads/2021/12/DSAPT-CAV-and-PWD-barriers-and-opportunities.pdf" TargetMode="External"/><Relationship Id="rId20" Type="http://schemas.openxmlformats.org/officeDocument/2006/relationships/hyperlink" Target="https://imoveaustralia.com/project/project-outcomes/sydney-maas-trial-final-report/" TargetMode="External"/><Relationship Id="rId1" Type="http://schemas.openxmlformats.org/officeDocument/2006/relationships/hyperlink" Target="https://www.infrastructure.gov.au/sites/default/files/documents/16th_itmm_communique_11_februrary_2022.pdf" TargetMode="External"/><Relationship Id="rId6" Type="http://schemas.openxmlformats.org/officeDocument/2006/relationships/hyperlink" Target="https://www.ntc.gov.au/sites/default/files/assets/files/AV-trial-guidelines-2020.pdf" TargetMode="External"/><Relationship Id="rId11" Type="http://schemas.openxmlformats.org/officeDocument/2006/relationships/hyperlink" Target="https://austroads.com.au/publications/connected-and-automated-vehicles/ap-r662-21" TargetMode="External"/><Relationship Id="rId5" Type="http://schemas.openxmlformats.org/officeDocument/2006/relationships/hyperlink" Target="https://imoveaustralia.com/project/what-c-its-technologies-for-national-deployment-in-australia/" TargetMode="External"/><Relationship Id="rId15" Type="http://schemas.openxmlformats.org/officeDocument/2006/relationships/hyperlink" Target="https://austroads.com.au/publications/connected-and-automated-vehicles/ap-r606-19" TargetMode="External"/><Relationship Id="rId10" Type="http://schemas.openxmlformats.org/officeDocument/2006/relationships/hyperlink" Target="https://austroads.com.au/projects/project?id=SRL6287" TargetMode="External"/><Relationship Id="rId19" Type="http://schemas.openxmlformats.org/officeDocument/2006/relationships/hyperlink" Target="https://imoveaustralia.com/project/odin-pass-a-mobility-as-service-trial-at-uq/" TargetMode="External"/><Relationship Id="rId4" Type="http://schemas.openxmlformats.org/officeDocument/2006/relationships/hyperlink" Target="https://www.infrastructure.gov.au/department/media/publications/wsp-report-advice-strategies-support-c-its-australia" TargetMode="External"/><Relationship Id="rId9" Type="http://schemas.openxmlformats.org/officeDocument/2006/relationships/hyperlink" Target="https://www.ga.gov.au/scientific-topics/positioning-navigation/positioning-australia/about-the-program/southpan" TargetMode="External"/><Relationship Id="rId14" Type="http://schemas.openxmlformats.org/officeDocument/2006/relationships/hyperlink" Target="https://austroads.com.au/publications/connected-and-automated-vehicles/ap-r66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_0208202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920087-B938-4E2F-BC04-9E3E630F1BF9}"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AU"/>
        </a:p>
      </dgm:t>
    </dgm:pt>
    <dgm:pt modelId="{12F7D86A-2E7C-4895-A7F9-2A45EF0B5B7B}">
      <dgm:prSet phldrT="[Text]"/>
      <dgm:spPr/>
      <dgm:t>
        <a:bodyPr/>
        <a:lstStyle/>
        <a:p>
          <a:r>
            <a:rPr lang="en-AU"/>
            <a:t>Research &amp; develop</a:t>
          </a:r>
        </a:p>
      </dgm:t>
    </dgm:pt>
    <dgm:pt modelId="{8C28B102-ACE0-4D5B-9255-4E4882E8AB72}" type="parTrans" cxnId="{8DE64112-FED6-43C9-972F-1EAA0C97155A}">
      <dgm:prSet/>
      <dgm:spPr/>
      <dgm:t>
        <a:bodyPr/>
        <a:lstStyle/>
        <a:p>
          <a:endParaRPr lang="en-AU"/>
        </a:p>
      </dgm:t>
    </dgm:pt>
    <dgm:pt modelId="{DCF9EAC7-8059-446E-ADA6-318CE2492D92}" type="sibTrans" cxnId="{8DE64112-FED6-43C9-972F-1EAA0C97155A}">
      <dgm:prSet/>
      <dgm:spPr/>
      <dgm:t>
        <a:bodyPr/>
        <a:lstStyle/>
        <a:p>
          <a:endParaRPr lang="en-AU"/>
        </a:p>
      </dgm:t>
    </dgm:pt>
    <dgm:pt modelId="{52D79DDF-E172-4919-9475-8D2E9A8D5152}">
      <dgm:prSet phldrT="[Text]"/>
      <dgm:spPr/>
      <dgm:t>
        <a:bodyPr/>
        <a:lstStyle/>
        <a:p>
          <a:r>
            <a:rPr lang="en-AU"/>
            <a:t>Test/trial</a:t>
          </a:r>
        </a:p>
      </dgm:t>
    </dgm:pt>
    <dgm:pt modelId="{2E3F72C8-A99F-4F2B-A32E-FAD51E8C8239}" type="parTrans" cxnId="{014E398E-58D4-42C8-962D-98D503A122FF}">
      <dgm:prSet/>
      <dgm:spPr/>
      <dgm:t>
        <a:bodyPr/>
        <a:lstStyle/>
        <a:p>
          <a:endParaRPr lang="en-AU"/>
        </a:p>
      </dgm:t>
    </dgm:pt>
    <dgm:pt modelId="{06E67161-67BB-4AC7-8AFD-8B8AB768B986}" type="sibTrans" cxnId="{014E398E-58D4-42C8-962D-98D503A122FF}">
      <dgm:prSet/>
      <dgm:spPr/>
      <dgm:t>
        <a:bodyPr/>
        <a:lstStyle/>
        <a:p>
          <a:endParaRPr lang="en-AU"/>
        </a:p>
      </dgm:t>
    </dgm:pt>
    <dgm:pt modelId="{EE59BF01-4CE6-4FDE-8F28-B40D287D85DB}">
      <dgm:prSet phldrT="[Text]"/>
      <dgm:spPr/>
      <dgm:t>
        <a:bodyPr/>
        <a:lstStyle/>
        <a:p>
          <a:r>
            <a:rPr lang="en-AU"/>
            <a:t>Prepare to deploy</a:t>
          </a:r>
        </a:p>
      </dgm:t>
    </dgm:pt>
    <dgm:pt modelId="{9B39ABD3-81CC-4FDA-ACFC-7DB1638D3860}" type="parTrans" cxnId="{4CDE2A69-E0C7-4578-8B9A-137940FF9A98}">
      <dgm:prSet/>
      <dgm:spPr/>
      <dgm:t>
        <a:bodyPr/>
        <a:lstStyle/>
        <a:p>
          <a:endParaRPr lang="en-AU"/>
        </a:p>
      </dgm:t>
    </dgm:pt>
    <dgm:pt modelId="{C09577F5-3C6D-4019-AB06-608514CB49E0}" type="sibTrans" cxnId="{4CDE2A69-E0C7-4578-8B9A-137940FF9A98}">
      <dgm:prSet/>
      <dgm:spPr/>
      <dgm:t>
        <a:bodyPr/>
        <a:lstStyle/>
        <a:p>
          <a:endParaRPr lang="en-AU"/>
        </a:p>
      </dgm:t>
    </dgm:pt>
    <dgm:pt modelId="{58692818-9DE1-477B-B3A5-BA54D1035C90}">
      <dgm:prSet phldrT="[Text]"/>
      <dgm:spPr/>
      <dgm:t>
        <a:bodyPr/>
        <a:lstStyle/>
        <a:p>
          <a:r>
            <a:rPr lang="en-AU"/>
            <a:t>Deploy</a:t>
          </a:r>
        </a:p>
      </dgm:t>
    </dgm:pt>
    <dgm:pt modelId="{44B3ECAF-29E0-4BF3-956C-16D43A20E79E}" type="parTrans" cxnId="{57CDFE76-A2D6-419C-8499-E9A95EFD4468}">
      <dgm:prSet/>
      <dgm:spPr/>
      <dgm:t>
        <a:bodyPr/>
        <a:lstStyle/>
        <a:p>
          <a:endParaRPr lang="en-AU"/>
        </a:p>
      </dgm:t>
    </dgm:pt>
    <dgm:pt modelId="{D6CC2F10-047A-46F7-A305-988DD1169015}" type="sibTrans" cxnId="{57CDFE76-A2D6-419C-8499-E9A95EFD4468}">
      <dgm:prSet/>
      <dgm:spPr/>
      <dgm:t>
        <a:bodyPr/>
        <a:lstStyle/>
        <a:p>
          <a:endParaRPr lang="en-AU"/>
        </a:p>
      </dgm:t>
    </dgm:pt>
    <dgm:pt modelId="{3CC99879-6361-4D06-8163-F2679CE17A39}">
      <dgm:prSet phldrT="[Text]"/>
      <dgm:spPr/>
      <dgm:t>
        <a:bodyPr/>
        <a:lstStyle/>
        <a:p>
          <a:r>
            <a:rPr lang="en-AU"/>
            <a:t>Manage/ maintain</a:t>
          </a:r>
        </a:p>
      </dgm:t>
    </dgm:pt>
    <dgm:pt modelId="{40769A01-5496-43AA-8775-384BA9D07984}" type="parTrans" cxnId="{0CEF256A-2313-4EBC-8437-979805797138}">
      <dgm:prSet/>
      <dgm:spPr/>
      <dgm:t>
        <a:bodyPr/>
        <a:lstStyle/>
        <a:p>
          <a:endParaRPr lang="en-AU"/>
        </a:p>
      </dgm:t>
    </dgm:pt>
    <dgm:pt modelId="{1286492F-6A80-4443-BC36-7B9AFF8B0AC2}" type="sibTrans" cxnId="{0CEF256A-2313-4EBC-8437-979805797138}">
      <dgm:prSet/>
      <dgm:spPr/>
      <dgm:t>
        <a:bodyPr/>
        <a:lstStyle/>
        <a:p>
          <a:endParaRPr lang="en-AU"/>
        </a:p>
      </dgm:t>
    </dgm:pt>
    <dgm:pt modelId="{08B8D2B1-ACA1-4782-B753-06F2D079124C}">
      <dgm:prSet phldrT="[Text]"/>
      <dgm:spPr/>
      <dgm:t>
        <a:bodyPr/>
        <a:lstStyle/>
        <a:p>
          <a:r>
            <a:rPr lang="en-AU"/>
            <a:t>Transition &amp; retire</a:t>
          </a:r>
        </a:p>
      </dgm:t>
    </dgm:pt>
    <dgm:pt modelId="{B7EEFDCF-7181-4816-99F8-3A5468733BD6}" type="parTrans" cxnId="{B3C13507-1626-48EF-A33E-11C58364F214}">
      <dgm:prSet/>
      <dgm:spPr/>
      <dgm:t>
        <a:bodyPr/>
        <a:lstStyle/>
        <a:p>
          <a:endParaRPr lang="en-AU"/>
        </a:p>
      </dgm:t>
    </dgm:pt>
    <dgm:pt modelId="{DE38E95C-C48E-4CAA-B1BB-9A50CEFD6401}" type="sibTrans" cxnId="{B3C13507-1626-48EF-A33E-11C58364F214}">
      <dgm:prSet/>
      <dgm:spPr/>
      <dgm:t>
        <a:bodyPr/>
        <a:lstStyle/>
        <a:p>
          <a:endParaRPr lang="en-AU"/>
        </a:p>
      </dgm:t>
    </dgm:pt>
    <dgm:pt modelId="{BBD452DC-806E-4E75-ADFF-874082C11854}" type="pres">
      <dgm:prSet presAssocID="{07920087-B938-4E2F-BC04-9E3E630F1BF9}" presName="Name0" presStyleCnt="0">
        <dgm:presLayoutVars>
          <dgm:chMax val="11"/>
          <dgm:chPref val="11"/>
          <dgm:dir/>
          <dgm:resizeHandles/>
        </dgm:presLayoutVars>
      </dgm:prSet>
      <dgm:spPr/>
    </dgm:pt>
    <dgm:pt modelId="{56FFF6F5-226A-4054-A30F-94D8B6720963}" type="pres">
      <dgm:prSet presAssocID="{08B8D2B1-ACA1-4782-B753-06F2D079124C}" presName="Accent6" presStyleCnt="0"/>
      <dgm:spPr/>
    </dgm:pt>
    <dgm:pt modelId="{F100634B-E93D-4837-BFA7-59DA4F21A508}" type="pres">
      <dgm:prSet presAssocID="{08B8D2B1-ACA1-4782-B753-06F2D079124C}" presName="Accent" presStyleLbl="node1" presStyleIdx="0" presStyleCnt="6"/>
      <dgm:spPr/>
    </dgm:pt>
    <dgm:pt modelId="{5A16A74B-20D3-4995-B78D-178143A97A1A}" type="pres">
      <dgm:prSet presAssocID="{08B8D2B1-ACA1-4782-B753-06F2D079124C}" presName="ParentBackground6" presStyleCnt="0"/>
      <dgm:spPr/>
    </dgm:pt>
    <dgm:pt modelId="{ECDCF88A-2501-4B7D-A7E2-6C73F926164C}" type="pres">
      <dgm:prSet presAssocID="{08B8D2B1-ACA1-4782-B753-06F2D079124C}" presName="ParentBackground" presStyleLbl="fgAcc1" presStyleIdx="0" presStyleCnt="6"/>
      <dgm:spPr/>
    </dgm:pt>
    <dgm:pt modelId="{600F1ADC-798A-42E5-8821-787382FDFE3D}" type="pres">
      <dgm:prSet presAssocID="{08B8D2B1-ACA1-4782-B753-06F2D079124C}" presName="Parent6" presStyleLbl="revTx" presStyleIdx="0" presStyleCnt="0">
        <dgm:presLayoutVars>
          <dgm:chMax val="1"/>
          <dgm:chPref val="1"/>
          <dgm:bulletEnabled val="1"/>
        </dgm:presLayoutVars>
      </dgm:prSet>
      <dgm:spPr/>
    </dgm:pt>
    <dgm:pt modelId="{3F11D4DC-C08B-408B-9E94-599E5EF3B931}" type="pres">
      <dgm:prSet presAssocID="{3CC99879-6361-4D06-8163-F2679CE17A39}" presName="Accent5" presStyleCnt="0"/>
      <dgm:spPr/>
    </dgm:pt>
    <dgm:pt modelId="{910BC62C-AA5D-4773-B3B3-BB0E3C1A10D4}" type="pres">
      <dgm:prSet presAssocID="{3CC99879-6361-4D06-8163-F2679CE17A39}" presName="Accent" presStyleLbl="node1" presStyleIdx="1" presStyleCnt="6"/>
      <dgm:spPr/>
    </dgm:pt>
    <dgm:pt modelId="{58840A70-837F-416D-BED3-FAE6F7836939}" type="pres">
      <dgm:prSet presAssocID="{3CC99879-6361-4D06-8163-F2679CE17A39}" presName="ParentBackground5" presStyleCnt="0"/>
      <dgm:spPr/>
    </dgm:pt>
    <dgm:pt modelId="{16597BEB-047B-4598-A407-97E215D1C9AA}" type="pres">
      <dgm:prSet presAssocID="{3CC99879-6361-4D06-8163-F2679CE17A39}" presName="ParentBackground" presStyleLbl="fgAcc1" presStyleIdx="1" presStyleCnt="6"/>
      <dgm:spPr/>
    </dgm:pt>
    <dgm:pt modelId="{5E135156-E9EF-427C-8EA6-7627463A4E6C}" type="pres">
      <dgm:prSet presAssocID="{3CC99879-6361-4D06-8163-F2679CE17A39}" presName="Parent5" presStyleLbl="revTx" presStyleIdx="0" presStyleCnt="0">
        <dgm:presLayoutVars>
          <dgm:chMax val="1"/>
          <dgm:chPref val="1"/>
          <dgm:bulletEnabled val="1"/>
        </dgm:presLayoutVars>
      </dgm:prSet>
      <dgm:spPr/>
    </dgm:pt>
    <dgm:pt modelId="{F5FF2FD0-69E5-4C0F-BF9B-9A626A6D8CCF}" type="pres">
      <dgm:prSet presAssocID="{58692818-9DE1-477B-B3A5-BA54D1035C90}" presName="Accent4" presStyleCnt="0"/>
      <dgm:spPr/>
    </dgm:pt>
    <dgm:pt modelId="{330DAC70-761E-4A4D-9580-65699E3A2856}" type="pres">
      <dgm:prSet presAssocID="{58692818-9DE1-477B-B3A5-BA54D1035C90}" presName="Accent" presStyleLbl="node1" presStyleIdx="2" presStyleCnt="6"/>
      <dgm:spPr/>
    </dgm:pt>
    <dgm:pt modelId="{38CE1FA6-4B30-4096-A3D4-5A19E7AAE0FA}" type="pres">
      <dgm:prSet presAssocID="{58692818-9DE1-477B-B3A5-BA54D1035C90}" presName="ParentBackground4" presStyleCnt="0"/>
      <dgm:spPr/>
    </dgm:pt>
    <dgm:pt modelId="{017F34FB-4028-47B2-BBE4-CC869F360AF3}" type="pres">
      <dgm:prSet presAssocID="{58692818-9DE1-477B-B3A5-BA54D1035C90}" presName="ParentBackground" presStyleLbl="fgAcc1" presStyleIdx="2" presStyleCnt="6"/>
      <dgm:spPr/>
    </dgm:pt>
    <dgm:pt modelId="{6A0D4213-1BDF-4B37-B3CF-40CF6C39AD6F}" type="pres">
      <dgm:prSet presAssocID="{58692818-9DE1-477B-B3A5-BA54D1035C90}" presName="Parent4" presStyleLbl="revTx" presStyleIdx="0" presStyleCnt="0">
        <dgm:presLayoutVars>
          <dgm:chMax val="1"/>
          <dgm:chPref val="1"/>
          <dgm:bulletEnabled val="1"/>
        </dgm:presLayoutVars>
      </dgm:prSet>
      <dgm:spPr/>
    </dgm:pt>
    <dgm:pt modelId="{953E4CA6-2783-42D4-ABE2-328ACCF93A58}" type="pres">
      <dgm:prSet presAssocID="{EE59BF01-4CE6-4FDE-8F28-B40D287D85DB}" presName="Accent3" presStyleCnt="0"/>
      <dgm:spPr/>
    </dgm:pt>
    <dgm:pt modelId="{18A00DA5-41A7-4FEB-A5AF-B0857E04BEB3}" type="pres">
      <dgm:prSet presAssocID="{EE59BF01-4CE6-4FDE-8F28-B40D287D85DB}" presName="Accent" presStyleLbl="node1" presStyleIdx="3" presStyleCnt="6"/>
      <dgm:spPr/>
    </dgm:pt>
    <dgm:pt modelId="{EF1F04CF-FA3D-482C-BC96-8767B987FEC9}" type="pres">
      <dgm:prSet presAssocID="{EE59BF01-4CE6-4FDE-8F28-B40D287D85DB}" presName="ParentBackground3" presStyleCnt="0"/>
      <dgm:spPr/>
    </dgm:pt>
    <dgm:pt modelId="{2EC31C68-B9D4-4E6D-9C83-E491A53B1EC6}" type="pres">
      <dgm:prSet presAssocID="{EE59BF01-4CE6-4FDE-8F28-B40D287D85DB}" presName="ParentBackground" presStyleLbl="fgAcc1" presStyleIdx="3" presStyleCnt="6"/>
      <dgm:spPr/>
    </dgm:pt>
    <dgm:pt modelId="{7A33BA99-8532-4E47-A2D3-BE397ECAF65E}" type="pres">
      <dgm:prSet presAssocID="{EE59BF01-4CE6-4FDE-8F28-B40D287D85DB}" presName="Parent3" presStyleLbl="revTx" presStyleIdx="0" presStyleCnt="0">
        <dgm:presLayoutVars>
          <dgm:chMax val="1"/>
          <dgm:chPref val="1"/>
          <dgm:bulletEnabled val="1"/>
        </dgm:presLayoutVars>
      </dgm:prSet>
      <dgm:spPr/>
    </dgm:pt>
    <dgm:pt modelId="{1EA49D08-BBDE-4A2A-9EF7-5BD6AFFEE53B}" type="pres">
      <dgm:prSet presAssocID="{52D79DDF-E172-4919-9475-8D2E9A8D5152}" presName="Accent2" presStyleCnt="0"/>
      <dgm:spPr/>
    </dgm:pt>
    <dgm:pt modelId="{6224AFF6-E6E4-42AC-9AC0-7FC486CB2255}" type="pres">
      <dgm:prSet presAssocID="{52D79DDF-E172-4919-9475-8D2E9A8D5152}" presName="Accent" presStyleLbl="node1" presStyleIdx="4" presStyleCnt="6"/>
      <dgm:spPr/>
    </dgm:pt>
    <dgm:pt modelId="{11A1BC45-D5AE-4185-8097-47E85A4A9856}" type="pres">
      <dgm:prSet presAssocID="{52D79DDF-E172-4919-9475-8D2E9A8D5152}" presName="ParentBackground2" presStyleCnt="0"/>
      <dgm:spPr/>
    </dgm:pt>
    <dgm:pt modelId="{0BDF56C1-3C21-4020-BDED-30DEBE035B3F}" type="pres">
      <dgm:prSet presAssocID="{52D79DDF-E172-4919-9475-8D2E9A8D5152}" presName="ParentBackground" presStyleLbl="fgAcc1" presStyleIdx="4" presStyleCnt="6"/>
      <dgm:spPr/>
    </dgm:pt>
    <dgm:pt modelId="{96E3DE57-5156-48C2-B7B2-EA274C36092A}" type="pres">
      <dgm:prSet presAssocID="{52D79DDF-E172-4919-9475-8D2E9A8D5152}" presName="Parent2" presStyleLbl="revTx" presStyleIdx="0" presStyleCnt="0">
        <dgm:presLayoutVars>
          <dgm:chMax val="1"/>
          <dgm:chPref val="1"/>
          <dgm:bulletEnabled val="1"/>
        </dgm:presLayoutVars>
      </dgm:prSet>
      <dgm:spPr/>
    </dgm:pt>
    <dgm:pt modelId="{BE1A68CA-201A-4439-9258-A44322F49BB9}" type="pres">
      <dgm:prSet presAssocID="{12F7D86A-2E7C-4895-A7F9-2A45EF0B5B7B}" presName="Accent1" presStyleCnt="0"/>
      <dgm:spPr/>
    </dgm:pt>
    <dgm:pt modelId="{1C797803-15E5-434B-8F62-FF5D805AF196}" type="pres">
      <dgm:prSet presAssocID="{12F7D86A-2E7C-4895-A7F9-2A45EF0B5B7B}" presName="Accent" presStyleLbl="node1" presStyleIdx="5" presStyleCnt="6"/>
      <dgm:spPr/>
    </dgm:pt>
    <dgm:pt modelId="{388BC5CD-2A46-49BA-BF9D-0E81EBB434A3}" type="pres">
      <dgm:prSet presAssocID="{12F7D86A-2E7C-4895-A7F9-2A45EF0B5B7B}" presName="ParentBackground1" presStyleCnt="0"/>
      <dgm:spPr/>
    </dgm:pt>
    <dgm:pt modelId="{CED93FC5-FC98-4DDF-922E-D7C44E4607D7}" type="pres">
      <dgm:prSet presAssocID="{12F7D86A-2E7C-4895-A7F9-2A45EF0B5B7B}" presName="ParentBackground" presStyleLbl="fgAcc1" presStyleIdx="5" presStyleCnt="6"/>
      <dgm:spPr/>
    </dgm:pt>
    <dgm:pt modelId="{F59838C7-BBC7-4A41-9364-5DFB7E95D399}" type="pres">
      <dgm:prSet presAssocID="{12F7D86A-2E7C-4895-A7F9-2A45EF0B5B7B}" presName="Parent1" presStyleLbl="revTx" presStyleIdx="0" presStyleCnt="0">
        <dgm:presLayoutVars>
          <dgm:chMax val="1"/>
          <dgm:chPref val="1"/>
          <dgm:bulletEnabled val="1"/>
        </dgm:presLayoutVars>
      </dgm:prSet>
      <dgm:spPr/>
    </dgm:pt>
  </dgm:ptLst>
  <dgm:cxnLst>
    <dgm:cxn modelId="{B3C13507-1626-48EF-A33E-11C58364F214}" srcId="{07920087-B938-4E2F-BC04-9E3E630F1BF9}" destId="{08B8D2B1-ACA1-4782-B753-06F2D079124C}" srcOrd="5" destOrd="0" parTransId="{B7EEFDCF-7181-4816-99F8-3A5468733BD6}" sibTransId="{DE38E95C-C48E-4CAA-B1BB-9A50CEFD6401}"/>
    <dgm:cxn modelId="{8DE64112-FED6-43C9-972F-1EAA0C97155A}" srcId="{07920087-B938-4E2F-BC04-9E3E630F1BF9}" destId="{12F7D86A-2E7C-4895-A7F9-2A45EF0B5B7B}" srcOrd="0" destOrd="0" parTransId="{8C28B102-ACE0-4D5B-9255-4E4882E8AB72}" sibTransId="{DCF9EAC7-8059-446E-ADA6-318CE2492D92}"/>
    <dgm:cxn modelId="{A5F1C634-77EF-4B3C-BDCD-05A321061CE3}" type="presOf" srcId="{08B8D2B1-ACA1-4782-B753-06F2D079124C}" destId="{ECDCF88A-2501-4B7D-A7E2-6C73F926164C}" srcOrd="0" destOrd="0" presId="urn:microsoft.com/office/officeart/2011/layout/CircleProcess"/>
    <dgm:cxn modelId="{4CDE2A69-E0C7-4578-8B9A-137940FF9A98}" srcId="{07920087-B938-4E2F-BC04-9E3E630F1BF9}" destId="{EE59BF01-4CE6-4FDE-8F28-B40D287D85DB}" srcOrd="2" destOrd="0" parTransId="{9B39ABD3-81CC-4FDA-ACFC-7DB1638D3860}" sibTransId="{C09577F5-3C6D-4019-AB06-608514CB49E0}"/>
    <dgm:cxn modelId="{0CEF256A-2313-4EBC-8437-979805797138}" srcId="{07920087-B938-4E2F-BC04-9E3E630F1BF9}" destId="{3CC99879-6361-4D06-8163-F2679CE17A39}" srcOrd="4" destOrd="0" parTransId="{40769A01-5496-43AA-8775-384BA9D07984}" sibTransId="{1286492F-6A80-4443-BC36-7B9AFF8B0AC2}"/>
    <dgm:cxn modelId="{B4321C4D-7B25-4D3C-90F4-9066428C916C}" type="presOf" srcId="{EE59BF01-4CE6-4FDE-8F28-B40D287D85DB}" destId="{7A33BA99-8532-4E47-A2D3-BE397ECAF65E}" srcOrd="1" destOrd="0" presId="urn:microsoft.com/office/officeart/2011/layout/CircleProcess"/>
    <dgm:cxn modelId="{8D0D3D4F-BC3E-4AC9-903D-00DDCDEA2D85}" type="presOf" srcId="{08B8D2B1-ACA1-4782-B753-06F2D079124C}" destId="{600F1ADC-798A-42E5-8821-787382FDFE3D}" srcOrd="1" destOrd="0" presId="urn:microsoft.com/office/officeart/2011/layout/CircleProcess"/>
    <dgm:cxn modelId="{2CB67851-5483-45EE-8699-D6EB0B9FA97D}" type="presOf" srcId="{58692818-9DE1-477B-B3A5-BA54D1035C90}" destId="{6A0D4213-1BDF-4B37-B3CF-40CF6C39AD6F}" srcOrd="1" destOrd="0" presId="urn:microsoft.com/office/officeart/2011/layout/CircleProcess"/>
    <dgm:cxn modelId="{57CDFE76-A2D6-419C-8499-E9A95EFD4468}" srcId="{07920087-B938-4E2F-BC04-9E3E630F1BF9}" destId="{58692818-9DE1-477B-B3A5-BA54D1035C90}" srcOrd="3" destOrd="0" parTransId="{44B3ECAF-29E0-4BF3-956C-16D43A20E79E}" sibTransId="{D6CC2F10-047A-46F7-A305-988DD1169015}"/>
    <dgm:cxn modelId="{E62BA379-ACF9-491A-9C2D-E4B46DB2606E}" type="presOf" srcId="{07920087-B938-4E2F-BC04-9E3E630F1BF9}" destId="{BBD452DC-806E-4E75-ADFF-874082C11854}" srcOrd="0" destOrd="0" presId="urn:microsoft.com/office/officeart/2011/layout/CircleProcess"/>
    <dgm:cxn modelId="{014E398E-58D4-42C8-962D-98D503A122FF}" srcId="{07920087-B938-4E2F-BC04-9E3E630F1BF9}" destId="{52D79DDF-E172-4919-9475-8D2E9A8D5152}" srcOrd="1" destOrd="0" parTransId="{2E3F72C8-A99F-4F2B-A32E-FAD51E8C8239}" sibTransId="{06E67161-67BB-4AC7-8AFD-8B8AB768B986}"/>
    <dgm:cxn modelId="{00D1FC91-FFBE-41BC-B204-5379706CC432}" type="presOf" srcId="{EE59BF01-4CE6-4FDE-8F28-B40D287D85DB}" destId="{2EC31C68-B9D4-4E6D-9C83-E491A53B1EC6}" srcOrd="0" destOrd="0" presId="urn:microsoft.com/office/officeart/2011/layout/CircleProcess"/>
    <dgm:cxn modelId="{CC16129A-6648-4F63-9D3F-C09D0DAB7CFE}" type="presOf" srcId="{52D79DDF-E172-4919-9475-8D2E9A8D5152}" destId="{0BDF56C1-3C21-4020-BDED-30DEBE035B3F}" srcOrd="0" destOrd="0" presId="urn:microsoft.com/office/officeart/2011/layout/CircleProcess"/>
    <dgm:cxn modelId="{AAF807A8-3015-4A2F-A0A0-21E9367CACB5}" type="presOf" srcId="{12F7D86A-2E7C-4895-A7F9-2A45EF0B5B7B}" destId="{F59838C7-BBC7-4A41-9364-5DFB7E95D399}" srcOrd="1" destOrd="0" presId="urn:microsoft.com/office/officeart/2011/layout/CircleProcess"/>
    <dgm:cxn modelId="{2166D4B0-67E8-426C-8B89-F5F02B567542}" type="presOf" srcId="{52D79DDF-E172-4919-9475-8D2E9A8D5152}" destId="{96E3DE57-5156-48C2-B7B2-EA274C36092A}" srcOrd="1" destOrd="0" presId="urn:microsoft.com/office/officeart/2011/layout/CircleProcess"/>
    <dgm:cxn modelId="{6807C7B9-C0D6-4334-B8AF-A46DA1DDFA16}" type="presOf" srcId="{3CC99879-6361-4D06-8163-F2679CE17A39}" destId="{16597BEB-047B-4598-A407-97E215D1C9AA}" srcOrd="0" destOrd="0" presId="urn:microsoft.com/office/officeart/2011/layout/CircleProcess"/>
    <dgm:cxn modelId="{CDCC05BA-D34F-4E77-9F79-8994582FBEF1}" type="presOf" srcId="{12F7D86A-2E7C-4895-A7F9-2A45EF0B5B7B}" destId="{CED93FC5-FC98-4DDF-922E-D7C44E4607D7}" srcOrd="0" destOrd="0" presId="urn:microsoft.com/office/officeart/2011/layout/CircleProcess"/>
    <dgm:cxn modelId="{6B4608E9-33F7-433A-8FF2-02E5FFE90B6A}" type="presOf" srcId="{58692818-9DE1-477B-B3A5-BA54D1035C90}" destId="{017F34FB-4028-47B2-BBE4-CC869F360AF3}" srcOrd="0" destOrd="0" presId="urn:microsoft.com/office/officeart/2011/layout/CircleProcess"/>
    <dgm:cxn modelId="{B70188FA-6BAA-47E4-935B-002AAF0A6958}" type="presOf" srcId="{3CC99879-6361-4D06-8163-F2679CE17A39}" destId="{5E135156-E9EF-427C-8EA6-7627463A4E6C}" srcOrd="1" destOrd="0" presId="urn:microsoft.com/office/officeart/2011/layout/CircleProcess"/>
    <dgm:cxn modelId="{444B5BCD-09FC-46F5-A7C6-FFFA12E9B96A}" type="presParOf" srcId="{BBD452DC-806E-4E75-ADFF-874082C11854}" destId="{56FFF6F5-226A-4054-A30F-94D8B6720963}" srcOrd="0" destOrd="0" presId="urn:microsoft.com/office/officeart/2011/layout/CircleProcess"/>
    <dgm:cxn modelId="{FA2A05E2-B898-4C27-A4B4-760977DE4729}" type="presParOf" srcId="{56FFF6F5-226A-4054-A30F-94D8B6720963}" destId="{F100634B-E93D-4837-BFA7-59DA4F21A508}" srcOrd="0" destOrd="0" presId="urn:microsoft.com/office/officeart/2011/layout/CircleProcess"/>
    <dgm:cxn modelId="{437B6507-555D-4EE2-997B-7895BB908D2C}" type="presParOf" srcId="{BBD452DC-806E-4E75-ADFF-874082C11854}" destId="{5A16A74B-20D3-4995-B78D-178143A97A1A}" srcOrd="1" destOrd="0" presId="urn:microsoft.com/office/officeart/2011/layout/CircleProcess"/>
    <dgm:cxn modelId="{B9D85899-8A03-4AD4-B4BB-E2B3D99DCDDA}" type="presParOf" srcId="{5A16A74B-20D3-4995-B78D-178143A97A1A}" destId="{ECDCF88A-2501-4B7D-A7E2-6C73F926164C}" srcOrd="0" destOrd="0" presId="urn:microsoft.com/office/officeart/2011/layout/CircleProcess"/>
    <dgm:cxn modelId="{64FD0104-37C7-4B03-B13C-270173CEBB58}" type="presParOf" srcId="{BBD452DC-806E-4E75-ADFF-874082C11854}" destId="{600F1ADC-798A-42E5-8821-787382FDFE3D}" srcOrd="2" destOrd="0" presId="urn:microsoft.com/office/officeart/2011/layout/CircleProcess"/>
    <dgm:cxn modelId="{8BCD110A-20A8-4A84-ADFE-DB4D7F99E91A}" type="presParOf" srcId="{BBD452DC-806E-4E75-ADFF-874082C11854}" destId="{3F11D4DC-C08B-408B-9E94-599E5EF3B931}" srcOrd="3" destOrd="0" presId="urn:microsoft.com/office/officeart/2011/layout/CircleProcess"/>
    <dgm:cxn modelId="{6345F0D1-76A1-4332-8041-23E91B5090F1}" type="presParOf" srcId="{3F11D4DC-C08B-408B-9E94-599E5EF3B931}" destId="{910BC62C-AA5D-4773-B3B3-BB0E3C1A10D4}" srcOrd="0" destOrd="0" presId="urn:microsoft.com/office/officeart/2011/layout/CircleProcess"/>
    <dgm:cxn modelId="{A87DD575-D296-4883-8BB7-A4DA7497897B}" type="presParOf" srcId="{BBD452DC-806E-4E75-ADFF-874082C11854}" destId="{58840A70-837F-416D-BED3-FAE6F7836939}" srcOrd="4" destOrd="0" presId="urn:microsoft.com/office/officeart/2011/layout/CircleProcess"/>
    <dgm:cxn modelId="{99BBB6A9-EBCA-4F4B-9B10-BA9CE8085CE0}" type="presParOf" srcId="{58840A70-837F-416D-BED3-FAE6F7836939}" destId="{16597BEB-047B-4598-A407-97E215D1C9AA}" srcOrd="0" destOrd="0" presId="urn:microsoft.com/office/officeart/2011/layout/CircleProcess"/>
    <dgm:cxn modelId="{28935F73-021B-438B-80F6-44615E296A8A}" type="presParOf" srcId="{BBD452DC-806E-4E75-ADFF-874082C11854}" destId="{5E135156-E9EF-427C-8EA6-7627463A4E6C}" srcOrd="5" destOrd="0" presId="urn:microsoft.com/office/officeart/2011/layout/CircleProcess"/>
    <dgm:cxn modelId="{17FB4FD3-FFDD-4C66-98F3-40B6D65EF1D6}" type="presParOf" srcId="{BBD452DC-806E-4E75-ADFF-874082C11854}" destId="{F5FF2FD0-69E5-4C0F-BF9B-9A626A6D8CCF}" srcOrd="6" destOrd="0" presId="urn:microsoft.com/office/officeart/2011/layout/CircleProcess"/>
    <dgm:cxn modelId="{0D0C2073-DB68-4524-A630-8887C1C398EC}" type="presParOf" srcId="{F5FF2FD0-69E5-4C0F-BF9B-9A626A6D8CCF}" destId="{330DAC70-761E-4A4D-9580-65699E3A2856}" srcOrd="0" destOrd="0" presId="urn:microsoft.com/office/officeart/2011/layout/CircleProcess"/>
    <dgm:cxn modelId="{7A86E41E-1A58-4C26-B6F0-BA080F64F846}" type="presParOf" srcId="{BBD452DC-806E-4E75-ADFF-874082C11854}" destId="{38CE1FA6-4B30-4096-A3D4-5A19E7AAE0FA}" srcOrd="7" destOrd="0" presId="urn:microsoft.com/office/officeart/2011/layout/CircleProcess"/>
    <dgm:cxn modelId="{A4546D76-5ED8-4883-862A-EBF9C57B18EE}" type="presParOf" srcId="{38CE1FA6-4B30-4096-A3D4-5A19E7AAE0FA}" destId="{017F34FB-4028-47B2-BBE4-CC869F360AF3}" srcOrd="0" destOrd="0" presId="urn:microsoft.com/office/officeart/2011/layout/CircleProcess"/>
    <dgm:cxn modelId="{90FB108C-CF3A-440F-9DEE-695D2A95FF84}" type="presParOf" srcId="{BBD452DC-806E-4E75-ADFF-874082C11854}" destId="{6A0D4213-1BDF-4B37-B3CF-40CF6C39AD6F}" srcOrd="8" destOrd="0" presId="urn:microsoft.com/office/officeart/2011/layout/CircleProcess"/>
    <dgm:cxn modelId="{B776DB39-02A4-4AC9-9A83-A3151C07D3B1}" type="presParOf" srcId="{BBD452DC-806E-4E75-ADFF-874082C11854}" destId="{953E4CA6-2783-42D4-ABE2-328ACCF93A58}" srcOrd="9" destOrd="0" presId="urn:microsoft.com/office/officeart/2011/layout/CircleProcess"/>
    <dgm:cxn modelId="{54203C4B-2D7B-45F7-B48B-C51549162A8B}" type="presParOf" srcId="{953E4CA6-2783-42D4-ABE2-328ACCF93A58}" destId="{18A00DA5-41A7-4FEB-A5AF-B0857E04BEB3}" srcOrd="0" destOrd="0" presId="urn:microsoft.com/office/officeart/2011/layout/CircleProcess"/>
    <dgm:cxn modelId="{B29845F1-1321-4712-8D77-BB0221D87FF7}" type="presParOf" srcId="{BBD452DC-806E-4E75-ADFF-874082C11854}" destId="{EF1F04CF-FA3D-482C-BC96-8767B987FEC9}" srcOrd="10" destOrd="0" presId="urn:microsoft.com/office/officeart/2011/layout/CircleProcess"/>
    <dgm:cxn modelId="{334A3243-F20C-47FC-8E71-A48E1E24FBAC}" type="presParOf" srcId="{EF1F04CF-FA3D-482C-BC96-8767B987FEC9}" destId="{2EC31C68-B9D4-4E6D-9C83-E491A53B1EC6}" srcOrd="0" destOrd="0" presId="urn:microsoft.com/office/officeart/2011/layout/CircleProcess"/>
    <dgm:cxn modelId="{DEB8218A-CFC1-4411-9023-3843199AD517}" type="presParOf" srcId="{BBD452DC-806E-4E75-ADFF-874082C11854}" destId="{7A33BA99-8532-4E47-A2D3-BE397ECAF65E}" srcOrd="11" destOrd="0" presId="urn:microsoft.com/office/officeart/2011/layout/CircleProcess"/>
    <dgm:cxn modelId="{C7371404-2EAF-4DEF-B6F2-C5DF7B8E7BDC}" type="presParOf" srcId="{BBD452DC-806E-4E75-ADFF-874082C11854}" destId="{1EA49D08-BBDE-4A2A-9EF7-5BD6AFFEE53B}" srcOrd="12" destOrd="0" presId="urn:microsoft.com/office/officeart/2011/layout/CircleProcess"/>
    <dgm:cxn modelId="{31CCB859-07C2-4CBD-8E5F-2014AFA81AAD}" type="presParOf" srcId="{1EA49D08-BBDE-4A2A-9EF7-5BD6AFFEE53B}" destId="{6224AFF6-E6E4-42AC-9AC0-7FC486CB2255}" srcOrd="0" destOrd="0" presId="urn:microsoft.com/office/officeart/2011/layout/CircleProcess"/>
    <dgm:cxn modelId="{7517040A-CBD9-44FC-BA69-D6E0B110FB20}" type="presParOf" srcId="{BBD452DC-806E-4E75-ADFF-874082C11854}" destId="{11A1BC45-D5AE-4185-8097-47E85A4A9856}" srcOrd="13" destOrd="0" presId="urn:microsoft.com/office/officeart/2011/layout/CircleProcess"/>
    <dgm:cxn modelId="{F5D8780D-765E-4252-ADD6-E91EC43BA604}" type="presParOf" srcId="{11A1BC45-D5AE-4185-8097-47E85A4A9856}" destId="{0BDF56C1-3C21-4020-BDED-30DEBE035B3F}" srcOrd="0" destOrd="0" presId="urn:microsoft.com/office/officeart/2011/layout/CircleProcess"/>
    <dgm:cxn modelId="{04A6D4CA-4969-4114-A8E6-D5E3AA9D566A}" type="presParOf" srcId="{BBD452DC-806E-4E75-ADFF-874082C11854}" destId="{96E3DE57-5156-48C2-B7B2-EA274C36092A}" srcOrd="14" destOrd="0" presId="urn:microsoft.com/office/officeart/2011/layout/CircleProcess"/>
    <dgm:cxn modelId="{C3E542F6-0EFB-4953-845E-750F3A9838E5}" type="presParOf" srcId="{BBD452DC-806E-4E75-ADFF-874082C11854}" destId="{BE1A68CA-201A-4439-9258-A44322F49BB9}" srcOrd="15" destOrd="0" presId="urn:microsoft.com/office/officeart/2011/layout/CircleProcess"/>
    <dgm:cxn modelId="{69758F99-7FF1-4775-9AA6-23FBFFC54D18}" type="presParOf" srcId="{BE1A68CA-201A-4439-9258-A44322F49BB9}" destId="{1C797803-15E5-434B-8F62-FF5D805AF196}" srcOrd="0" destOrd="0" presId="urn:microsoft.com/office/officeart/2011/layout/CircleProcess"/>
    <dgm:cxn modelId="{66B9C27E-BECA-478E-9A84-F28916F88211}" type="presParOf" srcId="{BBD452DC-806E-4E75-ADFF-874082C11854}" destId="{388BC5CD-2A46-49BA-BF9D-0E81EBB434A3}" srcOrd="16" destOrd="0" presId="urn:microsoft.com/office/officeart/2011/layout/CircleProcess"/>
    <dgm:cxn modelId="{E51CA7D1-8136-4904-8878-B75A4295935D}" type="presParOf" srcId="{388BC5CD-2A46-49BA-BF9D-0E81EBB434A3}" destId="{CED93FC5-FC98-4DDF-922E-D7C44E4607D7}" srcOrd="0" destOrd="0" presId="urn:microsoft.com/office/officeart/2011/layout/CircleProcess"/>
    <dgm:cxn modelId="{671699BC-9D9A-4C4D-A44A-FC789F5F7894}" type="presParOf" srcId="{BBD452DC-806E-4E75-ADFF-874082C11854}" destId="{F59838C7-BBC7-4A41-9364-5DFB7E95D399}" srcOrd="17" destOrd="0" presId="urn:microsoft.com/office/officeart/2011/layout/Circle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00634B-E93D-4837-BFA7-59DA4F21A508}">
      <dsp:nvSpPr>
        <dsp:cNvPr id="0" name=""/>
        <dsp:cNvSpPr/>
      </dsp:nvSpPr>
      <dsp:spPr>
        <a:xfrm>
          <a:off x="4595479" y="282738"/>
          <a:ext cx="749247" cy="7491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DCF88A-2501-4B7D-A7E2-6C73F926164C}">
      <dsp:nvSpPr>
        <dsp:cNvPr id="0" name=""/>
        <dsp:cNvSpPr/>
      </dsp:nvSpPr>
      <dsp:spPr>
        <a:xfrm>
          <a:off x="4620708" y="307712"/>
          <a:ext cx="699265" cy="699155"/>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Transition &amp; retire</a:t>
          </a:r>
        </a:p>
      </dsp:txBody>
      <dsp:txXfrm>
        <a:off x="4720671" y="407610"/>
        <a:ext cx="499339" cy="499359"/>
      </dsp:txXfrm>
    </dsp:sp>
    <dsp:sp modelId="{910BC62C-AA5D-4773-B3B3-BB0E3C1A10D4}">
      <dsp:nvSpPr>
        <dsp:cNvPr id="0" name=""/>
        <dsp:cNvSpPr/>
      </dsp:nvSpPr>
      <dsp:spPr>
        <a:xfrm rot="2700000">
          <a:off x="3821532" y="282654"/>
          <a:ext cx="749141" cy="7491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597BEB-047B-4598-A407-97E215D1C9AA}">
      <dsp:nvSpPr>
        <dsp:cNvPr id="0" name=""/>
        <dsp:cNvSpPr/>
      </dsp:nvSpPr>
      <dsp:spPr>
        <a:xfrm>
          <a:off x="3846708" y="307712"/>
          <a:ext cx="699265" cy="699155"/>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Manage/ maintain</a:t>
          </a:r>
        </a:p>
      </dsp:txBody>
      <dsp:txXfrm>
        <a:off x="3946671" y="407610"/>
        <a:ext cx="499339" cy="499359"/>
      </dsp:txXfrm>
    </dsp:sp>
    <dsp:sp modelId="{330DAC70-761E-4A4D-9580-65699E3A2856}">
      <dsp:nvSpPr>
        <dsp:cNvPr id="0" name=""/>
        <dsp:cNvSpPr/>
      </dsp:nvSpPr>
      <dsp:spPr>
        <a:xfrm rot="2700000">
          <a:off x="3047532" y="282654"/>
          <a:ext cx="749141" cy="7491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7F34FB-4028-47B2-BBE4-CC869F360AF3}">
      <dsp:nvSpPr>
        <dsp:cNvPr id="0" name=""/>
        <dsp:cNvSpPr/>
      </dsp:nvSpPr>
      <dsp:spPr>
        <a:xfrm>
          <a:off x="3072708" y="307712"/>
          <a:ext cx="699265" cy="699155"/>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Deploy</a:t>
          </a:r>
        </a:p>
      </dsp:txBody>
      <dsp:txXfrm>
        <a:off x="3172671" y="407610"/>
        <a:ext cx="499339" cy="499359"/>
      </dsp:txXfrm>
    </dsp:sp>
    <dsp:sp modelId="{18A00DA5-41A7-4FEB-A5AF-B0857E04BEB3}">
      <dsp:nvSpPr>
        <dsp:cNvPr id="0" name=""/>
        <dsp:cNvSpPr/>
      </dsp:nvSpPr>
      <dsp:spPr>
        <a:xfrm rot="2700000">
          <a:off x="2273531" y="282654"/>
          <a:ext cx="749141" cy="7491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C31C68-B9D4-4E6D-9C83-E491A53B1EC6}">
      <dsp:nvSpPr>
        <dsp:cNvPr id="0" name=""/>
        <dsp:cNvSpPr/>
      </dsp:nvSpPr>
      <dsp:spPr>
        <a:xfrm>
          <a:off x="2298707" y="307712"/>
          <a:ext cx="699265" cy="699155"/>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Prepare to deploy</a:t>
          </a:r>
        </a:p>
      </dsp:txBody>
      <dsp:txXfrm>
        <a:off x="2398194" y="407610"/>
        <a:ext cx="499339" cy="499359"/>
      </dsp:txXfrm>
    </dsp:sp>
    <dsp:sp modelId="{6224AFF6-E6E4-42AC-9AC0-7FC486CB2255}">
      <dsp:nvSpPr>
        <dsp:cNvPr id="0" name=""/>
        <dsp:cNvSpPr/>
      </dsp:nvSpPr>
      <dsp:spPr>
        <a:xfrm rot="2700000">
          <a:off x="1499531" y="282654"/>
          <a:ext cx="749141" cy="7491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DF56C1-3C21-4020-BDED-30DEBE035B3F}">
      <dsp:nvSpPr>
        <dsp:cNvPr id="0" name=""/>
        <dsp:cNvSpPr/>
      </dsp:nvSpPr>
      <dsp:spPr>
        <a:xfrm>
          <a:off x="1524707" y="307712"/>
          <a:ext cx="699265" cy="699155"/>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Test/trial</a:t>
          </a:r>
        </a:p>
      </dsp:txBody>
      <dsp:txXfrm>
        <a:off x="1624194" y="407610"/>
        <a:ext cx="499339" cy="499359"/>
      </dsp:txXfrm>
    </dsp:sp>
    <dsp:sp modelId="{1C797803-15E5-434B-8F62-FF5D805AF196}">
      <dsp:nvSpPr>
        <dsp:cNvPr id="0" name=""/>
        <dsp:cNvSpPr/>
      </dsp:nvSpPr>
      <dsp:spPr>
        <a:xfrm rot="2700000">
          <a:off x="725531" y="282654"/>
          <a:ext cx="749141" cy="74914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D93FC5-FC98-4DDF-922E-D7C44E4607D7}">
      <dsp:nvSpPr>
        <dsp:cNvPr id="0" name=""/>
        <dsp:cNvSpPr/>
      </dsp:nvSpPr>
      <dsp:spPr>
        <a:xfrm>
          <a:off x="750231" y="307712"/>
          <a:ext cx="699265" cy="699155"/>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Research &amp; develop</a:t>
          </a:r>
        </a:p>
      </dsp:txBody>
      <dsp:txXfrm>
        <a:off x="850194" y="407610"/>
        <a:ext cx="499339" cy="499359"/>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BC3CC3C3D44FEB80ED936761540337"/>
        <w:category>
          <w:name w:val="General"/>
          <w:gallery w:val="placeholder"/>
        </w:category>
        <w:types>
          <w:type w:val="bbPlcHdr"/>
        </w:types>
        <w:behaviors>
          <w:behavior w:val="content"/>
        </w:behaviors>
        <w:guid w:val="{C3CD5D12-3D86-4A6C-B551-01DBBF2453BA}"/>
      </w:docPartPr>
      <w:docPartBody>
        <w:p w:rsidR="00750536" w:rsidRDefault="00750536">
          <w:pPr>
            <w:pStyle w:val="1ABC3CC3C3D44FEB80ED936761540337"/>
          </w:pPr>
          <w:r w:rsidRPr="00A64A8B">
            <w:rPr>
              <w:rStyle w:val="PlaceholderText"/>
            </w:rPr>
            <w:t>[Status]</w:t>
          </w:r>
        </w:p>
      </w:docPartBody>
    </w:docPart>
    <w:docPart>
      <w:docPartPr>
        <w:name w:val="5F27A3864C1E4584B69276902EE1D801"/>
        <w:category>
          <w:name w:val="General"/>
          <w:gallery w:val="placeholder"/>
        </w:category>
        <w:types>
          <w:type w:val="bbPlcHdr"/>
        </w:types>
        <w:behaviors>
          <w:behavior w:val="content"/>
        </w:behaviors>
        <w:guid w:val="{851706BF-C15B-4FF3-9851-FD3F2E0B03AB}"/>
      </w:docPartPr>
      <w:docPartBody>
        <w:p w:rsidR="00750536" w:rsidRDefault="00750536">
          <w:pPr>
            <w:pStyle w:val="5F27A3864C1E4584B69276902EE1D801"/>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36"/>
    <w:rsid w:val="0064674A"/>
    <w:rsid w:val="00663B2E"/>
    <w:rsid w:val="00676B2B"/>
    <w:rsid w:val="00750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CBC1C5B59B4F8999892442D54B02E5">
    <w:name w:val="20CBC1C5B59B4F8999892442D54B02E5"/>
  </w:style>
  <w:style w:type="paragraph" w:customStyle="1" w:styleId="EC01C6D235DA44DBA4E82E9CDB6DD39E">
    <w:name w:val="EC01C6D235DA44DBA4E82E9CDB6DD39E"/>
  </w:style>
  <w:style w:type="paragraph" w:customStyle="1" w:styleId="07A4264006D14150BEE5A72ED53B60CC">
    <w:name w:val="07A4264006D14150BEE5A72ED53B60CC"/>
  </w:style>
  <w:style w:type="paragraph" w:customStyle="1" w:styleId="1EB0F8BCC6C945A98277282D437F5A21">
    <w:name w:val="1EB0F8BCC6C945A98277282D437F5A21"/>
  </w:style>
  <w:style w:type="paragraph" w:customStyle="1" w:styleId="41BB608703D34519893B41F382350A8B">
    <w:name w:val="41BB608703D34519893B41F382350A8B"/>
  </w:style>
  <w:style w:type="paragraph" w:customStyle="1" w:styleId="94DCF25061A34BD4A14EA759C4FC7F96">
    <w:name w:val="94DCF25061A34BD4A14EA759C4FC7F96"/>
  </w:style>
  <w:style w:type="paragraph" w:customStyle="1" w:styleId="1ABC3CC3C3D44FEB80ED936761540337">
    <w:name w:val="1ABC3CC3C3D44FEB80ED936761540337"/>
  </w:style>
  <w:style w:type="paragraph" w:customStyle="1" w:styleId="21A68469D26E46DDB7448E6E77329227">
    <w:name w:val="21A68469D26E46DDB7448E6E77329227"/>
  </w:style>
  <w:style w:type="paragraph" w:customStyle="1" w:styleId="5F27A3864C1E4584B69276902EE1D801">
    <w:name w:val="5F27A3864C1E4584B69276902EE1D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D0E9E-A969-4887-84E6-0FC0EC67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template_02082023.dotx</Template>
  <TotalTime>13</TotalTime>
  <Pages>19</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2024-27 National Connected and Automated Vehicle CAV) Action Plan – draft for public consultation</vt:lpstr>
    </vt:vector>
  </TitlesOfParts>
  <Company>Department of Infrastructure &amp; Regional Development</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2024-27 National Connected and Automated Vehicle CAV) Action Plan – draft for public consultation</dc:title>
  <dc:subject/>
  <dc:creator>SMITH Tracey</dc:creator>
  <cp:keywords/>
  <dc:description/>
  <cp:lastModifiedBy>SMITH, Tracey</cp:lastModifiedBy>
  <cp:revision>7</cp:revision>
  <cp:lastPrinted>2023-10-24T18:08:00Z</cp:lastPrinted>
  <dcterms:created xsi:type="dcterms:W3CDTF">2024-06-28T02:21:00Z</dcterms:created>
  <dcterms:modified xsi:type="dcterms:W3CDTF">2024-06-28T04:35:00Z</dcterms:modified>
  <cp:contentStatus>OFFICIAL</cp:contentStatus>
</cp:coreProperties>
</file>