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603" w:rsidRPr="005A7C0B" w:rsidRDefault="00A73603" w:rsidP="00A73603">
      <w:pPr>
        <w:pStyle w:val="PartHeading-TOC"/>
      </w:pPr>
      <w:bookmarkStart w:id="0" w:name="_Toc165753273"/>
      <w:bookmarkStart w:id="1" w:name="_Toc166226386"/>
      <w:bookmarkStart w:id="2" w:name="_GoBack"/>
      <w:bookmarkEnd w:id="2"/>
      <w:r>
        <w:t>Civil Aviation Safety Authority</w:t>
      </w:r>
      <w:bookmarkEnd w:id="0"/>
      <w:bookmarkEnd w:id="1"/>
    </w:p>
    <w:p w:rsidR="00A73603" w:rsidRPr="001416D6" w:rsidRDefault="00A73603" w:rsidP="00A73603">
      <w:pPr>
        <w:pStyle w:val="PartHeading-TOC"/>
      </w:pPr>
    </w:p>
    <w:p w:rsidR="00A73603" w:rsidRDefault="00A73603" w:rsidP="00A73603">
      <w:pPr>
        <w:pStyle w:val="PartHeading"/>
      </w:pPr>
      <w:r>
        <w:t>Entity resources and planned performance</w:t>
      </w:r>
    </w:p>
    <w:p w:rsidR="00A73603" w:rsidRDefault="00A73603" w:rsidP="00A73603">
      <w:pPr>
        <w:pStyle w:val="PartHeading"/>
        <w:sectPr w:rsidR="00A73603" w:rsidSect="00A73603">
          <w:footerReference w:type="even" r:id="rId7"/>
          <w:footerReference w:type="default" r:id="rId8"/>
          <w:pgSz w:w="11906" w:h="16838" w:code="9"/>
          <w:pgMar w:top="2835" w:right="2098" w:bottom="2466" w:left="2098" w:header="1814" w:footer="1814" w:gutter="0"/>
          <w:cols w:space="708"/>
          <w:vAlign w:val="center"/>
          <w:titlePg/>
          <w:docGrid w:linePitch="360"/>
        </w:sectPr>
      </w:pPr>
    </w:p>
    <w:p w:rsidR="00A73603" w:rsidRPr="00E36F77" w:rsidRDefault="00A73603" w:rsidP="00A73603">
      <w:pPr>
        <w:pStyle w:val="ContentsHeading"/>
        <w:jc w:val="center"/>
      </w:pPr>
      <w:r>
        <w:lastRenderedPageBreak/>
        <w:t>Civil Aviation Safety Authority</w:t>
      </w:r>
    </w:p>
    <w:p w:rsidR="00A73603" w:rsidRDefault="00A73603" w:rsidP="00A73603">
      <w:pPr>
        <w:pStyle w:val="TOC1"/>
        <w:rPr>
          <w:rFonts w:asciiTheme="minorHAnsi" w:eastAsiaTheme="minorEastAsia" w:hAnsiTheme="minorHAnsi" w:cstheme="minorBidi"/>
          <w:b w:val="0"/>
          <w:caps w:val="0"/>
          <w:noProof/>
          <w:sz w:val="22"/>
          <w:szCs w:val="22"/>
        </w:rPr>
      </w:pPr>
      <w:r>
        <w:fldChar w:fldCharType="begin"/>
      </w:r>
      <w:r>
        <w:instrText xml:space="preserve"> TOC \h \z \t "Heading 2 - CASA,1,Heading 3 - CASA,2" </w:instrText>
      </w:r>
      <w:r>
        <w:fldChar w:fldCharType="separate"/>
      </w:r>
      <w:hyperlink w:anchor="_Toc165838151" w:history="1">
        <w:r w:rsidRPr="00911ADD">
          <w:rPr>
            <w:rStyle w:val="Hyperlink"/>
            <w:noProof/>
          </w:rPr>
          <w:t>Section 1: Entity overview and resources</w:t>
        </w:r>
        <w:r>
          <w:rPr>
            <w:noProof/>
            <w:webHidden/>
          </w:rPr>
          <w:tab/>
        </w:r>
        <w:r>
          <w:rPr>
            <w:noProof/>
            <w:webHidden/>
          </w:rPr>
          <w:fldChar w:fldCharType="begin"/>
        </w:r>
        <w:r>
          <w:rPr>
            <w:noProof/>
            <w:webHidden/>
          </w:rPr>
          <w:instrText xml:space="preserve"> PAGEREF _Toc165838151 \h </w:instrText>
        </w:r>
        <w:r>
          <w:rPr>
            <w:noProof/>
            <w:webHidden/>
          </w:rPr>
        </w:r>
        <w:r>
          <w:rPr>
            <w:noProof/>
            <w:webHidden/>
          </w:rPr>
          <w:fldChar w:fldCharType="separate"/>
        </w:r>
        <w:r>
          <w:rPr>
            <w:noProof/>
            <w:webHidden/>
          </w:rPr>
          <w:t>229</w:t>
        </w:r>
        <w:r>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2" w:history="1">
        <w:r w:rsidR="00A73603" w:rsidRPr="00911ADD">
          <w:rPr>
            <w:rStyle w:val="Hyperlink"/>
            <w:noProof/>
          </w:rPr>
          <w:t>1.1</w:t>
        </w:r>
        <w:r w:rsidR="00A73603">
          <w:rPr>
            <w:rFonts w:asciiTheme="minorHAnsi" w:eastAsiaTheme="minorEastAsia" w:hAnsiTheme="minorHAnsi" w:cstheme="minorBidi"/>
            <w:noProof/>
            <w:sz w:val="22"/>
            <w:szCs w:val="22"/>
          </w:rPr>
          <w:tab/>
        </w:r>
        <w:r w:rsidR="00A73603" w:rsidRPr="00911ADD">
          <w:rPr>
            <w:rStyle w:val="Hyperlink"/>
            <w:noProof/>
          </w:rPr>
          <w:t>Strategic direction statement</w:t>
        </w:r>
        <w:r w:rsidR="00A73603">
          <w:rPr>
            <w:noProof/>
            <w:webHidden/>
          </w:rPr>
          <w:tab/>
        </w:r>
        <w:r w:rsidR="00A73603">
          <w:rPr>
            <w:noProof/>
            <w:webHidden/>
          </w:rPr>
          <w:fldChar w:fldCharType="begin"/>
        </w:r>
        <w:r w:rsidR="00A73603">
          <w:rPr>
            <w:noProof/>
            <w:webHidden/>
          </w:rPr>
          <w:instrText xml:space="preserve"> PAGEREF _Toc165838152 \h </w:instrText>
        </w:r>
        <w:r w:rsidR="00A73603">
          <w:rPr>
            <w:noProof/>
            <w:webHidden/>
          </w:rPr>
        </w:r>
        <w:r w:rsidR="00A73603">
          <w:rPr>
            <w:noProof/>
            <w:webHidden/>
          </w:rPr>
          <w:fldChar w:fldCharType="separate"/>
        </w:r>
        <w:r w:rsidR="00A73603">
          <w:rPr>
            <w:noProof/>
            <w:webHidden/>
          </w:rPr>
          <w:t>229</w:t>
        </w:r>
        <w:r w:rsidR="00A73603">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3" w:history="1">
        <w:r w:rsidR="00A73603" w:rsidRPr="00911ADD">
          <w:rPr>
            <w:rStyle w:val="Hyperlink"/>
            <w:noProof/>
          </w:rPr>
          <w:t>1.2</w:t>
        </w:r>
        <w:r w:rsidR="00A73603">
          <w:rPr>
            <w:rFonts w:asciiTheme="minorHAnsi" w:eastAsiaTheme="minorEastAsia" w:hAnsiTheme="minorHAnsi" w:cstheme="minorBidi"/>
            <w:noProof/>
            <w:sz w:val="22"/>
            <w:szCs w:val="22"/>
          </w:rPr>
          <w:tab/>
        </w:r>
        <w:r w:rsidR="00A73603" w:rsidRPr="00911ADD">
          <w:rPr>
            <w:rStyle w:val="Hyperlink"/>
            <w:noProof/>
          </w:rPr>
          <w:t>Entity resource statement</w:t>
        </w:r>
        <w:r w:rsidR="00A73603">
          <w:rPr>
            <w:noProof/>
            <w:webHidden/>
          </w:rPr>
          <w:tab/>
        </w:r>
        <w:r w:rsidR="00A73603">
          <w:rPr>
            <w:noProof/>
            <w:webHidden/>
          </w:rPr>
          <w:fldChar w:fldCharType="begin"/>
        </w:r>
        <w:r w:rsidR="00A73603">
          <w:rPr>
            <w:noProof/>
            <w:webHidden/>
          </w:rPr>
          <w:instrText xml:space="preserve"> PAGEREF _Toc165838153 \h </w:instrText>
        </w:r>
        <w:r w:rsidR="00A73603">
          <w:rPr>
            <w:noProof/>
            <w:webHidden/>
          </w:rPr>
        </w:r>
        <w:r w:rsidR="00A73603">
          <w:rPr>
            <w:noProof/>
            <w:webHidden/>
          </w:rPr>
          <w:fldChar w:fldCharType="separate"/>
        </w:r>
        <w:r w:rsidR="00A73603">
          <w:rPr>
            <w:noProof/>
            <w:webHidden/>
          </w:rPr>
          <w:t>232</w:t>
        </w:r>
        <w:r w:rsidR="00A73603">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4" w:history="1">
        <w:r w:rsidR="00A73603" w:rsidRPr="00911ADD">
          <w:rPr>
            <w:rStyle w:val="Hyperlink"/>
            <w:noProof/>
          </w:rPr>
          <w:t>1.3</w:t>
        </w:r>
        <w:r w:rsidR="00A73603">
          <w:rPr>
            <w:rFonts w:asciiTheme="minorHAnsi" w:eastAsiaTheme="minorEastAsia" w:hAnsiTheme="minorHAnsi" w:cstheme="minorBidi"/>
            <w:noProof/>
            <w:sz w:val="22"/>
            <w:szCs w:val="22"/>
          </w:rPr>
          <w:tab/>
        </w:r>
        <w:r w:rsidR="00A73603" w:rsidRPr="00911ADD">
          <w:rPr>
            <w:rStyle w:val="Hyperlink"/>
            <w:noProof/>
          </w:rPr>
          <w:t>Budget measures</w:t>
        </w:r>
        <w:r w:rsidR="00A73603">
          <w:rPr>
            <w:noProof/>
            <w:webHidden/>
          </w:rPr>
          <w:tab/>
        </w:r>
        <w:r w:rsidR="00A73603">
          <w:rPr>
            <w:noProof/>
            <w:webHidden/>
          </w:rPr>
          <w:fldChar w:fldCharType="begin"/>
        </w:r>
        <w:r w:rsidR="00A73603">
          <w:rPr>
            <w:noProof/>
            <w:webHidden/>
          </w:rPr>
          <w:instrText xml:space="preserve"> PAGEREF _Toc165838154 \h </w:instrText>
        </w:r>
        <w:r w:rsidR="00A73603">
          <w:rPr>
            <w:noProof/>
            <w:webHidden/>
          </w:rPr>
        </w:r>
        <w:r w:rsidR="00A73603">
          <w:rPr>
            <w:noProof/>
            <w:webHidden/>
          </w:rPr>
          <w:fldChar w:fldCharType="separate"/>
        </w:r>
        <w:r w:rsidR="00A73603">
          <w:rPr>
            <w:noProof/>
            <w:webHidden/>
          </w:rPr>
          <w:t>233</w:t>
        </w:r>
        <w:r w:rsidR="00A73603">
          <w:rPr>
            <w:noProof/>
            <w:webHidden/>
          </w:rPr>
          <w:fldChar w:fldCharType="end"/>
        </w:r>
      </w:hyperlink>
    </w:p>
    <w:p w:rsidR="00A73603" w:rsidRDefault="004C05D6" w:rsidP="00A73603">
      <w:pPr>
        <w:pStyle w:val="TOC1"/>
        <w:rPr>
          <w:rFonts w:asciiTheme="minorHAnsi" w:eastAsiaTheme="minorEastAsia" w:hAnsiTheme="minorHAnsi" w:cstheme="minorBidi"/>
          <w:b w:val="0"/>
          <w:caps w:val="0"/>
          <w:noProof/>
          <w:sz w:val="22"/>
          <w:szCs w:val="22"/>
        </w:rPr>
      </w:pPr>
      <w:hyperlink w:anchor="_Toc165838155" w:history="1">
        <w:r w:rsidR="00A73603" w:rsidRPr="00911ADD">
          <w:rPr>
            <w:rStyle w:val="Hyperlink"/>
            <w:noProof/>
          </w:rPr>
          <w:t>Section 2: Outcomes and planned performance</w:t>
        </w:r>
        <w:r w:rsidR="00A73603">
          <w:rPr>
            <w:noProof/>
            <w:webHidden/>
          </w:rPr>
          <w:tab/>
        </w:r>
        <w:r w:rsidR="00A73603">
          <w:rPr>
            <w:noProof/>
            <w:webHidden/>
          </w:rPr>
          <w:fldChar w:fldCharType="begin"/>
        </w:r>
        <w:r w:rsidR="00A73603">
          <w:rPr>
            <w:noProof/>
            <w:webHidden/>
          </w:rPr>
          <w:instrText xml:space="preserve"> PAGEREF _Toc165838155 \h </w:instrText>
        </w:r>
        <w:r w:rsidR="00A73603">
          <w:rPr>
            <w:noProof/>
            <w:webHidden/>
          </w:rPr>
        </w:r>
        <w:r w:rsidR="00A73603">
          <w:rPr>
            <w:noProof/>
            <w:webHidden/>
          </w:rPr>
          <w:fldChar w:fldCharType="separate"/>
        </w:r>
        <w:r w:rsidR="00A73603">
          <w:rPr>
            <w:noProof/>
            <w:webHidden/>
          </w:rPr>
          <w:t>234</w:t>
        </w:r>
        <w:r w:rsidR="00A73603">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6" w:history="1">
        <w:r w:rsidR="00A73603" w:rsidRPr="00911ADD">
          <w:rPr>
            <w:rStyle w:val="Hyperlink"/>
            <w:noProof/>
          </w:rPr>
          <w:t xml:space="preserve">2.1 </w:t>
        </w:r>
        <w:r w:rsidR="00A73603">
          <w:rPr>
            <w:rFonts w:asciiTheme="minorHAnsi" w:eastAsiaTheme="minorEastAsia" w:hAnsiTheme="minorHAnsi" w:cstheme="minorBidi"/>
            <w:noProof/>
            <w:sz w:val="22"/>
            <w:szCs w:val="22"/>
          </w:rPr>
          <w:tab/>
        </w:r>
        <w:r w:rsidR="00A73603" w:rsidRPr="00911ADD">
          <w:rPr>
            <w:rStyle w:val="Hyperlink"/>
            <w:noProof/>
          </w:rPr>
          <w:t>Budgeted expenses and performance for Outcome 1</w:t>
        </w:r>
        <w:r w:rsidR="00A73603">
          <w:rPr>
            <w:noProof/>
            <w:webHidden/>
          </w:rPr>
          <w:tab/>
        </w:r>
        <w:r w:rsidR="00A73603">
          <w:rPr>
            <w:noProof/>
            <w:webHidden/>
          </w:rPr>
          <w:fldChar w:fldCharType="begin"/>
        </w:r>
        <w:r w:rsidR="00A73603">
          <w:rPr>
            <w:noProof/>
            <w:webHidden/>
          </w:rPr>
          <w:instrText xml:space="preserve"> PAGEREF _Toc165838156 \h </w:instrText>
        </w:r>
        <w:r w:rsidR="00A73603">
          <w:rPr>
            <w:noProof/>
            <w:webHidden/>
          </w:rPr>
        </w:r>
        <w:r w:rsidR="00A73603">
          <w:rPr>
            <w:noProof/>
            <w:webHidden/>
          </w:rPr>
          <w:fldChar w:fldCharType="separate"/>
        </w:r>
        <w:r w:rsidR="00A73603">
          <w:rPr>
            <w:noProof/>
            <w:webHidden/>
          </w:rPr>
          <w:t>235</w:t>
        </w:r>
        <w:r w:rsidR="00A73603">
          <w:rPr>
            <w:noProof/>
            <w:webHidden/>
          </w:rPr>
          <w:fldChar w:fldCharType="end"/>
        </w:r>
      </w:hyperlink>
    </w:p>
    <w:p w:rsidR="00A73603" w:rsidRDefault="004C05D6" w:rsidP="00A73603">
      <w:pPr>
        <w:pStyle w:val="TOC1"/>
        <w:rPr>
          <w:rFonts w:asciiTheme="minorHAnsi" w:eastAsiaTheme="minorEastAsia" w:hAnsiTheme="minorHAnsi" w:cstheme="minorBidi"/>
          <w:b w:val="0"/>
          <w:caps w:val="0"/>
          <w:noProof/>
          <w:sz w:val="22"/>
          <w:szCs w:val="22"/>
        </w:rPr>
      </w:pPr>
      <w:hyperlink w:anchor="_Toc165838157" w:history="1">
        <w:r w:rsidR="00A73603" w:rsidRPr="00911ADD">
          <w:rPr>
            <w:rStyle w:val="Hyperlink"/>
            <w:noProof/>
          </w:rPr>
          <w:t>Section 3: Budgeted financial statements</w:t>
        </w:r>
        <w:r w:rsidR="00A73603">
          <w:rPr>
            <w:noProof/>
            <w:webHidden/>
          </w:rPr>
          <w:tab/>
        </w:r>
        <w:r w:rsidR="00A73603">
          <w:rPr>
            <w:noProof/>
            <w:webHidden/>
          </w:rPr>
          <w:fldChar w:fldCharType="begin"/>
        </w:r>
        <w:r w:rsidR="00A73603">
          <w:rPr>
            <w:noProof/>
            <w:webHidden/>
          </w:rPr>
          <w:instrText xml:space="preserve"> PAGEREF _Toc165838157 \h </w:instrText>
        </w:r>
        <w:r w:rsidR="00A73603">
          <w:rPr>
            <w:noProof/>
            <w:webHidden/>
          </w:rPr>
        </w:r>
        <w:r w:rsidR="00A73603">
          <w:rPr>
            <w:noProof/>
            <w:webHidden/>
          </w:rPr>
          <w:fldChar w:fldCharType="separate"/>
        </w:r>
        <w:r w:rsidR="00A73603">
          <w:rPr>
            <w:noProof/>
            <w:webHidden/>
          </w:rPr>
          <w:t>239</w:t>
        </w:r>
        <w:r w:rsidR="00A73603">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8" w:history="1">
        <w:r w:rsidR="00A73603" w:rsidRPr="00911ADD">
          <w:rPr>
            <w:rStyle w:val="Hyperlink"/>
            <w:noProof/>
          </w:rPr>
          <w:t>3.1</w:t>
        </w:r>
        <w:r w:rsidR="00A73603">
          <w:rPr>
            <w:rFonts w:asciiTheme="minorHAnsi" w:eastAsiaTheme="minorEastAsia" w:hAnsiTheme="minorHAnsi" w:cstheme="minorBidi"/>
            <w:noProof/>
            <w:sz w:val="22"/>
            <w:szCs w:val="22"/>
          </w:rPr>
          <w:tab/>
        </w:r>
        <w:r w:rsidR="00A73603" w:rsidRPr="00911ADD">
          <w:rPr>
            <w:rStyle w:val="Hyperlink"/>
            <w:noProof/>
          </w:rPr>
          <w:t>Budgeted financial statements</w:t>
        </w:r>
        <w:r w:rsidR="00A73603">
          <w:rPr>
            <w:noProof/>
            <w:webHidden/>
          </w:rPr>
          <w:tab/>
        </w:r>
        <w:r w:rsidR="00A73603">
          <w:rPr>
            <w:noProof/>
            <w:webHidden/>
          </w:rPr>
          <w:fldChar w:fldCharType="begin"/>
        </w:r>
        <w:r w:rsidR="00A73603">
          <w:rPr>
            <w:noProof/>
            <w:webHidden/>
          </w:rPr>
          <w:instrText xml:space="preserve"> PAGEREF _Toc165838158 \h </w:instrText>
        </w:r>
        <w:r w:rsidR="00A73603">
          <w:rPr>
            <w:noProof/>
            <w:webHidden/>
          </w:rPr>
        </w:r>
        <w:r w:rsidR="00A73603">
          <w:rPr>
            <w:noProof/>
            <w:webHidden/>
          </w:rPr>
          <w:fldChar w:fldCharType="separate"/>
        </w:r>
        <w:r w:rsidR="00A73603">
          <w:rPr>
            <w:noProof/>
            <w:webHidden/>
          </w:rPr>
          <w:t>239</w:t>
        </w:r>
        <w:r w:rsidR="00A73603">
          <w:rPr>
            <w:noProof/>
            <w:webHidden/>
          </w:rPr>
          <w:fldChar w:fldCharType="end"/>
        </w:r>
      </w:hyperlink>
    </w:p>
    <w:p w:rsidR="00A73603" w:rsidRDefault="004C05D6" w:rsidP="00A73603">
      <w:pPr>
        <w:pStyle w:val="TOC2"/>
        <w:rPr>
          <w:rFonts w:asciiTheme="minorHAnsi" w:eastAsiaTheme="minorEastAsia" w:hAnsiTheme="minorHAnsi" w:cstheme="minorBidi"/>
          <w:noProof/>
          <w:sz w:val="22"/>
          <w:szCs w:val="22"/>
        </w:rPr>
      </w:pPr>
      <w:hyperlink w:anchor="_Toc165838159" w:history="1">
        <w:r w:rsidR="00A73603" w:rsidRPr="00911ADD">
          <w:rPr>
            <w:rStyle w:val="Hyperlink"/>
            <w:noProof/>
          </w:rPr>
          <w:t>3.2</w:t>
        </w:r>
        <w:r w:rsidR="00A73603">
          <w:rPr>
            <w:rFonts w:asciiTheme="minorHAnsi" w:eastAsiaTheme="minorEastAsia" w:hAnsiTheme="minorHAnsi" w:cstheme="minorBidi"/>
            <w:noProof/>
            <w:sz w:val="22"/>
            <w:szCs w:val="22"/>
          </w:rPr>
          <w:tab/>
        </w:r>
        <w:r w:rsidR="00A73603" w:rsidRPr="00911ADD">
          <w:rPr>
            <w:rStyle w:val="Hyperlink"/>
            <w:noProof/>
          </w:rPr>
          <w:t>Budgeted financial statements tables</w:t>
        </w:r>
        <w:r w:rsidR="00A73603">
          <w:rPr>
            <w:noProof/>
            <w:webHidden/>
          </w:rPr>
          <w:tab/>
        </w:r>
        <w:r w:rsidR="00A73603">
          <w:rPr>
            <w:noProof/>
            <w:webHidden/>
          </w:rPr>
          <w:fldChar w:fldCharType="begin"/>
        </w:r>
        <w:r w:rsidR="00A73603">
          <w:rPr>
            <w:noProof/>
            <w:webHidden/>
          </w:rPr>
          <w:instrText xml:space="preserve"> PAGEREF _Toc165838159 \h </w:instrText>
        </w:r>
        <w:r w:rsidR="00A73603">
          <w:rPr>
            <w:noProof/>
            <w:webHidden/>
          </w:rPr>
        </w:r>
        <w:r w:rsidR="00A73603">
          <w:rPr>
            <w:noProof/>
            <w:webHidden/>
          </w:rPr>
          <w:fldChar w:fldCharType="separate"/>
        </w:r>
        <w:r w:rsidR="00A73603">
          <w:rPr>
            <w:noProof/>
            <w:webHidden/>
          </w:rPr>
          <w:t>241</w:t>
        </w:r>
        <w:r w:rsidR="00A73603">
          <w:rPr>
            <w:noProof/>
            <w:webHidden/>
          </w:rPr>
          <w:fldChar w:fldCharType="end"/>
        </w:r>
      </w:hyperlink>
    </w:p>
    <w:p w:rsidR="00A73603" w:rsidRPr="008B5AFD" w:rsidRDefault="00A73603" w:rsidP="00A73603">
      <w:r>
        <w:fldChar w:fldCharType="end"/>
      </w:r>
    </w:p>
    <w:p w:rsidR="00A73603" w:rsidRPr="0070558E" w:rsidRDefault="00A73603" w:rsidP="00A73603">
      <w:pPr>
        <w:sectPr w:rsidR="00A73603" w:rsidRPr="0070558E"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rsidR="00A73603" w:rsidRDefault="00A73603" w:rsidP="00A73603">
      <w:pPr>
        <w:pStyle w:val="Heading1-CASA"/>
        <w:jc w:val="center"/>
      </w:pPr>
      <w:bookmarkStart w:id="3" w:name="_Toc165750476"/>
      <w:bookmarkStart w:id="4" w:name="_Toc165751279"/>
      <w:bookmarkStart w:id="5" w:name="_Toc165837980"/>
      <w:bookmarkStart w:id="6" w:name="_Toc166226411"/>
      <w:r>
        <w:lastRenderedPageBreak/>
        <w:t>Civil Aviation Safety Authority</w:t>
      </w:r>
      <w:bookmarkEnd w:id="3"/>
      <w:bookmarkEnd w:id="4"/>
      <w:bookmarkEnd w:id="5"/>
      <w:bookmarkEnd w:id="6"/>
    </w:p>
    <w:p w:rsidR="00A73603" w:rsidRPr="002C4D41" w:rsidRDefault="00A73603" w:rsidP="00A73603">
      <w:pPr>
        <w:pStyle w:val="Heading2-CASA"/>
      </w:pPr>
      <w:bookmarkStart w:id="7" w:name="_Toc165367079"/>
      <w:bookmarkStart w:id="8" w:name="_Toc165838151"/>
      <w:r w:rsidRPr="002C4D41">
        <w:t xml:space="preserve">Section 1: Entity overview and </w:t>
      </w:r>
      <w:r>
        <w:t>reso</w:t>
      </w:r>
      <w:r w:rsidRPr="002C4D41">
        <w:t>urces</w:t>
      </w:r>
      <w:bookmarkEnd w:id="7"/>
      <w:bookmarkEnd w:id="8"/>
    </w:p>
    <w:p w:rsidR="00A73603" w:rsidRDefault="00A73603" w:rsidP="00A73603">
      <w:pPr>
        <w:pStyle w:val="Heading3-CASA"/>
        <w:ind w:left="567" w:hanging="567"/>
      </w:pPr>
      <w:bookmarkStart w:id="9" w:name="_Toc165367080"/>
      <w:bookmarkStart w:id="10" w:name="_Toc165838152"/>
      <w:r>
        <w:t>1.1</w:t>
      </w:r>
      <w:r>
        <w:tab/>
        <w:t>Strategic direction statement</w:t>
      </w:r>
      <w:bookmarkEnd w:id="9"/>
      <w:bookmarkEnd w:id="10"/>
    </w:p>
    <w:p w:rsidR="00A73603" w:rsidRPr="00B90BFF" w:rsidRDefault="00A73603" w:rsidP="00A73603">
      <w:pPr>
        <w:spacing w:after="120"/>
        <w:rPr>
          <w:sz w:val="20"/>
        </w:rPr>
      </w:pPr>
      <w:bookmarkStart w:id="11" w:name="_Hlk161751941"/>
      <w:r w:rsidRPr="00B90BFF">
        <w:rPr>
          <w:sz w:val="20"/>
        </w:rPr>
        <w:t xml:space="preserve">The Civil Aviation Safety Authority (CASA) is an independent statutory authority established in 1995 under the </w:t>
      </w:r>
      <w:r w:rsidRPr="00B90BFF">
        <w:rPr>
          <w:i/>
          <w:iCs/>
          <w:sz w:val="20"/>
        </w:rPr>
        <w:t>Civil Aviation Act 1988</w:t>
      </w:r>
      <w:r w:rsidRPr="00B90BFF">
        <w:rPr>
          <w:sz w:val="20"/>
        </w:rPr>
        <w:t>. The main object of this Act is to establish a regulatory framework for maintaining, enhancing and promoting the safety of civil aviation, with particular emphasis on preventing aviation accidents and incidents.</w:t>
      </w:r>
    </w:p>
    <w:p w:rsidR="00A73603" w:rsidRPr="00B90BFF" w:rsidRDefault="00A73603" w:rsidP="00A73603">
      <w:pPr>
        <w:spacing w:after="120"/>
        <w:rPr>
          <w:sz w:val="20"/>
        </w:rPr>
      </w:pPr>
      <w:r w:rsidRPr="00B90BFF">
        <w:rPr>
          <w:sz w:val="20"/>
        </w:rPr>
        <w:t xml:space="preserve">In accordance with the </w:t>
      </w:r>
      <w:r w:rsidRPr="00B90BFF">
        <w:rPr>
          <w:i/>
          <w:iCs/>
          <w:sz w:val="20"/>
        </w:rPr>
        <w:t>Civil Aviation Act 1988</w:t>
      </w:r>
      <w:r w:rsidRPr="00B90BFF">
        <w:rPr>
          <w:sz w:val="20"/>
        </w:rPr>
        <w:t xml:space="preserve"> and the regulations, CASA has the function of conducting the safety regulation of:</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civil air operations in Australian territory</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the operation of Australian aircraft outside Australian territory. </w:t>
      </w:r>
    </w:p>
    <w:p w:rsidR="00A73603" w:rsidRPr="00B90BFF" w:rsidRDefault="00A73603" w:rsidP="00A73603">
      <w:pPr>
        <w:spacing w:after="120"/>
        <w:rPr>
          <w:sz w:val="20"/>
        </w:rPr>
      </w:pPr>
      <w:r w:rsidRPr="00B90BFF">
        <w:rPr>
          <w:sz w:val="20"/>
        </w:rPr>
        <w:t>While safety regulation of civil aviation remains its primary role, CASA also performs other safety</w:t>
      </w:r>
      <w:r>
        <w:rPr>
          <w:sz w:val="20"/>
        </w:rPr>
        <w:t>–</w:t>
      </w:r>
      <w:r w:rsidRPr="00B90BFF">
        <w:rPr>
          <w:sz w:val="20"/>
        </w:rPr>
        <w:t>related and associated functions.</w:t>
      </w:r>
      <w:r>
        <w:rPr>
          <w:sz w:val="20"/>
        </w:rPr>
        <w:t xml:space="preserve"> </w:t>
      </w:r>
      <w:r w:rsidRPr="00B90BFF">
        <w:rPr>
          <w:sz w:val="20"/>
        </w:rPr>
        <w:t>CASA has responsibility for airspace regulation.</w:t>
      </w:r>
    </w:p>
    <w:p w:rsidR="00A73603" w:rsidRPr="00B90BFF" w:rsidRDefault="00A73603" w:rsidP="00A73603">
      <w:pPr>
        <w:spacing w:line="240" w:lineRule="auto"/>
        <w:rPr>
          <w:b/>
          <w:bCs/>
          <w:sz w:val="20"/>
        </w:rPr>
      </w:pPr>
      <w:r w:rsidRPr="00B90BFF">
        <w:rPr>
          <w:b/>
          <w:bCs/>
          <w:sz w:val="20"/>
        </w:rPr>
        <w:t xml:space="preserve">Australian </w:t>
      </w:r>
      <w:r>
        <w:rPr>
          <w:b/>
          <w:bCs/>
          <w:sz w:val="20"/>
        </w:rPr>
        <w:t>G</w:t>
      </w:r>
      <w:r w:rsidRPr="00B90BFF">
        <w:rPr>
          <w:b/>
          <w:bCs/>
          <w:sz w:val="20"/>
        </w:rPr>
        <w:t>overnment priorities and CASA’s commitment to aviation safety</w:t>
      </w:r>
    </w:p>
    <w:p w:rsidR="00A73603" w:rsidRPr="00B90BFF" w:rsidRDefault="00A73603" w:rsidP="00A73603">
      <w:pPr>
        <w:spacing w:after="120"/>
        <w:rPr>
          <w:sz w:val="20"/>
        </w:rPr>
      </w:pPr>
      <w:r w:rsidRPr="00B90BFF">
        <w:rPr>
          <w:sz w:val="20"/>
        </w:rPr>
        <w:t>The Australian Government is committed to maintaining and enhancing safety as its number one priority in aviation. As Australia’s aviation safety regulator, CASA will support the Australian Government to maintain, enhance and promote the safety of civil aviation through the application of a detailed risk</w:t>
      </w:r>
      <w:r>
        <w:rPr>
          <w:sz w:val="20"/>
        </w:rPr>
        <w:t>–</w:t>
      </w:r>
      <w:r w:rsidRPr="00B90BFF">
        <w:rPr>
          <w:sz w:val="20"/>
        </w:rPr>
        <w:t>based approach with particular emphasis to deliver the objectives as set out in Table 2.1.2: Performance measure for Outcome 1.</w:t>
      </w:r>
    </w:p>
    <w:p w:rsidR="00A73603" w:rsidRPr="00B90BFF" w:rsidRDefault="00A73603" w:rsidP="00A73603">
      <w:pPr>
        <w:spacing w:after="120"/>
        <w:rPr>
          <w:sz w:val="20"/>
        </w:rPr>
      </w:pPr>
      <w:r w:rsidRPr="00B90BFF">
        <w:rPr>
          <w:sz w:val="20"/>
        </w:rPr>
        <w:t>CASA will ensure the directions of the Australian Government, as presented in the Minister’s Statement of Expectations, are implemented effectively and efficiently. CASA’s Corporate Plan fully details the activities and initiatives to be undertaken by the organisation to meet the expectations.</w:t>
      </w:r>
    </w:p>
    <w:p w:rsidR="00A73603" w:rsidRPr="00B90BFF" w:rsidRDefault="00A73603" w:rsidP="00A73603">
      <w:pPr>
        <w:spacing w:after="120"/>
        <w:rPr>
          <w:sz w:val="20"/>
        </w:rPr>
      </w:pPr>
      <w:r w:rsidRPr="00B90BFF">
        <w:rPr>
          <w:sz w:val="20"/>
        </w:rPr>
        <w:t>The Australian Government has set out some clear objectives relevant to CASA including:</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to continue to focus on aviation safety as the highest priority</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to consider the economic and cost impact on individuals, businesses and the community in the development and finalisation of new or amended regulatory changes</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to take a pragmatic, practical and proportionate approach to regulation as it applies to different industry sectors having regard to risk</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lastRenderedPageBreak/>
        <w:t>to implement its regulatory philosophy, with the philosophy being reflected in relevant policies, procedures, manuals, and when CASA personnel are carrying out their day</w:t>
      </w:r>
      <w:r>
        <w:rPr>
          <w:sz w:val="20"/>
          <w:lang w:val="x-none"/>
        </w:rPr>
        <w:t>–</w:t>
      </w:r>
      <w:r w:rsidRPr="00B90BFF">
        <w:rPr>
          <w:sz w:val="20"/>
          <w:lang w:val="x-none"/>
        </w:rPr>
        <w:t>to</w:t>
      </w:r>
      <w:r>
        <w:rPr>
          <w:sz w:val="20"/>
          <w:lang w:val="x-none"/>
        </w:rPr>
        <w:t>–</w:t>
      </w:r>
      <w:r w:rsidRPr="00B90BFF">
        <w:rPr>
          <w:sz w:val="20"/>
          <w:lang w:val="x-none"/>
        </w:rPr>
        <w:t>day operations.</w:t>
      </w:r>
    </w:p>
    <w:p w:rsidR="00A73603" w:rsidRPr="00B90BFF" w:rsidRDefault="00A73603" w:rsidP="00A73603">
      <w:pPr>
        <w:spacing w:after="120"/>
        <w:rPr>
          <w:sz w:val="20"/>
        </w:rPr>
      </w:pPr>
      <w:r w:rsidRPr="00B90BFF">
        <w:rPr>
          <w:sz w:val="20"/>
        </w:rPr>
        <w:t>CASA’s comprehensive planning framework fully incorporates the Australian Government direction and ensures the relevant requirements are implemented effectively and efficiently. CASA aims to achieve its commitment to aviation safety through its three key objectives. They are:</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maintain and enhance a fair, effective and efficient aviation safety regulation system</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collaborative</w:t>
      </w:r>
      <w:r w:rsidRPr="00B90BFF">
        <w:rPr>
          <w:sz w:val="20"/>
        </w:rPr>
        <w:t xml:space="preserve"> engagement </w:t>
      </w:r>
      <w:r w:rsidRPr="00B90BFF">
        <w:rPr>
          <w:sz w:val="20"/>
          <w:lang w:val="x-none"/>
        </w:rPr>
        <w:t>with the aviation industry and wider community to promote and support aviation safety</w:t>
      </w:r>
      <w:r w:rsidRPr="00B90BFF">
        <w:rPr>
          <w:sz w:val="20"/>
          <w:lang w:val="en-US"/>
        </w:rPr>
        <w:t xml:space="preserve">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continuous improve</w:t>
      </w:r>
      <w:r w:rsidRPr="00B90BFF">
        <w:rPr>
          <w:sz w:val="20"/>
        </w:rPr>
        <w:t>ment of</w:t>
      </w:r>
      <w:r w:rsidRPr="00B90BFF">
        <w:rPr>
          <w:sz w:val="20"/>
          <w:lang w:val="x-none"/>
        </w:rPr>
        <w:t xml:space="preserve"> organisational performance.</w:t>
      </w:r>
    </w:p>
    <w:p w:rsidR="00A73603" w:rsidRPr="00B90BFF" w:rsidRDefault="00A73603" w:rsidP="00A73603">
      <w:pPr>
        <w:spacing w:after="120"/>
        <w:rPr>
          <w:sz w:val="20"/>
        </w:rPr>
      </w:pPr>
      <w:r w:rsidRPr="00B90BFF">
        <w:rPr>
          <w:sz w:val="20"/>
        </w:rPr>
        <w:t>Each objective is supported through a number of performance measures and targets. The progress and achievement against the objectives is monitored by a comprehensive performance management and reporting process. CASA will continue its commitment to making further improvements to the way it operates and continuously strive to achieve these objectives.</w:t>
      </w:r>
    </w:p>
    <w:p w:rsidR="00A73603" w:rsidRPr="00B90BFF" w:rsidRDefault="00A73603" w:rsidP="00A73603">
      <w:pPr>
        <w:spacing w:after="120"/>
        <w:rPr>
          <w:sz w:val="20"/>
        </w:rPr>
      </w:pPr>
      <w:r w:rsidRPr="00B90BFF">
        <w:rPr>
          <w:sz w:val="20"/>
        </w:rPr>
        <w:t xml:space="preserve">To deliver our key objectives CASA is currently focused on: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supporting industry to transition to the flight operations regulations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completing the transition for the Civil Aviation Safety Regulations including maintenance and airworthiness reforms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supporting the aviation community with the General Aviation workplan</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developing and improving our performance against our service delivery targets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adapting to and integrating new technologies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supporting our people and organisational culture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ensuring we remain in</w:t>
      </w:r>
      <w:r>
        <w:rPr>
          <w:sz w:val="20"/>
          <w:lang w:val="x-none"/>
        </w:rPr>
        <w:t>–</w:t>
      </w:r>
      <w:r w:rsidRPr="00B90BFF">
        <w:rPr>
          <w:sz w:val="20"/>
          <w:lang w:val="x-none"/>
        </w:rPr>
        <w:t>step with international requirements and best practice regulation.</w:t>
      </w:r>
    </w:p>
    <w:p w:rsidR="00A73603" w:rsidRPr="00B90BFF" w:rsidRDefault="00A73603" w:rsidP="00A73603">
      <w:pPr>
        <w:spacing w:after="120"/>
        <w:rPr>
          <w:sz w:val="20"/>
        </w:rPr>
      </w:pPr>
      <w:r w:rsidRPr="00B90BFF">
        <w:rPr>
          <w:sz w:val="20"/>
        </w:rPr>
        <w:t>The need to accommodate both the existing and the changing aviation environment, provides CASA with the following further opportunities:</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en-US"/>
        </w:rPr>
        <w:t>supporting</w:t>
      </w:r>
      <w:r w:rsidRPr="00B90BFF">
        <w:rPr>
          <w:sz w:val="20"/>
          <w:lang w:val="x-none"/>
        </w:rPr>
        <w:t xml:space="preserve"> the development of the future air traffic management system, including an </w:t>
      </w:r>
      <w:proofErr w:type="spellStart"/>
      <w:r w:rsidRPr="00B90BFF">
        <w:rPr>
          <w:sz w:val="20"/>
          <w:lang w:val="x-none"/>
        </w:rPr>
        <w:t>uncrewed</w:t>
      </w:r>
      <w:proofErr w:type="spellEnd"/>
      <w:r w:rsidRPr="00B90BFF">
        <w:rPr>
          <w:sz w:val="20"/>
          <w:lang w:val="x-none"/>
        </w:rPr>
        <w:t xml:space="preserve"> air traffic management (UTM) system that considers crewed and </w:t>
      </w:r>
      <w:proofErr w:type="spellStart"/>
      <w:r w:rsidRPr="00B90BFF">
        <w:rPr>
          <w:sz w:val="20"/>
          <w:lang w:val="x-none"/>
        </w:rPr>
        <w:t>uncrewed</w:t>
      </w:r>
      <w:proofErr w:type="spellEnd"/>
      <w:r w:rsidRPr="00B90BFF">
        <w:rPr>
          <w:sz w:val="20"/>
          <w:lang w:val="x-none"/>
        </w:rPr>
        <w:t xml:space="preserve"> operations</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en-US"/>
        </w:rPr>
        <w:t>ongoing collaboration</w:t>
      </w:r>
      <w:r w:rsidRPr="00B90BFF">
        <w:rPr>
          <w:sz w:val="20"/>
          <w:lang w:val="x-none"/>
        </w:rPr>
        <w:t xml:space="preserve"> with international regulatory authorities on advanced air mobility aircraft, R</w:t>
      </w:r>
      <w:r w:rsidRPr="00B90BFF">
        <w:rPr>
          <w:sz w:val="20"/>
          <w:lang w:val="en-US"/>
        </w:rPr>
        <w:t xml:space="preserve">emotely </w:t>
      </w:r>
      <w:r w:rsidRPr="00B90BFF">
        <w:rPr>
          <w:sz w:val="20"/>
          <w:lang w:val="x-none"/>
        </w:rPr>
        <w:t>P</w:t>
      </w:r>
      <w:r w:rsidRPr="00B90BFF">
        <w:rPr>
          <w:sz w:val="20"/>
          <w:lang w:val="en-US"/>
        </w:rPr>
        <w:t xml:space="preserve">iloted </w:t>
      </w:r>
      <w:r w:rsidRPr="00B90BFF">
        <w:rPr>
          <w:sz w:val="20"/>
          <w:lang w:val="x-none"/>
        </w:rPr>
        <w:t>A</w:t>
      </w:r>
      <w:r w:rsidRPr="00B90BFF">
        <w:rPr>
          <w:sz w:val="20"/>
          <w:lang w:val="en-US"/>
        </w:rPr>
        <w:t xml:space="preserve">ircraft </w:t>
      </w:r>
      <w:r w:rsidRPr="00B90BFF">
        <w:rPr>
          <w:sz w:val="20"/>
          <w:lang w:val="x-none"/>
        </w:rPr>
        <w:t>S</w:t>
      </w:r>
      <w:r w:rsidRPr="00B90BFF">
        <w:rPr>
          <w:sz w:val="20"/>
          <w:lang w:val="en-US"/>
        </w:rPr>
        <w:t>ystems (RPAS)</w:t>
      </w:r>
      <w:r w:rsidRPr="00B90BFF">
        <w:rPr>
          <w:sz w:val="20"/>
          <w:lang w:val="x-none"/>
        </w:rPr>
        <w:t xml:space="preserve"> and harmonisation of international standards </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lastRenderedPageBreak/>
        <w:t>continuing to collaborate with Australian, State and Territory government agencies on establishing operating standards for vertiports</w:t>
      </w:r>
    </w:p>
    <w:p w:rsidR="00A73603" w:rsidRPr="00B90BFF" w:rsidRDefault="00A73603" w:rsidP="00A73603">
      <w:pPr>
        <w:numPr>
          <w:ilvl w:val="0"/>
          <w:numId w:val="10"/>
        </w:numPr>
        <w:spacing w:before="0" w:after="120" w:line="260" w:lineRule="exact"/>
        <w:ind w:left="357" w:hanging="357"/>
        <w:rPr>
          <w:sz w:val="20"/>
          <w:lang w:val="x-none"/>
        </w:rPr>
      </w:pPr>
      <w:r w:rsidRPr="00B90BFF">
        <w:rPr>
          <w:sz w:val="20"/>
          <w:lang w:val="x-none"/>
        </w:rPr>
        <w:t xml:space="preserve">increasing our expertise to support emerging aviation technologies, managing cybersecurity and digitalisation. </w:t>
      </w:r>
    </w:p>
    <w:p w:rsidR="00A73603" w:rsidRPr="00B90BFF" w:rsidRDefault="00A73603" w:rsidP="00A73603">
      <w:pPr>
        <w:pStyle w:val="Exampletext"/>
        <w:rPr>
          <w:rFonts w:cs="Arial"/>
          <w:i w:val="0"/>
          <w:color w:val="auto"/>
          <w:sz w:val="20"/>
        </w:rPr>
      </w:pPr>
      <w:r w:rsidRPr="00B90BFF">
        <w:rPr>
          <w:rFonts w:cs="Arial"/>
          <w:i w:val="0"/>
          <w:color w:val="auto"/>
          <w:sz w:val="20"/>
        </w:rPr>
        <w:t>Like other safety regulators around the world, CASA is cognisant of the need to ensure that safety</w:t>
      </w:r>
      <w:r>
        <w:rPr>
          <w:rFonts w:cs="Arial"/>
          <w:i w:val="0"/>
          <w:color w:val="auto"/>
          <w:sz w:val="20"/>
        </w:rPr>
        <w:t>–</w:t>
      </w:r>
      <w:r w:rsidRPr="00B90BFF">
        <w:rPr>
          <w:rFonts w:cs="Arial"/>
          <w:i w:val="0"/>
          <w:color w:val="auto"/>
          <w:sz w:val="20"/>
        </w:rPr>
        <w:t>related considerations are at the forefront of our regulatory actions for the benefit of the aviation and wider community. Encouraging a positive safety culture across the aviation community is at the core of what we do.</w:t>
      </w:r>
    </w:p>
    <w:p w:rsidR="00A73603" w:rsidRPr="00B90BFF" w:rsidRDefault="00A73603" w:rsidP="00A73603">
      <w:pPr>
        <w:pStyle w:val="Exampletext"/>
        <w:rPr>
          <w:rFonts w:cs="Arial"/>
          <w:i w:val="0"/>
          <w:color w:val="auto"/>
          <w:sz w:val="20"/>
        </w:rPr>
      </w:pPr>
      <w:r w:rsidRPr="00B90BFF">
        <w:rPr>
          <w:rFonts w:cs="Arial"/>
          <w:i w:val="0"/>
          <w:color w:val="auto"/>
          <w:sz w:val="20"/>
        </w:rPr>
        <w:t>Working across government, we are also supporting the update to the National Aviation Safety Plan which will detail Australia’s commitment to continuously improving aviation safety. The plan will be an important part of how we work across government and collaborate nationally, regionally and globally to support safety and guide many of our key activities.</w:t>
      </w:r>
    </w:p>
    <w:p w:rsidR="00A73603" w:rsidRPr="00B90BFF" w:rsidRDefault="00A73603" w:rsidP="00A73603">
      <w:pPr>
        <w:pStyle w:val="Exampletext"/>
        <w:rPr>
          <w:rFonts w:cs="Arial"/>
          <w:i w:val="0"/>
          <w:color w:val="auto"/>
          <w:sz w:val="20"/>
        </w:rPr>
      </w:pPr>
      <w:r w:rsidRPr="00B90BFF">
        <w:rPr>
          <w:rFonts w:cs="Arial"/>
          <w:i w:val="0"/>
          <w:color w:val="auto"/>
          <w:sz w:val="20"/>
        </w:rPr>
        <w:t>CASA will continue to work closely with industry on the implementation of regulatory reforms and will stay abreast of changes within the aviation industry by carefully analysing safety and operational data to look for trends and emerging risks which need to be addressed. This approach will further focus CASA on its core activity – the regulation of aviation safety.</w:t>
      </w:r>
    </w:p>
    <w:p w:rsidR="00A73603" w:rsidRPr="00B90BFF" w:rsidRDefault="00A73603" w:rsidP="00A73603">
      <w:pPr>
        <w:pStyle w:val="Exampletext"/>
        <w:rPr>
          <w:rFonts w:cs="Arial"/>
          <w:i w:val="0"/>
          <w:color w:val="auto"/>
          <w:sz w:val="20"/>
        </w:rPr>
      </w:pPr>
      <w:r w:rsidRPr="00B90BFF">
        <w:rPr>
          <w:i w:val="0"/>
          <w:color w:val="auto"/>
          <w:sz w:val="20"/>
          <w:lang w:val="en-AU" w:eastAsia="en-AU"/>
        </w:rPr>
        <w:t>In addition, the Aviation White Paper will further articulate the Australian Government’s policies on desired aviation outcomes in relation to safety, competitiveness, sustainability and efficiency to ensure the sector is appropriately positioned to deliver aviation services for the Australian public out to 2050.</w:t>
      </w:r>
    </w:p>
    <w:p w:rsidR="00A73603" w:rsidRPr="00B90BFF" w:rsidRDefault="00A73603" w:rsidP="00A73603">
      <w:pPr>
        <w:spacing w:line="240" w:lineRule="auto"/>
        <w:rPr>
          <w:b/>
          <w:bCs/>
          <w:sz w:val="20"/>
        </w:rPr>
      </w:pPr>
      <w:r w:rsidRPr="00B90BFF">
        <w:rPr>
          <w:b/>
          <w:bCs/>
          <w:sz w:val="20"/>
        </w:rPr>
        <w:t>CASA’s funding strategy</w:t>
      </w:r>
    </w:p>
    <w:p w:rsidR="00A73603" w:rsidRPr="00B90BFF" w:rsidRDefault="00A73603" w:rsidP="00A73603">
      <w:pPr>
        <w:pStyle w:val="CommentText"/>
        <w:rPr>
          <w:sz w:val="20"/>
        </w:rPr>
      </w:pPr>
      <w:r w:rsidRPr="00B90BFF">
        <w:rPr>
          <w:sz w:val="20"/>
        </w:rPr>
        <w:t>CASA receives funding from three major sources: a 3.556 cents per litre excise on aviation fuel consumed by all domestic aircraft (all of which is provided to CASA); a Government annual appropriation; and regulatory services fees and levies. Whilst CASA conducts surveillance and regulatory oversight of RPAS, aerodromes and international carriers, these do not contribute to the fuel excise funding model.</w:t>
      </w:r>
    </w:p>
    <w:p w:rsidR="00A73603" w:rsidRPr="00B90BFF" w:rsidRDefault="00A73603" w:rsidP="00A73603">
      <w:pPr>
        <w:pStyle w:val="CommentText"/>
        <w:spacing w:line="240" w:lineRule="auto"/>
        <w:rPr>
          <w:sz w:val="20"/>
        </w:rPr>
      </w:pPr>
      <w:r w:rsidRPr="00013C5F">
        <w:rPr>
          <w:sz w:val="20"/>
        </w:rPr>
        <w:t>CASA’s current funding arrangements remain in place and will continue to be monitored as the aviation industry transitions during the recovery phase from the pandemic.</w:t>
      </w:r>
      <w:r w:rsidRPr="00B90BFF">
        <w:rPr>
          <w:sz w:val="20"/>
          <w:lang w:val="en-US"/>
        </w:rPr>
        <w:br w:type="page"/>
      </w:r>
    </w:p>
    <w:p w:rsidR="00A73603" w:rsidRDefault="00A73603" w:rsidP="00A73603">
      <w:pPr>
        <w:pStyle w:val="Heading3-CASA"/>
        <w:ind w:left="567" w:hanging="567"/>
      </w:pPr>
      <w:bookmarkStart w:id="12" w:name="_Toc165367081"/>
      <w:bookmarkStart w:id="13" w:name="_Toc165838153"/>
      <w:bookmarkEnd w:id="11"/>
      <w:r>
        <w:lastRenderedPageBreak/>
        <w:t>1.2</w:t>
      </w:r>
      <w:r>
        <w:tab/>
        <w:t xml:space="preserve">Entity </w:t>
      </w:r>
      <w:r w:rsidRPr="008E74F6">
        <w:t>resource</w:t>
      </w:r>
      <w:r>
        <w:t xml:space="preserve"> statement</w:t>
      </w:r>
      <w:bookmarkEnd w:id="12"/>
      <w:bookmarkEnd w:id="13"/>
    </w:p>
    <w:p w:rsidR="00A73603" w:rsidRPr="00232059" w:rsidRDefault="00A73603" w:rsidP="00A73603">
      <w:pPr>
        <w:rPr>
          <w:sz w:val="20"/>
        </w:rPr>
      </w:pPr>
      <w:r w:rsidRPr="00232059">
        <w:rPr>
          <w:sz w:val="20"/>
        </w:rPr>
        <w:t>Table 1.1 shows the total resourcing from all sources available to CASA for its operations and to deliver programs and services on behalf of the Government.</w:t>
      </w:r>
    </w:p>
    <w:p w:rsidR="00A73603" w:rsidRPr="00232059" w:rsidRDefault="00A73603" w:rsidP="00A73603">
      <w:pPr>
        <w:rPr>
          <w:sz w:val="20"/>
        </w:rPr>
      </w:pPr>
      <w:r w:rsidRPr="00232059">
        <w:rPr>
          <w:sz w:val="20"/>
        </w:rPr>
        <w:t>The table summarises how resources will be applied by outcome (government strategic policy objectives) and by departmental (for CASA’s operations) classification.</w:t>
      </w:r>
    </w:p>
    <w:p w:rsidR="00A73603" w:rsidRPr="00232059" w:rsidRDefault="00A73603" w:rsidP="00A73603">
      <w:pPr>
        <w:rPr>
          <w:sz w:val="20"/>
        </w:rPr>
      </w:pPr>
      <w:r w:rsidRPr="00232059">
        <w:rPr>
          <w:sz w:val="20"/>
        </w:rPr>
        <w:t xml:space="preserve">For more detailed information on special accounts and special appropriations, please refer to the </w:t>
      </w:r>
      <w:r w:rsidRPr="008B33A8">
        <w:rPr>
          <w:i/>
          <w:sz w:val="20"/>
        </w:rPr>
        <w:t>Budget Paper No. 4 – Agency Resourcing</w:t>
      </w:r>
      <w:r w:rsidRPr="00232059">
        <w:rPr>
          <w:sz w:val="20"/>
        </w:rPr>
        <w:t xml:space="preserve">. </w:t>
      </w:r>
    </w:p>
    <w:p w:rsidR="00A73603" w:rsidRPr="00232059" w:rsidRDefault="00A73603" w:rsidP="00A73603">
      <w:pPr>
        <w:rPr>
          <w:sz w:val="20"/>
        </w:rPr>
      </w:pPr>
      <w:r w:rsidRPr="00232059">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A73603" w:rsidRPr="005A5C0F" w:rsidRDefault="00A73603" w:rsidP="00A73603">
      <w:pPr>
        <w:pStyle w:val="TableHeading"/>
      </w:pPr>
      <w:r w:rsidRPr="00D44150">
        <w:t xml:space="preserve">Table 1.1: </w:t>
      </w:r>
      <w:r>
        <w:t>CASA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6"/>
        <w:gridCol w:w="1187"/>
        <w:gridCol w:w="1187"/>
      </w:tblGrid>
      <w:tr w:rsidR="00A73603" w:rsidRPr="00B90BFF" w:rsidTr="00DD5237">
        <w:trPr>
          <w:trHeight w:val="204"/>
        </w:trPr>
        <w:tc>
          <w:tcPr>
            <w:tcW w:w="3460" w:type="pct"/>
            <w:tcBorders>
              <w:top w:val="single" w:sz="4" w:space="0" w:color="auto"/>
              <w:left w:val="nil"/>
              <w:bottom w:val="nil"/>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color w:val="000000"/>
                <w:sz w:val="16"/>
                <w:szCs w:val="16"/>
              </w:rPr>
            </w:pPr>
            <w:r w:rsidRPr="00B90BFF">
              <w:rPr>
                <w:rFonts w:ascii="Arial" w:hAnsi="Arial" w:cs="Arial"/>
                <w:color w:val="000000"/>
                <w:sz w:val="16"/>
                <w:szCs w:val="16"/>
              </w:rPr>
              <w:t> </w:t>
            </w:r>
          </w:p>
        </w:tc>
        <w:tc>
          <w:tcPr>
            <w:tcW w:w="770" w:type="pct"/>
            <w:tcBorders>
              <w:top w:val="single" w:sz="4" w:space="0" w:color="auto"/>
              <w:left w:val="nil"/>
              <w:bottom w:val="single" w:sz="4" w:space="0" w:color="auto"/>
              <w:right w:val="nil"/>
            </w:tcBorders>
            <w:shd w:val="clear" w:color="000000" w:fill="FFFFFF"/>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2023-24</w:t>
            </w:r>
            <w:r>
              <w:rPr>
                <w:rFonts w:ascii="Arial" w:hAnsi="Arial" w:cs="Arial"/>
                <w:iCs/>
                <w:color w:val="000000"/>
                <w:sz w:val="16"/>
                <w:szCs w:val="16"/>
              </w:rPr>
              <w:br/>
            </w:r>
            <w:r w:rsidRPr="00B90BFF">
              <w:rPr>
                <w:rFonts w:ascii="Arial" w:hAnsi="Arial" w:cs="Arial"/>
                <w:iCs/>
                <w:color w:val="000000"/>
                <w:sz w:val="16"/>
                <w:szCs w:val="16"/>
              </w:rPr>
              <w:t>Estimated</w:t>
            </w:r>
            <w:r>
              <w:rPr>
                <w:rFonts w:ascii="Arial" w:hAnsi="Arial" w:cs="Arial"/>
                <w:iCs/>
                <w:color w:val="000000"/>
                <w:sz w:val="16"/>
                <w:szCs w:val="16"/>
              </w:rPr>
              <w:br/>
            </w:r>
            <w:r w:rsidRPr="00B90BFF">
              <w:rPr>
                <w:rFonts w:ascii="Arial" w:hAnsi="Arial" w:cs="Arial"/>
                <w:iCs/>
                <w:color w:val="000000"/>
                <w:sz w:val="16"/>
                <w:szCs w:val="16"/>
              </w:rPr>
              <w:t>actual</w:t>
            </w:r>
            <w:r w:rsidRPr="00B90BFF">
              <w:rPr>
                <w:rFonts w:ascii="Arial" w:hAnsi="Arial" w:cs="Arial"/>
                <w:iCs/>
                <w:color w:val="000000"/>
                <w:sz w:val="16"/>
                <w:szCs w:val="16"/>
              </w:rPr>
              <w:br/>
              <w:t>$'000</w:t>
            </w:r>
          </w:p>
        </w:tc>
        <w:tc>
          <w:tcPr>
            <w:tcW w:w="770" w:type="pct"/>
            <w:tcBorders>
              <w:top w:val="single" w:sz="4" w:space="0" w:color="auto"/>
              <w:left w:val="nil"/>
              <w:bottom w:val="single" w:sz="4" w:space="0" w:color="auto"/>
              <w:right w:val="nil"/>
            </w:tcBorders>
            <w:shd w:val="clear" w:color="000000" w:fill="E6E6E6"/>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2024-25</w:t>
            </w:r>
            <w:r>
              <w:rPr>
                <w:rFonts w:ascii="Arial" w:hAnsi="Arial" w:cs="Arial"/>
                <w:color w:val="000000"/>
                <w:sz w:val="16"/>
                <w:szCs w:val="16"/>
              </w:rPr>
              <w:br/>
            </w:r>
            <w:r w:rsidRPr="00B90BFF">
              <w:rPr>
                <w:rFonts w:ascii="Arial" w:hAnsi="Arial" w:cs="Arial"/>
                <w:color w:val="000000"/>
                <w:sz w:val="16"/>
                <w:szCs w:val="16"/>
              </w:rPr>
              <w:t>Estimate</w:t>
            </w:r>
            <w:r w:rsidRPr="00B90BFF">
              <w:rPr>
                <w:rFonts w:ascii="Arial" w:hAnsi="Arial" w:cs="Arial"/>
                <w:color w:val="000000"/>
                <w:sz w:val="16"/>
                <w:szCs w:val="16"/>
              </w:rPr>
              <w:br/>
            </w:r>
            <w:r w:rsidRPr="00B90BFF">
              <w:rPr>
                <w:rFonts w:ascii="Arial" w:hAnsi="Arial" w:cs="Arial"/>
                <w:color w:val="000000"/>
                <w:sz w:val="16"/>
                <w:szCs w:val="16"/>
              </w:rPr>
              <w:br/>
              <w:t>$'000</w:t>
            </w: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Opening balance/cash reserves at 1 July</w:t>
            </w:r>
          </w:p>
        </w:tc>
        <w:tc>
          <w:tcPr>
            <w:tcW w:w="770" w:type="pct"/>
            <w:tcBorders>
              <w:top w:val="nil"/>
              <w:left w:val="nil"/>
              <w:bottom w:val="single" w:sz="4" w:space="0" w:color="auto"/>
              <w:right w:val="nil"/>
            </w:tcBorders>
            <w:shd w:val="clear" w:color="000000" w:fill="FFFFFF"/>
            <w:noWrap/>
            <w:vAlign w:val="bottom"/>
            <w:hideMark/>
          </w:tcPr>
          <w:p w:rsidR="00A73603" w:rsidRPr="00513BE0" w:rsidRDefault="00A73603" w:rsidP="00DD5237">
            <w:pPr>
              <w:spacing w:before="0" w:after="0" w:line="240" w:lineRule="auto"/>
              <w:jc w:val="right"/>
              <w:rPr>
                <w:rFonts w:ascii="Arial" w:hAnsi="Arial" w:cs="Arial"/>
                <w:b/>
                <w:iCs/>
                <w:color w:val="000000"/>
                <w:sz w:val="16"/>
                <w:szCs w:val="16"/>
              </w:rPr>
            </w:pPr>
            <w:r w:rsidRPr="00513BE0">
              <w:rPr>
                <w:rFonts w:ascii="Arial" w:hAnsi="Arial" w:cs="Arial"/>
                <w:b/>
                <w:iCs/>
                <w:color w:val="000000"/>
                <w:sz w:val="16"/>
                <w:szCs w:val="16"/>
              </w:rPr>
              <w:t>103,828</w:t>
            </w:r>
          </w:p>
        </w:tc>
        <w:tc>
          <w:tcPr>
            <w:tcW w:w="770" w:type="pct"/>
            <w:tcBorders>
              <w:top w:val="nil"/>
              <w:left w:val="nil"/>
              <w:bottom w:val="single" w:sz="4" w:space="0" w:color="auto"/>
              <w:right w:val="nil"/>
            </w:tcBorders>
            <w:shd w:val="clear" w:color="000000" w:fill="E6E6E6"/>
            <w:noWrap/>
            <w:vAlign w:val="bottom"/>
            <w:hideMark/>
          </w:tcPr>
          <w:p w:rsidR="00A73603" w:rsidRPr="00513BE0" w:rsidRDefault="00A73603" w:rsidP="00DD5237">
            <w:pPr>
              <w:spacing w:before="0" w:after="0" w:line="240" w:lineRule="auto"/>
              <w:jc w:val="right"/>
              <w:rPr>
                <w:rFonts w:ascii="Arial" w:hAnsi="Arial" w:cs="Arial"/>
                <w:b/>
                <w:color w:val="000000"/>
                <w:sz w:val="16"/>
                <w:szCs w:val="16"/>
              </w:rPr>
            </w:pPr>
            <w:r w:rsidRPr="00513BE0">
              <w:rPr>
                <w:rFonts w:ascii="Arial" w:hAnsi="Arial" w:cs="Arial"/>
                <w:b/>
                <w:color w:val="000000"/>
                <w:sz w:val="16"/>
                <w:szCs w:val="16"/>
              </w:rPr>
              <w:t>117,706</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Funds from Government</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color w:val="000000"/>
                <w:sz w:val="16"/>
                <w:szCs w:val="16"/>
              </w:rPr>
            </w:pPr>
            <w:r w:rsidRPr="00B90BFF">
              <w:rPr>
                <w:rFonts w:ascii="Arial" w:hAnsi="Arial" w:cs="Arial"/>
                <w:color w:val="000000"/>
                <w:sz w:val="16"/>
                <w:szCs w:val="16"/>
              </w:rPr>
              <w:t>Annual appropriations - ordinary annual services</w:t>
            </w:r>
            <w:r w:rsidRPr="007D6733">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ind w:left="113"/>
              <w:rPr>
                <w:rFonts w:ascii="Arial" w:hAnsi="Arial" w:cs="Arial"/>
                <w:color w:val="000000"/>
                <w:sz w:val="16"/>
                <w:szCs w:val="16"/>
              </w:rPr>
            </w:pPr>
            <w:r w:rsidRPr="00B90BFF">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107,602</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41,494</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color w:val="000000"/>
                <w:sz w:val="16"/>
                <w:szCs w:val="16"/>
              </w:rPr>
            </w:pPr>
            <w:r w:rsidRPr="00B90BFF">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107,602</w:t>
            </w:r>
          </w:p>
        </w:tc>
        <w:tc>
          <w:tcPr>
            <w:tcW w:w="770" w:type="pct"/>
            <w:tcBorders>
              <w:top w:val="single" w:sz="4" w:space="0" w:color="auto"/>
              <w:left w:val="nil"/>
              <w:bottom w:val="single" w:sz="4" w:space="0" w:color="auto"/>
              <w:right w:val="nil"/>
            </w:tcBorders>
            <w:shd w:val="clear" w:color="000000" w:fill="E6E6E6"/>
            <w:noWrap/>
            <w:vAlign w:val="bottom"/>
            <w:hideMark/>
          </w:tcPr>
          <w:p w:rsidR="00A73603" w:rsidRPr="00320B3B" w:rsidRDefault="00A73603" w:rsidP="00DD5237">
            <w:pPr>
              <w:spacing w:before="0" w:after="0" w:line="240" w:lineRule="auto"/>
              <w:jc w:val="right"/>
              <w:rPr>
                <w:rFonts w:ascii="Arial" w:hAnsi="Arial" w:cs="Arial"/>
                <w:iCs/>
                <w:color w:val="000000"/>
                <w:sz w:val="16"/>
                <w:szCs w:val="16"/>
              </w:rPr>
            </w:pPr>
            <w:r w:rsidRPr="00320B3B">
              <w:rPr>
                <w:rFonts w:ascii="Arial" w:hAnsi="Arial" w:cs="Arial"/>
                <w:iCs/>
                <w:color w:val="000000"/>
                <w:sz w:val="16"/>
                <w:szCs w:val="16"/>
              </w:rPr>
              <w:t>41,494</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color w:val="000000"/>
                <w:sz w:val="16"/>
                <w:szCs w:val="16"/>
              </w:rPr>
            </w:pPr>
            <w:r w:rsidRPr="00B90BFF">
              <w:rPr>
                <w:rFonts w:ascii="Arial" w:hAnsi="Arial" w:cs="Arial"/>
                <w:color w:val="000000"/>
                <w:sz w:val="16"/>
                <w:szCs w:val="16"/>
              </w:rPr>
              <w:t>Special appropriations</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ind w:left="113"/>
              <w:rPr>
                <w:rFonts w:ascii="Arial" w:hAnsi="Arial" w:cs="Arial"/>
                <w:i/>
                <w:iCs/>
                <w:color w:val="000000"/>
                <w:sz w:val="16"/>
                <w:szCs w:val="16"/>
              </w:rPr>
            </w:pPr>
            <w:r w:rsidRPr="007F0EE9">
              <w:rPr>
                <w:rFonts w:ascii="Arial" w:hAnsi="Arial" w:cs="Arial"/>
                <w:i/>
                <w:color w:val="000000"/>
                <w:sz w:val="16"/>
                <w:szCs w:val="16"/>
              </w:rPr>
              <w:t>Aviation</w:t>
            </w:r>
            <w:r w:rsidRPr="00B90BFF">
              <w:rPr>
                <w:rFonts w:ascii="Arial" w:hAnsi="Arial" w:cs="Arial"/>
                <w:i/>
                <w:iCs/>
                <w:color w:val="000000"/>
                <w:sz w:val="16"/>
                <w:szCs w:val="16"/>
              </w:rPr>
              <w:t xml:space="preserve"> Fuel Revenues (Special Appropriation) Act 1988</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121,229</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131,004</w:t>
            </w: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ind w:left="113"/>
              <w:rPr>
                <w:rFonts w:ascii="Arial" w:hAnsi="Arial" w:cs="Arial"/>
                <w:i/>
                <w:iCs/>
                <w:color w:val="000000"/>
                <w:sz w:val="16"/>
                <w:szCs w:val="16"/>
              </w:rPr>
            </w:pPr>
            <w:r w:rsidRPr="00092675">
              <w:rPr>
                <w:rFonts w:ascii="Arial" w:hAnsi="Arial" w:cs="Arial"/>
                <w:i/>
                <w:color w:val="000000"/>
                <w:sz w:val="16"/>
                <w:szCs w:val="16"/>
              </w:rPr>
              <w:t>RPAS</w:t>
            </w:r>
            <w:r w:rsidRPr="00B90BFF">
              <w:rPr>
                <w:rFonts w:ascii="Arial" w:hAnsi="Arial" w:cs="Arial"/>
                <w:i/>
                <w:iCs/>
                <w:color w:val="000000"/>
                <w:sz w:val="16"/>
                <w:szCs w:val="16"/>
              </w:rPr>
              <w:t xml:space="preserve"> under s46A(4) of the Civil Aviation Act 1988 </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1,000</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1,000</w:t>
            </w: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color w:val="000000"/>
                <w:sz w:val="16"/>
                <w:szCs w:val="16"/>
              </w:rPr>
            </w:pPr>
            <w:r w:rsidRPr="00B90BFF">
              <w:rPr>
                <w:rFonts w:ascii="Arial" w:hAnsi="Arial" w:cs="Arial"/>
                <w:color w:val="000000"/>
                <w:sz w:val="16"/>
                <w:szCs w:val="16"/>
              </w:rPr>
              <w:t>Total special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122,229</w:t>
            </w:r>
          </w:p>
        </w:tc>
        <w:tc>
          <w:tcPr>
            <w:tcW w:w="770" w:type="pct"/>
            <w:tcBorders>
              <w:top w:val="single" w:sz="4" w:space="0" w:color="auto"/>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132,004</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b/>
                <w:bCs/>
                <w:iCs/>
                <w:color w:val="000000"/>
                <w:sz w:val="16"/>
                <w:szCs w:val="16"/>
              </w:rPr>
            </w:pPr>
            <w:r w:rsidRPr="00B90BFF">
              <w:rPr>
                <w:rFonts w:ascii="Arial" w:hAnsi="Arial" w:cs="Arial"/>
                <w:b/>
                <w:bCs/>
                <w:iCs/>
                <w:color w:val="000000"/>
                <w:sz w:val="16"/>
                <w:szCs w:val="16"/>
              </w:rPr>
              <w:t>229,831</w:t>
            </w:r>
          </w:p>
        </w:tc>
        <w:tc>
          <w:tcPr>
            <w:tcW w:w="770" w:type="pct"/>
            <w:tcBorders>
              <w:top w:val="nil"/>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173,498</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Funds from industry sources</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ind w:left="113"/>
              <w:rPr>
                <w:rFonts w:ascii="Arial" w:hAnsi="Arial" w:cs="Arial"/>
                <w:color w:val="000000"/>
                <w:sz w:val="16"/>
                <w:szCs w:val="16"/>
              </w:rPr>
            </w:pPr>
            <w:r w:rsidRPr="00B90BFF">
              <w:rPr>
                <w:rFonts w:ascii="Arial" w:hAnsi="Arial" w:cs="Arial"/>
                <w:color w:val="000000"/>
                <w:sz w:val="16"/>
                <w:szCs w:val="16"/>
              </w:rPr>
              <w:t>Regulatory service fees</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12,500</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12,500</w:t>
            </w: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Total funds from industry sources</w:t>
            </w:r>
          </w:p>
        </w:tc>
        <w:tc>
          <w:tcPr>
            <w:tcW w:w="770" w:type="pct"/>
            <w:tcBorders>
              <w:top w:val="single" w:sz="4" w:space="0" w:color="auto"/>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b/>
                <w:bCs/>
                <w:iCs/>
                <w:color w:val="000000"/>
                <w:sz w:val="16"/>
                <w:szCs w:val="16"/>
              </w:rPr>
            </w:pPr>
            <w:r w:rsidRPr="00B90BFF">
              <w:rPr>
                <w:rFonts w:ascii="Arial" w:hAnsi="Arial" w:cs="Arial"/>
                <w:b/>
                <w:bCs/>
                <w:iCs/>
                <w:color w:val="000000"/>
                <w:sz w:val="16"/>
                <w:szCs w:val="16"/>
              </w:rPr>
              <w:t>12,500</w:t>
            </w:r>
          </w:p>
        </w:tc>
        <w:tc>
          <w:tcPr>
            <w:tcW w:w="770" w:type="pct"/>
            <w:tcBorders>
              <w:top w:val="single" w:sz="4" w:space="0" w:color="auto"/>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12,500</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ind w:left="113"/>
              <w:rPr>
                <w:rFonts w:ascii="Arial" w:hAnsi="Arial" w:cs="Arial"/>
                <w:color w:val="000000"/>
                <w:sz w:val="16"/>
                <w:szCs w:val="16"/>
              </w:rPr>
            </w:pPr>
            <w:r w:rsidRPr="00B90BFF">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4,810</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4,172</w:t>
            </w:r>
          </w:p>
        </w:tc>
      </w:tr>
      <w:tr w:rsidR="00A73603" w:rsidRPr="00B90BFF" w:rsidTr="00DD5237">
        <w:trPr>
          <w:trHeight w:val="204"/>
        </w:trPr>
        <w:tc>
          <w:tcPr>
            <w:tcW w:w="3460" w:type="pct"/>
            <w:tcBorders>
              <w:top w:val="nil"/>
              <w:left w:val="nil"/>
              <w:bottom w:val="nil"/>
              <w:right w:val="nil"/>
            </w:tcBorders>
            <w:shd w:val="clear" w:color="000000" w:fill="FFFFFF"/>
            <w:vAlign w:val="bottom"/>
            <w:hideMark/>
          </w:tcPr>
          <w:p w:rsidR="00A73603" w:rsidRPr="00B90BFF" w:rsidRDefault="00A73603" w:rsidP="00DD5237">
            <w:pPr>
              <w:spacing w:before="0" w:after="0" w:line="240" w:lineRule="auto"/>
              <w:ind w:left="113"/>
              <w:rPr>
                <w:rFonts w:ascii="Arial" w:hAnsi="Arial" w:cs="Arial"/>
                <w:color w:val="000000"/>
                <w:sz w:val="16"/>
                <w:szCs w:val="16"/>
              </w:rPr>
            </w:pPr>
            <w:r w:rsidRPr="00B90BFF">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iCs/>
                <w:color w:val="000000"/>
                <w:sz w:val="16"/>
                <w:szCs w:val="16"/>
              </w:rPr>
            </w:pPr>
            <w:r w:rsidRPr="00B90BFF">
              <w:rPr>
                <w:rFonts w:ascii="Arial" w:hAnsi="Arial" w:cs="Arial"/>
                <w:iCs/>
                <w:color w:val="000000"/>
                <w:sz w:val="16"/>
                <w:szCs w:val="16"/>
              </w:rPr>
              <w:t>871</w:t>
            </w:r>
          </w:p>
        </w:tc>
        <w:tc>
          <w:tcPr>
            <w:tcW w:w="770"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1,038</w:t>
            </w:r>
          </w:p>
        </w:tc>
      </w:tr>
      <w:tr w:rsidR="00A73603" w:rsidRPr="00B90BFF" w:rsidTr="00DD5237">
        <w:trPr>
          <w:trHeight w:val="204"/>
        </w:trPr>
        <w:tc>
          <w:tcPr>
            <w:tcW w:w="3460" w:type="pct"/>
            <w:tcBorders>
              <w:top w:val="nil"/>
              <w:left w:val="nil"/>
              <w:bottom w:val="nil"/>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b/>
                <w:bCs/>
                <w:iCs/>
                <w:color w:val="000000"/>
                <w:sz w:val="16"/>
                <w:szCs w:val="16"/>
              </w:rPr>
            </w:pPr>
            <w:r w:rsidRPr="00B90BFF">
              <w:rPr>
                <w:rFonts w:ascii="Arial" w:hAnsi="Arial" w:cs="Arial"/>
                <w:b/>
                <w:bCs/>
                <w:iCs/>
                <w:color w:val="000000"/>
                <w:sz w:val="16"/>
                <w:szCs w:val="16"/>
              </w:rPr>
              <w:t>5,681</w:t>
            </w:r>
          </w:p>
        </w:tc>
        <w:tc>
          <w:tcPr>
            <w:tcW w:w="770" w:type="pct"/>
            <w:tcBorders>
              <w:top w:val="single" w:sz="4" w:space="0" w:color="auto"/>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5,210</w:t>
            </w:r>
          </w:p>
        </w:tc>
      </w:tr>
      <w:tr w:rsidR="00A73603" w:rsidRPr="00B90BFF" w:rsidTr="00DD5237">
        <w:trPr>
          <w:trHeight w:val="204"/>
        </w:trPr>
        <w:tc>
          <w:tcPr>
            <w:tcW w:w="3460" w:type="pct"/>
            <w:tcBorders>
              <w:top w:val="nil"/>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Total net resourcing for Civil Aviation Safety Authority</w:t>
            </w:r>
          </w:p>
        </w:tc>
        <w:tc>
          <w:tcPr>
            <w:tcW w:w="770" w:type="pct"/>
            <w:tcBorders>
              <w:top w:val="nil"/>
              <w:left w:val="nil"/>
              <w:bottom w:val="single" w:sz="4" w:space="0" w:color="auto"/>
              <w:right w:val="nil"/>
            </w:tcBorders>
            <w:shd w:val="clear" w:color="000000" w:fill="FFFFFF"/>
            <w:noWrap/>
            <w:vAlign w:val="bottom"/>
            <w:hideMark/>
          </w:tcPr>
          <w:p w:rsidR="00A73603" w:rsidRPr="00B90BFF" w:rsidRDefault="00A73603" w:rsidP="00DD5237">
            <w:pPr>
              <w:spacing w:before="0" w:after="0" w:line="240" w:lineRule="auto"/>
              <w:jc w:val="right"/>
              <w:rPr>
                <w:rFonts w:ascii="Arial" w:hAnsi="Arial" w:cs="Arial"/>
                <w:b/>
                <w:bCs/>
                <w:iCs/>
                <w:color w:val="000000"/>
                <w:sz w:val="16"/>
                <w:szCs w:val="16"/>
              </w:rPr>
            </w:pPr>
            <w:r w:rsidRPr="00B90BFF">
              <w:rPr>
                <w:rFonts w:ascii="Arial" w:hAnsi="Arial" w:cs="Arial"/>
                <w:b/>
                <w:bCs/>
                <w:iCs/>
                <w:color w:val="000000"/>
                <w:sz w:val="16"/>
                <w:szCs w:val="16"/>
              </w:rPr>
              <w:t>351,840</w:t>
            </w:r>
          </w:p>
        </w:tc>
        <w:tc>
          <w:tcPr>
            <w:tcW w:w="770" w:type="pct"/>
            <w:tcBorders>
              <w:top w:val="nil"/>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308,914</w:t>
            </w:r>
          </w:p>
        </w:tc>
      </w:tr>
    </w:tbl>
    <w:p w:rsidR="00A73603" w:rsidRPr="00B90BFF" w:rsidRDefault="00A73603" w:rsidP="00A73603">
      <w:pPr>
        <w:spacing w:before="0" w:after="0" w:line="240" w:lineRule="auto"/>
        <w:rPr>
          <w:rFonts w:ascii="Arial" w:hAnsi="Arial" w:cs="Arial"/>
          <w:sz w:val="16"/>
          <w:szCs w:val="16"/>
        </w:rPr>
      </w:pPr>
    </w:p>
    <w:tbl>
      <w:tblPr>
        <w:tblW w:w="4995" w:type="pct"/>
        <w:tblLook w:val="04A0" w:firstRow="1" w:lastRow="0" w:firstColumn="1" w:lastColumn="0" w:noHBand="0" w:noVBand="1"/>
      </w:tblPr>
      <w:tblGrid>
        <w:gridCol w:w="5336"/>
        <w:gridCol w:w="1185"/>
        <w:gridCol w:w="1181"/>
      </w:tblGrid>
      <w:tr w:rsidR="00A73603" w:rsidRPr="005179D3" w:rsidTr="00DD5237">
        <w:trPr>
          <w:trHeight w:val="204"/>
        </w:trPr>
        <w:tc>
          <w:tcPr>
            <w:tcW w:w="3463" w:type="pct"/>
            <w:tcBorders>
              <w:top w:val="single" w:sz="4" w:space="0" w:color="auto"/>
              <w:left w:val="nil"/>
              <w:bottom w:val="nil"/>
              <w:right w:val="nil"/>
            </w:tcBorders>
            <w:shd w:val="clear" w:color="000000" w:fill="FFFFFF"/>
            <w:vAlign w:val="bottom"/>
            <w:hideMark/>
          </w:tcPr>
          <w:p w:rsidR="00A73603" w:rsidRPr="005179D3" w:rsidRDefault="00A73603" w:rsidP="00DD5237">
            <w:pPr>
              <w:spacing w:before="0" w:after="0" w:line="240" w:lineRule="auto"/>
              <w:rPr>
                <w:rFonts w:ascii="Arial" w:hAnsi="Arial" w:cs="Arial"/>
                <w:color w:val="000000"/>
                <w:sz w:val="16"/>
                <w:szCs w:val="16"/>
              </w:rPr>
            </w:pPr>
          </w:p>
        </w:tc>
        <w:tc>
          <w:tcPr>
            <w:tcW w:w="769" w:type="pct"/>
            <w:tcBorders>
              <w:top w:val="single" w:sz="4" w:space="0" w:color="auto"/>
              <w:left w:val="nil"/>
              <w:bottom w:val="single" w:sz="4" w:space="0" w:color="auto"/>
              <w:right w:val="nil"/>
            </w:tcBorders>
            <w:shd w:val="clear" w:color="000000" w:fill="FFFFFF"/>
            <w:vAlign w:val="bottom"/>
            <w:hideMark/>
          </w:tcPr>
          <w:p w:rsidR="00A73603" w:rsidRPr="00983314" w:rsidRDefault="00A73603"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2023-24</w:t>
            </w:r>
          </w:p>
        </w:tc>
        <w:tc>
          <w:tcPr>
            <w:tcW w:w="767" w:type="pct"/>
            <w:tcBorders>
              <w:top w:val="single" w:sz="4" w:space="0" w:color="auto"/>
              <w:left w:val="nil"/>
              <w:bottom w:val="single" w:sz="4" w:space="0" w:color="auto"/>
              <w:right w:val="nil"/>
            </w:tcBorders>
            <w:shd w:val="clear" w:color="000000" w:fill="E6E6E6"/>
            <w:vAlign w:val="bottom"/>
            <w:hideMark/>
          </w:tcPr>
          <w:p w:rsidR="00A73603" w:rsidRPr="005179D3" w:rsidRDefault="00A73603"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2024-25</w:t>
            </w:r>
          </w:p>
        </w:tc>
      </w:tr>
      <w:tr w:rsidR="00A73603" w:rsidRPr="005179D3" w:rsidTr="00DD5237">
        <w:trPr>
          <w:trHeight w:val="204"/>
        </w:trPr>
        <w:tc>
          <w:tcPr>
            <w:tcW w:w="3463" w:type="pct"/>
            <w:tcBorders>
              <w:top w:val="nil"/>
              <w:left w:val="nil"/>
              <w:bottom w:val="single" w:sz="4" w:space="0" w:color="auto"/>
              <w:right w:val="nil"/>
            </w:tcBorders>
            <w:shd w:val="clear" w:color="000000" w:fill="FFFFFF"/>
            <w:vAlign w:val="bottom"/>
            <w:hideMark/>
          </w:tcPr>
          <w:p w:rsidR="00A73603" w:rsidRPr="005179D3" w:rsidRDefault="00A73603"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vAlign w:val="bottom"/>
            <w:hideMark/>
          </w:tcPr>
          <w:p w:rsidR="00A73603" w:rsidRPr="00983314" w:rsidRDefault="00A73603" w:rsidP="00DD5237">
            <w:pPr>
              <w:spacing w:before="0" w:after="0" w:line="240" w:lineRule="auto"/>
              <w:jc w:val="right"/>
              <w:rPr>
                <w:rFonts w:ascii="Arial" w:hAnsi="Arial" w:cs="Arial"/>
                <w:iCs/>
                <w:color w:val="000000"/>
                <w:sz w:val="16"/>
                <w:szCs w:val="16"/>
              </w:rPr>
            </w:pPr>
            <w:r>
              <w:rPr>
                <w:rFonts w:ascii="Arial" w:hAnsi="Arial" w:cs="Arial"/>
                <w:iCs/>
                <w:color w:val="000000"/>
                <w:sz w:val="16"/>
                <w:szCs w:val="16"/>
              </w:rPr>
              <w:t>820</w:t>
            </w:r>
          </w:p>
        </w:tc>
        <w:tc>
          <w:tcPr>
            <w:tcW w:w="767" w:type="pct"/>
            <w:tcBorders>
              <w:top w:val="nil"/>
              <w:left w:val="nil"/>
              <w:bottom w:val="single" w:sz="4" w:space="0" w:color="auto"/>
              <w:right w:val="nil"/>
            </w:tcBorders>
            <w:shd w:val="clear" w:color="000000" w:fill="E6E6E6"/>
            <w:vAlign w:val="bottom"/>
            <w:hideMark/>
          </w:tcPr>
          <w:p w:rsidR="00A73603" w:rsidRPr="005179D3" w:rsidRDefault="00A73603"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832</w:t>
            </w:r>
          </w:p>
        </w:tc>
      </w:tr>
    </w:tbl>
    <w:p w:rsidR="00A73603" w:rsidRPr="00DC697F" w:rsidRDefault="00A73603" w:rsidP="00A73603">
      <w:pPr>
        <w:pStyle w:val="ChartandTableFootnote"/>
      </w:pPr>
      <w:r w:rsidRPr="00DC697F">
        <w:t>Prepared on a resourcing (that is, appropriations available) basis.</w:t>
      </w:r>
    </w:p>
    <w:p w:rsidR="00A73603" w:rsidRPr="00DC697F" w:rsidRDefault="00A73603" w:rsidP="00A73603">
      <w:pPr>
        <w:pStyle w:val="ChartandTableFootnote"/>
      </w:pPr>
      <w:r w:rsidRPr="00DC697F">
        <w:t>All figures shown above are GST exclusive – these may not match figures in the cash flow statement.</w:t>
      </w:r>
    </w:p>
    <w:p w:rsidR="00A73603" w:rsidRPr="00DC697F" w:rsidRDefault="00A73603" w:rsidP="00A73603">
      <w:pPr>
        <w:pStyle w:val="ChartandTableFootnoteAlpha"/>
        <w:numPr>
          <w:ilvl w:val="0"/>
          <w:numId w:val="8"/>
        </w:numPr>
        <w:ind w:left="357" w:hanging="357"/>
        <w:contextualSpacing/>
      </w:pPr>
      <w:r w:rsidRPr="00DC697F">
        <w:t>Appropriation Bill (No. 1) 2024-25.</w:t>
      </w:r>
    </w:p>
    <w:p w:rsidR="00A73603" w:rsidRPr="0095006E" w:rsidRDefault="00A73603" w:rsidP="00A73603">
      <w:pPr>
        <w:spacing w:before="120" w:after="20" w:line="240" w:lineRule="auto"/>
        <w:contextualSpacing/>
        <w:rPr>
          <w:b/>
          <w:noProof/>
        </w:rPr>
      </w:pPr>
      <w:r w:rsidRPr="0095006E">
        <w:rPr>
          <w:rFonts w:ascii="Arial" w:hAnsi="Arial" w:cs="Arial"/>
          <w:sz w:val="16"/>
          <w:szCs w:val="16"/>
        </w:rPr>
        <w:t xml:space="preserve">CASA is not directly appropriated as it is a </w:t>
      </w:r>
      <w:r>
        <w:rPr>
          <w:rFonts w:ascii="Arial" w:hAnsi="Arial" w:cs="Arial"/>
          <w:sz w:val="16"/>
          <w:szCs w:val="16"/>
        </w:rPr>
        <w:t>C</w:t>
      </w:r>
      <w:r w:rsidRPr="0095006E">
        <w:rPr>
          <w:rFonts w:ascii="Arial" w:hAnsi="Arial" w:cs="Arial"/>
          <w:sz w:val="16"/>
          <w:szCs w:val="16"/>
        </w:rPr>
        <w:t xml:space="preserve">orporate Commonwealth </w:t>
      </w:r>
      <w:r>
        <w:rPr>
          <w:rFonts w:ascii="Arial" w:hAnsi="Arial" w:cs="Arial"/>
          <w:sz w:val="16"/>
          <w:szCs w:val="16"/>
        </w:rPr>
        <w:t>E</w:t>
      </w:r>
      <w:r w:rsidRPr="0095006E">
        <w:rPr>
          <w:rFonts w:ascii="Arial" w:hAnsi="Arial" w:cs="Arial"/>
          <w:sz w:val="16"/>
          <w:szCs w:val="16"/>
        </w:rPr>
        <w:t>ntity. Appropriations are made to the Department of Infrastructure, Transport, Regional Development, Communications and the Arts</w:t>
      </w:r>
      <w:r>
        <w:rPr>
          <w:rFonts w:ascii="Arial" w:hAnsi="Arial" w:cs="Arial"/>
          <w:sz w:val="16"/>
          <w:szCs w:val="16"/>
        </w:rPr>
        <w:t xml:space="preserve"> (a Non-Corporate Commonwealth Entity)</w:t>
      </w:r>
      <w:r w:rsidRPr="0095006E">
        <w:rPr>
          <w:rFonts w:ascii="Arial" w:hAnsi="Arial" w:cs="Arial"/>
          <w:sz w:val="16"/>
          <w:szCs w:val="16"/>
        </w:rPr>
        <w:t>, which are then paid to CASA and are considered ‘departmental’ for all purposes.</w:t>
      </w:r>
      <w:r w:rsidRPr="0095006E">
        <w:br w:type="page"/>
      </w:r>
    </w:p>
    <w:p w:rsidR="00A73603" w:rsidRPr="005A7C0B" w:rsidRDefault="00A73603" w:rsidP="00A73603">
      <w:pPr>
        <w:pStyle w:val="Heading3-CASA"/>
        <w:spacing w:before="240" w:after="240"/>
        <w:ind w:left="567" w:hanging="567"/>
      </w:pPr>
      <w:bookmarkStart w:id="14" w:name="_Toc165367082"/>
      <w:bookmarkStart w:id="15" w:name="_Toc165838154"/>
      <w:r w:rsidRPr="005A7C0B">
        <w:lastRenderedPageBreak/>
        <w:t>1.3</w:t>
      </w:r>
      <w:r w:rsidRPr="005A7C0B">
        <w:tab/>
        <w:t>Budget measures</w:t>
      </w:r>
      <w:bookmarkEnd w:id="14"/>
      <w:bookmarkEnd w:id="15"/>
    </w:p>
    <w:p w:rsidR="00A73603" w:rsidRPr="00232059" w:rsidRDefault="00A73603" w:rsidP="00A73603">
      <w:pPr>
        <w:rPr>
          <w:sz w:val="20"/>
        </w:rPr>
      </w:pPr>
      <w:r w:rsidRPr="00232059">
        <w:rPr>
          <w:sz w:val="20"/>
        </w:rPr>
        <w:t>Budget measures in Part 1 relating to CASA are detailed in the Budget Paper No. 2 and are summarised below.</w:t>
      </w:r>
    </w:p>
    <w:p w:rsidR="00A73603" w:rsidRPr="009A40DD" w:rsidRDefault="00A73603" w:rsidP="00A73603">
      <w:pPr>
        <w:pStyle w:val="TableHeading"/>
      </w:pPr>
      <w:r w:rsidRPr="009A40DD">
        <w:t xml:space="preserve">Table 1.2: </w:t>
      </w:r>
      <w:r>
        <w:t xml:space="preserve">CASA 2024–25 </w:t>
      </w:r>
      <w:r w:rsidRPr="009A40DD">
        <w:t>Budget measures</w:t>
      </w:r>
    </w:p>
    <w:p w:rsidR="00A73603" w:rsidRDefault="00A73603" w:rsidP="00A73603">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505"/>
        <w:gridCol w:w="888"/>
        <w:gridCol w:w="865"/>
        <w:gridCol w:w="864"/>
        <w:gridCol w:w="864"/>
        <w:gridCol w:w="864"/>
        <w:gridCol w:w="860"/>
      </w:tblGrid>
      <w:tr w:rsidR="00A73603" w:rsidRPr="00EF4A53" w:rsidTr="00DD5237">
        <w:trPr>
          <w:trHeight w:val="204"/>
        </w:trPr>
        <w:tc>
          <w:tcPr>
            <w:tcW w:w="1625" w:type="pct"/>
            <w:tcBorders>
              <w:top w:val="single" w:sz="4" w:space="0" w:color="auto"/>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sz w:val="16"/>
                <w:szCs w:val="16"/>
              </w:rPr>
            </w:pPr>
          </w:p>
        </w:tc>
        <w:tc>
          <w:tcPr>
            <w:tcW w:w="576" w:type="pct"/>
            <w:tcBorders>
              <w:top w:val="single" w:sz="4" w:space="0" w:color="auto"/>
              <w:left w:val="nil"/>
              <w:bottom w:val="single" w:sz="4" w:space="0" w:color="auto"/>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sz w:val="16"/>
                <w:szCs w:val="16"/>
              </w:rPr>
            </w:pPr>
            <w:r w:rsidRPr="00EF4A53">
              <w:rPr>
                <w:rFonts w:ascii="Arial" w:hAnsi="Arial" w:cs="Arial"/>
                <w:sz w:val="16"/>
                <w:szCs w:val="16"/>
              </w:rPr>
              <w:t>Program</w:t>
            </w:r>
          </w:p>
        </w:tc>
        <w:tc>
          <w:tcPr>
            <w:tcW w:w="561" w:type="pct"/>
            <w:tcBorders>
              <w:top w:val="single" w:sz="4" w:space="0" w:color="auto"/>
              <w:left w:val="nil"/>
              <w:bottom w:val="single" w:sz="4" w:space="0" w:color="auto"/>
              <w:right w:val="nil"/>
            </w:tcBorders>
            <w:shd w:val="clear" w:color="000000" w:fill="E6E6E6"/>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2023</w:t>
            </w:r>
            <w:r>
              <w:rPr>
                <w:rFonts w:ascii="Arial" w:hAnsi="Arial" w:cs="Arial"/>
                <w:sz w:val="16"/>
                <w:szCs w:val="16"/>
              </w:rPr>
              <w:t>-</w:t>
            </w:r>
            <w:r w:rsidRPr="00EF4A53">
              <w:rPr>
                <w:rFonts w:ascii="Arial" w:hAnsi="Arial" w:cs="Arial"/>
                <w:sz w:val="16"/>
                <w:szCs w:val="16"/>
              </w:rPr>
              <w:t>24</w:t>
            </w:r>
            <w:r w:rsidRPr="00EF4A53">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2024</w:t>
            </w:r>
            <w:r>
              <w:rPr>
                <w:rFonts w:ascii="Arial" w:hAnsi="Arial" w:cs="Arial"/>
                <w:sz w:val="16"/>
                <w:szCs w:val="16"/>
              </w:rPr>
              <w:t>-</w:t>
            </w:r>
            <w:r w:rsidRPr="00EF4A53">
              <w:rPr>
                <w:rFonts w:ascii="Arial" w:hAnsi="Arial" w:cs="Arial"/>
                <w:sz w:val="16"/>
                <w:szCs w:val="16"/>
              </w:rPr>
              <w:t>25</w:t>
            </w:r>
            <w:r w:rsidRPr="00EF4A53">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2025</w:t>
            </w:r>
            <w:r>
              <w:rPr>
                <w:rFonts w:ascii="Arial" w:hAnsi="Arial" w:cs="Arial"/>
                <w:sz w:val="16"/>
                <w:szCs w:val="16"/>
              </w:rPr>
              <w:t>-</w:t>
            </w:r>
            <w:r w:rsidRPr="00EF4A53">
              <w:rPr>
                <w:rFonts w:ascii="Arial" w:hAnsi="Arial" w:cs="Arial"/>
                <w:sz w:val="16"/>
                <w:szCs w:val="16"/>
              </w:rPr>
              <w:t>26</w:t>
            </w:r>
            <w:r w:rsidRPr="00EF4A53">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2026</w:t>
            </w:r>
            <w:r>
              <w:rPr>
                <w:rFonts w:ascii="Arial" w:hAnsi="Arial" w:cs="Arial"/>
                <w:sz w:val="16"/>
                <w:szCs w:val="16"/>
              </w:rPr>
              <w:t>-</w:t>
            </w:r>
            <w:r w:rsidRPr="00EF4A53">
              <w:rPr>
                <w:rFonts w:ascii="Arial" w:hAnsi="Arial" w:cs="Arial"/>
                <w:sz w:val="16"/>
                <w:szCs w:val="16"/>
              </w:rPr>
              <w:t>27</w:t>
            </w:r>
            <w:r w:rsidRPr="00EF4A53">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2027</w:t>
            </w:r>
            <w:r>
              <w:rPr>
                <w:rFonts w:ascii="Arial" w:hAnsi="Arial" w:cs="Arial"/>
                <w:sz w:val="16"/>
                <w:szCs w:val="16"/>
              </w:rPr>
              <w:t>-</w:t>
            </w:r>
            <w:r w:rsidRPr="00EF4A53">
              <w:rPr>
                <w:rFonts w:ascii="Arial" w:hAnsi="Arial" w:cs="Arial"/>
                <w:sz w:val="16"/>
                <w:szCs w:val="16"/>
              </w:rPr>
              <w:t>28</w:t>
            </w:r>
            <w:r w:rsidRPr="00EF4A53">
              <w:rPr>
                <w:rFonts w:ascii="Arial" w:hAnsi="Arial" w:cs="Arial"/>
                <w:sz w:val="16"/>
                <w:szCs w:val="16"/>
              </w:rPr>
              <w:br/>
              <w:t>$'000</w:t>
            </w:r>
          </w:p>
        </w:tc>
      </w:tr>
      <w:tr w:rsidR="00A73603" w:rsidRPr="00EF4A53" w:rsidTr="00DD5237">
        <w:trPr>
          <w:trHeight w:val="204"/>
        </w:trPr>
        <w:tc>
          <w:tcPr>
            <w:tcW w:w="2200" w:type="pct"/>
            <w:gridSpan w:val="2"/>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b/>
                <w:bCs/>
                <w:sz w:val="16"/>
                <w:szCs w:val="16"/>
              </w:rPr>
            </w:pPr>
            <w:r w:rsidRPr="00EF4A53">
              <w:rPr>
                <w:rFonts w:ascii="Arial" w:hAnsi="Arial" w:cs="Arial"/>
                <w:b/>
                <w:bCs/>
                <w:sz w:val="16"/>
                <w:szCs w:val="16"/>
              </w:rPr>
              <w:t>Payment measures</w:t>
            </w: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r>
      <w:tr w:rsidR="00A73603" w:rsidRPr="00EF4A53" w:rsidTr="00DD5237">
        <w:trPr>
          <w:trHeight w:val="204"/>
        </w:trPr>
        <w:tc>
          <w:tcPr>
            <w:tcW w:w="1625" w:type="pct"/>
            <w:tcBorders>
              <w:top w:val="nil"/>
              <w:left w:val="nil"/>
              <w:bottom w:val="nil"/>
              <w:right w:val="nil"/>
            </w:tcBorders>
            <w:shd w:val="clear" w:color="auto" w:fill="auto"/>
            <w:hideMark/>
          </w:tcPr>
          <w:p w:rsidR="00A73603" w:rsidRPr="00EF4A53" w:rsidRDefault="00A73603" w:rsidP="00DD5237">
            <w:pPr>
              <w:spacing w:before="0" w:after="0" w:line="240" w:lineRule="auto"/>
              <w:contextualSpacing/>
              <w:rPr>
                <w:rFonts w:ascii="Arial" w:hAnsi="Arial" w:cs="Arial"/>
                <w:sz w:val="16"/>
                <w:szCs w:val="16"/>
              </w:rPr>
            </w:pPr>
            <w:r>
              <w:rPr>
                <w:rFonts w:ascii="Arial" w:hAnsi="Arial" w:cs="Arial"/>
                <w:sz w:val="16"/>
                <w:szCs w:val="16"/>
              </w:rPr>
              <w:t>Supporting Transport Priorities</w:t>
            </w:r>
          </w:p>
        </w:tc>
        <w:tc>
          <w:tcPr>
            <w:tcW w:w="576"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center"/>
              <w:rPr>
                <w:rFonts w:ascii="Arial" w:hAnsi="Arial" w:cs="Arial"/>
                <w:sz w:val="16"/>
                <w:szCs w:val="16"/>
              </w:rPr>
            </w:pPr>
            <w:r w:rsidRPr="00EF4A53">
              <w:rPr>
                <w:rFonts w:ascii="Arial" w:hAnsi="Arial" w:cs="Arial"/>
                <w:sz w:val="16"/>
                <w:szCs w:val="16"/>
              </w:rPr>
              <w:t>1</w:t>
            </w:r>
            <w:r>
              <w:rPr>
                <w:rFonts w:ascii="Arial" w:hAnsi="Arial" w:cs="Arial"/>
                <w:sz w:val="16"/>
                <w:szCs w:val="16"/>
              </w:rPr>
              <w:t>.1</w:t>
            </w: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p>
        </w:tc>
      </w:tr>
      <w:tr w:rsidR="00A73603" w:rsidRPr="00EF4A53" w:rsidTr="00DD5237">
        <w:trPr>
          <w:trHeight w:val="204"/>
        </w:trPr>
        <w:tc>
          <w:tcPr>
            <w:tcW w:w="1625" w:type="pct"/>
            <w:tcBorders>
              <w:top w:val="nil"/>
              <w:left w:val="nil"/>
              <w:bottom w:val="nil"/>
              <w:right w:val="nil"/>
            </w:tcBorders>
            <w:shd w:val="clear" w:color="auto" w:fill="auto"/>
            <w:vAlign w:val="bottom"/>
            <w:hideMark/>
          </w:tcPr>
          <w:p w:rsidR="00A73603" w:rsidRPr="00EF4A53" w:rsidRDefault="00A73603" w:rsidP="00DD5237">
            <w:pPr>
              <w:spacing w:before="0" w:after="0" w:line="240" w:lineRule="auto"/>
              <w:ind w:left="113"/>
              <w:contextualSpacing/>
              <w:rPr>
                <w:rFonts w:ascii="Arial" w:hAnsi="Arial" w:cs="Arial"/>
                <w:sz w:val="16"/>
                <w:szCs w:val="16"/>
              </w:rPr>
            </w:pPr>
            <w:r w:rsidRPr="00EF4A53">
              <w:rPr>
                <w:rFonts w:ascii="Arial" w:hAnsi="Arial" w:cs="Arial"/>
                <w:sz w:val="16"/>
                <w:szCs w:val="16"/>
              </w:rPr>
              <w:t>Departmental payment</w:t>
            </w:r>
            <w:r>
              <w:rPr>
                <w:rFonts w:ascii="Arial" w:hAnsi="Arial" w:cs="Arial"/>
                <w:sz w:val="16"/>
                <w:szCs w:val="16"/>
              </w:rPr>
              <w:t>s</w:t>
            </w:r>
          </w:p>
        </w:tc>
        <w:tc>
          <w:tcPr>
            <w:tcW w:w="576"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ind w:firstLineChars="100" w:firstLine="160"/>
              <w:contextualSpacing/>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65</w:t>
            </w:r>
          </w:p>
        </w:tc>
        <w:tc>
          <w:tcPr>
            <w:tcW w:w="560"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68</w:t>
            </w: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sidRPr="00EF4A53">
              <w:rPr>
                <w:rFonts w:ascii="Arial" w:hAnsi="Arial" w:cs="Arial"/>
                <w:sz w:val="16"/>
                <w:szCs w:val="16"/>
              </w:rPr>
              <w:t>71</w:t>
            </w:r>
          </w:p>
        </w:tc>
        <w:tc>
          <w:tcPr>
            <w:tcW w:w="558"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Pr>
                <w:rFonts w:ascii="Arial" w:hAnsi="Arial" w:cs="Arial"/>
                <w:sz w:val="16"/>
                <w:szCs w:val="16"/>
              </w:rPr>
              <w:t>-</w:t>
            </w:r>
          </w:p>
        </w:tc>
      </w:tr>
      <w:tr w:rsidR="00A73603" w:rsidRPr="00EF4A53" w:rsidTr="00DD5237">
        <w:trPr>
          <w:trHeight w:val="204"/>
        </w:trPr>
        <w:tc>
          <w:tcPr>
            <w:tcW w:w="1625" w:type="pct"/>
            <w:tcBorders>
              <w:top w:val="nil"/>
              <w:left w:val="nil"/>
              <w:bottom w:val="nil"/>
              <w:right w:val="nil"/>
            </w:tcBorders>
            <w:shd w:val="clear" w:color="auto" w:fill="auto"/>
            <w:noWrap/>
            <w:vAlign w:val="bottom"/>
          </w:tcPr>
          <w:p w:rsidR="00A73603" w:rsidRPr="00F54C25" w:rsidRDefault="00A73603" w:rsidP="00DD5237">
            <w:pPr>
              <w:spacing w:before="0" w:after="0" w:line="240" w:lineRule="auto"/>
              <w:contextualSpacing/>
              <w:rPr>
                <w:rFonts w:ascii="Arial" w:hAnsi="Arial" w:cs="Arial"/>
                <w:b/>
                <w:bCs/>
                <w:sz w:val="16"/>
                <w:szCs w:val="16"/>
              </w:rPr>
            </w:pPr>
            <w:r>
              <w:rPr>
                <w:rFonts w:ascii="Arial" w:hAnsi="Arial" w:cs="Arial"/>
                <w:b/>
                <w:bCs/>
                <w:sz w:val="16"/>
                <w:szCs w:val="16"/>
              </w:rPr>
              <w:t>Total</w:t>
            </w:r>
          </w:p>
        </w:tc>
        <w:tc>
          <w:tcPr>
            <w:tcW w:w="576" w:type="pct"/>
            <w:tcBorders>
              <w:top w:val="nil"/>
              <w:left w:val="nil"/>
              <w:bottom w:val="nil"/>
              <w:right w:val="nil"/>
            </w:tcBorders>
            <w:shd w:val="clear" w:color="auto" w:fill="auto"/>
            <w:noWrap/>
            <w:vAlign w:val="bottom"/>
          </w:tcPr>
          <w:p w:rsidR="00A73603" w:rsidRDefault="00A73603" w:rsidP="00DD5237">
            <w:pPr>
              <w:spacing w:before="0" w:after="0" w:line="240" w:lineRule="auto"/>
              <w:contextualSpacing/>
              <w:jc w:val="center"/>
              <w:rPr>
                <w:rFonts w:ascii="Arial" w:hAnsi="Arial" w:cs="Arial"/>
                <w:bCs/>
                <w:sz w:val="16"/>
                <w:szCs w:val="16"/>
              </w:rPr>
            </w:pPr>
          </w:p>
        </w:tc>
        <w:tc>
          <w:tcPr>
            <w:tcW w:w="561"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65</w:t>
            </w:r>
          </w:p>
        </w:tc>
        <w:tc>
          <w:tcPr>
            <w:tcW w:w="560"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68</w:t>
            </w:r>
          </w:p>
        </w:tc>
        <w:tc>
          <w:tcPr>
            <w:tcW w:w="560"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71</w:t>
            </w:r>
          </w:p>
        </w:tc>
        <w:tc>
          <w:tcPr>
            <w:tcW w:w="558"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w:t>
            </w:r>
          </w:p>
        </w:tc>
      </w:tr>
      <w:tr w:rsidR="00A73603" w:rsidRPr="00EF4A53" w:rsidTr="00DD5237">
        <w:trPr>
          <w:trHeight w:val="204"/>
        </w:trPr>
        <w:tc>
          <w:tcPr>
            <w:tcW w:w="1625" w:type="pct"/>
            <w:tcBorders>
              <w:top w:val="nil"/>
              <w:left w:val="nil"/>
              <w:bottom w:val="nil"/>
              <w:right w:val="nil"/>
            </w:tcBorders>
            <w:shd w:val="clear" w:color="auto" w:fill="auto"/>
            <w:noWrap/>
            <w:vAlign w:val="bottom"/>
          </w:tcPr>
          <w:p w:rsidR="00A73603" w:rsidRPr="00726BCC" w:rsidRDefault="00A73603" w:rsidP="00DD5237">
            <w:pPr>
              <w:spacing w:before="0" w:after="0" w:line="240" w:lineRule="auto"/>
              <w:contextualSpacing/>
              <w:rPr>
                <w:rFonts w:ascii="Arial" w:hAnsi="Arial" w:cs="Arial"/>
                <w:bCs/>
                <w:sz w:val="16"/>
                <w:szCs w:val="16"/>
              </w:rPr>
            </w:pPr>
            <w:r>
              <w:rPr>
                <w:rFonts w:ascii="Arial" w:hAnsi="Arial" w:cs="Arial"/>
                <w:bCs/>
                <w:sz w:val="16"/>
                <w:szCs w:val="16"/>
              </w:rPr>
              <w:t xml:space="preserve">Savings from External Labour - </w:t>
            </w:r>
            <w:r>
              <w:rPr>
                <w:rFonts w:ascii="Arial" w:hAnsi="Arial" w:cs="Arial"/>
                <w:bCs/>
                <w:sz w:val="16"/>
                <w:szCs w:val="16"/>
              </w:rPr>
              <w:br/>
              <w:t>extension</w:t>
            </w:r>
            <w:r w:rsidRPr="009652EA">
              <w:rPr>
                <w:rFonts w:ascii="Arial" w:hAnsi="Arial" w:cs="Arial"/>
                <w:bCs/>
                <w:sz w:val="16"/>
                <w:szCs w:val="16"/>
                <w:vertAlign w:val="superscript"/>
              </w:rPr>
              <w:t>(a)</w:t>
            </w:r>
          </w:p>
        </w:tc>
        <w:tc>
          <w:tcPr>
            <w:tcW w:w="576" w:type="pct"/>
            <w:tcBorders>
              <w:top w:val="nil"/>
              <w:left w:val="nil"/>
              <w:bottom w:val="nil"/>
              <w:right w:val="nil"/>
            </w:tcBorders>
            <w:shd w:val="clear" w:color="auto" w:fill="auto"/>
            <w:noWrap/>
            <w:vAlign w:val="bottom"/>
          </w:tcPr>
          <w:p w:rsidR="00A73603" w:rsidRPr="00726BCC" w:rsidRDefault="00A73603" w:rsidP="00DD5237">
            <w:pPr>
              <w:spacing w:before="0" w:after="0" w:line="240" w:lineRule="auto"/>
              <w:contextualSpacing/>
              <w:jc w:val="center"/>
              <w:rPr>
                <w:rFonts w:ascii="Arial" w:hAnsi="Arial" w:cs="Arial"/>
                <w:bCs/>
                <w:sz w:val="16"/>
                <w:szCs w:val="16"/>
              </w:rPr>
            </w:pPr>
            <w:r>
              <w:rPr>
                <w:rFonts w:ascii="Arial" w:hAnsi="Arial" w:cs="Arial"/>
                <w:bCs/>
                <w:sz w:val="16"/>
                <w:szCs w:val="16"/>
              </w:rPr>
              <w:t>1.1</w:t>
            </w:r>
          </w:p>
        </w:tc>
        <w:tc>
          <w:tcPr>
            <w:tcW w:w="561"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r>
      <w:tr w:rsidR="00A73603" w:rsidRPr="00726BCC" w:rsidTr="00DD5237">
        <w:trPr>
          <w:trHeight w:val="204"/>
        </w:trPr>
        <w:tc>
          <w:tcPr>
            <w:tcW w:w="1625"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ind w:left="113"/>
              <w:contextualSpacing/>
              <w:rPr>
                <w:rFonts w:ascii="Arial" w:hAnsi="Arial" w:cs="Arial"/>
                <w:b/>
                <w:bCs/>
                <w:sz w:val="16"/>
                <w:szCs w:val="16"/>
              </w:rPr>
            </w:pPr>
            <w:r w:rsidRPr="00EF4A53">
              <w:rPr>
                <w:rFonts w:ascii="Arial" w:hAnsi="Arial" w:cs="Arial"/>
                <w:sz w:val="16"/>
                <w:szCs w:val="16"/>
              </w:rPr>
              <w:t>Departmental payment</w:t>
            </w:r>
            <w:r>
              <w:rPr>
                <w:rFonts w:ascii="Arial" w:hAnsi="Arial" w:cs="Arial"/>
                <w:sz w:val="16"/>
                <w:szCs w:val="16"/>
              </w:rPr>
              <w:t>s</w:t>
            </w:r>
          </w:p>
        </w:tc>
        <w:tc>
          <w:tcPr>
            <w:tcW w:w="576" w:type="pct"/>
            <w:tcBorders>
              <w:top w:val="nil"/>
              <w:left w:val="nil"/>
              <w:bottom w:val="nil"/>
              <w:right w:val="nil"/>
            </w:tcBorders>
            <w:shd w:val="clear" w:color="auto" w:fill="auto"/>
            <w:noWrap/>
            <w:vAlign w:val="bottom"/>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rsidR="00A73603" w:rsidRPr="00F54C25" w:rsidRDefault="00A73603" w:rsidP="00DD5237">
            <w:pPr>
              <w:spacing w:before="0" w:after="0" w:line="240" w:lineRule="auto"/>
              <w:contextualSpacing/>
              <w:jc w:val="right"/>
              <w:rPr>
                <w:rFonts w:ascii="Arial" w:hAnsi="Arial" w:cs="Arial"/>
                <w:bCs/>
                <w:sz w:val="16"/>
                <w:szCs w:val="16"/>
              </w:rPr>
            </w:pPr>
            <w:r w:rsidRPr="00F54C25">
              <w:rPr>
                <w:rFonts w:ascii="Arial" w:hAnsi="Arial" w:cs="Arial"/>
                <w:bCs/>
                <w:sz w:val="16"/>
                <w:szCs w:val="16"/>
              </w:rPr>
              <w:t>-</w:t>
            </w:r>
          </w:p>
        </w:tc>
        <w:tc>
          <w:tcPr>
            <w:tcW w:w="560" w:type="pct"/>
            <w:tcBorders>
              <w:top w:val="nil"/>
              <w:left w:val="nil"/>
              <w:bottom w:val="nil"/>
              <w:right w:val="nil"/>
            </w:tcBorders>
            <w:shd w:val="clear" w:color="auto" w:fill="auto"/>
            <w:noWrap/>
            <w:vAlign w:val="bottom"/>
          </w:tcPr>
          <w:p w:rsidR="00A73603" w:rsidRPr="00F54C25" w:rsidRDefault="00A73603" w:rsidP="00DD5237">
            <w:pPr>
              <w:spacing w:before="0" w:after="0" w:line="240" w:lineRule="auto"/>
              <w:contextualSpacing/>
              <w:jc w:val="right"/>
              <w:rPr>
                <w:rFonts w:ascii="Arial" w:hAnsi="Arial" w:cs="Arial"/>
                <w:bCs/>
                <w:sz w:val="16"/>
                <w:szCs w:val="16"/>
              </w:rPr>
            </w:pPr>
            <w:r w:rsidRPr="00F54C25">
              <w:rPr>
                <w:rFonts w:ascii="Arial" w:hAnsi="Arial" w:cs="Arial"/>
                <w:bCs/>
                <w:sz w:val="16"/>
                <w:szCs w:val="16"/>
              </w:rPr>
              <w:t>(107)</w:t>
            </w:r>
          </w:p>
        </w:tc>
        <w:tc>
          <w:tcPr>
            <w:tcW w:w="560" w:type="pct"/>
            <w:tcBorders>
              <w:top w:val="nil"/>
              <w:left w:val="nil"/>
              <w:bottom w:val="nil"/>
              <w:right w:val="nil"/>
            </w:tcBorders>
            <w:shd w:val="clear" w:color="000000" w:fill="E6E6E6"/>
            <w:noWrap/>
            <w:vAlign w:val="bottom"/>
          </w:tcPr>
          <w:p w:rsidR="00A73603" w:rsidRPr="00726BCC" w:rsidRDefault="00A73603" w:rsidP="00DD5237">
            <w:pPr>
              <w:spacing w:before="0" w:after="0" w:line="240" w:lineRule="auto"/>
              <w:contextualSpacing/>
              <w:jc w:val="right"/>
              <w:rPr>
                <w:rFonts w:ascii="Arial" w:hAnsi="Arial" w:cs="Arial"/>
                <w:bCs/>
                <w:sz w:val="16"/>
                <w:szCs w:val="16"/>
              </w:rPr>
            </w:pPr>
            <w:r>
              <w:rPr>
                <w:rFonts w:ascii="Arial" w:hAnsi="Arial" w:cs="Arial"/>
                <w:bCs/>
                <w:sz w:val="16"/>
                <w:szCs w:val="16"/>
              </w:rPr>
              <w:t>(109)</w:t>
            </w:r>
          </w:p>
        </w:tc>
        <w:tc>
          <w:tcPr>
            <w:tcW w:w="560" w:type="pct"/>
            <w:tcBorders>
              <w:top w:val="nil"/>
              <w:left w:val="nil"/>
              <w:bottom w:val="nil"/>
              <w:right w:val="nil"/>
            </w:tcBorders>
            <w:shd w:val="clear" w:color="auto" w:fill="auto"/>
            <w:noWrap/>
            <w:vAlign w:val="bottom"/>
          </w:tcPr>
          <w:p w:rsidR="00A73603" w:rsidRPr="00726BCC" w:rsidRDefault="00A73603" w:rsidP="00DD5237">
            <w:pPr>
              <w:spacing w:before="0" w:after="0" w:line="240" w:lineRule="auto"/>
              <w:contextualSpacing/>
              <w:jc w:val="right"/>
              <w:rPr>
                <w:rFonts w:ascii="Arial" w:hAnsi="Arial" w:cs="Arial"/>
                <w:bCs/>
                <w:sz w:val="16"/>
                <w:szCs w:val="16"/>
              </w:rPr>
            </w:pPr>
            <w:r>
              <w:rPr>
                <w:rFonts w:ascii="Arial" w:hAnsi="Arial" w:cs="Arial"/>
                <w:bCs/>
                <w:sz w:val="16"/>
                <w:szCs w:val="16"/>
              </w:rPr>
              <w:t>(117)</w:t>
            </w:r>
          </w:p>
        </w:tc>
        <w:tc>
          <w:tcPr>
            <w:tcW w:w="558" w:type="pct"/>
            <w:tcBorders>
              <w:top w:val="nil"/>
              <w:left w:val="nil"/>
              <w:bottom w:val="nil"/>
              <w:right w:val="nil"/>
            </w:tcBorders>
            <w:shd w:val="clear" w:color="000000" w:fill="E6E6E6"/>
            <w:noWrap/>
            <w:vAlign w:val="bottom"/>
          </w:tcPr>
          <w:p w:rsidR="00A73603" w:rsidRPr="00726BCC" w:rsidRDefault="00A73603" w:rsidP="00DD5237">
            <w:pPr>
              <w:spacing w:before="0" w:after="0" w:line="240" w:lineRule="auto"/>
              <w:contextualSpacing/>
              <w:jc w:val="right"/>
              <w:rPr>
                <w:rFonts w:ascii="Arial" w:hAnsi="Arial" w:cs="Arial"/>
                <w:bCs/>
                <w:sz w:val="16"/>
                <w:szCs w:val="16"/>
              </w:rPr>
            </w:pPr>
            <w:r>
              <w:rPr>
                <w:rFonts w:ascii="Arial" w:hAnsi="Arial" w:cs="Arial"/>
                <w:bCs/>
                <w:sz w:val="16"/>
                <w:szCs w:val="16"/>
              </w:rPr>
              <w:t>(845)</w:t>
            </w:r>
          </w:p>
        </w:tc>
      </w:tr>
      <w:tr w:rsidR="00A73603" w:rsidRPr="00EF4A53" w:rsidTr="00DD5237">
        <w:trPr>
          <w:trHeight w:val="204"/>
        </w:trPr>
        <w:tc>
          <w:tcPr>
            <w:tcW w:w="1625"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b/>
                <w:bCs/>
                <w:sz w:val="16"/>
                <w:szCs w:val="16"/>
              </w:rPr>
            </w:pPr>
            <w:r w:rsidRPr="00EF4A53">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(107)</w:t>
            </w:r>
          </w:p>
        </w:tc>
        <w:tc>
          <w:tcPr>
            <w:tcW w:w="560"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(109)</w:t>
            </w: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(117)</w:t>
            </w:r>
          </w:p>
        </w:tc>
        <w:tc>
          <w:tcPr>
            <w:tcW w:w="558"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(845)</w:t>
            </w:r>
          </w:p>
        </w:tc>
      </w:tr>
      <w:tr w:rsidR="00A73603" w:rsidRPr="00EF4A53" w:rsidTr="00DD5237">
        <w:trPr>
          <w:trHeight w:val="204"/>
        </w:trPr>
        <w:tc>
          <w:tcPr>
            <w:tcW w:w="1625"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b/>
                <w:bCs/>
                <w:sz w:val="16"/>
                <w:szCs w:val="16"/>
              </w:rPr>
            </w:pPr>
            <w:r w:rsidRPr="00EF4A53">
              <w:rPr>
                <w:rFonts w:ascii="Arial" w:hAnsi="Arial" w:cs="Arial"/>
                <w:b/>
                <w:bCs/>
                <w:sz w:val="16"/>
                <w:szCs w:val="16"/>
              </w:rPr>
              <w:t>Total payment measures</w:t>
            </w:r>
          </w:p>
        </w:tc>
        <w:tc>
          <w:tcPr>
            <w:tcW w:w="576"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r>
      <w:tr w:rsidR="00A73603" w:rsidRPr="00726BCC" w:rsidTr="00DD5237">
        <w:trPr>
          <w:trHeight w:val="204"/>
        </w:trPr>
        <w:tc>
          <w:tcPr>
            <w:tcW w:w="1625"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ind w:left="113"/>
              <w:contextualSpacing/>
              <w:rPr>
                <w:rFonts w:ascii="Arial" w:hAnsi="Arial" w:cs="Arial"/>
                <w:sz w:val="16"/>
                <w:szCs w:val="16"/>
              </w:rPr>
            </w:pPr>
            <w:r w:rsidRPr="00EF4A53">
              <w:rPr>
                <w:rFonts w:ascii="Arial" w:hAnsi="Arial" w:cs="Arial"/>
                <w:sz w:val="16"/>
                <w:szCs w:val="16"/>
              </w:rPr>
              <w:t>Departmental</w:t>
            </w:r>
          </w:p>
        </w:tc>
        <w:tc>
          <w:tcPr>
            <w:tcW w:w="576" w:type="pct"/>
            <w:tcBorders>
              <w:top w:val="nil"/>
              <w:left w:val="nil"/>
              <w:bottom w:val="nil"/>
              <w:right w:val="nil"/>
            </w:tcBorders>
            <w:shd w:val="clear" w:color="auto" w:fill="auto"/>
            <w:noWrap/>
            <w:vAlign w:val="bottom"/>
            <w:hideMark/>
          </w:tcPr>
          <w:p w:rsidR="00A73603" w:rsidRPr="00EF4A53" w:rsidRDefault="00A73603" w:rsidP="00DD5237">
            <w:pPr>
              <w:spacing w:before="0" w:after="0" w:line="240" w:lineRule="auto"/>
              <w:ind w:firstLineChars="100" w:firstLine="160"/>
              <w:contextualSpacing/>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rsidR="00A73603" w:rsidRPr="00726BCC" w:rsidRDefault="00A73603" w:rsidP="00DD5237">
            <w:pPr>
              <w:spacing w:before="0" w:after="0" w:line="240" w:lineRule="auto"/>
              <w:contextualSpacing/>
              <w:jc w:val="right"/>
              <w:rPr>
                <w:rFonts w:ascii="Arial" w:hAnsi="Arial" w:cs="Arial"/>
                <w:sz w:val="16"/>
                <w:szCs w:val="16"/>
              </w:rPr>
            </w:pPr>
            <w:r w:rsidRPr="00726BCC">
              <w:rPr>
                <w:rFonts w:ascii="Arial" w:hAnsi="Arial" w:cs="Arial"/>
                <w:bCs/>
                <w:sz w:val="16"/>
                <w:szCs w:val="16"/>
              </w:rPr>
              <w:t>(42)</w:t>
            </w:r>
          </w:p>
        </w:tc>
        <w:tc>
          <w:tcPr>
            <w:tcW w:w="560" w:type="pct"/>
            <w:tcBorders>
              <w:top w:val="nil"/>
              <w:left w:val="nil"/>
              <w:bottom w:val="nil"/>
              <w:right w:val="nil"/>
            </w:tcBorders>
            <w:shd w:val="clear" w:color="000000" w:fill="E6E6E6"/>
            <w:noWrap/>
            <w:vAlign w:val="bottom"/>
            <w:hideMark/>
          </w:tcPr>
          <w:p w:rsidR="00A73603" w:rsidRPr="00726BCC" w:rsidRDefault="00A73603" w:rsidP="00DD5237">
            <w:pPr>
              <w:spacing w:before="0" w:after="0" w:line="240" w:lineRule="auto"/>
              <w:contextualSpacing/>
              <w:jc w:val="right"/>
              <w:rPr>
                <w:rFonts w:ascii="Arial" w:hAnsi="Arial" w:cs="Arial"/>
                <w:sz w:val="16"/>
                <w:szCs w:val="16"/>
              </w:rPr>
            </w:pPr>
            <w:r w:rsidRPr="00726BCC">
              <w:rPr>
                <w:rFonts w:ascii="Arial" w:hAnsi="Arial" w:cs="Arial"/>
                <w:bCs/>
                <w:sz w:val="16"/>
                <w:szCs w:val="16"/>
              </w:rPr>
              <w:t>(41)</w:t>
            </w:r>
          </w:p>
        </w:tc>
        <w:tc>
          <w:tcPr>
            <w:tcW w:w="560" w:type="pct"/>
            <w:tcBorders>
              <w:top w:val="nil"/>
              <w:left w:val="nil"/>
              <w:bottom w:val="nil"/>
              <w:right w:val="nil"/>
            </w:tcBorders>
            <w:shd w:val="clear" w:color="auto" w:fill="auto"/>
            <w:noWrap/>
            <w:vAlign w:val="bottom"/>
            <w:hideMark/>
          </w:tcPr>
          <w:p w:rsidR="00A73603" w:rsidRPr="00726BCC" w:rsidRDefault="00A73603" w:rsidP="00DD5237">
            <w:pPr>
              <w:spacing w:before="0" w:after="0" w:line="240" w:lineRule="auto"/>
              <w:contextualSpacing/>
              <w:jc w:val="right"/>
              <w:rPr>
                <w:rFonts w:ascii="Arial" w:hAnsi="Arial" w:cs="Arial"/>
                <w:sz w:val="16"/>
                <w:szCs w:val="16"/>
              </w:rPr>
            </w:pPr>
            <w:r w:rsidRPr="00726BCC">
              <w:rPr>
                <w:rFonts w:ascii="Arial" w:hAnsi="Arial" w:cs="Arial"/>
                <w:bCs/>
                <w:sz w:val="16"/>
                <w:szCs w:val="16"/>
              </w:rPr>
              <w:t>(46)</w:t>
            </w:r>
          </w:p>
        </w:tc>
        <w:tc>
          <w:tcPr>
            <w:tcW w:w="558" w:type="pct"/>
            <w:tcBorders>
              <w:top w:val="nil"/>
              <w:left w:val="nil"/>
              <w:bottom w:val="nil"/>
              <w:right w:val="nil"/>
            </w:tcBorders>
            <w:shd w:val="clear" w:color="000000" w:fill="E6E6E6"/>
            <w:noWrap/>
            <w:vAlign w:val="bottom"/>
            <w:hideMark/>
          </w:tcPr>
          <w:p w:rsidR="00A73603" w:rsidRPr="00726BCC" w:rsidRDefault="00A73603" w:rsidP="00DD5237">
            <w:pPr>
              <w:spacing w:before="0" w:after="0" w:line="240" w:lineRule="auto"/>
              <w:contextualSpacing/>
              <w:jc w:val="right"/>
              <w:rPr>
                <w:rFonts w:ascii="Arial" w:hAnsi="Arial" w:cs="Arial"/>
                <w:sz w:val="16"/>
                <w:szCs w:val="16"/>
              </w:rPr>
            </w:pPr>
            <w:r w:rsidRPr="00726BCC">
              <w:rPr>
                <w:rFonts w:ascii="Arial" w:hAnsi="Arial" w:cs="Arial"/>
                <w:bCs/>
                <w:sz w:val="16"/>
                <w:szCs w:val="16"/>
              </w:rPr>
              <w:t>(845)</w:t>
            </w:r>
          </w:p>
        </w:tc>
      </w:tr>
      <w:tr w:rsidR="00A73603" w:rsidRPr="00EF4A53" w:rsidTr="00DD5237">
        <w:trPr>
          <w:trHeight w:val="204"/>
        </w:trPr>
        <w:tc>
          <w:tcPr>
            <w:tcW w:w="1625" w:type="pct"/>
            <w:tcBorders>
              <w:top w:val="nil"/>
              <w:left w:val="nil"/>
              <w:bottom w:val="single" w:sz="4" w:space="0" w:color="auto"/>
              <w:right w:val="nil"/>
            </w:tcBorders>
            <w:shd w:val="clear" w:color="auto" w:fill="auto"/>
            <w:noWrap/>
            <w:vAlign w:val="bottom"/>
            <w:hideMark/>
          </w:tcPr>
          <w:p w:rsidR="00A73603" w:rsidRPr="00EF4A53" w:rsidRDefault="00A73603" w:rsidP="00DD5237">
            <w:pPr>
              <w:spacing w:before="0" w:after="0" w:line="240" w:lineRule="auto"/>
              <w:contextualSpacing/>
              <w:rPr>
                <w:rFonts w:ascii="Arial" w:hAnsi="Arial" w:cs="Arial"/>
                <w:b/>
                <w:bCs/>
                <w:sz w:val="16"/>
                <w:szCs w:val="16"/>
              </w:rPr>
            </w:pPr>
            <w:r w:rsidRPr="00EF4A53">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p>
        </w:tc>
        <w:tc>
          <w:tcPr>
            <w:tcW w:w="561" w:type="pct"/>
            <w:tcBorders>
              <w:top w:val="nil"/>
              <w:left w:val="nil"/>
              <w:bottom w:val="single" w:sz="4" w:space="0" w:color="auto"/>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(42)</w:t>
            </w:r>
          </w:p>
        </w:tc>
        <w:tc>
          <w:tcPr>
            <w:tcW w:w="560" w:type="pct"/>
            <w:tcBorders>
              <w:top w:val="nil"/>
              <w:left w:val="nil"/>
              <w:bottom w:val="single" w:sz="4" w:space="0" w:color="auto"/>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(41)</w:t>
            </w:r>
          </w:p>
        </w:tc>
        <w:tc>
          <w:tcPr>
            <w:tcW w:w="560" w:type="pct"/>
            <w:tcBorders>
              <w:top w:val="nil"/>
              <w:left w:val="nil"/>
              <w:bottom w:val="single" w:sz="4" w:space="0" w:color="auto"/>
              <w:right w:val="nil"/>
            </w:tcBorders>
            <w:shd w:val="clear" w:color="auto" w:fill="auto"/>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(46)</w:t>
            </w:r>
          </w:p>
        </w:tc>
        <w:tc>
          <w:tcPr>
            <w:tcW w:w="558" w:type="pct"/>
            <w:tcBorders>
              <w:top w:val="nil"/>
              <w:left w:val="nil"/>
              <w:bottom w:val="single" w:sz="4" w:space="0" w:color="auto"/>
              <w:right w:val="nil"/>
            </w:tcBorders>
            <w:shd w:val="clear" w:color="000000" w:fill="E6E6E6"/>
            <w:noWrap/>
            <w:vAlign w:val="bottom"/>
            <w:hideMark/>
          </w:tcPr>
          <w:p w:rsidR="00A73603" w:rsidRPr="00EF4A53" w:rsidRDefault="00A73603" w:rsidP="00DD5237">
            <w:pPr>
              <w:spacing w:before="0" w:after="0" w:line="240" w:lineRule="auto"/>
              <w:contextualSpacing/>
              <w:jc w:val="right"/>
              <w:rPr>
                <w:rFonts w:ascii="Arial" w:hAnsi="Arial" w:cs="Arial"/>
                <w:b/>
                <w:bCs/>
                <w:sz w:val="16"/>
                <w:szCs w:val="16"/>
              </w:rPr>
            </w:pPr>
            <w:r>
              <w:rPr>
                <w:rFonts w:ascii="Arial" w:hAnsi="Arial" w:cs="Arial"/>
                <w:b/>
                <w:bCs/>
                <w:sz w:val="16"/>
                <w:szCs w:val="16"/>
              </w:rPr>
              <w:t>(845)</w:t>
            </w:r>
          </w:p>
        </w:tc>
      </w:tr>
    </w:tbl>
    <w:p w:rsidR="00A73603" w:rsidRDefault="00A73603" w:rsidP="00A73603">
      <w:pPr>
        <w:pStyle w:val="ChartandTableFootnote"/>
        <w:jc w:val="both"/>
      </w:pPr>
      <w:r w:rsidRPr="00704BB6">
        <w:t>Prepared on a Government Finance Statistics (Underlying Cash) basis. Figures displayed as a negative (</w:t>
      </w:r>
      <w:r>
        <w:t>-</w:t>
      </w:r>
      <w:r w:rsidRPr="00704BB6">
        <w:t xml:space="preserve">) represent a </w:t>
      </w:r>
      <w:r w:rsidRPr="00116C76">
        <w:t>decrease</w:t>
      </w:r>
      <w:r w:rsidRPr="00704BB6">
        <w:t xml:space="preserve"> in funds and a positive (+) represent an increase in funds.</w:t>
      </w:r>
    </w:p>
    <w:p w:rsidR="00A73603" w:rsidRPr="009652EA" w:rsidRDefault="00A73603" w:rsidP="00A73603">
      <w:pPr>
        <w:pStyle w:val="ListParagraph"/>
        <w:numPr>
          <w:ilvl w:val="0"/>
          <w:numId w:val="19"/>
        </w:numPr>
        <w:spacing w:before="30" w:after="0" w:line="240" w:lineRule="auto"/>
        <w:ind w:left="357" w:hanging="357"/>
        <w:rPr>
          <w:rFonts w:ascii="Arial" w:hAnsi="Arial" w:cs="Arial"/>
          <w:color w:val="000000"/>
          <w:sz w:val="16"/>
          <w:szCs w:val="16"/>
        </w:rPr>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rsidR="00A73603" w:rsidRPr="00810C6A" w:rsidRDefault="00A73603" w:rsidP="00A73603">
      <w:pPr>
        <w:pStyle w:val="Heading2-CASA"/>
      </w:pPr>
      <w:r>
        <w:br w:type="page"/>
      </w:r>
      <w:bookmarkStart w:id="16" w:name="_Toc165367083"/>
      <w:bookmarkStart w:id="17" w:name="_Toc165838155"/>
      <w:r w:rsidRPr="00810C6A">
        <w:lastRenderedPageBreak/>
        <w:t xml:space="preserve">Section 2: </w:t>
      </w:r>
      <w:r w:rsidRPr="00FB553B">
        <w:t>Outcomes</w:t>
      </w:r>
      <w:r w:rsidRPr="00810C6A">
        <w:t xml:space="preserve"> and planned performance</w:t>
      </w:r>
      <w:bookmarkEnd w:id="16"/>
      <w:bookmarkEnd w:id="17"/>
    </w:p>
    <w:p w:rsidR="00A73603" w:rsidRPr="00FB553B" w:rsidRDefault="00A73603" w:rsidP="00A73603">
      <w:pPr>
        <w:spacing w:line="240" w:lineRule="auto"/>
        <w:rPr>
          <w:sz w:val="20"/>
        </w:rPr>
      </w:pPr>
      <w:r w:rsidRPr="00FB553B">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A73603" w:rsidRDefault="00A73603" w:rsidP="00A73603">
      <w:pPr>
        <w:spacing w:line="240" w:lineRule="auto"/>
        <w:rPr>
          <w:sz w:val="20"/>
        </w:rPr>
      </w:pPr>
      <w:r w:rsidRPr="00FB553B">
        <w:rPr>
          <w:sz w:val="20"/>
        </w:rPr>
        <w:t>Each outcome is described below together with its related programs. The following provides detailed information on expenses for each outcome and program, further broken down by funding source.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73603" w:rsidRPr="001C6402" w:rsidTr="00DD5237">
        <w:tc>
          <w:tcPr>
            <w:tcW w:w="5000" w:type="pct"/>
            <w:shd w:val="clear" w:color="auto" w:fill="auto"/>
          </w:tcPr>
          <w:p w:rsidR="00A73603" w:rsidRPr="002A6BA3" w:rsidRDefault="00A73603" w:rsidP="00DD5237">
            <w:pPr>
              <w:spacing w:before="120" w:after="120" w:line="240" w:lineRule="auto"/>
              <w:jc w:val="both"/>
              <w:rPr>
                <w:b/>
                <w:sz w:val="20"/>
              </w:rPr>
            </w:pPr>
            <w:r w:rsidRPr="002A6BA3">
              <w:rPr>
                <w:b/>
                <w:sz w:val="20"/>
              </w:rPr>
              <w:t>Note:</w:t>
            </w:r>
          </w:p>
          <w:p w:rsidR="00A73603" w:rsidRPr="00D75842" w:rsidRDefault="00A73603" w:rsidP="00DD5237">
            <w:pPr>
              <w:rPr>
                <w:sz w:val="20"/>
              </w:rPr>
            </w:pPr>
            <w:r w:rsidRPr="00D75842">
              <w:rPr>
                <w:sz w:val="20"/>
              </w:rPr>
              <w:t xml:space="preserve">Performance reporting requirements in the Portfolio Budget Statements are part of the Commonwealth performance framework established by the </w:t>
            </w:r>
            <w:r w:rsidRPr="00D75842">
              <w:rPr>
                <w:i/>
                <w:sz w:val="20"/>
              </w:rPr>
              <w:t>Public Governance, Performance and Accountability Act 2013</w:t>
            </w:r>
            <w:r w:rsidRPr="00D75842">
              <w:rPr>
                <w:sz w:val="20"/>
              </w:rP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A73603" w:rsidRPr="00D75842" w:rsidRDefault="00A73603" w:rsidP="00DD5237">
            <w:pPr>
              <w:rPr>
                <w:sz w:val="20"/>
              </w:rPr>
            </w:pPr>
            <w:r w:rsidRPr="00D75842">
              <w:rPr>
                <w:sz w:val="20"/>
              </w:rPr>
              <w:t xml:space="preserve">The most recent Corporate Plan for CASA can be found at: </w:t>
            </w:r>
            <w:hyperlink r:id="rId13" w:history="1">
              <w:r w:rsidRPr="00D75842">
                <w:rPr>
                  <w:sz w:val="20"/>
                  <w:u w:val="single"/>
                </w:rPr>
                <w:t>https://www.casa.gov.au/resourcesandeducation/publicationsandresources/corporatepublications/corporateplan2023-24</w:t>
              </w:r>
            </w:hyperlink>
          </w:p>
          <w:p w:rsidR="00A73603" w:rsidRPr="001C6402" w:rsidRDefault="00A73603" w:rsidP="00DD5237">
            <w:r w:rsidRPr="00D75842">
              <w:rPr>
                <w:sz w:val="20"/>
              </w:rPr>
              <w:t xml:space="preserve">The most recent annual performance statement can be found at: </w:t>
            </w:r>
            <w:hyperlink r:id="rId14" w:history="1">
              <w:r w:rsidRPr="00D75842">
                <w:rPr>
                  <w:sz w:val="20"/>
                  <w:u w:val="single"/>
                </w:rPr>
                <w:t>https://www.casa.gov.au/resources-and-education/publications-and-resources/corporate-publications/annual-report-2022-23</w:t>
              </w:r>
            </w:hyperlink>
          </w:p>
        </w:tc>
      </w:tr>
    </w:tbl>
    <w:p w:rsidR="00A73603" w:rsidRDefault="00A73603" w:rsidP="00A73603">
      <w:pPr>
        <w:rPr>
          <w:highlight w:val="yellow"/>
        </w:rPr>
      </w:pPr>
    </w:p>
    <w:p w:rsidR="00A73603" w:rsidRDefault="00A73603" w:rsidP="00A73603">
      <w:pPr>
        <w:pStyle w:val="Heading3"/>
        <w:sectPr w:rsidR="00A73603" w:rsidSect="00121AE4">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A73603" w:rsidRPr="00F743D8" w:rsidRDefault="00A73603" w:rsidP="00A73603">
      <w:pPr>
        <w:pStyle w:val="Heading3-CASA"/>
        <w:spacing w:after="240"/>
      </w:pPr>
      <w:bookmarkStart w:id="18" w:name="_Toc165367084"/>
      <w:bookmarkStart w:id="19" w:name="_Toc165838156"/>
      <w:r>
        <w:lastRenderedPageBreak/>
        <w:t>2.1</w:t>
      </w:r>
      <w:r w:rsidRPr="00F743D8">
        <w:t xml:space="preserve"> </w:t>
      </w:r>
      <w:r w:rsidRPr="00F743D8">
        <w:tab/>
        <w:t xml:space="preserve">Budgeted expenses and performance for Outcome </w:t>
      </w:r>
      <w:r>
        <w:t>1</w:t>
      </w:r>
      <w:bookmarkEnd w:id="18"/>
      <w:bookmarkEnd w:id="1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73603" w:rsidRPr="001C6402" w:rsidTr="00DD5237">
        <w:tc>
          <w:tcPr>
            <w:tcW w:w="5000" w:type="pct"/>
            <w:shd w:val="clear" w:color="auto" w:fill="E6E6E6"/>
          </w:tcPr>
          <w:p w:rsidR="00A73603" w:rsidRPr="00DF1F3A" w:rsidRDefault="00A73603" w:rsidP="00DD5237">
            <w:pPr>
              <w:spacing w:before="0" w:after="0" w:line="240" w:lineRule="auto"/>
              <w:rPr>
                <w:rFonts w:ascii="Arial Bold" w:eastAsia="Arial" w:hAnsi="Arial Bold" w:cs="Arial"/>
                <w:sz w:val="20"/>
              </w:rPr>
            </w:pPr>
            <w:r w:rsidRPr="00DF1F3A">
              <w:rPr>
                <w:rFonts w:ascii="Arial Bold" w:eastAsia="Arial" w:hAnsi="Arial Bold" w:cs="Arial"/>
                <w:sz w:val="20"/>
              </w:rPr>
              <w:t>Outcome 1: Maximise aviation safety through a regulatory regime, detailed</w:t>
            </w:r>
          </w:p>
          <w:p w:rsidR="00A73603" w:rsidRPr="00DF1F3A" w:rsidRDefault="00A73603" w:rsidP="00DD5237">
            <w:pPr>
              <w:spacing w:before="0" w:after="0" w:line="240" w:lineRule="auto"/>
              <w:rPr>
                <w:rFonts w:ascii="Arial Bold" w:eastAsia="Arial" w:hAnsi="Arial Bold" w:cs="Arial"/>
                <w:sz w:val="20"/>
              </w:rPr>
            </w:pPr>
            <w:r w:rsidRPr="00DF1F3A">
              <w:rPr>
                <w:rFonts w:ascii="Arial Bold" w:eastAsia="Arial" w:hAnsi="Arial Bold" w:cs="Arial"/>
                <w:sz w:val="20"/>
              </w:rPr>
              <w:t>technical material on safety standards, comprehensive aviation industry</w:t>
            </w:r>
          </w:p>
          <w:p w:rsidR="00A73603" w:rsidRPr="00DF1F3A" w:rsidRDefault="00A73603" w:rsidP="00DD5237">
            <w:pPr>
              <w:spacing w:before="0" w:after="0" w:line="240" w:lineRule="auto"/>
              <w:rPr>
                <w:rFonts w:ascii="Arial Bold" w:eastAsia="Arial" w:hAnsi="Arial Bold" w:cs="Arial"/>
                <w:sz w:val="20"/>
              </w:rPr>
            </w:pPr>
            <w:r w:rsidRPr="00DF1F3A">
              <w:rPr>
                <w:rFonts w:ascii="Arial Bold" w:eastAsia="Arial" w:hAnsi="Arial Bold" w:cs="Arial"/>
                <w:sz w:val="20"/>
              </w:rPr>
              <w:t>oversight, risk analysis, industry consultation, education and training</w:t>
            </w:r>
          </w:p>
        </w:tc>
      </w:tr>
    </w:tbl>
    <w:p w:rsidR="00A73603" w:rsidRPr="00A84ABC" w:rsidRDefault="00A73603" w:rsidP="00A73603">
      <w:pPr>
        <w:rPr>
          <w:rFonts w:ascii="Arial" w:hAnsi="Arial" w:cs="Arial"/>
          <w:b/>
          <w:sz w:val="20"/>
        </w:rPr>
      </w:pPr>
      <w:r w:rsidRPr="00A84ABC">
        <w:rPr>
          <w:rFonts w:ascii="Arial" w:hAnsi="Arial" w:cs="Arial"/>
          <w:b/>
          <w:sz w:val="20"/>
        </w:rPr>
        <w:t>Budgeted expenses for Outcome 1</w:t>
      </w:r>
    </w:p>
    <w:p w:rsidR="00A73603" w:rsidRPr="00995206" w:rsidRDefault="00A73603" w:rsidP="00A73603">
      <w:pPr>
        <w:rPr>
          <w:sz w:val="20"/>
        </w:rPr>
      </w:pPr>
      <w:r w:rsidRPr="00995206">
        <w:rPr>
          <w:sz w:val="20"/>
        </w:rPr>
        <w:t>This table shows how much CASA intends to spend (on an accrual basis) on achieving the outcome, broken down by program.</w:t>
      </w:r>
    </w:p>
    <w:p w:rsidR="00A73603" w:rsidRDefault="00A73603" w:rsidP="00A73603">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93"/>
        <w:gridCol w:w="928"/>
        <w:gridCol w:w="871"/>
        <w:gridCol w:w="871"/>
        <w:gridCol w:w="872"/>
        <w:gridCol w:w="875"/>
      </w:tblGrid>
      <w:tr w:rsidR="00A73603" w:rsidRPr="00B90BFF" w:rsidTr="00DD5237">
        <w:trPr>
          <w:trHeight w:val="204"/>
        </w:trPr>
        <w:tc>
          <w:tcPr>
            <w:tcW w:w="2137" w:type="pct"/>
            <w:tcBorders>
              <w:top w:val="single" w:sz="4" w:space="0" w:color="auto"/>
              <w:left w:val="nil"/>
              <w:bottom w:val="nil"/>
              <w:right w:val="nil"/>
            </w:tcBorders>
            <w:shd w:val="clear" w:color="auto" w:fill="auto"/>
            <w:vAlign w:val="center"/>
            <w:hideMark/>
          </w:tcPr>
          <w:p w:rsidR="00A73603" w:rsidRPr="00B90BFF" w:rsidRDefault="00A73603" w:rsidP="00DD5237">
            <w:pPr>
              <w:spacing w:before="0" w:after="0" w:line="240" w:lineRule="auto"/>
              <w:rPr>
                <w:rFonts w:ascii="Arial" w:hAnsi="Arial" w:cs="Arial"/>
                <w:b/>
                <w:bCs/>
                <w:color w:val="000000"/>
                <w:sz w:val="16"/>
                <w:szCs w:val="16"/>
              </w:rPr>
            </w:pPr>
            <w:r w:rsidRPr="00B90BFF">
              <w:rPr>
                <w:rFonts w:ascii="Arial" w:hAnsi="Arial" w:cs="Arial"/>
                <w:b/>
                <w:bCs/>
                <w:color w:val="000000"/>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2023-24</w:t>
            </w:r>
            <w:r>
              <w:rPr>
                <w:rFonts w:ascii="Arial" w:hAnsi="Arial" w:cs="Arial"/>
                <w:sz w:val="16"/>
                <w:szCs w:val="16"/>
              </w:rPr>
              <w:br/>
            </w:r>
            <w:r w:rsidRPr="00B90BFF">
              <w:rPr>
                <w:rFonts w:ascii="Arial" w:hAnsi="Arial" w:cs="Arial"/>
                <w:sz w:val="16"/>
                <w:szCs w:val="16"/>
              </w:rPr>
              <w:t>Estimated</w:t>
            </w:r>
            <w:r>
              <w:rPr>
                <w:rFonts w:ascii="Arial" w:hAnsi="Arial" w:cs="Arial"/>
                <w:sz w:val="16"/>
                <w:szCs w:val="16"/>
              </w:rPr>
              <w:br/>
            </w:r>
            <w:r w:rsidRPr="00B90BFF">
              <w:rPr>
                <w:rFonts w:ascii="Arial" w:hAnsi="Arial" w:cs="Arial"/>
                <w:sz w:val="16"/>
                <w:szCs w:val="16"/>
              </w:rPr>
              <w:t>actual</w:t>
            </w:r>
            <w:r w:rsidRPr="00B90BFF">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2024-25</w:t>
            </w:r>
            <w:r w:rsidRPr="00B90BFF">
              <w:rPr>
                <w:rFonts w:ascii="Arial" w:hAnsi="Arial" w:cs="Arial"/>
                <w:sz w:val="16"/>
                <w:szCs w:val="16"/>
              </w:rPr>
              <w:br/>
              <w:t>Budget</w:t>
            </w:r>
            <w:r w:rsidRPr="00B90BFF">
              <w:rPr>
                <w:rFonts w:ascii="Arial" w:hAnsi="Arial" w:cs="Arial"/>
                <w:sz w:val="16"/>
                <w:szCs w:val="16"/>
              </w:rPr>
              <w:br/>
            </w:r>
            <w:r w:rsidRPr="00B90BFF">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2025-26</w:t>
            </w:r>
            <w:r>
              <w:rPr>
                <w:rFonts w:ascii="Arial" w:hAnsi="Arial" w:cs="Arial"/>
                <w:sz w:val="16"/>
                <w:szCs w:val="16"/>
              </w:rPr>
              <w:br/>
            </w:r>
            <w:r w:rsidRPr="00B90BFF">
              <w:rPr>
                <w:rFonts w:ascii="Arial" w:hAnsi="Arial" w:cs="Arial"/>
                <w:sz w:val="16"/>
                <w:szCs w:val="16"/>
              </w:rPr>
              <w:t>Forward</w:t>
            </w:r>
            <w:r>
              <w:rPr>
                <w:rFonts w:ascii="Arial" w:hAnsi="Arial" w:cs="Arial"/>
                <w:sz w:val="16"/>
                <w:szCs w:val="16"/>
              </w:rPr>
              <w:br/>
            </w:r>
            <w:r w:rsidRPr="00B90BFF">
              <w:rPr>
                <w:rFonts w:ascii="Arial" w:hAnsi="Arial" w:cs="Arial"/>
                <w:sz w:val="16"/>
                <w:szCs w:val="16"/>
              </w:rPr>
              <w:t>estimate</w:t>
            </w:r>
            <w:r w:rsidRPr="00B90BFF">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2026-27</w:t>
            </w:r>
            <w:r>
              <w:rPr>
                <w:rFonts w:ascii="Arial" w:hAnsi="Arial" w:cs="Arial"/>
                <w:sz w:val="16"/>
                <w:szCs w:val="16"/>
              </w:rPr>
              <w:br/>
            </w:r>
            <w:r w:rsidRPr="00B90BFF">
              <w:rPr>
                <w:rFonts w:ascii="Arial" w:hAnsi="Arial" w:cs="Arial"/>
                <w:sz w:val="16"/>
                <w:szCs w:val="16"/>
              </w:rPr>
              <w:t>Forward</w:t>
            </w:r>
            <w:r>
              <w:rPr>
                <w:rFonts w:ascii="Arial" w:hAnsi="Arial" w:cs="Arial"/>
                <w:sz w:val="16"/>
                <w:szCs w:val="16"/>
              </w:rPr>
              <w:br/>
            </w:r>
            <w:r w:rsidRPr="00B90BFF">
              <w:rPr>
                <w:rFonts w:ascii="Arial" w:hAnsi="Arial" w:cs="Arial"/>
                <w:sz w:val="16"/>
                <w:szCs w:val="16"/>
              </w:rPr>
              <w:t>estimate</w:t>
            </w:r>
            <w:r w:rsidRPr="00B90BFF">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2027-28</w:t>
            </w:r>
            <w:r w:rsidRPr="00B90BFF">
              <w:rPr>
                <w:rFonts w:ascii="Arial" w:hAnsi="Arial" w:cs="Arial"/>
                <w:sz w:val="16"/>
                <w:szCs w:val="16"/>
              </w:rPr>
              <w:br/>
              <w:t>Forward</w:t>
            </w:r>
            <w:r>
              <w:rPr>
                <w:rFonts w:ascii="Arial" w:hAnsi="Arial" w:cs="Arial"/>
                <w:sz w:val="16"/>
                <w:szCs w:val="16"/>
              </w:rPr>
              <w:br/>
            </w:r>
            <w:r w:rsidRPr="00B90BFF">
              <w:rPr>
                <w:rFonts w:ascii="Arial" w:hAnsi="Arial" w:cs="Arial"/>
                <w:sz w:val="16"/>
                <w:szCs w:val="16"/>
              </w:rPr>
              <w:t>estimate</w:t>
            </w:r>
            <w:r w:rsidRPr="00B90BFF">
              <w:rPr>
                <w:rFonts w:ascii="Arial" w:hAnsi="Arial" w:cs="Arial"/>
                <w:sz w:val="16"/>
                <w:szCs w:val="16"/>
              </w:rPr>
              <w:br/>
              <w:t>$'000</w:t>
            </w:r>
          </w:p>
        </w:tc>
      </w:tr>
      <w:tr w:rsidR="00A73603" w:rsidRPr="00B90BFF"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A73603" w:rsidRPr="00B90BFF" w:rsidRDefault="00A73603" w:rsidP="00DD5237">
            <w:pPr>
              <w:spacing w:before="0" w:after="0" w:line="240" w:lineRule="auto"/>
              <w:rPr>
                <w:rFonts w:ascii="Arial" w:hAnsi="Arial" w:cs="Arial"/>
                <w:b/>
                <w:bCs/>
                <w:sz w:val="16"/>
                <w:szCs w:val="16"/>
              </w:rPr>
            </w:pPr>
            <w:r w:rsidRPr="00B90BFF">
              <w:rPr>
                <w:rFonts w:ascii="Arial" w:hAnsi="Arial" w:cs="Arial"/>
                <w:b/>
                <w:bCs/>
                <w:sz w:val="16"/>
                <w:szCs w:val="16"/>
              </w:rPr>
              <w:t>Program 1.1: Civil Aviation Safety Authority</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Arial" w:hAnsi="Arial" w:cs="Arial"/>
                <w:sz w:val="16"/>
                <w:szCs w:val="16"/>
              </w:rPr>
            </w:pPr>
            <w:r w:rsidRPr="00B90BFF">
              <w:rPr>
                <w:rFonts w:ascii="Arial" w:hAnsi="Arial" w:cs="Arial"/>
                <w:sz w:val="16"/>
                <w:szCs w:val="16"/>
              </w:rPr>
              <w:t>Revenue from Government</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Ordinary annual services (Appropriation Bill No. 1)</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107,602</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41,494</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42,007</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42,840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43,078</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Special appropriations</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227"/>
              <w:rPr>
                <w:rFonts w:ascii="Arial" w:hAnsi="Arial" w:cs="Arial"/>
                <w:i/>
                <w:iCs/>
                <w:sz w:val="16"/>
                <w:szCs w:val="16"/>
              </w:rPr>
            </w:pPr>
            <w:r w:rsidRPr="00B90BFF">
              <w:rPr>
                <w:rFonts w:ascii="Arial" w:hAnsi="Arial" w:cs="Arial"/>
                <w:i/>
                <w:iCs/>
                <w:sz w:val="16"/>
                <w:szCs w:val="16"/>
              </w:rPr>
              <w:t>Aviation Fuel Revenues (Special Appropriation) Act 1988</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122,800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128,000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129,000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132,500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136,300</w:t>
            </w: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227"/>
              <w:rPr>
                <w:rFonts w:ascii="Arial" w:hAnsi="Arial" w:cs="Arial"/>
                <w:i/>
                <w:iCs/>
                <w:sz w:val="16"/>
                <w:szCs w:val="16"/>
              </w:rPr>
            </w:pPr>
            <w:r w:rsidRPr="00B90BFF">
              <w:rPr>
                <w:rFonts w:ascii="Arial" w:hAnsi="Arial" w:cs="Arial"/>
                <w:i/>
                <w:iCs/>
                <w:sz w:val="16"/>
                <w:szCs w:val="16"/>
              </w:rPr>
              <w:t xml:space="preserve">RPAS under s46A(4) of the Civil Aviation Act 1988 </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28,490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28,490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28,490</w:t>
            </w: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Expenses not requiring appropriation in the budget year</w:t>
            </w:r>
            <w:r w:rsidRPr="00AF7971">
              <w:rPr>
                <w:rFonts w:ascii="Arial" w:hAnsi="Arial" w:cs="Arial"/>
                <w:sz w:val="16"/>
                <w:szCs w:val="16"/>
                <w:vertAlign w:val="superscript"/>
              </w:rPr>
              <w:t>(a)</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(25,151)</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29,564</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14,709</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20,463</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16,663</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contextualSpacing/>
              <w:rPr>
                <w:rFonts w:ascii="Arial" w:hAnsi="Arial" w:cs="Arial"/>
                <w:sz w:val="16"/>
                <w:szCs w:val="16"/>
              </w:rPr>
            </w:pPr>
            <w:r w:rsidRPr="00B90BFF">
              <w:rPr>
                <w:rFonts w:ascii="Arial" w:hAnsi="Arial" w:cs="Arial"/>
                <w:sz w:val="16"/>
                <w:szCs w:val="16"/>
              </w:rPr>
              <w:t xml:space="preserve">Revenues from industry sources </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Times New Roman" w:hAnsi="Times New Roman"/>
                <w:sz w:val="20"/>
              </w:rPr>
            </w:pP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i/>
                <w:iCs/>
                <w:sz w:val="16"/>
                <w:szCs w:val="16"/>
              </w:rPr>
            </w:pPr>
            <w:r w:rsidRPr="00377F76">
              <w:rPr>
                <w:rFonts w:ascii="Arial" w:hAnsi="Arial" w:cs="Arial"/>
                <w:sz w:val="16"/>
                <w:szCs w:val="16"/>
              </w:rPr>
              <w:t>Regulatory</w:t>
            </w:r>
            <w:r w:rsidRPr="00B90BFF">
              <w:rPr>
                <w:rFonts w:ascii="Arial" w:hAnsi="Arial" w:cs="Arial"/>
                <w:i/>
                <w:iCs/>
                <w:sz w:val="16"/>
                <w:szCs w:val="16"/>
              </w:rPr>
              <w:t xml:space="preserve"> fees</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12,500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12,500</w:t>
            </w: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i/>
                <w:iCs/>
                <w:sz w:val="16"/>
                <w:szCs w:val="16"/>
              </w:rPr>
            </w:pPr>
            <w:r w:rsidRPr="00377F76">
              <w:rPr>
                <w:rFonts w:ascii="Arial" w:hAnsi="Arial" w:cs="Arial"/>
                <w:sz w:val="16"/>
                <w:szCs w:val="16"/>
              </w:rPr>
              <w:t>Other</w:t>
            </w:r>
            <w:r w:rsidRPr="00B90BFF">
              <w:rPr>
                <w:rFonts w:ascii="Arial" w:hAnsi="Arial" w:cs="Arial"/>
                <w:i/>
                <w:iCs/>
                <w:sz w:val="16"/>
                <w:szCs w:val="16"/>
              </w:rPr>
              <w:t xml:space="preserve"> income</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1,000</w:t>
            </w: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rPr>
                <w:rFonts w:ascii="Arial" w:hAnsi="Arial" w:cs="Arial"/>
                <w:sz w:val="16"/>
                <w:szCs w:val="16"/>
              </w:rPr>
            </w:pPr>
            <w:r w:rsidRPr="00B90BFF">
              <w:rPr>
                <w:rFonts w:ascii="Arial" w:hAnsi="Arial" w:cs="Arial"/>
                <w:sz w:val="16"/>
                <w:szCs w:val="16"/>
              </w:rPr>
              <w:t xml:space="preserve">Revenues from other independent sources </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5,055</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3,880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2,470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1,240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170</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Arial" w:hAnsi="Arial" w:cs="Arial"/>
                <w:b/>
                <w:bCs/>
                <w:sz w:val="16"/>
                <w:szCs w:val="16"/>
              </w:rPr>
            </w:pPr>
            <w:r w:rsidRPr="00B90BFF">
              <w:rPr>
                <w:rFonts w:ascii="Arial" w:hAnsi="Arial" w:cs="Arial"/>
                <w:b/>
                <w:bCs/>
                <w:sz w:val="16"/>
                <w:szCs w:val="16"/>
              </w:rPr>
              <w:t>Total expenses for Program 1.1</w:t>
            </w:r>
          </w:p>
        </w:tc>
        <w:tc>
          <w:tcPr>
            <w:tcW w:w="597"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224,806</w:t>
            </w:r>
          </w:p>
        </w:tc>
        <w:tc>
          <w:tcPr>
            <w:tcW w:w="566" w:type="pct"/>
            <w:tcBorders>
              <w:top w:val="single" w:sz="4" w:space="0" w:color="auto"/>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217,438</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230,176</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239,033</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238,201</w:t>
            </w:r>
          </w:p>
        </w:tc>
      </w:tr>
      <w:tr w:rsidR="00A73603" w:rsidRPr="00B90BFF"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A73603" w:rsidRPr="00B90BFF" w:rsidRDefault="00A73603" w:rsidP="00DD5237">
            <w:pPr>
              <w:spacing w:before="0" w:after="0" w:line="240" w:lineRule="auto"/>
              <w:rPr>
                <w:rFonts w:ascii="Arial" w:hAnsi="Arial" w:cs="Arial"/>
                <w:b/>
                <w:bCs/>
                <w:sz w:val="16"/>
                <w:szCs w:val="16"/>
              </w:rPr>
            </w:pPr>
            <w:r w:rsidRPr="00B90BFF">
              <w:rPr>
                <w:rFonts w:ascii="Arial" w:hAnsi="Arial" w:cs="Arial"/>
                <w:b/>
                <w:bCs/>
                <w:sz w:val="16"/>
                <w:szCs w:val="16"/>
              </w:rPr>
              <w:t xml:space="preserve">Outcome 1 </w:t>
            </w:r>
            <w:r>
              <w:rPr>
                <w:rFonts w:ascii="Arial" w:hAnsi="Arial" w:cs="Arial"/>
                <w:b/>
                <w:bCs/>
                <w:sz w:val="16"/>
                <w:szCs w:val="16"/>
              </w:rPr>
              <w:t>T</w:t>
            </w:r>
            <w:r w:rsidRPr="00B90BFF">
              <w:rPr>
                <w:rFonts w:ascii="Arial" w:hAnsi="Arial" w:cs="Arial"/>
                <w:b/>
                <w:bCs/>
                <w:sz w:val="16"/>
                <w:szCs w:val="16"/>
              </w:rPr>
              <w:t>otals by resource type</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Arial" w:hAnsi="Arial" w:cs="Arial"/>
                <w:sz w:val="16"/>
                <w:szCs w:val="16"/>
              </w:rPr>
            </w:pPr>
            <w:r w:rsidRPr="00B90BFF">
              <w:rPr>
                <w:rFonts w:ascii="Arial" w:hAnsi="Arial" w:cs="Arial"/>
                <w:sz w:val="16"/>
                <w:szCs w:val="16"/>
              </w:rPr>
              <w:t>Revenue from Government</w:t>
            </w:r>
          </w:p>
        </w:tc>
        <w:tc>
          <w:tcPr>
            <w:tcW w:w="59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Arial" w:hAnsi="Arial" w:cs="Arial"/>
                <w:sz w:val="16"/>
                <w:szCs w:val="16"/>
              </w:rPr>
            </w:pPr>
          </w:p>
        </w:tc>
        <w:tc>
          <w:tcPr>
            <w:tcW w:w="566" w:type="pct"/>
            <w:tcBorders>
              <w:top w:val="nil"/>
              <w:left w:val="nil"/>
              <w:bottom w:val="nil"/>
              <w:right w:val="nil"/>
            </w:tcBorders>
            <w:shd w:val="clear" w:color="000000" w:fill="E6E6E6"/>
            <w:noWrap/>
            <w:vAlign w:val="center"/>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Times New Roman" w:hAnsi="Times New Roman"/>
                <w:sz w:val="20"/>
              </w:rPr>
            </w:pPr>
          </w:p>
        </w:tc>
        <w:tc>
          <w:tcPr>
            <w:tcW w:w="566"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Times New Roman" w:hAnsi="Times New Roman"/>
                <w:sz w:val="20"/>
              </w:rPr>
            </w:pP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Ordinary annual services (Appropriation Bill No. 1)</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107,602</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41,494</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42,007</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42,840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43,078</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Special appropriations</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123,800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129,000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157,490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160,990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164,790</w:t>
            </w:r>
          </w:p>
        </w:tc>
      </w:tr>
      <w:tr w:rsidR="00A73603" w:rsidRPr="00B90BFF" w:rsidTr="00DD5237">
        <w:trPr>
          <w:trHeight w:val="204"/>
        </w:trPr>
        <w:tc>
          <w:tcPr>
            <w:tcW w:w="2137" w:type="pct"/>
            <w:tcBorders>
              <w:top w:val="nil"/>
              <w:left w:val="nil"/>
              <w:bottom w:val="nil"/>
              <w:right w:val="nil"/>
            </w:tcBorders>
            <w:shd w:val="clear" w:color="auto" w:fill="auto"/>
            <w:noWrap/>
            <w:vAlign w:val="center"/>
            <w:hideMark/>
          </w:tcPr>
          <w:p w:rsidR="00A73603" w:rsidRPr="00B90BFF" w:rsidRDefault="00A73603" w:rsidP="00DD5237">
            <w:pPr>
              <w:spacing w:before="0" w:after="0" w:line="240" w:lineRule="auto"/>
              <w:rPr>
                <w:rFonts w:ascii="Arial" w:hAnsi="Arial" w:cs="Arial"/>
                <w:sz w:val="16"/>
                <w:szCs w:val="16"/>
              </w:rPr>
            </w:pPr>
            <w:r w:rsidRPr="00B90BFF">
              <w:rPr>
                <w:rFonts w:ascii="Arial" w:hAnsi="Arial" w:cs="Arial"/>
                <w:sz w:val="16"/>
                <w:szCs w:val="16"/>
              </w:rPr>
              <w:t xml:space="preserve">Revenues from industry sources </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13,500</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13,500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13,500</w:t>
            </w:r>
          </w:p>
        </w:tc>
      </w:tr>
      <w:tr w:rsidR="00A73603" w:rsidRPr="00B90BFF" w:rsidTr="00DD5237">
        <w:trPr>
          <w:trHeight w:val="204"/>
        </w:trPr>
        <w:tc>
          <w:tcPr>
            <w:tcW w:w="2137" w:type="pct"/>
            <w:tcBorders>
              <w:top w:val="nil"/>
              <w:left w:val="nil"/>
              <w:bottom w:val="nil"/>
              <w:right w:val="nil"/>
            </w:tcBorders>
            <w:shd w:val="clear" w:color="auto" w:fill="auto"/>
            <w:vAlign w:val="center"/>
            <w:hideMark/>
          </w:tcPr>
          <w:p w:rsidR="00A73603" w:rsidRPr="00B90BFF" w:rsidRDefault="00A73603" w:rsidP="00DD5237">
            <w:pPr>
              <w:spacing w:before="0" w:after="0" w:line="240" w:lineRule="auto"/>
              <w:rPr>
                <w:rFonts w:ascii="Arial" w:hAnsi="Arial" w:cs="Arial"/>
                <w:sz w:val="16"/>
                <w:szCs w:val="16"/>
              </w:rPr>
            </w:pPr>
            <w:r w:rsidRPr="00B90BFF">
              <w:rPr>
                <w:rFonts w:ascii="Arial" w:hAnsi="Arial" w:cs="Arial"/>
                <w:sz w:val="16"/>
                <w:szCs w:val="16"/>
              </w:rPr>
              <w:t xml:space="preserve">Revenues from other independent sources </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5,055</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3,880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2,470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1,240</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170</w:t>
            </w:r>
          </w:p>
        </w:tc>
      </w:tr>
      <w:tr w:rsidR="00A73603" w:rsidRPr="00B90BFF" w:rsidTr="00DD5237">
        <w:trPr>
          <w:trHeight w:val="204"/>
        </w:trPr>
        <w:tc>
          <w:tcPr>
            <w:tcW w:w="2137" w:type="pct"/>
            <w:tcBorders>
              <w:top w:val="nil"/>
              <w:left w:val="nil"/>
              <w:right w:val="nil"/>
            </w:tcBorders>
            <w:shd w:val="clear" w:color="auto" w:fill="auto"/>
            <w:vAlign w:val="center"/>
            <w:hideMark/>
          </w:tcPr>
          <w:p w:rsidR="00A73603" w:rsidRPr="00B90BFF" w:rsidRDefault="00A73603" w:rsidP="00DD5237">
            <w:pPr>
              <w:spacing w:before="0" w:after="0" w:line="240" w:lineRule="auto"/>
              <w:ind w:left="113"/>
              <w:contextualSpacing/>
              <w:rPr>
                <w:rFonts w:ascii="Arial" w:hAnsi="Arial" w:cs="Arial"/>
                <w:sz w:val="16"/>
                <w:szCs w:val="16"/>
              </w:rPr>
            </w:pPr>
            <w:r w:rsidRPr="00B90BFF">
              <w:rPr>
                <w:rFonts w:ascii="Arial" w:hAnsi="Arial" w:cs="Arial"/>
                <w:sz w:val="16"/>
                <w:szCs w:val="16"/>
              </w:rPr>
              <w:t>Expenses not requiring appropriation in the budget year</w:t>
            </w:r>
          </w:p>
        </w:tc>
        <w:tc>
          <w:tcPr>
            <w:tcW w:w="597"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color w:val="000000"/>
                <w:sz w:val="16"/>
                <w:szCs w:val="16"/>
              </w:rPr>
            </w:pPr>
            <w:r w:rsidRPr="00B90BFF">
              <w:rPr>
                <w:rFonts w:ascii="Arial" w:hAnsi="Arial" w:cs="Arial"/>
                <w:color w:val="000000"/>
                <w:sz w:val="16"/>
                <w:szCs w:val="16"/>
              </w:rPr>
              <w:t>(25,151)</w:t>
            </w:r>
          </w:p>
        </w:tc>
        <w:tc>
          <w:tcPr>
            <w:tcW w:w="566" w:type="pct"/>
            <w:tcBorders>
              <w:top w:val="nil"/>
              <w:left w:val="nil"/>
              <w:bottom w:val="nil"/>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29,564</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14,709</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20,463</w:t>
            </w:r>
          </w:p>
        </w:tc>
        <w:tc>
          <w:tcPr>
            <w:tcW w:w="566" w:type="pct"/>
            <w:tcBorders>
              <w:top w:val="nil"/>
              <w:left w:val="nil"/>
              <w:bottom w:val="nil"/>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sz w:val="16"/>
                <w:szCs w:val="16"/>
              </w:rPr>
            </w:pPr>
            <w:r w:rsidRPr="00B90BFF">
              <w:rPr>
                <w:rFonts w:ascii="Arial" w:hAnsi="Arial" w:cs="Arial"/>
                <w:sz w:val="16"/>
                <w:szCs w:val="16"/>
              </w:rPr>
              <w:t>16,663</w:t>
            </w:r>
          </w:p>
        </w:tc>
      </w:tr>
      <w:tr w:rsidR="00A73603" w:rsidRPr="00B90BFF" w:rsidTr="00DD5237">
        <w:trPr>
          <w:trHeight w:val="204"/>
        </w:trPr>
        <w:tc>
          <w:tcPr>
            <w:tcW w:w="2137" w:type="pct"/>
            <w:tcBorders>
              <w:top w:val="nil"/>
              <w:left w:val="nil"/>
              <w:bottom w:val="single" w:sz="4" w:space="0" w:color="auto"/>
              <w:right w:val="nil"/>
            </w:tcBorders>
            <w:shd w:val="clear" w:color="auto" w:fill="auto"/>
            <w:noWrap/>
            <w:vAlign w:val="center"/>
            <w:hideMark/>
          </w:tcPr>
          <w:p w:rsidR="00A73603" w:rsidRPr="00B90BFF" w:rsidRDefault="00A73603" w:rsidP="00DD5237">
            <w:pPr>
              <w:spacing w:before="0" w:after="0" w:line="240" w:lineRule="auto"/>
              <w:rPr>
                <w:rFonts w:ascii="Arial" w:hAnsi="Arial" w:cs="Arial"/>
                <w:b/>
                <w:bCs/>
                <w:sz w:val="16"/>
                <w:szCs w:val="16"/>
              </w:rPr>
            </w:pPr>
            <w:r w:rsidRPr="00B90BFF">
              <w:rPr>
                <w:rFonts w:ascii="Arial" w:hAnsi="Arial" w:cs="Arial"/>
                <w:b/>
                <w:bCs/>
                <w:sz w:val="16"/>
                <w:szCs w:val="16"/>
              </w:rPr>
              <w:t>Total expenses for Outcome 1</w:t>
            </w:r>
          </w:p>
        </w:tc>
        <w:tc>
          <w:tcPr>
            <w:tcW w:w="597"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224,806</w:t>
            </w:r>
          </w:p>
        </w:tc>
        <w:tc>
          <w:tcPr>
            <w:tcW w:w="566" w:type="pct"/>
            <w:tcBorders>
              <w:top w:val="single" w:sz="4" w:space="0" w:color="auto"/>
              <w:left w:val="nil"/>
              <w:bottom w:val="single" w:sz="4" w:space="0" w:color="auto"/>
              <w:right w:val="nil"/>
            </w:tcBorders>
            <w:shd w:val="clear" w:color="000000" w:fill="E6E6E6"/>
            <w:noWrap/>
            <w:vAlign w:val="bottom"/>
            <w:hideMark/>
          </w:tcPr>
          <w:p w:rsidR="00A73603" w:rsidRPr="00B90BFF" w:rsidRDefault="00A73603" w:rsidP="00DD5237">
            <w:pPr>
              <w:spacing w:before="0" w:after="0" w:line="240" w:lineRule="auto"/>
              <w:jc w:val="right"/>
              <w:rPr>
                <w:rFonts w:ascii="Arial" w:hAnsi="Arial" w:cs="Arial"/>
                <w:b/>
                <w:bCs/>
                <w:color w:val="000000"/>
                <w:sz w:val="16"/>
                <w:szCs w:val="16"/>
              </w:rPr>
            </w:pPr>
            <w:r w:rsidRPr="00B90BFF">
              <w:rPr>
                <w:rFonts w:ascii="Arial" w:hAnsi="Arial" w:cs="Arial"/>
                <w:b/>
                <w:bCs/>
                <w:color w:val="000000"/>
                <w:sz w:val="16"/>
                <w:szCs w:val="16"/>
              </w:rPr>
              <w:t>217,438</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230,176</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239,033</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B90BFF" w:rsidRDefault="00A73603" w:rsidP="00DD5237">
            <w:pPr>
              <w:spacing w:before="0" w:after="0" w:line="240" w:lineRule="auto"/>
              <w:jc w:val="right"/>
              <w:rPr>
                <w:rFonts w:ascii="Arial" w:hAnsi="Arial" w:cs="Arial"/>
                <w:b/>
                <w:bCs/>
                <w:sz w:val="16"/>
                <w:szCs w:val="16"/>
              </w:rPr>
            </w:pPr>
            <w:r w:rsidRPr="00B90BFF">
              <w:rPr>
                <w:rFonts w:ascii="Arial" w:hAnsi="Arial" w:cs="Arial"/>
                <w:b/>
                <w:bCs/>
                <w:sz w:val="16"/>
                <w:szCs w:val="16"/>
              </w:rPr>
              <w:t>238,201</w:t>
            </w:r>
          </w:p>
        </w:tc>
      </w:tr>
    </w:tbl>
    <w:p w:rsidR="00A73603" w:rsidRPr="00377F76" w:rsidRDefault="00A73603" w:rsidP="00A73603">
      <w:pPr>
        <w:spacing w:before="30" w:after="0" w:line="240" w:lineRule="auto"/>
        <w:jc w:val="both"/>
        <w:rPr>
          <w:rFonts w:ascii="Arial" w:hAnsi="Arial" w:cs="Arial"/>
          <w:bCs/>
          <w:sz w:val="16"/>
          <w:szCs w:val="16"/>
        </w:rPr>
      </w:pPr>
    </w:p>
    <w:tbl>
      <w:tblPr>
        <w:tblW w:w="3307" w:type="pct"/>
        <w:tblLook w:val="04A0" w:firstRow="1" w:lastRow="0" w:firstColumn="1" w:lastColumn="0" w:noHBand="0" w:noVBand="1"/>
      </w:tblPr>
      <w:tblGrid>
        <w:gridCol w:w="3296"/>
        <w:gridCol w:w="930"/>
        <w:gridCol w:w="873"/>
      </w:tblGrid>
      <w:tr w:rsidR="00A73603" w:rsidRPr="001F3E30" w:rsidTr="00DD5237">
        <w:trPr>
          <w:trHeight w:val="204"/>
        </w:trPr>
        <w:tc>
          <w:tcPr>
            <w:tcW w:w="3232" w:type="pct"/>
            <w:tcBorders>
              <w:top w:val="single" w:sz="4" w:space="0" w:color="000000"/>
              <w:left w:val="nil"/>
              <w:right w:val="nil"/>
            </w:tcBorders>
            <w:shd w:val="clear" w:color="auto" w:fill="auto"/>
            <w:noWrap/>
            <w:vAlign w:val="center"/>
            <w:hideMark/>
          </w:tcPr>
          <w:p w:rsidR="00A73603" w:rsidRPr="001F3E30" w:rsidRDefault="00A73603" w:rsidP="00DD5237">
            <w:pPr>
              <w:spacing w:before="0" w:after="0" w:line="240" w:lineRule="auto"/>
              <w:rPr>
                <w:rFonts w:ascii="Arial" w:hAnsi="Arial" w:cs="Arial"/>
                <w:color w:val="000000"/>
                <w:sz w:val="16"/>
                <w:szCs w:val="16"/>
              </w:rPr>
            </w:pPr>
          </w:p>
        </w:tc>
        <w:tc>
          <w:tcPr>
            <w:tcW w:w="912" w:type="pct"/>
            <w:tcBorders>
              <w:top w:val="single" w:sz="4" w:space="0" w:color="auto"/>
              <w:left w:val="nil"/>
              <w:bottom w:val="single" w:sz="4" w:space="0" w:color="000000" w:themeColor="text1"/>
              <w:right w:val="nil"/>
            </w:tcBorders>
            <w:shd w:val="clear" w:color="auto" w:fill="auto"/>
            <w:noWrap/>
            <w:vAlign w:val="bottom"/>
            <w:hideMark/>
          </w:tcPr>
          <w:p w:rsidR="00A73603" w:rsidRPr="001F3E30" w:rsidRDefault="00A73603" w:rsidP="00DD5237">
            <w:pPr>
              <w:spacing w:before="0" w:after="0" w:line="240" w:lineRule="auto"/>
              <w:jc w:val="right"/>
              <w:rPr>
                <w:rFonts w:ascii="Arial" w:hAnsi="Arial" w:cs="Arial"/>
                <w:sz w:val="16"/>
                <w:szCs w:val="16"/>
              </w:rPr>
            </w:pPr>
            <w:r w:rsidRPr="001F3E30">
              <w:rPr>
                <w:rFonts w:ascii="Arial" w:hAnsi="Arial" w:cs="Arial"/>
                <w:sz w:val="16"/>
                <w:szCs w:val="16"/>
              </w:rPr>
              <w:t>2023-24</w:t>
            </w:r>
          </w:p>
        </w:tc>
        <w:tc>
          <w:tcPr>
            <w:tcW w:w="856" w:type="pct"/>
            <w:tcBorders>
              <w:top w:val="single" w:sz="4" w:space="0" w:color="auto"/>
              <w:left w:val="nil"/>
              <w:bottom w:val="single" w:sz="4" w:space="0" w:color="000000" w:themeColor="text1"/>
              <w:right w:val="nil"/>
            </w:tcBorders>
            <w:shd w:val="clear" w:color="000000" w:fill="E6E6E6"/>
            <w:noWrap/>
            <w:vAlign w:val="bottom"/>
            <w:hideMark/>
          </w:tcPr>
          <w:p w:rsidR="00A73603" w:rsidRPr="001F3E30" w:rsidRDefault="00A73603" w:rsidP="00DD5237">
            <w:pPr>
              <w:spacing w:before="0" w:after="0" w:line="240" w:lineRule="auto"/>
              <w:jc w:val="right"/>
              <w:rPr>
                <w:rFonts w:ascii="Arial" w:hAnsi="Arial" w:cs="Arial"/>
                <w:sz w:val="16"/>
                <w:szCs w:val="16"/>
              </w:rPr>
            </w:pPr>
            <w:r w:rsidRPr="001F3E30">
              <w:rPr>
                <w:rFonts w:ascii="Arial" w:hAnsi="Arial" w:cs="Arial"/>
                <w:sz w:val="16"/>
                <w:szCs w:val="16"/>
              </w:rPr>
              <w:t>2024-25</w:t>
            </w:r>
          </w:p>
        </w:tc>
      </w:tr>
      <w:tr w:rsidR="00A73603" w:rsidRPr="001F3E30" w:rsidTr="00DD5237">
        <w:trPr>
          <w:trHeight w:val="204"/>
        </w:trPr>
        <w:tc>
          <w:tcPr>
            <w:tcW w:w="3232" w:type="pct"/>
            <w:tcBorders>
              <w:top w:val="nil"/>
              <w:left w:val="nil"/>
              <w:bottom w:val="single" w:sz="4" w:space="0" w:color="000000" w:themeColor="text1"/>
              <w:right w:val="nil"/>
            </w:tcBorders>
            <w:shd w:val="clear" w:color="auto" w:fill="auto"/>
            <w:noWrap/>
            <w:vAlign w:val="center"/>
            <w:hideMark/>
          </w:tcPr>
          <w:p w:rsidR="00A73603" w:rsidRPr="001F3E30" w:rsidRDefault="00A73603" w:rsidP="00DD5237">
            <w:pPr>
              <w:spacing w:before="0" w:after="0" w:line="240" w:lineRule="auto"/>
              <w:rPr>
                <w:rFonts w:ascii="Arial" w:hAnsi="Arial" w:cs="Arial"/>
                <w:b/>
                <w:bCs/>
                <w:color w:val="000000"/>
                <w:sz w:val="16"/>
                <w:szCs w:val="16"/>
              </w:rPr>
            </w:pPr>
            <w:r w:rsidRPr="001F3E30">
              <w:rPr>
                <w:rFonts w:ascii="Arial" w:hAnsi="Arial" w:cs="Arial"/>
                <w:b/>
                <w:bCs/>
                <w:color w:val="000000"/>
                <w:sz w:val="16"/>
                <w:szCs w:val="16"/>
              </w:rPr>
              <w:t>Average staffing level (number)</w:t>
            </w:r>
          </w:p>
        </w:tc>
        <w:tc>
          <w:tcPr>
            <w:tcW w:w="912" w:type="pct"/>
            <w:tcBorders>
              <w:top w:val="single" w:sz="4" w:space="0" w:color="000000" w:themeColor="text1"/>
              <w:left w:val="nil"/>
              <w:bottom w:val="single" w:sz="4" w:space="0" w:color="000000" w:themeColor="text1"/>
              <w:right w:val="nil"/>
            </w:tcBorders>
            <w:shd w:val="clear" w:color="auto" w:fill="auto"/>
            <w:noWrap/>
            <w:vAlign w:val="bottom"/>
            <w:hideMark/>
          </w:tcPr>
          <w:p w:rsidR="00A73603" w:rsidRPr="001F3E30" w:rsidRDefault="00A73603"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820</w:t>
            </w:r>
          </w:p>
        </w:tc>
        <w:tc>
          <w:tcPr>
            <w:tcW w:w="856" w:type="pct"/>
            <w:tcBorders>
              <w:top w:val="single" w:sz="4" w:space="0" w:color="000000" w:themeColor="text1"/>
              <w:left w:val="nil"/>
              <w:bottom w:val="single" w:sz="4" w:space="0" w:color="000000" w:themeColor="text1"/>
              <w:right w:val="nil"/>
            </w:tcBorders>
            <w:shd w:val="clear" w:color="auto" w:fill="E6E6E6"/>
            <w:noWrap/>
            <w:vAlign w:val="bottom"/>
            <w:hideMark/>
          </w:tcPr>
          <w:p w:rsidR="00A73603" w:rsidRPr="001F3E30" w:rsidRDefault="00A73603"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832</w:t>
            </w:r>
          </w:p>
        </w:tc>
      </w:tr>
    </w:tbl>
    <w:p w:rsidR="00A73603" w:rsidRPr="00446EE2" w:rsidRDefault="00A73603" w:rsidP="00A73603">
      <w:pPr>
        <w:pStyle w:val="ChartandTableFootnoteAlpha"/>
        <w:numPr>
          <w:ilvl w:val="0"/>
          <w:numId w:val="0"/>
        </w:numPr>
        <w:spacing w:after="60"/>
      </w:pPr>
      <w:r w:rsidRPr="00446EE2">
        <w:t>Figures displayed as a negative (</w:t>
      </w:r>
      <w:r>
        <w:noBreakHyphen/>
      </w:r>
      <w:r w:rsidRPr="00446EE2">
        <w:t>) represent a decrease in funds and a positive (+) represent an increase in funds.</w:t>
      </w:r>
    </w:p>
    <w:p w:rsidR="00A73603" w:rsidRPr="00AE599E" w:rsidRDefault="00A73603" w:rsidP="00A73603">
      <w:pPr>
        <w:pStyle w:val="ChartandTableFootnoteAlpha"/>
        <w:numPr>
          <w:ilvl w:val="0"/>
          <w:numId w:val="9"/>
        </w:numPr>
        <w:ind w:left="357" w:hanging="357"/>
      </w:pPr>
      <w:r w:rsidRPr="009C3E7F">
        <w:t>Expenses not requiring appropriation in the Budget year are made up of the operating result and timing of accruals.</w:t>
      </w:r>
      <w:r>
        <w:br w:type="page"/>
      </w:r>
    </w:p>
    <w:p w:rsidR="00A73603" w:rsidRPr="00F71634" w:rsidRDefault="00A73603" w:rsidP="00A73603">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A73603" w:rsidRDefault="00A73603" w:rsidP="00A73603">
      <w:pPr>
        <w:rPr>
          <w:sz w:val="20"/>
        </w:rPr>
      </w:pPr>
      <w:r w:rsidRPr="00DB40BC">
        <w:rPr>
          <w:sz w:val="20"/>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158"/>
      </w:tblGrid>
      <w:tr w:rsidR="00A73603" w:rsidRPr="0064674F" w:rsidTr="00DD5237">
        <w:trPr>
          <w:trHeight w:val="569"/>
        </w:trPr>
        <w:tc>
          <w:tcPr>
            <w:tcW w:w="5000" w:type="pct"/>
            <w:gridSpan w:val="2"/>
            <w:shd w:val="clear" w:color="auto" w:fill="F2F2F2" w:themeFill="background1" w:themeFillShade="F2"/>
          </w:tcPr>
          <w:p w:rsidR="00A73603" w:rsidRPr="00DB40BC" w:rsidRDefault="00A73603" w:rsidP="00DD5237">
            <w:pPr>
              <w:pStyle w:val="TableColumnHeadingLeft"/>
              <w:spacing w:before="60" w:after="60"/>
              <w:rPr>
                <w:rFonts w:ascii="Arial" w:hAnsi="Arial" w:cs="Arial"/>
                <w:sz w:val="20"/>
              </w:rPr>
            </w:pPr>
            <w:r w:rsidRPr="00DB40BC">
              <w:rPr>
                <w:rStyle w:val="TableHeadingChar"/>
                <w:rFonts w:cs="Arial"/>
                <w:b/>
              </w:rPr>
              <w:t>Outcome 1</w:t>
            </w:r>
            <w:r w:rsidRPr="00DB40BC">
              <w:rPr>
                <w:rFonts w:ascii="Arial" w:hAnsi="Arial" w:cs="Arial"/>
                <w:sz w:val="20"/>
              </w:rPr>
              <w:t xml:space="preserve"> </w:t>
            </w:r>
            <w:r w:rsidRPr="00DB40BC">
              <w:rPr>
                <w:rFonts w:ascii="Arial" w:hAnsi="Arial" w:cs="Arial"/>
                <w:b w:val="0"/>
                <w:sz w:val="20"/>
              </w:rPr>
              <w:t>– Maximise aviation safety through a regulatory regime, detailed technical material on safety standards, comprehensive aviation industry oversight, risk analysis, industry consultation, education and training</w:t>
            </w:r>
          </w:p>
        </w:tc>
      </w:tr>
      <w:tr w:rsidR="00A73603" w:rsidRPr="0064674F" w:rsidTr="00DD5237">
        <w:trPr>
          <w:trHeight w:val="522"/>
        </w:trPr>
        <w:tc>
          <w:tcPr>
            <w:tcW w:w="5000" w:type="pct"/>
            <w:gridSpan w:val="2"/>
            <w:tcBorders>
              <w:bottom w:val="single" w:sz="4" w:space="0" w:color="auto"/>
            </w:tcBorders>
            <w:shd w:val="clear" w:color="auto" w:fill="F2F2F2" w:themeFill="background1" w:themeFillShade="F2"/>
          </w:tcPr>
          <w:p w:rsidR="00A73603" w:rsidRPr="009C3E7F" w:rsidRDefault="00A73603" w:rsidP="00DD5237">
            <w:pPr>
              <w:pStyle w:val="TableTextLeft"/>
              <w:spacing w:before="60" w:after="60"/>
              <w:rPr>
                <w:rFonts w:cs="Arial"/>
                <w:b/>
                <w:sz w:val="18"/>
                <w:szCs w:val="18"/>
              </w:rPr>
            </w:pPr>
            <w:r w:rsidRPr="00DB40BC">
              <w:rPr>
                <w:rFonts w:cs="Arial"/>
                <w:b/>
                <w:sz w:val="18"/>
                <w:szCs w:val="18"/>
              </w:rPr>
              <w:t xml:space="preserve">Program 1.1 – </w:t>
            </w:r>
            <w:r w:rsidRPr="009C3E7F">
              <w:rPr>
                <w:rFonts w:cs="Arial"/>
                <w:b/>
                <w:sz w:val="18"/>
                <w:szCs w:val="18"/>
              </w:rPr>
              <w:t>Civil Aviation Safety Authority</w:t>
            </w:r>
          </w:p>
          <w:p w:rsidR="00A73603" w:rsidRPr="009C3E7F" w:rsidRDefault="00A73603" w:rsidP="00DD5237">
            <w:pPr>
              <w:tabs>
                <w:tab w:val="left" w:pos="709"/>
              </w:tabs>
              <w:spacing w:before="60" w:after="60" w:line="240" w:lineRule="auto"/>
              <w:rPr>
                <w:rFonts w:ascii="Arial" w:hAnsi="Arial" w:cs="Arial"/>
                <w:sz w:val="18"/>
                <w:szCs w:val="18"/>
              </w:rPr>
            </w:pPr>
            <w:r w:rsidRPr="009C3E7F">
              <w:rPr>
                <w:rFonts w:ascii="Arial" w:hAnsi="Arial" w:cs="Arial"/>
                <w:sz w:val="18"/>
                <w:szCs w:val="18"/>
              </w:rPr>
              <w:t xml:space="preserve">The following three objectives represent the regulatory services produced by the program in delivering its outcome. </w:t>
            </w:r>
          </w:p>
          <w:p w:rsidR="00A73603" w:rsidRPr="00DB40BC" w:rsidRDefault="00A73603" w:rsidP="00DD5237">
            <w:pPr>
              <w:pStyle w:val="TableTextLeft"/>
              <w:spacing w:before="60" w:after="60"/>
              <w:rPr>
                <w:rFonts w:cs="Arial"/>
                <w:b/>
                <w:bCs/>
                <w:iCs/>
                <w:sz w:val="18"/>
                <w:szCs w:val="18"/>
              </w:rPr>
            </w:pPr>
            <w:r w:rsidRPr="00DB40BC">
              <w:rPr>
                <w:rFonts w:cs="Arial"/>
                <w:b/>
                <w:bCs/>
                <w:iCs/>
                <w:sz w:val="18"/>
                <w:szCs w:val="18"/>
              </w:rPr>
              <w:t xml:space="preserve">1. Maintain and enhance a fair, effective and efficient aviation safety regulation system </w:t>
            </w:r>
          </w:p>
          <w:p w:rsidR="00A73603" w:rsidRPr="009C3E7F" w:rsidRDefault="00A73603" w:rsidP="00DD5237">
            <w:pPr>
              <w:tabs>
                <w:tab w:val="left" w:pos="709"/>
              </w:tabs>
              <w:spacing w:before="60" w:after="60" w:line="240" w:lineRule="auto"/>
              <w:rPr>
                <w:rFonts w:ascii="Arial" w:hAnsi="Arial" w:cs="Arial"/>
                <w:sz w:val="18"/>
                <w:szCs w:val="18"/>
              </w:rPr>
            </w:pPr>
            <w:r w:rsidRPr="009C3E7F">
              <w:rPr>
                <w:rFonts w:ascii="Arial" w:hAnsi="Arial" w:cs="Arial"/>
                <w:sz w:val="18"/>
                <w:szCs w:val="18"/>
              </w:rPr>
              <w:t xml:space="preserve">CASA will focus its efforts on maintaining, enhancing and promoting aviation safety, as set out in the </w:t>
            </w:r>
            <w:r w:rsidRPr="00CC164C">
              <w:rPr>
                <w:rFonts w:ascii="Arial" w:hAnsi="Arial" w:cs="Arial"/>
                <w:i/>
                <w:sz w:val="18"/>
                <w:szCs w:val="18"/>
              </w:rPr>
              <w:t>Civil Aviation Act 1988</w:t>
            </w:r>
            <w:r w:rsidRPr="009C3E7F">
              <w:rPr>
                <w:rFonts w:ascii="Arial" w:hAnsi="Arial" w:cs="Arial"/>
                <w:sz w:val="18"/>
                <w:szCs w:val="18"/>
              </w:rPr>
              <w:t xml:space="preserve"> and in accordance with all Government directions. CASA’s work will centre on monitoring compliance, continuing the Regulatory Implementation Program, continuing to review the Australian administered airspace and continuing effective enforcement to secure compliance with safety standards. </w:t>
            </w:r>
          </w:p>
          <w:p w:rsidR="00A73603" w:rsidRPr="00DB40BC" w:rsidRDefault="00A73603" w:rsidP="00DD5237">
            <w:pPr>
              <w:pStyle w:val="TableTextLeft"/>
              <w:spacing w:before="60" w:after="60"/>
              <w:rPr>
                <w:rFonts w:cs="Arial"/>
                <w:b/>
                <w:bCs/>
                <w:iCs/>
                <w:sz w:val="18"/>
                <w:szCs w:val="18"/>
              </w:rPr>
            </w:pPr>
            <w:r w:rsidRPr="00DB40BC">
              <w:rPr>
                <w:rFonts w:cs="Arial"/>
                <w:b/>
                <w:bCs/>
                <w:iCs/>
                <w:sz w:val="18"/>
                <w:szCs w:val="18"/>
              </w:rPr>
              <w:t>2. Collaborative engagement with the aviation industry and wider community to promote and support aviation safety</w:t>
            </w:r>
          </w:p>
          <w:p w:rsidR="00A73603" w:rsidRPr="009C3E7F" w:rsidRDefault="00A73603" w:rsidP="00DD5237">
            <w:pPr>
              <w:tabs>
                <w:tab w:val="left" w:pos="709"/>
              </w:tabs>
              <w:spacing w:before="60" w:after="60" w:line="240" w:lineRule="auto"/>
              <w:rPr>
                <w:rFonts w:ascii="Arial" w:hAnsi="Arial" w:cs="Arial"/>
                <w:sz w:val="18"/>
                <w:szCs w:val="18"/>
              </w:rPr>
            </w:pPr>
            <w:r w:rsidRPr="009C3E7F">
              <w:rPr>
                <w:rFonts w:ascii="Arial" w:hAnsi="Arial" w:cs="Arial"/>
                <w:sz w:val="18"/>
                <w:szCs w:val="18"/>
              </w:rPr>
              <w:t xml:space="preserve">CASA maintains a constructive working relationship with other Australian Government agencies and promotes effective collaboration through consultation and communication with the wider aviation community. CASA engages in a clear, open and transparent manner with the aviation industry through its consultative forums, feedback channels, educational efforts and promotional campaigns, to continuously improve the regulatory framework and be a partner in supporting and promoting a positive aviation safety culture. </w:t>
            </w:r>
          </w:p>
          <w:p w:rsidR="00A73603" w:rsidRPr="00DB40BC" w:rsidRDefault="00A73603" w:rsidP="00DD5237">
            <w:pPr>
              <w:pStyle w:val="TableTextLeft"/>
              <w:spacing w:before="60" w:after="60"/>
              <w:rPr>
                <w:rFonts w:cs="Arial"/>
                <w:b/>
                <w:bCs/>
                <w:iCs/>
                <w:sz w:val="18"/>
                <w:szCs w:val="18"/>
              </w:rPr>
            </w:pPr>
            <w:r w:rsidRPr="00DB40BC">
              <w:rPr>
                <w:rFonts w:cs="Arial"/>
                <w:b/>
                <w:bCs/>
                <w:iCs/>
                <w:sz w:val="18"/>
                <w:szCs w:val="18"/>
              </w:rPr>
              <w:t>3. Continuous improve</w:t>
            </w:r>
            <w:r>
              <w:rPr>
                <w:rFonts w:cs="Arial"/>
                <w:b/>
                <w:bCs/>
                <w:iCs/>
                <w:sz w:val="18"/>
                <w:szCs w:val="18"/>
              </w:rPr>
              <w:t>ment of</w:t>
            </w:r>
            <w:r w:rsidRPr="00DB40BC">
              <w:rPr>
                <w:rFonts w:cs="Arial"/>
                <w:b/>
                <w:bCs/>
                <w:iCs/>
                <w:sz w:val="18"/>
                <w:szCs w:val="18"/>
              </w:rPr>
              <w:t xml:space="preserve"> organisational performance </w:t>
            </w:r>
          </w:p>
          <w:p w:rsidR="00A73603" w:rsidRPr="00DB40BC" w:rsidRDefault="00A73603" w:rsidP="00DD5237">
            <w:pPr>
              <w:tabs>
                <w:tab w:val="left" w:pos="709"/>
              </w:tabs>
              <w:spacing w:before="60" w:after="60" w:line="240" w:lineRule="auto"/>
              <w:rPr>
                <w:rFonts w:cs="Arial"/>
                <w:sz w:val="18"/>
                <w:szCs w:val="18"/>
              </w:rPr>
            </w:pPr>
            <w:r w:rsidRPr="009C3E7F">
              <w:rPr>
                <w:rFonts w:ascii="Arial" w:hAnsi="Arial" w:cs="Arial"/>
                <w:sz w:val="18"/>
                <w:szCs w:val="18"/>
              </w:rPr>
              <w:t>CASA closely monitors its organisational performance and seeks to continually improve its operational activities, regulatory services and other support functions. CASA is adopting a comprehensive quality management approach to drive continuous improvement across all facets of the organisation.</w:t>
            </w:r>
          </w:p>
        </w:tc>
      </w:tr>
      <w:tr w:rsidR="00A73603" w:rsidRPr="0064674F" w:rsidTr="00DD5237">
        <w:trPr>
          <w:trHeight w:val="2065"/>
        </w:trPr>
        <w:tc>
          <w:tcPr>
            <w:tcW w:w="1001" w:type="pct"/>
            <w:tcBorders>
              <w:bottom w:val="single" w:sz="4" w:space="0" w:color="auto"/>
            </w:tcBorders>
          </w:tcPr>
          <w:p w:rsidR="00A73603" w:rsidRPr="00ED75C6" w:rsidRDefault="00A73603" w:rsidP="00DD5237">
            <w:pPr>
              <w:pStyle w:val="TableColumnHeadingLeft"/>
              <w:spacing w:before="60" w:after="60"/>
              <w:rPr>
                <w:rFonts w:ascii="Arial" w:hAnsi="Arial" w:cs="Arial"/>
              </w:rPr>
            </w:pPr>
            <w:r w:rsidRPr="00ED75C6">
              <w:rPr>
                <w:rFonts w:ascii="Arial" w:hAnsi="Arial" w:cs="Arial"/>
              </w:rPr>
              <w:t>Key Activities</w:t>
            </w:r>
          </w:p>
        </w:tc>
        <w:tc>
          <w:tcPr>
            <w:tcW w:w="3999" w:type="pct"/>
            <w:tcBorders>
              <w:bottom w:val="single" w:sz="4" w:space="0" w:color="auto"/>
            </w:tcBorders>
          </w:tcPr>
          <w:p w:rsidR="00A73603" w:rsidRPr="00ED75C6" w:rsidRDefault="00A73603" w:rsidP="00A73603">
            <w:pPr>
              <w:pStyle w:val="TableTextLeft"/>
              <w:numPr>
                <w:ilvl w:val="0"/>
                <w:numId w:val="12"/>
              </w:numPr>
              <w:spacing w:before="60" w:after="60"/>
              <w:ind w:left="357" w:hanging="357"/>
              <w:rPr>
                <w:rFonts w:cs="Arial"/>
              </w:rPr>
            </w:pPr>
            <w:r w:rsidRPr="00ED75C6">
              <w:rPr>
                <w:rFonts w:cs="Arial"/>
              </w:rPr>
              <w:t>Ensure the ongoing regulation, oversight and assurance of civil air operations in Australian territory and the operation of Australian aircraft outside Australian territory.</w:t>
            </w:r>
          </w:p>
          <w:p w:rsidR="00A73603" w:rsidRPr="00ED75C6" w:rsidRDefault="00A73603" w:rsidP="00A73603">
            <w:pPr>
              <w:pStyle w:val="TableTextLeft"/>
              <w:numPr>
                <w:ilvl w:val="0"/>
                <w:numId w:val="12"/>
              </w:numPr>
              <w:spacing w:before="120" w:after="120"/>
              <w:ind w:left="357" w:hanging="357"/>
              <w:rPr>
                <w:rFonts w:cs="Arial"/>
              </w:rPr>
            </w:pPr>
            <w:r w:rsidRPr="00ED75C6">
              <w:rPr>
                <w:rFonts w:cs="Arial"/>
              </w:rPr>
              <w:t>Maintaining our international compliance and engagement in accordance with legal responsibilities and international agreements</w:t>
            </w:r>
          </w:p>
          <w:p w:rsidR="00A73603" w:rsidRPr="00ED75C6" w:rsidRDefault="00A73603" w:rsidP="00A73603">
            <w:pPr>
              <w:pStyle w:val="TableTextLeft"/>
              <w:numPr>
                <w:ilvl w:val="0"/>
                <w:numId w:val="12"/>
              </w:numPr>
              <w:spacing w:before="120" w:after="120"/>
              <w:ind w:left="357" w:hanging="357"/>
              <w:rPr>
                <w:rFonts w:cs="Arial"/>
              </w:rPr>
            </w:pPr>
            <w:r w:rsidRPr="00ED75C6">
              <w:rPr>
                <w:rFonts w:cs="Arial"/>
              </w:rPr>
              <w:t>Maintaining, enhancing and promoting civil aviation safety standards and the state safety program</w:t>
            </w:r>
          </w:p>
          <w:p w:rsidR="00A73603" w:rsidRPr="00ED75C6" w:rsidRDefault="00A73603" w:rsidP="00A73603">
            <w:pPr>
              <w:pStyle w:val="TableTextLeft"/>
              <w:numPr>
                <w:ilvl w:val="0"/>
                <w:numId w:val="12"/>
              </w:numPr>
              <w:spacing w:before="120" w:after="120"/>
              <w:ind w:left="357" w:hanging="357"/>
              <w:rPr>
                <w:rFonts w:cs="Arial"/>
              </w:rPr>
            </w:pPr>
            <w:r w:rsidRPr="00ED75C6">
              <w:rPr>
                <w:rFonts w:cs="Arial"/>
              </w:rPr>
              <w:t>Continuing to focus on strong stakeholder engagement and service delivery</w:t>
            </w:r>
          </w:p>
          <w:p w:rsidR="00A73603" w:rsidRPr="00ED75C6" w:rsidRDefault="00A73603" w:rsidP="00A73603">
            <w:pPr>
              <w:pStyle w:val="TableTextLeft"/>
              <w:numPr>
                <w:ilvl w:val="0"/>
                <w:numId w:val="12"/>
              </w:numPr>
              <w:spacing w:before="60" w:after="60"/>
              <w:ind w:left="357" w:hanging="357"/>
              <w:rPr>
                <w:rFonts w:cs="Arial"/>
              </w:rPr>
            </w:pPr>
            <w:r w:rsidRPr="00ED75C6">
              <w:rPr>
                <w:rFonts w:cs="Arial"/>
              </w:rPr>
              <w:t>Supporting and growing our workforce, information and risk management capabilities</w:t>
            </w:r>
          </w:p>
        </w:tc>
      </w:tr>
    </w:tbl>
    <w:p w:rsidR="00A73603" w:rsidRDefault="00A73603" w:rsidP="00A73603">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73603" w:rsidRPr="00EC0F4A" w:rsidTr="00DD5237">
        <w:trPr>
          <w:trHeight w:val="258"/>
        </w:trPr>
        <w:tc>
          <w:tcPr>
            <w:tcW w:w="1001" w:type="pct"/>
            <w:tcBorders>
              <w:top w:val="double" w:sz="4" w:space="0" w:color="auto"/>
              <w:bottom w:val="single" w:sz="4" w:space="0" w:color="auto"/>
              <w:right w:val="single" w:sz="4" w:space="0" w:color="auto"/>
            </w:tcBorders>
          </w:tcPr>
          <w:p w:rsidR="00A73603" w:rsidRPr="001D4E31" w:rsidRDefault="00A73603" w:rsidP="00DD5237">
            <w:pPr>
              <w:pStyle w:val="TableColumnHeadingLeft"/>
              <w:spacing w:before="60" w:after="60"/>
              <w:rPr>
                <w:rFonts w:ascii="Arial" w:hAnsi="Arial" w:cs="Arial"/>
              </w:rPr>
            </w:pPr>
            <w:r w:rsidRPr="001D4E31">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A73603" w:rsidRPr="001D4E31" w:rsidRDefault="00A73603" w:rsidP="00DD5237">
            <w:pPr>
              <w:pStyle w:val="TableColumnHeadingLeft"/>
              <w:spacing w:before="60" w:after="60"/>
              <w:rPr>
                <w:rFonts w:ascii="Arial" w:hAnsi="Arial" w:cs="Arial"/>
              </w:rPr>
            </w:pPr>
            <w:r w:rsidRPr="001D4E31">
              <w:rPr>
                <w:rFonts w:ascii="Arial" w:hAnsi="Arial" w:cs="Arial"/>
              </w:rPr>
              <w:t>Performance measures</w:t>
            </w:r>
          </w:p>
        </w:tc>
        <w:tc>
          <w:tcPr>
            <w:tcW w:w="2000" w:type="pct"/>
            <w:tcBorders>
              <w:top w:val="double" w:sz="4" w:space="0" w:color="auto"/>
              <w:left w:val="single" w:sz="4" w:space="0" w:color="auto"/>
              <w:bottom w:val="single" w:sz="4" w:space="0" w:color="auto"/>
            </w:tcBorders>
          </w:tcPr>
          <w:p w:rsidR="00A73603" w:rsidRPr="001D4E31" w:rsidRDefault="00A73603" w:rsidP="00DD5237">
            <w:pPr>
              <w:pStyle w:val="TableColumnHeadingLeft"/>
              <w:spacing w:before="60" w:after="60"/>
              <w:rPr>
                <w:rFonts w:ascii="Arial" w:hAnsi="Arial" w:cs="Arial"/>
              </w:rPr>
            </w:pPr>
            <w:r w:rsidRPr="001D4E31">
              <w:rPr>
                <w:rFonts w:ascii="Arial" w:hAnsi="Arial" w:cs="Arial"/>
              </w:rPr>
              <w:t>Expected Performance Results</w:t>
            </w:r>
          </w:p>
        </w:tc>
      </w:tr>
      <w:tr w:rsidR="00A73603" w:rsidRPr="00EC0F4A" w:rsidTr="00DD5237">
        <w:trPr>
          <w:trHeight w:val="508"/>
        </w:trPr>
        <w:tc>
          <w:tcPr>
            <w:tcW w:w="1001" w:type="pct"/>
            <w:vMerge w:val="restart"/>
            <w:tcBorders>
              <w:top w:val="single" w:sz="4" w:space="0" w:color="auto"/>
              <w:right w:val="single" w:sz="4" w:space="0" w:color="auto"/>
            </w:tcBorders>
          </w:tcPr>
          <w:p w:rsidR="00A73603" w:rsidRPr="009C3E7F" w:rsidRDefault="00A73603" w:rsidP="00DD5237">
            <w:pPr>
              <w:pStyle w:val="TableColumnHeadingLeft"/>
              <w:spacing w:before="60" w:after="60"/>
              <w:rPr>
                <w:rFonts w:ascii="Arial" w:hAnsi="Arial" w:cs="Arial"/>
                <w:b w:val="0"/>
              </w:rPr>
            </w:pPr>
            <w:r w:rsidRPr="009C3E7F">
              <w:rPr>
                <w:rFonts w:ascii="Arial" w:hAnsi="Arial" w:cs="Arial"/>
                <w:b w:val="0"/>
              </w:rPr>
              <w:t xml:space="preserve">Current </w:t>
            </w:r>
            <w:r>
              <w:rPr>
                <w:rFonts w:ascii="Arial" w:hAnsi="Arial" w:cs="Arial"/>
                <w:b w:val="0"/>
              </w:rPr>
              <w:t>Y</w:t>
            </w:r>
            <w:r w:rsidRPr="009C3E7F">
              <w:rPr>
                <w:rFonts w:ascii="Arial" w:hAnsi="Arial" w:cs="Arial"/>
                <w:b w:val="0"/>
              </w:rPr>
              <w:t>ear</w:t>
            </w:r>
          </w:p>
          <w:p w:rsidR="00A73603" w:rsidRPr="001D4E31" w:rsidRDefault="00A73603" w:rsidP="00DD5237">
            <w:pPr>
              <w:pStyle w:val="TableColumnHeadingLeft"/>
              <w:spacing w:before="60" w:after="60"/>
              <w:rPr>
                <w:rFonts w:cs="Arial"/>
              </w:rPr>
            </w:pPr>
            <w:r w:rsidRPr="009C3E7F">
              <w:rPr>
                <w:rFonts w:ascii="Arial" w:hAnsi="Arial" w:cs="Arial"/>
                <w:b w:val="0"/>
              </w:rPr>
              <w:t>2023</w:t>
            </w:r>
            <w:r>
              <w:rPr>
                <w:rFonts w:ascii="Arial" w:hAnsi="Arial" w:cs="Arial"/>
                <w:b w:val="0"/>
              </w:rPr>
              <w:t>–</w:t>
            </w:r>
            <w:r w:rsidRPr="009C3E7F">
              <w:rPr>
                <w:rFonts w:ascii="Arial" w:hAnsi="Arial" w:cs="Arial"/>
                <w:b w:val="0"/>
              </w:rPr>
              <w:t>24</w:t>
            </w:r>
          </w:p>
        </w:tc>
        <w:tc>
          <w:tcPr>
            <w:tcW w:w="2000" w:type="pct"/>
            <w:tcBorders>
              <w:top w:val="single" w:sz="4" w:space="0" w:color="auto"/>
              <w:left w:val="single" w:sz="4" w:space="0" w:color="auto"/>
              <w:bottom w:val="dotted" w:sz="4" w:space="0" w:color="auto"/>
              <w:right w:val="single" w:sz="4" w:space="0" w:color="auto"/>
            </w:tcBorders>
          </w:tcPr>
          <w:p w:rsidR="00A73603" w:rsidRPr="001D4E31" w:rsidRDefault="00A73603" w:rsidP="00DD5237">
            <w:pPr>
              <w:pStyle w:val="TableColumnHeadingLeft"/>
              <w:spacing w:before="60" w:after="60"/>
              <w:rPr>
                <w:rFonts w:cs="Arial"/>
                <w:iCs/>
                <w:color w:val="0070C0"/>
                <w:szCs w:val="16"/>
              </w:rPr>
            </w:pPr>
            <w:r w:rsidRPr="009C3E7F">
              <w:rPr>
                <w:rFonts w:ascii="Arial" w:hAnsi="Arial" w:cs="Arial"/>
                <w:b w:val="0"/>
              </w:rPr>
              <w:t>Number of accidents per hours flown by industry sector</w:t>
            </w:r>
          </w:p>
        </w:tc>
        <w:tc>
          <w:tcPr>
            <w:tcW w:w="2000" w:type="pct"/>
            <w:tcBorders>
              <w:top w:val="single" w:sz="4" w:space="0" w:color="auto"/>
              <w:left w:val="single" w:sz="4" w:space="0" w:color="auto"/>
              <w:bottom w:val="dotted" w:sz="4" w:space="0" w:color="auto"/>
            </w:tcBorders>
          </w:tcPr>
          <w:p w:rsidR="00A73603" w:rsidRPr="001D4E31" w:rsidRDefault="00A73603" w:rsidP="00DD5237">
            <w:pPr>
              <w:pStyle w:val="TableTextBase"/>
              <w:spacing w:before="60" w:after="60"/>
              <w:rPr>
                <w:rFonts w:cs="Arial"/>
                <w:iCs/>
                <w:color w:val="0070C0"/>
              </w:rPr>
            </w:pPr>
            <w:r w:rsidRPr="009C3E7F">
              <w:rPr>
                <w:rFonts w:cs="Arial"/>
              </w:rPr>
              <w:t>Reducing trend</w:t>
            </w:r>
            <w:r w:rsidRPr="001D4E31">
              <w:rPr>
                <w:rFonts w:cs="Arial"/>
                <w:iCs/>
                <w:vertAlign w:val="superscript"/>
              </w:rPr>
              <w:t>(a)</w:t>
            </w:r>
          </w:p>
        </w:tc>
      </w:tr>
      <w:tr w:rsidR="00A73603" w:rsidRPr="00EC0F4A" w:rsidTr="00DD5237">
        <w:trPr>
          <w:trHeight w:val="100"/>
        </w:trPr>
        <w:tc>
          <w:tcPr>
            <w:tcW w:w="1001" w:type="pct"/>
            <w:vMerge/>
            <w:tcBorders>
              <w:right w:val="single" w:sz="4" w:space="0" w:color="auto"/>
            </w:tcBorders>
          </w:tcPr>
          <w:p w:rsidR="00A73603" w:rsidRPr="001D4E31" w:rsidRDefault="00A73603" w:rsidP="00DD5237">
            <w:pPr>
              <w:pStyle w:val="TableColumnHeadingLeft"/>
              <w:rPr>
                <w:rFonts w:ascii="Arial" w:hAnsi="Arial" w:cs="Arial"/>
              </w:rPr>
            </w:pPr>
          </w:p>
        </w:tc>
        <w:tc>
          <w:tcPr>
            <w:tcW w:w="2000" w:type="pct"/>
            <w:tcBorders>
              <w:top w:val="single" w:sz="4" w:space="0" w:color="auto"/>
              <w:left w:val="single" w:sz="4" w:space="0" w:color="auto"/>
              <w:bottom w:val="dotted" w:sz="4" w:space="0" w:color="auto"/>
              <w:right w:val="single" w:sz="4" w:space="0" w:color="auto"/>
            </w:tcBorders>
          </w:tcPr>
          <w:p w:rsidR="00A73603" w:rsidRPr="001D4E31" w:rsidRDefault="00A73603" w:rsidP="00DD5237">
            <w:pPr>
              <w:pStyle w:val="TableColumnHeadingLeft"/>
              <w:spacing w:before="60" w:after="60"/>
              <w:rPr>
                <w:rFonts w:cs="Arial"/>
                <w:iCs/>
              </w:rPr>
            </w:pPr>
            <w:r w:rsidRPr="009C3E7F">
              <w:rPr>
                <w:rFonts w:ascii="Arial" w:hAnsi="Arial" w:cs="Arial"/>
                <w:b w:val="0"/>
              </w:rPr>
              <w:t>Number of incidents per hours flown by industry sector</w:t>
            </w:r>
          </w:p>
        </w:tc>
        <w:tc>
          <w:tcPr>
            <w:tcW w:w="2000" w:type="pct"/>
            <w:tcBorders>
              <w:top w:val="single" w:sz="4" w:space="0" w:color="auto"/>
              <w:left w:val="single" w:sz="4" w:space="0" w:color="auto"/>
              <w:bottom w:val="dotted" w:sz="4" w:space="0" w:color="auto"/>
            </w:tcBorders>
          </w:tcPr>
          <w:p w:rsidR="00A73603" w:rsidRPr="001D4E31" w:rsidRDefault="00A73603" w:rsidP="00DD5237">
            <w:pPr>
              <w:pStyle w:val="TableTextBase"/>
              <w:spacing w:before="60" w:after="60"/>
              <w:rPr>
                <w:rFonts w:cs="Arial"/>
                <w:iCs/>
              </w:rPr>
            </w:pPr>
            <w:r w:rsidRPr="009C3E7F">
              <w:rPr>
                <w:rFonts w:cs="Arial"/>
              </w:rPr>
              <w:t>Reducing trend</w:t>
            </w:r>
            <w:r w:rsidRPr="001D4E31">
              <w:rPr>
                <w:rFonts w:cs="Arial"/>
                <w:iCs/>
                <w:vertAlign w:val="superscript"/>
              </w:rPr>
              <w:t>(a)</w:t>
            </w:r>
          </w:p>
        </w:tc>
      </w:tr>
      <w:tr w:rsidR="00A73603" w:rsidRPr="00EC0F4A" w:rsidTr="00DD5237">
        <w:trPr>
          <w:trHeight w:val="100"/>
        </w:trPr>
        <w:tc>
          <w:tcPr>
            <w:tcW w:w="1001" w:type="pct"/>
            <w:vMerge/>
            <w:tcBorders>
              <w:right w:val="single" w:sz="4" w:space="0" w:color="auto"/>
            </w:tcBorders>
          </w:tcPr>
          <w:p w:rsidR="00A73603" w:rsidRPr="001D4E31" w:rsidRDefault="00A73603" w:rsidP="00DD5237">
            <w:pPr>
              <w:pStyle w:val="TableColumnHeadingLeft"/>
              <w:rPr>
                <w:rFonts w:ascii="Arial" w:hAnsi="Arial" w:cs="Arial"/>
              </w:rPr>
            </w:pPr>
          </w:p>
        </w:tc>
        <w:tc>
          <w:tcPr>
            <w:tcW w:w="2000" w:type="pct"/>
            <w:tcBorders>
              <w:top w:val="single" w:sz="4" w:space="0" w:color="auto"/>
              <w:left w:val="single" w:sz="4" w:space="0" w:color="auto"/>
              <w:bottom w:val="dotted" w:sz="4" w:space="0" w:color="auto"/>
              <w:right w:val="single" w:sz="4" w:space="0" w:color="auto"/>
            </w:tcBorders>
          </w:tcPr>
          <w:p w:rsidR="00A73603" w:rsidRPr="001D4E31" w:rsidRDefault="00A73603" w:rsidP="00DD5237">
            <w:pPr>
              <w:pStyle w:val="TableColumnHeadingLeft"/>
              <w:spacing w:before="60" w:after="60"/>
              <w:rPr>
                <w:rFonts w:cs="Arial"/>
                <w:iCs/>
              </w:rPr>
            </w:pPr>
            <w:r w:rsidRPr="009C3E7F">
              <w:rPr>
                <w:rFonts w:ascii="Arial" w:hAnsi="Arial" w:cs="Arial"/>
                <w:b w:val="0"/>
              </w:rPr>
              <w:t>CASA maintains the Effective Implementation (EI) Score determined by ICAO Universal Safety Oversight Audit Program (USOAP)</w:t>
            </w:r>
          </w:p>
        </w:tc>
        <w:tc>
          <w:tcPr>
            <w:tcW w:w="2000" w:type="pct"/>
            <w:tcBorders>
              <w:top w:val="single" w:sz="4" w:space="0" w:color="auto"/>
              <w:left w:val="single" w:sz="4" w:space="0" w:color="auto"/>
              <w:bottom w:val="dotted" w:sz="4" w:space="0" w:color="auto"/>
            </w:tcBorders>
          </w:tcPr>
          <w:p w:rsidR="00A73603" w:rsidRPr="001D4E31" w:rsidRDefault="00A73603" w:rsidP="00DD5237">
            <w:pPr>
              <w:pStyle w:val="TableTextBase"/>
              <w:spacing w:before="60" w:after="60"/>
              <w:rPr>
                <w:rFonts w:cs="Arial"/>
                <w:iCs/>
              </w:rPr>
            </w:pPr>
            <w:r w:rsidRPr="009C3E7F">
              <w:rPr>
                <w:rFonts w:cs="Arial"/>
              </w:rPr>
              <w:t>Maintain or improve EI score</w:t>
            </w:r>
          </w:p>
        </w:tc>
      </w:tr>
      <w:tr w:rsidR="00A73603" w:rsidRPr="00EC0F4A" w:rsidTr="00DD5237">
        <w:trPr>
          <w:trHeight w:val="100"/>
        </w:trPr>
        <w:tc>
          <w:tcPr>
            <w:tcW w:w="1001" w:type="pct"/>
            <w:vMerge/>
            <w:tcBorders>
              <w:right w:val="single" w:sz="4" w:space="0" w:color="auto"/>
            </w:tcBorders>
          </w:tcPr>
          <w:p w:rsidR="00A73603" w:rsidRPr="001D4E31" w:rsidRDefault="00A73603" w:rsidP="00DD5237">
            <w:pPr>
              <w:pStyle w:val="TableColumnHeadingLeft"/>
              <w:rPr>
                <w:rFonts w:ascii="Arial" w:hAnsi="Arial" w:cs="Arial"/>
              </w:rPr>
            </w:pPr>
          </w:p>
        </w:tc>
        <w:tc>
          <w:tcPr>
            <w:tcW w:w="2000" w:type="pct"/>
            <w:tcBorders>
              <w:top w:val="single" w:sz="4" w:space="0" w:color="auto"/>
              <w:left w:val="single" w:sz="4" w:space="0" w:color="auto"/>
              <w:bottom w:val="dotted" w:sz="4" w:space="0" w:color="auto"/>
              <w:right w:val="single" w:sz="4" w:space="0" w:color="auto"/>
            </w:tcBorders>
          </w:tcPr>
          <w:p w:rsidR="00A73603" w:rsidRPr="009C3E7F" w:rsidRDefault="00A73603" w:rsidP="00DD5237">
            <w:pPr>
              <w:pStyle w:val="TableColumnHeadingLeft"/>
              <w:spacing w:before="60" w:after="60"/>
              <w:rPr>
                <w:rFonts w:ascii="Arial" w:hAnsi="Arial" w:cs="Arial"/>
                <w:b w:val="0"/>
              </w:rPr>
            </w:pPr>
            <w:r w:rsidRPr="009C3E7F">
              <w:rPr>
                <w:rFonts w:ascii="Arial" w:hAnsi="Arial" w:cs="Arial"/>
                <w:b w:val="0"/>
              </w:rPr>
              <w:t>Regulatory implementation delivered in accordance with targets</w:t>
            </w:r>
          </w:p>
        </w:tc>
        <w:tc>
          <w:tcPr>
            <w:tcW w:w="2000" w:type="pct"/>
            <w:tcBorders>
              <w:top w:val="single" w:sz="4" w:space="0" w:color="auto"/>
              <w:left w:val="single" w:sz="4" w:space="0" w:color="auto"/>
              <w:bottom w:val="dotted" w:sz="4" w:space="0" w:color="auto"/>
            </w:tcBorders>
          </w:tcPr>
          <w:p w:rsidR="00A73603" w:rsidRPr="009C3E7F" w:rsidRDefault="00A73603" w:rsidP="00DD5237">
            <w:pPr>
              <w:pStyle w:val="TableTextBase"/>
              <w:spacing w:before="60" w:after="60"/>
              <w:rPr>
                <w:rFonts w:cs="Arial"/>
              </w:rPr>
            </w:pPr>
            <w:r w:rsidRPr="009C3E7F">
              <w:rPr>
                <w:rFonts w:cs="Arial"/>
              </w:rPr>
              <w:t>Regulatory implementation achieved against planned program outlined in the CASA Corporate Plan</w:t>
            </w:r>
          </w:p>
        </w:tc>
      </w:tr>
      <w:tr w:rsidR="00A73603" w:rsidRPr="00EC0F4A" w:rsidTr="00DD5237">
        <w:trPr>
          <w:trHeight w:val="100"/>
        </w:trPr>
        <w:tc>
          <w:tcPr>
            <w:tcW w:w="1001" w:type="pct"/>
            <w:vMerge/>
            <w:tcBorders>
              <w:right w:val="single" w:sz="4" w:space="0" w:color="auto"/>
            </w:tcBorders>
          </w:tcPr>
          <w:p w:rsidR="00A73603" w:rsidRPr="001D4E31" w:rsidRDefault="00A73603" w:rsidP="00DD5237">
            <w:pPr>
              <w:pStyle w:val="TableColumnHeadingLeft"/>
              <w:rPr>
                <w:rFonts w:ascii="Arial" w:hAnsi="Arial" w:cs="Arial"/>
              </w:rPr>
            </w:pPr>
          </w:p>
        </w:tc>
        <w:tc>
          <w:tcPr>
            <w:tcW w:w="2000" w:type="pct"/>
            <w:tcBorders>
              <w:top w:val="single" w:sz="4" w:space="0" w:color="auto"/>
              <w:left w:val="single" w:sz="4" w:space="0" w:color="auto"/>
              <w:bottom w:val="dotted" w:sz="4" w:space="0" w:color="auto"/>
              <w:right w:val="single" w:sz="4" w:space="0" w:color="auto"/>
            </w:tcBorders>
          </w:tcPr>
          <w:p w:rsidR="00A73603" w:rsidRPr="001D4E31" w:rsidRDefault="00A73603" w:rsidP="00DD5237">
            <w:pPr>
              <w:pStyle w:val="TableColumnHeadingLeft"/>
              <w:spacing w:before="60" w:after="60"/>
              <w:rPr>
                <w:rFonts w:cs="Arial"/>
                <w:iCs/>
              </w:rPr>
            </w:pPr>
            <w:r w:rsidRPr="009C3E7F">
              <w:rPr>
                <w:rFonts w:ascii="Arial" w:hAnsi="Arial" w:cs="Arial"/>
                <w:b w:val="0"/>
              </w:rPr>
              <w:t>Surveillance determined via a National Oversight Plan consisting of scheduled and response events informed by risk</w:t>
            </w:r>
          </w:p>
        </w:tc>
        <w:tc>
          <w:tcPr>
            <w:tcW w:w="2000" w:type="pct"/>
            <w:tcBorders>
              <w:top w:val="single" w:sz="4" w:space="0" w:color="auto"/>
              <w:left w:val="single" w:sz="4" w:space="0" w:color="auto"/>
              <w:bottom w:val="dotted" w:sz="4" w:space="0" w:color="auto"/>
            </w:tcBorders>
          </w:tcPr>
          <w:p w:rsidR="00A73603" w:rsidRPr="001D4E31" w:rsidRDefault="00A73603" w:rsidP="00DD5237">
            <w:pPr>
              <w:pStyle w:val="TableTextBase"/>
              <w:spacing w:before="60" w:after="60"/>
              <w:rPr>
                <w:rFonts w:cs="Arial"/>
                <w:iCs/>
              </w:rPr>
            </w:pPr>
            <w:r w:rsidRPr="009C3E7F">
              <w:rPr>
                <w:rFonts w:cs="Arial"/>
              </w:rPr>
              <w:t>Surveillance events achieved as detailed in the National Oversight Plan and CASA Corporate Plan</w:t>
            </w:r>
          </w:p>
        </w:tc>
      </w:tr>
      <w:tr w:rsidR="00A73603" w:rsidRPr="00EC0F4A" w:rsidTr="00DD5237">
        <w:trPr>
          <w:trHeight w:val="100"/>
        </w:trPr>
        <w:tc>
          <w:tcPr>
            <w:tcW w:w="1001" w:type="pct"/>
            <w:vMerge/>
            <w:tcBorders>
              <w:bottom w:val="dotted" w:sz="4" w:space="0" w:color="auto"/>
              <w:right w:val="single" w:sz="4" w:space="0" w:color="auto"/>
            </w:tcBorders>
          </w:tcPr>
          <w:p w:rsidR="00A73603" w:rsidRPr="001D4E31" w:rsidRDefault="00A73603" w:rsidP="00DD5237">
            <w:pPr>
              <w:pStyle w:val="TableColumnHeadingLeft"/>
              <w:rPr>
                <w:rFonts w:ascii="Arial" w:hAnsi="Arial" w:cs="Arial"/>
              </w:rPr>
            </w:pPr>
          </w:p>
        </w:tc>
        <w:tc>
          <w:tcPr>
            <w:tcW w:w="2000" w:type="pct"/>
            <w:tcBorders>
              <w:top w:val="single" w:sz="4" w:space="0" w:color="auto"/>
              <w:left w:val="single" w:sz="4" w:space="0" w:color="auto"/>
              <w:bottom w:val="dotted" w:sz="4" w:space="0" w:color="auto"/>
              <w:right w:val="single" w:sz="4" w:space="0" w:color="auto"/>
            </w:tcBorders>
          </w:tcPr>
          <w:p w:rsidR="00A73603" w:rsidRPr="001D4E31" w:rsidRDefault="00A73603" w:rsidP="00DD5237">
            <w:pPr>
              <w:pStyle w:val="TableColumnHeadingLeft"/>
              <w:spacing w:before="60" w:after="60"/>
              <w:rPr>
                <w:rFonts w:cs="Arial"/>
                <w:iCs/>
              </w:rPr>
            </w:pPr>
            <w:r w:rsidRPr="009C3E7F">
              <w:rPr>
                <w:rFonts w:ascii="Arial" w:hAnsi="Arial" w:cs="Arial"/>
                <w:b w:val="0"/>
              </w:rPr>
              <w:t>Clear, open and transparent engagement with the industry to support the continuous improvement of an efficient and effective aviation safety regulatory framework</w:t>
            </w:r>
          </w:p>
        </w:tc>
        <w:tc>
          <w:tcPr>
            <w:tcW w:w="2000" w:type="pct"/>
            <w:tcBorders>
              <w:top w:val="single" w:sz="4" w:space="0" w:color="auto"/>
              <w:left w:val="single" w:sz="4" w:space="0" w:color="auto"/>
              <w:bottom w:val="dotted" w:sz="4" w:space="0" w:color="auto"/>
            </w:tcBorders>
          </w:tcPr>
          <w:p w:rsidR="00A73603" w:rsidRPr="009C3E7F" w:rsidRDefault="00A73603" w:rsidP="00DD5237">
            <w:pPr>
              <w:pStyle w:val="TableTextBase"/>
              <w:spacing w:before="60" w:after="60"/>
              <w:rPr>
                <w:rFonts w:cs="Arial"/>
              </w:rPr>
            </w:pPr>
            <w:r w:rsidRPr="009C3E7F">
              <w:rPr>
                <w:rFonts w:cs="Arial"/>
              </w:rPr>
              <w:t>100% of significant regulatory changes publicly consulted and outcomes informed by industry feedback</w:t>
            </w:r>
          </w:p>
          <w:p w:rsidR="00A73603" w:rsidRPr="001D4E31" w:rsidRDefault="00A73603" w:rsidP="00DD5237">
            <w:pPr>
              <w:pStyle w:val="TableTextBase"/>
              <w:spacing w:before="60" w:after="60"/>
              <w:rPr>
                <w:rFonts w:cs="Arial"/>
                <w:iCs/>
              </w:rPr>
            </w:pPr>
            <w:r w:rsidRPr="009C3E7F">
              <w:rPr>
                <w:rFonts w:cs="Arial"/>
              </w:rPr>
              <w:t>Improving trend in stakeholder satisfaction from regular surveys</w:t>
            </w:r>
          </w:p>
        </w:tc>
      </w:tr>
      <w:tr w:rsidR="00A73603" w:rsidRPr="00EC0F4A" w:rsidTr="00DD5237">
        <w:trPr>
          <w:trHeight w:val="258"/>
        </w:trPr>
        <w:tc>
          <w:tcPr>
            <w:tcW w:w="1001" w:type="pct"/>
            <w:tcBorders>
              <w:top w:val="double" w:sz="4" w:space="0" w:color="auto"/>
              <w:bottom w:val="single" w:sz="4" w:space="0" w:color="auto"/>
              <w:right w:val="single" w:sz="4" w:space="0" w:color="auto"/>
            </w:tcBorders>
          </w:tcPr>
          <w:p w:rsidR="00A73603" w:rsidRPr="001D4E31" w:rsidRDefault="00A73603" w:rsidP="00DD5237">
            <w:pPr>
              <w:pStyle w:val="TableColumnHeadingLeft"/>
              <w:spacing w:before="60" w:after="60"/>
              <w:rPr>
                <w:rFonts w:ascii="Arial" w:hAnsi="Arial" w:cs="Arial"/>
              </w:rPr>
            </w:pPr>
            <w:r w:rsidRPr="001D4E31">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A73603" w:rsidRPr="001D4E31" w:rsidRDefault="00A73603" w:rsidP="00DD5237">
            <w:pPr>
              <w:pStyle w:val="TableColumnHeadingLeft"/>
              <w:spacing w:before="60" w:after="60"/>
              <w:rPr>
                <w:rFonts w:ascii="Arial" w:hAnsi="Arial" w:cs="Arial"/>
              </w:rPr>
            </w:pPr>
            <w:r w:rsidRPr="001D4E31">
              <w:rPr>
                <w:rFonts w:ascii="Arial" w:hAnsi="Arial" w:cs="Arial"/>
              </w:rPr>
              <w:t>Performance measures</w:t>
            </w:r>
          </w:p>
        </w:tc>
        <w:tc>
          <w:tcPr>
            <w:tcW w:w="2000" w:type="pct"/>
            <w:tcBorders>
              <w:top w:val="double" w:sz="4" w:space="0" w:color="auto"/>
              <w:left w:val="single" w:sz="4" w:space="0" w:color="auto"/>
              <w:bottom w:val="single" w:sz="4" w:space="0" w:color="auto"/>
            </w:tcBorders>
          </w:tcPr>
          <w:p w:rsidR="00A73603" w:rsidRPr="001D4E31" w:rsidRDefault="00A73603" w:rsidP="00DD5237">
            <w:pPr>
              <w:pStyle w:val="TableColumnHeadingLeft"/>
              <w:spacing w:before="60" w:after="60"/>
              <w:rPr>
                <w:rFonts w:ascii="Arial" w:hAnsi="Arial" w:cs="Arial"/>
              </w:rPr>
            </w:pPr>
            <w:r>
              <w:rPr>
                <w:rFonts w:ascii="Arial" w:hAnsi="Arial" w:cs="Arial"/>
              </w:rPr>
              <w:t>Planned</w:t>
            </w:r>
            <w:r w:rsidRPr="001D4E31">
              <w:rPr>
                <w:rFonts w:ascii="Arial" w:hAnsi="Arial" w:cs="Arial"/>
              </w:rPr>
              <w:t xml:space="preserve"> Performance Results</w:t>
            </w:r>
          </w:p>
        </w:tc>
      </w:tr>
      <w:tr w:rsidR="00A73603" w:rsidRPr="00EC0F4A" w:rsidTr="00DD5237">
        <w:trPr>
          <w:trHeight w:val="100"/>
        </w:trPr>
        <w:tc>
          <w:tcPr>
            <w:tcW w:w="1001" w:type="pct"/>
            <w:vMerge w:val="restart"/>
            <w:tcBorders>
              <w:top w:val="single" w:sz="4" w:space="0" w:color="auto"/>
              <w:right w:val="single" w:sz="4" w:space="0" w:color="auto"/>
            </w:tcBorders>
          </w:tcPr>
          <w:p w:rsidR="00A73603" w:rsidRPr="00515377" w:rsidRDefault="00A73603" w:rsidP="00DD5237">
            <w:pPr>
              <w:pStyle w:val="TableTextLeft"/>
              <w:spacing w:before="40" w:after="40"/>
              <w:rPr>
                <w:rFonts w:cs="Arial"/>
              </w:rPr>
            </w:pPr>
            <w:r w:rsidRPr="00515377">
              <w:rPr>
                <w:rFonts w:cs="Arial"/>
              </w:rPr>
              <w:t xml:space="preserve">Budget </w:t>
            </w:r>
            <w:r>
              <w:rPr>
                <w:rFonts w:cs="Arial"/>
              </w:rPr>
              <w:t>Y</w:t>
            </w:r>
            <w:r w:rsidRPr="00515377">
              <w:rPr>
                <w:rFonts w:cs="Arial"/>
              </w:rPr>
              <w:t xml:space="preserve">ear </w:t>
            </w:r>
          </w:p>
          <w:p w:rsidR="00A73603" w:rsidRPr="00515377" w:rsidRDefault="00A73603" w:rsidP="00DD5237">
            <w:pPr>
              <w:pStyle w:val="TableTextLeft"/>
              <w:spacing w:before="40" w:after="40"/>
              <w:rPr>
                <w:rFonts w:cs="Arial"/>
              </w:rPr>
            </w:pPr>
            <w:r w:rsidRPr="00515377">
              <w:rPr>
                <w:rFonts w:cs="Arial"/>
              </w:rPr>
              <w:t>2024</w:t>
            </w:r>
            <w:r>
              <w:rPr>
                <w:rFonts w:cs="Arial"/>
              </w:rPr>
              <w:t>–</w:t>
            </w:r>
            <w:r w:rsidRPr="00515377">
              <w:rPr>
                <w:rFonts w:cs="Arial"/>
              </w:rPr>
              <w:t>25</w:t>
            </w:r>
          </w:p>
        </w:tc>
        <w:tc>
          <w:tcPr>
            <w:tcW w:w="2000" w:type="pct"/>
            <w:tcBorders>
              <w:top w:val="single" w:sz="4" w:space="0" w:color="auto"/>
              <w:left w:val="single" w:sz="4" w:space="0" w:color="auto"/>
              <w:bottom w:val="single" w:sz="4" w:space="0" w:color="auto"/>
              <w:right w:val="single" w:sz="4" w:space="0" w:color="auto"/>
            </w:tcBorders>
          </w:tcPr>
          <w:p w:rsidR="00A73603" w:rsidRPr="00515377" w:rsidRDefault="00A73603" w:rsidP="00DD5237">
            <w:pPr>
              <w:pStyle w:val="TableTextBase"/>
              <w:spacing w:before="60" w:after="60"/>
              <w:contextualSpacing/>
              <w:rPr>
                <w:rFonts w:cs="Arial"/>
                <w:i/>
                <w:color w:val="0070C0"/>
              </w:rPr>
            </w:pPr>
            <w:r w:rsidRPr="00515377">
              <w:rPr>
                <w:rFonts w:cs="Arial"/>
                <w:iCs/>
              </w:rPr>
              <w:t>Number of fatalities</w:t>
            </w:r>
            <w:r w:rsidRPr="00515377">
              <w:rPr>
                <w:rFonts w:cs="Arial"/>
                <w:iCs/>
                <w:vertAlign w:val="superscript"/>
              </w:rPr>
              <w:t>(a)</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rPr>
                <w:rFonts w:cs="Arial"/>
              </w:rPr>
            </w:pPr>
            <w:r w:rsidRPr="00AA4692">
              <w:rPr>
                <w:rFonts w:cs="Arial"/>
              </w:rPr>
              <w:t>Zero fatal accidents for Commercial Air Transport (CAT)</w:t>
            </w:r>
          </w:p>
          <w:p w:rsidR="00A73603" w:rsidRPr="00AA4692" w:rsidRDefault="00A73603" w:rsidP="00DD5237">
            <w:pPr>
              <w:pStyle w:val="TableTextBase"/>
              <w:spacing w:before="60" w:after="60"/>
              <w:rPr>
                <w:rFonts w:cs="Arial"/>
              </w:rPr>
            </w:pPr>
            <w:r w:rsidRPr="00AA4692">
              <w:rPr>
                <w:rFonts w:cs="Arial"/>
              </w:rPr>
              <w:t xml:space="preserve">Stable or reducing number of fatal accidents for: </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commercial aviation crewed</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non–commercial crewed</w:t>
            </w:r>
          </w:p>
          <w:p w:rsidR="00A73603" w:rsidRPr="00AA4692" w:rsidRDefault="00A73603" w:rsidP="00DD5237">
            <w:pPr>
              <w:pStyle w:val="TableTextBase"/>
              <w:spacing w:before="60" w:after="60"/>
              <w:ind w:left="357" w:hanging="357"/>
              <w:rPr>
                <w:rFonts w:cs="Arial"/>
                <w:i/>
              </w:rPr>
            </w:pPr>
            <w:r w:rsidRPr="00AA4692">
              <w:rPr>
                <w:rFonts w:cs="Arial"/>
                <w:iCs/>
              </w:rPr>
              <w:t>•</w:t>
            </w:r>
            <w:r w:rsidRPr="00AA4692">
              <w:rPr>
                <w:rFonts w:cs="Arial"/>
                <w:iCs/>
              </w:rPr>
              <w:tab/>
            </w:r>
            <w:proofErr w:type="spellStart"/>
            <w:r w:rsidRPr="00AA4692">
              <w:rPr>
                <w:rFonts w:cs="Arial"/>
                <w:iCs/>
              </w:rPr>
              <w:t>uncrewed</w:t>
            </w:r>
            <w:proofErr w:type="spellEnd"/>
          </w:p>
        </w:tc>
      </w:tr>
      <w:tr w:rsidR="00A73603" w:rsidRPr="0064674F" w:rsidTr="00DD5237">
        <w:trPr>
          <w:trHeight w:val="491"/>
        </w:trPr>
        <w:tc>
          <w:tcPr>
            <w:tcW w:w="1001" w:type="pct"/>
            <w:vMerge/>
            <w:tcBorders>
              <w:right w:val="single" w:sz="4" w:space="0" w:color="auto"/>
            </w:tcBorders>
          </w:tcPr>
          <w:p w:rsidR="00A73603" w:rsidRPr="00515377" w:rsidRDefault="00A73603" w:rsidP="00DD5237">
            <w:pPr>
              <w:pStyle w:val="TableTextLeft"/>
              <w:spacing w:before="40" w:after="40"/>
              <w:rPr>
                <w:rFonts w:cs="Arial"/>
              </w:rPr>
            </w:pPr>
          </w:p>
        </w:tc>
        <w:tc>
          <w:tcPr>
            <w:tcW w:w="2000" w:type="pct"/>
            <w:tcBorders>
              <w:top w:val="single" w:sz="4" w:space="0" w:color="auto"/>
              <w:left w:val="single" w:sz="4" w:space="0" w:color="auto"/>
              <w:bottom w:val="single" w:sz="4" w:space="0" w:color="auto"/>
              <w:right w:val="single" w:sz="4" w:space="0" w:color="auto"/>
            </w:tcBorders>
          </w:tcPr>
          <w:p w:rsidR="00A73603" w:rsidRPr="00515377" w:rsidRDefault="00A73603" w:rsidP="00DD5237">
            <w:pPr>
              <w:pStyle w:val="TableTextBase"/>
              <w:spacing w:before="60" w:after="60"/>
              <w:contextualSpacing/>
              <w:rPr>
                <w:rFonts w:cs="Arial"/>
                <w:iCs/>
              </w:rPr>
            </w:pPr>
            <w:r w:rsidRPr="00515377">
              <w:rPr>
                <w:rFonts w:cs="Arial"/>
                <w:iCs/>
              </w:rPr>
              <w:t>Number of accidents</w:t>
            </w:r>
            <w:r w:rsidRPr="00515377">
              <w:rPr>
                <w:rFonts w:cs="Arial"/>
                <w:iCs/>
                <w:vertAlign w:val="superscript"/>
              </w:rPr>
              <w:t>(a)</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rPr>
                <w:rFonts w:cs="Arial"/>
              </w:rPr>
            </w:pPr>
            <w:r w:rsidRPr="00AA4692">
              <w:rPr>
                <w:rFonts w:cs="Arial"/>
              </w:rPr>
              <w:t>Stable or reducing accident rate per million departures for CAT</w:t>
            </w:r>
          </w:p>
          <w:p w:rsidR="00A73603" w:rsidRPr="00AA4692" w:rsidRDefault="00A73603" w:rsidP="00DD5237">
            <w:pPr>
              <w:pStyle w:val="TableTextBase"/>
              <w:spacing w:before="60" w:after="60"/>
              <w:rPr>
                <w:rFonts w:cs="Arial"/>
              </w:rPr>
            </w:pPr>
            <w:r w:rsidRPr="00AA4692">
              <w:rPr>
                <w:rFonts w:cs="Arial"/>
              </w:rPr>
              <w:t>Stable or reducing number of accidents for:</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commercial aviation crewed</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non–commercial crewed</w:t>
            </w:r>
          </w:p>
          <w:p w:rsidR="00A73603" w:rsidRPr="00AA4692" w:rsidRDefault="00A73603" w:rsidP="00DD5237">
            <w:pPr>
              <w:pStyle w:val="TableTextBase"/>
              <w:spacing w:before="60" w:after="60"/>
              <w:ind w:left="357" w:hanging="357"/>
              <w:rPr>
                <w:rFonts w:cs="Arial"/>
                <w:i/>
              </w:rPr>
            </w:pPr>
            <w:r w:rsidRPr="00AA4692">
              <w:rPr>
                <w:rFonts w:cs="Arial"/>
                <w:iCs/>
              </w:rPr>
              <w:t>•</w:t>
            </w:r>
            <w:r w:rsidRPr="00AA4692">
              <w:rPr>
                <w:rFonts w:cs="Arial"/>
                <w:iCs/>
              </w:rPr>
              <w:tab/>
            </w:r>
            <w:proofErr w:type="spellStart"/>
            <w:r w:rsidRPr="00AA4692">
              <w:rPr>
                <w:rFonts w:cs="Arial"/>
                <w:iCs/>
              </w:rPr>
              <w:t>uncrewed</w:t>
            </w:r>
            <w:proofErr w:type="spellEnd"/>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40" w:after="4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344F3D" w:rsidRDefault="00A73603" w:rsidP="00DD5237">
            <w:pPr>
              <w:pStyle w:val="TableTextBase"/>
              <w:spacing w:before="60" w:after="60"/>
              <w:contextualSpacing/>
              <w:rPr>
                <w:rFonts w:cs="Arial"/>
                <w:iCs/>
              </w:rPr>
            </w:pPr>
            <w:r w:rsidRPr="00344F3D">
              <w:rPr>
                <w:rFonts w:cs="Arial"/>
                <w:iCs/>
              </w:rPr>
              <w:t>Number of serious incidents</w:t>
            </w:r>
            <w:r w:rsidRPr="00344F3D">
              <w:rPr>
                <w:rFonts w:cs="Arial"/>
                <w:iCs/>
                <w:vertAlign w:val="superscript"/>
              </w:rPr>
              <w:t>(a)</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rPr>
                <w:rFonts w:cs="Arial"/>
              </w:rPr>
            </w:pPr>
            <w:r w:rsidRPr="00AA4692">
              <w:rPr>
                <w:rFonts w:cs="Arial"/>
              </w:rPr>
              <w:t>Stable or reducing serious incident rate per million departures for CAT</w:t>
            </w:r>
          </w:p>
          <w:p w:rsidR="00A73603" w:rsidRPr="00AA4692" w:rsidRDefault="00A73603" w:rsidP="00DD5237">
            <w:pPr>
              <w:pStyle w:val="TableTextBase"/>
              <w:spacing w:before="60" w:after="60"/>
              <w:rPr>
                <w:rFonts w:cs="Arial"/>
              </w:rPr>
            </w:pPr>
            <w:r w:rsidRPr="00AA4692">
              <w:rPr>
                <w:rFonts w:cs="Arial"/>
              </w:rPr>
              <w:t>Stable or reducing number of accidents for:</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commercial aviation crewed</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non–commercial crewed</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r>
            <w:proofErr w:type="spellStart"/>
            <w:r w:rsidRPr="00AA4692">
              <w:rPr>
                <w:rFonts w:cs="Arial"/>
                <w:iCs/>
              </w:rPr>
              <w:t>uncrewed</w:t>
            </w:r>
            <w:proofErr w:type="spellEnd"/>
          </w:p>
        </w:tc>
      </w:tr>
      <w:tr w:rsidR="00A73603" w:rsidRPr="00AA4692" w:rsidTr="00DD5237">
        <w:trPr>
          <w:trHeight w:val="491"/>
        </w:trPr>
        <w:tc>
          <w:tcPr>
            <w:tcW w:w="1001" w:type="pct"/>
            <w:vMerge/>
            <w:tcBorders>
              <w:right w:val="single" w:sz="4" w:space="0" w:color="auto"/>
            </w:tcBorders>
          </w:tcPr>
          <w:p w:rsidR="00A73603" w:rsidRPr="00AA4692" w:rsidRDefault="00A73603" w:rsidP="00DD5237">
            <w:pPr>
              <w:pStyle w:val="TableTextLeft"/>
              <w:spacing w:before="40" w:after="4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AA4692" w:rsidRDefault="00A73603" w:rsidP="00DD5237">
            <w:pPr>
              <w:pStyle w:val="TableTextBase"/>
              <w:spacing w:before="60" w:after="60"/>
              <w:rPr>
                <w:rFonts w:cs="Arial"/>
                <w:iCs/>
              </w:rPr>
            </w:pPr>
            <w:r w:rsidRPr="00AA4692">
              <w:rPr>
                <w:rFonts w:cs="Arial"/>
              </w:rPr>
              <w:t>Surveillance determined via a National Oversight Plan consisting of scheduled and response events informed by risk</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rPr>
                <w:rFonts w:cs="Arial"/>
                <w:i/>
              </w:rPr>
            </w:pPr>
            <w:r w:rsidRPr="00AA4692">
              <w:rPr>
                <w:rFonts w:cs="Arial"/>
              </w:rPr>
              <w:t>90% of surveillance events are achieved as detailed in the National Oversight Plan</w:t>
            </w:r>
          </w:p>
        </w:tc>
      </w:tr>
    </w:tbl>
    <w:p w:rsidR="00A73603" w:rsidRPr="00AA4692" w:rsidRDefault="00A73603" w:rsidP="00A73603">
      <w:r w:rsidRPr="00AA469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73603" w:rsidRPr="00AA4692" w:rsidTr="00DD5237">
        <w:trPr>
          <w:trHeight w:val="258"/>
        </w:trPr>
        <w:tc>
          <w:tcPr>
            <w:tcW w:w="1001" w:type="pct"/>
            <w:tcBorders>
              <w:top w:val="double" w:sz="4" w:space="0" w:color="auto"/>
              <w:bottom w:val="single" w:sz="4" w:space="0" w:color="auto"/>
              <w:right w:val="single" w:sz="4" w:space="0" w:color="auto"/>
            </w:tcBorders>
          </w:tcPr>
          <w:p w:rsidR="00A73603" w:rsidRPr="00AA4692" w:rsidRDefault="00A73603" w:rsidP="00DD5237">
            <w:pPr>
              <w:pStyle w:val="TableColumnHeadingLeft"/>
              <w:spacing w:before="60" w:after="60"/>
              <w:rPr>
                <w:rFonts w:ascii="Arial" w:hAnsi="Arial" w:cs="Arial"/>
              </w:rPr>
            </w:pPr>
            <w:r w:rsidRPr="00AA4692">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A73603" w:rsidRPr="00AA4692" w:rsidRDefault="00A73603" w:rsidP="00DD5237">
            <w:pPr>
              <w:pStyle w:val="TableColumnHeadingLeft"/>
              <w:spacing w:before="60" w:after="60"/>
              <w:rPr>
                <w:rFonts w:ascii="Arial" w:hAnsi="Arial" w:cs="Arial"/>
              </w:rPr>
            </w:pPr>
            <w:r w:rsidRPr="00AA4692">
              <w:rPr>
                <w:rFonts w:ascii="Arial" w:hAnsi="Arial" w:cs="Arial"/>
              </w:rPr>
              <w:t>Performance measures</w:t>
            </w:r>
          </w:p>
        </w:tc>
        <w:tc>
          <w:tcPr>
            <w:tcW w:w="2000" w:type="pct"/>
            <w:tcBorders>
              <w:top w:val="double" w:sz="4" w:space="0" w:color="auto"/>
              <w:left w:val="single" w:sz="4" w:space="0" w:color="auto"/>
              <w:bottom w:val="single" w:sz="4" w:space="0" w:color="auto"/>
            </w:tcBorders>
          </w:tcPr>
          <w:p w:rsidR="00A73603" w:rsidRPr="00AA4692" w:rsidRDefault="00A73603" w:rsidP="00DD5237">
            <w:pPr>
              <w:pStyle w:val="TableColumnHeadingLeft"/>
              <w:spacing w:before="60" w:after="60"/>
              <w:rPr>
                <w:rFonts w:ascii="Arial" w:hAnsi="Arial" w:cs="Arial"/>
              </w:rPr>
            </w:pPr>
            <w:r w:rsidRPr="00AA4692">
              <w:rPr>
                <w:rFonts w:ascii="Arial" w:hAnsi="Arial" w:cs="Arial"/>
              </w:rPr>
              <w:t>Planned Performance Results</w:t>
            </w:r>
          </w:p>
        </w:tc>
      </w:tr>
      <w:tr w:rsidR="00A73603" w:rsidRPr="00AA4692" w:rsidTr="00DD5237">
        <w:trPr>
          <w:trHeight w:val="491"/>
        </w:trPr>
        <w:tc>
          <w:tcPr>
            <w:tcW w:w="1001" w:type="pct"/>
            <w:vMerge w:val="restart"/>
            <w:tcBorders>
              <w:right w:val="single" w:sz="4" w:space="0" w:color="auto"/>
            </w:tcBorders>
          </w:tcPr>
          <w:p w:rsidR="00A73603" w:rsidRPr="00AA4692" w:rsidRDefault="00A73603" w:rsidP="00DD5237">
            <w:pPr>
              <w:pStyle w:val="TableTextLeft"/>
              <w:spacing w:before="60" w:after="60"/>
              <w:contextualSpacing/>
              <w:rPr>
                <w:rFonts w:asciiTheme="minorHAnsi" w:hAnsiTheme="minorHAnsi" w:cstheme="minorHAnsi"/>
              </w:rPr>
            </w:pPr>
            <w:r w:rsidRPr="00AA4692">
              <w:rPr>
                <w:rFonts w:cs="Arial"/>
                <w:szCs w:val="16"/>
              </w:rPr>
              <w:t>Budget Year</w:t>
            </w:r>
            <w:r w:rsidRPr="00AA4692">
              <w:rPr>
                <w:rFonts w:cs="Arial"/>
                <w:szCs w:val="16"/>
              </w:rPr>
              <w:br/>
              <w:t>2024–25 cont.</w:t>
            </w:r>
          </w:p>
        </w:tc>
        <w:tc>
          <w:tcPr>
            <w:tcW w:w="2000" w:type="pct"/>
            <w:tcBorders>
              <w:top w:val="single" w:sz="4" w:space="0" w:color="auto"/>
              <w:left w:val="single" w:sz="4" w:space="0" w:color="auto"/>
              <w:bottom w:val="single" w:sz="4" w:space="0" w:color="auto"/>
              <w:right w:val="single" w:sz="4" w:space="0" w:color="auto"/>
            </w:tcBorders>
          </w:tcPr>
          <w:p w:rsidR="00A73603" w:rsidRPr="00AA4692" w:rsidRDefault="00A73603" w:rsidP="00DD5237">
            <w:pPr>
              <w:pStyle w:val="TableTextBase"/>
              <w:spacing w:before="60" w:after="60"/>
              <w:contextualSpacing/>
              <w:rPr>
                <w:rFonts w:cs="Arial"/>
                <w:iCs/>
              </w:rPr>
            </w:pPr>
            <w:r w:rsidRPr="00AA4692">
              <w:rPr>
                <w:rFonts w:cs="Arial"/>
              </w:rPr>
              <w:t>Clear, open, and transparent engagement with stakeholders, including the aviation industry to support the continuous improvement of an efficient and effective aviation safety regulatory framework</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100% of significant regulatory changes are publicly consulted and outcomes informed by industry feedback.</w:t>
            </w:r>
          </w:p>
          <w:p w:rsidR="00A73603" w:rsidRPr="00AA4692" w:rsidRDefault="00A73603" w:rsidP="00DD5237">
            <w:pPr>
              <w:pStyle w:val="TableTextBase"/>
              <w:spacing w:before="60" w:after="60"/>
              <w:rPr>
                <w:rFonts w:cs="Arial"/>
              </w:rPr>
            </w:pPr>
            <w:r w:rsidRPr="00AA4692">
              <w:rPr>
                <w:rFonts w:cs="Arial"/>
              </w:rPr>
              <w:t>CASA’s stakeholder satisfaction and client sentiment shows a stable or increasing trend.</w:t>
            </w:r>
          </w:p>
          <w:p w:rsidR="00A73603" w:rsidRPr="00AA4692" w:rsidRDefault="00A73603" w:rsidP="00DD5237">
            <w:pPr>
              <w:pStyle w:val="TableTextBase"/>
              <w:spacing w:before="60" w:after="60"/>
              <w:rPr>
                <w:rFonts w:cs="Arial"/>
                <w:iCs/>
              </w:rPr>
            </w:pPr>
            <w:r w:rsidRPr="00AA4692">
              <w:rPr>
                <w:rFonts w:cs="Arial"/>
              </w:rPr>
              <w:t>CASA’s education and safety promotion activities are measured and evaluated through a range of feedback mechanisms and show a stable or increasing trend</w:t>
            </w:r>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344F3D" w:rsidRDefault="00A73603" w:rsidP="00DD5237">
            <w:pPr>
              <w:pStyle w:val="TableTextBase"/>
              <w:spacing w:before="60" w:after="60"/>
              <w:rPr>
                <w:rFonts w:cs="Arial"/>
                <w:iCs/>
              </w:rPr>
            </w:pPr>
            <w:r w:rsidRPr="009C3E7F">
              <w:rPr>
                <w:rFonts w:cs="Arial"/>
              </w:rPr>
              <w:t>CASA demonstrates excellence in development and implementation of the aviation safety regulatory framework</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CASA adheres to Government and CASA regulatory policies and aligns with International Civil Aviation Organization (ICAO) standards and recommended practices where appropriate</w:t>
            </w:r>
          </w:p>
          <w:p w:rsidR="00A73603" w:rsidRPr="00AA4692" w:rsidRDefault="00A73603" w:rsidP="00DD5237">
            <w:pPr>
              <w:pStyle w:val="TableTextBase"/>
              <w:spacing w:before="60" w:after="60"/>
              <w:rPr>
                <w:rFonts w:cs="Arial"/>
                <w:i/>
              </w:rPr>
            </w:pPr>
            <w:r w:rsidRPr="00AA4692">
              <w:rPr>
                <w:rFonts w:cs="Arial"/>
              </w:rPr>
              <w:t>Regulatory implementation against the planned program is achieved</w:t>
            </w:r>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344F3D" w:rsidRDefault="00A73603" w:rsidP="00DD5237">
            <w:pPr>
              <w:pStyle w:val="TableTextBase"/>
              <w:spacing w:before="60" w:after="60"/>
              <w:contextualSpacing/>
              <w:rPr>
                <w:rFonts w:cs="Arial"/>
                <w:iCs/>
              </w:rPr>
            </w:pPr>
            <w:r w:rsidRPr="009C3E7F">
              <w:rPr>
                <w:rFonts w:cs="Arial"/>
              </w:rPr>
              <w:t>CASA’s actions in the international sphere are in accordance with its legal responsibilities and international agreement arrangements.</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CASA uses appropriate global resources and arrangements to support its audit certification processes.</w:t>
            </w:r>
          </w:p>
          <w:p w:rsidR="00A73603" w:rsidRPr="00AA4692" w:rsidRDefault="00A73603" w:rsidP="00DD5237">
            <w:pPr>
              <w:pStyle w:val="TableTextBase"/>
              <w:spacing w:before="60" w:after="60"/>
              <w:rPr>
                <w:rFonts w:cs="Arial"/>
                <w:i/>
              </w:rPr>
            </w:pPr>
            <w:r w:rsidRPr="00AA4692">
              <w:rPr>
                <w:rFonts w:cs="Arial"/>
              </w:rPr>
              <w:t>CASA contributes to the development of the International Civil Aviation Organization (ICAO) standards and practices</w:t>
            </w:r>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344F3D" w:rsidRDefault="00A73603" w:rsidP="00DD5237">
            <w:pPr>
              <w:pStyle w:val="TableTextBase"/>
              <w:spacing w:before="60" w:after="60"/>
              <w:contextualSpacing/>
              <w:rPr>
                <w:rFonts w:cs="Arial"/>
                <w:iCs/>
              </w:rPr>
            </w:pPr>
            <w:r w:rsidRPr="009C3E7F">
              <w:rPr>
                <w:rFonts w:cs="Arial"/>
              </w:rPr>
              <w:t>All regulatory services we deliver have defined timeframes that are followed</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CASA establishes and publishes regulatory service delivery timeframes for all regulatory services.</w:t>
            </w:r>
          </w:p>
          <w:p w:rsidR="00A73603" w:rsidRPr="00AA4692" w:rsidRDefault="00A73603" w:rsidP="00DD5237">
            <w:pPr>
              <w:pStyle w:val="TableTextBase"/>
              <w:spacing w:before="60" w:after="60"/>
              <w:rPr>
                <w:rFonts w:cs="Arial"/>
                <w:i/>
              </w:rPr>
            </w:pPr>
            <w:r w:rsidRPr="00AA4692">
              <w:rPr>
                <w:rFonts w:cs="Arial"/>
              </w:rPr>
              <w:t>CASA ensures all regulatory service decisions are made in accordance with published service delivery timeframes</w:t>
            </w:r>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9C3E7F" w:rsidRDefault="00A73603" w:rsidP="00DD5237">
            <w:pPr>
              <w:pStyle w:val="TableTextBase"/>
              <w:spacing w:before="60" w:after="60"/>
              <w:contextualSpacing/>
              <w:rPr>
                <w:rFonts w:cs="Arial"/>
              </w:rPr>
            </w:pPr>
            <w:r w:rsidRPr="009C3E7F">
              <w:rPr>
                <w:rFonts w:cs="Arial"/>
              </w:rPr>
              <w:t>Enforcement actions undertaken are fair, consistent, and transparent</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All decisions reviewed by the Administrative Appeals Tribunal and in the Federal Court are affirmed or not substantially varied in any material respect</w:t>
            </w:r>
          </w:p>
          <w:p w:rsidR="00A73603" w:rsidRPr="00AA4692" w:rsidRDefault="00A73603" w:rsidP="00DD5237">
            <w:pPr>
              <w:pStyle w:val="TableTextBase"/>
              <w:spacing w:before="60" w:after="60"/>
              <w:rPr>
                <w:rFonts w:cs="Arial"/>
                <w:i/>
              </w:rPr>
            </w:pPr>
            <w:r w:rsidRPr="00AA4692">
              <w:rPr>
                <w:rFonts w:cs="Arial"/>
              </w:rPr>
              <w:t>All briefs are accepted by the Commonwealth Director of Public Prosecutions</w:t>
            </w:r>
          </w:p>
        </w:tc>
      </w:tr>
      <w:tr w:rsidR="00A73603" w:rsidRPr="0064674F" w:rsidTr="00DD5237">
        <w:trPr>
          <w:trHeight w:val="491"/>
        </w:trPr>
        <w:tc>
          <w:tcPr>
            <w:tcW w:w="1001" w:type="pct"/>
            <w:vMerge/>
            <w:tcBorders>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F00356" w:rsidRDefault="00A73603" w:rsidP="00DD5237">
            <w:pPr>
              <w:pStyle w:val="TableTextBase"/>
              <w:spacing w:before="60" w:after="60"/>
              <w:contextualSpacing/>
              <w:rPr>
                <w:rFonts w:cs="Arial"/>
                <w:iCs/>
              </w:rPr>
            </w:pPr>
            <w:r w:rsidRPr="009C3E7F">
              <w:rPr>
                <w:rFonts w:cs="Arial"/>
              </w:rPr>
              <w:t>Increased uptake of services delivered digitally</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rPr>
            </w:pPr>
            <w:r w:rsidRPr="00AA4692">
              <w:rPr>
                <w:rFonts w:cs="Arial"/>
              </w:rPr>
              <w:t>Digital submission volumes through Use of self–service channels:</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2024–25 – 82%</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2025–26 – 83%</w:t>
            </w:r>
          </w:p>
          <w:p w:rsidR="00A73603" w:rsidRPr="00AA4692" w:rsidRDefault="00A73603" w:rsidP="00DD5237">
            <w:pPr>
              <w:pStyle w:val="TableTextBase"/>
              <w:spacing w:before="60" w:after="60"/>
              <w:ind w:left="357" w:hanging="357"/>
              <w:rPr>
                <w:rFonts w:cs="Arial"/>
                <w:iCs/>
              </w:rPr>
            </w:pPr>
            <w:r w:rsidRPr="00AA4692">
              <w:rPr>
                <w:rFonts w:cs="Arial"/>
                <w:iCs/>
              </w:rPr>
              <w:t>•</w:t>
            </w:r>
            <w:r w:rsidRPr="00AA4692">
              <w:rPr>
                <w:rFonts w:cs="Arial"/>
                <w:iCs/>
              </w:rPr>
              <w:tab/>
              <w:t>2026–27 – 84%</w:t>
            </w:r>
          </w:p>
          <w:p w:rsidR="00A73603" w:rsidRPr="00AA4692" w:rsidRDefault="00A73603" w:rsidP="00DD5237">
            <w:pPr>
              <w:pStyle w:val="TableTextBase"/>
              <w:spacing w:before="60" w:after="60"/>
              <w:ind w:left="357" w:hanging="357"/>
              <w:rPr>
                <w:rFonts w:cs="Arial"/>
                <w:i/>
              </w:rPr>
            </w:pPr>
            <w:r w:rsidRPr="00AA4692">
              <w:rPr>
                <w:rFonts w:cs="Arial"/>
                <w:iCs/>
              </w:rPr>
              <w:t>•</w:t>
            </w:r>
            <w:r w:rsidRPr="00AA4692">
              <w:rPr>
                <w:rFonts w:cs="Arial"/>
                <w:iCs/>
              </w:rPr>
              <w:tab/>
              <w:t>2027–28 – 85%</w:t>
            </w:r>
          </w:p>
        </w:tc>
      </w:tr>
      <w:tr w:rsidR="00A73603" w:rsidRPr="0064674F" w:rsidTr="00DD5237">
        <w:trPr>
          <w:trHeight w:val="491"/>
        </w:trPr>
        <w:tc>
          <w:tcPr>
            <w:tcW w:w="1001" w:type="pct"/>
            <w:vMerge/>
            <w:tcBorders>
              <w:bottom w:val="single" w:sz="4" w:space="0" w:color="auto"/>
              <w:right w:val="single" w:sz="4" w:space="0" w:color="auto"/>
            </w:tcBorders>
          </w:tcPr>
          <w:p w:rsidR="00A73603" w:rsidRPr="00784AB7" w:rsidRDefault="00A73603" w:rsidP="00DD5237">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rsidR="00A73603" w:rsidRPr="00F00356" w:rsidRDefault="00A73603" w:rsidP="00DD5237">
            <w:pPr>
              <w:pStyle w:val="TableTextBase"/>
              <w:spacing w:before="60" w:after="60"/>
              <w:contextualSpacing/>
              <w:rPr>
                <w:rFonts w:cs="Arial"/>
                <w:iCs/>
              </w:rPr>
            </w:pPr>
            <w:r w:rsidRPr="000907CE">
              <w:rPr>
                <w:rFonts w:cs="Arial"/>
              </w:rPr>
              <w:t>CASA undertakes workforce planning to ensure that appropriate investment is made in effective people management initiatives</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i/>
              </w:rPr>
            </w:pPr>
            <w:r w:rsidRPr="00AA4692">
              <w:rPr>
                <w:rFonts w:cs="Arial"/>
              </w:rPr>
              <w:t>CASA ensures its workforce is managed in accordance with workforce priorities</w:t>
            </w:r>
          </w:p>
        </w:tc>
      </w:tr>
      <w:tr w:rsidR="00A73603" w:rsidRPr="0064674F" w:rsidTr="00DD5237">
        <w:trPr>
          <w:trHeight w:val="491"/>
        </w:trPr>
        <w:tc>
          <w:tcPr>
            <w:tcW w:w="1001" w:type="pct"/>
            <w:tcBorders>
              <w:top w:val="single" w:sz="4" w:space="0" w:color="auto"/>
              <w:bottom w:val="single" w:sz="4" w:space="0" w:color="auto"/>
              <w:right w:val="single" w:sz="4" w:space="0" w:color="auto"/>
            </w:tcBorders>
          </w:tcPr>
          <w:p w:rsidR="00A73603" w:rsidRPr="00F00356" w:rsidRDefault="00A73603" w:rsidP="00DD5237">
            <w:pPr>
              <w:pStyle w:val="TableTextLeft"/>
              <w:spacing w:before="60" w:after="60"/>
              <w:contextualSpacing/>
              <w:rPr>
                <w:rFonts w:cs="Arial"/>
              </w:rPr>
            </w:pPr>
            <w:r w:rsidRPr="00F00356">
              <w:rPr>
                <w:rFonts w:cs="Arial"/>
              </w:rPr>
              <w:t xml:space="preserve">Forward Estimates </w:t>
            </w:r>
          </w:p>
          <w:p w:rsidR="00A73603" w:rsidRPr="00784AB7" w:rsidRDefault="00A73603" w:rsidP="00DD5237">
            <w:pPr>
              <w:pStyle w:val="TableTextLeft"/>
              <w:spacing w:before="60" w:after="60"/>
              <w:contextualSpacing/>
              <w:rPr>
                <w:rFonts w:asciiTheme="minorHAnsi" w:hAnsiTheme="minorHAnsi" w:cstheme="minorHAnsi"/>
              </w:rPr>
            </w:pPr>
            <w:r w:rsidRPr="00F00356">
              <w:rPr>
                <w:rFonts w:cs="Arial"/>
              </w:rPr>
              <w:t>2025</w:t>
            </w:r>
            <w:r>
              <w:rPr>
                <w:rFonts w:cs="Arial"/>
              </w:rPr>
              <w:t>–</w:t>
            </w:r>
            <w:r w:rsidRPr="00F00356">
              <w:rPr>
                <w:rFonts w:cs="Arial"/>
              </w:rPr>
              <w:t>28</w:t>
            </w:r>
          </w:p>
        </w:tc>
        <w:tc>
          <w:tcPr>
            <w:tcW w:w="2000" w:type="pct"/>
            <w:tcBorders>
              <w:top w:val="single" w:sz="4" w:space="0" w:color="auto"/>
              <w:left w:val="single" w:sz="4" w:space="0" w:color="auto"/>
              <w:bottom w:val="single" w:sz="4" w:space="0" w:color="auto"/>
              <w:right w:val="single" w:sz="4" w:space="0" w:color="auto"/>
            </w:tcBorders>
          </w:tcPr>
          <w:p w:rsidR="00A73603" w:rsidRPr="00F00356" w:rsidRDefault="00A73603" w:rsidP="00DD5237">
            <w:pPr>
              <w:pStyle w:val="TableTextBase"/>
              <w:spacing w:before="60" w:after="60"/>
              <w:contextualSpacing/>
              <w:rPr>
                <w:rFonts w:cs="Arial"/>
                <w:iCs/>
              </w:rPr>
            </w:pPr>
            <w:r w:rsidRPr="000907CE">
              <w:rPr>
                <w:rFonts w:cs="Arial"/>
              </w:rPr>
              <w:t xml:space="preserve">As per </w:t>
            </w:r>
            <w:r>
              <w:rPr>
                <w:rFonts w:cs="Arial"/>
              </w:rPr>
              <w:t>2024–25</w:t>
            </w:r>
          </w:p>
        </w:tc>
        <w:tc>
          <w:tcPr>
            <w:tcW w:w="2000" w:type="pct"/>
            <w:tcBorders>
              <w:top w:val="single" w:sz="4" w:space="0" w:color="auto"/>
              <w:left w:val="single" w:sz="4" w:space="0" w:color="auto"/>
              <w:bottom w:val="single" w:sz="4" w:space="0" w:color="auto"/>
            </w:tcBorders>
          </w:tcPr>
          <w:p w:rsidR="00A73603" w:rsidRPr="00AA4692" w:rsidRDefault="00A73603" w:rsidP="00DD5237">
            <w:pPr>
              <w:pStyle w:val="TableTextBase"/>
              <w:spacing w:before="60" w:after="60"/>
              <w:contextualSpacing/>
              <w:rPr>
                <w:rFonts w:cs="Arial"/>
                <w:b/>
              </w:rPr>
            </w:pPr>
            <w:r w:rsidRPr="00AA4692">
              <w:rPr>
                <w:rFonts w:cs="Arial"/>
              </w:rPr>
              <w:t>As per 2024–25</w:t>
            </w:r>
          </w:p>
        </w:tc>
      </w:tr>
    </w:tbl>
    <w:p w:rsidR="00A73603" w:rsidRPr="00E87CB1" w:rsidRDefault="00A73603" w:rsidP="00A73603">
      <w:pPr>
        <w:pStyle w:val="ChartandTableFootnoteAlpha"/>
        <w:numPr>
          <w:ilvl w:val="0"/>
          <w:numId w:val="13"/>
        </w:numPr>
        <w:spacing w:before="20" w:after="20"/>
        <w:ind w:left="357" w:hanging="357"/>
        <w:contextualSpacing/>
        <w:jc w:val="both"/>
        <w:rPr>
          <w:rFonts w:cs="Arial"/>
          <w:color w:val="auto"/>
        </w:rPr>
      </w:pPr>
      <w:r w:rsidRPr="00E87CB1">
        <w:rPr>
          <w:rFonts w:cs="Arial"/>
          <w:color w:val="auto"/>
        </w:rPr>
        <w:t>This key performance indicator relies on the availability of data which is not published by the Bureau of Infrastructure, Transport and Regional Economics (BITRE) until after 30 June each year.</w:t>
      </w:r>
    </w:p>
    <w:p w:rsidR="00A73603" w:rsidRPr="006913EB" w:rsidRDefault="00A73603" w:rsidP="00A73603">
      <w:pPr>
        <w:pStyle w:val="Heading2-CASA"/>
      </w:pPr>
      <w:r w:rsidRPr="006913EB">
        <w:br w:type="page"/>
      </w:r>
      <w:bookmarkStart w:id="20" w:name="_Toc165367085"/>
      <w:bookmarkStart w:id="21" w:name="_Toc165838157"/>
      <w:r w:rsidRPr="006913EB">
        <w:lastRenderedPageBreak/>
        <w:t xml:space="preserve">Section 3: Budgeted financial </w:t>
      </w:r>
      <w:r w:rsidRPr="00A845A9">
        <w:t>statements</w:t>
      </w:r>
      <w:bookmarkEnd w:id="20"/>
      <w:bookmarkEnd w:id="21"/>
    </w:p>
    <w:p w:rsidR="00A73603" w:rsidRPr="00A845A9" w:rsidRDefault="00A73603" w:rsidP="00A73603">
      <w:pPr>
        <w:rPr>
          <w:sz w:val="20"/>
        </w:rPr>
      </w:pPr>
      <w:r w:rsidRPr="00A845A9">
        <w:rPr>
          <w:sz w:val="20"/>
        </w:rPr>
        <w:t xml:space="preserve">Section 3 presents budgeted financial statements which provide a comprehensive snapshot of </w:t>
      </w:r>
      <w:r>
        <w:rPr>
          <w:sz w:val="20"/>
        </w:rPr>
        <w:t xml:space="preserve">CASA’s </w:t>
      </w:r>
      <w:r w:rsidRPr="00A845A9">
        <w:rPr>
          <w:sz w:val="20"/>
        </w:rPr>
        <w:t>finances for the 2024–25</w:t>
      </w:r>
      <w:r w:rsidRPr="000907CE">
        <w:rPr>
          <w:sz w:val="20"/>
        </w:rPr>
        <w:t xml:space="preserve"> </w:t>
      </w:r>
      <w:r w:rsidRPr="00A845A9">
        <w:rPr>
          <w:sz w:val="20"/>
        </w:rPr>
        <w:t>budget year, including the impact of budget measures and resourcing on financial statements.</w:t>
      </w:r>
    </w:p>
    <w:p w:rsidR="00A73603" w:rsidRPr="00A845A9" w:rsidRDefault="00A73603" w:rsidP="00A73603">
      <w:pPr>
        <w:pStyle w:val="Heading3-CASA"/>
        <w:ind w:left="567" w:hanging="567"/>
      </w:pPr>
      <w:bookmarkStart w:id="22" w:name="_Toc165367086"/>
      <w:bookmarkStart w:id="23" w:name="_Toc165838158"/>
      <w:r w:rsidRPr="005328A9">
        <w:t>3.1</w:t>
      </w:r>
      <w:r w:rsidRPr="005328A9">
        <w:tab/>
        <w:t>Budgeted financial statements</w:t>
      </w:r>
      <w:bookmarkEnd w:id="22"/>
      <w:bookmarkEnd w:id="23"/>
    </w:p>
    <w:p w:rsidR="00A73603" w:rsidRDefault="00A73603" w:rsidP="00A73603">
      <w:pPr>
        <w:pStyle w:val="Heading4"/>
        <w:ind w:left="567" w:hanging="567"/>
      </w:pPr>
      <w:r>
        <w:t>3.1.1</w:t>
      </w:r>
      <w:r>
        <w:tab/>
        <w:t>Explanatory notes and analysis of budgeted financial statements</w:t>
      </w:r>
    </w:p>
    <w:p w:rsidR="00A73603" w:rsidRPr="00A845A9" w:rsidRDefault="00A73603" w:rsidP="00A73603">
      <w:pPr>
        <w:pStyle w:val="ExampleText0"/>
        <w:spacing w:before="120" w:line="240" w:lineRule="auto"/>
        <w:rPr>
          <w:b/>
          <w:bCs/>
          <w:i w:val="0"/>
          <w:color w:val="auto"/>
          <w:sz w:val="20"/>
        </w:rPr>
      </w:pPr>
      <w:r>
        <w:rPr>
          <w:b/>
          <w:bCs/>
          <w:i w:val="0"/>
          <w:color w:val="auto"/>
          <w:sz w:val="20"/>
        </w:rPr>
        <w:t>Budgeted Departmental Income Statement</w:t>
      </w:r>
    </w:p>
    <w:p w:rsidR="00A73603" w:rsidRPr="00090F1F" w:rsidRDefault="00A73603" w:rsidP="00A73603">
      <w:pPr>
        <w:rPr>
          <w:sz w:val="20"/>
        </w:rPr>
      </w:pPr>
      <w:r w:rsidRPr="00090F1F">
        <w:rPr>
          <w:sz w:val="20"/>
        </w:rPr>
        <w:t>CASA is anticipating a $25.2 million operating surplus in 2023</w:t>
      </w:r>
      <w:r>
        <w:rPr>
          <w:sz w:val="20"/>
        </w:rPr>
        <w:t>–</w:t>
      </w:r>
      <w:r w:rsidRPr="00090F1F">
        <w:rPr>
          <w:sz w:val="20"/>
        </w:rPr>
        <w:t>24 compared to a break even result at the 2023</w:t>
      </w:r>
      <w:r>
        <w:rPr>
          <w:sz w:val="20"/>
        </w:rPr>
        <w:t>–</w:t>
      </w:r>
      <w:r w:rsidRPr="00090F1F">
        <w:rPr>
          <w:sz w:val="20"/>
        </w:rPr>
        <w:t>24 Budget. The $25.2 million operating result is primarily due to improved aviation fuel excise forecasts, resulting in $34.7 million more aviation fuel excise compared to the Treasury estimates for 2023</w:t>
      </w:r>
      <w:r>
        <w:rPr>
          <w:sz w:val="20"/>
        </w:rPr>
        <w:t>–</w:t>
      </w:r>
      <w:r w:rsidRPr="00090F1F">
        <w:rPr>
          <w:sz w:val="20"/>
        </w:rPr>
        <w:t>24 in the 2023</w:t>
      </w:r>
      <w:r>
        <w:rPr>
          <w:sz w:val="20"/>
        </w:rPr>
        <w:t>–</w:t>
      </w:r>
      <w:r w:rsidRPr="00090F1F">
        <w:rPr>
          <w:sz w:val="20"/>
        </w:rPr>
        <w:t>24 Budget. This was offset by increased employee expenses of $0.9 million reflecting CASA’s enterprise agreement over the budgeted increase for 2023</w:t>
      </w:r>
      <w:r>
        <w:rPr>
          <w:sz w:val="20"/>
        </w:rPr>
        <w:t>–</w:t>
      </w:r>
      <w:r w:rsidRPr="00090F1F">
        <w:rPr>
          <w:sz w:val="20"/>
        </w:rPr>
        <w:t xml:space="preserve">24 budget and </w:t>
      </w:r>
      <w:proofErr w:type="gramStart"/>
      <w:r w:rsidRPr="00090F1F">
        <w:rPr>
          <w:sz w:val="20"/>
        </w:rPr>
        <w:t>suppliers</w:t>
      </w:r>
      <w:proofErr w:type="gramEnd"/>
      <w:r w:rsidRPr="00090F1F">
        <w:rPr>
          <w:sz w:val="20"/>
        </w:rPr>
        <w:t xml:space="preserve"> expense being $12.9 million more than expected primarily due to consultancies.</w:t>
      </w:r>
    </w:p>
    <w:p w:rsidR="00A73603" w:rsidRDefault="00A73603" w:rsidP="00A73603">
      <w:pPr>
        <w:rPr>
          <w:sz w:val="20"/>
        </w:rPr>
      </w:pPr>
      <w:r w:rsidRPr="00090F1F">
        <w:rPr>
          <w:sz w:val="20"/>
        </w:rPr>
        <w:t xml:space="preserve">CASA is budgeting for a $29.6 million operating deficit in </w:t>
      </w:r>
      <w:r>
        <w:rPr>
          <w:sz w:val="20"/>
        </w:rPr>
        <w:t xml:space="preserve">2024–25 which is a significant movement compared to the estimated 2023–24 surplus of $25.2 million. This movement is </w:t>
      </w:r>
      <w:r w:rsidRPr="00090F1F">
        <w:rPr>
          <w:sz w:val="20"/>
        </w:rPr>
        <w:t>due to the appropriation funding provided by the Australian Airline Financial Relief package ceasing at end of 2023</w:t>
      </w:r>
      <w:r>
        <w:rPr>
          <w:sz w:val="20"/>
        </w:rPr>
        <w:t>–</w:t>
      </w:r>
      <w:r w:rsidRPr="00090F1F">
        <w:rPr>
          <w:sz w:val="20"/>
        </w:rPr>
        <w:t>24</w:t>
      </w:r>
      <w:r>
        <w:rPr>
          <w:sz w:val="20"/>
        </w:rPr>
        <w:t>, an improved estimate of aviation fuel excise of $36.3 million, and no change in policy position relating to drone registration levies.</w:t>
      </w:r>
    </w:p>
    <w:p w:rsidR="00A73603" w:rsidRDefault="00A73603" w:rsidP="00A73603">
      <w:pPr>
        <w:rPr>
          <w:sz w:val="20"/>
        </w:rPr>
      </w:pPr>
      <w:r>
        <w:rPr>
          <w:sz w:val="20"/>
        </w:rPr>
        <w:t>CASA is budgeting for operating deficits across the forward estimates of $14.7 million in 2025–26, $20.5 million in 2026–27 and $16.7 million in 2027–28. The improvement in operating deficits since 2023–24 Budget is mainly due to the increase in estimates of aviation fuel excise of $36.3 million to $40.3 million over the forward estimates.</w:t>
      </w:r>
    </w:p>
    <w:p w:rsidR="00A73603" w:rsidRPr="00A845A9" w:rsidRDefault="00A73603" w:rsidP="00A73603">
      <w:pPr>
        <w:pStyle w:val="ExampleText0"/>
        <w:spacing w:before="120" w:line="240" w:lineRule="auto"/>
        <w:rPr>
          <w:b/>
          <w:bCs/>
          <w:i w:val="0"/>
          <w:color w:val="auto"/>
          <w:sz w:val="20"/>
        </w:rPr>
      </w:pPr>
      <w:r w:rsidRPr="00A845A9">
        <w:rPr>
          <w:b/>
          <w:bCs/>
          <w:i w:val="0"/>
          <w:color w:val="auto"/>
          <w:sz w:val="20"/>
        </w:rPr>
        <w:t>Revenue and Expenses</w:t>
      </w:r>
    </w:p>
    <w:p w:rsidR="00A73603" w:rsidRPr="000907CE" w:rsidRDefault="00A73603" w:rsidP="00A73603">
      <w:pPr>
        <w:rPr>
          <w:sz w:val="20"/>
        </w:rPr>
      </w:pPr>
      <w:r w:rsidRPr="000907CE">
        <w:rPr>
          <w:sz w:val="20"/>
        </w:rPr>
        <w:t>Total revenue is estimated to decrease by $62.</w:t>
      </w:r>
      <w:r>
        <w:rPr>
          <w:sz w:val="20"/>
        </w:rPr>
        <w:t>1</w:t>
      </w:r>
      <w:r w:rsidRPr="000907CE">
        <w:rPr>
          <w:sz w:val="20"/>
        </w:rPr>
        <w:t xml:space="preserve"> million from $250.0 million in 2023</w:t>
      </w:r>
      <w:r>
        <w:rPr>
          <w:sz w:val="20"/>
        </w:rPr>
        <w:t>–</w:t>
      </w:r>
      <w:r w:rsidRPr="000907CE">
        <w:rPr>
          <w:sz w:val="20"/>
        </w:rPr>
        <w:t>24 to $18</w:t>
      </w:r>
      <w:r>
        <w:rPr>
          <w:sz w:val="20"/>
        </w:rPr>
        <w:t>7.9</w:t>
      </w:r>
      <w:r w:rsidRPr="000907CE">
        <w:rPr>
          <w:sz w:val="20"/>
        </w:rPr>
        <w:t xml:space="preserve"> million in 2024</w:t>
      </w:r>
      <w:r>
        <w:rPr>
          <w:sz w:val="20"/>
        </w:rPr>
        <w:t>–</w:t>
      </w:r>
      <w:r w:rsidRPr="000907CE">
        <w:rPr>
          <w:sz w:val="20"/>
        </w:rPr>
        <w:t>25. The decrease in revenue between financial years is primarily due to a reduction of $66.</w:t>
      </w:r>
      <w:r>
        <w:rPr>
          <w:sz w:val="20"/>
        </w:rPr>
        <w:t>1</w:t>
      </w:r>
      <w:r w:rsidRPr="000907CE">
        <w:rPr>
          <w:sz w:val="20"/>
        </w:rPr>
        <w:t xml:space="preserve"> million in appropriation revenue as a result of the Australian Airline Financial Relief package ceasing in 2023</w:t>
      </w:r>
      <w:r>
        <w:rPr>
          <w:sz w:val="20"/>
        </w:rPr>
        <w:t>–</w:t>
      </w:r>
      <w:r w:rsidRPr="000907CE">
        <w:rPr>
          <w:sz w:val="20"/>
        </w:rPr>
        <w:t xml:space="preserve">24 and a reduction of interest revenue of $1.2 million due to reduction in cash as a result of capital purchases of $23.0 million. This is offset by </w:t>
      </w:r>
      <w:r>
        <w:rPr>
          <w:sz w:val="20"/>
        </w:rPr>
        <w:t xml:space="preserve">an </w:t>
      </w:r>
      <w:r w:rsidRPr="000907CE">
        <w:rPr>
          <w:sz w:val="20"/>
        </w:rPr>
        <w:t>increase in aviation fuel excise of $5.2 million.</w:t>
      </w:r>
    </w:p>
    <w:p w:rsidR="00A73603" w:rsidRPr="000907CE" w:rsidRDefault="00A73603" w:rsidP="00A73603">
      <w:pPr>
        <w:rPr>
          <w:sz w:val="20"/>
        </w:rPr>
      </w:pPr>
      <w:r w:rsidRPr="000907CE">
        <w:rPr>
          <w:sz w:val="20"/>
        </w:rPr>
        <w:t>Total expenses are estimated to decrease in 2024</w:t>
      </w:r>
      <w:r>
        <w:rPr>
          <w:sz w:val="20"/>
        </w:rPr>
        <w:t>–</w:t>
      </w:r>
      <w:r w:rsidRPr="000907CE">
        <w:rPr>
          <w:sz w:val="20"/>
        </w:rPr>
        <w:t>25 by $7.</w:t>
      </w:r>
      <w:r>
        <w:rPr>
          <w:sz w:val="20"/>
        </w:rPr>
        <w:t>4</w:t>
      </w:r>
      <w:r w:rsidRPr="000907CE">
        <w:rPr>
          <w:sz w:val="20"/>
        </w:rPr>
        <w:t xml:space="preserve"> million to $217.</w:t>
      </w:r>
      <w:r>
        <w:rPr>
          <w:sz w:val="20"/>
        </w:rPr>
        <w:t>4</w:t>
      </w:r>
      <w:r w:rsidRPr="000907CE">
        <w:rPr>
          <w:sz w:val="20"/>
        </w:rPr>
        <w:t xml:space="preserve"> million.</w:t>
      </w:r>
    </w:p>
    <w:p w:rsidR="00A73603" w:rsidRPr="000907CE" w:rsidRDefault="00A73603" w:rsidP="00A73603">
      <w:pPr>
        <w:rPr>
          <w:sz w:val="20"/>
        </w:rPr>
      </w:pPr>
      <w:r w:rsidRPr="000907CE">
        <w:rPr>
          <w:sz w:val="20"/>
        </w:rPr>
        <w:t>The main movements in the major expense categories are:</w:t>
      </w:r>
    </w:p>
    <w:p w:rsidR="00A73603" w:rsidRPr="000907CE" w:rsidRDefault="00A73603" w:rsidP="00A73603">
      <w:pPr>
        <w:pStyle w:val="Exampletext"/>
        <w:numPr>
          <w:ilvl w:val="0"/>
          <w:numId w:val="11"/>
        </w:numPr>
        <w:spacing w:before="120" w:after="120" w:line="240" w:lineRule="auto"/>
        <w:ind w:left="357" w:hanging="357"/>
        <w:rPr>
          <w:i w:val="0"/>
          <w:color w:val="auto"/>
          <w:sz w:val="20"/>
        </w:rPr>
      </w:pPr>
      <w:r w:rsidRPr="000907CE">
        <w:rPr>
          <w:i w:val="0"/>
          <w:color w:val="auto"/>
          <w:sz w:val="20"/>
        </w:rPr>
        <w:t>Employee expenses are expected to increase by $5.5 million for 2024</w:t>
      </w:r>
      <w:r>
        <w:rPr>
          <w:i w:val="0"/>
          <w:color w:val="auto"/>
          <w:sz w:val="20"/>
          <w:lang w:val="en-AU"/>
        </w:rPr>
        <w:t>–</w:t>
      </w:r>
      <w:r w:rsidRPr="000907CE">
        <w:rPr>
          <w:i w:val="0"/>
          <w:color w:val="auto"/>
          <w:sz w:val="20"/>
        </w:rPr>
        <w:t>25 predominantly reflecting CASA’s Enterprise Agreement</w:t>
      </w:r>
    </w:p>
    <w:p w:rsidR="00A73603" w:rsidRPr="000907CE" w:rsidRDefault="00A73603" w:rsidP="00A73603">
      <w:pPr>
        <w:pStyle w:val="Exampletext"/>
        <w:numPr>
          <w:ilvl w:val="0"/>
          <w:numId w:val="11"/>
        </w:numPr>
        <w:spacing w:before="120" w:after="120" w:line="240" w:lineRule="auto"/>
        <w:ind w:left="357" w:hanging="357"/>
        <w:rPr>
          <w:i w:val="0"/>
          <w:color w:val="auto"/>
          <w:sz w:val="20"/>
        </w:rPr>
      </w:pPr>
      <w:r w:rsidRPr="000907CE">
        <w:rPr>
          <w:i w:val="0"/>
          <w:color w:val="auto"/>
          <w:sz w:val="20"/>
        </w:rPr>
        <w:lastRenderedPageBreak/>
        <w:t>Depreciation expenses are expected to increase by $2.0 million for 2024</w:t>
      </w:r>
      <w:r>
        <w:rPr>
          <w:i w:val="0"/>
          <w:color w:val="auto"/>
          <w:sz w:val="20"/>
          <w:lang w:val="en-AU"/>
        </w:rPr>
        <w:t>–</w:t>
      </w:r>
      <w:r w:rsidRPr="000907CE">
        <w:rPr>
          <w:i w:val="0"/>
          <w:color w:val="auto"/>
          <w:sz w:val="20"/>
        </w:rPr>
        <w:t>25 reflecting an increase in capital purchases</w:t>
      </w:r>
    </w:p>
    <w:p w:rsidR="00A73603" w:rsidRPr="00A845A9" w:rsidRDefault="00A73603" w:rsidP="00A73603">
      <w:pPr>
        <w:pStyle w:val="Exampletext"/>
        <w:numPr>
          <w:ilvl w:val="0"/>
          <w:numId w:val="11"/>
        </w:numPr>
        <w:spacing w:before="120" w:after="120" w:line="240" w:lineRule="auto"/>
        <w:ind w:left="357" w:hanging="357"/>
        <w:rPr>
          <w:i w:val="0"/>
          <w:color w:val="auto"/>
          <w:sz w:val="20"/>
        </w:rPr>
      </w:pPr>
      <w:r w:rsidRPr="000907CE">
        <w:rPr>
          <w:i w:val="0"/>
          <w:color w:val="auto"/>
          <w:sz w:val="20"/>
        </w:rPr>
        <w:t>Supplier expenses are expected to decrease by $15.</w:t>
      </w:r>
      <w:r>
        <w:rPr>
          <w:i w:val="0"/>
          <w:color w:val="auto"/>
          <w:sz w:val="20"/>
          <w:lang w:val="en-AU"/>
        </w:rPr>
        <w:t>7</w:t>
      </w:r>
      <w:r w:rsidRPr="000907CE">
        <w:rPr>
          <w:i w:val="0"/>
          <w:color w:val="auto"/>
          <w:sz w:val="20"/>
        </w:rPr>
        <w:t xml:space="preserve"> million for 2024</w:t>
      </w:r>
      <w:r>
        <w:rPr>
          <w:i w:val="0"/>
          <w:color w:val="auto"/>
          <w:sz w:val="20"/>
          <w:lang w:val="en-AU"/>
        </w:rPr>
        <w:t>–</w:t>
      </w:r>
      <w:r w:rsidRPr="000907CE">
        <w:rPr>
          <w:i w:val="0"/>
          <w:color w:val="auto"/>
          <w:sz w:val="20"/>
        </w:rPr>
        <w:t>25</w:t>
      </w:r>
    </w:p>
    <w:p w:rsidR="00A73603" w:rsidRPr="00950C7D" w:rsidRDefault="00A73603" w:rsidP="00A73603">
      <w:pPr>
        <w:spacing w:line="240" w:lineRule="auto"/>
        <w:rPr>
          <w:b/>
          <w:bCs/>
          <w:i/>
          <w:sz w:val="20"/>
        </w:rPr>
      </w:pPr>
      <w:r w:rsidRPr="00950C7D">
        <w:rPr>
          <w:b/>
          <w:bCs/>
          <w:sz w:val="20"/>
        </w:rPr>
        <w:t>Budgeted Departmental balance sheet</w:t>
      </w:r>
    </w:p>
    <w:p w:rsidR="00A73603" w:rsidRPr="000907CE" w:rsidRDefault="00A73603" w:rsidP="00A73603">
      <w:pPr>
        <w:rPr>
          <w:sz w:val="20"/>
        </w:rPr>
      </w:pPr>
      <w:r w:rsidRPr="000907CE">
        <w:rPr>
          <w:sz w:val="20"/>
        </w:rPr>
        <w:t>CASA’s net asset (or equity) position for 2024</w:t>
      </w:r>
      <w:r>
        <w:rPr>
          <w:sz w:val="20"/>
        </w:rPr>
        <w:t>–</w:t>
      </w:r>
      <w:r w:rsidRPr="000907CE">
        <w:rPr>
          <w:sz w:val="20"/>
        </w:rPr>
        <w:t xml:space="preserve">25 is forecast to decrease by $29.6 million from </w:t>
      </w:r>
      <w:r>
        <w:rPr>
          <w:sz w:val="20"/>
        </w:rPr>
        <w:t>2023–24</w:t>
      </w:r>
      <w:r w:rsidRPr="000907CE">
        <w:rPr>
          <w:sz w:val="20"/>
        </w:rPr>
        <w:t xml:space="preserve">, representing the anticipated budget deficit of $29.6 million for </w:t>
      </w:r>
      <w:r>
        <w:rPr>
          <w:sz w:val="20"/>
        </w:rPr>
        <w:t>2024–25</w:t>
      </w:r>
      <w:r w:rsidRPr="000907CE">
        <w:rPr>
          <w:sz w:val="20"/>
        </w:rPr>
        <w:t>.</w:t>
      </w:r>
    </w:p>
    <w:p w:rsidR="00A73603" w:rsidRPr="000907CE" w:rsidRDefault="00A73603" w:rsidP="00A73603">
      <w:pPr>
        <w:rPr>
          <w:sz w:val="20"/>
        </w:rPr>
      </w:pPr>
      <w:r w:rsidRPr="000907CE">
        <w:rPr>
          <w:sz w:val="20"/>
        </w:rPr>
        <w:t>Total budgeted assets of $202.8 million in 2024</w:t>
      </w:r>
      <w:r>
        <w:rPr>
          <w:sz w:val="20"/>
        </w:rPr>
        <w:t>–</w:t>
      </w:r>
      <w:r w:rsidRPr="000907CE">
        <w:rPr>
          <w:sz w:val="20"/>
        </w:rPr>
        <w:t>25 represents a decrease of $42.0 million from the estimated 2023</w:t>
      </w:r>
      <w:r>
        <w:rPr>
          <w:sz w:val="20"/>
        </w:rPr>
        <w:t>–</w:t>
      </w:r>
      <w:r w:rsidRPr="000907CE">
        <w:rPr>
          <w:sz w:val="20"/>
        </w:rPr>
        <w:t>24 closing position, primarily due to a net decrease in CASA’s property, plant and equipment and land and buildings nonfinancial assets of $13.8 million primarily due to reduction in land and buildings of $8.4 million and decrease in cash and investments of $23.9 million primarily due to the budget deficit of $29.6 million. CASA’s financial assets are budgeted to further decrease over the forward estimates as a result of the budgeted deficits in the forward years.</w:t>
      </w:r>
    </w:p>
    <w:p w:rsidR="00A73603" w:rsidRPr="000907CE" w:rsidRDefault="00A73603" w:rsidP="00A73603">
      <w:pPr>
        <w:rPr>
          <w:sz w:val="20"/>
        </w:rPr>
      </w:pPr>
      <w:r w:rsidRPr="000907CE">
        <w:rPr>
          <w:sz w:val="20"/>
        </w:rPr>
        <w:t>Total budgeted liabilities of $101.0 million in 2024</w:t>
      </w:r>
      <w:r>
        <w:rPr>
          <w:sz w:val="20"/>
        </w:rPr>
        <w:t>–</w:t>
      </w:r>
      <w:r w:rsidRPr="000907CE">
        <w:rPr>
          <w:sz w:val="20"/>
        </w:rPr>
        <w:t>25 represents a planned decrease of $12.4 million from the estimated 2023</w:t>
      </w:r>
      <w:r>
        <w:rPr>
          <w:sz w:val="20"/>
        </w:rPr>
        <w:t>–</w:t>
      </w:r>
      <w:r w:rsidRPr="000907CE">
        <w:rPr>
          <w:sz w:val="20"/>
        </w:rPr>
        <w:t>24 closing position, primarily driven by a planned decrease in lease liabilities of $7.8 million representing amortisation of lease liabilities. CASA’s primary liability continues to be lease liabilities of $52.9 million and accrued employee leave entitlements of $41.8 million.</w:t>
      </w:r>
    </w:p>
    <w:p w:rsidR="00A73603" w:rsidRPr="0070558E" w:rsidRDefault="00A73603" w:rsidP="00A73603">
      <w:pPr>
        <w:pStyle w:val="Heading3-CASA"/>
        <w:ind w:left="567" w:hanging="567"/>
      </w:pPr>
      <w:r w:rsidRPr="00950C7D">
        <w:br w:type="page"/>
      </w:r>
      <w:bookmarkStart w:id="24" w:name="_Toc165367087"/>
      <w:bookmarkStart w:id="25" w:name="_Toc165838159"/>
      <w:r w:rsidRPr="009B7A4E">
        <w:rPr>
          <w:b w:val="0"/>
        </w:rPr>
        <w:lastRenderedPageBreak/>
        <w:t>3.2</w:t>
      </w:r>
      <w:r w:rsidRPr="009B7A4E">
        <w:rPr>
          <w:b w:val="0"/>
        </w:rPr>
        <w:tab/>
        <w:t>Budgeted financial statements tables</w:t>
      </w:r>
      <w:bookmarkEnd w:id="24"/>
      <w:bookmarkEnd w:id="25"/>
    </w:p>
    <w:p w:rsidR="00A73603" w:rsidRDefault="00A73603" w:rsidP="00A73603">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953931">
        <w:t>for the period ended 30 June</w:t>
      </w:r>
    </w:p>
    <w:tbl>
      <w:tblPr>
        <w:tblW w:w="5000" w:type="pct"/>
        <w:tblLook w:val="04A0" w:firstRow="1" w:lastRow="0" w:firstColumn="1" w:lastColumn="0" w:noHBand="0" w:noVBand="1"/>
      </w:tblPr>
      <w:tblGrid>
        <w:gridCol w:w="3177"/>
        <w:gridCol w:w="928"/>
        <w:gridCol w:w="901"/>
        <w:gridCol w:w="901"/>
        <w:gridCol w:w="901"/>
        <w:gridCol w:w="902"/>
      </w:tblGrid>
      <w:tr w:rsidR="00A73603" w:rsidRPr="00377F76" w:rsidTr="00DD5237">
        <w:trPr>
          <w:trHeight w:val="204"/>
        </w:trPr>
        <w:tc>
          <w:tcPr>
            <w:tcW w:w="2061" w:type="pct"/>
            <w:tcBorders>
              <w:top w:val="single" w:sz="4" w:space="0" w:color="auto"/>
              <w:left w:val="nil"/>
              <w:bottom w:val="nil"/>
              <w:right w:val="nil"/>
            </w:tcBorders>
            <w:shd w:val="clear" w:color="auto" w:fill="auto"/>
            <w:noWrap/>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2023-24</w:t>
            </w:r>
            <w:r>
              <w:rPr>
                <w:rFonts w:ascii="Arial" w:hAnsi="Arial" w:cs="Arial"/>
                <w:sz w:val="16"/>
                <w:szCs w:val="16"/>
              </w:rPr>
              <w:br/>
            </w:r>
            <w:r w:rsidRPr="00377F76">
              <w:rPr>
                <w:rFonts w:ascii="Arial" w:hAnsi="Arial" w:cs="Arial"/>
                <w:sz w:val="16"/>
                <w:szCs w:val="16"/>
              </w:rPr>
              <w:t>Estimated</w:t>
            </w:r>
            <w:r>
              <w:rPr>
                <w:rFonts w:ascii="Arial" w:hAnsi="Arial" w:cs="Arial"/>
                <w:sz w:val="16"/>
                <w:szCs w:val="16"/>
              </w:rPr>
              <w:br/>
            </w:r>
            <w:r w:rsidRPr="00377F76">
              <w:rPr>
                <w:rFonts w:ascii="Arial" w:hAnsi="Arial" w:cs="Arial"/>
                <w:sz w:val="16"/>
                <w:szCs w:val="16"/>
              </w:rPr>
              <w:t>actual</w:t>
            </w:r>
            <w:r w:rsidRPr="00377F7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2024-25</w:t>
            </w:r>
            <w:r w:rsidRPr="00377F76">
              <w:rPr>
                <w:rFonts w:ascii="Arial" w:hAnsi="Arial" w:cs="Arial"/>
                <w:sz w:val="16"/>
                <w:szCs w:val="16"/>
              </w:rPr>
              <w:br/>
              <w:t>Budget</w:t>
            </w:r>
            <w:r w:rsidRPr="00377F76">
              <w:rPr>
                <w:rFonts w:ascii="Arial" w:hAnsi="Arial" w:cs="Arial"/>
                <w:sz w:val="16"/>
                <w:szCs w:val="16"/>
              </w:rPr>
              <w:br/>
            </w:r>
            <w:r w:rsidRPr="00377F7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2025-26</w:t>
            </w:r>
            <w:r>
              <w:rPr>
                <w:rFonts w:ascii="Arial" w:hAnsi="Arial" w:cs="Arial"/>
                <w:sz w:val="16"/>
                <w:szCs w:val="16"/>
              </w:rPr>
              <w:br/>
            </w:r>
            <w:r w:rsidRPr="00377F76">
              <w:rPr>
                <w:rFonts w:ascii="Arial" w:hAnsi="Arial" w:cs="Arial"/>
                <w:sz w:val="16"/>
                <w:szCs w:val="16"/>
              </w:rPr>
              <w:t>Forward</w:t>
            </w:r>
            <w:r>
              <w:rPr>
                <w:rFonts w:ascii="Arial" w:hAnsi="Arial" w:cs="Arial"/>
                <w:sz w:val="16"/>
                <w:szCs w:val="16"/>
              </w:rPr>
              <w:br/>
            </w:r>
            <w:r w:rsidRPr="00377F76">
              <w:rPr>
                <w:rFonts w:ascii="Arial" w:hAnsi="Arial" w:cs="Arial"/>
                <w:sz w:val="16"/>
                <w:szCs w:val="16"/>
              </w:rPr>
              <w:t>estimate</w:t>
            </w:r>
            <w:r w:rsidRPr="00377F7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2026-27</w:t>
            </w:r>
            <w:r>
              <w:rPr>
                <w:rFonts w:ascii="Arial" w:hAnsi="Arial" w:cs="Arial"/>
                <w:sz w:val="16"/>
                <w:szCs w:val="16"/>
              </w:rPr>
              <w:br/>
            </w:r>
            <w:r w:rsidRPr="00377F76">
              <w:rPr>
                <w:rFonts w:ascii="Arial" w:hAnsi="Arial" w:cs="Arial"/>
                <w:sz w:val="16"/>
                <w:szCs w:val="16"/>
              </w:rPr>
              <w:t>Forward</w:t>
            </w:r>
            <w:r>
              <w:rPr>
                <w:rFonts w:ascii="Arial" w:hAnsi="Arial" w:cs="Arial"/>
                <w:sz w:val="16"/>
                <w:szCs w:val="16"/>
              </w:rPr>
              <w:br/>
            </w:r>
            <w:r w:rsidRPr="00377F76">
              <w:rPr>
                <w:rFonts w:ascii="Arial" w:hAnsi="Arial" w:cs="Arial"/>
                <w:sz w:val="16"/>
                <w:szCs w:val="16"/>
              </w:rPr>
              <w:t>estimate</w:t>
            </w:r>
            <w:r w:rsidRPr="00377F7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2027-28</w:t>
            </w:r>
            <w:r w:rsidRPr="00377F76">
              <w:rPr>
                <w:rFonts w:ascii="Arial" w:hAnsi="Arial" w:cs="Arial"/>
                <w:sz w:val="16"/>
                <w:szCs w:val="16"/>
              </w:rPr>
              <w:br/>
              <w:t>Forward</w:t>
            </w:r>
            <w:r>
              <w:rPr>
                <w:rFonts w:ascii="Arial" w:hAnsi="Arial" w:cs="Arial"/>
                <w:sz w:val="16"/>
                <w:szCs w:val="16"/>
              </w:rPr>
              <w:br/>
            </w:r>
            <w:r w:rsidRPr="00377F76">
              <w:rPr>
                <w:rFonts w:ascii="Arial" w:hAnsi="Arial" w:cs="Arial"/>
                <w:sz w:val="16"/>
                <w:szCs w:val="16"/>
              </w:rPr>
              <w:t>estimate</w:t>
            </w:r>
            <w:r w:rsidRPr="00377F76">
              <w:rPr>
                <w:rFonts w:ascii="Arial" w:hAnsi="Arial" w:cs="Arial"/>
                <w:sz w:val="16"/>
                <w:szCs w:val="16"/>
              </w:rPr>
              <w:br/>
              <w:t>$'000</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143,192</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148,675</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155,378</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161,767</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168,210</w:t>
            </w:r>
          </w:p>
        </w:tc>
      </w:tr>
      <w:tr w:rsidR="00A73603" w:rsidRPr="00377F76" w:rsidTr="00DD5237">
        <w:trPr>
          <w:trHeight w:val="204"/>
        </w:trPr>
        <w:tc>
          <w:tcPr>
            <w:tcW w:w="2061" w:type="pct"/>
            <w:tcBorders>
              <w:top w:val="nil"/>
              <w:left w:val="nil"/>
              <w:bottom w:val="nil"/>
              <w:right w:val="nil"/>
            </w:tcBorders>
            <w:shd w:val="clear" w:color="auto" w:fill="auto"/>
            <w:noWrap/>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59,715</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43,991</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50,531</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51,810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45,493</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20,893</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22,868</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22,500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23,842</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23,045</w:t>
            </w:r>
          </w:p>
        </w:tc>
      </w:tr>
      <w:tr w:rsidR="00A73603" w:rsidRPr="00377F76" w:rsidTr="00DD5237">
        <w:trPr>
          <w:trHeight w:val="204"/>
        </w:trPr>
        <w:tc>
          <w:tcPr>
            <w:tcW w:w="2061" w:type="pct"/>
            <w:tcBorders>
              <w:top w:val="nil"/>
              <w:left w:val="nil"/>
              <w:bottom w:val="nil"/>
              <w:right w:val="nil"/>
            </w:tcBorders>
            <w:shd w:val="clear" w:color="auto" w:fill="auto"/>
            <w:noWrap/>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1,006</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1,904</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1,767</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1,614</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1,453</w:t>
            </w:r>
          </w:p>
        </w:tc>
      </w:tr>
      <w:tr w:rsidR="00A73603" w:rsidRPr="00377F76" w:rsidTr="00DD5237">
        <w:trPr>
          <w:trHeight w:val="204"/>
        </w:trPr>
        <w:tc>
          <w:tcPr>
            <w:tcW w:w="2061" w:type="pct"/>
            <w:tcBorders>
              <w:top w:val="nil"/>
              <w:left w:val="nil"/>
              <w:bottom w:val="nil"/>
              <w:right w:val="nil"/>
            </w:tcBorders>
            <w:shd w:val="clear" w:color="auto" w:fill="auto"/>
            <w:noWrap/>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224,806</w:t>
            </w:r>
          </w:p>
        </w:tc>
        <w:tc>
          <w:tcPr>
            <w:tcW w:w="584" w:type="pct"/>
            <w:tcBorders>
              <w:top w:val="single" w:sz="4" w:space="0" w:color="auto"/>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217,438</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230,176</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239,033</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238,201</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Times New Roman" w:hAnsi="Times New Roman"/>
                <w:sz w:val="20"/>
              </w:rPr>
            </w:pPr>
          </w:p>
        </w:tc>
      </w:tr>
      <w:tr w:rsidR="00A73603" w:rsidRPr="00377F76" w:rsidTr="00DD5237">
        <w:trPr>
          <w:trHeight w:val="204"/>
        </w:trPr>
        <w:tc>
          <w:tcPr>
            <w:tcW w:w="2061" w:type="pct"/>
            <w:tcBorders>
              <w:top w:val="nil"/>
              <w:left w:val="nil"/>
              <w:bottom w:val="nil"/>
              <w:right w:val="nil"/>
            </w:tcBorders>
            <w:shd w:val="clear" w:color="auto" w:fill="auto"/>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12,500</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12,500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12,500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12,500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12,500</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5,055</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3,880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2,470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1,240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170</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1,000</w:t>
            </w:r>
          </w:p>
        </w:tc>
        <w:tc>
          <w:tcPr>
            <w:tcW w:w="584" w:type="pct"/>
            <w:tcBorders>
              <w:top w:val="nil"/>
              <w:left w:val="nil"/>
              <w:bottom w:val="nil"/>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1,000</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18,555</w:t>
            </w:r>
          </w:p>
        </w:tc>
        <w:tc>
          <w:tcPr>
            <w:tcW w:w="584" w:type="pct"/>
            <w:tcBorders>
              <w:top w:val="single" w:sz="4" w:space="0" w:color="auto"/>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17,380</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15,970</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14,740</w:t>
            </w:r>
          </w:p>
        </w:tc>
        <w:tc>
          <w:tcPr>
            <w:tcW w:w="584" w:type="pct"/>
            <w:tcBorders>
              <w:top w:val="single" w:sz="4" w:space="0" w:color="auto"/>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13,670</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18,555</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17,380</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15,970</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14,740</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13,670</w:t>
            </w:r>
          </w:p>
        </w:tc>
      </w:tr>
      <w:tr w:rsidR="00A73603" w:rsidRPr="00377F76" w:rsidTr="00DD5237">
        <w:trPr>
          <w:trHeight w:val="204"/>
        </w:trPr>
        <w:tc>
          <w:tcPr>
            <w:tcW w:w="2061" w:type="pct"/>
            <w:tcBorders>
              <w:top w:val="nil"/>
              <w:left w:val="nil"/>
              <w:bottom w:val="nil"/>
              <w:right w:val="nil"/>
            </w:tcBorders>
            <w:shd w:val="clear" w:color="auto" w:fill="auto"/>
            <w:vAlign w:val="center"/>
            <w:hideMark/>
          </w:tcPr>
          <w:p w:rsidR="00A73603" w:rsidRPr="00377F76" w:rsidRDefault="00A73603" w:rsidP="00DD5237">
            <w:pPr>
              <w:spacing w:before="0" w:after="0" w:line="240" w:lineRule="auto"/>
              <w:rPr>
                <w:rFonts w:ascii="Arial" w:hAnsi="Arial" w:cs="Arial"/>
                <w:b/>
                <w:bCs/>
                <w:color w:val="000000"/>
                <w:sz w:val="16"/>
                <w:szCs w:val="16"/>
              </w:rPr>
            </w:pPr>
            <w:r w:rsidRPr="00377F76">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(206,251)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(200,058)</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(214,206)</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(224,293)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(224,531)</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ind w:left="113"/>
              <w:rPr>
                <w:rFonts w:ascii="Arial" w:hAnsi="Arial" w:cs="Arial"/>
                <w:sz w:val="16"/>
                <w:szCs w:val="16"/>
              </w:rPr>
            </w:pPr>
            <w:r w:rsidRPr="00377F76">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sz w:val="16"/>
                <w:szCs w:val="16"/>
              </w:rPr>
            </w:pPr>
            <w:r w:rsidRPr="00377F76">
              <w:rPr>
                <w:rFonts w:ascii="Arial" w:hAnsi="Arial" w:cs="Arial"/>
                <w:sz w:val="16"/>
                <w:szCs w:val="16"/>
              </w:rPr>
              <w:t>231,402</w:t>
            </w:r>
          </w:p>
        </w:tc>
        <w:tc>
          <w:tcPr>
            <w:tcW w:w="584" w:type="pct"/>
            <w:tcBorders>
              <w:top w:val="nil"/>
              <w:left w:val="nil"/>
              <w:bottom w:val="single" w:sz="4" w:space="0" w:color="auto"/>
              <w:right w:val="nil"/>
            </w:tcBorders>
            <w:shd w:val="clear" w:color="000000" w:fill="E6E6E6"/>
            <w:noWrap/>
            <w:vAlign w:val="bottom"/>
            <w:hideMark/>
          </w:tcPr>
          <w:p w:rsidR="00A73603" w:rsidRPr="007D6733" w:rsidRDefault="00A73603" w:rsidP="00DD5237">
            <w:pPr>
              <w:spacing w:before="0" w:after="0" w:line="240" w:lineRule="auto"/>
              <w:jc w:val="right"/>
              <w:rPr>
                <w:rFonts w:ascii="Arial" w:hAnsi="Arial" w:cs="Arial"/>
                <w:bCs/>
                <w:sz w:val="16"/>
                <w:szCs w:val="16"/>
              </w:rPr>
            </w:pPr>
            <w:r w:rsidRPr="007D6733">
              <w:rPr>
                <w:rFonts w:ascii="Arial" w:hAnsi="Arial" w:cs="Arial"/>
                <w:bCs/>
                <w:sz w:val="16"/>
                <w:szCs w:val="16"/>
              </w:rPr>
              <w:t>170,494</w:t>
            </w:r>
          </w:p>
        </w:tc>
        <w:tc>
          <w:tcPr>
            <w:tcW w:w="584" w:type="pct"/>
            <w:tcBorders>
              <w:top w:val="nil"/>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Cs/>
                <w:sz w:val="16"/>
                <w:szCs w:val="16"/>
              </w:rPr>
            </w:pPr>
            <w:r w:rsidRPr="007D6733">
              <w:rPr>
                <w:rFonts w:ascii="Arial" w:hAnsi="Arial" w:cs="Arial"/>
                <w:bCs/>
                <w:sz w:val="16"/>
                <w:szCs w:val="16"/>
              </w:rPr>
              <w:t>199,497</w:t>
            </w:r>
          </w:p>
        </w:tc>
        <w:tc>
          <w:tcPr>
            <w:tcW w:w="584" w:type="pct"/>
            <w:tcBorders>
              <w:top w:val="nil"/>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Cs/>
                <w:sz w:val="16"/>
                <w:szCs w:val="16"/>
              </w:rPr>
            </w:pPr>
            <w:r w:rsidRPr="007D6733">
              <w:rPr>
                <w:rFonts w:ascii="Arial" w:hAnsi="Arial" w:cs="Arial"/>
                <w:bCs/>
                <w:sz w:val="16"/>
                <w:szCs w:val="16"/>
              </w:rPr>
              <w:t>203,830</w:t>
            </w:r>
          </w:p>
        </w:tc>
        <w:tc>
          <w:tcPr>
            <w:tcW w:w="584" w:type="pct"/>
            <w:tcBorders>
              <w:top w:val="nil"/>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Cs/>
                <w:sz w:val="16"/>
                <w:szCs w:val="16"/>
              </w:rPr>
            </w:pPr>
            <w:r w:rsidRPr="007D6733">
              <w:rPr>
                <w:rFonts w:ascii="Arial" w:hAnsi="Arial" w:cs="Arial"/>
                <w:bCs/>
                <w:sz w:val="16"/>
                <w:szCs w:val="16"/>
              </w:rPr>
              <w:t>207,868</w:t>
            </w:r>
          </w:p>
        </w:tc>
      </w:tr>
      <w:tr w:rsidR="00A73603" w:rsidRPr="00377F76" w:rsidTr="00DD5237">
        <w:trPr>
          <w:trHeight w:val="204"/>
        </w:trPr>
        <w:tc>
          <w:tcPr>
            <w:tcW w:w="2061" w:type="pct"/>
            <w:tcBorders>
              <w:top w:val="nil"/>
              <w:left w:val="nil"/>
              <w:bottom w:val="nil"/>
              <w:right w:val="nil"/>
            </w:tcBorders>
            <w:shd w:val="clear" w:color="auto" w:fill="auto"/>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25,151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(29,564)</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(16,663)</w:t>
            </w:r>
          </w:p>
        </w:tc>
      </w:tr>
      <w:tr w:rsidR="00A73603" w:rsidRPr="00377F76" w:rsidTr="00DD5237">
        <w:trPr>
          <w:trHeight w:val="204"/>
        </w:trPr>
        <w:tc>
          <w:tcPr>
            <w:tcW w:w="2061" w:type="pct"/>
            <w:tcBorders>
              <w:top w:val="nil"/>
              <w:left w:val="nil"/>
              <w:bottom w:val="nil"/>
              <w:right w:val="nil"/>
            </w:tcBorders>
            <w:shd w:val="clear" w:color="auto" w:fill="auto"/>
            <w:noWrap/>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comprehensive income/(loss)</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25,151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(29,564)</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(16,663)</w:t>
            </w:r>
          </w:p>
        </w:tc>
      </w:tr>
      <w:tr w:rsidR="00A73603" w:rsidRPr="00377F76" w:rsidTr="00DD5237">
        <w:trPr>
          <w:trHeight w:val="204"/>
        </w:trPr>
        <w:tc>
          <w:tcPr>
            <w:tcW w:w="2061" w:type="pct"/>
            <w:tcBorders>
              <w:top w:val="nil"/>
              <w:left w:val="nil"/>
              <w:bottom w:val="single" w:sz="4" w:space="0" w:color="auto"/>
              <w:right w:val="nil"/>
            </w:tcBorders>
            <w:shd w:val="clear" w:color="auto" w:fill="auto"/>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25,151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(29,564)</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(16,663)</w:t>
            </w:r>
          </w:p>
        </w:tc>
      </w:tr>
      <w:tr w:rsidR="00A73603" w:rsidRPr="00377F76" w:rsidTr="00DD5237">
        <w:trPr>
          <w:trHeight w:val="204"/>
        </w:trPr>
        <w:tc>
          <w:tcPr>
            <w:tcW w:w="5000" w:type="pct"/>
            <w:gridSpan w:val="6"/>
            <w:tcBorders>
              <w:top w:val="nil"/>
              <w:left w:val="nil"/>
              <w:bottom w:val="single" w:sz="4" w:space="0" w:color="auto"/>
              <w:right w:val="nil"/>
            </w:tcBorders>
            <w:shd w:val="clear" w:color="auto" w:fill="auto"/>
            <w:vAlign w:val="center"/>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Note: Impact of net cash appropriation arrangements</w:t>
            </w:r>
          </w:p>
        </w:tc>
      </w:tr>
      <w:tr w:rsidR="00A73603" w:rsidRPr="00377F76" w:rsidTr="00DD5237">
        <w:trPr>
          <w:trHeight w:val="204"/>
        </w:trPr>
        <w:tc>
          <w:tcPr>
            <w:tcW w:w="2061" w:type="pct"/>
            <w:tcBorders>
              <w:top w:val="nil"/>
              <w:left w:val="nil"/>
              <w:right w:val="nil"/>
            </w:tcBorders>
            <w:shd w:val="clear" w:color="auto" w:fill="auto"/>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Total comprehensive income/(loss) - as per statement of Comprehensive Income</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25,151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(29,564)</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(16,663)</w:t>
            </w:r>
          </w:p>
        </w:tc>
      </w:tr>
      <w:tr w:rsidR="00A73603" w:rsidRPr="00377F76" w:rsidTr="00DD5237">
        <w:trPr>
          <w:trHeight w:val="204"/>
        </w:trPr>
        <w:tc>
          <w:tcPr>
            <w:tcW w:w="2061" w:type="pct"/>
            <w:tcBorders>
              <w:left w:val="nil"/>
              <w:bottom w:val="single" w:sz="4" w:space="0" w:color="auto"/>
              <w:right w:val="nil"/>
            </w:tcBorders>
            <w:shd w:val="clear" w:color="auto" w:fill="auto"/>
            <w:vAlign w:val="bottom"/>
            <w:hideMark/>
          </w:tcPr>
          <w:p w:rsidR="00A73603" w:rsidRPr="00377F76" w:rsidRDefault="00A73603" w:rsidP="00DD5237">
            <w:pPr>
              <w:spacing w:before="0" w:after="0" w:line="240" w:lineRule="auto"/>
              <w:rPr>
                <w:rFonts w:ascii="Arial" w:hAnsi="Arial" w:cs="Arial"/>
                <w:b/>
                <w:bCs/>
                <w:sz w:val="16"/>
                <w:szCs w:val="16"/>
              </w:rPr>
            </w:pPr>
            <w:r w:rsidRPr="00377F76">
              <w:rPr>
                <w:rFonts w:ascii="Arial" w:hAnsi="Arial" w:cs="Arial"/>
                <w:b/>
                <w:bCs/>
                <w:sz w:val="16"/>
                <w:szCs w:val="16"/>
              </w:rPr>
              <w:t>Net Cash Operating Surplus/ (Deficit)</w:t>
            </w:r>
          </w:p>
        </w:tc>
        <w:tc>
          <w:tcPr>
            <w:tcW w:w="602"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25,151</w:t>
            </w:r>
          </w:p>
        </w:tc>
        <w:tc>
          <w:tcPr>
            <w:tcW w:w="584" w:type="pct"/>
            <w:tcBorders>
              <w:top w:val="nil"/>
              <w:left w:val="nil"/>
              <w:bottom w:val="single" w:sz="4" w:space="0" w:color="auto"/>
              <w:right w:val="nil"/>
            </w:tcBorders>
            <w:shd w:val="clear" w:color="000000" w:fill="E6E6E6"/>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(29,564)</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rsidR="00A73603" w:rsidRPr="00377F76" w:rsidRDefault="00A73603" w:rsidP="00DD5237">
            <w:pPr>
              <w:spacing w:before="0" w:after="0" w:line="240" w:lineRule="auto"/>
              <w:jc w:val="right"/>
              <w:rPr>
                <w:rFonts w:ascii="Arial" w:hAnsi="Arial" w:cs="Arial"/>
                <w:b/>
                <w:bCs/>
                <w:sz w:val="16"/>
                <w:szCs w:val="16"/>
              </w:rPr>
            </w:pPr>
            <w:r w:rsidRPr="00377F76">
              <w:rPr>
                <w:rFonts w:ascii="Arial" w:hAnsi="Arial" w:cs="Arial"/>
                <w:b/>
                <w:bCs/>
                <w:sz w:val="16"/>
                <w:szCs w:val="16"/>
              </w:rPr>
              <w:t>(16,663)</w:t>
            </w:r>
          </w:p>
        </w:tc>
      </w:tr>
    </w:tbl>
    <w:p w:rsidR="00A73603" w:rsidRDefault="00A73603" w:rsidP="00A73603">
      <w:pPr>
        <w:pStyle w:val="Source"/>
        <w:spacing w:after="0"/>
      </w:pPr>
      <w:r>
        <w:t>Prepared on Australian Accounting Standards basis.</w:t>
      </w:r>
    </w:p>
    <w:p w:rsidR="00A73603" w:rsidRDefault="00A73603" w:rsidP="00A73603">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295"/>
        <w:gridCol w:w="928"/>
        <w:gridCol w:w="871"/>
        <w:gridCol w:w="872"/>
        <w:gridCol w:w="872"/>
        <w:gridCol w:w="872"/>
      </w:tblGrid>
      <w:tr w:rsidR="00A73603" w:rsidRPr="00EE52CE" w:rsidTr="00DD5237">
        <w:trPr>
          <w:trHeight w:val="204"/>
        </w:trPr>
        <w:tc>
          <w:tcPr>
            <w:tcW w:w="2137" w:type="pct"/>
            <w:tcBorders>
              <w:top w:val="single" w:sz="4" w:space="0" w:color="auto"/>
              <w:left w:val="nil"/>
              <w:bottom w:val="nil"/>
              <w:right w:val="nil"/>
            </w:tcBorders>
            <w:shd w:val="clear" w:color="auto" w:fill="auto"/>
            <w:noWrap/>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2023-24</w:t>
            </w:r>
            <w:r>
              <w:rPr>
                <w:rFonts w:ascii="Arial" w:hAnsi="Arial" w:cs="Arial"/>
                <w:sz w:val="16"/>
                <w:szCs w:val="16"/>
              </w:rPr>
              <w:br/>
            </w:r>
            <w:r w:rsidRPr="00EE52CE">
              <w:rPr>
                <w:rFonts w:ascii="Arial" w:hAnsi="Arial" w:cs="Arial"/>
                <w:sz w:val="16"/>
                <w:szCs w:val="16"/>
              </w:rPr>
              <w:t>Estimated</w:t>
            </w:r>
            <w:r>
              <w:rPr>
                <w:rFonts w:ascii="Arial" w:hAnsi="Arial" w:cs="Arial"/>
                <w:sz w:val="16"/>
                <w:szCs w:val="16"/>
              </w:rPr>
              <w:br/>
            </w:r>
            <w:r w:rsidRPr="00EE52CE">
              <w:rPr>
                <w:rFonts w:ascii="Arial" w:hAnsi="Arial" w:cs="Arial"/>
                <w:sz w:val="16"/>
                <w:szCs w:val="16"/>
              </w:rPr>
              <w:t>actual</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2024-25</w:t>
            </w:r>
            <w:r w:rsidRPr="00EE52CE">
              <w:rPr>
                <w:rFonts w:ascii="Arial" w:hAnsi="Arial" w:cs="Arial"/>
                <w:sz w:val="16"/>
                <w:szCs w:val="16"/>
              </w:rPr>
              <w:br/>
              <w:t>Budget</w:t>
            </w:r>
            <w:r w:rsidRPr="00EE52CE">
              <w:rPr>
                <w:rFonts w:ascii="Arial" w:hAnsi="Arial" w:cs="Arial"/>
                <w:sz w:val="16"/>
                <w:szCs w:val="16"/>
              </w:rPr>
              <w:br/>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2025-26</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2026-27</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2027-28</w:t>
            </w:r>
            <w:r w:rsidRPr="00EE52CE">
              <w:rPr>
                <w:rFonts w:ascii="Arial" w:hAnsi="Arial" w:cs="Arial"/>
                <w:sz w:val="16"/>
                <w:szCs w:val="16"/>
              </w:rPr>
              <w:b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ASSETS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Financial assets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EE52CE">
              <w:rPr>
                <w:rFonts w:ascii="Arial" w:hAnsi="Arial" w:cs="Arial"/>
                <w:color w:val="000000"/>
                <w:sz w:val="16"/>
                <w:szCs w:val="16"/>
              </w:rPr>
              <w:t xml:space="preserve">Cash </w:t>
            </w:r>
            <w:r w:rsidRPr="00EE52CE">
              <w:rPr>
                <w:rFonts w:ascii="Arial" w:hAnsi="Arial" w:cs="Arial"/>
                <w:sz w:val="16"/>
                <w:szCs w:val="16"/>
              </w:rPr>
              <w:t>and cash equivalents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10,000</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sz w:val="16"/>
                <w:szCs w:val="16"/>
              </w:rPr>
            </w:pPr>
            <w:r w:rsidRPr="00C4645D">
              <w:rPr>
                <w:rFonts w:ascii="Arial" w:hAnsi="Arial" w:cs="Arial"/>
                <w:sz w:val="16"/>
                <w:szCs w:val="16"/>
              </w:rPr>
              <w:t>Trade</w:t>
            </w:r>
            <w:r w:rsidRPr="00EE52CE">
              <w:rPr>
                <w:rFonts w:ascii="Arial" w:hAnsi="Arial" w:cs="Arial"/>
                <w:sz w:val="16"/>
                <w:szCs w:val="16"/>
              </w:rPr>
              <w:t xml:space="preserve"> and other receivables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4,887</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1,618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2,026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2,385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3,025</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investments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107,706</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83,766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70,571</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59,966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49,789</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financial assets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1,538</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1,246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896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591</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325</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financial assets</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124,131</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96,630</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83,493</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72,942</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63,139</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Non-financial assets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Land</w:t>
            </w:r>
            <w:r w:rsidRPr="00EE52CE">
              <w:rPr>
                <w:rFonts w:ascii="Arial" w:hAnsi="Arial" w:cs="Arial"/>
                <w:color w:val="000000"/>
                <w:sz w:val="16"/>
                <w:szCs w:val="16"/>
              </w:rPr>
              <w:t xml:space="preserve"> and buildings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58,770</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50,434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42,863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35,613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28,952</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Property</w:t>
            </w:r>
            <w:r w:rsidRPr="00EE52CE">
              <w:rPr>
                <w:rFonts w:ascii="Arial" w:hAnsi="Arial" w:cs="Arial"/>
                <w:color w:val="000000"/>
                <w:sz w:val="16"/>
                <w:szCs w:val="16"/>
              </w:rPr>
              <w:t>, plant and equipment</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19,241</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18,176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20,672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17,998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17,348</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Intangibles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39,793</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35,392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32,358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25,563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19,460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non-financial assets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2,841</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2,146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2,446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2,500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2,196</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non-financial assets</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120,645</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106,148</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98,339</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81,674</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67,956</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assets</w:t>
            </w:r>
          </w:p>
        </w:tc>
        <w:tc>
          <w:tcPr>
            <w:tcW w:w="597"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244,776</w:t>
            </w:r>
          </w:p>
        </w:tc>
        <w:tc>
          <w:tcPr>
            <w:tcW w:w="566" w:type="pct"/>
            <w:tcBorders>
              <w:top w:val="nil"/>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202,778</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181,832</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154,616</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131,095</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LIABILITIES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Payables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Suppliers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6,327</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4,782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5,449</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5,567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4,892</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payables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4,973</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1,476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1,920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2,399</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3,367</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payables</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11,300</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6,258</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7,369</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7,966</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8,259</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Interest bearing liabilities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Leases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60,595</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52,847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44,803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36,728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28,822</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interest bearing liabilities</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60,595</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52,847</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44,803</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36,728</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28,822</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Provisions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Employee</w:t>
            </w:r>
            <w:r w:rsidRPr="00EE52CE">
              <w:rPr>
                <w:rFonts w:ascii="Arial" w:hAnsi="Arial" w:cs="Arial"/>
                <w:color w:val="000000"/>
                <w:sz w:val="16"/>
                <w:szCs w:val="16"/>
              </w:rPr>
              <w:t xml:space="preserve"> provisions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41,438</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41,794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42,490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43,215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43,970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provisions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47</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provisions</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41,485</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41,841</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42,537</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43,262</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44,017</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liabilities</w:t>
            </w:r>
          </w:p>
        </w:tc>
        <w:tc>
          <w:tcPr>
            <w:tcW w:w="597"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113,380</w:t>
            </w:r>
          </w:p>
        </w:tc>
        <w:tc>
          <w:tcPr>
            <w:tcW w:w="566" w:type="pct"/>
            <w:tcBorders>
              <w:top w:val="nil"/>
              <w:left w:val="nil"/>
              <w:bottom w:val="single" w:sz="4" w:space="0" w:color="auto"/>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100,946</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94,709</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87,956</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81,098</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Net assets</w:t>
            </w:r>
          </w:p>
        </w:tc>
        <w:tc>
          <w:tcPr>
            <w:tcW w:w="597"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131,396</w:t>
            </w:r>
          </w:p>
        </w:tc>
        <w:tc>
          <w:tcPr>
            <w:tcW w:w="566" w:type="pct"/>
            <w:tcBorders>
              <w:top w:val="nil"/>
              <w:left w:val="nil"/>
              <w:bottom w:val="single" w:sz="4" w:space="0" w:color="auto"/>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101,832</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87,123</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66,660</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49,997</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EQUITY</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Parent entity interest</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Contributed</w:t>
            </w:r>
            <w:r w:rsidRPr="00EE52CE">
              <w:rPr>
                <w:rFonts w:ascii="Arial" w:hAnsi="Arial" w:cs="Arial"/>
                <w:color w:val="000000"/>
                <w:sz w:val="16"/>
                <w:szCs w:val="16"/>
              </w:rPr>
              <w:t xml:space="preserve"> equity</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Reserves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Retained</w:t>
            </w:r>
            <w:r w:rsidRPr="00EE52CE">
              <w:rPr>
                <w:rFonts w:ascii="Arial" w:hAnsi="Arial" w:cs="Arial"/>
                <w:color w:val="000000"/>
                <w:sz w:val="16"/>
                <w:szCs w:val="16"/>
              </w:rPr>
              <w:t xml:space="preserve"> surplus (accumulated deficit)</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117,479</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87,915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73,206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52,743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36,080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parent entity interest</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131,396</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101,832</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87,123</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66,660</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49,997</w:t>
            </w:r>
          </w:p>
        </w:tc>
      </w:tr>
      <w:tr w:rsidR="00A73603" w:rsidRPr="00EE52CE" w:rsidTr="00DD5237">
        <w:trPr>
          <w:trHeight w:val="204"/>
        </w:trPr>
        <w:tc>
          <w:tcPr>
            <w:tcW w:w="2137" w:type="pct"/>
            <w:tcBorders>
              <w:top w:val="nil"/>
              <w:left w:val="nil"/>
              <w:bottom w:val="single" w:sz="4" w:space="0" w:color="000000"/>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equity</w:t>
            </w:r>
          </w:p>
        </w:tc>
        <w:tc>
          <w:tcPr>
            <w:tcW w:w="597"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131,396</w:t>
            </w:r>
          </w:p>
        </w:tc>
        <w:tc>
          <w:tcPr>
            <w:tcW w:w="566" w:type="pct"/>
            <w:tcBorders>
              <w:top w:val="nil"/>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101,832</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87,123</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66,660</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49,997</w:t>
            </w:r>
          </w:p>
        </w:tc>
      </w:tr>
    </w:tbl>
    <w:p w:rsidR="00A73603" w:rsidRDefault="00A73603" w:rsidP="00A73603">
      <w:pPr>
        <w:pStyle w:val="ChartandTableFootnote"/>
        <w:spacing w:before="0"/>
      </w:pPr>
      <w:r w:rsidRPr="00132F9E">
        <w:t xml:space="preserve">Prepared on </w:t>
      </w:r>
      <w:r w:rsidRPr="001B512C">
        <w:t>Australian</w:t>
      </w:r>
      <w:r w:rsidRPr="00132F9E">
        <w:t xml:space="preserve"> Accounting Standards basis.</w:t>
      </w:r>
    </w:p>
    <w:p w:rsidR="00A73603" w:rsidRPr="00F169BA" w:rsidRDefault="00A73603" w:rsidP="00A73603">
      <w:pPr>
        <w:spacing w:before="0" w:after="0" w:line="240" w:lineRule="auto"/>
        <w:rPr>
          <w:rFonts w:ascii="Arial" w:hAnsi="Arial"/>
          <w:color w:val="000000"/>
          <w:sz w:val="16"/>
        </w:rPr>
      </w:pPr>
      <w:r>
        <w:br w:type="page"/>
      </w:r>
    </w:p>
    <w:p w:rsidR="00A73603" w:rsidRDefault="00A73603" w:rsidP="00A73603">
      <w:pPr>
        <w:pStyle w:val="TableHeading"/>
        <w:rPr>
          <w:b w:val="0"/>
        </w:rPr>
      </w:pP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59"/>
        <w:gridCol w:w="1030"/>
        <w:gridCol w:w="1030"/>
        <w:gridCol w:w="1061"/>
        <w:gridCol w:w="1030"/>
      </w:tblGrid>
      <w:tr w:rsidR="00A73603" w:rsidRPr="00DB111E" w:rsidTr="00DD5237">
        <w:trPr>
          <w:trHeight w:val="204"/>
        </w:trPr>
        <w:tc>
          <w:tcPr>
            <w:tcW w:w="2308" w:type="pct"/>
            <w:tcBorders>
              <w:top w:val="single" w:sz="4" w:space="0" w:color="auto"/>
              <w:left w:val="nil"/>
              <w:bottom w:val="nil"/>
              <w:right w:val="nil"/>
            </w:tcBorders>
            <w:shd w:val="clear" w:color="auto" w:fill="auto"/>
            <w:noWrap/>
            <w:vAlign w:val="center"/>
            <w:hideMark/>
          </w:tcPr>
          <w:p w:rsidR="00A73603" w:rsidRPr="00DB111E" w:rsidRDefault="00A73603" w:rsidP="00DD5237">
            <w:pPr>
              <w:spacing w:before="0" w:after="0" w:line="240" w:lineRule="auto"/>
              <w:rPr>
                <w:rFonts w:ascii="Times New Roman" w:hAnsi="Times New Roman"/>
                <w:sz w:val="20"/>
                <w:szCs w:val="24"/>
              </w:rPr>
            </w:pPr>
          </w:p>
        </w:tc>
        <w:tc>
          <w:tcPr>
            <w:tcW w:w="668" w:type="pct"/>
            <w:tcBorders>
              <w:top w:val="single" w:sz="4" w:space="0" w:color="auto"/>
              <w:left w:val="nil"/>
              <w:bottom w:val="single" w:sz="4" w:space="0" w:color="auto"/>
              <w:right w:val="nil"/>
            </w:tcBorders>
            <w:shd w:val="clear" w:color="auto" w:fill="auto"/>
            <w:vAlign w:val="bottom"/>
            <w:hideMark/>
          </w:tcPr>
          <w:p w:rsidR="00A73603" w:rsidRPr="00DB111E" w:rsidRDefault="00A73603" w:rsidP="00DD5237">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Retained</w:t>
            </w:r>
            <w:r w:rsidRPr="00DB111E">
              <w:rPr>
                <w:rFonts w:ascii="Arial" w:hAnsi="Arial" w:cs="Arial"/>
                <w:bCs/>
                <w:color w:val="000000"/>
                <w:sz w:val="16"/>
                <w:szCs w:val="16"/>
              </w:rPr>
              <w:br/>
              <w:t>earnings</w:t>
            </w:r>
            <w:r w:rsidRPr="00DB111E">
              <w:rPr>
                <w:rFonts w:ascii="Arial" w:hAnsi="Arial" w:cs="Arial"/>
                <w:bCs/>
                <w:color w:val="000000"/>
                <w:sz w:val="16"/>
                <w:szCs w:val="16"/>
              </w:rPr>
              <w:br/>
            </w:r>
            <w:r w:rsidRPr="00DB111E">
              <w:rPr>
                <w:rFonts w:ascii="Arial" w:hAnsi="Arial" w:cs="Arial"/>
                <w:bCs/>
                <w:color w:val="000000"/>
                <w:sz w:val="16"/>
                <w:szCs w:val="16"/>
              </w:rPr>
              <w:br/>
              <w:t>$’000</w:t>
            </w:r>
          </w:p>
        </w:tc>
        <w:tc>
          <w:tcPr>
            <w:tcW w:w="668" w:type="pct"/>
            <w:tcBorders>
              <w:top w:val="single" w:sz="4" w:space="0" w:color="auto"/>
              <w:left w:val="nil"/>
              <w:bottom w:val="single" w:sz="4" w:space="0" w:color="auto"/>
              <w:right w:val="nil"/>
            </w:tcBorders>
            <w:shd w:val="clear" w:color="auto" w:fill="auto"/>
            <w:vAlign w:val="bottom"/>
            <w:hideMark/>
          </w:tcPr>
          <w:p w:rsidR="00A73603" w:rsidRPr="00DB111E" w:rsidRDefault="00A73603" w:rsidP="00DD5237">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Asset</w:t>
            </w:r>
            <w:r w:rsidRPr="00DB111E">
              <w:rPr>
                <w:rFonts w:ascii="Arial" w:hAnsi="Arial" w:cs="Arial"/>
                <w:bCs/>
                <w:color w:val="000000"/>
                <w:sz w:val="16"/>
                <w:szCs w:val="16"/>
              </w:rPr>
              <w:br/>
              <w:t>revaluation</w:t>
            </w:r>
            <w:r w:rsidRPr="00DB111E">
              <w:rPr>
                <w:rFonts w:ascii="Arial" w:hAnsi="Arial" w:cs="Arial"/>
                <w:bCs/>
                <w:color w:val="000000"/>
                <w:sz w:val="16"/>
                <w:szCs w:val="16"/>
              </w:rPr>
              <w:br/>
              <w:t>reserve</w:t>
            </w:r>
            <w:r w:rsidRPr="00DB111E">
              <w:rPr>
                <w:rFonts w:ascii="Arial" w:hAnsi="Arial" w:cs="Arial"/>
                <w:bCs/>
                <w:color w:val="000000"/>
                <w:sz w:val="16"/>
                <w:szCs w:val="16"/>
              </w:rPr>
              <w:br/>
              <w:t>$’000</w:t>
            </w:r>
          </w:p>
        </w:tc>
        <w:tc>
          <w:tcPr>
            <w:tcW w:w="688" w:type="pct"/>
            <w:tcBorders>
              <w:top w:val="single" w:sz="4" w:space="0" w:color="auto"/>
              <w:left w:val="nil"/>
              <w:bottom w:val="single" w:sz="4" w:space="0" w:color="auto"/>
              <w:right w:val="nil"/>
            </w:tcBorders>
            <w:shd w:val="clear" w:color="auto" w:fill="auto"/>
            <w:vAlign w:val="bottom"/>
            <w:hideMark/>
          </w:tcPr>
          <w:p w:rsidR="00A73603" w:rsidRPr="00DB111E" w:rsidRDefault="00A73603" w:rsidP="00DD5237">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Contributed</w:t>
            </w:r>
            <w:r w:rsidRPr="00DB111E">
              <w:rPr>
                <w:rFonts w:ascii="Arial" w:hAnsi="Arial" w:cs="Arial"/>
                <w:bCs/>
                <w:color w:val="000000"/>
                <w:sz w:val="16"/>
                <w:szCs w:val="16"/>
              </w:rPr>
              <w:br/>
              <w:t>equity/</w:t>
            </w:r>
            <w:r w:rsidRPr="00DB111E">
              <w:rPr>
                <w:rFonts w:ascii="Arial" w:hAnsi="Arial" w:cs="Arial"/>
                <w:bCs/>
                <w:color w:val="000000"/>
                <w:sz w:val="16"/>
                <w:szCs w:val="16"/>
              </w:rPr>
              <w:br/>
              <w:t>capital</w:t>
            </w:r>
            <w:r w:rsidRPr="00DB111E">
              <w:rPr>
                <w:rFonts w:ascii="Arial" w:hAnsi="Arial" w:cs="Arial"/>
                <w:bCs/>
                <w:color w:val="000000"/>
                <w:sz w:val="16"/>
                <w:szCs w:val="16"/>
              </w:rPr>
              <w:br/>
              <w:t>$’000</w:t>
            </w:r>
          </w:p>
        </w:tc>
        <w:tc>
          <w:tcPr>
            <w:tcW w:w="668" w:type="pct"/>
            <w:tcBorders>
              <w:top w:val="single" w:sz="4" w:space="0" w:color="auto"/>
              <w:left w:val="nil"/>
              <w:bottom w:val="single" w:sz="4" w:space="0" w:color="auto"/>
              <w:right w:val="nil"/>
            </w:tcBorders>
            <w:shd w:val="clear" w:color="auto" w:fill="auto"/>
            <w:vAlign w:val="bottom"/>
            <w:hideMark/>
          </w:tcPr>
          <w:p w:rsidR="00A73603" w:rsidRPr="00DB111E" w:rsidRDefault="00A73603" w:rsidP="00DD5237">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Total</w:t>
            </w:r>
            <w:r w:rsidRPr="00DB111E">
              <w:rPr>
                <w:rFonts w:ascii="Arial" w:hAnsi="Arial" w:cs="Arial"/>
                <w:bCs/>
                <w:color w:val="000000"/>
                <w:sz w:val="16"/>
                <w:szCs w:val="16"/>
              </w:rPr>
              <w:br/>
              <w:t>equity</w:t>
            </w:r>
            <w:r w:rsidRPr="00DB111E">
              <w:rPr>
                <w:rFonts w:ascii="Arial" w:hAnsi="Arial" w:cs="Arial"/>
                <w:bCs/>
                <w:color w:val="000000"/>
                <w:sz w:val="16"/>
                <w:szCs w:val="16"/>
              </w:rPr>
              <w:br/>
            </w:r>
            <w:r w:rsidRPr="00DB111E">
              <w:rPr>
                <w:rFonts w:ascii="Arial" w:hAnsi="Arial" w:cs="Arial"/>
                <w:bCs/>
                <w:color w:val="000000"/>
                <w:sz w:val="16"/>
                <w:szCs w:val="16"/>
              </w:rPr>
              <w:br/>
              <w:t>$’000</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Opening balance as at 1 July 2024</w:t>
            </w:r>
          </w:p>
        </w:tc>
        <w:tc>
          <w:tcPr>
            <w:tcW w:w="668"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Balance</w:t>
            </w:r>
            <w:r w:rsidRPr="00DB111E">
              <w:rPr>
                <w:rFonts w:ascii="Arial" w:hAnsi="Arial" w:cs="Arial"/>
                <w:color w:val="000000"/>
                <w:sz w:val="16"/>
                <w:szCs w:val="16"/>
              </w:rPr>
              <w:t xml:space="preserve"> carried forward from previous period</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117,479</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10,622</w:t>
            </w: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3,295</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131,396</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rPr>
                <w:rFonts w:ascii="Arial" w:hAnsi="Arial" w:cs="Arial"/>
                <w:b/>
                <w:bCs/>
                <w:i/>
                <w:iCs/>
                <w:color w:val="000000"/>
                <w:sz w:val="16"/>
                <w:szCs w:val="16"/>
              </w:rPr>
            </w:pPr>
            <w:r w:rsidRPr="00DB111E">
              <w:rPr>
                <w:rFonts w:ascii="Arial" w:hAnsi="Arial" w:cs="Arial"/>
                <w:b/>
                <w:bCs/>
                <w:i/>
                <w:iCs/>
                <w:color w:val="000000"/>
                <w:sz w:val="16"/>
                <w:szCs w:val="16"/>
              </w:rPr>
              <w:t>Adjusted opening balance</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117,479</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10,622</w:t>
            </w:r>
          </w:p>
        </w:tc>
        <w:tc>
          <w:tcPr>
            <w:tcW w:w="68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3,295</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131,396</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Comprehensive income</w:t>
            </w:r>
          </w:p>
        </w:tc>
        <w:tc>
          <w:tcPr>
            <w:tcW w:w="668"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Surplus</w:t>
            </w:r>
            <w:r w:rsidRPr="00DB111E">
              <w:rPr>
                <w:rFonts w:ascii="Arial" w:hAnsi="Arial" w:cs="Arial"/>
                <w:color w:val="000000"/>
                <w:sz w:val="16"/>
                <w:szCs w:val="16"/>
              </w:rPr>
              <w:t>/(deficit) for the period</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(29,564)</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color w:val="000000"/>
                <w:sz w:val="16"/>
                <w:szCs w:val="16"/>
              </w:rPr>
              <w:t>(29,564)</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rPr>
                <w:rFonts w:ascii="Arial" w:hAnsi="Arial" w:cs="Arial"/>
                <w:b/>
                <w:bCs/>
                <w:i/>
                <w:iCs/>
                <w:color w:val="000000"/>
                <w:sz w:val="16"/>
                <w:szCs w:val="16"/>
              </w:rPr>
            </w:pPr>
            <w:r w:rsidRPr="00DB111E">
              <w:rPr>
                <w:rFonts w:ascii="Arial" w:hAnsi="Arial" w:cs="Arial"/>
                <w:b/>
                <w:bCs/>
                <w:i/>
                <w:iCs/>
                <w:color w:val="000000"/>
                <w:sz w:val="16"/>
                <w:szCs w:val="16"/>
              </w:rPr>
              <w:t>Total comprehensive income</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(29,564)</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w:t>
            </w:r>
          </w:p>
        </w:tc>
        <w:tc>
          <w:tcPr>
            <w:tcW w:w="68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color w:val="000000"/>
                <w:sz w:val="16"/>
                <w:szCs w:val="16"/>
              </w:rPr>
            </w:pPr>
            <w:r w:rsidRPr="00EE52CE">
              <w:rPr>
                <w:rFonts w:ascii="Arial" w:hAnsi="Arial" w:cs="Arial"/>
                <w:b/>
                <w:bCs/>
                <w:i/>
                <w:color w:val="000000"/>
                <w:sz w:val="16"/>
                <w:szCs w:val="16"/>
              </w:rPr>
              <w:t>(29,564)</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ind w:left="113"/>
              <w:rPr>
                <w:rFonts w:ascii="Arial" w:hAnsi="Arial" w:cs="Arial"/>
                <w:color w:val="000000"/>
                <w:sz w:val="16"/>
                <w:szCs w:val="16"/>
              </w:rPr>
            </w:pPr>
            <w:r w:rsidRPr="00DB111E">
              <w:rPr>
                <w:rFonts w:ascii="Arial" w:hAnsi="Arial" w:cs="Arial"/>
                <w:color w:val="000000"/>
                <w:sz w:val="16"/>
                <w:szCs w:val="16"/>
              </w:rPr>
              <w:t>of which:</w:t>
            </w:r>
          </w:p>
        </w:tc>
        <w:tc>
          <w:tcPr>
            <w:tcW w:w="668"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ind w:left="227"/>
              <w:rPr>
                <w:rFonts w:ascii="Arial" w:hAnsi="Arial" w:cs="Arial"/>
                <w:color w:val="000000"/>
                <w:sz w:val="16"/>
                <w:szCs w:val="16"/>
              </w:rPr>
            </w:pPr>
            <w:r w:rsidRPr="00DB111E">
              <w:rPr>
                <w:rFonts w:ascii="Arial" w:hAnsi="Arial" w:cs="Arial"/>
                <w:color w:val="000000"/>
                <w:sz w:val="16"/>
                <w:szCs w:val="16"/>
              </w:rPr>
              <w:t>Attributable to the Australian Government</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(29,564)</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w:t>
            </w:r>
          </w:p>
        </w:tc>
        <w:tc>
          <w:tcPr>
            <w:tcW w:w="68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w:t>
            </w:r>
          </w:p>
        </w:tc>
        <w:tc>
          <w:tcPr>
            <w:tcW w:w="66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(29,564)</w:t>
            </w:r>
          </w:p>
        </w:tc>
      </w:tr>
      <w:tr w:rsidR="00A73603" w:rsidRPr="00DB111E" w:rsidTr="00DD5237">
        <w:trPr>
          <w:trHeight w:val="204"/>
        </w:trPr>
        <w:tc>
          <w:tcPr>
            <w:tcW w:w="2308" w:type="pct"/>
            <w:tcBorders>
              <w:top w:val="nil"/>
              <w:left w:val="nil"/>
              <w:bottom w:val="nil"/>
              <w:right w:val="nil"/>
            </w:tcBorders>
            <w:shd w:val="clear" w:color="auto" w:fill="auto"/>
            <w:vAlign w:val="center"/>
            <w:hideMark/>
          </w:tcPr>
          <w:p w:rsidR="00A73603" w:rsidRPr="00DB111E" w:rsidRDefault="00A73603" w:rsidP="00DD5237">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Estimated closing balance as at 30</w:t>
            </w:r>
            <w:r>
              <w:rPr>
                <w:rFonts w:ascii="Arial" w:hAnsi="Arial" w:cs="Arial"/>
                <w:b/>
                <w:bCs/>
                <w:color w:val="000000"/>
                <w:sz w:val="16"/>
                <w:szCs w:val="16"/>
              </w:rPr>
              <w:t xml:space="preserve"> </w:t>
            </w:r>
            <w:r w:rsidRPr="00DB111E">
              <w:rPr>
                <w:rFonts w:ascii="Arial" w:hAnsi="Arial" w:cs="Arial"/>
                <w:b/>
                <w:bCs/>
                <w:color w:val="000000"/>
                <w:sz w:val="16"/>
                <w:szCs w:val="16"/>
              </w:rPr>
              <w:t>June 2025</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87,915</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10,622</w:t>
            </w:r>
          </w:p>
        </w:tc>
        <w:tc>
          <w:tcPr>
            <w:tcW w:w="68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3,295</w:t>
            </w:r>
          </w:p>
        </w:tc>
        <w:tc>
          <w:tcPr>
            <w:tcW w:w="66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101,832</w:t>
            </w:r>
          </w:p>
        </w:tc>
      </w:tr>
      <w:tr w:rsidR="00A73603" w:rsidRPr="00DB111E" w:rsidTr="00DD5237">
        <w:trPr>
          <w:trHeight w:val="204"/>
        </w:trPr>
        <w:tc>
          <w:tcPr>
            <w:tcW w:w="2308" w:type="pct"/>
            <w:tcBorders>
              <w:top w:val="nil"/>
              <w:left w:val="nil"/>
              <w:bottom w:val="single" w:sz="4" w:space="0" w:color="auto"/>
              <w:right w:val="nil"/>
            </w:tcBorders>
            <w:shd w:val="clear" w:color="auto" w:fill="auto"/>
            <w:vAlign w:val="center"/>
            <w:hideMark/>
          </w:tcPr>
          <w:p w:rsidR="00A73603" w:rsidRPr="00DB111E" w:rsidRDefault="00A73603" w:rsidP="00DD5237">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Closing balance attributable to the</w:t>
            </w:r>
            <w:r>
              <w:rPr>
                <w:rFonts w:ascii="Arial" w:hAnsi="Arial" w:cs="Arial"/>
                <w:b/>
                <w:bCs/>
                <w:color w:val="000000"/>
                <w:sz w:val="16"/>
                <w:szCs w:val="16"/>
              </w:rPr>
              <w:t xml:space="preserve"> </w:t>
            </w:r>
            <w:r w:rsidRPr="00DB111E">
              <w:rPr>
                <w:rFonts w:ascii="Arial" w:hAnsi="Arial" w:cs="Arial"/>
                <w:b/>
                <w:bCs/>
                <w:color w:val="000000"/>
                <w:sz w:val="16"/>
                <w:szCs w:val="16"/>
              </w:rPr>
              <w:t>Australian Government</w:t>
            </w:r>
          </w:p>
        </w:tc>
        <w:tc>
          <w:tcPr>
            <w:tcW w:w="668"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87,915</w:t>
            </w:r>
          </w:p>
        </w:tc>
        <w:tc>
          <w:tcPr>
            <w:tcW w:w="668"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10,622</w:t>
            </w:r>
          </w:p>
        </w:tc>
        <w:tc>
          <w:tcPr>
            <w:tcW w:w="688"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3,295</w:t>
            </w:r>
          </w:p>
        </w:tc>
        <w:tc>
          <w:tcPr>
            <w:tcW w:w="668"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101,832</w:t>
            </w:r>
          </w:p>
        </w:tc>
      </w:tr>
    </w:tbl>
    <w:p w:rsidR="00A73603" w:rsidRPr="001B512C" w:rsidRDefault="00A73603" w:rsidP="00A73603">
      <w:pPr>
        <w:pStyle w:val="ChartandTableFootnote"/>
      </w:pPr>
      <w:r w:rsidRPr="00D606C2">
        <w:t>Prepared on Australian Accounting Standards basis</w:t>
      </w:r>
      <w:r>
        <w:t>.</w:t>
      </w:r>
    </w:p>
    <w:p w:rsidR="00A73603" w:rsidRDefault="00A73603" w:rsidP="00A73603">
      <w:pPr>
        <w:pStyle w:val="TableHeading"/>
        <w:contextualSpac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95"/>
        <w:gridCol w:w="928"/>
        <w:gridCol w:w="871"/>
        <w:gridCol w:w="872"/>
        <w:gridCol w:w="872"/>
        <w:gridCol w:w="872"/>
      </w:tblGrid>
      <w:tr w:rsidR="00A73603" w:rsidRPr="00EE52CE" w:rsidTr="00DD5237">
        <w:trPr>
          <w:trHeight w:val="204"/>
        </w:trPr>
        <w:tc>
          <w:tcPr>
            <w:tcW w:w="2137" w:type="pct"/>
            <w:tcBorders>
              <w:top w:val="single" w:sz="4" w:space="0" w:color="auto"/>
              <w:left w:val="nil"/>
              <w:bottom w:val="nil"/>
              <w:right w:val="nil"/>
            </w:tcBorders>
            <w:shd w:val="clear" w:color="auto" w:fill="auto"/>
            <w:noWrap/>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2023-24</w:t>
            </w:r>
            <w:r>
              <w:rPr>
                <w:rFonts w:ascii="Arial" w:hAnsi="Arial" w:cs="Arial"/>
                <w:sz w:val="16"/>
                <w:szCs w:val="16"/>
              </w:rPr>
              <w:br/>
            </w:r>
            <w:r w:rsidRPr="00EE52CE">
              <w:rPr>
                <w:rFonts w:ascii="Arial" w:hAnsi="Arial" w:cs="Arial"/>
                <w:sz w:val="16"/>
                <w:szCs w:val="16"/>
              </w:rPr>
              <w:t>Estimated</w:t>
            </w:r>
            <w:r>
              <w:rPr>
                <w:rFonts w:ascii="Arial" w:hAnsi="Arial" w:cs="Arial"/>
                <w:sz w:val="16"/>
                <w:szCs w:val="16"/>
              </w:rPr>
              <w:br/>
            </w:r>
            <w:r w:rsidRPr="00EE52CE">
              <w:rPr>
                <w:rFonts w:ascii="Arial" w:hAnsi="Arial" w:cs="Arial"/>
                <w:sz w:val="16"/>
                <w:szCs w:val="16"/>
              </w:rPr>
              <w:t>actual</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2024-25</w:t>
            </w:r>
            <w:r w:rsidRPr="00EE52CE">
              <w:rPr>
                <w:rFonts w:ascii="Arial" w:hAnsi="Arial" w:cs="Arial"/>
                <w:sz w:val="16"/>
                <w:szCs w:val="16"/>
              </w:rPr>
              <w:br/>
              <w:t>Budget</w:t>
            </w:r>
            <w:r w:rsidRPr="00EE52CE">
              <w:rPr>
                <w:rFonts w:ascii="Arial" w:hAnsi="Arial" w:cs="Arial"/>
                <w:sz w:val="16"/>
                <w:szCs w:val="16"/>
              </w:rPr>
              <w:br/>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2025-26</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2026-27</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2027-28</w:t>
            </w:r>
            <w:r w:rsidRPr="00EE52CE">
              <w:rPr>
                <w:rFonts w:ascii="Arial" w:hAnsi="Arial" w:cs="Arial"/>
                <w:sz w:val="16"/>
                <w:szCs w:val="16"/>
              </w:rPr>
              <w:b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OPERATING ACTIVITIES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received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Appropriations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107,602</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41,494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42,007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42,840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43,078</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Receipts</w:t>
            </w:r>
            <w:r w:rsidRPr="00EE52CE">
              <w:rPr>
                <w:rFonts w:ascii="Arial" w:hAnsi="Arial" w:cs="Arial"/>
                <w:color w:val="000000"/>
                <w:sz w:val="16"/>
                <w:szCs w:val="16"/>
              </w:rPr>
              <w:t xml:space="preserve"> from Government</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122,229</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132,004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157,134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160,608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164,017</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Sale</w:t>
            </w:r>
            <w:r w:rsidRPr="00EE52CE">
              <w:rPr>
                <w:rFonts w:ascii="Arial" w:hAnsi="Arial" w:cs="Arial"/>
                <w:color w:val="000000"/>
                <w:sz w:val="16"/>
                <w:szCs w:val="16"/>
              </w:rPr>
              <w:t xml:space="preserve"> of goods and rendering of services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13,616</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13,787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13,796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13,790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13,784</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Interest</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4,810</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4,172</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2,820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1,545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436</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Net</w:t>
            </w:r>
            <w:r w:rsidRPr="00EE52CE">
              <w:rPr>
                <w:rFonts w:ascii="Arial" w:hAnsi="Arial" w:cs="Arial"/>
                <w:color w:val="000000"/>
                <w:sz w:val="16"/>
                <w:szCs w:val="16"/>
              </w:rPr>
              <w:t xml:space="preserve"> GST received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5,957</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4,484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5,016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5,175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4,586</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1,004</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received</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255,218</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196,941</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221,773</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224,958</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226,901</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Employees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142,241</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151,818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154,238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160,563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166,487</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Suppliers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66,938</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50,345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56,528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58,188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51,601</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C4645D">
              <w:rPr>
                <w:rFonts w:ascii="Arial" w:hAnsi="Arial" w:cs="Arial"/>
                <w:sz w:val="16"/>
                <w:szCs w:val="16"/>
              </w:rPr>
              <w:t>Interest</w:t>
            </w:r>
            <w:r w:rsidRPr="00EE52CE">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1,006</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1,904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1,767</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1,614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1,453</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597" w:type="pct"/>
            <w:tcBorders>
              <w:top w:val="single" w:sz="4" w:space="0" w:color="000000"/>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210,185</w:t>
            </w:r>
          </w:p>
        </w:tc>
        <w:tc>
          <w:tcPr>
            <w:tcW w:w="566" w:type="pct"/>
            <w:tcBorders>
              <w:top w:val="single" w:sz="4" w:space="0" w:color="000000"/>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204,067</w:t>
            </w:r>
          </w:p>
        </w:tc>
        <w:tc>
          <w:tcPr>
            <w:tcW w:w="566" w:type="pct"/>
            <w:tcBorders>
              <w:top w:val="single" w:sz="4" w:space="0" w:color="000000"/>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212,533</w:t>
            </w:r>
          </w:p>
        </w:tc>
        <w:tc>
          <w:tcPr>
            <w:tcW w:w="566" w:type="pct"/>
            <w:tcBorders>
              <w:top w:val="single" w:sz="4" w:space="0" w:color="000000"/>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220,365</w:t>
            </w:r>
          </w:p>
        </w:tc>
        <w:tc>
          <w:tcPr>
            <w:tcW w:w="566" w:type="pct"/>
            <w:tcBorders>
              <w:top w:val="single" w:sz="4" w:space="0" w:color="000000"/>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219,541</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operating activities</w:t>
            </w:r>
          </w:p>
        </w:tc>
        <w:tc>
          <w:tcPr>
            <w:tcW w:w="597"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45,033</w:t>
            </w:r>
          </w:p>
        </w:tc>
        <w:tc>
          <w:tcPr>
            <w:tcW w:w="566" w:type="pct"/>
            <w:tcBorders>
              <w:top w:val="single" w:sz="4" w:space="0" w:color="auto"/>
              <w:left w:val="nil"/>
              <w:bottom w:val="single" w:sz="4" w:space="0" w:color="auto"/>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(7,126)</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9,240</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4,593</w:t>
            </w:r>
          </w:p>
        </w:tc>
        <w:tc>
          <w:tcPr>
            <w:tcW w:w="566"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7,360</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INVESTING ACTIVITIES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Purchase</w:t>
            </w:r>
            <w:r w:rsidRPr="00EE52CE">
              <w:rPr>
                <w:rFonts w:ascii="Arial" w:hAnsi="Arial" w:cs="Arial"/>
                <w:color w:val="000000"/>
                <w:sz w:val="16"/>
                <w:szCs w:val="16"/>
              </w:rPr>
              <w:t xml:space="preserve"> of property, plant and equipment and intangibles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23,038</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9,066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14,391</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7,123</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9,631</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23,038</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9,066</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14,391</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7,123</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9,631</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investing activities</w:t>
            </w:r>
          </w:p>
        </w:tc>
        <w:tc>
          <w:tcPr>
            <w:tcW w:w="597"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(23,038)</w:t>
            </w:r>
          </w:p>
        </w:tc>
        <w:tc>
          <w:tcPr>
            <w:tcW w:w="566" w:type="pct"/>
            <w:tcBorders>
              <w:top w:val="nil"/>
              <w:left w:val="nil"/>
              <w:bottom w:val="single" w:sz="4" w:space="0" w:color="auto"/>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(9,066)</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(14,391)</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(7,123)</w:t>
            </w:r>
          </w:p>
        </w:tc>
        <w:tc>
          <w:tcPr>
            <w:tcW w:w="566"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(9,631)</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FINANCING ACTIVITIES</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sz w:val="16"/>
                <w:szCs w:val="16"/>
              </w:rPr>
            </w:pPr>
            <w:r w:rsidRPr="00C4645D">
              <w:rPr>
                <w:rFonts w:ascii="Arial" w:hAnsi="Arial" w:cs="Arial"/>
                <w:sz w:val="16"/>
                <w:szCs w:val="16"/>
              </w:rPr>
              <w:t>Principal</w:t>
            </w:r>
            <w:r w:rsidRPr="00EE52CE">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8,117</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7,748</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8,044</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8,075</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7,906</w:t>
            </w:r>
          </w:p>
        </w:tc>
      </w:tr>
      <w:tr w:rsidR="00A73603" w:rsidRPr="00EE52CE" w:rsidTr="00DD5237">
        <w:trPr>
          <w:trHeight w:val="204"/>
        </w:trPr>
        <w:tc>
          <w:tcPr>
            <w:tcW w:w="2137"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8,117</w:t>
            </w:r>
          </w:p>
        </w:tc>
        <w:tc>
          <w:tcPr>
            <w:tcW w:w="566" w:type="pct"/>
            <w:tcBorders>
              <w:top w:val="single" w:sz="4" w:space="0" w:color="000000"/>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7,748</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8,044</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8,075</w:t>
            </w:r>
          </w:p>
        </w:tc>
        <w:tc>
          <w:tcPr>
            <w:tcW w:w="566" w:type="pct"/>
            <w:tcBorders>
              <w:top w:val="single" w:sz="4" w:space="0" w:color="000000"/>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i/>
                <w:iCs/>
                <w:color w:val="000000"/>
                <w:sz w:val="16"/>
                <w:szCs w:val="16"/>
              </w:rPr>
            </w:pPr>
            <w:r w:rsidRPr="00EE52CE">
              <w:rPr>
                <w:rFonts w:ascii="Arial" w:hAnsi="Arial" w:cs="Arial"/>
                <w:b/>
                <w:bCs/>
                <w:i/>
                <w:iCs/>
                <w:color w:val="000000"/>
                <w:sz w:val="16"/>
                <w:szCs w:val="16"/>
              </w:rPr>
              <w:t>7,906</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financing activities</w:t>
            </w:r>
          </w:p>
        </w:tc>
        <w:tc>
          <w:tcPr>
            <w:tcW w:w="597"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(8,117)</w:t>
            </w:r>
          </w:p>
        </w:tc>
        <w:tc>
          <w:tcPr>
            <w:tcW w:w="566" w:type="pct"/>
            <w:tcBorders>
              <w:top w:val="nil"/>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(7,748)</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(8,044)</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(8,075)</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(7,906)</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increase/(decrease) in cash held</w:t>
            </w:r>
          </w:p>
        </w:tc>
        <w:tc>
          <w:tcPr>
            <w:tcW w:w="597"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13,878</w:t>
            </w:r>
          </w:p>
        </w:tc>
        <w:tc>
          <w:tcPr>
            <w:tcW w:w="566" w:type="pct"/>
            <w:tcBorders>
              <w:top w:val="nil"/>
              <w:left w:val="nil"/>
              <w:bottom w:val="single" w:sz="4" w:space="0" w:color="000000"/>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(23,940)</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(13,195)</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(10,605)</w:t>
            </w:r>
          </w:p>
        </w:tc>
        <w:tc>
          <w:tcPr>
            <w:tcW w:w="566" w:type="pct"/>
            <w:tcBorders>
              <w:top w:val="nil"/>
              <w:left w:val="nil"/>
              <w:bottom w:val="single" w:sz="4" w:space="0" w:color="000000"/>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color w:val="000000"/>
                <w:sz w:val="16"/>
                <w:szCs w:val="16"/>
              </w:rPr>
            </w:pPr>
            <w:r w:rsidRPr="00EE52CE">
              <w:rPr>
                <w:rFonts w:ascii="Arial" w:hAnsi="Arial" w:cs="Arial"/>
                <w:b/>
                <w:bCs/>
                <w:color w:val="000000"/>
                <w:sz w:val="16"/>
                <w:szCs w:val="16"/>
              </w:rPr>
              <w:t>(10,177)</w:t>
            </w:r>
          </w:p>
        </w:tc>
      </w:tr>
      <w:tr w:rsidR="00A73603" w:rsidRPr="00EE52CE" w:rsidTr="00DD5237">
        <w:trPr>
          <w:trHeight w:val="204"/>
        </w:trPr>
        <w:tc>
          <w:tcPr>
            <w:tcW w:w="2137"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color w:val="000000"/>
                <w:sz w:val="16"/>
                <w:szCs w:val="16"/>
              </w:rPr>
            </w:pPr>
            <w:r w:rsidRPr="00EE52CE">
              <w:rPr>
                <w:rFonts w:ascii="Arial" w:hAnsi="Arial" w:cs="Arial"/>
                <w:color w:val="000000"/>
                <w:sz w:val="16"/>
                <w:szCs w:val="16"/>
              </w:rPr>
              <w:t>Cash and cash equivalents at the beginning of the reporting period</w:t>
            </w:r>
          </w:p>
        </w:tc>
        <w:tc>
          <w:tcPr>
            <w:tcW w:w="597"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103,828</w:t>
            </w:r>
          </w:p>
        </w:tc>
        <w:tc>
          <w:tcPr>
            <w:tcW w:w="566" w:type="pct"/>
            <w:tcBorders>
              <w:top w:val="nil"/>
              <w:left w:val="nil"/>
              <w:bottom w:val="nil"/>
              <w:right w:val="nil"/>
            </w:tcBorders>
            <w:shd w:val="clear" w:color="000000" w:fill="E6E6E6"/>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117,706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93,766</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80,571</w:t>
            </w:r>
          </w:p>
        </w:tc>
        <w:tc>
          <w:tcPr>
            <w:tcW w:w="5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color w:val="000000"/>
                <w:sz w:val="16"/>
                <w:szCs w:val="16"/>
              </w:rPr>
            </w:pPr>
            <w:r w:rsidRPr="00EE52CE">
              <w:rPr>
                <w:rFonts w:ascii="Arial" w:hAnsi="Arial" w:cs="Arial"/>
                <w:color w:val="000000"/>
                <w:sz w:val="16"/>
                <w:szCs w:val="16"/>
              </w:rPr>
              <w:t>69,966</w:t>
            </w:r>
          </w:p>
        </w:tc>
      </w:tr>
      <w:tr w:rsidR="00A73603" w:rsidRPr="00EE52CE" w:rsidTr="00DD5237">
        <w:trPr>
          <w:trHeight w:val="204"/>
        </w:trPr>
        <w:tc>
          <w:tcPr>
            <w:tcW w:w="2137" w:type="pct"/>
            <w:tcBorders>
              <w:top w:val="nil"/>
              <w:left w:val="nil"/>
              <w:bottom w:val="single" w:sz="4" w:space="0" w:color="auto"/>
              <w:right w:val="nil"/>
            </w:tcBorders>
            <w:shd w:val="clear" w:color="auto" w:fill="auto"/>
            <w:vAlign w:val="center"/>
            <w:hideMark/>
          </w:tcPr>
          <w:p w:rsidR="00A73603" w:rsidRPr="00EE52CE" w:rsidRDefault="00A73603" w:rsidP="00DD5237">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and cash equivalents at the end of the reporting period</w:t>
            </w:r>
          </w:p>
        </w:tc>
        <w:tc>
          <w:tcPr>
            <w:tcW w:w="597" w:type="pct"/>
            <w:tcBorders>
              <w:top w:val="single" w:sz="4" w:space="0" w:color="000000"/>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
                <w:color w:val="000000"/>
                <w:sz w:val="16"/>
                <w:szCs w:val="16"/>
              </w:rPr>
            </w:pPr>
            <w:r w:rsidRPr="007D6733">
              <w:rPr>
                <w:rFonts w:ascii="Arial" w:hAnsi="Arial" w:cs="Arial"/>
                <w:b/>
                <w:color w:val="000000"/>
                <w:sz w:val="16"/>
                <w:szCs w:val="16"/>
              </w:rPr>
              <w:t>117,706</w:t>
            </w:r>
          </w:p>
        </w:tc>
        <w:tc>
          <w:tcPr>
            <w:tcW w:w="566" w:type="pct"/>
            <w:tcBorders>
              <w:top w:val="single" w:sz="4" w:space="0" w:color="000000"/>
              <w:left w:val="nil"/>
              <w:bottom w:val="single" w:sz="4" w:space="0" w:color="auto"/>
              <w:right w:val="nil"/>
            </w:tcBorders>
            <w:shd w:val="clear" w:color="000000" w:fill="E6E6E6"/>
            <w:noWrap/>
            <w:vAlign w:val="bottom"/>
            <w:hideMark/>
          </w:tcPr>
          <w:p w:rsidR="00A73603" w:rsidRPr="007D6733" w:rsidRDefault="00A73603" w:rsidP="00DD5237">
            <w:pPr>
              <w:spacing w:before="0" w:after="0" w:line="240" w:lineRule="auto"/>
              <w:jc w:val="right"/>
              <w:rPr>
                <w:rFonts w:ascii="Arial" w:hAnsi="Arial" w:cs="Arial"/>
                <w:b/>
                <w:color w:val="000000"/>
                <w:sz w:val="16"/>
                <w:szCs w:val="16"/>
              </w:rPr>
            </w:pPr>
            <w:r w:rsidRPr="007D6733">
              <w:rPr>
                <w:rFonts w:ascii="Arial" w:hAnsi="Arial" w:cs="Arial"/>
                <w:b/>
                <w:color w:val="000000"/>
                <w:sz w:val="16"/>
                <w:szCs w:val="16"/>
              </w:rPr>
              <w:t>93,766</w:t>
            </w:r>
          </w:p>
        </w:tc>
        <w:tc>
          <w:tcPr>
            <w:tcW w:w="566" w:type="pct"/>
            <w:tcBorders>
              <w:top w:val="single" w:sz="4" w:space="0" w:color="000000"/>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
                <w:color w:val="000000"/>
                <w:sz w:val="16"/>
                <w:szCs w:val="16"/>
              </w:rPr>
            </w:pPr>
            <w:r w:rsidRPr="007D6733">
              <w:rPr>
                <w:rFonts w:ascii="Arial" w:hAnsi="Arial" w:cs="Arial"/>
                <w:b/>
                <w:color w:val="000000"/>
                <w:sz w:val="16"/>
                <w:szCs w:val="16"/>
              </w:rPr>
              <w:t>80,571</w:t>
            </w:r>
          </w:p>
        </w:tc>
        <w:tc>
          <w:tcPr>
            <w:tcW w:w="566" w:type="pct"/>
            <w:tcBorders>
              <w:top w:val="single" w:sz="4" w:space="0" w:color="000000"/>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
                <w:color w:val="000000"/>
                <w:sz w:val="16"/>
                <w:szCs w:val="16"/>
              </w:rPr>
            </w:pPr>
            <w:r w:rsidRPr="007D6733">
              <w:rPr>
                <w:rFonts w:ascii="Arial" w:hAnsi="Arial" w:cs="Arial"/>
                <w:b/>
                <w:color w:val="000000"/>
                <w:sz w:val="16"/>
                <w:szCs w:val="16"/>
              </w:rPr>
              <w:t>69,966</w:t>
            </w:r>
          </w:p>
        </w:tc>
        <w:tc>
          <w:tcPr>
            <w:tcW w:w="566" w:type="pct"/>
            <w:tcBorders>
              <w:top w:val="single" w:sz="4" w:space="0" w:color="000000"/>
              <w:left w:val="nil"/>
              <w:bottom w:val="single" w:sz="4" w:space="0" w:color="auto"/>
              <w:right w:val="nil"/>
            </w:tcBorders>
            <w:shd w:val="clear" w:color="auto" w:fill="auto"/>
            <w:noWrap/>
            <w:vAlign w:val="bottom"/>
            <w:hideMark/>
          </w:tcPr>
          <w:p w:rsidR="00A73603" w:rsidRPr="007D6733" w:rsidRDefault="00A73603" w:rsidP="00DD5237">
            <w:pPr>
              <w:spacing w:before="0" w:after="0" w:line="240" w:lineRule="auto"/>
              <w:jc w:val="right"/>
              <w:rPr>
                <w:rFonts w:ascii="Arial" w:hAnsi="Arial" w:cs="Arial"/>
                <w:b/>
                <w:color w:val="000000"/>
                <w:sz w:val="16"/>
                <w:szCs w:val="16"/>
              </w:rPr>
            </w:pPr>
            <w:r w:rsidRPr="007D6733">
              <w:rPr>
                <w:rFonts w:ascii="Arial" w:hAnsi="Arial" w:cs="Arial"/>
                <w:b/>
                <w:color w:val="000000"/>
                <w:sz w:val="16"/>
                <w:szCs w:val="16"/>
              </w:rPr>
              <w:t>59,789</w:t>
            </w:r>
          </w:p>
        </w:tc>
      </w:tr>
    </w:tbl>
    <w:p w:rsidR="00A73603" w:rsidRPr="001B512C" w:rsidRDefault="00A73603" w:rsidP="00A73603">
      <w:pPr>
        <w:pStyle w:val="ChartandTableFootnote"/>
      </w:pPr>
      <w:r>
        <w:t>P</w:t>
      </w:r>
      <w:r w:rsidRPr="00132F9E">
        <w:t>repared on Australian Accounting Standards basis.</w:t>
      </w:r>
    </w:p>
    <w:p w:rsidR="00A73603" w:rsidRPr="0043795A" w:rsidRDefault="00A73603" w:rsidP="00A73603">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65"/>
        <w:gridCol w:w="928"/>
        <w:gridCol w:w="880"/>
        <w:gridCol w:w="879"/>
        <w:gridCol w:w="879"/>
        <w:gridCol w:w="879"/>
      </w:tblGrid>
      <w:tr w:rsidR="00A73603" w:rsidRPr="00AD0EFD" w:rsidTr="00DD5237">
        <w:trPr>
          <w:trHeight w:val="204"/>
        </w:trPr>
        <w:tc>
          <w:tcPr>
            <w:tcW w:w="2117" w:type="pct"/>
            <w:tcBorders>
              <w:top w:val="single" w:sz="4" w:space="0" w:color="auto"/>
              <w:left w:val="nil"/>
              <w:bottom w:val="single" w:sz="4" w:space="0" w:color="auto"/>
              <w:right w:val="nil"/>
            </w:tcBorders>
            <w:shd w:val="clear" w:color="auto" w:fill="auto"/>
            <w:noWrap/>
            <w:vAlign w:val="center"/>
            <w:hideMark/>
          </w:tcPr>
          <w:p w:rsidR="00A73603" w:rsidRPr="00AD0EFD" w:rsidRDefault="00A73603" w:rsidP="00DD5237">
            <w:pPr>
              <w:spacing w:before="0" w:after="0" w:line="240" w:lineRule="auto"/>
              <w:rPr>
                <w:rFonts w:ascii="Times New Roman" w:hAnsi="Times New Roman"/>
                <w:sz w:val="16"/>
                <w:szCs w:val="24"/>
              </w:rPr>
            </w:pPr>
          </w:p>
        </w:tc>
        <w:tc>
          <w:tcPr>
            <w:tcW w:w="602" w:type="pct"/>
            <w:tcBorders>
              <w:top w:val="single" w:sz="4" w:space="0" w:color="auto"/>
              <w:left w:val="nil"/>
              <w:bottom w:val="single" w:sz="4" w:space="0" w:color="auto"/>
              <w:right w:val="nil"/>
            </w:tcBorders>
            <w:shd w:val="clear" w:color="auto" w:fill="auto"/>
            <w:hideMark/>
          </w:tcPr>
          <w:p w:rsidR="00A73603" w:rsidRPr="00AD0EFD" w:rsidRDefault="00A73603" w:rsidP="00DD5237">
            <w:pPr>
              <w:spacing w:before="0" w:after="0" w:line="240" w:lineRule="auto"/>
              <w:jc w:val="right"/>
              <w:rPr>
                <w:rFonts w:ascii="Arial" w:hAnsi="Arial" w:cs="Arial"/>
                <w:color w:val="000000"/>
                <w:sz w:val="16"/>
                <w:szCs w:val="18"/>
              </w:rPr>
            </w:pPr>
            <w:r>
              <w:rPr>
                <w:rFonts w:ascii="Arial" w:hAnsi="Arial" w:cs="Arial"/>
                <w:color w:val="000000"/>
                <w:sz w:val="16"/>
                <w:szCs w:val="18"/>
              </w:rPr>
              <w:t>2023-24</w:t>
            </w:r>
            <w:r>
              <w:rPr>
                <w:rFonts w:ascii="Arial" w:hAnsi="Arial" w:cs="Arial"/>
                <w:color w:val="000000"/>
                <w:sz w:val="16"/>
                <w:szCs w:val="18"/>
              </w:rPr>
              <w:br/>
            </w:r>
            <w:r w:rsidRPr="00595394">
              <w:rPr>
                <w:rFonts w:ascii="Arial" w:hAnsi="Arial" w:cs="Arial"/>
                <w:color w:val="000000"/>
                <w:sz w:val="16"/>
                <w:szCs w:val="18"/>
              </w:rPr>
              <w:t>Estimated</w:t>
            </w:r>
            <w:r w:rsidRPr="00595394">
              <w:rPr>
                <w:rFonts w:ascii="Arial" w:hAnsi="Arial" w:cs="Arial"/>
                <w:color w:val="000000"/>
                <w:sz w:val="16"/>
                <w:szCs w:val="18"/>
              </w:rPr>
              <w:br/>
              <w:t>actual</w:t>
            </w:r>
            <w:r>
              <w:rPr>
                <w:rFonts w:ascii="Arial" w:hAnsi="Arial" w:cs="Arial"/>
                <w:color w:val="000000"/>
                <w:sz w:val="16"/>
                <w:szCs w:val="18"/>
              </w:rPr>
              <w:br/>
            </w:r>
            <w:r w:rsidRPr="00595394">
              <w:rPr>
                <w:rFonts w:ascii="Arial" w:hAnsi="Arial" w:cs="Arial"/>
                <w:color w:val="000000"/>
                <w:sz w:val="16"/>
                <w:szCs w:val="18"/>
              </w:rPr>
              <w:t>$’000</w:t>
            </w:r>
          </w:p>
        </w:tc>
        <w:tc>
          <w:tcPr>
            <w:tcW w:w="571" w:type="pct"/>
            <w:tcBorders>
              <w:top w:val="single" w:sz="4" w:space="0" w:color="auto"/>
              <w:left w:val="nil"/>
              <w:bottom w:val="single" w:sz="4" w:space="0" w:color="auto"/>
              <w:right w:val="nil"/>
            </w:tcBorders>
            <w:shd w:val="clear" w:color="auto" w:fill="E6E6E6"/>
            <w:hideMark/>
          </w:tcPr>
          <w:p w:rsidR="00A73603" w:rsidRPr="00AD0EFD" w:rsidRDefault="00A73603" w:rsidP="00DD5237">
            <w:pPr>
              <w:spacing w:before="0" w:after="0" w:line="240" w:lineRule="auto"/>
              <w:jc w:val="right"/>
              <w:rPr>
                <w:rFonts w:ascii="Arial" w:hAnsi="Arial" w:cs="Arial"/>
                <w:color w:val="000000"/>
                <w:sz w:val="16"/>
                <w:szCs w:val="18"/>
              </w:rPr>
            </w:pPr>
            <w:r w:rsidRPr="005C2EB9">
              <w:rPr>
                <w:rFonts w:ascii="Arial" w:hAnsi="Arial" w:cs="Arial"/>
                <w:sz w:val="16"/>
                <w:szCs w:val="16"/>
              </w:rPr>
              <w:t>2024-25</w:t>
            </w:r>
            <w:r w:rsidRPr="005C2EB9">
              <w:rPr>
                <w:rFonts w:ascii="Arial" w:hAnsi="Arial" w:cs="Arial"/>
                <w:sz w:val="16"/>
                <w:szCs w:val="16"/>
              </w:rPr>
              <w:br/>
              <w:t>Budget</w:t>
            </w:r>
            <w:r w:rsidRPr="005C2EB9">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hideMark/>
          </w:tcPr>
          <w:p w:rsidR="00A73603" w:rsidRPr="00AD0EFD" w:rsidRDefault="00A73603" w:rsidP="00DD5237">
            <w:pPr>
              <w:spacing w:before="0" w:after="0" w:line="240" w:lineRule="auto"/>
              <w:jc w:val="right"/>
              <w:rPr>
                <w:rFonts w:ascii="Arial" w:hAnsi="Arial" w:cs="Arial"/>
                <w:color w:val="000000"/>
                <w:sz w:val="16"/>
                <w:szCs w:val="18"/>
              </w:rPr>
            </w:pPr>
            <w:r>
              <w:rPr>
                <w:rFonts w:ascii="Arial" w:hAnsi="Arial" w:cs="Arial"/>
                <w:color w:val="000000"/>
                <w:sz w:val="16"/>
                <w:szCs w:val="18"/>
              </w:rPr>
              <w:t>2025-26</w:t>
            </w:r>
            <w:r>
              <w:rPr>
                <w:rFonts w:ascii="Arial" w:hAnsi="Arial" w:cs="Arial"/>
                <w:color w:val="000000"/>
                <w:sz w:val="16"/>
                <w:szCs w:val="18"/>
              </w:rPr>
              <w:br/>
            </w:r>
            <w:r w:rsidRPr="00595394">
              <w:rPr>
                <w:rFonts w:ascii="Arial" w:hAnsi="Arial" w:cs="Arial"/>
                <w:color w:val="000000"/>
                <w:sz w:val="16"/>
                <w:szCs w:val="18"/>
              </w:rPr>
              <w:t>Forward</w:t>
            </w:r>
            <w:r w:rsidRPr="00595394">
              <w:rPr>
                <w:rFonts w:ascii="Arial" w:hAnsi="Arial" w:cs="Arial"/>
                <w:color w:val="000000"/>
                <w:sz w:val="16"/>
                <w:szCs w:val="18"/>
              </w:rPr>
              <w:br/>
              <w:t>estimate</w:t>
            </w:r>
            <w:r>
              <w:rPr>
                <w:rFonts w:ascii="Arial" w:hAnsi="Arial" w:cs="Arial"/>
                <w:color w:val="000000"/>
                <w:sz w:val="16"/>
                <w:szCs w:val="18"/>
              </w:rPr>
              <w:br/>
            </w:r>
            <w:r w:rsidRPr="00595394">
              <w:rPr>
                <w:rFonts w:ascii="Arial" w:hAnsi="Arial" w:cs="Arial"/>
                <w:color w:val="000000"/>
                <w:sz w:val="16"/>
                <w:szCs w:val="18"/>
              </w:rPr>
              <w:t>$’000</w:t>
            </w:r>
          </w:p>
        </w:tc>
        <w:tc>
          <w:tcPr>
            <w:tcW w:w="570" w:type="pct"/>
            <w:tcBorders>
              <w:top w:val="single" w:sz="4" w:space="0" w:color="auto"/>
              <w:left w:val="nil"/>
              <w:bottom w:val="single" w:sz="4" w:space="0" w:color="auto"/>
              <w:right w:val="nil"/>
            </w:tcBorders>
            <w:shd w:val="clear" w:color="auto" w:fill="auto"/>
            <w:hideMark/>
          </w:tcPr>
          <w:p w:rsidR="00A73603" w:rsidRPr="00AD0EFD" w:rsidRDefault="00A73603" w:rsidP="00DD5237">
            <w:pPr>
              <w:spacing w:before="0" w:after="0" w:line="240" w:lineRule="auto"/>
              <w:jc w:val="right"/>
              <w:rPr>
                <w:rFonts w:ascii="Arial" w:hAnsi="Arial" w:cs="Arial"/>
                <w:color w:val="000000"/>
                <w:sz w:val="16"/>
                <w:szCs w:val="18"/>
              </w:rPr>
            </w:pPr>
            <w:r>
              <w:rPr>
                <w:rFonts w:ascii="Arial" w:hAnsi="Arial" w:cs="Arial"/>
                <w:color w:val="000000"/>
                <w:sz w:val="16"/>
                <w:szCs w:val="18"/>
              </w:rPr>
              <w:t>2026-27</w:t>
            </w:r>
            <w:r>
              <w:rPr>
                <w:rFonts w:ascii="Arial" w:hAnsi="Arial" w:cs="Arial"/>
                <w:color w:val="000000"/>
                <w:sz w:val="16"/>
                <w:szCs w:val="18"/>
              </w:rPr>
              <w:br/>
            </w:r>
            <w:r w:rsidRPr="00595394">
              <w:rPr>
                <w:rFonts w:ascii="Arial" w:hAnsi="Arial" w:cs="Arial"/>
                <w:color w:val="000000"/>
                <w:sz w:val="16"/>
                <w:szCs w:val="18"/>
              </w:rPr>
              <w:t>Forward</w:t>
            </w:r>
            <w:r w:rsidRPr="00595394">
              <w:rPr>
                <w:rFonts w:ascii="Arial" w:hAnsi="Arial" w:cs="Arial"/>
                <w:color w:val="000000"/>
                <w:sz w:val="16"/>
                <w:szCs w:val="18"/>
              </w:rPr>
              <w:br/>
              <w:t>estimate</w:t>
            </w:r>
            <w:r>
              <w:rPr>
                <w:rFonts w:ascii="Arial" w:hAnsi="Arial" w:cs="Arial"/>
                <w:color w:val="000000"/>
                <w:sz w:val="16"/>
                <w:szCs w:val="18"/>
              </w:rPr>
              <w:br/>
            </w:r>
            <w:r w:rsidRPr="00595394">
              <w:rPr>
                <w:rFonts w:ascii="Arial" w:hAnsi="Arial" w:cs="Arial"/>
                <w:color w:val="000000"/>
                <w:sz w:val="16"/>
                <w:szCs w:val="18"/>
              </w:rPr>
              <w:t>$’000</w:t>
            </w:r>
          </w:p>
        </w:tc>
        <w:tc>
          <w:tcPr>
            <w:tcW w:w="570" w:type="pct"/>
            <w:tcBorders>
              <w:top w:val="single" w:sz="4" w:space="0" w:color="auto"/>
              <w:left w:val="nil"/>
              <w:bottom w:val="single" w:sz="4" w:space="0" w:color="auto"/>
              <w:right w:val="nil"/>
            </w:tcBorders>
            <w:shd w:val="clear" w:color="auto" w:fill="auto"/>
            <w:hideMark/>
          </w:tcPr>
          <w:p w:rsidR="00A73603" w:rsidRPr="00AD0EFD" w:rsidRDefault="00A73603" w:rsidP="00DD5237">
            <w:pPr>
              <w:spacing w:before="0" w:after="0" w:line="240" w:lineRule="auto"/>
              <w:jc w:val="right"/>
              <w:rPr>
                <w:rFonts w:ascii="Arial" w:hAnsi="Arial" w:cs="Arial"/>
                <w:color w:val="000000"/>
                <w:sz w:val="16"/>
                <w:szCs w:val="18"/>
              </w:rPr>
            </w:pPr>
            <w:r>
              <w:rPr>
                <w:rFonts w:ascii="Arial" w:hAnsi="Arial" w:cs="Arial"/>
                <w:color w:val="000000"/>
                <w:sz w:val="16"/>
                <w:szCs w:val="18"/>
              </w:rPr>
              <w:t>2027-28</w:t>
            </w:r>
            <w:r>
              <w:rPr>
                <w:rFonts w:ascii="Arial" w:hAnsi="Arial" w:cs="Arial"/>
                <w:color w:val="000000"/>
                <w:sz w:val="16"/>
                <w:szCs w:val="18"/>
              </w:rPr>
              <w:br/>
            </w:r>
            <w:r w:rsidRPr="00595394">
              <w:rPr>
                <w:rFonts w:ascii="Arial" w:hAnsi="Arial" w:cs="Arial"/>
                <w:color w:val="000000"/>
                <w:sz w:val="16"/>
                <w:szCs w:val="18"/>
              </w:rPr>
              <w:t>Forward</w:t>
            </w:r>
            <w:r w:rsidRPr="00595394">
              <w:rPr>
                <w:rFonts w:ascii="Arial" w:hAnsi="Arial" w:cs="Arial"/>
                <w:color w:val="000000"/>
                <w:sz w:val="16"/>
                <w:szCs w:val="18"/>
              </w:rPr>
              <w:br/>
              <w:t>estimate</w:t>
            </w:r>
            <w:r>
              <w:rPr>
                <w:rFonts w:ascii="Arial" w:hAnsi="Arial" w:cs="Arial"/>
                <w:color w:val="000000"/>
                <w:sz w:val="16"/>
                <w:szCs w:val="18"/>
              </w:rPr>
              <w:br/>
            </w:r>
            <w:r w:rsidRPr="00595394">
              <w:rPr>
                <w:rFonts w:ascii="Arial" w:hAnsi="Arial" w:cs="Arial"/>
                <w:color w:val="000000"/>
                <w:sz w:val="16"/>
                <w:szCs w:val="18"/>
              </w:rPr>
              <w:t>$’000</w:t>
            </w:r>
          </w:p>
        </w:tc>
      </w:tr>
      <w:tr w:rsidR="00A73603" w:rsidRPr="00AD0EFD" w:rsidTr="00DD5237">
        <w:trPr>
          <w:trHeight w:val="204"/>
        </w:trPr>
        <w:tc>
          <w:tcPr>
            <w:tcW w:w="2117" w:type="pct"/>
            <w:tcBorders>
              <w:top w:val="single" w:sz="4" w:space="0" w:color="auto"/>
              <w:left w:val="nil"/>
              <w:bottom w:val="nil"/>
              <w:right w:val="nil"/>
            </w:tcBorders>
            <w:shd w:val="clear" w:color="auto" w:fill="auto"/>
            <w:vAlign w:val="center"/>
            <w:hideMark/>
          </w:tcPr>
          <w:p w:rsidR="00A73603" w:rsidRPr="00AD0EFD" w:rsidRDefault="00A73603" w:rsidP="00DD5237">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PURCHASE OF NON</w:t>
            </w:r>
            <w:r>
              <w:rPr>
                <w:rFonts w:ascii="Arial" w:hAnsi="Arial" w:cs="Arial"/>
                <w:b/>
                <w:bCs/>
                <w:color w:val="000000"/>
                <w:sz w:val="16"/>
                <w:szCs w:val="16"/>
              </w:rPr>
              <w:t>-</w:t>
            </w:r>
            <w:r w:rsidRPr="00AD0EFD">
              <w:rPr>
                <w:rFonts w:ascii="Arial" w:hAnsi="Arial" w:cs="Arial"/>
                <w:b/>
                <w:bCs/>
                <w:color w:val="000000"/>
                <w:sz w:val="16"/>
                <w:szCs w:val="16"/>
              </w:rPr>
              <w:t>FINANCIAL</w:t>
            </w:r>
            <w:r>
              <w:rPr>
                <w:rFonts w:ascii="Arial" w:hAnsi="Arial" w:cs="Arial"/>
                <w:b/>
                <w:bCs/>
                <w:color w:val="000000"/>
                <w:sz w:val="16"/>
                <w:szCs w:val="16"/>
              </w:rPr>
              <w:t xml:space="preserve"> </w:t>
            </w:r>
            <w:r w:rsidRPr="00AD0EFD">
              <w:rPr>
                <w:rFonts w:ascii="Arial" w:hAnsi="Arial" w:cs="Arial"/>
                <w:b/>
                <w:bCs/>
                <w:color w:val="000000"/>
                <w:sz w:val="16"/>
                <w:szCs w:val="16"/>
              </w:rPr>
              <w:t>ASSETS</w:t>
            </w:r>
          </w:p>
        </w:tc>
        <w:tc>
          <w:tcPr>
            <w:tcW w:w="602" w:type="pct"/>
            <w:tcBorders>
              <w:top w:val="single" w:sz="4" w:space="0" w:color="auto"/>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p>
        </w:tc>
        <w:tc>
          <w:tcPr>
            <w:tcW w:w="571" w:type="pct"/>
            <w:tcBorders>
              <w:top w:val="single" w:sz="4" w:space="0" w:color="auto"/>
              <w:left w:val="nil"/>
              <w:bottom w:val="nil"/>
              <w:right w:val="nil"/>
            </w:tcBorders>
            <w:shd w:val="clear" w:color="auto" w:fill="E6E6E6"/>
            <w:noWrap/>
            <w:vAlign w:val="bottom"/>
            <w:hideMark/>
          </w:tcPr>
          <w:p w:rsidR="00A73603" w:rsidRPr="00AD0EFD" w:rsidRDefault="00A73603" w:rsidP="00DD5237">
            <w:pPr>
              <w:spacing w:before="0" w:after="0" w:line="240" w:lineRule="auto"/>
              <w:jc w:val="right"/>
              <w:rPr>
                <w:rFonts w:ascii="Arial" w:hAnsi="Arial" w:cs="Arial"/>
                <w:color w:val="000000"/>
                <w:sz w:val="16"/>
              </w:rPr>
            </w:pPr>
          </w:p>
        </w:tc>
        <w:tc>
          <w:tcPr>
            <w:tcW w:w="570" w:type="pct"/>
            <w:tcBorders>
              <w:top w:val="single" w:sz="4" w:space="0" w:color="auto"/>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p>
        </w:tc>
        <w:tc>
          <w:tcPr>
            <w:tcW w:w="570" w:type="pct"/>
            <w:tcBorders>
              <w:top w:val="single" w:sz="4" w:space="0" w:color="auto"/>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Times New Roman" w:hAnsi="Times New Roman"/>
                <w:sz w:val="16"/>
              </w:rPr>
            </w:pPr>
          </w:p>
        </w:tc>
        <w:tc>
          <w:tcPr>
            <w:tcW w:w="570" w:type="pct"/>
            <w:tcBorders>
              <w:top w:val="single" w:sz="4" w:space="0" w:color="auto"/>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Times New Roman" w:hAnsi="Times New Roman"/>
                <w:sz w:val="16"/>
              </w:rPr>
            </w:pPr>
          </w:p>
        </w:tc>
      </w:tr>
      <w:tr w:rsidR="00A73603" w:rsidRPr="00AD0EFD" w:rsidTr="00DD5237">
        <w:trPr>
          <w:trHeight w:val="204"/>
        </w:trPr>
        <w:tc>
          <w:tcPr>
            <w:tcW w:w="2117" w:type="pct"/>
            <w:tcBorders>
              <w:top w:val="nil"/>
              <w:left w:val="nil"/>
              <w:bottom w:val="nil"/>
              <w:right w:val="nil"/>
            </w:tcBorders>
            <w:shd w:val="clear" w:color="auto" w:fill="auto"/>
            <w:vAlign w:val="center"/>
            <w:hideMark/>
          </w:tcPr>
          <w:p w:rsidR="00A73603" w:rsidRPr="00AD0EFD" w:rsidRDefault="00A73603" w:rsidP="00DD5237">
            <w:pPr>
              <w:spacing w:before="0" w:after="0" w:line="240" w:lineRule="auto"/>
              <w:ind w:left="113"/>
              <w:rPr>
                <w:rFonts w:ascii="Arial" w:hAnsi="Arial" w:cs="Arial"/>
                <w:color w:val="000000"/>
                <w:sz w:val="16"/>
                <w:szCs w:val="16"/>
              </w:rPr>
            </w:pPr>
            <w:r w:rsidRPr="00C4645D">
              <w:rPr>
                <w:rFonts w:ascii="Arial" w:hAnsi="Arial" w:cs="Arial"/>
                <w:sz w:val="16"/>
                <w:szCs w:val="16"/>
              </w:rPr>
              <w:t>Funded</w:t>
            </w:r>
            <w:r w:rsidRPr="00AD0EFD">
              <w:rPr>
                <w:rFonts w:ascii="Arial" w:hAnsi="Arial" w:cs="Arial"/>
                <w:color w:val="000000"/>
                <w:sz w:val="16"/>
                <w:szCs w:val="16"/>
              </w:rPr>
              <w:t xml:space="preserve"> </w:t>
            </w:r>
            <w:r>
              <w:rPr>
                <w:rFonts w:ascii="Arial" w:hAnsi="Arial" w:cs="Arial"/>
                <w:color w:val="000000"/>
                <w:sz w:val="16"/>
                <w:szCs w:val="16"/>
              </w:rPr>
              <w:t>i</w:t>
            </w:r>
            <w:r w:rsidRPr="00AD0EFD">
              <w:rPr>
                <w:rFonts w:ascii="Arial" w:hAnsi="Arial" w:cs="Arial"/>
                <w:color w:val="000000"/>
                <w:sz w:val="16"/>
                <w:szCs w:val="16"/>
              </w:rPr>
              <w:t xml:space="preserve">nternally from departmental resources </w:t>
            </w:r>
          </w:p>
        </w:tc>
        <w:tc>
          <w:tcPr>
            <w:tcW w:w="602"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szCs w:val="16"/>
              </w:rPr>
            </w:pPr>
            <w:r w:rsidRPr="00AD0EFD">
              <w:rPr>
                <w:rFonts w:ascii="Arial" w:hAnsi="Arial" w:cs="Arial"/>
                <w:color w:val="000000"/>
                <w:sz w:val="16"/>
                <w:szCs w:val="16"/>
              </w:rPr>
              <w:t>23,038</w:t>
            </w:r>
          </w:p>
        </w:tc>
        <w:tc>
          <w:tcPr>
            <w:tcW w:w="571" w:type="pct"/>
            <w:tcBorders>
              <w:top w:val="nil"/>
              <w:left w:val="nil"/>
              <w:bottom w:val="nil"/>
              <w:right w:val="nil"/>
            </w:tcBorders>
            <w:shd w:val="clear" w:color="auto" w:fill="E6E6E6"/>
            <w:noWrap/>
            <w:vAlign w:val="bottom"/>
            <w:hideMark/>
          </w:tcPr>
          <w:p w:rsidR="00A73603" w:rsidRPr="00AD0EFD" w:rsidRDefault="00A73603" w:rsidP="00DD5237">
            <w:pPr>
              <w:spacing w:before="0" w:after="0" w:line="240" w:lineRule="auto"/>
              <w:jc w:val="right"/>
              <w:rPr>
                <w:rFonts w:ascii="Arial" w:hAnsi="Arial" w:cs="Arial"/>
                <w:color w:val="000000"/>
                <w:sz w:val="16"/>
                <w:szCs w:val="16"/>
              </w:rPr>
            </w:pPr>
            <w:r w:rsidRPr="00AD0EFD">
              <w:rPr>
                <w:rFonts w:ascii="Arial" w:hAnsi="Arial" w:cs="Arial"/>
                <w:color w:val="000000"/>
                <w:sz w:val="16"/>
                <w:szCs w:val="16"/>
              </w:rPr>
              <w:t>9,066</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szCs w:val="16"/>
              </w:rPr>
            </w:pPr>
            <w:r w:rsidRPr="00AD0EFD">
              <w:rPr>
                <w:rFonts w:ascii="Arial" w:hAnsi="Arial" w:cs="Arial"/>
                <w:color w:val="000000"/>
                <w:sz w:val="16"/>
                <w:szCs w:val="16"/>
              </w:rPr>
              <w:t>14,391</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szCs w:val="16"/>
              </w:rPr>
            </w:pPr>
            <w:r w:rsidRPr="00AD0EFD">
              <w:rPr>
                <w:rFonts w:ascii="Arial" w:hAnsi="Arial" w:cs="Arial"/>
                <w:color w:val="000000"/>
                <w:sz w:val="16"/>
                <w:szCs w:val="16"/>
              </w:rPr>
              <w:t>7,123</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szCs w:val="16"/>
              </w:rPr>
            </w:pPr>
            <w:r w:rsidRPr="00AD0EFD">
              <w:rPr>
                <w:rFonts w:ascii="Arial" w:hAnsi="Arial" w:cs="Arial"/>
                <w:color w:val="000000"/>
                <w:sz w:val="16"/>
                <w:szCs w:val="16"/>
              </w:rPr>
              <w:t>9,631</w:t>
            </w:r>
          </w:p>
        </w:tc>
      </w:tr>
      <w:tr w:rsidR="00A73603" w:rsidRPr="00AD0EFD" w:rsidTr="00DD5237">
        <w:trPr>
          <w:trHeight w:val="204"/>
        </w:trPr>
        <w:tc>
          <w:tcPr>
            <w:tcW w:w="2117" w:type="pct"/>
            <w:tcBorders>
              <w:top w:val="nil"/>
              <w:left w:val="nil"/>
              <w:bottom w:val="nil"/>
              <w:right w:val="nil"/>
            </w:tcBorders>
            <w:shd w:val="clear" w:color="auto" w:fill="auto"/>
            <w:vAlign w:val="center"/>
            <w:hideMark/>
          </w:tcPr>
          <w:p w:rsidR="00A73603" w:rsidRPr="00AD0EFD" w:rsidRDefault="00A73603" w:rsidP="00DD5237">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r w:rsidRPr="00AD0EFD">
              <w:rPr>
                <w:rFonts w:ascii="Arial" w:hAnsi="Arial" w:cs="Arial"/>
                <w:b/>
                <w:bCs/>
                <w:color w:val="000000"/>
                <w:sz w:val="16"/>
                <w:szCs w:val="16"/>
              </w:rPr>
              <w:t>23,038</w:t>
            </w:r>
          </w:p>
        </w:tc>
        <w:tc>
          <w:tcPr>
            <w:tcW w:w="571" w:type="pct"/>
            <w:tcBorders>
              <w:top w:val="single" w:sz="4" w:space="0" w:color="auto"/>
              <w:left w:val="nil"/>
              <w:bottom w:val="single" w:sz="4" w:space="0" w:color="auto"/>
              <w:right w:val="nil"/>
            </w:tcBorders>
            <w:shd w:val="clear" w:color="auto" w:fill="E6E6E6"/>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r w:rsidRPr="00AD0EFD">
              <w:rPr>
                <w:rFonts w:ascii="Arial" w:hAnsi="Arial" w:cs="Arial"/>
                <w:b/>
                <w:bCs/>
                <w:color w:val="000000"/>
                <w:sz w:val="16"/>
                <w:szCs w:val="16"/>
              </w:rPr>
              <w:t>9,066</w:t>
            </w:r>
          </w:p>
        </w:tc>
        <w:tc>
          <w:tcPr>
            <w:tcW w:w="570" w:type="pct"/>
            <w:tcBorders>
              <w:top w:val="single" w:sz="4" w:space="0" w:color="auto"/>
              <w:left w:val="nil"/>
              <w:bottom w:val="single" w:sz="4" w:space="0" w:color="auto"/>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r w:rsidRPr="00AD0EFD">
              <w:rPr>
                <w:rFonts w:ascii="Arial" w:hAnsi="Arial" w:cs="Arial"/>
                <w:b/>
                <w:bCs/>
                <w:color w:val="000000"/>
                <w:sz w:val="16"/>
                <w:szCs w:val="16"/>
              </w:rPr>
              <w:t>14,391</w:t>
            </w:r>
          </w:p>
        </w:tc>
        <w:tc>
          <w:tcPr>
            <w:tcW w:w="570" w:type="pct"/>
            <w:tcBorders>
              <w:top w:val="single" w:sz="4" w:space="0" w:color="auto"/>
              <w:left w:val="nil"/>
              <w:bottom w:val="single" w:sz="4" w:space="0" w:color="auto"/>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r w:rsidRPr="00AD0EFD">
              <w:rPr>
                <w:rFonts w:ascii="Arial" w:hAnsi="Arial" w:cs="Arial"/>
                <w:b/>
                <w:bCs/>
                <w:color w:val="000000"/>
                <w:sz w:val="16"/>
                <w:szCs w:val="16"/>
              </w:rPr>
              <w:t>7,123</w:t>
            </w:r>
          </w:p>
        </w:tc>
        <w:tc>
          <w:tcPr>
            <w:tcW w:w="570" w:type="pct"/>
            <w:tcBorders>
              <w:top w:val="single" w:sz="4" w:space="0" w:color="auto"/>
              <w:left w:val="nil"/>
              <w:bottom w:val="single" w:sz="4" w:space="0" w:color="auto"/>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r w:rsidRPr="00AD0EFD">
              <w:rPr>
                <w:rFonts w:ascii="Arial" w:hAnsi="Arial" w:cs="Arial"/>
                <w:b/>
                <w:bCs/>
                <w:color w:val="000000"/>
                <w:sz w:val="16"/>
                <w:szCs w:val="16"/>
              </w:rPr>
              <w:t>9,631</w:t>
            </w:r>
          </w:p>
        </w:tc>
      </w:tr>
      <w:tr w:rsidR="00A73603" w:rsidRPr="00AD0EFD" w:rsidTr="00DD5237">
        <w:trPr>
          <w:trHeight w:val="204"/>
        </w:trPr>
        <w:tc>
          <w:tcPr>
            <w:tcW w:w="2117" w:type="pct"/>
            <w:tcBorders>
              <w:top w:val="nil"/>
              <w:left w:val="nil"/>
              <w:bottom w:val="nil"/>
              <w:right w:val="nil"/>
            </w:tcBorders>
            <w:shd w:val="clear" w:color="auto" w:fill="auto"/>
            <w:vAlign w:val="center"/>
            <w:hideMark/>
          </w:tcPr>
          <w:p w:rsidR="00A73603" w:rsidRPr="00AD0EFD" w:rsidRDefault="00A73603" w:rsidP="00DD5237">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auto" w:fill="E6E6E6"/>
            <w:noWrap/>
            <w:vAlign w:val="bottom"/>
            <w:hideMark/>
          </w:tcPr>
          <w:p w:rsidR="00A73603" w:rsidRPr="00AD0EFD" w:rsidRDefault="00A73603" w:rsidP="00DD5237">
            <w:pPr>
              <w:spacing w:before="0" w:after="0" w:line="240" w:lineRule="auto"/>
              <w:jc w:val="right"/>
              <w:rPr>
                <w:rFonts w:ascii="Arial" w:hAnsi="Arial" w:cs="Arial"/>
                <w:color w:val="000000"/>
                <w:sz w:val="16"/>
              </w:rPr>
            </w:pP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Times New Roman" w:hAnsi="Times New Roman"/>
                <w:sz w:val="16"/>
              </w:rPr>
            </w:pP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Times New Roman" w:hAnsi="Times New Roman"/>
                <w:sz w:val="16"/>
              </w:rPr>
            </w:pPr>
          </w:p>
        </w:tc>
      </w:tr>
      <w:tr w:rsidR="00A73603" w:rsidRPr="00AD0EFD" w:rsidTr="00DD5237">
        <w:trPr>
          <w:trHeight w:val="204"/>
        </w:trPr>
        <w:tc>
          <w:tcPr>
            <w:tcW w:w="2117" w:type="pct"/>
            <w:tcBorders>
              <w:top w:val="nil"/>
              <w:left w:val="nil"/>
              <w:bottom w:val="nil"/>
              <w:right w:val="nil"/>
            </w:tcBorders>
            <w:shd w:val="clear" w:color="auto" w:fill="auto"/>
            <w:vAlign w:val="center"/>
            <w:hideMark/>
          </w:tcPr>
          <w:p w:rsidR="00A73603" w:rsidRPr="00AD0EFD" w:rsidRDefault="00A73603" w:rsidP="00DD5237">
            <w:pPr>
              <w:spacing w:before="0" w:after="0" w:line="240" w:lineRule="auto"/>
              <w:ind w:left="113"/>
              <w:rPr>
                <w:rFonts w:ascii="Arial" w:hAnsi="Arial" w:cs="Arial"/>
                <w:color w:val="000000"/>
                <w:sz w:val="16"/>
                <w:szCs w:val="16"/>
              </w:rPr>
            </w:pPr>
            <w:r w:rsidRPr="00AD0EFD">
              <w:rPr>
                <w:rFonts w:ascii="Arial" w:hAnsi="Arial" w:cs="Arial"/>
                <w:color w:val="000000"/>
                <w:sz w:val="16"/>
                <w:szCs w:val="16"/>
              </w:rPr>
              <w:t>Total purchases</w:t>
            </w:r>
          </w:p>
        </w:tc>
        <w:tc>
          <w:tcPr>
            <w:tcW w:w="602"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r w:rsidRPr="00AD0EFD">
              <w:rPr>
                <w:rFonts w:ascii="Arial" w:hAnsi="Arial" w:cs="Arial"/>
                <w:color w:val="000000"/>
                <w:sz w:val="16"/>
              </w:rPr>
              <w:t>23,038</w:t>
            </w:r>
          </w:p>
        </w:tc>
        <w:tc>
          <w:tcPr>
            <w:tcW w:w="571" w:type="pct"/>
            <w:tcBorders>
              <w:top w:val="nil"/>
              <w:left w:val="nil"/>
              <w:bottom w:val="nil"/>
              <w:right w:val="nil"/>
            </w:tcBorders>
            <w:shd w:val="clear" w:color="auto" w:fill="E6E6E6"/>
            <w:noWrap/>
            <w:vAlign w:val="bottom"/>
            <w:hideMark/>
          </w:tcPr>
          <w:p w:rsidR="00A73603" w:rsidRPr="00AD0EFD" w:rsidRDefault="00A73603" w:rsidP="00DD5237">
            <w:pPr>
              <w:spacing w:before="0" w:after="0" w:line="240" w:lineRule="auto"/>
              <w:jc w:val="right"/>
              <w:rPr>
                <w:rFonts w:ascii="Arial" w:hAnsi="Arial" w:cs="Arial"/>
                <w:color w:val="000000"/>
                <w:sz w:val="16"/>
              </w:rPr>
            </w:pPr>
            <w:r w:rsidRPr="00AD0EFD">
              <w:rPr>
                <w:rFonts w:ascii="Arial" w:hAnsi="Arial" w:cs="Arial"/>
                <w:color w:val="000000"/>
                <w:sz w:val="16"/>
              </w:rPr>
              <w:t>9,066</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r w:rsidRPr="00AD0EFD">
              <w:rPr>
                <w:rFonts w:ascii="Arial" w:hAnsi="Arial" w:cs="Arial"/>
                <w:color w:val="000000"/>
                <w:sz w:val="16"/>
              </w:rPr>
              <w:t>14,391</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r w:rsidRPr="00AD0EFD">
              <w:rPr>
                <w:rFonts w:ascii="Arial" w:hAnsi="Arial" w:cs="Arial"/>
                <w:color w:val="000000"/>
                <w:sz w:val="16"/>
              </w:rPr>
              <w:t>7,123</w:t>
            </w:r>
          </w:p>
        </w:tc>
        <w:tc>
          <w:tcPr>
            <w:tcW w:w="570" w:type="pct"/>
            <w:tcBorders>
              <w:top w:val="nil"/>
              <w:left w:val="nil"/>
              <w:bottom w:val="nil"/>
              <w:right w:val="nil"/>
            </w:tcBorders>
            <w:shd w:val="clear" w:color="auto" w:fill="auto"/>
            <w:noWrap/>
            <w:vAlign w:val="bottom"/>
            <w:hideMark/>
          </w:tcPr>
          <w:p w:rsidR="00A73603" w:rsidRPr="00AD0EFD" w:rsidRDefault="00A73603" w:rsidP="00DD5237">
            <w:pPr>
              <w:spacing w:before="0" w:after="0" w:line="240" w:lineRule="auto"/>
              <w:jc w:val="right"/>
              <w:rPr>
                <w:rFonts w:ascii="Arial" w:hAnsi="Arial" w:cs="Arial"/>
                <w:color w:val="000000"/>
                <w:sz w:val="16"/>
              </w:rPr>
            </w:pPr>
            <w:r w:rsidRPr="00AD0EFD">
              <w:rPr>
                <w:rFonts w:ascii="Arial" w:hAnsi="Arial" w:cs="Arial"/>
                <w:color w:val="000000"/>
                <w:sz w:val="16"/>
              </w:rPr>
              <w:t>9,631</w:t>
            </w:r>
          </w:p>
        </w:tc>
      </w:tr>
      <w:tr w:rsidR="00A73603" w:rsidRPr="00AD0EFD" w:rsidTr="00DD5237">
        <w:trPr>
          <w:trHeight w:val="204"/>
        </w:trPr>
        <w:tc>
          <w:tcPr>
            <w:tcW w:w="2117" w:type="pct"/>
            <w:tcBorders>
              <w:top w:val="nil"/>
              <w:left w:val="nil"/>
              <w:bottom w:val="single" w:sz="4" w:space="0" w:color="auto"/>
              <w:right w:val="nil"/>
            </w:tcBorders>
            <w:shd w:val="clear" w:color="auto" w:fill="auto"/>
            <w:vAlign w:val="center"/>
            <w:hideMark/>
          </w:tcPr>
          <w:p w:rsidR="00A73603" w:rsidRPr="00AD0EFD" w:rsidRDefault="00A73603" w:rsidP="00DD5237">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Total cash used to acquire assets</w:t>
            </w:r>
          </w:p>
        </w:tc>
        <w:tc>
          <w:tcPr>
            <w:tcW w:w="602" w:type="pct"/>
            <w:tcBorders>
              <w:top w:val="single" w:sz="4" w:space="0" w:color="auto"/>
              <w:left w:val="nil"/>
              <w:bottom w:val="single" w:sz="4" w:space="0" w:color="auto"/>
              <w:right w:val="nil"/>
            </w:tcBorders>
            <w:shd w:val="clear" w:color="auto" w:fill="auto"/>
            <w:vAlign w:val="bottom"/>
            <w:hideMark/>
          </w:tcPr>
          <w:p w:rsidR="00A73603" w:rsidRPr="00605C03" w:rsidRDefault="00A73603" w:rsidP="00DD5237">
            <w:pPr>
              <w:spacing w:before="0" w:after="0" w:line="240" w:lineRule="auto"/>
              <w:jc w:val="right"/>
              <w:rPr>
                <w:rFonts w:ascii="Arial" w:hAnsi="Arial" w:cs="Arial"/>
                <w:b/>
                <w:color w:val="000000"/>
                <w:sz w:val="16"/>
              </w:rPr>
            </w:pPr>
            <w:r w:rsidRPr="00605C03">
              <w:rPr>
                <w:rFonts w:ascii="Arial" w:hAnsi="Arial" w:cs="Arial"/>
                <w:b/>
                <w:color w:val="000000"/>
                <w:sz w:val="16"/>
              </w:rPr>
              <w:t>23,038</w:t>
            </w:r>
          </w:p>
        </w:tc>
        <w:tc>
          <w:tcPr>
            <w:tcW w:w="571" w:type="pct"/>
            <w:tcBorders>
              <w:top w:val="single" w:sz="4" w:space="0" w:color="auto"/>
              <w:left w:val="nil"/>
              <w:bottom w:val="single" w:sz="4" w:space="0" w:color="auto"/>
              <w:right w:val="nil"/>
            </w:tcBorders>
            <w:shd w:val="clear" w:color="auto" w:fill="E6E6E6"/>
            <w:vAlign w:val="bottom"/>
            <w:hideMark/>
          </w:tcPr>
          <w:p w:rsidR="00A73603" w:rsidRPr="00605C03" w:rsidRDefault="00A73603" w:rsidP="00DD5237">
            <w:pPr>
              <w:spacing w:before="0" w:after="0" w:line="240" w:lineRule="auto"/>
              <w:jc w:val="right"/>
              <w:rPr>
                <w:rFonts w:ascii="Arial" w:hAnsi="Arial" w:cs="Arial"/>
                <w:b/>
                <w:color w:val="000000"/>
                <w:sz w:val="16"/>
              </w:rPr>
            </w:pPr>
            <w:r w:rsidRPr="00605C03">
              <w:rPr>
                <w:rFonts w:ascii="Arial" w:hAnsi="Arial" w:cs="Arial"/>
                <w:b/>
                <w:color w:val="000000"/>
                <w:sz w:val="16"/>
              </w:rPr>
              <w:t>9,066</w:t>
            </w:r>
          </w:p>
        </w:tc>
        <w:tc>
          <w:tcPr>
            <w:tcW w:w="570" w:type="pct"/>
            <w:tcBorders>
              <w:top w:val="single" w:sz="4" w:space="0" w:color="auto"/>
              <w:left w:val="nil"/>
              <w:bottom w:val="single" w:sz="4" w:space="0" w:color="auto"/>
              <w:right w:val="nil"/>
            </w:tcBorders>
            <w:shd w:val="clear" w:color="auto" w:fill="auto"/>
            <w:vAlign w:val="bottom"/>
            <w:hideMark/>
          </w:tcPr>
          <w:p w:rsidR="00A73603" w:rsidRPr="00605C03" w:rsidRDefault="00A73603" w:rsidP="00DD5237">
            <w:pPr>
              <w:spacing w:before="0" w:after="0" w:line="240" w:lineRule="auto"/>
              <w:jc w:val="right"/>
              <w:rPr>
                <w:rFonts w:ascii="Arial" w:hAnsi="Arial" w:cs="Arial"/>
                <w:b/>
                <w:color w:val="000000"/>
                <w:sz w:val="16"/>
              </w:rPr>
            </w:pPr>
            <w:r w:rsidRPr="00605C03">
              <w:rPr>
                <w:rFonts w:ascii="Arial" w:hAnsi="Arial" w:cs="Arial"/>
                <w:b/>
                <w:color w:val="000000"/>
                <w:sz w:val="16"/>
              </w:rPr>
              <w:t>14,391</w:t>
            </w:r>
          </w:p>
        </w:tc>
        <w:tc>
          <w:tcPr>
            <w:tcW w:w="570" w:type="pct"/>
            <w:tcBorders>
              <w:top w:val="single" w:sz="4" w:space="0" w:color="auto"/>
              <w:left w:val="nil"/>
              <w:bottom w:val="single" w:sz="4" w:space="0" w:color="auto"/>
              <w:right w:val="nil"/>
            </w:tcBorders>
            <w:shd w:val="clear" w:color="auto" w:fill="auto"/>
            <w:vAlign w:val="bottom"/>
            <w:hideMark/>
          </w:tcPr>
          <w:p w:rsidR="00A73603" w:rsidRPr="00605C03" w:rsidRDefault="00A73603" w:rsidP="00DD5237">
            <w:pPr>
              <w:spacing w:before="0" w:after="0" w:line="240" w:lineRule="auto"/>
              <w:jc w:val="right"/>
              <w:rPr>
                <w:rFonts w:ascii="Arial" w:hAnsi="Arial" w:cs="Arial"/>
                <w:b/>
                <w:color w:val="000000"/>
                <w:sz w:val="16"/>
              </w:rPr>
            </w:pPr>
            <w:r w:rsidRPr="00605C03">
              <w:rPr>
                <w:rFonts w:ascii="Arial" w:hAnsi="Arial" w:cs="Arial"/>
                <w:b/>
                <w:color w:val="000000"/>
                <w:sz w:val="16"/>
              </w:rPr>
              <w:t>7,123</w:t>
            </w:r>
          </w:p>
        </w:tc>
        <w:tc>
          <w:tcPr>
            <w:tcW w:w="570" w:type="pct"/>
            <w:tcBorders>
              <w:top w:val="single" w:sz="4" w:space="0" w:color="auto"/>
              <w:left w:val="nil"/>
              <w:bottom w:val="single" w:sz="4" w:space="0" w:color="auto"/>
              <w:right w:val="nil"/>
            </w:tcBorders>
            <w:shd w:val="clear" w:color="auto" w:fill="auto"/>
            <w:vAlign w:val="bottom"/>
            <w:hideMark/>
          </w:tcPr>
          <w:p w:rsidR="00A73603" w:rsidRPr="00605C03" w:rsidRDefault="00A73603" w:rsidP="00DD5237">
            <w:pPr>
              <w:spacing w:before="0" w:after="0" w:line="240" w:lineRule="auto"/>
              <w:jc w:val="right"/>
              <w:rPr>
                <w:rFonts w:ascii="Arial" w:hAnsi="Arial" w:cs="Arial"/>
                <w:b/>
                <w:color w:val="000000"/>
                <w:sz w:val="16"/>
              </w:rPr>
            </w:pPr>
            <w:r w:rsidRPr="00605C03">
              <w:rPr>
                <w:rFonts w:ascii="Arial" w:hAnsi="Arial" w:cs="Arial"/>
                <w:b/>
                <w:color w:val="000000"/>
                <w:sz w:val="16"/>
              </w:rPr>
              <w:t>9,631</w:t>
            </w:r>
          </w:p>
        </w:tc>
      </w:tr>
    </w:tbl>
    <w:p w:rsidR="00A73603" w:rsidRDefault="00A73603" w:rsidP="00A73603">
      <w:pPr>
        <w:pStyle w:val="ChartandTableFootnote"/>
      </w:pPr>
      <w:r w:rsidRPr="00132F9E">
        <w:t>Prepared on Australian Accounting Standards basis.</w:t>
      </w:r>
      <w:r>
        <w:br w:type="page"/>
      </w:r>
    </w:p>
    <w:p w:rsidR="00A73603" w:rsidRDefault="00A73603" w:rsidP="00A73603">
      <w:pPr>
        <w:pStyle w:val="TableHeading"/>
        <w:contextualSpac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706"/>
        <w:gridCol w:w="34"/>
        <w:gridCol w:w="951"/>
        <w:gridCol w:w="1008"/>
        <w:gridCol w:w="1027"/>
        <w:gridCol w:w="984"/>
      </w:tblGrid>
      <w:tr w:rsidR="00A73603" w:rsidRPr="00053658" w:rsidTr="00DD5237">
        <w:trPr>
          <w:trHeight w:val="204"/>
        </w:trPr>
        <w:tc>
          <w:tcPr>
            <w:tcW w:w="2425" w:type="pct"/>
            <w:gridSpan w:val="2"/>
            <w:tcBorders>
              <w:top w:val="single" w:sz="4" w:space="0" w:color="auto"/>
            </w:tcBorders>
            <w:shd w:val="clear" w:color="auto" w:fill="auto"/>
            <w:noWrap/>
            <w:vAlign w:val="center"/>
          </w:tcPr>
          <w:p w:rsidR="00A73603" w:rsidRPr="00053658" w:rsidRDefault="00A73603" w:rsidP="00DD5237">
            <w:pPr>
              <w:spacing w:before="0" w:after="0" w:line="240" w:lineRule="auto"/>
              <w:rPr>
                <w:rFonts w:ascii="Arial" w:hAnsi="Arial" w:cs="Arial"/>
                <w:sz w:val="16"/>
                <w:szCs w:val="16"/>
              </w:rPr>
            </w:pPr>
          </w:p>
        </w:tc>
        <w:tc>
          <w:tcPr>
            <w:tcW w:w="2575" w:type="pct"/>
            <w:gridSpan w:val="4"/>
            <w:tcBorders>
              <w:top w:val="single" w:sz="4" w:space="0" w:color="auto"/>
              <w:left w:val="nil"/>
              <w:bottom w:val="single" w:sz="4" w:space="0" w:color="auto"/>
              <w:right w:val="nil"/>
            </w:tcBorders>
            <w:shd w:val="clear" w:color="auto" w:fill="auto"/>
            <w:vAlign w:val="bottom"/>
          </w:tcPr>
          <w:p w:rsidR="00A73603" w:rsidRPr="00053658" w:rsidRDefault="00A73603"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A73603" w:rsidRPr="00EE52CE" w:rsidTr="00DD5237">
        <w:trPr>
          <w:trHeight w:val="204"/>
        </w:trPr>
        <w:tc>
          <w:tcPr>
            <w:tcW w:w="2403" w:type="pct"/>
            <w:tcBorders>
              <w:left w:val="nil"/>
              <w:bottom w:val="nil"/>
              <w:right w:val="nil"/>
            </w:tcBorders>
            <w:shd w:val="clear" w:color="auto" w:fill="auto"/>
            <w:noWrap/>
            <w:vAlign w:val="center"/>
            <w:hideMark/>
          </w:tcPr>
          <w:p w:rsidR="00A73603" w:rsidRPr="00EE52CE" w:rsidRDefault="00A73603" w:rsidP="00DD5237">
            <w:pPr>
              <w:spacing w:before="0" w:after="0" w:line="240" w:lineRule="auto"/>
              <w:rPr>
                <w:rFonts w:ascii="Arial" w:hAnsi="Arial" w:cs="Arial"/>
                <w:sz w:val="16"/>
                <w:szCs w:val="16"/>
              </w:rPr>
            </w:pPr>
            <w:r w:rsidRPr="00EE52CE">
              <w:rPr>
                <w:rFonts w:ascii="Arial" w:hAnsi="Arial" w:cs="Arial"/>
                <w:sz w:val="16"/>
                <w:szCs w:val="16"/>
              </w:rPr>
              <w:t> </w:t>
            </w:r>
          </w:p>
        </w:tc>
        <w:tc>
          <w:tcPr>
            <w:tcW w:w="639" w:type="pct"/>
            <w:gridSpan w:val="2"/>
            <w:tcBorders>
              <w:top w:val="single" w:sz="4" w:space="0" w:color="auto"/>
              <w:left w:val="nil"/>
              <w:bottom w:val="single" w:sz="4" w:space="0" w:color="auto"/>
              <w:right w:val="nil"/>
            </w:tcBorders>
            <w:shd w:val="clear" w:color="auto" w:fill="auto"/>
            <w:vAlign w:val="center"/>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Buildings</w:t>
            </w:r>
            <w:r w:rsidRPr="00EE52CE">
              <w:rPr>
                <w:rFonts w:ascii="Arial" w:hAnsi="Arial" w:cs="Arial"/>
                <w:sz w:val="16"/>
                <w:szCs w:val="16"/>
              </w:rPr>
              <w:br/>
            </w:r>
            <w:r w:rsidRPr="00EE52CE">
              <w:rPr>
                <w:rFonts w:ascii="Arial" w:hAnsi="Arial" w:cs="Arial"/>
                <w:sz w:val="16"/>
                <w:szCs w:val="16"/>
              </w:rPr>
              <w:br/>
            </w:r>
            <w:r w:rsidRPr="00EE52CE">
              <w:rPr>
                <w:rFonts w:ascii="Arial" w:hAnsi="Arial" w:cs="Arial"/>
                <w:sz w:val="16"/>
                <w:szCs w:val="16"/>
              </w:rPr>
              <w:br/>
            </w:r>
            <w:r w:rsidRPr="00EE52CE">
              <w:rPr>
                <w:rFonts w:ascii="Arial" w:hAnsi="Arial" w:cs="Arial"/>
                <w:sz w:val="16"/>
                <w:szCs w:val="16"/>
              </w:rPr>
              <w:br/>
              <w:t>$'000</w:t>
            </w:r>
          </w:p>
        </w:tc>
        <w:tc>
          <w:tcPr>
            <w:tcW w:w="654" w:type="pct"/>
            <w:tcBorders>
              <w:top w:val="single" w:sz="4" w:space="0" w:color="auto"/>
              <w:left w:val="nil"/>
              <w:bottom w:val="single" w:sz="4" w:space="0" w:color="auto"/>
              <w:right w:val="nil"/>
            </w:tcBorders>
            <w:shd w:val="clear" w:color="auto" w:fill="auto"/>
            <w:vAlign w:val="center"/>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Other</w:t>
            </w:r>
            <w:r w:rsidRPr="00EE52CE">
              <w:rPr>
                <w:rFonts w:ascii="Arial" w:hAnsi="Arial" w:cs="Arial"/>
                <w:sz w:val="16"/>
                <w:szCs w:val="16"/>
              </w:rPr>
              <w:br/>
              <w:t>property,</w:t>
            </w:r>
            <w:r w:rsidRPr="00EE52CE">
              <w:rPr>
                <w:rFonts w:ascii="Arial" w:hAnsi="Arial" w:cs="Arial"/>
                <w:sz w:val="16"/>
                <w:szCs w:val="16"/>
              </w:rPr>
              <w:br/>
              <w:t>plant and</w:t>
            </w:r>
            <w:r w:rsidRPr="00EE52CE">
              <w:rPr>
                <w:rFonts w:ascii="Arial" w:hAnsi="Arial" w:cs="Arial"/>
                <w:sz w:val="16"/>
                <w:szCs w:val="16"/>
              </w:rPr>
              <w:br/>
              <w:t>equipment</w:t>
            </w:r>
            <w:r w:rsidRPr="00EE52CE">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vAlign w:val="center"/>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Computer</w:t>
            </w:r>
            <w:r w:rsidRPr="00EE52CE">
              <w:rPr>
                <w:rFonts w:ascii="Arial" w:hAnsi="Arial" w:cs="Arial"/>
                <w:sz w:val="16"/>
                <w:szCs w:val="16"/>
              </w:rPr>
              <w:br/>
              <w:t>software</w:t>
            </w:r>
            <w:r>
              <w:rPr>
                <w:rFonts w:ascii="Arial" w:hAnsi="Arial" w:cs="Arial"/>
                <w:sz w:val="16"/>
                <w:szCs w:val="16"/>
              </w:rPr>
              <w:br/>
            </w:r>
            <w:r w:rsidRPr="00EE52CE">
              <w:rPr>
                <w:rFonts w:ascii="Arial" w:hAnsi="Arial" w:cs="Arial"/>
                <w:sz w:val="16"/>
                <w:szCs w:val="16"/>
              </w:rPr>
              <w:t>and</w:t>
            </w:r>
            <w:r w:rsidRPr="00EE52CE">
              <w:rPr>
                <w:rFonts w:ascii="Arial" w:hAnsi="Arial" w:cs="Arial"/>
                <w:sz w:val="16"/>
                <w:szCs w:val="16"/>
              </w:rPr>
              <w:br/>
              <w:t>intangibles</w:t>
            </w:r>
            <w:r w:rsidRPr="00EE52CE">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auto" w:fill="auto"/>
            <w:vAlign w:val="center"/>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Total</w:t>
            </w:r>
            <w:r w:rsidRPr="00EE52CE">
              <w:rPr>
                <w:rFonts w:ascii="Arial" w:hAnsi="Arial" w:cs="Arial"/>
                <w:sz w:val="16"/>
                <w:szCs w:val="16"/>
              </w:rPr>
              <w:br/>
            </w:r>
            <w:r w:rsidRPr="00EE52CE">
              <w:rPr>
                <w:rFonts w:ascii="Arial" w:hAnsi="Arial" w:cs="Arial"/>
                <w:sz w:val="16"/>
                <w:szCs w:val="16"/>
              </w:rPr>
              <w:br/>
            </w:r>
            <w:r w:rsidRPr="00EE52CE">
              <w:rPr>
                <w:rFonts w:ascii="Arial" w:hAnsi="Arial" w:cs="Arial"/>
                <w:sz w:val="16"/>
                <w:szCs w:val="16"/>
              </w:rPr>
              <w:br/>
            </w:r>
            <w:r w:rsidRPr="00EE52CE">
              <w:rPr>
                <w:rFonts w:ascii="Arial" w:hAnsi="Arial" w:cs="Arial"/>
                <w:sz w:val="16"/>
                <w:szCs w:val="16"/>
              </w:rPr>
              <w:br/>
              <w:t>$'000</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As at 1 July 2024</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 xml:space="preserve">Gross book value </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21,595</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99,534</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121,129</w:t>
            </w:r>
          </w:p>
        </w:tc>
      </w:tr>
      <w:tr w:rsidR="00A73603" w:rsidRPr="00EE52CE" w:rsidTr="00DD5237">
        <w:trPr>
          <w:trHeight w:val="204"/>
        </w:trPr>
        <w:tc>
          <w:tcPr>
            <w:tcW w:w="2403" w:type="pct"/>
            <w:tcBorders>
              <w:top w:val="nil"/>
              <w:left w:val="nil"/>
              <w:bottom w:val="nil"/>
              <w:right w:val="nil"/>
            </w:tcBorders>
            <w:shd w:val="clear" w:color="auto" w:fill="auto"/>
            <w:noWrap/>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Gross book value - ROU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101,122</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891</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102,013</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Accumulated depreciation/amortisation and impairment</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(2,344)</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(59,741)</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(62,085)</w:t>
            </w: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Accumulated depreciation/amortisation and impairment - ROU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(42,352)</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(901)</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(43,253)</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Opening net book balance</w:t>
            </w:r>
          </w:p>
        </w:tc>
        <w:tc>
          <w:tcPr>
            <w:tcW w:w="639" w:type="pct"/>
            <w:gridSpan w:val="2"/>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58,770</w:t>
            </w:r>
          </w:p>
        </w:tc>
        <w:tc>
          <w:tcPr>
            <w:tcW w:w="654"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19,241</w:t>
            </w:r>
          </w:p>
        </w:tc>
        <w:tc>
          <w:tcPr>
            <w:tcW w:w="666"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39,793</w:t>
            </w:r>
          </w:p>
        </w:tc>
        <w:tc>
          <w:tcPr>
            <w:tcW w:w="63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117,804</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Capital asset additions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C4645D" w:rsidRDefault="00A73603" w:rsidP="00DD5237">
            <w:pPr>
              <w:spacing w:before="0" w:after="0" w:line="240" w:lineRule="auto"/>
              <w:ind w:left="113"/>
              <w:rPr>
                <w:rFonts w:ascii="Arial" w:hAnsi="Arial" w:cs="Arial"/>
                <w:b/>
                <w:bCs/>
                <w:sz w:val="16"/>
                <w:szCs w:val="16"/>
              </w:rPr>
            </w:pPr>
            <w:r w:rsidRPr="00C4645D">
              <w:rPr>
                <w:rFonts w:ascii="Arial" w:hAnsi="Arial" w:cs="Arial"/>
                <w:b/>
                <w:sz w:val="16"/>
                <w:szCs w:val="16"/>
              </w:rPr>
              <w:t>Estimated</w:t>
            </w:r>
            <w:r w:rsidRPr="00C4645D">
              <w:rPr>
                <w:rFonts w:ascii="Arial" w:hAnsi="Arial" w:cs="Arial"/>
                <w:b/>
                <w:bCs/>
                <w:sz w:val="16"/>
                <w:szCs w:val="16"/>
              </w:rPr>
              <w:t xml:space="preserve"> expenditure on new or replacement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ind w:firstLineChars="100" w:firstLine="161"/>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ind w:left="227"/>
              <w:rPr>
                <w:rFonts w:ascii="Arial" w:hAnsi="Arial" w:cs="Arial"/>
                <w:sz w:val="16"/>
                <w:szCs w:val="16"/>
              </w:rPr>
            </w:pPr>
            <w:r w:rsidRPr="00EE52CE">
              <w:rPr>
                <w:rFonts w:ascii="Arial" w:hAnsi="Arial" w:cs="Arial"/>
                <w:sz w:val="16"/>
                <w:szCs w:val="16"/>
              </w:rPr>
              <w:t>By purchase - other</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2,546</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6,520</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9,066</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ind w:left="113"/>
              <w:rPr>
                <w:rFonts w:ascii="Arial" w:hAnsi="Arial" w:cs="Arial"/>
                <w:b/>
                <w:bCs/>
                <w:sz w:val="16"/>
                <w:szCs w:val="16"/>
              </w:rPr>
            </w:pPr>
            <w:r w:rsidRPr="00EE52CE">
              <w:rPr>
                <w:rFonts w:ascii="Arial" w:hAnsi="Arial" w:cs="Arial"/>
                <w:b/>
                <w:bCs/>
                <w:sz w:val="16"/>
                <w:szCs w:val="16"/>
              </w:rPr>
              <w:t>Total additions</w:t>
            </w:r>
          </w:p>
        </w:tc>
        <w:tc>
          <w:tcPr>
            <w:tcW w:w="639" w:type="pct"/>
            <w:gridSpan w:val="2"/>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w:t>
            </w:r>
          </w:p>
        </w:tc>
        <w:tc>
          <w:tcPr>
            <w:tcW w:w="654"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2,546</w:t>
            </w:r>
          </w:p>
        </w:tc>
        <w:tc>
          <w:tcPr>
            <w:tcW w:w="666"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6,520</w:t>
            </w:r>
          </w:p>
        </w:tc>
        <w:tc>
          <w:tcPr>
            <w:tcW w:w="638"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9,066</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C4645D" w:rsidRDefault="00A73603" w:rsidP="00DD5237">
            <w:pPr>
              <w:spacing w:before="0" w:after="0" w:line="240" w:lineRule="auto"/>
              <w:ind w:left="113"/>
              <w:rPr>
                <w:rFonts w:ascii="Arial" w:hAnsi="Arial" w:cs="Arial"/>
                <w:b/>
                <w:bCs/>
                <w:sz w:val="16"/>
                <w:szCs w:val="16"/>
              </w:rPr>
            </w:pPr>
            <w:r w:rsidRPr="00C4645D">
              <w:rPr>
                <w:rFonts w:ascii="Arial" w:hAnsi="Arial" w:cs="Arial"/>
                <w:b/>
                <w:sz w:val="16"/>
                <w:szCs w:val="16"/>
              </w:rPr>
              <w:t>Other</w:t>
            </w:r>
            <w:r w:rsidRPr="00C4645D">
              <w:rPr>
                <w:rFonts w:ascii="Arial" w:hAnsi="Arial" w:cs="Arial"/>
                <w:b/>
                <w:bCs/>
                <w:sz w:val="16"/>
                <w:szCs w:val="16"/>
              </w:rPr>
              <w:t xml:space="preserve"> movements</w:t>
            </w:r>
          </w:p>
        </w:tc>
        <w:tc>
          <w:tcPr>
            <w:tcW w:w="639" w:type="pct"/>
            <w:gridSpan w:val="2"/>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66"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38" w:type="pct"/>
            <w:tcBorders>
              <w:top w:val="single" w:sz="4" w:space="0" w:color="auto"/>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ind w:left="227"/>
              <w:rPr>
                <w:rFonts w:ascii="Arial" w:hAnsi="Arial" w:cs="Arial"/>
                <w:sz w:val="16"/>
                <w:szCs w:val="16"/>
              </w:rPr>
            </w:pPr>
            <w:r w:rsidRPr="00EE52CE">
              <w:rPr>
                <w:rFonts w:ascii="Arial" w:hAnsi="Arial" w:cs="Arial"/>
                <w:sz w:val="16"/>
                <w:szCs w:val="16"/>
              </w:rPr>
              <w:t>Depreciation/amortisation expense</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(3,523)</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(10,921)</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(14,444)</w:t>
            </w: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227"/>
              <w:rPr>
                <w:rFonts w:ascii="Arial" w:hAnsi="Arial" w:cs="Arial"/>
                <w:sz w:val="16"/>
                <w:szCs w:val="16"/>
              </w:rPr>
            </w:pPr>
            <w:r w:rsidRPr="00EE52CE">
              <w:rPr>
                <w:rFonts w:ascii="Arial" w:hAnsi="Arial" w:cs="Arial"/>
                <w:sz w:val="16"/>
                <w:szCs w:val="16"/>
              </w:rPr>
              <w:t>Depreciation/amortisation on ROU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(8,336)</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(88)</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(8,424)</w:t>
            </w:r>
          </w:p>
        </w:tc>
      </w:tr>
      <w:tr w:rsidR="00A73603" w:rsidRPr="00C4645D" w:rsidTr="00DD5237">
        <w:trPr>
          <w:trHeight w:val="204"/>
        </w:trPr>
        <w:tc>
          <w:tcPr>
            <w:tcW w:w="2403" w:type="pct"/>
            <w:tcBorders>
              <w:top w:val="nil"/>
              <w:left w:val="nil"/>
              <w:bottom w:val="nil"/>
              <w:right w:val="nil"/>
            </w:tcBorders>
            <w:shd w:val="clear" w:color="auto" w:fill="auto"/>
            <w:vAlign w:val="bottom"/>
            <w:hideMark/>
          </w:tcPr>
          <w:p w:rsidR="00A73603" w:rsidRPr="00C4645D" w:rsidRDefault="00A73603" w:rsidP="00DD5237">
            <w:pPr>
              <w:spacing w:before="0" w:after="0" w:line="240" w:lineRule="auto"/>
              <w:ind w:left="113"/>
              <w:rPr>
                <w:rFonts w:ascii="Arial" w:hAnsi="Arial" w:cs="Arial"/>
                <w:b/>
                <w:bCs/>
                <w:sz w:val="16"/>
                <w:szCs w:val="16"/>
              </w:rPr>
            </w:pPr>
            <w:r w:rsidRPr="00C4645D">
              <w:rPr>
                <w:rFonts w:ascii="Arial" w:hAnsi="Arial" w:cs="Arial"/>
                <w:b/>
                <w:sz w:val="16"/>
                <w:szCs w:val="16"/>
              </w:rPr>
              <w:t>Total</w:t>
            </w:r>
            <w:r w:rsidRPr="00C4645D">
              <w:rPr>
                <w:rFonts w:ascii="Arial" w:hAnsi="Arial" w:cs="Arial"/>
                <w:b/>
                <w:bCs/>
                <w:sz w:val="16"/>
                <w:szCs w:val="16"/>
              </w:rPr>
              <w:t xml:space="preserve"> other movements</w:t>
            </w:r>
          </w:p>
        </w:tc>
        <w:tc>
          <w:tcPr>
            <w:tcW w:w="639" w:type="pct"/>
            <w:gridSpan w:val="2"/>
            <w:tcBorders>
              <w:top w:val="single" w:sz="4" w:space="0" w:color="auto"/>
              <w:left w:val="nil"/>
              <w:bottom w:val="single" w:sz="4" w:space="0" w:color="auto"/>
              <w:right w:val="nil"/>
            </w:tcBorders>
            <w:shd w:val="clear" w:color="auto" w:fill="auto"/>
            <w:noWrap/>
            <w:vAlign w:val="bottom"/>
            <w:hideMark/>
          </w:tcPr>
          <w:p w:rsidR="00A73603" w:rsidRPr="00C4645D" w:rsidRDefault="00A73603" w:rsidP="00DD5237">
            <w:pPr>
              <w:spacing w:before="0" w:after="0" w:line="240" w:lineRule="auto"/>
              <w:jc w:val="right"/>
              <w:rPr>
                <w:rFonts w:ascii="Arial" w:hAnsi="Arial" w:cs="Arial"/>
                <w:b/>
                <w:bCs/>
                <w:sz w:val="16"/>
                <w:szCs w:val="16"/>
              </w:rPr>
            </w:pPr>
            <w:r w:rsidRPr="00C4645D">
              <w:rPr>
                <w:rFonts w:ascii="Arial" w:hAnsi="Arial" w:cs="Arial"/>
                <w:b/>
                <w:bCs/>
                <w:sz w:val="16"/>
                <w:szCs w:val="16"/>
              </w:rPr>
              <w:t>(8,336)</w:t>
            </w:r>
          </w:p>
        </w:tc>
        <w:tc>
          <w:tcPr>
            <w:tcW w:w="654" w:type="pct"/>
            <w:tcBorders>
              <w:top w:val="single" w:sz="4" w:space="0" w:color="auto"/>
              <w:left w:val="nil"/>
              <w:bottom w:val="single" w:sz="4" w:space="0" w:color="auto"/>
              <w:right w:val="nil"/>
            </w:tcBorders>
            <w:shd w:val="clear" w:color="auto" w:fill="auto"/>
            <w:noWrap/>
            <w:vAlign w:val="bottom"/>
            <w:hideMark/>
          </w:tcPr>
          <w:p w:rsidR="00A73603" w:rsidRPr="00C4645D" w:rsidRDefault="00A73603" w:rsidP="00DD5237">
            <w:pPr>
              <w:spacing w:before="0" w:after="0" w:line="240" w:lineRule="auto"/>
              <w:jc w:val="right"/>
              <w:rPr>
                <w:rFonts w:ascii="Arial" w:hAnsi="Arial" w:cs="Arial"/>
                <w:b/>
                <w:bCs/>
                <w:sz w:val="16"/>
                <w:szCs w:val="16"/>
              </w:rPr>
            </w:pPr>
            <w:r w:rsidRPr="00C4645D">
              <w:rPr>
                <w:rFonts w:ascii="Arial" w:hAnsi="Arial" w:cs="Arial"/>
                <w:b/>
                <w:bCs/>
                <w:sz w:val="16"/>
                <w:szCs w:val="16"/>
              </w:rPr>
              <w:t>(3,611)</w:t>
            </w:r>
          </w:p>
        </w:tc>
        <w:tc>
          <w:tcPr>
            <w:tcW w:w="666" w:type="pct"/>
            <w:tcBorders>
              <w:top w:val="single" w:sz="4" w:space="0" w:color="auto"/>
              <w:left w:val="nil"/>
              <w:bottom w:val="single" w:sz="4" w:space="0" w:color="auto"/>
              <w:right w:val="nil"/>
            </w:tcBorders>
            <w:shd w:val="clear" w:color="auto" w:fill="auto"/>
            <w:noWrap/>
            <w:vAlign w:val="bottom"/>
            <w:hideMark/>
          </w:tcPr>
          <w:p w:rsidR="00A73603" w:rsidRPr="00C4645D" w:rsidRDefault="00A73603" w:rsidP="00DD5237">
            <w:pPr>
              <w:spacing w:before="0" w:after="0" w:line="240" w:lineRule="auto"/>
              <w:jc w:val="right"/>
              <w:rPr>
                <w:rFonts w:ascii="Arial" w:hAnsi="Arial" w:cs="Arial"/>
                <w:b/>
                <w:bCs/>
                <w:sz w:val="16"/>
                <w:szCs w:val="16"/>
              </w:rPr>
            </w:pPr>
            <w:r w:rsidRPr="00C4645D">
              <w:rPr>
                <w:rFonts w:ascii="Arial" w:hAnsi="Arial" w:cs="Arial"/>
                <w:b/>
                <w:bCs/>
                <w:sz w:val="16"/>
                <w:szCs w:val="16"/>
              </w:rPr>
              <w:t>(10,921)</w:t>
            </w:r>
          </w:p>
        </w:tc>
        <w:tc>
          <w:tcPr>
            <w:tcW w:w="638" w:type="pct"/>
            <w:tcBorders>
              <w:top w:val="single" w:sz="4" w:space="0" w:color="auto"/>
              <w:left w:val="nil"/>
              <w:bottom w:val="single" w:sz="4" w:space="0" w:color="auto"/>
              <w:right w:val="nil"/>
            </w:tcBorders>
            <w:shd w:val="clear" w:color="auto" w:fill="auto"/>
            <w:noWrap/>
            <w:vAlign w:val="bottom"/>
            <w:hideMark/>
          </w:tcPr>
          <w:p w:rsidR="00A73603" w:rsidRPr="00C4645D" w:rsidRDefault="00A73603" w:rsidP="00DD5237">
            <w:pPr>
              <w:spacing w:before="0" w:after="0" w:line="240" w:lineRule="auto"/>
              <w:jc w:val="right"/>
              <w:rPr>
                <w:rFonts w:ascii="Arial" w:hAnsi="Arial" w:cs="Arial"/>
                <w:b/>
                <w:bCs/>
                <w:sz w:val="16"/>
                <w:szCs w:val="16"/>
              </w:rPr>
            </w:pPr>
            <w:r w:rsidRPr="00C4645D">
              <w:rPr>
                <w:rFonts w:ascii="Arial" w:hAnsi="Arial" w:cs="Arial"/>
                <w:b/>
                <w:bCs/>
                <w:sz w:val="16"/>
                <w:szCs w:val="16"/>
              </w:rPr>
              <w:t>(22,868)</w:t>
            </w:r>
          </w:p>
        </w:tc>
      </w:tr>
      <w:tr w:rsidR="00A73603" w:rsidRPr="00EE52CE" w:rsidTr="00DD5237">
        <w:trPr>
          <w:trHeight w:val="204"/>
        </w:trPr>
        <w:tc>
          <w:tcPr>
            <w:tcW w:w="2403" w:type="pct"/>
            <w:tcBorders>
              <w:top w:val="nil"/>
              <w:left w:val="nil"/>
              <w:bottom w:val="nil"/>
              <w:right w:val="nil"/>
            </w:tcBorders>
            <w:shd w:val="clear" w:color="auto" w:fill="auto"/>
            <w:vAlign w:val="bottom"/>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As at 30 June 2025</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Times New Roman" w:hAnsi="Times New Roman"/>
                <w:sz w:val="20"/>
              </w:rPr>
            </w:pP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Gross book value</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24,141</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106,054</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130,195</w:t>
            </w: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Gross book value - ROU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101,122</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891</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102,013</w:t>
            </w: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Accumulated depreciation/amortisation and impairment</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(5,867)</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(70,662)</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(76,529)</w:t>
            </w:r>
          </w:p>
        </w:tc>
      </w:tr>
      <w:tr w:rsidR="00A73603" w:rsidRPr="00EE52CE" w:rsidTr="00DD5237">
        <w:trPr>
          <w:trHeight w:val="204"/>
        </w:trPr>
        <w:tc>
          <w:tcPr>
            <w:tcW w:w="2403" w:type="pct"/>
            <w:tcBorders>
              <w:top w:val="nil"/>
              <w:left w:val="nil"/>
              <w:bottom w:val="nil"/>
              <w:right w:val="nil"/>
            </w:tcBorders>
            <w:shd w:val="clear" w:color="auto" w:fill="auto"/>
            <w:vAlign w:val="center"/>
            <w:hideMark/>
          </w:tcPr>
          <w:p w:rsidR="00A73603" w:rsidRPr="00EE52CE" w:rsidRDefault="00A73603" w:rsidP="00DD5237">
            <w:pPr>
              <w:spacing w:before="0" w:after="0" w:line="240" w:lineRule="auto"/>
              <w:ind w:left="113"/>
              <w:rPr>
                <w:rFonts w:ascii="Arial" w:hAnsi="Arial" w:cs="Arial"/>
                <w:sz w:val="16"/>
                <w:szCs w:val="16"/>
              </w:rPr>
            </w:pPr>
            <w:r w:rsidRPr="00EE52CE">
              <w:rPr>
                <w:rFonts w:ascii="Arial" w:hAnsi="Arial" w:cs="Arial"/>
                <w:sz w:val="16"/>
                <w:szCs w:val="16"/>
              </w:rPr>
              <w:t>Accumulated depreciation/amortisation and impairment - ROU assets</w:t>
            </w:r>
          </w:p>
        </w:tc>
        <w:tc>
          <w:tcPr>
            <w:tcW w:w="639" w:type="pct"/>
            <w:gridSpan w:val="2"/>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(50,688)</w:t>
            </w:r>
          </w:p>
        </w:tc>
        <w:tc>
          <w:tcPr>
            <w:tcW w:w="654"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(989)</w:t>
            </w:r>
          </w:p>
        </w:tc>
        <w:tc>
          <w:tcPr>
            <w:tcW w:w="666"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sz w:val="16"/>
                <w:szCs w:val="16"/>
              </w:rPr>
            </w:pPr>
            <w:r w:rsidRPr="00EE52CE">
              <w:rPr>
                <w:rFonts w:ascii="Arial" w:hAnsi="Arial" w:cs="Arial"/>
                <w:sz w:val="16"/>
                <w:szCs w:val="16"/>
              </w:rPr>
              <w:t>(51,677)</w:t>
            </w:r>
          </w:p>
        </w:tc>
      </w:tr>
      <w:tr w:rsidR="00A73603" w:rsidRPr="00EE52CE" w:rsidTr="00DD5237">
        <w:trPr>
          <w:trHeight w:val="204"/>
        </w:trPr>
        <w:tc>
          <w:tcPr>
            <w:tcW w:w="2403" w:type="pct"/>
            <w:tcBorders>
              <w:top w:val="nil"/>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rPr>
                <w:rFonts w:ascii="Arial" w:hAnsi="Arial" w:cs="Arial"/>
                <w:b/>
                <w:bCs/>
                <w:sz w:val="16"/>
                <w:szCs w:val="16"/>
              </w:rPr>
            </w:pPr>
            <w:r w:rsidRPr="00EE52CE">
              <w:rPr>
                <w:rFonts w:ascii="Arial" w:hAnsi="Arial" w:cs="Arial"/>
                <w:b/>
                <w:bCs/>
                <w:sz w:val="16"/>
                <w:szCs w:val="16"/>
              </w:rPr>
              <w:t>Closing net book balance</w:t>
            </w:r>
          </w:p>
        </w:tc>
        <w:tc>
          <w:tcPr>
            <w:tcW w:w="639" w:type="pct"/>
            <w:gridSpan w:val="2"/>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50,434</w:t>
            </w:r>
          </w:p>
        </w:tc>
        <w:tc>
          <w:tcPr>
            <w:tcW w:w="654"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18,176</w:t>
            </w:r>
          </w:p>
        </w:tc>
        <w:tc>
          <w:tcPr>
            <w:tcW w:w="666"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35,392</w:t>
            </w:r>
          </w:p>
        </w:tc>
        <w:tc>
          <w:tcPr>
            <w:tcW w:w="638" w:type="pct"/>
            <w:tcBorders>
              <w:top w:val="single" w:sz="4" w:space="0" w:color="auto"/>
              <w:left w:val="nil"/>
              <w:bottom w:val="single" w:sz="4" w:space="0" w:color="auto"/>
              <w:right w:val="nil"/>
            </w:tcBorders>
            <w:shd w:val="clear" w:color="auto" w:fill="auto"/>
            <w:noWrap/>
            <w:vAlign w:val="bottom"/>
            <w:hideMark/>
          </w:tcPr>
          <w:p w:rsidR="00A73603" w:rsidRPr="00EE52CE" w:rsidRDefault="00A73603" w:rsidP="00DD5237">
            <w:pPr>
              <w:spacing w:before="0" w:after="0" w:line="240" w:lineRule="auto"/>
              <w:jc w:val="right"/>
              <w:rPr>
                <w:rFonts w:ascii="Arial" w:hAnsi="Arial" w:cs="Arial"/>
                <w:b/>
                <w:bCs/>
                <w:sz w:val="16"/>
                <w:szCs w:val="16"/>
              </w:rPr>
            </w:pPr>
            <w:r w:rsidRPr="00EE52CE">
              <w:rPr>
                <w:rFonts w:ascii="Arial" w:hAnsi="Arial" w:cs="Arial"/>
                <w:b/>
                <w:bCs/>
                <w:sz w:val="16"/>
                <w:szCs w:val="16"/>
              </w:rPr>
              <w:t>104,002</w:t>
            </w:r>
          </w:p>
        </w:tc>
      </w:tr>
    </w:tbl>
    <w:p w:rsidR="0035386C" w:rsidRPr="00AD360B" w:rsidRDefault="00A73603" w:rsidP="00AD360B">
      <w:pPr>
        <w:spacing w:before="0" w:after="0"/>
        <w:rPr>
          <w:rFonts w:ascii="Arial" w:hAnsi="Arial"/>
          <w:color w:val="000000"/>
          <w:sz w:val="16"/>
        </w:rPr>
      </w:pPr>
      <w:r w:rsidRPr="00AD360B">
        <w:rPr>
          <w:rFonts w:ascii="Arial" w:hAnsi="Arial"/>
          <w:color w:val="000000"/>
          <w:sz w:val="16"/>
        </w:rPr>
        <w:t>Prepared on Australian Accounting Standards basis.</w:t>
      </w:r>
    </w:p>
    <w:sectPr w:rsidR="0035386C" w:rsidRPr="00AD360B" w:rsidSect="004C05D6">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E4" w:rsidRDefault="00121AE4" w:rsidP="00121AE4">
      <w:pPr>
        <w:spacing w:before="0" w:after="0" w:line="240" w:lineRule="auto"/>
      </w:pPr>
      <w:r>
        <w:separator/>
      </w:r>
    </w:p>
  </w:endnote>
  <w:endnote w:type="continuationSeparator" w:id="0">
    <w:p w:rsidR="00121AE4" w:rsidRDefault="00121AE4" w:rsidP="00121A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Pr>
        <w:rStyle w:val="PageNumber"/>
        <w:noProof/>
        <w:color w:val="000000"/>
      </w:rPr>
      <w:t>Civil Aviation Safety Authority</w:t>
    </w:r>
    <w:r>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Pr>
        <w:rStyle w:val="PageNumber"/>
        <w:noProof/>
        <w:color w:val="000000"/>
      </w:rPr>
      <w:t>Civil Aviation Safety Authority</w:t>
    </w:r>
    <w:r>
      <w:rPr>
        <w:rStyle w:val="PageNumbe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Odd"/>
      <w:rPr>
        <w:noProof/>
      </w:rPr>
    </w:pPr>
    <w:r>
      <w:rPr>
        <w:rStyle w:val="PageNumber"/>
      </w:rPr>
      <w:fldChar w:fldCharType="begin"/>
    </w:r>
    <w:r>
      <w:rPr>
        <w:rStyle w:val="PageNumber"/>
      </w:rPr>
      <w:instrText xml:space="preserve"> STYLEREF  "Heading 1 - CASA"  \* MERGEFORMAT </w:instrText>
    </w:r>
    <w:r>
      <w:rPr>
        <w:rStyle w:val="PageNumber"/>
      </w:rPr>
      <w:fldChar w:fldCharType="separate"/>
    </w:r>
    <w:r w:rsidR="004C05D6">
      <w:rPr>
        <w:rStyle w:val="PageNumber"/>
        <w:noProof/>
      </w:rPr>
      <w:t>Civil Aviation Safety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4C05D6">
      <w:rPr>
        <w:rStyle w:val="PageNumber"/>
        <w:noProof/>
        <w:color w:val="000000"/>
      </w:rPr>
      <w:t>Civil Aviation Safety Authority</w:t>
    </w:r>
    <w:r>
      <w:rPr>
        <w:rStyle w:val="PageNumbe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4C05D6">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AD360B" w:rsidP="00FA354D">
    <w:pPr>
      <w:pStyle w:val="FooterOdd"/>
      <w:rPr>
        <w:noProof/>
      </w:rPr>
    </w:pPr>
    <w:r>
      <w:rPr>
        <w:rStyle w:val="PageNumber"/>
      </w:rPr>
      <w:fldChar w:fldCharType="begin"/>
    </w:r>
    <w:r>
      <w:rPr>
        <w:rStyle w:val="PageNumber"/>
      </w:rPr>
      <w:instrText xml:space="preserve"> STYLEREF  "Heading 1 - CASA"  \* MERGEFORMAT </w:instrText>
    </w:r>
    <w:r>
      <w:rPr>
        <w:rStyle w:val="PageNumber"/>
      </w:rPr>
      <w:fldChar w:fldCharType="separate"/>
    </w:r>
    <w:r w:rsidR="004C05D6">
      <w:rPr>
        <w:rStyle w:val="PageNumber"/>
        <w:noProof/>
      </w:rPr>
      <w:t>Civil Aviation Safety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E4" w:rsidRDefault="00121AE4" w:rsidP="00121AE4">
      <w:pPr>
        <w:spacing w:before="0" w:after="0" w:line="240" w:lineRule="auto"/>
      </w:pPr>
      <w:r>
        <w:separator/>
      </w:r>
    </w:p>
  </w:footnote>
  <w:footnote w:type="continuationSeparator" w:id="0">
    <w:p w:rsidR="00121AE4" w:rsidRDefault="00121AE4" w:rsidP="00121A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C0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AD360B" w:rsidP="00207E69">
          <w:pPr>
            <w:pStyle w:val="HeaderEven"/>
            <w:ind w:left="-113"/>
          </w:pPr>
          <w:r w:rsidRPr="00D47C6E">
            <w:rPr>
              <w:noProof/>
              <w:position w:val="-6"/>
            </w:rPr>
            <w:drawing>
              <wp:inline distT="0" distB="0" distL="0" distR="0" wp14:anchorId="4540488E" wp14:editId="4E2C4AFF">
                <wp:extent cx="919093" cy="131299"/>
                <wp:effectExtent l="0" t="0" r="0" b="254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241C59" w:rsidRPr="00F00984" w:rsidRDefault="004C05D6"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AD360B" w:rsidP="00577DFB">
          <w:pPr>
            <w:pStyle w:val="HeaderOdd"/>
          </w:pPr>
          <w:r>
            <w:t xml:space="preserve">Portfolio Budget Statements  |  </w:t>
          </w:r>
          <w:r w:rsidRPr="00D47C6E">
            <w:rPr>
              <w:noProof/>
              <w:position w:val="-6"/>
            </w:rPr>
            <w:drawing>
              <wp:inline distT="0" distB="0" distL="0" distR="0" wp14:anchorId="1446098F" wp14:editId="5DE95C29">
                <wp:extent cx="919093" cy="131299"/>
                <wp:effectExtent l="0" t="0" r="0" b="254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Default="004C05D6"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FA354D">
      <w:trPr>
        <w:trHeight w:hRule="exact" w:val="340"/>
      </w:trPr>
      <w:tc>
        <w:tcPr>
          <w:tcW w:w="7797" w:type="dxa"/>
        </w:tcPr>
        <w:p w:rsidR="00241C59" w:rsidRDefault="00AD360B" w:rsidP="00FA354D">
          <w:pPr>
            <w:pStyle w:val="HeaderOdd"/>
          </w:pPr>
          <w:r>
            <w:t xml:space="preserve">Portfolio Budget Statements  |  </w:t>
          </w:r>
          <w:r w:rsidRPr="00D47C6E">
            <w:rPr>
              <w:noProof/>
              <w:position w:val="-6"/>
            </w:rPr>
            <w:drawing>
              <wp:inline distT="0" distB="0" distL="0" distR="0" wp14:anchorId="5C8166FC" wp14:editId="6B58C66F">
                <wp:extent cx="919093" cy="131299"/>
                <wp:effectExtent l="0" t="0" r="0" b="254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B4084B" w:rsidRDefault="004C05D6"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4D532904"/>
    <w:multiLevelType w:val="hybridMultilevel"/>
    <w:tmpl w:val="7C4AC3E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6"/>
  </w:num>
  <w:num w:numId="5">
    <w:abstractNumId w:val="6"/>
  </w:num>
  <w:num w:numId="6">
    <w:abstractNumId w:val="12"/>
  </w:num>
  <w:num w:numId="7">
    <w:abstractNumId w:val="5"/>
  </w:num>
  <w:num w:numId="8">
    <w:abstractNumId w:val="2"/>
  </w:num>
  <w:num w:numId="9">
    <w:abstractNumId w:val="9"/>
  </w:num>
  <w:num w:numId="10">
    <w:abstractNumId w:val="7"/>
  </w:num>
  <w:num w:numId="11">
    <w:abstractNumId w:val="11"/>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1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05"/>
    <w:rsid w:val="00121AE4"/>
    <w:rsid w:val="001F130F"/>
    <w:rsid w:val="003127E5"/>
    <w:rsid w:val="004C05D6"/>
    <w:rsid w:val="004E1C7A"/>
    <w:rsid w:val="00812D05"/>
    <w:rsid w:val="00A73603"/>
    <w:rsid w:val="00AD3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D9A84-0E4A-4ACE-83C0-84A7F630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0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7360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73603"/>
    <w:pPr>
      <w:spacing w:before="240" w:after="240"/>
      <w:outlineLvl w:val="1"/>
    </w:pPr>
    <w:rPr>
      <w:rFonts w:ascii="Arial Bold" w:hAnsi="Arial Bold"/>
      <w:b/>
      <w:sz w:val="26"/>
    </w:rPr>
  </w:style>
  <w:style w:type="paragraph" w:styleId="Heading3">
    <w:name w:val="heading 3"/>
    <w:basedOn w:val="HeadingBase"/>
    <w:next w:val="Normal"/>
    <w:link w:val="Heading3Char"/>
    <w:qFormat/>
    <w:rsid w:val="00A73603"/>
    <w:pPr>
      <w:spacing w:before="120" w:after="120"/>
      <w:outlineLvl w:val="2"/>
    </w:pPr>
    <w:rPr>
      <w:rFonts w:ascii="Arial Bold" w:hAnsi="Arial Bold"/>
      <w:b/>
      <w:sz w:val="22"/>
    </w:rPr>
  </w:style>
  <w:style w:type="paragraph" w:styleId="Heading4">
    <w:name w:val="heading 4"/>
    <w:basedOn w:val="HeadingBase"/>
    <w:next w:val="Normal"/>
    <w:link w:val="Heading4Char"/>
    <w:qFormat/>
    <w:rsid w:val="00A73603"/>
    <w:pPr>
      <w:spacing w:after="120"/>
      <w:outlineLvl w:val="3"/>
    </w:pPr>
    <w:rPr>
      <w:rFonts w:ascii="Arial Bold" w:hAnsi="Arial Bold"/>
      <w:b/>
      <w:sz w:val="20"/>
    </w:rPr>
  </w:style>
  <w:style w:type="paragraph" w:styleId="Heading5">
    <w:name w:val="heading 5"/>
    <w:basedOn w:val="HeadingBase"/>
    <w:next w:val="Normal"/>
    <w:link w:val="Heading5Char"/>
    <w:qFormat/>
    <w:rsid w:val="00A73603"/>
    <w:pPr>
      <w:spacing w:after="120"/>
      <w:outlineLvl w:val="4"/>
    </w:pPr>
    <w:rPr>
      <w:bCs/>
      <w:i/>
      <w:iCs/>
      <w:sz w:val="20"/>
      <w:szCs w:val="26"/>
    </w:rPr>
  </w:style>
  <w:style w:type="paragraph" w:styleId="Heading6">
    <w:name w:val="heading 6"/>
    <w:basedOn w:val="HeadingBase"/>
    <w:next w:val="Normal"/>
    <w:link w:val="Heading6Char"/>
    <w:qFormat/>
    <w:rsid w:val="00A73603"/>
    <w:pPr>
      <w:spacing w:after="120"/>
      <w:outlineLvl w:val="5"/>
    </w:pPr>
    <w:rPr>
      <w:bCs/>
      <w:sz w:val="20"/>
      <w:szCs w:val="22"/>
    </w:rPr>
  </w:style>
  <w:style w:type="paragraph" w:styleId="Heading7">
    <w:name w:val="heading 7"/>
    <w:basedOn w:val="HeadingBase"/>
    <w:next w:val="Normal"/>
    <w:link w:val="Heading7Char"/>
    <w:qFormat/>
    <w:rsid w:val="00A73603"/>
    <w:pPr>
      <w:spacing w:before="120"/>
      <w:outlineLvl w:val="6"/>
    </w:pPr>
    <w:rPr>
      <w:sz w:val="20"/>
      <w:szCs w:val="24"/>
    </w:rPr>
  </w:style>
  <w:style w:type="paragraph" w:styleId="Heading8">
    <w:name w:val="heading 8"/>
    <w:basedOn w:val="HeadingBase"/>
    <w:next w:val="Normal"/>
    <w:link w:val="Heading8Char"/>
    <w:qFormat/>
    <w:rsid w:val="00A7360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7360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60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7360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73603"/>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A7360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73603"/>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A73603"/>
    <w:rPr>
      <w:rFonts w:ascii="Arial" w:eastAsia="Times New Roman" w:hAnsi="Arial" w:cs="Times New Roman"/>
      <w:bCs/>
      <w:sz w:val="20"/>
      <w:lang w:eastAsia="en-AU"/>
    </w:rPr>
  </w:style>
  <w:style w:type="character" w:customStyle="1" w:styleId="Heading7Char">
    <w:name w:val="Heading 7 Char"/>
    <w:basedOn w:val="DefaultParagraphFont"/>
    <w:link w:val="Heading7"/>
    <w:rsid w:val="00A7360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73603"/>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A73603"/>
    <w:rPr>
      <w:rFonts w:ascii="Cambria" w:eastAsia="Times New Roman" w:hAnsi="Cambria" w:cs="Times New Roman"/>
      <w:lang w:eastAsia="en-AU"/>
    </w:rPr>
  </w:style>
  <w:style w:type="paragraph" w:customStyle="1" w:styleId="SingleParagraph">
    <w:name w:val="Single Paragraph"/>
    <w:basedOn w:val="Normal"/>
    <w:uiPriority w:val="99"/>
    <w:rsid w:val="00A73603"/>
    <w:pPr>
      <w:spacing w:before="0" w:after="0" w:line="240" w:lineRule="auto"/>
    </w:pPr>
  </w:style>
  <w:style w:type="paragraph" w:customStyle="1" w:styleId="Exampletext">
    <w:name w:val="Example text"/>
    <w:basedOn w:val="Normal"/>
    <w:link w:val="ExampletextCharChar"/>
    <w:rsid w:val="00A73603"/>
    <w:rPr>
      <w:i/>
      <w:color w:val="FF0000"/>
      <w:lang w:val="x-none" w:eastAsia="x-none"/>
    </w:rPr>
  </w:style>
  <w:style w:type="paragraph" w:customStyle="1" w:styleId="ChartSecondHeading">
    <w:name w:val="Chart Second Heading"/>
    <w:basedOn w:val="HeadingBase"/>
    <w:next w:val="ChartGraphic"/>
    <w:rsid w:val="00A73603"/>
    <w:pPr>
      <w:spacing w:after="60"/>
    </w:pPr>
    <w:rPr>
      <w:sz w:val="19"/>
    </w:rPr>
  </w:style>
  <w:style w:type="paragraph" w:customStyle="1" w:styleId="TableHeading">
    <w:name w:val="Table Heading"/>
    <w:basedOn w:val="HeadingBase"/>
    <w:next w:val="TableGraphic"/>
    <w:link w:val="TableHeadingChar"/>
    <w:qFormat/>
    <w:rsid w:val="00A73603"/>
    <w:pPr>
      <w:spacing w:before="120" w:after="20"/>
    </w:pPr>
    <w:rPr>
      <w:b/>
      <w:sz w:val="20"/>
    </w:rPr>
  </w:style>
  <w:style w:type="paragraph" w:customStyle="1" w:styleId="HeadingBase">
    <w:name w:val="Heading Base"/>
    <w:link w:val="HeadingBaseChar"/>
    <w:rsid w:val="00A73603"/>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A73603"/>
    <w:pPr>
      <w:numPr>
        <w:numId w:val="1"/>
      </w:numPr>
      <w:tabs>
        <w:tab w:val="clear" w:pos="567"/>
        <w:tab w:val="num" w:pos="360"/>
      </w:tabs>
    </w:pPr>
  </w:style>
  <w:style w:type="paragraph" w:customStyle="1" w:styleId="Bullet">
    <w:name w:val="Bullet"/>
    <w:basedOn w:val="Normal"/>
    <w:link w:val="BulletChar"/>
    <w:qFormat/>
    <w:rsid w:val="00A73603"/>
    <w:pPr>
      <w:numPr>
        <w:numId w:val="2"/>
      </w:numPr>
      <w:spacing w:after="160"/>
    </w:pPr>
  </w:style>
  <w:style w:type="paragraph" w:customStyle="1" w:styleId="Dash">
    <w:name w:val="Dash"/>
    <w:basedOn w:val="Normal"/>
    <w:qFormat/>
    <w:rsid w:val="00A73603"/>
    <w:pPr>
      <w:numPr>
        <w:ilvl w:val="1"/>
        <w:numId w:val="2"/>
      </w:numPr>
      <w:tabs>
        <w:tab w:val="left" w:pos="567"/>
      </w:tabs>
    </w:pPr>
  </w:style>
  <w:style w:type="paragraph" w:customStyle="1" w:styleId="DoubleDot">
    <w:name w:val="Double Dot"/>
    <w:basedOn w:val="Normal"/>
    <w:rsid w:val="00A73603"/>
    <w:pPr>
      <w:numPr>
        <w:ilvl w:val="2"/>
        <w:numId w:val="2"/>
      </w:numPr>
      <w:tabs>
        <w:tab w:val="clear" w:pos="850"/>
        <w:tab w:val="left" w:pos="851"/>
      </w:tabs>
    </w:pPr>
  </w:style>
  <w:style w:type="paragraph" w:customStyle="1" w:styleId="AppendixHeading">
    <w:name w:val="Appendix Heading"/>
    <w:basedOn w:val="HeadingBase"/>
    <w:semiHidden/>
    <w:rsid w:val="00A73603"/>
    <w:pPr>
      <w:spacing w:after="240"/>
      <w:jc w:val="center"/>
      <w:outlineLvl w:val="3"/>
    </w:pPr>
    <w:rPr>
      <w:b/>
      <w:smallCaps/>
      <w:sz w:val="30"/>
    </w:rPr>
  </w:style>
  <w:style w:type="paragraph" w:customStyle="1" w:styleId="BoxText">
    <w:name w:val="Box Text"/>
    <w:basedOn w:val="Normal"/>
    <w:qFormat/>
    <w:rsid w:val="00A73603"/>
    <w:pPr>
      <w:spacing w:before="120" w:after="120" w:line="240" w:lineRule="auto"/>
    </w:pPr>
  </w:style>
  <w:style w:type="paragraph" w:customStyle="1" w:styleId="BoxHeading">
    <w:name w:val="Box Heading"/>
    <w:basedOn w:val="HeadingBase"/>
    <w:next w:val="BoxText"/>
    <w:rsid w:val="00A73603"/>
    <w:pPr>
      <w:spacing w:before="120" w:after="120"/>
    </w:pPr>
    <w:rPr>
      <w:b/>
      <w:sz w:val="20"/>
    </w:rPr>
  </w:style>
  <w:style w:type="paragraph" w:customStyle="1" w:styleId="ChartandTableFootnoteAlpha">
    <w:name w:val="Chart and Table Footnote Alpha"/>
    <w:basedOn w:val="HeadingBase"/>
    <w:next w:val="Normal"/>
    <w:rsid w:val="00A73603"/>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A73603"/>
    <w:pPr>
      <w:keepNext w:val="0"/>
      <w:tabs>
        <w:tab w:val="left" w:pos="709"/>
      </w:tabs>
      <w:spacing w:before="30"/>
    </w:pPr>
    <w:rPr>
      <w:color w:val="000000"/>
      <w:sz w:val="16"/>
    </w:rPr>
  </w:style>
  <w:style w:type="paragraph" w:customStyle="1" w:styleId="BoxBullet">
    <w:name w:val="Box Bullet"/>
    <w:basedOn w:val="BoxText"/>
    <w:rsid w:val="00A73603"/>
  </w:style>
  <w:style w:type="paragraph" w:customStyle="1" w:styleId="ChartGraphic">
    <w:name w:val="Chart Graphic"/>
    <w:basedOn w:val="HeadingBase"/>
    <w:rsid w:val="00A73603"/>
    <w:pPr>
      <w:jc w:val="center"/>
    </w:pPr>
    <w:rPr>
      <w:sz w:val="20"/>
    </w:rPr>
  </w:style>
  <w:style w:type="paragraph" w:customStyle="1" w:styleId="ContentsHeading">
    <w:name w:val="Contents Heading"/>
    <w:basedOn w:val="HeadingBase"/>
    <w:next w:val="Normal"/>
    <w:rsid w:val="00A73603"/>
    <w:pPr>
      <w:spacing w:after="720"/>
    </w:pPr>
    <w:rPr>
      <w:b/>
      <w:bCs/>
      <w:sz w:val="36"/>
    </w:rPr>
  </w:style>
  <w:style w:type="paragraph" w:customStyle="1" w:styleId="FigureHeading">
    <w:name w:val="Figure Heading"/>
    <w:basedOn w:val="HeadingBase"/>
    <w:next w:val="ChartGraphic"/>
    <w:rsid w:val="00A73603"/>
    <w:pPr>
      <w:spacing w:before="120" w:after="20"/>
    </w:pPr>
    <w:rPr>
      <w:b/>
      <w:sz w:val="20"/>
    </w:rPr>
  </w:style>
  <w:style w:type="paragraph" w:customStyle="1" w:styleId="Classification">
    <w:name w:val="Classification"/>
    <w:basedOn w:val="HeadingBase"/>
    <w:rsid w:val="00A73603"/>
    <w:pPr>
      <w:jc w:val="center"/>
    </w:pPr>
    <w:rPr>
      <w:rFonts w:ascii="Arial Bold" w:hAnsi="Arial Bold"/>
      <w:b/>
      <w:caps/>
      <w:sz w:val="22"/>
    </w:rPr>
  </w:style>
  <w:style w:type="character" w:customStyle="1" w:styleId="HiddenSequenceCode">
    <w:name w:val="Hidden Sequence Code"/>
    <w:basedOn w:val="DefaultParagraphFont"/>
    <w:rsid w:val="00A73603"/>
    <w:rPr>
      <w:rFonts w:ascii="Times New Roman" w:hAnsi="Times New Roman"/>
      <w:vanish/>
      <w:sz w:val="16"/>
    </w:rPr>
  </w:style>
  <w:style w:type="paragraph" w:customStyle="1" w:styleId="OverviewParagraph">
    <w:name w:val="Overview Paragraph"/>
    <w:basedOn w:val="Normal"/>
    <w:rsid w:val="00A73603"/>
    <w:pPr>
      <w:spacing w:before="120" w:after="120" w:line="240" w:lineRule="auto"/>
    </w:pPr>
  </w:style>
  <w:style w:type="paragraph" w:customStyle="1" w:styleId="TableGraphic">
    <w:name w:val="Table Graphic"/>
    <w:basedOn w:val="Normal"/>
    <w:next w:val="Normal"/>
    <w:rsid w:val="00A73603"/>
    <w:pPr>
      <w:spacing w:before="0" w:after="0" w:line="240" w:lineRule="auto"/>
      <w:ind w:right="-113"/>
    </w:pPr>
  </w:style>
  <w:style w:type="paragraph" w:customStyle="1" w:styleId="NoteTableHeading">
    <w:name w:val="Note Table Heading"/>
    <w:basedOn w:val="HeadingBase"/>
    <w:next w:val="Normal"/>
    <w:rsid w:val="00A73603"/>
    <w:pPr>
      <w:spacing w:before="240"/>
    </w:pPr>
    <w:rPr>
      <w:b/>
      <w:sz w:val="20"/>
    </w:rPr>
  </w:style>
  <w:style w:type="paragraph" w:customStyle="1" w:styleId="Source">
    <w:name w:val="Source"/>
    <w:basedOn w:val="Normal"/>
    <w:rsid w:val="00A7360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73603"/>
    <w:pPr>
      <w:spacing w:before="20" w:after="20" w:line="240" w:lineRule="auto"/>
    </w:pPr>
    <w:rPr>
      <w:rFonts w:ascii="Arial" w:hAnsi="Arial"/>
      <w:sz w:val="16"/>
    </w:rPr>
  </w:style>
  <w:style w:type="paragraph" w:customStyle="1" w:styleId="TableColumnHeadingBase">
    <w:name w:val="Table Column Heading Base"/>
    <w:basedOn w:val="Normal"/>
    <w:rsid w:val="00A7360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73603"/>
  </w:style>
  <w:style w:type="paragraph" w:customStyle="1" w:styleId="TableTextRight">
    <w:name w:val="Table Text Right"/>
    <w:basedOn w:val="TableTextBase"/>
    <w:rsid w:val="00A73603"/>
    <w:pPr>
      <w:jc w:val="right"/>
    </w:pPr>
  </w:style>
  <w:style w:type="paragraph" w:customStyle="1" w:styleId="TableTextCentred">
    <w:name w:val="Table Text Centred"/>
    <w:basedOn w:val="TableTextBase"/>
    <w:rsid w:val="00A73603"/>
    <w:pPr>
      <w:jc w:val="center"/>
    </w:pPr>
  </w:style>
  <w:style w:type="paragraph" w:customStyle="1" w:styleId="TableTextIndented">
    <w:name w:val="Table Text Indented"/>
    <w:basedOn w:val="TableTextBase"/>
    <w:rsid w:val="00A73603"/>
    <w:pPr>
      <w:ind w:left="284"/>
    </w:pPr>
  </w:style>
  <w:style w:type="paragraph" w:customStyle="1" w:styleId="TableColumnHeadingLeft">
    <w:name w:val="Table Column Heading Left"/>
    <w:basedOn w:val="TableColumnHeadingBase"/>
    <w:next w:val="Normal"/>
    <w:rsid w:val="00A73603"/>
  </w:style>
  <w:style w:type="paragraph" w:customStyle="1" w:styleId="TableColumnHeadingRight">
    <w:name w:val="Table Column Heading Right"/>
    <w:basedOn w:val="TableColumnHeadingBase"/>
    <w:next w:val="Normal"/>
    <w:rsid w:val="00A73603"/>
    <w:pPr>
      <w:jc w:val="right"/>
    </w:pPr>
  </w:style>
  <w:style w:type="paragraph" w:customStyle="1" w:styleId="TableColumnHeadingCentred">
    <w:name w:val="Table Column Heading Centred"/>
    <w:basedOn w:val="TableColumnHeadingBase"/>
    <w:next w:val="Normal"/>
    <w:rsid w:val="00A73603"/>
    <w:pPr>
      <w:jc w:val="center"/>
    </w:pPr>
  </w:style>
  <w:style w:type="paragraph" w:customStyle="1" w:styleId="Exampletextbullet">
    <w:name w:val="Example text bullet"/>
    <w:basedOn w:val="Exampletext"/>
    <w:semiHidden/>
    <w:rsid w:val="00A73603"/>
    <w:pPr>
      <w:numPr>
        <w:numId w:val="4"/>
      </w:numPr>
    </w:pPr>
  </w:style>
  <w:style w:type="paragraph" w:styleId="Title">
    <w:name w:val="Title"/>
    <w:basedOn w:val="Normal"/>
    <w:link w:val="TitleChar"/>
    <w:qFormat/>
    <w:rsid w:val="00A73603"/>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A73603"/>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A73603"/>
    <w:pPr>
      <w:spacing w:before="120" w:after="20"/>
    </w:pPr>
    <w:rPr>
      <w:rFonts w:ascii="Arial Bold" w:hAnsi="Arial Bold"/>
      <w:b/>
      <w:sz w:val="20"/>
    </w:rPr>
  </w:style>
  <w:style w:type="paragraph" w:customStyle="1" w:styleId="TPHeading1">
    <w:name w:val="TP Heading 1"/>
    <w:basedOn w:val="HeadingBase"/>
    <w:rsid w:val="00A73603"/>
    <w:pPr>
      <w:spacing w:before="60" w:after="60"/>
      <w:ind w:left="851"/>
    </w:pPr>
    <w:rPr>
      <w:rFonts w:ascii="Arial Bold" w:hAnsi="Arial Bold"/>
      <w:b/>
      <w:caps/>
      <w:spacing w:val="-10"/>
      <w:sz w:val="28"/>
    </w:rPr>
  </w:style>
  <w:style w:type="paragraph" w:customStyle="1" w:styleId="TPHeading2">
    <w:name w:val="TP Heading 2"/>
    <w:basedOn w:val="HeadingBase"/>
    <w:rsid w:val="00A73603"/>
    <w:pPr>
      <w:ind w:left="851"/>
    </w:pPr>
    <w:rPr>
      <w:caps/>
      <w:spacing w:val="-10"/>
      <w:sz w:val="28"/>
    </w:rPr>
  </w:style>
  <w:style w:type="paragraph" w:customStyle="1" w:styleId="TPHeading3">
    <w:name w:val="TP Heading 3"/>
    <w:basedOn w:val="HeadingBase"/>
    <w:rsid w:val="00A73603"/>
    <w:pPr>
      <w:ind w:left="851"/>
    </w:pPr>
    <w:rPr>
      <w:caps/>
      <w:spacing w:val="-10"/>
    </w:rPr>
  </w:style>
  <w:style w:type="paragraph" w:customStyle="1" w:styleId="HeaderBase">
    <w:name w:val="Header Base"/>
    <w:rsid w:val="00A73603"/>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A73603"/>
    <w:rPr>
      <w:color w:val="auto"/>
    </w:rPr>
  </w:style>
  <w:style w:type="paragraph" w:customStyle="1" w:styleId="HeaderOdd">
    <w:name w:val="Header Odd"/>
    <w:basedOn w:val="HeaderBase"/>
    <w:rsid w:val="00A73603"/>
    <w:pPr>
      <w:jc w:val="right"/>
    </w:pPr>
    <w:rPr>
      <w:color w:val="000000" w:themeColor="text1"/>
    </w:rPr>
  </w:style>
  <w:style w:type="paragraph" w:styleId="Header">
    <w:name w:val="header"/>
    <w:basedOn w:val="HeaderBase"/>
    <w:link w:val="HeaderChar"/>
    <w:qFormat/>
    <w:rsid w:val="00A73603"/>
    <w:pPr>
      <w:tabs>
        <w:tab w:val="center" w:pos="4153"/>
        <w:tab w:val="right" w:pos="8306"/>
      </w:tabs>
    </w:pPr>
    <w:rPr>
      <w:color w:val="auto"/>
    </w:rPr>
  </w:style>
  <w:style w:type="character" w:customStyle="1" w:styleId="HeaderChar">
    <w:name w:val="Header Char"/>
    <w:basedOn w:val="DefaultParagraphFont"/>
    <w:link w:val="Header"/>
    <w:rsid w:val="00A73603"/>
    <w:rPr>
      <w:rFonts w:ascii="Arial" w:eastAsia="Times New Roman" w:hAnsi="Arial" w:cs="Times New Roman"/>
      <w:sz w:val="18"/>
      <w:szCs w:val="20"/>
      <w:lang w:eastAsia="en-AU"/>
    </w:rPr>
  </w:style>
  <w:style w:type="paragraph" w:customStyle="1" w:styleId="FooterBase">
    <w:name w:val="Footer Base"/>
    <w:rsid w:val="00A73603"/>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A73603"/>
    <w:pPr>
      <w:tabs>
        <w:tab w:val="center" w:pos="4153"/>
        <w:tab w:val="right" w:pos="8306"/>
      </w:tabs>
    </w:pPr>
  </w:style>
  <w:style w:type="character" w:customStyle="1" w:styleId="FooterChar">
    <w:name w:val="Footer Char"/>
    <w:basedOn w:val="DefaultParagraphFont"/>
    <w:link w:val="Footer"/>
    <w:rsid w:val="00A73603"/>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A73603"/>
    <w:rPr>
      <w:rFonts w:ascii="Tahoma" w:hAnsi="Tahoma" w:cs="Tahoma"/>
      <w:sz w:val="16"/>
      <w:szCs w:val="16"/>
    </w:rPr>
  </w:style>
  <w:style w:type="character" w:customStyle="1" w:styleId="BalloonTextChar">
    <w:name w:val="Balloon Text Char"/>
    <w:basedOn w:val="DefaultParagraphFont"/>
    <w:link w:val="BalloonText"/>
    <w:uiPriority w:val="99"/>
    <w:semiHidden/>
    <w:rsid w:val="00A73603"/>
    <w:rPr>
      <w:rFonts w:ascii="Tahoma" w:eastAsia="Times New Roman" w:hAnsi="Tahoma" w:cs="Tahoma"/>
      <w:sz w:val="16"/>
      <w:szCs w:val="16"/>
      <w:lang w:eastAsia="en-AU"/>
    </w:rPr>
  </w:style>
  <w:style w:type="paragraph" w:styleId="Caption">
    <w:name w:val="caption"/>
    <w:basedOn w:val="Normal"/>
    <w:next w:val="Normal"/>
    <w:qFormat/>
    <w:rsid w:val="00A73603"/>
    <w:rPr>
      <w:b/>
      <w:bCs/>
    </w:rPr>
  </w:style>
  <w:style w:type="character" w:styleId="CommentReference">
    <w:name w:val="annotation reference"/>
    <w:basedOn w:val="DefaultParagraphFont"/>
    <w:uiPriority w:val="99"/>
    <w:semiHidden/>
    <w:rsid w:val="00A73603"/>
    <w:rPr>
      <w:sz w:val="16"/>
      <w:szCs w:val="16"/>
    </w:rPr>
  </w:style>
  <w:style w:type="paragraph" w:styleId="CommentText">
    <w:name w:val="annotation text"/>
    <w:basedOn w:val="Normal"/>
    <w:link w:val="CommentTextChar"/>
    <w:uiPriority w:val="99"/>
    <w:qFormat/>
    <w:rsid w:val="00A73603"/>
  </w:style>
  <w:style w:type="character" w:customStyle="1" w:styleId="CommentTextChar">
    <w:name w:val="Comment Text Char"/>
    <w:basedOn w:val="DefaultParagraphFont"/>
    <w:link w:val="CommentText"/>
    <w:uiPriority w:val="99"/>
    <w:rsid w:val="00A7360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73603"/>
    <w:rPr>
      <w:b/>
      <w:bCs/>
    </w:rPr>
  </w:style>
  <w:style w:type="character" w:customStyle="1" w:styleId="CommentSubjectChar">
    <w:name w:val="Comment Subject Char"/>
    <w:basedOn w:val="CommentTextChar"/>
    <w:link w:val="CommentSubject"/>
    <w:semiHidden/>
    <w:rsid w:val="00A73603"/>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A73603"/>
    <w:pPr>
      <w:shd w:val="clear" w:color="auto" w:fill="000080"/>
    </w:pPr>
    <w:rPr>
      <w:rFonts w:ascii="Tahoma" w:hAnsi="Tahoma" w:cs="Tahoma"/>
    </w:rPr>
  </w:style>
  <w:style w:type="character" w:customStyle="1" w:styleId="DocumentMapChar">
    <w:name w:val="Document Map Char"/>
    <w:basedOn w:val="DefaultParagraphFont"/>
    <w:link w:val="DocumentMap"/>
    <w:semiHidden/>
    <w:rsid w:val="00A73603"/>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A73603"/>
    <w:rPr>
      <w:vertAlign w:val="superscript"/>
    </w:rPr>
  </w:style>
  <w:style w:type="paragraph" w:styleId="EndnoteText">
    <w:name w:val="endnote text"/>
    <w:basedOn w:val="Normal"/>
    <w:link w:val="EndnoteTextChar"/>
    <w:unhideWhenUsed/>
    <w:rsid w:val="00A73603"/>
  </w:style>
  <w:style w:type="character" w:customStyle="1" w:styleId="EndnoteTextChar">
    <w:name w:val="Endnote Text Char"/>
    <w:basedOn w:val="DefaultParagraphFont"/>
    <w:link w:val="EndnoteText"/>
    <w:rsid w:val="00A73603"/>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A73603"/>
    <w:rPr>
      <w:vertAlign w:val="superscript"/>
    </w:rPr>
  </w:style>
  <w:style w:type="paragraph" w:styleId="FootnoteText">
    <w:name w:val="footnote text"/>
    <w:basedOn w:val="Normal"/>
    <w:link w:val="FootnoteTextChar"/>
    <w:uiPriority w:val="99"/>
    <w:rsid w:val="00A7360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A73603"/>
    <w:rPr>
      <w:rFonts w:ascii="Book Antiqua" w:eastAsia="Times New Roman" w:hAnsi="Book Antiqua" w:cs="Times New Roman"/>
      <w:sz w:val="18"/>
      <w:szCs w:val="20"/>
      <w:lang w:eastAsia="en-AU"/>
    </w:rPr>
  </w:style>
  <w:style w:type="paragraph" w:styleId="Index1">
    <w:name w:val="index 1"/>
    <w:basedOn w:val="Normal"/>
    <w:next w:val="Normal"/>
    <w:rsid w:val="00A73603"/>
    <w:pPr>
      <w:ind w:left="200" w:hanging="200"/>
    </w:pPr>
  </w:style>
  <w:style w:type="paragraph" w:styleId="Index2">
    <w:name w:val="index 2"/>
    <w:basedOn w:val="Normal"/>
    <w:next w:val="Normal"/>
    <w:rsid w:val="00A73603"/>
    <w:pPr>
      <w:ind w:left="400" w:hanging="200"/>
    </w:pPr>
  </w:style>
  <w:style w:type="paragraph" w:styleId="Index3">
    <w:name w:val="index 3"/>
    <w:basedOn w:val="Normal"/>
    <w:next w:val="Normal"/>
    <w:rsid w:val="00A73603"/>
    <w:pPr>
      <w:ind w:left="600" w:hanging="200"/>
    </w:pPr>
  </w:style>
  <w:style w:type="paragraph" w:styleId="Index4">
    <w:name w:val="index 4"/>
    <w:basedOn w:val="Normal"/>
    <w:next w:val="Normal"/>
    <w:autoRedefine/>
    <w:semiHidden/>
    <w:rsid w:val="00A73603"/>
    <w:pPr>
      <w:ind w:left="800" w:hanging="200"/>
    </w:pPr>
  </w:style>
  <w:style w:type="paragraph" w:styleId="Index5">
    <w:name w:val="index 5"/>
    <w:basedOn w:val="Normal"/>
    <w:next w:val="Normal"/>
    <w:autoRedefine/>
    <w:semiHidden/>
    <w:rsid w:val="00A73603"/>
    <w:pPr>
      <w:ind w:left="1000" w:hanging="200"/>
    </w:pPr>
  </w:style>
  <w:style w:type="paragraph" w:styleId="Index6">
    <w:name w:val="index 6"/>
    <w:basedOn w:val="Normal"/>
    <w:next w:val="Normal"/>
    <w:autoRedefine/>
    <w:semiHidden/>
    <w:rsid w:val="00A73603"/>
    <w:pPr>
      <w:ind w:left="1200" w:hanging="200"/>
    </w:pPr>
  </w:style>
  <w:style w:type="paragraph" w:styleId="Index7">
    <w:name w:val="index 7"/>
    <w:basedOn w:val="Normal"/>
    <w:next w:val="Normal"/>
    <w:autoRedefine/>
    <w:semiHidden/>
    <w:rsid w:val="00A73603"/>
    <w:pPr>
      <w:ind w:left="1400" w:hanging="200"/>
    </w:pPr>
  </w:style>
  <w:style w:type="paragraph" w:styleId="Index8">
    <w:name w:val="index 8"/>
    <w:basedOn w:val="Normal"/>
    <w:next w:val="Normal"/>
    <w:autoRedefine/>
    <w:semiHidden/>
    <w:rsid w:val="00A73603"/>
    <w:pPr>
      <w:ind w:left="1600" w:hanging="200"/>
    </w:pPr>
  </w:style>
  <w:style w:type="paragraph" w:styleId="Index9">
    <w:name w:val="index 9"/>
    <w:basedOn w:val="Normal"/>
    <w:next w:val="Normal"/>
    <w:autoRedefine/>
    <w:semiHidden/>
    <w:rsid w:val="00A73603"/>
    <w:pPr>
      <w:ind w:left="1800" w:hanging="200"/>
    </w:pPr>
  </w:style>
  <w:style w:type="paragraph" w:styleId="IndexHeading">
    <w:name w:val="index heading"/>
    <w:basedOn w:val="Normal"/>
    <w:next w:val="Index1"/>
    <w:rsid w:val="00A73603"/>
    <w:rPr>
      <w:rFonts w:ascii="Arial Bold" w:hAnsi="Arial Bold" w:cs="Arial"/>
      <w:b/>
      <w:bCs/>
      <w:color w:val="002B54"/>
    </w:rPr>
  </w:style>
  <w:style w:type="paragraph" w:styleId="MacroText">
    <w:name w:val="macro"/>
    <w:link w:val="MacroTextChar"/>
    <w:unhideWhenUsed/>
    <w:rsid w:val="00A736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73603"/>
    <w:rPr>
      <w:rFonts w:ascii="Courier New" w:eastAsia="Times New Roman" w:hAnsi="Courier New" w:cs="Courier New"/>
      <w:sz w:val="20"/>
      <w:szCs w:val="20"/>
      <w:lang w:eastAsia="en-AU"/>
    </w:rPr>
  </w:style>
  <w:style w:type="paragraph" w:styleId="TableofAuthorities">
    <w:name w:val="table of authorities"/>
    <w:basedOn w:val="Normal"/>
    <w:next w:val="Normal"/>
    <w:rsid w:val="00A73603"/>
    <w:pPr>
      <w:ind w:left="200" w:hanging="200"/>
    </w:pPr>
  </w:style>
  <w:style w:type="paragraph" w:styleId="TableofFigures">
    <w:name w:val="table of figures"/>
    <w:basedOn w:val="Normal"/>
    <w:next w:val="Normal"/>
    <w:rsid w:val="00A73603"/>
  </w:style>
  <w:style w:type="paragraph" w:styleId="TOAHeading">
    <w:name w:val="toa heading"/>
    <w:basedOn w:val="Normal"/>
    <w:next w:val="Normal"/>
    <w:rsid w:val="00A73603"/>
    <w:pPr>
      <w:spacing w:before="120"/>
    </w:pPr>
    <w:rPr>
      <w:rFonts w:ascii="Arial" w:hAnsi="Arial" w:cs="Arial"/>
      <w:b/>
      <w:bCs/>
      <w:sz w:val="24"/>
      <w:szCs w:val="24"/>
    </w:rPr>
  </w:style>
  <w:style w:type="paragraph" w:styleId="TOC1">
    <w:name w:val="toc 1"/>
    <w:basedOn w:val="HeaderBase"/>
    <w:next w:val="Normal"/>
    <w:uiPriority w:val="39"/>
    <w:rsid w:val="00A73603"/>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7360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73603"/>
    <w:pPr>
      <w:tabs>
        <w:tab w:val="right" w:leader="dot" w:pos="7700"/>
      </w:tabs>
      <w:spacing w:before="40"/>
      <w:ind w:right="851"/>
    </w:pPr>
    <w:rPr>
      <w:sz w:val="20"/>
    </w:rPr>
  </w:style>
  <w:style w:type="paragraph" w:styleId="TOC4">
    <w:name w:val="toc 4"/>
    <w:basedOn w:val="HeadingBase"/>
    <w:next w:val="Normal"/>
    <w:uiPriority w:val="2"/>
    <w:unhideWhenUsed/>
    <w:rsid w:val="00A73603"/>
    <w:pPr>
      <w:tabs>
        <w:tab w:val="right" w:leader="dot" w:pos="7700"/>
      </w:tabs>
      <w:spacing w:before="40"/>
      <w:ind w:right="851"/>
    </w:pPr>
    <w:rPr>
      <w:sz w:val="20"/>
    </w:rPr>
  </w:style>
  <w:style w:type="paragraph" w:styleId="TOC5">
    <w:name w:val="toc 5"/>
    <w:basedOn w:val="Normal"/>
    <w:next w:val="Normal"/>
    <w:autoRedefine/>
    <w:uiPriority w:val="2"/>
    <w:rsid w:val="00A7360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73603"/>
    <w:pPr>
      <w:tabs>
        <w:tab w:val="left" w:pos="851"/>
      </w:tabs>
      <w:ind w:left="851" w:hanging="851"/>
    </w:pPr>
    <w:rPr>
      <w:color w:val="000000"/>
    </w:rPr>
  </w:style>
  <w:style w:type="paragraph" w:styleId="TOC7">
    <w:name w:val="toc 7"/>
    <w:basedOn w:val="Normal"/>
    <w:next w:val="Normal"/>
    <w:autoRedefine/>
    <w:uiPriority w:val="2"/>
    <w:rsid w:val="00A73603"/>
    <w:pPr>
      <w:ind w:left="1200"/>
    </w:pPr>
  </w:style>
  <w:style w:type="paragraph" w:styleId="TOC8">
    <w:name w:val="toc 8"/>
    <w:basedOn w:val="Normal"/>
    <w:next w:val="Normal"/>
    <w:autoRedefine/>
    <w:uiPriority w:val="2"/>
    <w:rsid w:val="00A73603"/>
    <w:pPr>
      <w:ind w:left="1400"/>
    </w:pPr>
  </w:style>
  <w:style w:type="paragraph" w:styleId="TOC9">
    <w:name w:val="toc 9"/>
    <w:basedOn w:val="Normal"/>
    <w:next w:val="Normal"/>
    <w:autoRedefine/>
    <w:uiPriority w:val="2"/>
    <w:rsid w:val="00A73603"/>
    <w:pPr>
      <w:ind w:left="1600"/>
    </w:pPr>
  </w:style>
  <w:style w:type="paragraph" w:customStyle="1" w:styleId="FileProperties">
    <w:name w:val="File Properties"/>
    <w:basedOn w:val="Normal"/>
    <w:rsid w:val="00A73603"/>
    <w:pPr>
      <w:spacing w:before="0"/>
    </w:pPr>
    <w:rPr>
      <w:i/>
    </w:rPr>
  </w:style>
  <w:style w:type="character" w:styleId="PageNumber">
    <w:name w:val="page number"/>
    <w:basedOn w:val="DefaultParagraphFont"/>
    <w:rsid w:val="00A73603"/>
    <w:rPr>
      <w:rFonts w:ascii="Arial" w:hAnsi="Arial" w:cs="Arial"/>
      <w:color w:val="auto"/>
    </w:rPr>
  </w:style>
  <w:style w:type="character" w:customStyle="1" w:styleId="FramedHeader">
    <w:name w:val="Framed Header"/>
    <w:basedOn w:val="DefaultParagraphFont"/>
    <w:rsid w:val="00A73603"/>
    <w:rPr>
      <w:rFonts w:ascii="Book Antiqua" w:hAnsi="Book Antiqua"/>
      <w:i/>
      <w:dstrike w:val="0"/>
      <w:color w:val="auto"/>
      <w:sz w:val="20"/>
      <w:vertAlign w:val="baseline"/>
    </w:rPr>
  </w:style>
  <w:style w:type="paragraph" w:styleId="NormalIndent">
    <w:name w:val="Normal Indent"/>
    <w:basedOn w:val="Normal"/>
    <w:rsid w:val="00A73603"/>
    <w:pPr>
      <w:ind w:left="567"/>
    </w:pPr>
  </w:style>
  <w:style w:type="paragraph" w:customStyle="1" w:styleId="BlockedQuotation">
    <w:name w:val="Blocked Quotation"/>
    <w:basedOn w:val="Normal"/>
    <w:semiHidden/>
    <w:rsid w:val="00A73603"/>
    <w:pPr>
      <w:ind w:left="567"/>
    </w:pPr>
  </w:style>
  <w:style w:type="paragraph" w:customStyle="1" w:styleId="ChartMainHeading">
    <w:name w:val="Chart Main Heading"/>
    <w:basedOn w:val="ChartHeading"/>
    <w:next w:val="ChartGraphic"/>
    <w:rsid w:val="00A73603"/>
  </w:style>
  <w:style w:type="table" w:styleId="TableGrid">
    <w:name w:val="Table Grid"/>
    <w:basedOn w:val="TableNormal"/>
    <w:rsid w:val="00A73603"/>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73603"/>
    <w:rPr>
      <w:sz w:val="24"/>
    </w:rPr>
  </w:style>
  <w:style w:type="paragraph" w:customStyle="1" w:styleId="Title3rdLevel">
    <w:name w:val="Title 3rd Level"/>
    <w:basedOn w:val="Normal"/>
    <w:next w:val="Title"/>
    <w:rsid w:val="00A73603"/>
    <w:pPr>
      <w:jc w:val="center"/>
    </w:pPr>
    <w:rPr>
      <w:rFonts w:ascii="Arial" w:hAnsi="Arial"/>
      <w:caps/>
    </w:rPr>
  </w:style>
  <w:style w:type="paragraph" w:customStyle="1" w:styleId="Part">
    <w:name w:val="Part"/>
    <w:basedOn w:val="Title"/>
    <w:next w:val="Normal"/>
    <w:rsid w:val="00A73603"/>
    <w:rPr>
      <w:caps/>
      <w:smallCaps w:val="0"/>
    </w:rPr>
  </w:style>
  <w:style w:type="paragraph" w:customStyle="1" w:styleId="TableHeadingNoTable">
    <w:name w:val="Table Heading No Table"/>
    <w:basedOn w:val="TableHeading"/>
    <w:next w:val="Normal"/>
    <w:rsid w:val="00A73603"/>
    <w:pPr>
      <w:spacing w:after="240"/>
    </w:pPr>
  </w:style>
  <w:style w:type="paragraph" w:customStyle="1" w:styleId="TransmittalAddressee">
    <w:name w:val="Transmittal Addressee"/>
    <w:basedOn w:val="Normal"/>
    <w:uiPriority w:val="99"/>
    <w:rsid w:val="00A73603"/>
    <w:pPr>
      <w:spacing w:before="0" w:after="0"/>
    </w:pPr>
  </w:style>
  <w:style w:type="paragraph" w:customStyle="1" w:styleId="TransmittalStyle1">
    <w:name w:val="Transmittal Style 1"/>
    <w:basedOn w:val="HeadingBase"/>
    <w:uiPriority w:val="99"/>
    <w:rsid w:val="00A73603"/>
    <w:pPr>
      <w:spacing w:after="60"/>
      <w:jc w:val="right"/>
    </w:pPr>
    <w:rPr>
      <w:b/>
      <w:smallCaps/>
    </w:rPr>
  </w:style>
  <w:style w:type="paragraph" w:customStyle="1" w:styleId="TransmittalStyle2">
    <w:name w:val="Transmittal Style 2"/>
    <w:basedOn w:val="HeadingBase"/>
    <w:uiPriority w:val="99"/>
    <w:rsid w:val="00A73603"/>
    <w:pPr>
      <w:spacing w:before="60" w:after="60"/>
      <w:jc w:val="right"/>
    </w:pPr>
    <w:rPr>
      <w:rFonts w:ascii="Helvetica" w:hAnsi="Helvetica"/>
      <w:b/>
      <w:caps/>
      <w:sz w:val="16"/>
    </w:rPr>
  </w:style>
  <w:style w:type="paragraph" w:customStyle="1" w:styleId="UserGuidelevelTOC">
    <w:name w:val="UserGuide level TOC"/>
    <w:basedOn w:val="HeadingBase"/>
    <w:next w:val="Normal"/>
    <w:rsid w:val="00A73603"/>
    <w:pPr>
      <w:spacing w:before="360" w:after="360"/>
    </w:pPr>
    <w:rPr>
      <w:sz w:val="30"/>
    </w:rPr>
  </w:style>
  <w:style w:type="paragraph" w:customStyle="1" w:styleId="TableTextJustified">
    <w:name w:val="Table Text Justified"/>
    <w:basedOn w:val="TableTextBase"/>
    <w:rsid w:val="00A73603"/>
    <w:pPr>
      <w:jc w:val="both"/>
    </w:pPr>
  </w:style>
  <w:style w:type="paragraph" w:customStyle="1" w:styleId="Department">
    <w:name w:val="Department"/>
    <w:basedOn w:val="Normal"/>
    <w:rsid w:val="00A73603"/>
    <w:pPr>
      <w:spacing w:after="0" w:line="240" w:lineRule="auto"/>
      <w:jc w:val="center"/>
    </w:pPr>
    <w:rPr>
      <w:rFonts w:ascii="Arial" w:hAnsi="Arial"/>
      <w:b/>
      <w:sz w:val="52"/>
    </w:rPr>
  </w:style>
  <w:style w:type="paragraph" w:customStyle="1" w:styleId="DepartmentSubtitle">
    <w:name w:val="Department Subtitle"/>
    <w:basedOn w:val="Department"/>
    <w:rsid w:val="00A73603"/>
    <w:rPr>
      <w:sz w:val="44"/>
    </w:rPr>
  </w:style>
  <w:style w:type="character" w:customStyle="1" w:styleId="ExampletextCharChar">
    <w:name w:val="Example text Char Char"/>
    <w:link w:val="Exampletext"/>
    <w:rsid w:val="00A73603"/>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A73603"/>
    <w:pPr>
      <w:spacing w:after="0" w:line="240" w:lineRule="auto"/>
      <w:jc w:val="center"/>
    </w:pPr>
  </w:style>
  <w:style w:type="character" w:styleId="Hyperlink">
    <w:name w:val="Hyperlink"/>
    <w:basedOn w:val="DefaultParagraphFont"/>
    <w:uiPriority w:val="99"/>
    <w:unhideWhenUsed/>
    <w:rsid w:val="00A73603"/>
    <w:rPr>
      <w:color w:val="auto"/>
      <w:u w:val="single"/>
    </w:rPr>
  </w:style>
  <w:style w:type="paragraph" w:customStyle="1" w:styleId="Heading1noTOC">
    <w:name w:val="Heading 1 no TOC"/>
    <w:basedOn w:val="Heading1"/>
    <w:rsid w:val="00A73603"/>
  </w:style>
  <w:style w:type="paragraph" w:customStyle="1" w:styleId="TableColumnOutgroupHeading">
    <w:name w:val="Table Column Outgroup Heading"/>
    <w:basedOn w:val="Normal"/>
    <w:rsid w:val="00A73603"/>
    <w:pPr>
      <w:spacing w:before="60" w:after="120" w:line="240" w:lineRule="auto"/>
    </w:pPr>
    <w:rPr>
      <w:b/>
      <w:sz w:val="22"/>
    </w:rPr>
  </w:style>
  <w:style w:type="paragraph" w:customStyle="1" w:styleId="TableColumnOutgroupSubheading">
    <w:name w:val="Table Column Outgroup Subheading"/>
    <w:basedOn w:val="Normal"/>
    <w:rsid w:val="00A73603"/>
    <w:pPr>
      <w:spacing w:before="60" w:after="120" w:line="240" w:lineRule="auto"/>
      <w:jc w:val="center"/>
    </w:pPr>
  </w:style>
  <w:style w:type="paragraph" w:customStyle="1" w:styleId="TableTextBullet">
    <w:name w:val="Table Text Bullet"/>
    <w:basedOn w:val="TableTextBase"/>
    <w:uiPriority w:val="99"/>
    <w:rsid w:val="00A73603"/>
    <w:pPr>
      <w:numPr>
        <w:numId w:val="5"/>
      </w:numPr>
    </w:pPr>
  </w:style>
  <w:style w:type="paragraph" w:customStyle="1" w:styleId="Exampletextdash">
    <w:name w:val="Example text dash"/>
    <w:basedOn w:val="Exampletextbullet"/>
    <w:semiHidden/>
    <w:rsid w:val="00A73603"/>
    <w:pPr>
      <w:numPr>
        <w:ilvl w:val="1"/>
      </w:numPr>
    </w:pPr>
  </w:style>
  <w:style w:type="character" w:customStyle="1" w:styleId="HeadingBaseChar">
    <w:name w:val="Heading Base Char"/>
    <w:link w:val="HeadingBase"/>
    <w:rsid w:val="00A73603"/>
    <w:rPr>
      <w:rFonts w:ascii="Arial" w:eastAsia="Times New Roman" w:hAnsi="Arial" w:cs="Times New Roman"/>
      <w:sz w:val="24"/>
      <w:szCs w:val="20"/>
      <w:lang w:eastAsia="en-AU"/>
    </w:rPr>
  </w:style>
  <w:style w:type="character" w:customStyle="1" w:styleId="TableHeadingChar">
    <w:name w:val="Table Heading Char"/>
    <w:link w:val="TableHeading"/>
    <w:rsid w:val="00A73603"/>
    <w:rPr>
      <w:rFonts w:ascii="Arial" w:eastAsia="Times New Roman" w:hAnsi="Arial" w:cs="Times New Roman"/>
      <w:b/>
      <w:sz w:val="20"/>
      <w:szCs w:val="20"/>
      <w:lang w:eastAsia="en-AU"/>
    </w:rPr>
  </w:style>
  <w:style w:type="character" w:customStyle="1" w:styleId="TableTextBaseChar">
    <w:name w:val="Table Text Base Char"/>
    <w:link w:val="TableTextBase"/>
    <w:rsid w:val="00A73603"/>
    <w:rPr>
      <w:rFonts w:ascii="Arial" w:eastAsia="Times New Roman" w:hAnsi="Arial" w:cs="Times New Roman"/>
      <w:sz w:val="16"/>
      <w:szCs w:val="20"/>
      <w:lang w:eastAsia="en-AU"/>
    </w:rPr>
  </w:style>
  <w:style w:type="character" w:customStyle="1" w:styleId="TableTextLeftChar">
    <w:name w:val="Table Text Left Char"/>
    <w:link w:val="TableTextLeft"/>
    <w:rsid w:val="00A73603"/>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A7360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73603"/>
    <w:pPr>
      <w:numPr>
        <w:ilvl w:val="1"/>
        <w:numId w:val="5"/>
      </w:numPr>
    </w:pPr>
  </w:style>
  <w:style w:type="character" w:customStyle="1" w:styleId="ChartandTableFootnoteChar">
    <w:name w:val="Chart and Table Footnote Char"/>
    <w:link w:val="ChartandTableFootnote"/>
    <w:rsid w:val="00A73603"/>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A73603"/>
    <w:pPr>
      <w:spacing w:after="480"/>
      <w:outlineLvl w:val="9"/>
    </w:pPr>
    <w:rPr>
      <w:rFonts w:ascii="Arial Bold" w:hAnsi="Arial Bold"/>
      <w:smallCaps w:val="0"/>
    </w:rPr>
  </w:style>
  <w:style w:type="character" w:customStyle="1" w:styleId="BulletChar">
    <w:name w:val="Bullet Char"/>
    <w:link w:val="Bullet"/>
    <w:rsid w:val="00A73603"/>
    <w:rPr>
      <w:rFonts w:ascii="Book Antiqua" w:eastAsia="Times New Roman" w:hAnsi="Book Antiqua" w:cs="Times New Roman"/>
      <w:sz w:val="19"/>
      <w:szCs w:val="20"/>
      <w:lang w:eastAsia="en-AU"/>
    </w:rPr>
  </w:style>
  <w:style w:type="paragraph" w:customStyle="1" w:styleId="BoxTextBase">
    <w:name w:val="Box Text Base"/>
    <w:basedOn w:val="Normal"/>
    <w:rsid w:val="00A73603"/>
    <w:pPr>
      <w:spacing w:after="120"/>
    </w:pPr>
    <w:rPr>
      <w:color w:val="000000"/>
    </w:rPr>
  </w:style>
  <w:style w:type="paragraph" w:customStyle="1" w:styleId="BoxDash">
    <w:name w:val="Box Dash"/>
    <w:basedOn w:val="Normal"/>
    <w:rsid w:val="00A73603"/>
    <w:pPr>
      <w:numPr>
        <w:ilvl w:val="1"/>
        <w:numId w:val="6"/>
      </w:numPr>
    </w:pPr>
    <w:rPr>
      <w:color w:val="000000"/>
    </w:rPr>
  </w:style>
  <w:style w:type="paragraph" w:customStyle="1" w:styleId="BoxDoubleDot">
    <w:name w:val="Box Double Dot"/>
    <w:basedOn w:val="BoxTextBase"/>
    <w:rsid w:val="00A73603"/>
    <w:pPr>
      <w:numPr>
        <w:ilvl w:val="2"/>
        <w:numId w:val="6"/>
      </w:numPr>
    </w:pPr>
  </w:style>
  <w:style w:type="paragraph" w:customStyle="1" w:styleId="Outcome">
    <w:name w:val="Outcome"/>
    <w:basedOn w:val="Normal"/>
    <w:rsid w:val="00A73603"/>
    <w:pPr>
      <w:spacing w:before="120" w:after="120" w:line="280" w:lineRule="exact"/>
    </w:pPr>
    <w:rPr>
      <w:rFonts w:ascii="Arial" w:hAnsi="Arial" w:cs="Arial"/>
      <w:b/>
    </w:rPr>
  </w:style>
  <w:style w:type="paragraph" w:customStyle="1" w:styleId="ProgramHeading">
    <w:name w:val="Program Heading"/>
    <w:basedOn w:val="HeadingBase"/>
    <w:rsid w:val="00A7360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73603"/>
  </w:style>
  <w:style w:type="paragraph" w:customStyle="1" w:styleId="ExampleText0">
    <w:name w:val="Example Text"/>
    <w:basedOn w:val="Normal"/>
    <w:rsid w:val="00A73603"/>
    <w:rPr>
      <w:i/>
      <w:color w:val="FF0000"/>
    </w:rPr>
  </w:style>
  <w:style w:type="paragraph" w:styleId="NoSpacing">
    <w:name w:val="No Spacing"/>
    <w:uiPriority w:val="1"/>
    <w:qFormat/>
    <w:rsid w:val="00A73603"/>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A73603"/>
    <w:rPr>
      <w:rFonts w:ascii="Swiss 721 BT" w:hAnsi="Swiss 721 BT" w:cs="Swiss 721 BT" w:hint="default"/>
      <w:color w:val="000000"/>
      <w:sz w:val="20"/>
      <w:szCs w:val="20"/>
    </w:rPr>
  </w:style>
  <w:style w:type="character" w:styleId="FollowedHyperlink">
    <w:name w:val="FollowedHyperlink"/>
    <w:rsid w:val="00A73603"/>
    <w:rPr>
      <w:color w:val="800080"/>
      <w:u w:val="single"/>
    </w:rPr>
  </w:style>
  <w:style w:type="character" w:styleId="Strong">
    <w:name w:val="Strong"/>
    <w:basedOn w:val="DefaultParagraphFont"/>
    <w:uiPriority w:val="22"/>
    <w:qFormat/>
    <w:rsid w:val="00A73603"/>
    <w:rPr>
      <w:b/>
      <w:bCs/>
    </w:rPr>
  </w:style>
  <w:style w:type="paragraph" w:customStyle="1" w:styleId="Heading2NoTOC">
    <w:name w:val="Heading 2 No TOC"/>
    <w:basedOn w:val="Heading2"/>
    <w:qFormat/>
    <w:rsid w:val="00A73603"/>
    <w:pPr>
      <w:outlineLvl w:val="9"/>
    </w:pPr>
  </w:style>
  <w:style w:type="paragraph" w:customStyle="1" w:styleId="PartHeading-TOC">
    <w:name w:val="Part Heading - TOC"/>
    <w:basedOn w:val="PartHeading"/>
    <w:rsid w:val="00A73603"/>
  </w:style>
  <w:style w:type="paragraph" w:styleId="Revision">
    <w:name w:val="Revision"/>
    <w:hidden/>
    <w:uiPriority w:val="99"/>
    <w:semiHidden/>
    <w:rsid w:val="00A73603"/>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A73603"/>
  </w:style>
  <w:style w:type="character" w:customStyle="1" w:styleId="NoteHeadingChar">
    <w:name w:val="Note Heading Char"/>
    <w:basedOn w:val="DefaultParagraphFont"/>
    <w:link w:val="NoteHeading"/>
    <w:rsid w:val="00A73603"/>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A73603"/>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A73603"/>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A73603"/>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A73603"/>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A73603"/>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A73603"/>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A73603"/>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A73603"/>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A73603"/>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73603"/>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A7360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73603"/>
    <w:pPr>
      <w:pBdr>
        <w:top w:val="single" w:sz="4" w:space="10" w:color="000000" w:themeColor="text1"/>
      </w:pBdr>
      <w:jc w:val="right"/>
    </w:pPr>
    <w:rPr>
      <w:sz w:val="18"/>
    </w:rPr>
  </w:style>
  <w:style w:type="paragraph" w:customStyle="1" w:styleId="Box-continuedon">
    <w:name w:val="Box - continued on"/>
    <w:basedOn w:val="Normal"/>
    <w:qFormat/>
    <w:rsid w:val="00A73603"/>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73603"/>
    <w:rPr>
      <w:sz w:val="22"/>
    </w:rPr>
  </w:style>
  <w:style w:type="paragraph" w:customStyle="1" w:styleId="BoxSubHeading">
    <w:name w:val="Box Sub Heading"/>
    <w:basedOn w:val="Heading6"/>
    <w:rsid w:val="00A73603"/>
    <w:pPr>
      <w:spacing w:before="120" w:after="40"/>
    </w:pPr>
  </w:style>
  <w:style w:type="paragraph" w:customStyle="1" w:styleId="ChartHeading">
    <w:name w:val="Chart Heading"/>
    <w:basedOn w:val="HeadingBase"/>
    <w:next w:val="ChartGraphic"/>
    <w:qFormat/>
    <w:rsid w:val="00A73603"/>
    <w:pPr>
      <w:spacing w:before="120" w:after="20"/>
    </w:pPr>
    <w:rPr>
      <w:b/>
      <w:sz w:val="20"/>
    </w:rPr>
  </w:style>
  <w:style w:type="paragraph" w:customStyle="1" w:styleId="ChartLine">
    <w:name w:val="Chart Line"/>
    <w:basedOn w:val="NoSpacing"/>
    <w:autoRedefine/>
    <w:qFormat/>
    <w:rsid w:val="00A73603"/>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A73603"/>
    <w:pPr>
      <w:outlineLvl w:val="9"/>
    </w:pPr>
  </w:style>
  <w:style w:type="paragraph" w:customStyle="1" w:styleId="Statement">
    <w:name w:val="Statement"/>
    <w:basedOn w:val="Normal"/>
    <w:autoRedefine/>
    <w:qFormat/>
    <w:rsid w:val="00A73603"/>
    <w:pPr>
      <w:textboxTightWrap w:val="firstAndLastLine"/>
    </w:pPr>
    <w:rPr>
      <w:rFonts w:cstheme="minorHAnsi"/>
      <w:kern w:val="18"/>
      <w:sz w:val="18"/>
    </w:rPr>
  </w:style>
  <w:style w:type="paragraph" w:customStyle="1" w:styleId="Statement-Bullet">
    <w:name w:val="Statement - Bullet"/>
    <w:basedOn w:val="Bullet"/>
    <w:qFormat/>
    <w:rsid w:val="00A73603"/>
    <w:pPr>
      <w:ind w:left="284" w:hanging="284"/>
    </w:pPr>
  </w:style>
  <w:style w:type="paragraph" w:customStyle="1" w:styleId="TableLine">
    <w:name w:val="Table Line"/>
    <w:basedOn w:val="Normal"/>
    <w:next w:val="Normal"/>
    <w:autoRedefine/>
    <w:rsid w:val="00A73603"/>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73603"/>
    <w:rPr>
      <w:rFonts w:cs="Arial"/>
      <w:b/>
      <w:sz w:val="22"/>
      <w:szCs w:val="22"/>
    </w:rPr>
  </w:style>
  <w:style w:type="paragraph" w:customStyle="1" w:styleId="TPHEADING3boldspace">
    <w:name w:val="TP HEADING 3 bold space"/>
    <w:basedOn w:val="TPHeading3bold"/>
    <w:semiHidden/>
    <w:rsid w:val="00A73603"/>
    <w:pPr>
      <w:spacing w:after="120"/>
    </w:pPr>
  </w:style>
  <w:style w:type="paragraph" w:customStyle="1" w:styleId="TPHEADING3space">
    <w:name w:val="TP HEADING 3 space"/>
    <w:basedOn w:val="TPHeading3"/>
    <w:semiHidden/>
    <w:rsid w:val="00A73603"/>
    <w:pPr>
      <w:spacing w:before="120" w:after="120"/>
    </w:pPr>
    <w:rPr>
      <w:rFonts w:cs="Arial"/>
      <w:sz w:val="22"/>
      <w:szCs w:val="22"/>
    </w:rPr>
  </w:style>
  <w:style w:type="paragraph" w:customStyle="1" w:styleId="TPHeading4">
    <w:name w:val="TP Heading 4"/>
    <w:basedOn w:val="TPHeading3"/>
    <w:semiHidden/>
    <w:rsid w:val="00A73603"/>
    <w:rPr>
      <w:sz w:val="20"/>
    </w:rPr>
  </w:style>
  <w:style w:type="paragraph" w:customStyle="1" w:styleId="TPHEADING4space">
    <w:name w:val="TP HEADING 4 space"/>
    <w:basedOn w:val="TPHEADING3space"/>
    <w:semiHidden/>
    <w:rsid w:val="00A73603"/>
  </w:style>
  <w:style w:type="paragraph" w:styleId="NormalWeb">
    <w:name w:val="Normal (Web)"/>
    <w:basedOn w:val="Normal"/>
    <w:uiPriority w:val="99"/>
    <w:unhideWhenUsed/>
    <w:rsid w:val="00A73603"/>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A73603"/>
    <w:rPr>
      <w:rFonts w:ascii="Calibri" w:eastAsia="Calibri" w:hAnsi="Calibri" w:cs="Times New Roman"/>
      <w:lang w:val="en-US"/>
    </w:rPr>
  </w:style>
  <w:style w:type="table" w:customStyle="1" w:styleId="TableGrid1">
    <w:name w:val="Table Grid1"/>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7360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A73603"/>
  </w:style>
  <w:style w:type="paragraph" w:customStyle="1" w:styleId="Heading1-NoTOC">
    <w:name w:val="Heading 1 - No TOC"/>
    <w:basedOn w:val="Heading1"/>
    <w:rsid w:val="00A73603"/>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A73603"/>
  </w:style>
  <w:style w:type="paragraph" w:customStyle="1" w:styleId="Heading1-DITRDCA">
    <w:name w:val="Heading 1 - DITRDCA"/>
    <w:basedOn w:val="Heading1"/>
    <w:qFormat/>
    <w:rsid w:val="00A73603"/>
    <w:pPr>
      <w:jc w:val="center"/>
    </w:pPr>
  </w:style>
  <w:style w:type="paragraph" w:customStyle="1" w:styleId="Heading2-DITRDCA">
    <w:name w:val="Heading 2 - DITRDCA"/>
    <w:basedOn w:val="Heading2"/>
    <w:qFormat/>
    <w:rsid w:val="00A73603"/>
  </w:style>
  <w:style w:type="paragraph" w:customStyle="1" w:styleId="Heading3-DITRDCA">
    <w:name w:val="Heading 3 - DITRDCA"/>
    <w:basedOn w:val="Heading3"/>
    <w:qFormat/>
    <w:rsid w:val="00A73603"/>
  </w:style>
  <w:style w:type="paragraph" w:customStyle="1" w:styleId="Heading1-PortfolioGlossary">
    <w:name w:val="Heading 1 - Portfolio Glossary"/>
    <w:basedOn w:val="Heading1"/>
    <w:qFormat/>
    <w:rsid w:val="00A73603"/>
  </w:style>
  <w:style w:type="paragraph" w:customStyle="1" w:styleId="Heading1-Index">
    <w:name w:val="Heading 1 - Index"/>
    <w:basedOn w:val="Heading1"/>
    <w:qFormat/>
    <w:rsid w:val="00A73603"/>
  </w:style>
  <w:style w:type="paragraph" w:customStyle="1" w:styleId="BookAntiqua10left2">
    <w:name w:val="_Book Antiqua 10 left2"/>
    <w:basedOn w:val="Normal"/>
    <w:qFormat/>
    <w:rsid w:val="00A73603"/>
    <w:pPr>
      <w:spacing w:before="0" w:after="120" w:line="240" w:lineRule="auto"/>
    </w:pPr>
    <w:rPr>
      <w:sz w:val="20"/>
      <w:lang w:eastAsia="en-US"/>
    </w:rPr>
  </w:style>
  <w:style w:type="paragraph" w:customStyle="1" w:styleId="paragraph">
    <w:name w:val="paragraph"/>
    <w:aliases w:val="a"/>
    <w:basedOn w:val="Normal"/>
    <w:link w:val="paragraphChar"/>
    <w:rsid w:val="00A7360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73603"/>
  </w:style>
  <w:style w:type="character" w:customStyle="1" w:styleId="eop">
    <w:name w:val="eop"/>
    <w:basedOn w:val="DefaultParagraphFont"/>
    <w:rsid w:val="00A73603"/>
  </w:style>
  <w:style w:type="paragraph" w:customStyle="1" w:styleId="Heading1-TOC-NGA">
    <w:name w:val="Heading 1-TOC-NGA"/>
    <w:basedOn w:val="TOC1"/>
    <w:rsid w:val="00A73603"/>
    <w:rPr>
      <w:noProof/>
    </w:rPr>
  </w:style>
  <w:style w:type="paragraph" w:customStyle="1" w:styleId="Heading2TOCNGA">
    <w:name w:val="Heading 2 TOC NGA"/>
    <w:basedOn w:val="TOC1"/>
    <w:rsid w:val="00A73603"/>
    <w:rPr>
      <w:noProof/>
    </w:rPr>
  </w:style>
  <w:style w:type="paragraph" w:customStyle="1" w:styleId="Style1">
    <w:name w:val="Style1"/>
    <w:basedOn w:val="Heading2TOCNGA"/>
    <w:qFormat/>
    <w:rsid w:val="00A73603"/>
  </w:style>
  <w:style w:type="paragraph" w:customStyle="1" w:styleId="Heading3TOCNGA">
    <w:name w:val="Heading 3 TOC NGA"/>
    <w:basedOn w:val="TOC1"/>
    <w:rsid w:val="00A73603"/>
    <w:rPr>
      <w:noProof/>
    </w:rPr>
  </w:style>
  <w:style w:type="paragraph" w:customStyle="1" w:styleId="Heading1-NGA">
    <w:name w:val="Heading 1 - NGA"/>
    <w:basedOn w:val="Heading1"/>
    <w:qFormat/>
    <w:rsid w:val="00A73603"/>
  </w:style>
  <w:style w:type="paragraph" w:customStyle="1" w:styleId="Heading2-NGA">
    <w:name w:val="Heading 2 - NGA"/>
    <w:basedOn w:val="Heading2"/>
    <w:qFormat/>
    <w:rsid w:val="00A73603"/>
  </w:style>
  <w:style w:type="paragraph" w:customStyle="1" w:styleId="Heading3-NGA">
    <w:name w:val="Heading 3 - NGA"/>
    <w:basedOn w:val="Heading3"/>
    <w:qFormat/>
    <w:rsid w:val="00A73603"/>
  </w:style>
  <w:style w:type="paragraph" w:customStyle="1" w:styleId="PartHeading-TOC-NGA">
    <w:name w:val="Part Heading - TOC - NGA"/>
    <w:basedOn w:val="PartHeading-TOC"/>
    <w:qFormat/>
    <w:rsid w:val="00A73603"/>
  </w:style>
  <w:style w:type="paragraph" w:customStyle="1" w:styleId="Paragraphtextwithspacebefore">
    <w:name w:val="_Paragraph text with space before"/>
    <w:basedOn w:val="Normal"/>
    <w:qFormat/>
    <w:rsid w:val="00A73603"/>
    <w:pPr>
      <w:spacing w:line="240" w:lineRule="auto"/>
      <w:jc w:val="both"/>
    </w:pPr>
    <w:rPr>
      <w:sz w:val="20"/>
      <w:lang w:eastAsia="en-US"/>
    </w:rPr>
  </w:style>
  <w:style w:type="character" w:styleId="UnresolvedMention">
    <w:name w:val="Unresolved Mention"/>
    <w:basedOn w:val="DefaultParagraphFont"/>
    <w:uiPriority w:val="99"/>
    <w:semiHidden/>
    <w:unhideWhenUsed/>
    <w:rsid w:val="00A73603"/>
    <w:rPr>
      <w:color w:val="605E5C"/>
      <w:shd w:val="clear" w:color="auto" w:fill="E1DFDD"/>
    </w:rPr>
  </w:style>
  <w:style w:type="character" w:styleId="Mention">
    <w:name w:val="Mention"/>
    <w:basedOn w:val="DefaultParagraphFont"/>
    <w:uiPriority w:val="99"/>
    <w:unhideWhenUsed/>
    <w:rsid w:val="00A73603"/>
    <w:rPr>
      <w:color w:val="2B579A"/>
      <w:shd w:val="clear" w:color="auto" w:fill="E1DFDD"/>
    </w:rPr>
  </w:style>
  <w:style w:type="paragraph" w:customStyle="1" w:styleId="Heading1-NPGA">
    <w:name w:val="Heading 1 - NPGA"/>
    <w:basedOn w:val="Heading1"/>
    <w:qFormat/>
    <w:rsid w:val="00A73603"/>
    <w:pPr>
      <w:jc w:val="center"/>
    </w:pPr>
  </w:style>
  <w:style w:type="paragraph" w:customStyle="1" w:styleId="Heading2-NPGA">
    <w:name w:val="Heading 2 - NPGA"/>
    <w:basedOn w:val="Heading2"/>
    <w:qFormat/>
    <w:rsid w:val="00A73603"/>
  </w:style>
  <w:style w:type="paragraph" w:customStyle="1" w:styleId="Heading3-NPGA">
    <w:name w:val="Heading 3 - NPGA"/>
    <w:basedOn w:val="Heading3"/>
    <w:link w:val="Heading3-NPGAChar"/>
    <w:qFormat/>
    <w:rsid w:val="00A73603"/>
  </w:style>
  <w:style w:type="paragraph" w:customStyle="1" w:styleId="PartHeading-TOC-NPGA">
    <w:name w:val="Part Heading - TOC - NPGA"/>
    <w:basedOn w:val="PartHeading-TOC"/>
    <w:qFormat/>
    <w:rsid w:val="00A73603"/>
  </w:style>
  <w:style w:type="paragraph" w:customStyle="1" w:styleId="PartHeading-TOC-DITRDCA">
    <w:name w:val="Part Heading - TOC - DITRDCA"/>
    <w:basedOn w:val="PartHeading-TOC"/>
    <w:qFormat/>
    <w:rsid w:val="00A73603"/>
  </w:style>
  <w:style w:type="paragraph" w:styleId="TOCHeading">
    <w:name w:val="TOC Heading"/>
    <w:basedOn w:val="Heading1"/>
    <w:next w:val="Normal"/>
    <w:uiPriority w:val="39"/>
    <w:unhideWhenUsed/>
    <w:qFormat/>
    <w:rsid w:val="00A73603"/>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A73603"/>
    <w:rPr>
      <w:rFonts w:ascii="Arial" w:hAnsi="Arial"/>
    </w:rPr>
  </w:style>
  <w:style w:type="character" w:customStyle="1" w:styleId="Heading3-ABCChar">
    <w:name w:val="Heading 3 - ABC Char"/>
    <w:basedOn w:val="Heading3Char"/>
    <w:link w:val="Heading3-ABC"/>
    <w:rsid w:val="00A73603"/>
    <w:rPr>
      <w:rFonts w:ascii="Arial" w:eastAsia="Times New Roman" w:hAnsi="Arial" w:cs="Times New Roman"/>
      <w:b/>
      <w:szCs w:val="20"/>
      <w:lang w:eastAsia="en-AU"/>
    </w:rPr>
  </w:style>
  <w:style w:type="paragraph" w:customStyle="1" w:styleId="Heading1-ABC">
    <w:name w:val="Heading 1 - ABC"/>
    <w:basedOn w:val="Heading1"/>
    <w:qFormat/>
    <w:rsid w:val="00A73603"/>
    <w:pPr>
      <w:jc w:val="center"/>
    </w:pPr>
  </w:style>
  <w:style w:type="paragraph" w:customStyle="1" w:styleId="Heading2-ABC">
    <w:name w:val="Heading 2 - ABC"/>
    <w:basedOn w:val="Heading2"/>
    <w:qFormat/>
    <w:rsid w:val="00A73603"/>
  </w:style>
  <w:style w:type="paragraph" w:customStyle="1" w:styleId="Heading3-ACMA">
    <w:name w:val="Heading 3 - ACMA"/>
    <w:basedOn w:val="Heading3"/>
    <w:link w:val="Heading3-ACMAChar"/>
    <w:qFormat/>
    <w:rsid w:val="00A73603"/>
  </w:style>
  <w:style w:type="paragraph" w:customStyle="1" w:styleId="PartHeading-TOC-ABC">
    <w:name w:val="Part Heading - TOC - ABC"/>
    <w:basedOn w:val="PartHeading-TOC"/>
    <w:qFormat/>
    <w:rsid w:val="00A73603"/>
  </w:style>
  <w:style w:type="paragraph" w:customStyle="1" w:styleId="Heading1-ACMA">
    <w:name w:val="Heading 1 - ACMA"/>
    <w:basedOn w:val="Heading1"/>
    <w:qFormat/>
    <w:rsid w:val="00A73603"/>
    <w:pPr>
      <w:jc w:val="center"/>
    </w:pPr>
  </w:style>
  <w:style w:type="paragraph" w:customStyle="1" w:styleId="Heading2-ACMA">
    <w:name w:val="Heading 2 - ACMA"/>
    <w:basedOn w:val="Heading2"/>
    <w:link w:val="Heading2-ACMAChar"/>
    <w:qFormat/>
    <w:rsid w:val="00A73603"/>
  </w:style>
  <w:style w:type="paragraph" w:customStyle="1" w:styleId="Heading1noTOC-ACMA">
    <w:name w:val="Heading 1 no TOC - ACMA"/>
    <w:basedOn w:val="Heading1noTOC"/>
    <w:qFormat/>
    <w:rsid w:val="00A73603"/>
  </w:style>
  <w:style w:type="paragraph" w:customStyle="1" w:styleId="Heading4-ACMA">
    <w:name w:val="Heading 4 - ACMA"/>
    <w:basedOn w:val="Heading4"/>
    <w:qFormat/>
    <w:rsid w:val="00A73603"/>
    <w:pPr>
      <w:spacing w:before="240" w:after="240" w:line="240" w:lineRule="exact"/>
    </w:pPr>
  </w:style>
  <w:style w:type="paragraph" w:customStyle="1" w:styleId="Heading2-NLA">
    <w:name w:val="Heading 2 - NLA"/>
    <w:basedOn w:val="Heading2"/>
    <w:qFormat/>
    <w:rsid w:val="00A73603"/>
  </w:style>
  <w:style w:type="paragraph" w:customStyle="1" w:styleId="PartHeading-TOC-ACMA">
    <w:name w:val="Part Heading - TOC - ACMA"/>
    <w:basedOn w:val="PartHeading-TOC"/>
    <w:qFormat/>
    <w:rsid w:val="00A73603"/>
  </w:style>
  <w:style w:type="paragraph" w:styleId="BodyText">
    <w:name w:val="Body Text"/>
    <w:basedOn w:val="Normal"/>
    <w:link w:val="BodyTextChar"/>
    <w:qFormat/>
    <w:rsid w:val="00A73603"/>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A73603"/>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A73603"/>
    <w:rPr>
      <w:color w:val="605E5C"/>
      <w:shd w:val="clear" w:color="auto" w:fill="E1DFDD"/>
    </w:rPr>
  </w:style>
  <w:style w:type="paragraph" w:customStyle="1" w:styleId="Default">
    <w:name w:val="Default"/>
    <w:rsid w:val="00A73603"/>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A73603"/>
  </w:style>
  <w:style w:type="paragraph" w:customStyle="1" w:styleId="Heading2-AFTRS">
    <w:name w:val="Heading 2 - AFTRS"/>
    <w:basedOn w:val="Heading2"/>
    <w:qFormat/>
    <w:rsid w:val="00A73603"/>
  </w:style>
  <w:style w:type="paragraph" w:customStyle="1" w:styleId="Heading3-AFTRS">
    <w:name w:val="Heading 3 - AFTRS"/>
    <w:basedOn w:val="Heading3"/>
    <w:qFormat/>
    <w:rsid w:val="00A73603"/>
  </w:style>
  <w:style w:type="paragraph" w:customStyle="1" w:styleId="PartHeading-TOC-AFTRS">
    <w:name w:val="Part Heading - TOC - AFTRS"/>
    <w:basedOn w:val="PartHeading-TOC"/>
    <w:qFormat/>
    <w:rsid w:val="00A73603"/>
  </w:style>
  <w:style w:type="paragraph" w:customStyle="1" w:styleId="Heading1-AMSA">
    <w:name w:val="Heading 1 - AMSA"/>
    <w:basedOn w:val="Heading1"/>
    <w:qFormat/>
    <w:rsid w:val="00A73603"/>
    <w:pPr>
      <w:jc w:val="center"/>
    </w:pPr>
  </w:style>
  <w:style w:type="paragraph" w:customStyle="1" w:styleId="Heading2-AMSA">
    <w:name w:val="Heading 2 - AMSA"/>
    <w:basedOn w:val="Heading2"/>
    <w:qFormat/>
    <w:rsid w:val="00A73603"/>
  </w:style>
  <w:style w:type="paragraph" w:customStyle="1" w:styleId="Heading3-AMSA">
    <w:name w:val="Heading 3 - AMSA"/>
    <w:basedOn w:val="Normal"/>
    <w:qFormat/>
    <w:rsid w:val="00A73603"/>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A73603"/>
    <w:pPr>
      <w:tabs>
        <w:tab w:val="left" w:pos="709"/>
      </w:tabs>
      <w:outlineLvl w:val="9"/>
    </w:pPr>
  </w:style>
  <w:style w:type="paragraph" w:customStyle="1" w:styleId="PartHeading-TOC-AMSA">
    <w:name w:val="Part Heading - TOC - AMSA"/>
    <w:basedOn w:val="PartHeading-TOC"/>
    <w:qFormat/>
    <w:rsid w:val="00A73603"/>
  </w:style>
  <w:style w:type="paragraph" w:customStyle="1" w:styleId="Heading1-ANMM">
    <w:name w:val="Heading 1 - ANMM"/>
    <w:basedOn w:val="Heading1"/>
    <w:qFormat/>
    <w:rsid w:val="00A73603"/>
  </w:style>
  <w:style w:type="paragraph" w:customStyle="1" w:styleId="Heading2-ANMM">
    <w:name w:val="Heading 2 - ANMM"/>
    <w:basedOn w:val="Heading2"/>
    <w:qFormat/>
    <w:rsid w:val="00A73603"/>
  </w:style>
  <w:style w:type="paragraph" w:customStyle="1" w:styleId="Heading3-ANMM">
    <w:name w:val="Heading 3 - ANMM"/>
    <w:basedOn w:val="Heading3"/>
    <w:qFormat/>
    <w:rsid w:val="00A73603"/>
  </w:style>
  <w:style w:type="paragraph" w:customStyle="1" w:styleId="PartHeading-TOC-ANMM">
    <w:name w:val="Part Heading - TOC - ANMM"/>
    <w:basedOn w:val="PartHeading-TOC"/>
    <w:qFormat/>
    <w:rsid w:val="00A73603"/>
  </w:style>
  <w:style w:type="paragraph" w:customStyle="1" w:styleId="Heading3-ATSB">
    <w:name w:val="Heading 3 - ATSB"/>
    <w:basedOn w:val="Heading3-NPGA"/>
    <w:link w:val="Heading3-ATSBChar"/>
    <w:qFormat/>
    <w:rsid w:val="00A73603"/>
  </w:style>
  <w:style w:type="paragraph" w:customStyle="1" w:styleId="Heading3-NLA">
    <w:name w:val="Heading 3 - NLA"/>
    <w:basedOn w:val="Heading3"/>
    <w:link w:val="Heading3-NLAChar"/>
    <w:qFormat/>
    <w:rsid w:val="00A73603"/>
  </w:style>
  <w:style w:type="paragraph" w:customStyle="1" w:styleId="Heading1-ATSB">
    <w:name w:val="Heading 1 - ATSB"/>
    <w:basedOn w:val="Heading1noTOC"/>
    <w:qFormat/>
    <w:rsid w:val="00A73603"/>
  </w:style>
  <w:style w:type="paragraph" w:customStyle="1" w:styleId="Heading2-ATSB">
    <w:name w:val="Heading 2 - ATSB"/>
    <w:basedOn w:val="Heading2-NPGA"/>
    <w:qFormat/>
    <w:rsid w:val="00A73603"/>
  </w:style>
  <w:style w:type="paragraph" w:customStyle="1" w:styleId="PartHeading-TOC-ATSB">
    <w:name w:val="Part Heading - TOC - ATSB"/>
    <w:basedOn w:val="PartHeading-TOC"/>
    <w:qFormat/>
    <w:rsid w:val="00A73603"/>
  </w:style>
  <w:style w:type="paragraph" w:customStyle="1" w:styleId="Heading1-NLA">
    <w:name w:val="Heading 1 - NLA"/>
    <w:basedOn w:val="Heading1"/>
    <w:qFormat/>
    <w:rsid w:val="00A73603"/>
  </w:style>
  <w:style w:type="paragraph" w:customStyle="1" w:styleId="Heading1-CASA">
    <w:name w:val="Heading 1 - CASA"/>
    <w:basedOn w:val="Heading1"/>
    <w:qFormat/>
    <w:rsid w:val="00A73603"/>
  </w:style>
  <w:style w:type="paragraph" w:customStyle="1" w:styleId="Heading2-CASA">
    <w:name w:val="Heading 2 - CASA"/>
    <w:basedOn w:val="Heading2"/>
    <w:qFormat/>
    <w:rsid w:val="00A73603"/>
  </w:style>
  <w:style w:type="paragraph" w:customStyle="1" w:styleId="Heading3-CASA">
    <w:name w:val="Heading 3 - CASA"/>
    <w:basedOn w:val="Heading3"/>
    <w:qFormat/>
    <w:rsid w:val="00A73603"/>
  </w:style>
  <w:style w:type="paragraph" w:customStyle="1" w:styleId="PartHeading-TOC-CASA">
    <w:name w:val="Part Heading - TOC - CASA"/>
    <w:basedOn w:val="PartHeading-TOC"/>
    <w:qFormat/>
    <w:rsid w:val="00A73603"/>
  </w:style>
  <w:style w:type="paragraph" w:customStyle="1" w:styleId="TableParagraph">
    <w:name w:val="Table Paragraph"/>
    <w:basedOn w:val="Normal"/>
    <w:uiPriority w:val="1"/>
    <w:qFormat/>
    <w:rsid w:val="00A73603"/>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73603"/>
  </w:style>
  <w:style w:type="paragraph" w:customStyle="1" w:styleId="Heading2-CreativeAustralia">
    <w:name w:val="Heading 2- Creative Australia"/>
    <w:basedOn w:val="Heading2"/>
    <w:link w:val="Heading2-CreativeAustraliaChar"/>
    <w:qFormat/>
    <w:rsid w:val="00A73603"/>
  </w:style>
  <w:style w:type="character" w:customStyle="1" w:styleId="Heading1-CreativeAustraliaChar">
    <w:name w:val="Heading 1- Creative Australia Char"/>
    <w:basedOn w:val="Heading1Char"/>
    <w:link w:val="Heading1-CreativeAustralia"/>
    <w:rsid w:val="00A73603"/>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A73603"/>
  </w:style>
  <w:style w:type="character" w:customStyle="1" w:styleId="Heading2-CreativeAustraliaChar">
    <w:name w:val="Heading 2- Creative Australia Char"/>
    <w:basedOn w:val="Heading2Char"/>
    <w:link w:val="Heading2-CreativeAustralia"/>
    <w:rsid w:val="00A73603"/>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A73603"/>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A73603"/>
  </w:style>
  <w:style w:type="paragraph" w:customStyle="1" w:styleId="Heading2-HSRA">
    <w:name w:val="Heading 2 - HSRA"/>
    <w:basedOn w:val="Heading2"/>
    <w:qFormat/>
    <w:rsid w:val="00A73603"/>
  </w:style>
  <w:style w:type="paragraph" w:customStyle="1" w:styleId="Heading3-HSRA">
    <w:name w:val="Heading 3 - HSRA"/>
    <w:basedOn w:val="Heading3"/>
    <w:qFormat/>
    <w:rsid w:val="00A73603"/>
  </w:style>
  <w:style w:type="paragraph" w:customStyle="1" w:styleId="Heading1-HSRA">
    <w:name w:val="Heading 1 - HSRA"/>
    <w:basedOn w:val="Heading1"/>
    <w:qFormat/>
    <w:rsid w:val="00A73603"/>
  </w:style>
  <w:style w:type="paragraph" w:customStyle="1" w:styleId="PartHeading-TOC-HSRA">
    <w:name w:val="Part Heading - TOC - HSRA"/>
    <w:basedOn w:val="PartHeading-TOC"/>
    <w:qFormat/>
    <w:rsid w:val="00A73603"/>
  </w:style>
  <w:style w:type="paragraph" w:customStyle="1" w:styleId="Heading2-IA">
    <w:name w:val="Heading 2 - IA"/>
    <w:basedOn w:val="Heading2"/>
    <w:qFormat/>
    <w:rsid w:val="00A73603"/>
  </w:style>
  <w:style w:type="paragraph" w:customStyle="1" w:styleId="Heading1-IA">
    <w:name w:val="Heading 1 - IA"/>
    <w:basedOn w:val="Heading1"/>
    <w:qFormat/>
    <w:rsid w:val="00A73603"/>
    <w:pPr>
      <w:jc w:val="center"/>
    </w:pPr>
  </w:style>
  <w:style w:type="paragraph" w:customStyle="1" w:styleId="Heading3-IA">
    <w:name w:val="Heading 3 - IA"/>
    <w:basedOn w:val="Heading3"/>
    <w:qFormat/>
    <w:rsid w:val="00A73603"/>
  </w:style>
  <w:style w:type="paragraph" w:customStyle="1" w:styleId="Heading4-IA">
    <w:name w:val="Heading 4 - IA"/>
    <w:basedOn w:val="Heading4"/>
    <w:qFormat/>
    <w:rsid w:val="00A73603"/>
  </w:style>
  <w:style w:type="paragraph" w:customStyle="1" w:styleId="PartHeading-TOC-IA">
    <w:name w:val="Part Heading - TOC - IA"/>
    <w:basedOn w:val="PartHeading-TOC"/>
    <w:qFormat/>
    <w:rsid w:val="00A73603"/>
  </w:style>
  <w:style w:type="paragraph" w:customStyle="1" w:styleId="Heading1-NAA">
    <w:name w:val="Heading 1 - NAA"/>
    <w:basedOn w:val="Heading1"/>
    <w:qFormat/>
    <w:rsid w:val="00A73603"/>
  </w:style>
  <w:style w:type="paragraph" w:customStyle="1" w:styleId="Heading2-NAA">
    <w:name w:val="Heading 2 - NAA"/>
    <w:basedOn w:val="Heading2"/>
    <w:qFormat/>
    <w:rsid w:val="00A73603"/>
  </w:style>
  <w:style w:type="paragraph" w:customStyle="1" w:styleId="Heading3-NAA">
    <w:name w:val="Heading 3 - NAA"/>
    <w:basedOn w:val="Heading3"/>
    <w:link w:val="Heading3-NAAChar"/>
    <w:qFormat/>
    <w:rsid w:val="00A73603"/>
  </w:style>
  <w:style w:type="paragraph" w:customStyle="1" w:styleId="PartHeading-TOC-NAA">
    <w:name w:val="Part Heading - TOC - NAA"/>
    <w:basedOn w:val="PartHeading-TOC"/>
    <w:qFormat/>
    <w:rsid w:val="00A73603"/>
  </w:style>
  <w:style w:type="paragraph" w:customStyle="1" w:styleId="PartHeading-TOC-NCA">
    <w:name w:val="Part Heading - TOC - NCA"/>
    <w:basedOn w:val="PartHeading-TOC"/>
    <w:qFormat/>
    <w:rsid w:val="00A73603"/>
  </w:style>
  <w:style w:type="paragraph" w:customStyle="1" w:styleId="Heading1-NCA">
    <w:name w:val="Heading 1 - NCA"/>
    <w:basedOn w:val="Heading1-AFTRS"/>
    <w:qFormat/>
    <w:rsid w:val="00A73603"/>
  </w:style>
  <w:style w:type="paragraph" w:customStyle="1" w:styleId="Heading2-NCA">
    <w:name w:val="Heading 2 - NCA"/>
    <w:basedOn w:val="Heading2-AFTRS"/>
    <w:qFormat/>
    <w:rsid w:val="00A73603"/>
  </w:style>
  <w:style w:type="paragraph" w:customStyle="1" w:styleId="Heading3-NCA">
    <w:name w:val="Heading 3 - NCA"/>
    <w:basedOn w:val="Heading3-NLA"/>
    <w:qFormat/>
    <w:rsid w:val="00A73603"/>
    <w:pPr>
      <w:spacing w:after="240"/>
      <w:ind w:left="567" w:hanging="567"/>
    </w:pPr>
  </w:style>
  <w:style w:type="paragraph" w:customStyle="1" w:styleId="Tabletext">
    <w:name w:val="Table text"/>
    <w:basedOn w:val="BodyText"/>
    <w:uiPriority w:val="19"/>
    <w:qFormat/>
    <w:rsid w:val="00A73603"/>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A73603"/>
    <w:pPr>
      <w:jc w:val="center"/>
    </w:pPr>
  </w:style>
  <w:style w:type="paragraph" w:customStyle="1" w:styleId="Heading2NFSA">
    <w:name w:val="Heading 2 NFSA"/>
    <w:basedOn w:val="TOC1"/>
    <w:rsid w:val="00A73603"/>
    <w:rPr>
      <w:noProof/>
    </w:rPr>
  </w:style>
  <w:style w:type="paragraph" w:customStyle="1" w:styleId="Heading3NFSA">
    <w:name w:val="Heading 3 NFSA"/>
    <w:basedOn w:val="TOC2"/>
    <w:rsid w:val="00A73603"/>
    <w:rPr>
      <w:noProof/>
    </w:rPr>
  </w:style>
  <w:style w:type="paragraph" w:customStyle="1" w:styleId="Heading2-NFSA">
    <w:name w:val="Heading 2 - NFSA"/>
    <w:basedOn w:val="Heading2"/>
    <w:qFormat/>
    <w:rsid w:val="00A73603"/>
  </w:style>
  <w:style w:type="paragraph" w:customStyle="1" w:styleId="Heading3-NFSA">
    <w:name w:val="Heading 3- NFSA"/>
    <w:basedOn w:val="Heading3-NGA"/>
    <w:rsid w:val="00A73603"/>
  </w:style>
  <w:style w:type="paragraph" w:customStyle="1" w:styleId="PartHeading-TOC-NFSA">
    <w:name w:val="Part Heading - TOC - NFSA"/>
    <w:basedOn w:val="PartHeading-TOC"/>
    <w:qFormat/>
    <w:rsid w:val="00A73603"/>
  </w:style>
  <w:style w:type="paragraph" w:customStyle="1" w:styleId="PartHeading-TOC-NLA">
    <w:name w:val="Part Heading - TOC - NLA"/>
    <w:basedOn w:val="PartHeading-TOC"/>
    <w:qFormat/>
    <w:rsid w:val="00A73603"/>
  </w:style>
  <w:style w:type="paragraph" w:customStyle="1" w:styleId="Heading1-NMA">
    <w:name w:val="Heading 1 - NMA"/>
    <w:basedOn w:val="Heading1"/>
    <w:qFormat/>
    <w:rsid w:val="00A73603"/>
    <w:pPr>
      <w:jc w:val="center"/>
    </w:pPr>
  </w:style>
  <w:style w:type="paragraph" w:customStyle="1" w:styleId="Heading2-NMA">
    <w:name w:val="Heading 2 - NMA"/>
    <w:basedOn w:val="Heading2"/>
    <w:qFormat/>
    <w:rsid w:val="00A73603"/>
  </w:style>
  <w:style w:type="paragraph" w:customStyle="1" w:styleId="Heading3-NMA">
    <w:name w:val="Heading 3 - NMA"/>
    <w:basedOn w:val="Heading3"/>
    <w:qFormat/>
    <w:rsid w:val="00A73603"/>
    <w:pPr>
      <w:ind w:left="567" w:hanging="567"/>
    </w:pPr>
  </w:style>
  <w:style w:type="paragraph" w:customStyle="1" w:styleId="PartHeading-TOC-NMA">
    <w:name w:val="Part Heading - TOC - NMA"/>
    <w:basedOn w:val="PartHeading-TOC"/>
    <w:qFormat/>
    <w:rsid w:val="00A73603"/>
  </w:style>
  <w:style w:type="paragraph" w:customStyle="1" w:styleId="Heading1-NTC">
    <w:name w:val="Heading 1 - NTC"/>
    <w:basedOn w:val="Heading1"/>
    <w:qFormat/>
    <w:rsid w:val="00A73603"/>
    <w:pPr>
      <w:jc w:val="center"/>
    </w:pPr>
  </w:style>
  <w:style w:type="paragraph" w:customStyle="1" w:styleId="Heading2-NTC">
    <w:name w:val="Heading 2 - NTC"/>
    <w:basedOn w:val="Heading2"/>
    <w:qFormat/>
    <w:rsid w:val="00A73603"/>
  </w:style>
  <w:style w:type="paragraph" w:customStyle="1" w:styleId="Heading3-NTC">
    <w:name w:val="Heading 3 - NTC"/>
    <w:basedOn w:val="Heading3"/>
    <w:qFormat/>
    <w:rsid w:val="00A73603"/>
  </w:style>
  <w:style w:type="paragraph" w:customStyle="1" w:styleId="PartHeading-TOC-NTC">
    <w:name w:val="Part Heading - TOC - NTC"/>
    <w:basedOn w:val="PartHeading-TOC"/>
    <w:qFormat/>
    <w:rsid w:val="00A73603"/>
  </w:style>
  <w:style w:type="paragraph" w:customStyle="1" w:styleId="Heading1-NAIF">
    <w:name w:val="Heading 1 - NAIF"/>
    <w:basedOn w:val="Heading1"/>
    <w:qFormat/>
    <w:rsid w:val="00A73603"/>
  </w:style>
  <w:style w:type="paragraph" w:customStyle="1" w:styleId="Heading2-NAIF">
    <w:name w:val="Heading 2 - NAIF"/>
    <w:basedOn w:val="Heading2"/>
    <w:qFormat/>
    <w:rsid w:val="00A73603"/>
  </w:style>
  <w:style w:type="paragraph" w:customStyle="1" w:styleId="Heading3-NAIF">
    <w:name w:val="Heading 3 - NAIF"/>
    <w:basedOn w:val="Heading3"/>
    <w:link w:val="Heading3-NAIFChar"/>
    <w:qFormat/>
    <w:rsid w:val="00A73603"/>
  </w:style>
  <w:style w:type="paragraph" w:customStyle="1" w:styleId="PartHeading-TOC-NAIF">
    <w:name w:val="Part Heading - TOC - NAIF"/>
    <w:basedOn w:val="PartHeading-TOC"/>
    <w:qFormat/>
    <w:rsid w:val="00A73603"/>
  </w:style>
  <w:style w:type="paragraph" w:customStyle="1" w:styleId="Heading1-OPH">
    <w:name w:val="Heading 1 - OPH"/>
    <w:basedOn w:val="Heading1"/>
    <w:qFormat/>
    <w:rsid w:val="00A73603"/>
    <w:pPr>
      <w:jc w:val="center"/>
    </w:pPr>
  </w:style>
  <w:style w:type="paragraph" w:customStyle="1" w:styleId="Heading2-OPH">
    <w:name w:val="Heading 2 - OPH"/>
    <w:basedOn w:val="Heading2"/>
    <w:qFormat/>
    <w:rsid w:val="00A73603"/>
  </w:style>
  <w:style w:type="paragraph" w:customStyle="1" w:styleId="Heading3-OPH">
    <w:name w:val="Heading 3 - OPH"/>
    <w:basedOn w:val="Heading3"/>
    <w:link w:val="Heading3-OPHChar"/>
    <w:qFormat/>
    <w:rsid w:val="00A73603"/>
    <w:pPr>
      <w:ind w:left="567" w:hanging="567"/>
    </w:pPr>
  </w:style>
  <w:style w:type="paragraph" w:customStyle="1" w:styleId="PartHeading-TOC-OPH">
    <w:name w:val="Part Heading - TOC - OPH"/>
    <w:basedOn w:val="PartHeading-TOC"/>
    <w:qFormat/>
    <w:rsid w:val="00A73603"/>
  </w:style>
  <w:style w:type="character" w:customStyle="1" w:styleId="paragraphChar">
    <w:name w:val="paragraph Char"/>
    <w:aliases w:val="a Char"/>
    <w:link w:val="paragraph"/>
    <w:locked/>
    <w:rsid w:val="00A73603"/>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A73603"/>
    <w:pPr>
      <w:jc w:val="center"/>
    </w:pPr>
  </w:style>
  <w:style w:type="paragraph" w:customStyle="1" w:styleId="Heading2-Screen">
    <w:name w:val="Heading 2 - Screen"/>
    <w:basedOn w:val="Heading2"/>
    <w:qFormat/>
    <w:rsid w:val="00A73603"/>
    <w:pPr>
      <w:spacing w:before="360" w:after="360"/>
    </w:pPr>
  </w:style>
  <w:style w:type="paragraph" w:customStyle="1" w:styleId="Heading3-Screen">
    <w:name w:val="Heading 3 - Screen"/>
    <w:basedOn w:val="Heading3"/>
    <w:qFormat/>
    <w:rsid w:val="00A73603"/>
  </w:style>
  <w:style w:type="paragraph" w:customStyle="1" w:styleId="PartHeading-TOC-SA">
    <w:name w:val="Part Heading - TOC - SA"/>
    <w:basedOn w:val="PartHeading-TOC"/>
    <w:qFormat/>
    <w:rsid w:val="00A73603"/>
  </w:style>
  <w:style w:type="paragraph" w:customStyle="1" w:styleId="Heading1-SBS">
    <w:name w:val="Heading 1 - SBS"/>
    <w:basedOn w:val="Heading1"/>
    <w:qFormat/>
    <w:rsid w:val="00A73603"/>
  </w:style>
  <w:style w:type="paragraph" w:customStyle="1" w:styleId="Heading3-SBS">
    <w:name w:val="Heading 3- SBS"/>
    <w:basedOn w:val="Heading3"/>
    <w:link w:val="Heading3-SBSChar"/>
    <w:qFormat/>
    <w:rsid w:val="00A73603"/>
  </w:style>
  <w:style w:type="paragraph" w:customStyle="1" w:styleId="Heading2-SBS">
    <w:name w:val="Heading 2- SBS"/>
    <w:basedOn w:val="Heading2"/>
    <w:link w:val="Heading2-SBSChar"/>
    <w:qFormat/>
    <w:rsid w:val="00A73603"/>
  </w:style>
  <w:style w:type="character" w:customStyle="1" w:styleId="Heading2-SBSChar">
    <w:name w:val="Heading 2- SBS Char"/>
    <w:basedOn w:val="Heading2Char"/>
    <w:link w:val="Heading2-SBS"/>
    <w:rsid w:val="00A73603"/>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A73603"/>
    <w:rPr>
      <w:rFonts w:ascii="Arial Bold" w:eastAsia="Times New Roman" w:hAnsi="Arial Bold" w:cs="Times New Roman"/>
      <w:b/>
      <w:szCs w:val="20"/>
      <w:lang w:eastAsia="en-AU"/>
    </w:rPr>
  </w:style>
  <w:style w:type="character" w:customStyle="1" w:styleId="ui-provider">
    <w:name w:val="ui-provider"/>
    <w:basedOn w:val="DefaultParagraphFont"/>
    <w:rsid w:val="00A73603"/>
  </w:style>
  <w:style w:type="paragraph" w:customStyle="1" w:styleId="PartHeading-TOC-SBS">
    <w:name w:val="Part Heading - TOC - SBS"/>
    <w:basedOn w:val="PartHeading-TOC"/>
    <w:qFormat/>
    <w:rsid w:val="00A73603"/>
  </w:style>
  <w:style w:type="paragraph" w:customStyle="1" w:styleId="Heading1-EntityResource">
    <w:name w:val="Heading 1 - Entity Resource"/>
    <w:basedOn w:val="ContentsHeading"/>
    <w:qFormat/>
    <w:rsid w:val="00A73603"/>
    <w:pPr>
      <w:jc w:val="center"/>
    </w:pPr>
  </w:style>
  <w:style w:type="paragraph" w:customStyle="1" w:styleId="ChartandTableFootnoteAlphaSmall">
    <w:name w:val="Chart and Table Footnote Alpha Small"/>
    <w:basedOn w:val="HeadingBase"/>
    <w:next w:val="Normal"/>
    <w:rsid w:val="00A73603"/>
    <w:pPr>
      <w:tabs>
        <w:tab w:val="num" w:pos="284"/>
      </w:tabs>
      <w:ind w:left="284" w:hanging="284"/>
      <w:jc w:val="both"/>
    </w:pPr>
    <w:rPr>
      <w:sz w:val="15"/>
    </w:rPr>
  </w:style>
  <w:style w:type="paragraph" w:customStyle="1" w:styleId="ChartandTableFootnoteSmall">
    <w:name w:val="Chart and Table Footnote Small"/>
    <w:basedOn w:val="HeadingBase"/>
    <w:next w:val="Normal"/>
    <w:rsid w:val="00A73603"/>
    <w:pPr>
      <w:tabs>
        <w:tab w:val="left" w:pos="284"/>
      </w:tabs>
      <w:jc w:val="both"/>
    </w:pPr>
    <w:rPr>
      <w:sz w:val="15"/>
    </w:rPr>
  </w:style>
  <w:style w:type="paragraph" w:customStyle="1" w:styleId="BoxHeadinglevel2">
    <w:name w:val="Box Heading level 2"/>
    <w:basedOn w:val="BoxHeading"/>
    <w:rsid w:val="00A73603"/>
    <w:pPr>
      <w:spacing w:before="0"/>
    </w:pPr>
    <w:rPr>
      <w:sz w:val="18"/>
    </w:rPr>
  </w:style>
  <w:style w:type="paragraph" w:customStyle="1" w:styleId="Heading1-TOC">
    <w:name w:val="Heading 1 - TOC"/>
    <w:basedOn w:val="Heading1"/>
    <w:rsid w:val="00A73603"/>
    <w:pPr>
      <w:jc w:val="center"/>
    </w:pPr>
  </w:style>
  <w:style w:type="paragraph" w:customStyle="1" w:styleId="Heading2-AustCo">
    <w:name w:val="Heading 2 - Aust Co"/>
    <w:basedOn w:val="Heading2"/>
    <w:qFormat/>
    <w:rsid w:val="00A73603"/>
  </w:style>
  <w:style w:type="paragraph" w:customStyle="1" w:styleId="Heading3-AustCo">
    <w:name w:val="Heading 3 - Aust Co"/>
    <w:basedOn w:val="Heading3"/>
    <w:link w:val="Heading3-AustCoChar"/>
    <w:qFormat/>
    <w:rsid w:val="00A73603"/>
    <w:pPr>
      <w:tabs>
        <w:tab w:val="left" w:pos="709"/>
      </w:tabs>
    </w:pPr>
  </w:style>
  <w:style w:type="character" w:customStyle="1" w:styleId="Heading3-AustCoChar">
    <w:name w:val="Heading 3 - Aust Co Char"/>
    <w:basedOn w:val="Heading3Char"/>
    <w:link w:val="Heading3-AustCo"/>
    <w:rsid w:val="00A73603"/>
    <w:rPr>
      <w:rFonts w:ascii="Arial Bold" w:eastAsia="Times New Roman" w:hAnsi="Arial Bold" w:cs="Times New Roman"/>
      <w:b/>
      <w:szCs w:val="20"/>
      <w:lang w:eastAsia="en-AU"/>
    </w:rPr>
  </w:style>
  <w:style w:type="paragraph" w:customStyle="1" w:styleId="msonormal0">
    <w:name w:val="msonormal"/>
    <w:basedOn w:val="Normal"/>
    <w:rsid w:val="00A73603"/>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A73603"/>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A73603"/>
  </w:style>
  <w:style w:type="paragraph" w:customStyle="1" w:styleId="Heading3-ITRDC">
    <w:name w:val="Heading 3 - ITRDC"/>
    <w:basedOn w:val="Normal"/>
    <w:next w:val="Heading3"/>
    <w:qFormat/>
    <w:rsid w:val="00A73603"/>
    <w:pPr>
      <w:spacing w:before="0" w:line="260" w:lineRule="exact"/>
    </w:pPr>
    <w:rPr>
      <w:sz w:val="20"/>
    </w:rPr>
  </w:style>
  <w:style w:type="paragraph" w:customStyle="1" w:styleId="Heading3-DITRDC">
    <w:name w:val="Heading 3 - DITRDC"/>
    <w:basedOn w:val="Heading3"/>
    <w:qFormat/>
    <w:rsid w:val="00A73603"/>
    <w:pPr>
      <w:tabs>
        <w:tab w:val="left" w:pos="709"/>
      </w:tabs>
    </w:pPr>
  </w:style>
  <w:style w:type="paragraph" w:customStyle="1" w:styleId="Heading2-AusCouncil">
    <w:name w:val="Heading 2 - Aus Council"/>
    <w:basedOn w:val="Heading2"/>
    <w:qFormat/>
    <w:rsid w:val="00A73603"/>
  </w:style>
  <w:style w:type="paragraph" w:customStyle="1" w:styleId="pf0">
    <w:name w:val="pf0"/>
    <w:basedOn w:val="Normal"/>
    <w:rsid w:val="00A73603"/>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A73603"/>
    <w:rPr>
      <w:rFonts w:ascii="Book Antiqua" w:hAnsi="Book Antiqua"/>
      <w:color w:val="000000"/>
    </w:rPr>
  </w:style>
  <w:style w:type="paragraph" w:customStyle="1" w:styleId="BulletBookAntiqua">
    <w:name w:val="_Bullet Book Antiqua"/>
    <w:basedOn w:val="Normal"/>
    <w:link w:val="BulletBookAntiquaChar"/>
    <w:autoRedefine/>
    <w:qFormat/>
    <w:rsid w:val="00A73603"/>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A73603"/>
    <w:pPr>
      <w:spacing w:before="120" w:after="120"/>
    </w:pPr>
    <w:rPr>
      <w:rFonts w:ascii="Arial" w:hAnsi="Arial"/>
      <w:sz w:val="22"/>
    </w:rPr>
  </w:style>
  <w:style w:type="paragraph" w:customStyle="1" w:styleId="Heading3-NFRA">
    <w:name w:val="Heading 3 - NFRA"/>
    <w:basedOn w:val="Heading3"/>
    <w:link w:val="Heading3-NFRAChar"/>
    <w:qFormat/>
    <w:rsid w:val="00A73603"/>
    <w:pPr>
      <w:tabs>
        <w:tab w:val="left" w:pos="709"/>
      </w:tabs>
    </w:pPr>
  </w:style>
  <w:style w:type="paragraph" w:customStyle="1" w:styleId="Heading3-NFSA0">
    <w:name w:val="Heading 3 - NFSA"/>
    <w:basedOn w:val="Heading3"/>
    <w:qFormat/>
    <w:rsid w:val="00A73603"/>
    <w:pPr>
      <w:tabs>
        <w:tab w:val="left" w:pos="709"/>
      </w:tabs>
    </w:pPr>
    <w:rPr>
      <w:rFonts w:ascii="Arial" w:hAnsi="Arial"/>
    </w:rPr>
  </w:style>
  <w:style w:type="paragraph" w:customStyle="1" w:styleId="Heading3-NQWIA">
    <w:name w:val="Heading 3 - NQWIA"/>
    <w:basedOn w:val="Heading3"/>
    <w:qFormat/>
    <w:rsid w:val="00A73603"/>
    <w:pPr>
      <w:tabs>
        <w:tab w:val="left" w:pos="709"/>
      </w:tabs>
    </w:pPr>
  </w:style>
  <w:style w:type="paragraph" w:customStyle="1" w:styleId="Heading3-ScreenAustralia">
    <w:name w:val="Heading 3 - Screen Australia"/>
    <w:basedOn w:val="Heading3"/>
    <w:qFormat/>
    <w:rsid w:val="00A73603"/>
    <w:pPr>
      <w:numPr>
        <w:ilvl w:val="1"/>
        <w:numId w:val="14"/>
      </w:numPr>
      <w:tabs>
        <w:tab w:val="num" w:pos="360"/>
        <w:tab w:val="left" w:pos="709"/>
      </w:tabs>
      <w:ind w:left="0" w:firstLine="0"/>
    </w:pPr>
  </w:style>
  <w:style w:type="paragraph" w:customStyle="1" w:styleId="Heading3-SBS0">
    <w:name w:val="Heading 3 - SBS"/>
    <w:basedOn w:val="Heading3"/>
    <w:qFormat/>
    <w:rsid w:val="00A73603"/>
    <w:pPr>
      <w:tabs>
        <w:tab w:val="left" w:pos="709"/>
      </w:tabs>
    </w:pPr>
  </w:style>
  <w:style w:type="paragraph" w:customStyle="1" w:styleId="Heading4-DITRDC">
    <w:name w:val="Heading 4 - DITRDC"/>
    <w:basedOn w:val="Heading3"/>
    <w:qFormat/>
    <w:rsid w:val="00A73603"/>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A73603"/>
    <w:pPr>
      <w:tabs>
        <w:tab w:val="left" w:pos="709"/>
      </w:tabs>
      <w:spacing w:before="240" w:after="240"/>
    </w:pPr>
  </w:style>
  <w:style w:type="character" w:customStyle="1" w:styleId="Heading4-ABCChar">
    <w:name w:val="Heading 4 - ABC Char"/>
    <w:basedOn w:val="Heading3Char"/>
    <w:link w:val="Heading4-ABC"/>
    <w:locked/>
    <w:rsid w:val="00A73603"/>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A73603"/>
    <w:pPr>
      <w:tabs>
        <w:tab w:val="left" w:pos="709"/>
      </w:tabs>
      <w:spacing w:before="240" w:after="240"/>
    </w:pPr>
  </w:style>
  <w:style w:type="paragraph" w:customStyle="1" w:styleId="Heading4-AFTRS">
    <w:name w:val="Heading 4 - AFTRS"/>
    <w:basedOn w:val="Heading3"/>
    <w:qFormat/>
    <w:rsid w:val="00A73603"/>
    <w:pPr>
      <w:tabs>
        <w:tab w:val="left" w:pos="709"/>
      </w:tabs>
      <w:spacing w:before="240" w:after="240"/>
    </w:pPr>
    <w:rPr>
      <w:rFonts w:ascii="Arial" w:hAnsi="Arial"/>
      <w:smallCaps/>
      <w:sz w:val="26"/>
    </w:rPr>
  </w:style>
  <w:style w:type="paragraph" w:customStyle="1" w:styleId="Heading4-AMSA">
    <w:name w:val="Heading 4 - AMSA"/>
    <w:basedOn w:val="Heading3"/>
    <w:qFormat/>
    <w:rsid w:val="00A73603"/>
    <w:pPr>
      <w:tabs>
        <w:tab w:val="left" w:pos="709"/>
      </w:tabs>
      <w:spacing w:before="240" w:after="240"/>
    </w:pPr>
  </w:style>
  <w:style w:type="paragraph" w:customStyle="1" w:styleId="Heading4-ANMM">
    <w:name w:val="Heading 4 - ANMM"/>
    <w:basedOn w:val="Heading3"/>
    <w:qFormat/>
    <w:rsid w:val="00A73603"/>
    <w:pPr>
      <w:tabs>
        <w:tab w:val="left" w:pos="709"/>
      </w:tabs>
      <w:spacing w:before="240" w:after="240"/>
    </w:pPr>
  </w:style>
  <w:style w:type="paragraph" w:customStyle="1" w:styleId="Heading4-ATSB">
    <w:name w:val="Heading 4 - ATSB"/>
    <w:basedOn w:val="Heading3"/>
    <w:qFormat/>
    <w:rsid w:val="00A73603"/>
    <w:pPr>
      <w:tabs>
        <w:tab w:val="left" w:pos="709"/>
      </w:tabs>
      <w:spacing w:before="240" w:after="240"/>
    </w:pPr>
  </w:style>
  <w:style w:type="paragraph" w:customStyle="1" w:styleId="Heading4-CASA">
    <w:name w:val="Heading 4 - CASA"/>
    <w:basedOn w:val="Heading3"/>
    <w:qFormat/>
    <w:rsid w:val="00A73603"/>
    <w:pPr>
      <w:tabs>
        <w:tab w:val="left" w:pos="709"/>
      </w:tabs>
      <w:spacing w:before="240" w:after="240"/>
    </w:pPr>
  </w:style>
  <w:style w:type="paragraph" w:customStyle="1" w:styleId="Heading4-NCA">
    <w:name w:val="Heading 4 - NCA"/>
    <w:basedOn w:val="Heading3"/>
    <w:qFormat/>
    <w:rsid w:val="00A73603"/>
    <w:pPr>
      <w:tabs>
        <w:tab w:val="left" w:pos="709"/>
      </w:tabs>
      <w:spacing w:before="240" w:after="240"/>
    </w:pPr>
  </w:style>
  <w:style w:type="paragraph" w:customStyle="1" w:styleId="Heading4-NFRA">
    <w:name w:val="Heading 4 - NFRA"/>
    <w:basedOn w:val="Heading3"/>
    <w:qFormat/>
    <w:rsid w:val="00A73603"/>
    <w:pPr>
      <w:tabs>
        <w:tab w:val="left" w:pos="709"/>
      </w:tabs>
      <w:spacing w:before="240" w:after="240"/>
    </w:pPr>
  </w:style>
  <w:style w:type="paragraph" w:customStyle="1" w:styleId="Paragraphtext">
    <w:name w:val="_Paragraph text"/>
    <w:basedOn w:val="Normal"/>
    <w:qFormat/>
    <w:rsid w:val="00A73603"/>
    <w:pPr>
      <w:spacing w:before="0" w:line="240" w:lineRule="auto"/>
    </w:pPr>
    <w:rPr>
      <w:sz w:val="20"/>
      <w:lang w:eastAsia="en-US"/>
    </w:rPr>
  </w:style>
  <w:style w:type="paragraph" w:customStyle="1" w:styleId="ChartandTableFootnoteAlpha2">
    <w:name w:val="Chart and Table Footnote Alpha2"/>
    <w:basedOn w:val="HeadingBase"/>
    <w:next w:val="Normal"/>
    <w:rsid w:val="00A73603"/>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A73603"/>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A73603"/>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A73603"/>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A73603"/>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A73603"/>
    <w:rPr>
      <w:rFonts w:ascii="Arial" w:hAnsi="Arial"/>
      <w:color w:val="000000" w:themeColor="text1"/>
      <w:lang w:val="en-GB"/>
    </w:rPr>
  </w:style>
  <w:style w:type="paragraph" w:customStyle="1" w:styleId="BodyText1">
    <w:name w:val="Body Text 1"/>
    <w:basedOn w:val="Normal"/>
    <w:link w:val="BodyText1Char"/>
    <w:qFormat/>
    <w:rsid w:val="00A73603"/>
    <w:pPr>
      <w:numPr>
        <w:numId w:val="15"/>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A73603"/>
    <w:pPr>
      <w:spacing w:before="0" w:after="120" w:line="240" w:lineRule="auto"/>
    </w:pPr>
    <w:rPr>
      <w:rFonts w:ascii="Arial Bold" w:hAnsi="Arial Bold"/>
      <w:bCs w:val="0"/>
      <w:sz w:val="22"/>
      <w:szCs w:val="22"/>
    </w:rPr>
  </w:style>
  <w:style w:type="paragraph" w:customStyle="1" w:styleId="bulletlevel1">
    <w:name w:val="bullet level 1"/>
    <w:basedOn w:val="Normal"/>
    <w:qFormat/>
    <w:rsid w:val="00A73603"/>
    <w:pPr>
      <w:spacing w:before="120" w:after="120" w:line="240" w:lineRule="auto"/>
    </w:pPr>
    <w:rPr>
      <w:iCs/>
      <w:color w:val="000000" w:themeColor="text1"/>
      <w:sz w:val="20"/>
    </w:rPr>
  </w:style>
  <w:style w:type="paragraph" w:customStyle="1" w:styleId="Tabletextcell8left6">
    <w:name w:val="_Table text cell 8 left6"/>
    <w:basedOn w:val="Normal"/>
    <w:qFormat/>
    <w:rsid w:val="00A73603"/>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A73603"/>
    <w:pPr>
      <w:numPr>
        <w:numId w:val="18"/>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A73603"/>
    <w:pPr>
      <w:numPr>
        <w:numId w:val="16"/>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A73603"/>
  </w:style>
  <w:style w:type="paragraph" w:customStyle="1" w:styleId="TOC-NLA">
    <w:name w:val="TOC - NLA"/>
    <w:basedOn w:val="TOC5"/>
    <w:qFormat/>
    <w:rsid w:val="00A73603"/>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A73603"/>
    <w:pPr>
      <w:ind w:left="0"/>
    </w:pPr>
  </w:style>
  <w:style w:type="paragraph" w:customStyle="1" w:styleId="TOC-ABC">
    <w:name w:val="TOC - ABC"/>
    <w:basedOn w:val="TOC-Council"/>
    <w:qFormat/>
    <w:rsid w:val="00A73603"/>
  </w:style>
  <w:style w:type="paragraph" w:customStyle="1" w:styleId="TOC-ACMA">
    <w:name w:val="TOC - ACMA"/>
    <w:basedOn w:val="TOC-ABC"/>
    <w:qFormat/>
    <w:rsid w:val="00A73603"/>
  </w:style>
  <w:style w:type="paragraph" w:customStyle="1" w:styleId="TOC-AFTRS">
    <w:name w:val="TOC - AFTRS"/>
    <w:basedOn w:val="TOC-NLA"/>
    <w:qFormat/>
    <w:rsid w:val="00A73603"/>
  </w:style>
  <w:style w:type="paragraph" w:customStyle="1" w:styleId="TOC-AMSA">
    <w:name w:val="TOC - AMSA"/>
    <w:basedOn w:val="TOC-NLA"/>
    <w:qFormat/>
    <w:rsid w:val="00A73603"/>
  </w:style>
  <w:style w:type="paragraph" w:customStyle="1" w:styleId="TOC-ATSB">
    <w:name w:val="TOC - ATSB"/>
    <w:basedOn w:val="TOC-NLA"/>
    <w:qFormat/>
    <w:rsid w:val="00A73603"/>
  </w:style>
  <w:style w:type="paragraph" w:customStyle="1" w:styleId="TOC-CASA">
    <w:name w:val="TOC - CASA"/>
    <w:basedOn w:val="TOC-NLA"/>
    <w:qFormat/>
    <w:rsid w:val="00A73603"/>
  </w:style>
  <w:style w:type="paragraph" w:customStyle="1" w:styleId="TOC-IA">
    <w:name w:val="TOC - IA"/>
    <w:basedOn w:val="TOC-NLA"/>
    <w:qFormat/>
    <w:rsid w:val="00A73603"/>
  </w:style>
  <w:style w:type="paragraph" w:customStyle="1" w:styleId="TOC-NCA">
    <w:name w:val="TOC - NCA"/>
    <w:basedOn w:val="TOC-NLA"/>
    <w:qFormat/>
    <w:rsid w:val="00A73603"/>
  </w:style>
  <w:style w:type="paragraph" w:customStyle="1" w:styleId="TOC-NFRA">
    <w:name w:val="TOC - NFRA"/>
    <w:basedOn w:val="TOC-NLA"/>
    <w:qFormat/>
    <w:rsid w:val="00A73603"/>
  </w:style>
  <w:style w:type="paragraph" w:customStyle="1" w:styleId="TOC-NFSA">
    <w:name w:val="TOC - NFSA"/>
    <w:basedOn w:val="TOC-NLA"/>
    <w:qFormat/>
    <w:rsid w:val="00A73603"/>
  </w:style>
  <w:style w:type="paragraph" w:customStyle="1" w:styleId="Heading4-NFSA">
    <w:name w:val="Heading 4 - NFSA"/>
    <w:basedOn w:val="Heading4-NFRA"/>
    <w:qFormat/>
    <w:rsid w:val="00A73603"/>
  </w:style>
  <w:style w:type="paragraph" w:customStyle="1" w:styleId="TOC-NGA">
    <w:name w:val="TOC - NGA"/>
    <w:basedOn w:val="TOC-NLA"/>
    <w:qFormat/>
    <w:rsid w:val="00A73603"/>
  </w:style>
  <w:style w:type="paragraph" w:customStyle="1" w:styleId="Heading4-NGA">
    <w:name w:val="Heading 4 - NGA"/>
    <w:basedOn w:val="Heading4-ABC"/>
    <w:qFormat/>
    <w:rsid w:val="00A73603"/>
  </w:style>
  <w:style w:type="paragraph" w:customStyle="1" w:styleId="Heading4-NMA">
    <w:name w:val="Heading 4 - NMA"/>
    <w:basedOn w:val="Heading4-ABC"/>
    <w:qFormat/>
    <w:rsid w:val="00A73603"/>
  </w:style>
  <w:style w:type="paragraph" w:customStyle="1" w:styleId="Heading4-NPGA">
    <w:name w:val="Heading 4 - NPGA"/>
    <w:basedOn w:val="Heading4-ABC"/>
    <w:qFormat/>
    <w:rsid w:val="00A73603"/>
  </w:style>
  <w:style w:type="paragraph" w:customStyle="1" w:styleId="Heading4-NTC">
    <w:name w:val="Heading 4 - NTC"/>
    <w:basedOn w:val="Heading4-ABC"/>
    <w:qFormat/>
    <w:rsid w:val="00A73603"/>
  </w:style>
  <w:style w:type="paragraph" w:customStyle="1" w:styleId="TOC-NTC">
    <w:name w:val="TOC - NTC"/>
    <w:basedOn w:val="TOC-NLA"/>
    <w:qFormat/>
    <w:rsid w:val="00A73603"/>
  </w:style>
  <w:style w:type="paragraph" w:customStyle="1" w:styleId="Heading4-NQWIA">
    <w:name w:val="Heading 4 - NQWIA"/>
    <w:basedOn w:val="Heading4-ABC"/>
    <w:qFormat/>
    <w:rsid w:val="00A73603"/>
  </w:style>
  <w:style w:type="paragraph" w:customStyle="1" w:styleId="Heading4-Screen">
    <w:name w:val="Heading 4 - Screen"/>
    <w:basedOn w:val="Heading4-ABC"/>
    <w:qFormat/>
    <w:rsid w:val="00A73603"/>
  </w:style>
  <w:style w:type="paragraph" w:customStyle="1" w:styleId="TOC-Screen">
    <w:name w:val="TOC - Screen"/>
    <w:basedOn w:val="TOC-NTC"/>
    <w:qFormat/>
    <w:rsid w:val="00A73603"/>
  </w:style>
  <w:style w:type="character" w:customStyle="1" w:styleId="Heading4-SBSChar">
    <w:name w:val="Heading 4 - SBS Char"/>
    <w:basedOn w:val="Heading4-ABCChar"/>
    <w:link w:val="Heading4-SBS"/>
    <w:locked/>
    <w:rsid w:val="00A73603"/>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A73603"/>
  </w:style>
  <w:style w:type="paragraph" w:customStyle="1" w:styleId="TOC-SBS">
    <w:name w:val="TOC - SBS"/>
    <w:basedOn w:val="TOC-NLA"/>
    <w:qFormat/>
    <w:rsid w:val="00A73603"/>
  </w:style>
  <w:style w:type="paragraph" w:customStyle="1" w:styleId="TOC-DITRDC">
    <w:name w:val="TOC - DITRDC"/>
    <w:basedOn w:val="TOC-NLA"/>
    <w:qFormat/>
    <w:rsid w:val="00A73603"/>
  </w:style>
  <w:style w:type="paragraph" w:customStyle="1" w:styleId="TOC-Level1">
    <w:name w:val="TOC - Level 1"/>
    <w:basedOn w:val="TOC1"/>
    <w:next w:val="TOC1"/>
    <w:qFormat/>
    <w:rsid w:val="00A73603"/>
    <w:pPr>
      <w:keepNext w:val="0"/>
      <w:spacing w:before="240"/>
    </w:pPr>
    <w:rPr>
      <w:caps w:val="0"/>
    </w:rPr>
  </w:style>
  <w:style w:type="paragraph" w:customStyle="1" w:styleId="TOC-Entity">
    <w:name w:val="TOC - Entity"/>
    <w:basedOn w:val="TOC-Level1"/>
    <w:qFormat/>
    <w:rsid w:val="00A73603"/>
  </w:style>
  <w:style w:type="paragraph" w:customStyle="1" w:styleId="Summarytabletextrightaligned">
    <w:name w:val="Summary table text right aligned"/>
    <w:basedOn w:val="Normal"/>
    <w:rsid w:val="00A73603"/>
    <w:pPr>
      <w:spacing w:before="20" w:after="20" w:line="240" w:lineRule="auto"/>
      <w:ind w:right="57"/>
      <w:jc w:val="right"/>
    </w:pPr>
    <w:rPr>
      <w:rFonts w:ascii="Arial" w:hAnsi="Arial"/>
      <w:sz w:val="16"/>
    </w:rPr>
  </w:style>
  <w:style w:type="paragraph" w:customStyle="1" w:styleId="BodyCopy">
    <w:name w:val="Body Copy"/>
    <w:basedOn w:val="Normal"/>
    <w:qFormat/>
    <w:rsid w:val="00A73603"/>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A73603"/>
    <w:pPr>
      <w:numPr>
        <w:numId w:val="17"/>
      </w:numPr>
      <w:spacing w:before="120"/>
    </w:pPr>
  </w:style>
  <w:style w:type="character" w:customStyle="1" w:styleId="PBSxxheadingChar">
    <w:name w:val="PBS x.x heading Char"/>
    <w:basedOn w:val="Heading4-SBSChar"/>
    <w:link w:val="PBSxxheading"/>
    <w:locked/>
    <w:rsid w:val="00A73603"/>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A73603"/>
    <w:pPr>
      <w:spacing w:before="360" w:after="120"/>
    </w:pPr>
    <w:rPr>
      <w:smallCaps/>
    </w:rPr>
  </w:style>
  <w:style w:type="paragraph" w:customStyle="1" w:styleId="xl66">
    <w:name w:val="xl66"/>
    <w:basedOn w:val="Normal"/>
    <w:rsid w:val="00A73603"/>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A73603"/>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A73603"/>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A73603"/>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A73603"/>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A73603"/>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A73603"/>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A73603"/>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A73603"/>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A73603"/>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A73603"/>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A73603"/>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A73603"/>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A73603"/>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A73603"/>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A73603"/>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A73603"/>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A73603"/>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A73603"/>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A73603"/>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A73603"/>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A73603"/>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A73603"/>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A73603"/>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A73603"/>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A73603"/>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A73603"/>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A73603"/>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A73603"/>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A73603"/>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A73603"/>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A73603"/>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A73603"/>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A73603"/>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A73603"/>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A73603"/>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A73603"/>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A73603"/>
    <w:pPr>
      <w:outlineLvl w:val="1"/>
    </w:pPr>
    <w:rPr>
      <w:rFonts w:ascii="Arial" w:hAnsi="Arial"/>
    </w:rPr>
  </w:style>
  <w:style w:type="paragraph" w:customStyle="1" w:styleId="Heading2-NFRA">
    <w:name w:val="Heading 2 - NFRA"/>
    <w:basedOn w:val="Heading2"/>
    <w:qFormat/>
    <w:rsid w:val="00A73603"/>
  </w:style>
  <w:style w:type="paragraph" w:customStyle="1" w:styleId="Heading2-NQWIA">
    <w:name w:val="Heading 2 - NQWIA"/>
    <w:basedOn w:val="Heading2"/>
    <w:qFormat/>
    <w:rsid w:val="00A73603"/>
  </w:style>
  <w:style w:type="paragraph" w:customStyle="1" w:styleId="Heading2-ScreenAust">
    <w:name w:val="Heading 2 - Screen Aust"/>
    <w:basedOn w:val="Heading2"/>
    <w:qFormat/>
    <w:rsid w:val="00A73603"/>
  </w:style>
  <w:style w:type="paragraph" w:customStyle="1" w:styleId="Heading2-SBS0">
    <w:name w:val="Heading 2 - SBS"/>
    <w:basedOn w:val="Heading2"/>
    <w:qFormat/>
    <w:rsid w:val="00A73603"/>
  </w:style>
  <w:style w:type="character" w:customStyle="1" w:styleId="UnresolvedMention10">
    <w:name w:val="Unresolved Mention10"/>
    <w:basedOn w:val="DefaultParagraphFont"/>
    <w:uiPriority w:val="99"/>
    <w:rsid w:val="00A73603"/>
    <w:rPr>
      <w:color w:val="605E5C"/>
      <w:shd w:val="clear" w:color="auto" w:fill="E1DFDD"/>
    </w:rPr>
  </w:style>
  <w:style w:type="character" w:customStyle="1" w:styleId="cf01">
    <w:name w:val="cf01"/>
    <w:basedOn w:val="DefaultParagraphFont"/>
    <w:rsid w:val="00A73603"/>
    <w:rPr>
      <w:rFonts w:ascii="Segoe UI" w:hAnsi="Segoe UI" w:cs="Segoe UI" w:hint="default"/>
      <w:sz w:val="18"/>
      <w:szCs w:val="18"/>
    </w:rPr>
  </w:style>
  <w:style w:type="character" w:customStyle="1" w:styleId="scxw95807845">
    <w:name w:val="scxw95807845"/>
    <w:basedOn w:val="DefaultParagraphFont"/>
    <w:rsid w:val="00A73603"/>
  </w:style>
  <w:style w:type="character" w:customStyle="1" w:styleId="scxw97907998">
    <w:name w:val="scxw97907998"/>
    <w:basedOn w:val="DefaultParagraphFont"/>
    <w:rsid w:val="00A73603"/>
  </w:style>
  <w:style w:type="table" w:customStyle="1" w:styleId="TableGrid7">
    <w:name w:val="Table Grid7"/>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73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3603"/>
  </w:style>
  <w:style w:type="paragraph" w:customStyle="1" w:styleId="Area">
    <w:name w:val="Area"/>
    <w:basedOn w:val="Normal"/>
    <w:rsid w:val="00A73603"/>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73603"/>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A73603"/>
    <w:pPr>
      <w:spacing w:line="260" w:lineRule="exact"/>
      <w:jc w:val="center"/>
    </w:pPr>
    <w:rPr>
      <w:sz w:val="20"/>
      <w:lang w:val="en-GB"/>
    </w:rPr>
  </w:style>
  <w:style w:type="character" w:customStyle="1" w:styleId="Heading3-NAAChar">
    <w:name w:val="Heading 3 - NAA Char"/>
    <w:basedOn w:val="Heading3Char"/>
    <w:link w:val="Heading3-NAA"/>
    <w:rsid w:val="00A73603"/>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A73603"/>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A73603"/>
    <w:rPr>
      <w:color w:val="605E5C"/>
      <w:shd w:val="clear" w:color="auto" w:fill="E1DFDD"/>
    </w:rPr>
  </w:style>
  <w:style w:type="character" w:customStyle="1" w:styleId="Heading3-NPGAChar">
    <w:name w:val="Heading 3 - NPGA Char"/>
    <w:basedOn w:val="Heading3Char"/>
    <w:link w:val="Heading3-NPGA"/>
    <w:rsid w:val="00A73603"/>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A73603"/>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A73603"/>
    <w:rPr>
      <w:rFonts w:ascii="Arial Bold" w:eastAsia="Times New Roman" w:hAnsi="Arial Bold" w:cs="Times New Roman"/>
      <w:b/>
      <w:szCs w:val="20"/>
      <w:lang w:eastAsia="en-AU"/>
    </w:rPr>
  </w:style>
  <w:style w:type="character" w:styleId="Emphasis">
    <w:name w:val="Emphasis"/>
    <w:basedOn w:val="DefaultParagraphFont"/>
    <w:uiPriority w:val="20"/>
    <w:qFormat/>
    <w:rsid w:val="00A73603"/>
    <w:rPr>
      <w:i/>
      <w:iCs/>
    </w:rPr>
  </w:style>
  <w:style w:type="paragraph" w:customStyle="1" w:styleId="Heading2-ITRDCA">
    <w:name w:val="Heading 2 - ITRDCA"/>
    <w:basedOn w:val="Heading2"/>
    <w:link w:val="Heading2-ITRDCAChar"/>
    <w:qFormat/>
    <w:rsid w:val="00A73603"/>
  </w:style>
  <w:style w:type="character" w:customStyle="1" w:styleId="Heading2-ITRDCAChar">
    <w:name w:val="Heading 2 - ITRDCA Char"/>
    <w:basedOn w:val="Heading2Char"/>
    <w:link w:val="Heading2-ITRDCA"/>
    <w:rsid w:val="00A73603"/>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A73603"/>
  </w:style>
  <w:style w:type="character" w:customStyle="1" w:styleId="Heading3-ITRDCAChar">
    <w:name w:val="Heading 3 - ITRDCA Char"/>
    <w:basedOn w:val="Heading3Char"/>
    <w:link w:val="Heading3-ITRDCA"/>
    <w:rsid w:val="00A73603"/>
    <w:rPr>
      <w:rFonts w:ascii="Arial Bold" w:eastAsia="Times New Roman" w:hAnsi="Arial Bold" w:cs="Times New Roman"/>
      <w:b/>
      <w:szCs w:val="20"/>
      <w:lang w:eastAsia="en-AU"/>
    </w:rPr>
  </w:style>
  <w:style w:type="paragraph" w:customStyle="1" w:styleId="TableTextPortrait">
    <w:name w:val="Table Text Portrait"/>
    <w:basedOn w:val="Normal"/>
    <w:qFormat/>
    <w:rsid w:val="00A73603"/>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A73603"/>
  </w:style>
  <w:style w:type="character" w:customStyle="1" w:styleId="Mention1">
    <w:name w:val="Mention1"/>
    <w:basedOn w:val="DefaultParagraphFont"/>
    <w:uiPriority w:val="99"/>
    <w:unhideWhenUsed/>
    <w:rsid w:val="00A73603"/>
    <w:rPr>
      <w:color w:val="2B579A"/>
      <w:shd w:val="clear" w:color="auto" w:fill="E1DFDD"/>
    </w:rPr>
  </w:style>
  <w:style w:type="character" w:customStyle="1" w:styleId="Heading3-ACMAChar">
    <w:name w:val="Heading 3 - ACMA Char"/>
    <w:basedOn w:val="Heading3Char"/>
    <w:link w:val="Heading3-ACMA"/>
    <w:rsid w:val="00A73603"/>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A73603"/>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A73603"/>
  </w:style>
  <w:style w:type="character" w:customStyle="1" w:styleId="Heading3-ATSBChar">
    <w:name w:val="Heading 3 - ATSB Char"/>
    <w:basedOn w:val="Heading3Char"/>
    <w:link w:val="Heading3-ATSB"/>
    <w:rsid w:val="00A73603"/>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A73603"/>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A73603"/>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A73603"/>
    <w:rPr>
      <w:color w:val="605E5C"/>
      <w:shd w:val="clear" w:color="auto" w:fill="E1DFDD"/>
    </w:rPr>
  </w:style>
  <w:style w:type="paragraph" w:customStyle="1" w:styleId="chartandtablefootnote0">
    <w:name w:val="chartandtablefootnote"/>
    <w:basedOn w:val="Normal"/>
    <w:rsid w:val="00A73603"/>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orkspace.internal.dotars.gov.au/sites/FINB/BPPE/Publications/2024-25%20PBS/Agencies/CASA/casa-corporate-plan-2023-24.pdf"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orkspace.internal.dotars.gov.au/sites/FINB/BPPE/Publications/2024-25%20PBS/Agencies/CASA/casa-annual-report-2022-2023.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6</cp:revision>
  <dcterms:created xsi:type="dcterms:W3CDTF">2024-05-13T01:36:00Z</dcterms:created>
  <dcterms:modified xsi:type="dcterms:W3CDTF">2024-05-13T05:45:00Z</dcterms:modified>
</cp:coreProperties>
</file>