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574E2" w14:textId="1D91E761" w:rsidR="00752811" w:rsidRPr="005A7C0B" w:rsidRDefault="00752811" w:rsidP="00745005">
      <w:pPr>
        <w:pStyle w:val="PartHeading"/>
      </w:pPr>
      <w:bookmarkStart w:id="0" w:name="_Toc190766151"/>
      <w:bookmarkStart w:id="1" w:name="_Toc444523519"/>
      <w:r w:rsidRPr="00475EE5">
        <w:t>N</w:t>
      </w:r>
      <w:r>
        <w:t>orth Queensland Water Infrastructure Authority</w:t>
      </w:r>
    </w:p>
    <w:p w14:paraId="60E20B12" w14:textId="77777777" w:rsidR="00752811" w:rsidRDefault="00752811" w:rsidP="00745005">
      <w:pPr>
        <w:pStyle w:val="PartHeading"/>
      </w:pPr>
    </w:p>
    <w:p w14:paraId="5ACF8CE0" w14:textId="77777777" w:rsidR="00752811" w:rsidRDefault="00752811" w:rsidP="00745005">
      <w:pPr>
        <w:pStyle w:val="PartHeading"/>
      </w:pPr>
    </w:p>
    <w:p w14:paraId="675C5752" w14:textId="77777777" w:rsidR="00752811" w:rsidRDefault="00752811" w:rsidP="00745005">
      <w:pPr>
        <w:pStyle w:val="PartHeading"/>
      </w:pPr>
      <w:r>
        <w:t>Entity resources and planned performance</w:t>
      </w:r>
    </w:p>
    <w:p w14:paraId="5C8EDED9" w14:textId="77777777" w:rsidR="00752811" w:rsidRDefault="00752811" w:rsidP="00752811">
      <w:pPr>
        <w:pStyle w:val="PartHeading"/>
        <w:sectPr w:rsidR="00752811"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7008008C" w14:textId="77777777" w:rsidR="00752811" w:rsidRPr="002A32FD" w:rsidRDefault="00752811" w:rsidP="00752811">
      <w:pPr>
        <w:pStyle w:val="ContentsHeading"/>
      </w:pPr>
      <w:r>
        <w:lastRenderedPageBreak/>
        <w:t>North Queensland Water Infrastructure Authority</w:t>
      </w:r>
    </w:p>
    <w:p w14:paraId="0F514E9F" w14:textId="5A7C2997" w:rsidR="000B4B0C" w:rsidRDefault="00D57E5C">
      <w:pPr>
        <w:pStyle w:val="TOC1"/>
        <w:rPr>
          <w:rFonts w:asciiTheme="minorHAnsi" w:eastAsiaTheme="minorEastAsia" w:hAnsiTheme="minorHAnsi" w:cstheme="minorBidi"/>
          <w:b w:val="0"/>
          <w:caps w:val="0"/>
          <w:noProof/>
          <w:sz w:val="22"/>
          <w:szCs w:val="22"/>
        </w:rPr>
      </w:pPr>
      <w:r>
        <w:fldChar w:fldCharType="begin"/>
      </w:r>
      <w:r>
        <w:instrText xml:space="preserve"> TOC \h \z \t "Heading 3 - NQWIA,2,Heading 2 - NQWIA,1" </w:instrText>
      </w:r>
      <w:r>
        <w:fldChar w:fldCharType="separate"/>
      </w:r>
      <w:hyperlink w:anchor="_Toc99027399" w:history="1">
        <w:r w:rsidR="000B4B0C" w:rsidRPr="002D3249">
          <w:rPr>
            <w:rStyle w:val="Hyperlink"/>
            <w:noProof/>
          </w:rPr>
          <w:t>Section 1: Entity overview and resources</w:t>
        </w:r>
        <w:r w:rsidR="000B4B0C">
          <w:rPr>
            <w:noProof/>
            <w:webHidden/>
          </w:rPr>
          <w:tab/>
        </w:r>
        <w:r w:rsidR="000B4B0C">
          <w:rPr>
            <w:noProof/>
            <w:webHidden/>
          </w:rPr>
          <w:fldChar w:fldCharType="begin"/>
        </w:r>
        <w:r w:rsidR="000B4B0C">
          <w:rPr>
            <w:noProof/>
            <w:webHidden/>
          </w:rPr>
          <w:instrText xml:space="preserve"> PAGEREF _Toc99027399 \h </w:instrText>
        </w:r>
        <w:r w:rsidR="000B4B0C">
          <w:rPr>
            <w:noProof/>
            <w:webHidden/>
          </w:rPr>
        </w:r>
        <w:r w:rsidR="000B4B0C">
          <w:rPr>
            <w:noProof/>
            <w:webHidden/>
          </w:rPr>
          <w:fldChar w:fldCharType="separate"/>
        </w:r>
        <w:r w:rsidR="008B2352">
          <w:rPr>
            <w:noProof/>
            <w:webHidden/>
          </w:rPr>
          <w:t>445</w:t>
        </w:r>
        <w:r w:rsidR="000B4B0C">
          <w:rPr>
            <w:noProof/>
            <w:webHidden/>
          </w:rPr>
          <w:fldChar w:fldCharType="end"/>
        </w:r>
      </w:hyperlink>
    </w:p>
    <w:p w14:paraId="3D41EDB9" w14:textId="252B4DF0" w:rsidR="000B4B0C" w:rsidRDefault="00EA3788">
      <w:pPr>
        <w:pStyle w:val="TOC2"/>
        <w:tabs>
          <w:tab w:val="left" w:pos="800"/>
        </w:tabs>
        <w:rPr>
          <w:rFonts w:asciiTheme="minorHAnsi" w:eastAsiaTheme="minorEastAsia" w:hAnsiTheme="minorHAnsi" w:cstheme="minorBidi"/>
          <w:noProof/>
          <w:sz w:val="22"/>
          <w:szCs w:val="22"/>
        </w:rPr>
      </w:pPr>
      <w:hyperlink w:anchor="_Toc99027400" w:history="1">
        <w:r w:rsidR="000B4B0C" w:rsidRPr="002D3249">
          <w:rPr>
            <w:rStyle w:val="Hyperlink"/>
            <w:noProof/>
          </w:rPr>
          <w:t>1.1</w:t>
        </w:r>
        <w:r w:rsidR="000B4B0C">
          <w:rPr>
            <w:rFonts w:asciiTheme="minorHAnsi" w:eastAsiaTheme="minorEastAsia" w:hAnsiTheme="minorHAnsi" w:cstheme="minorBidi"/>
            <w:noProof/>
            <w:sz w:val="22"/>
            <w:szCs w:val="22"/>
          </w:rPr>
          <w:tab/>
        </w:r>
        <w:r w:rsidR="000B4B0C" w:rsidRPr="002D3249">
          <w:rPr>
            <w:rStyle w:val="Hyperlink"/>
            <w:noProof/>
          </w:rPr>
          <w:t>Strategic direction statement</w:t>
        </w:r>
        <w:r w:rsidR="000B4B0C">
          <w:rPr>
            <w:noProof/>
            <w:webHidden/>
          </w:rPr>
          <w:tab/>
        </w:r>
        <w:r w:rsidR="000B4B0C">
          <w:rPr>
            <w:noProof/>
            <w:webHidden/>
          </w:rPr>
          <w:fldChar w:fldCharType="begin"/>
        </w:r>
        <w:r w:rsidR="000B4B0C">
          <w:rPr>
            <w:noProof/>
            <w:webHidden/>
          </w:rPr>
          <w:instrText xml:space="preserve"> PAGEREF _Toc99027400 \h </w:instrText>
        </w:r>
        <w:r w:rsidR="000B4B0C">
          <w:rPr>
            <w:noProof/>
            <w:webHidden/>
          </w:rPr>
        </w:r>
        <w:r w:rsidR="000B4B0C">
          <w:rPr>
            <w:noProof/>
            <w:webHidden/>
          </w:rPr>
          <w:fldChar w:fldCharType="separate"/>
        </w:r>
        <w:r w:rsidR="008B2352">
          <w:rPr>
            <w:noProof/>
            <w:webHidden/>
          </w:rPr>
          <w:t>445</w:t>
        </w:r>
        <w:r w:rsidR="000B4B0C">
          <w:rPr>
            <w:noProof/>
            <w:webHidden/>
          </w:rPr>
          <w:fldChar w:fldCharType="end"/>
        </w:r>
      </w:hyperlink>
    </w:p>
    <w:p w14:paraId="2549A262" w14:textId="1C9AAFCF" w:rsidR="000B4B0C" w:rsidRDefault="00EA3788">
      <w:pPr>
        <w:pStyle w:val="TOC2"/>
        <w:tabs>
          <w:tab w:val="left" w:pos="800"/>
        </w:tabs>
        <w:rPr>
          <w:rFonts w:asciiTheme="minorHAnsi" w:eastAsiaTheme="minorEastAsia" w:hAnsiTheme="minorHAnsi" w:cstheme="minorBidi"/>
          <w:noProof/>
          <w:sz w:val="22"/>
          <w:szCs w:val="22"/>
        </w:rPr>
      </w:pPr>
      <w:hyperlink w:anchor="_Toc99027401" w:history="1">
        <w:r w:rsidR="000B4B0C" w:rsidRPr="002D3249">
          <w:rPr>
            <w:rStyle w:val="Hyperlink"/>
            <w:noProof/>
          </w:rPr>
          <w:t>1.2</w:t>
        </w:r>
        <w:r w:rsidR="000B4B0C">
          <w:rPr>
            <w:rFonts w:asciiTheme="minorHAnsi" w:eastAsiaTheme="minorEastAsia" w:hAnsiTheme="minorHAnsi" w:cstheme="minorBidi"/>
            <w:noProof/>
            <w:sz w:val="22"/>
            <w:szCs w:val="22"/>
          </w:rPr>
          <w:tab/>
        </w:r>
        <w:r w:rsidR="000B4B0C" w:rsidRPr="002D3249">
          <w:rPr>
            <w:rStyle w:val="Hyperlink"/>
            <w:noProof/>
          </w:rPr>
          <w:t>Entity resource statement</w:t>
        </w:r>
        <w:r w:rsidR="000B4B0C">
          <w:rPr>
            <w:noProof/>
            <w:webHidden/>
          </w:rPr>
          <w:tab/>
        </w:r>
        <w:r w:rsidR="000B4B0C">
          <w:rPr>
            <w:noProof/>
            <w:webHidden/>
          </w:rPr>
          <w:fldChar w:fldCharType="begin"/>
        </w:r>
        <w:r w:rsidR="000B4B0C">
          <w:rPr>
            <w:noProof/>
            <w:webHidden/>
          </w:rPr>
          <w:instrText xml:space="preserve"> PAGEREF _Toc99027401 \h </w:instrText>
        </w:r>
        <w:r w:rsidR="000B4B0C">
          <w:rPr>
            <w:noProof/>
            <w:webHidden/>
          </w:rPr>
        </w:r>
        <w:r w:rsidR="000B4B0C">
          <w:rPr>
            <w:noProof/>
            <w:webHidden/>
          </w:rPr>
          <w:fldChar w:fldCharType="separate"/>
        </w:r>
        <w:r w:rsidR="008B2352">
          <w:rPr>
            <w:noProof/>
            <w:webHidden/>
          </w:rPr>
          <w:t>446</w:t>
        </w:r>
        <w:r w:rsidR="000B4B0C">
          <w:rPr>
            <w:noProof/>
            <w:webHidden/>
          </w:rPr>
          <w:fldChar w:fldCharType="end"/>
        </w:r>
      </w:hyperlink>
    </w:p>
    <w:p w14:paraId="14E74AB8" w14:textId="6C0215EF" w:rsidR="000B4B0C" w:rsidRDefault="00EA3788">
      <w:pPr>
        <w:pStyle w:val="TOC2"/>
        <w:tabs>
          <w:tab w:val="left" w:pos="800"/>
        </w:tabs>
        <w:rPr>
          <w:rFonts w:asciiTheme="minorHAnsi" w:eastAsiaTheme="minorEastAsia" w:hAnsiTheme="minorHAnsi" w:cstheme="minorBidi"/>
          <w:noProof/>
          <w:sz w:val="22"/>
          <w:szCs w:val="22"/>
        </w:rPr>
      </w:pPr>
      <w:hyperlink w:anchor="_Toc99027402" w:history="1">
        <w:r w:rsidR="000B4B0C" w:rsidRPr="002D3249">
          <w:rPr>
            <w:rStyle w:val="Hyperlink"/>
            <w:noProof/>
          </w:rPr>
          <w:t>1.3</w:t>
        </w:r>
        <w:r w:rsidR="000B4B0C">
          <w:rPr>
            <w:rFonts w:asciiTheme="minorHAnsi" w:eastAsiaTheme="minorEastAsia" w:hAnsiTheme="minorHAnsi" w:cstheme="minorBidi"/>
            <w:noProof/>
            <w:sz w:val="22"/>
            <w:szCs w:val="22"/>
          </w:rPr>
          <w:tab/>
        </w:r>
        <w:r w:rsidR="000B4B0C" w:rsidRPr="002D3249">
          <w:rPr>
            <w:rStyle w:val="Hyperlink"/>
            <w:noProof/>
          </w:rPr>
          <w:t>Budget measures</w:t>
        </w:r>
        <w:r w:rsidR="000B4B0C">
          <w:rPr>
            <w:noProof/>
            <w:webHidden/>
          </w:rPr>
          <w:tab/>
        </w:r>
        <w:r w:rsidR="000B4B0C">
          <w:rPr>
            <w:noProof/>
            <w:webHidden/>
          </w:rPr>
          <w:fldChar w:fldCharType="begin"/>
        </w:r>
        <w:r w:rsidR="000B4B0C">
          <w:rPr>
            <w:noProof/>
            <w:webHidden/>
          </w:rPr>
          <w:instrText xml:space="preserve"> PAGEREF _Toc99027402 \h </w:instrText>
        </w:r>
        <w:r w:rsidR="000B4B0C">
          <w:rPr>
            <w:noProof/>
            <w:webHidden/>
          </w:rPr>
        </w:r>
        <w:r w:rsidR="000B4B0C">
          <w:rPr>
            <w:noProof/>
            <w:webHidden/>
          </w:rPr>
          <w:fldChar w:fldCharType="separate"/>
        </w:r>
        <w:r w:rsidR="008B2352">
          <w:rPr>
            <w:noProof/>
            <w:webHidden/>
          </w:rPr>
          <w:t>447</w:t>
        </w:r>
        <w:r w:rsidR="000B4B0C">
          <w:rPr>
            <w:noProof/>
            <w:webHidden/>
          </w:rPr>
          <w:fldChar w:fldCharType="end"/>
        </w:r>
      </w:hyperlink>
    </w:p>
    <w:p w14:paraId="082A2267" w14:textId="49463394" w:rsidR="000B4B0C" w:rsidRDefault="00EA3788">
      <w:pPr>
        <w:pStyle w:val="TOC1"/>
        <w:rPr>
          <w:rFonts w:asciiTheme="minorHAnsi" w:eastAsiaTheme="minorEastAsia" w:hAnsiTheme="minorHAnsi" w:cstheme="minorBidi"/>
          <w:b w:val="0"/>
          <w:caps w:val="0"/>
          <w:noProof/>
          <w:sz w:val="22"/>
          <w:szCs w:val="22"/>
        </w:rPr>
      </w:pPr>
      <w:hyperlink w:anchor="_Toc99027403" w:history="1">
        <w:r w:rsidR="000B4B0C" w:rsidRPr="002D3249">
          <w:rPr>
            <w:rStyle w:val="Hyperlink"/>
            <w:noProof/>
          </w:rPr>
          <w:t>Section 2: Outcomes and planned performance</w:t>
        </w:r>
        <w:r w:rsidR="000B4B0C">
          <w:rPr>
            <w:noProof/>
            <w:webHidden/>
          </w:rPr>
          <w:tab/>
        </w:r>
        <w:r w:rsidR="000B4B0C">
          <w:rPr>
            <w:noProof/>
            <w:webHidden/>
          </w:rPr>
          <w:fldChar w:fldCharType="begin"/>
        </w:r>
        <w:r w:rsidR="000B4B0C">
          <w:rPr>
            <w:noProof/>
            <w:webHidden/>
          </w:rPr>
          <w:instrText xml:space="preserve"> PAGEREF _Toc99027403 \h </w:instrText>
        </w:r>
        <w:r w:rsidR="000B4B0C">
          <w:rPr>
            <w:noProof/>
            <w:webHidden/>
          </w:rPr>
        </w:r>
        <w:r w:rsidR="000B4B0C">
          <w:rPr>
            <w:noProof/>
            <w:webHidden/>
          </w:rPr>
          <w:fldChar w:fldCharType="separate"/>
        </w:r>
        <w:r w:rsidR="008B2352">
          <w:rPr>
            <w:noProof/>
            <w:webHidden/>
          </w:rPr>
          <w:t>448</w:t>
        </w:r>
        <w:r w:rsidR="000B4B0C">
          <w:rPr>
            <w:noProof/>
            <w:webHidden/>
          </w:rPr>
          <w:fldChar w:fldCharType="end"/>
        </w:r>
      </w:hyperlink>
    </w:p>
    <w:p w14:paraId="53768DAD" w14:textId="3E9144FC" w:rsidR="000B4B0C" w:rsidRDefault="00EA3788">
      <w:pPr>
        <w:pStyle w:val="TOC2"/>
        <w:tabs>
          <w:tab w:val="left" w:pos="800"/>
        </w:tabs>
        <w:rPr>
          <w:rFonts w:asciiTheme="minorHAnsi" w:eastAsiaTheme="minorEastAsia" w:hAnsiTheme="minorHAnsi" w:cstheme="minorBidi"/>
          <w:noProof/>
          <w:sz w:val="22"/>
          <w:szCs w:val="22"/>
        </w:rPr>
      </w:pPr>
      <w:hyperlink w:anchor="_Toc99027404" w:history="1">
        <w:r w:rsidR="000B4B0C" w:rsidRPr="002D3249">
          <w:rPr>
            <w:rStyle w:val="Hyperlink"/>
            <w:noProof/>
          </w:rPr>
          <w:t>2.1</w:t>
        </w:r>
        <w:r w:rsidR="000B4B0C">
          <w:rPr>
            <w:rFonts w:asciiTheme="minorHAnsi" w:eastAsiaTheme="minorEastAsia" w:hAnsiTheme="minorHAnsi" w:cstheme="minorBidi"/>
            <w:noProof/>
            <w:sz w:val="22"/>
            <w:szCs w:val="22"/>
          </w:rPr>
          <w:tab/>
        </w:r>
        <w:r w:rsidR="000B4B0C" w:rsidRPr="002D3249">
          <w:rPr>
            <w:rStyle w:val="Hyperlink"/>
            <w:noProof/>
          </w:rPr>
          <w:t>Budgeted expenses and performance for Outcome 1</w:t>
        </w:r>
        <w:r w:rsidR="000B4B0C">
          <w:rPr>
            <w:noProof/>
            <w:webHidden/>
          </w:rPr>
          <w:tab/>
        </w:r>
        <w:r w:rsidR="000B4B0C">
          <w:rPr>
            <w:noProof/>
            <w:webHidden/>
          </w:rPr>
          <w:fldChar w:fldCharType="begin"/>
        </w:r>
        <w:r w:rsidR="000B4B0C">
          <w:rPr>
            <w:noProof/>
            <w:webHidden/>
          </w:rPr>
          <w:instrText xml:space="preserve"> PAGEREF _Toc99027404 \h </w:instrText>
        </w:r>
        <w:r w:rsidR="000B4B0C">
          <w:rPr>
            <w:noProof/>
            <w:webHidden/>
          </w:rPr>
        </w:r>
        <w:r w:rsidR="000B4B0C">
          <w:rPr>
            <w:noProof/>
            <w:webHidden/>
          </w:rPr>
          <w:fldChar w:fldCharType="separate"/>
        </w:r>
        <w:r w:rsidR="008B2352">
          <w:rPr>
            <w:noProof/>
            <w:webHidden/>
          </w:rPr>
          <w:t>449</w:t>
        </w:r>
        <w:r w:rsidR="000B4B0C">
          <w:rPr>
            <w:noProof/>
            <w:webHidden/>
          </w:rPr>
          <w:fldChar w:fldCharType="end"/>
        </w:r>
      </w:hyperlink>
    </w:p>
    <w:p w14:paraId="062611E6" w14:textId="00ED3C9A" w:rsidR="000B4B0C" w:rsidRDefault="00EA3788">
      <w:pPr>
        <w:pStyle w:val="TOC1"/>
        <w:rPr>
          <w:rFonts w:asciiTheme="minorHAnsi" w:eastAsiaTheme="minorEastAsia" w:hAnsiTheme="minorHAnsi" w:cstheme="minorBidi"/>
          <w:b w:val="0"/>
          <w:caps w:val="0"/>
          <w:noProof/>
          <w:sz w:val="22"/>
          <w:szCs w:val="22"/>
        </w:rPr>
      </w:pPr>
      <w:hyperlink w:anchor="_Toc99027405" w:history="1">
        <w:r w:rsidR="000B4B0C" w:rsidRPr="002D3249">
          <w:rPr>
            <w:rStyle w:val="Hyperlink"/>
            <w:noProof/>
          </w:rPr>
          <w:t>Section 3: Budgeted financial statements</w:t>
        </w:r>
        <w:r w:rsidR="000B4B0C">
          <w:rPr>
            <w:noProof/>
            <w:webHidden/>
          </w:rPr>
          <w:tab/>
        </w:r>
        <w:r w:rsidR="000B4B0C">
          <w:rPr>
            <w:noProof/>
            <w:webHidden/>
          </w:rPr>
          <w:fldChar w:fldCharType="begin"/>
        </w:r>
        <w:r w:rsidR="000B4B0C">
          <w:rPr>
            <w:noProof/>
            <w:webHidden/>
          </w:rPr>
          <w:instrText xml:space="preserve"> PAGEREF _Toc99027405 \h </w:instrText>
        </w:r>
        <w:r w:rsidR="000B4B0C">
          <w:rPr>
            <w:noProof/>
            <w:webHidden/>
          </w:rPr>
        </w:r>
        <w:r w:rsidR="000B4B0C">
          <w:rPr>
            <w:noProof/>
            <w:webHidden/>
          </w:rPr>
          <w:fldChar w:fldCharType="separate"/>
        </w:r>
        <w:r w:rsidR="008B2352">
          <w:rPr>
            <w:noProof/>
            <w:webHidden/>
          </w:rPr>
          <w:t>452</w:t>
        </w:r>
        <w:r w:rsidR="000B4B0C">
          <w:rPr>
            <w:noProof/>
            <w:webHidden/>
          </w:rPr>
          <w:fldChar w:fldCharType="end"/>
        </w:r>
      </w:hyperlink>
    </w:p>
    <w:p w14:paraId="7D89552E" w14:textId="0B9FE10A" w:rsidR="000B4B0C" w:rsidRDefault="00EA3788">
      <w:pPr>
        <w:pStyle w:val="TOC2"/>
        <w:tabs>
          <w:tab w:val="left" w:pos="800"/>
        </w:tabs>
        <w:rPr>
          <w:rFonts w:asciiTheme="minorHAnsi" w:eastAsiaTheme="minorEastAsia" w:hAnsiTheme="minorHAnsi" w:cstheme="minorBidi"/>
          <w:noProof/>
          <w:sz w:val="22"/>
          <w:szCs w:val="22"/>
        </w:rPr>
      </w:pPr>
      <w:hyperlink w:anchor="_Toc99027406" w:history="1">
        <w:r w:rsidR="000B4B0C" w:rsidRPr="002D3249">
          <w:rPr>
            <w:rStyle w:val="Hyperlink"/>
            <w:noProof/>
          </w:rPr>
          <w:t>3.1</w:t>
        </w:r>
        <w:r w:rsidR="000B4B0C">
          <w:rPr>
            <w:rFonts w:asciiTheme="minorHAnsi" w:eastAsiaTheme="minorEastAsia" w:hAnsiTheme="minorHAnsi" w:cstheme="minorBidi"/>
            <w:noProof/>
            <w:sz w:val="22"/>
            <w:szCs w:val="22"/>
          </w:rPr>
          <w:tab/>
        </w:r>
        <w:r w:rsidR="000B4B0C" w:rsidRPr="002D3249">
          <w:rPr>
            <w:rStyle w:val="Hyperlink"/>
            <w:noProof/>
          </w:rPr>
          <w:t>Budgeted financial statements</w:t>
        </w:r>
        <w:r w:rsidR="000B4B0C">
          <w:rPr>
            <w:noProof/>
            <w:webHidden/>
          </w:rPr>
          <w:tab/>
        </w:r>
        <w:r w:rsidR="000B4B0C">
          <w:rPr>
            <w:noProof/>
            <w:webHidden/>
          </w:rPr>
          <w:fldChar w:fldCharType="begin"/>
        </w:r>
        <w:r w:rsidR="000B4B0C">
          <w:rPr>
            <w:noProof/>
            <w:webHidden/>
          </w:rPr>
          <w:instrText xml:space="preserve"> PAGEREF _Toc99027406 \h </w:instrText>
        </w:r>
        <w:r w:rsidR="000B4B0C">
          <w:rPr>
            <w:noProof/>
            <w:webHidden/>
          </w:rPr>
        </w:r>
        <w:r w:rsidR="000B4B0C">
          <w:rPr>
            <w:noProof/>
            <w:webHidden/>
          </w:rPr>
          <w:fldChar w:fldCharType="separate"/>
        </w:r>
        <w:r w:rsidR="008B2352">
          <w:rPr>
            <w:noProof/>
            <w:webHidden/>
          </w:rPr>
          <w:t>452</w:t>
        </w:r>
        <w:r w:rsidR="000B4B0C">
          <w:rPr>
            <w:noProof/>
            <w:webHidden/>
          </w:rPr>
          <w:fldChar w:fldCharType="end"/>
        </w:r>
      </w:hyperlink>
    </w:p>
    <w:p w14:paraId="1895C17F" w14:textId="07320CC3" w:rsidR="000B4B0C" w:rsidRDefault="00EA3788">
      <w:pPr>
        <w:pStyle w:val="TOC2"/>
        <w:tabs>
          <w:tab w:val="left" w:pos="800"/>
        </w:tabs>
        <w:rPr>
          <w:rFonts w:asciiTheme="minorHAnsi" w:eastAsiaTheme="minorEastAsia" w:hAnsiTheme="minorHAnsi" w:cstheme="minorBidi"/>
          <w:noProof/>
          <w:sz w:val="22"/>
          <w:szCs w:val="22"/>
        </w:rPr>
      </w:pPr>
      <w:hyperlink w:anchor="_Toc99027407" w:history="1">
        <w:r w:rsidR="000B4B0C" w:rsidRPr="002D3249">
          <w:rPr>
            <w:rStyle w:val="Hyperlink"/>
            <w:noProof/>
          </w:rPr>
          <w:t>3.2</w:t>
        </w:r>
        <w:r w:rsidR="000B4B0C">
          <w:rPr>
            <w:rFonts w:asciiTheme="minorHAnsi" w:eastAsiaTheme="minorEastAsia" w:hAnsiTheme="minorHAnsi" w:cstheme="minorBidi"/>
            <w:noProof/>
            <w:sz w:val="22"/>
            <w:szCs w:val="22"/>
          </w:rPr>
          <w:tab/>
        </w:r>
        <w:r w:rsidR="000B4B0C" w:rsidRPr="002D3249">
          <w:rPr>
            <w:rStyle w:val="Hyperlink"/>
            <w:noProof/>
          </w:rPr>
          <w:t>Budgeted financial statements tables</w:t>
        </w:r>
        <w:r w:rsidR="000B4B0C">
          <w:rPr>
            <w:noProof/>
            <w:webHidden/>
          </w:rPr>
          <w:tab/>
        </w:r>
        <w:r w:rsidR="000B4B0C">
          <w:rPr>
            <w:noProof/>
            <w:webHidden/>
          </w:rPr>
          <w:fldChar w:fldCharType="begin"/>
        </w:r>
        <w:r w:rsidR="000B4B0C">
          <w:rPr>
            <w:noProof/>
            <w:webHidden/>
          </w:rPr>
          <w:instrText xml:space="preserve"> PAGEREF _Toc99027407 \h </w:instrText>
        </w:r>
        <w:r w:rsidR="000B4B0C">
          <w:rPr>
            <w:noProof/>
            <w:webHidden/>
          </w:rPr>
        </w:r>
        <w:r w:rsidR="000B4B0C">
          <w:rPr>
            <w:noProof/>
            <w:webHidden/>
          </w:rPr>
          <w:fldChar w:fldCharType="separate"/>
        </w:r>
        <w:r w:rsidR="008B2352">
          <w:rPr>
            <w:noProof/>
            <w:webHidden/>
          </w:rPr>
          <w:t>453</w:t>
        </w:r>
        <w:r w:rsidR="000B4B0C">
          <w:rPr>
            <w:noProof/>
            <w:webHidden/>
          </w:rPr>
          <w:fldChar w:fldCharType="end"/>
        </w:r>
      </w:hyperlink>
    </w:p>
    <w:p w14:paraId="6D28C2FE" w14:textId="70CD4EB4" w:rsidR="00752811" w:rsidRDefault="00D57E5C" w:rsidP="000B4B0C">
      <w:pPr>
        <w:pStyle w:val="TOC1"/>
        <w:sectPr w:rsidR="00752811" w:rsidSect="00782467">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titlePg/>
          <w:docGrid w:linePitch="360"/>
        </w:sectPr>
      </w:pPr>
      <w:r>
        <w:fldChar w:fldCharType="end"/>
      </w:r>
    </w:p>
    <w:p w14:paraId="4FCD7FFC" w14:textId="77777777" w:rsidR="00752811" w:rsidRPr="00745005" w:rsidRDefault="00752811" w:rsidP="00745005">
      <w:pPr>
        <w:pStyle w:val="Heading1"/>
      </w:pPr>
      <w:bookmarkStart w:id="2" w:name="_Toc98440182"/>
      <w:r w:rsidRPr="00745005">
        <w:lastRenderedPageBreak/>
        <w:t>North Queensland Water Infrastructure Authority</w:t>
      </w:r>
      <w:bookmarkEnd w:id="2"/>
    </w:p>
    <w:p w14:paraId="19B3CE2D" w14:textId="77777777" w:rsidR="00752811" w:rsidRPr="002C4D41" w:rsidRDefault="00752811" w:rsidP="00F2409E">
      <w:pPr>
        <w:pStyle w:val="Heading2-NQWIA"/>
      </w:pPr>
      <w:bookmarkStart w:id="3" w:name="_Toc97667524"/>
      <w:bookmarkStart w:id="4" w:name="_Toc98440394"/>
      <w:bookmarkStart w:id="5" w:name="_Toc98440542"/>
      <w:bookmarkStart w:id="6" w:name="_Toc98440690"/>
      <w:bookmarkStart w:id="7" w:name="_Toc98440838"/>
      <w:bookmarkStart w:id="8" w:name="_Toc98440986"/>
      <w:bookmarkStart w:id="9" w:name="_Toc99027399"/>
      <w:r w:rsidRPr="002C4D41">
        <w:t xml:space="preserve">Section 1: Entity overview and </w:t>
      </w:r>
      <w:r>
        <w:t>reso</w:t>
      </w:r>
      <w:r w:rsidRPr="002C4D41">
        <w:t>urces</w:t>
      </w:r>
      <w:bookmarkEnd w:id="3"/>
      <w:bookmarkEnd w:id="4"/>
      <w:bookmarkEnd w:id="5"/>
      <w:bookmarkEnd w:id="6"/>
      <w:bookmarkEnd w:id="7"/>
      <w:bookmarkEnd w:id="8"/>
      <w:bookmarkEnd w:id="9"/>
    </w:p>
    <w:p w14:paraId="21F94FD8" w14:textId="77777777" w:rsidR="00752811" w:rsidRDefault="00752811" w:rsidP="007E1B5A">
      <w:pPr>
        <w:pStyle w:val="Heading3-NQWIA"/>
      </w:pPr>
      <w:bookmarkStart w:id="10" w:name="_Toc97667525"/>
      <w:bookmarkStart w:id="11" w:name="_Toc98440395"/>
      <w:bookmarkStart w:id="12" w:name="_Toc98440543"/>
      <w:bookmarkStart w:id="13" w:name="_Toc98440691"/>
      <w:bookmarkStart w:id="14" w:name="_Toc98440839"/>
      <w:bookmarkStart w:id="15" w:name="_Toc98440987"/>
      <w:bookmarkStart w:id="16" w:name="_Toc99027400"/>
      <w:r>
        <w:t>1.1</w:t>
      </w:r>
      <w:r>
        <w:tab/>
      </w:r>
      <w:r w:rsidRPr="007E1B5A">
        <w:t>Strategic</w:t>
      </w:r>
      <w:r>
        <w:t xml:space="preserve"> direction statement</w:t>
      </w:r>
      <w:bookmarkEnd w:id="10"/>
      <w:bookmarkEnd w:id="11"/>
      <w:bookmarkEnd w:id="12"/>
      <w:bookmarkEnd w:id="13"/>
      <w:bookmarkEnd w:id="14"/>
      <w:bookmarkEnd w:id="15"/>
      <w:bookmarkEnd w:id="16"/>
    </w:p>
    <w:p w14:paraId="7478CD7C" w14:textId="77777777" w:rsidR="00752811" w:rsidRPr="00777081" w:rsidRDefault="00752811" w:rsidP="00752811">
      <w:pPr>
        <w:pStyle w:val="Exampletext"/>
        <w:jc w:val="left"/>
        <w:rPr>
          <w:i w:val="0"/>
          <w:color w:val="auto"/>
        </w:rPr>
      </w:pPr>
      <w:r w:rsidRPr="00777081">
        <w:rPr>
          <w:i w:val="0"/>
          <w:color w:val="auto"/>
        </w:rPr>
        <w:t xml:space="preserve">The North Queensland Water Infrastructure Authority (NQWIA) was established on 12 March 2019 as an Executive Agency under section 65 of the </w:t>
      </w:r>
      <w:r w:rsidRPr="00866360">
        <w:rPr>
          <w:color w:val="auto"/>
        </w:rPr>
        <w:t>Public Service Act 1999</w:t>
      </w:r>
      <w:r w:rsidRPr="00777081">
        <w:rPr>
          <w:i w:val="0"/>
          <w:color w:val="auto"/>
        </w:rPr>
        <w:t xml:space="preserve">.  The key objective of the agency is to provide strategic planning and coordination of Commonwealth resources to implement water </w:t>
      </w:r>
      <w:r w:rsidRPr="00777081">
        <w:rPr>
          <w:i w:val="0"/>
          <w:color w:val="auto"/>
          <w:lang w:val="en-US"/>
        </w:rPr>
        <w:t>infrastructure priorities</w:t>
      </w:r>
      <w:r w:rsidRPr="00777081">
        <w:rPr>
          <w:i w:val="0"/>
          <w:color w:val="auto"/>
        </w:rPr>
        <w:t xml:space="preserve"> in northern Queensland and manage water infrastructure projects as directed by the </w:t>
      </w:r>
      <w:r w:rsidRPr="00777081">
        <w:rPr>
          <w:i w:val="0"/>
          <w:color w:val="auto"/>
          <w:lang w:val="en-US"/>
        </w:rPr>
        <w:t xml:space="preserve">responsible </w:t>
      </w:r>
      <w:r w:rsidRPr="00777081">
        <w:rPr>
          <w:i w:val="0"/>
          <w:color w:val="auto"/>
        </w:rPr>
        <w:t xml:space="preserve">Minister.   </w:t>
      </w:r>
    </w:p>
    <w:p w14:paraId="596FFAD7" w14:textId="77777777" w:rsidR="00752811" w:rsidRPr="00777081" w:rsidRDefault="00752811" w:rsidP="00752811">
      <w:pPr>
        <w:pStyle w:val="Exampletext"/>
        <w:jc w:val="left"/>
        <w:rPr>
          <w:i w:val="0"/>
          <w:color w:val="auto"/>
        </w:rPr>
      </w:pPr>
      <w:r w:rsidRPr="00777081">
        <w:rPr>
          <w:i w:val="0"/>
          <w:color w:val="auto"/>
        </w:rPr>
        <w:t xml:space="preserve">The NQWIA works collaboratively with </w:t>
      </w:r>
      <w:r w:rsidRPr="00777081">
        <w:rPr>
          <w:i w:val="0"/>
          <w:color w:val="auto"/>
          <w:lang w:val="en-US"/>
        </w:rPr>
        <w:t xml:space="preserve">community </w:t>
      </w:r>
      <w:r w:rsidRPr="00777081">
        <w:rPr>
          <w:i w:val="0"/>
          <w:color w:val="auto"/>
        </w:rPr>
        <w:t xml:space="preserve">stakeholders, local governments and the Queensland Government to </w:t>
      </w:r>
      <w:r w:rsidRPr="00777081">
        <w:rPr>
          <w:i w:val="0"/>
          <w:color w:val="auto"/>
          <w:lang w:val="en-US"/>
        </w:rPr>
        <w:t xml:space="preserve">undertake </w:t>
      </w:r>
      <w:r w:rsidRPr="00777081">
        <w:rPr>
          <w:i w:val="0"/>
          <w:color w:val="auto"/>
        </w:rPr>
        <w:t>planning</w:t>
      </w:r>
      <w:r w:rsidRPr="00777081">
        <w:rPr>
          <w:i w:val="0"/>
          <w:color w:val="auto"/>
          <w:lang w:val="en-US"/>
        </w:rPr>
        <w:t xml:space="preserve">, oversight </w:t>
      </w:r>
      <w:r w:rsidRPr="00777081">
        <w:rPr>
          <w:i w:val="0"/>
          <w:color w:val="auto"/>
        </w:rPr>
        <w:t xml:space="preserve"> </w:t>
      </w:r>
      <w:r w:rsidRPr="00777081">
        <w:rPr>
          <w:i w:val="0"/>
          <w:color w:val="auto"/>
          <w:lang w:val="en-US"/>
        </w:rPr>
        <w:t xml:space="preserve">and project delivery </w:t>
      </w:r>
      <w:r w:rsidRPr="00777081">
        <w:rPr>
          <w:i w:val="0"/>
          <w:color w:val="auto"/>
        </w:rPr>
        <w:t>activities</w:t>
      </w:r>
      <w:r w:rsidRPr="00777081">
        <w:rPr>
          <w:i w:val="0"/>
          <w:color w:val="auto"/>
          <w:lang w:val="en-US"/>
        </w:rPr>
        <w:t xml:space="preserve"> related to priority water infrastructure. This includes </w:t>
      </w:r>
      <w:r w:rsidRPr="00777081">
        <w:rPr>
          <w:i w:val="0"/>
          <w:color w:val="auto"/>
        </w:rPr>
        <w:t xml:space="preserve">the development of business cases, </w:t>
      </w:r>
      <w:r w:rsidRPr="00777081">
        <w:rPr>
          <w:i w:val="0"/>
          <w:color w:val="auto"/>
          <w:lang w:val="en-US"/>
        </w:rPr>
        <w:t xml:space="preserve">independent analysis and, project oversight </w:t>
      </w:r>
      <w:r w:rsidRPr="00777081">
        <w:rPr>
          <w:i w:val="0"/>
          <w:color w:val="auto"/>
        </w:rPr>
        <w:t>for major water infrastructure initiatives potentially eligible to receive Australian Government funding</w:t>
      </w:r>
      <w:r w:rsidRPr="00777081">
        <w:rPr>
          <w:i w:val="0"/>
          <w:color w:val="auto"/>
          <w:lang w:val="en-US"/>
        </w:rPr>
        <w:t>.</w:t>
      </w:r>
      <w:r w:rsidRPr="00777081">
        <w:rPr>
          <w:i w:val="0"/>
          <w:color w:val="auto"/>
        </w:rPr>
        <w:t xml:space="preserve"> </w:t>
      </w:r>
    </w:p>
    <w:p w14:paraId="37F7006B" w14:textId="77777777" w:rsidR="00752811" w:rsidRPr="00777081" w:rsidRDefault="00752811" w:rsidP="00752811">
      <w:pPr>
        <w:pStyle w:val="Exampletext"/>
        <w:jc w:val="left"/>
        <w:rPr>
          <w:i w:val="0"/>
          <w:color w:val="auto"/>
        </w:rPr>
      </w:pPr>
      <w:r w:rsidRPr="00777081">
        <w:rPr>
          <w:i w:val="0"/>
          <w:color w:val="auto"/>
        </w:rPr>
        <w:t>The NQWIA also coordinates the provision of information sharing among relevant regulatory authorities in order to implement the projects within its scope.</w:t>
      </w:r>
    </w:p>
    <w:p w14:paraId="19D7DB72" w14:textId="0ECF18A4" w:rsidR="00752811" w:rsidRPr="00777081" w:rsidRDefault="00752811" w:rsidP="00752811">
      <w:pPr>
        <w:pStyle w:val="Exampletext"/>
        <w:jc w:val="left"/>
        <w:rPr>
          <w:i w:val="0"/>
          <w:color w:val="auto"/>
          <w:lang w:val="en-US"/>
        </w:rPr>
      </w:pPr>
      <w:r w:rsidRPr="00777081">
        <w:rPr>
          <w:i w:val="0"/>
          <w:color w:val="auto"/>
        </w:rPr>
        <w:t>In 2022-23</w:t>
      </w:r>
      <w:r w:rsidR="00EB7ABD">
        <w:rPr>
          <w:i w:val="0"/>
          <w:color w:val="auto"/>
          <w:lang w:val="en-GB"/>
        </w:rPr>
        <w:t>,</w:t>
      </w:r>
      <w:r w:rsidRPr="00777081">
        <w:rPr>
          <w:i w:val="0"/>
          <w:color w:val="auto"/>
        </w:rPr>
        <w:t xml:space="preserve"> the NQWIA will focus on strategic planning, coordination and advice for the Hughenden Irrigation Scheme</w:t>
      </w:r>
      <w:r w:rsidRPr="00777081">
        <w:rPr>
          <w:i w:val="0"/>
          <w:color w:val="auto"/>
          <w:lang w:val="en-US"/>
        </w:rPr>
        <w:t xml:space="preserve"> and</w:t>
      </w:r>
      <w:r w:rsidRPr="00777081">
        <w:rPr>
          <w:i w:val="0"/>
          <w:color w:val="auto"/>
        </w:rPr>
        <w:t xml:space="preserve"> the Hells Gates Dam Scheme</w:t>
      </w:r>
      <w:r w:rsidRPr="00777081">
        <w:rPr>
          <w:i w:val="0"/>
          <w:color w:val="auto"/>
          <w:lang w:val="en-US"/>
        </w:rPr>
        <w:t xml:space="preserve"> to facilitate decision making regarding further progression of those and other designated projects. The organisation will also provide </w:t>
      </w:r>
      <w:r w:rsidRPr="00777081">
        <w:rPr>
          <w:i w:val="0"/>
          <w:color w:val="auto"/>
        </w:rPr>
        <w:t>Australian Government oversight for water infrastructure projects in</w:t>
      </w:r>
      <w:r w:rsidRPr="00777081">
        <w:rPr>
          <w:i w:val="0"/>
          <w:color w:val="auto"/>
          <w:lang w:val="en-US"/>
        </w:rPr>
        <w:t xml:space="preserve"> </w:t>
      </w:r>
      <w:r w:rsidRPr="00777081">
        <w:rPr>
          <w:i w:val="0"/>
          <w:color w:val="auto"/>
        </w:rPr>
        <w:t>north Queensland</w:t>
      </w:r>
      <w:r w:rsidRPr="00777081">
        <w:rPr>
          <w:i w:val="0"/>
          <w:color w:val="auto"/>
          <w:lang w:val="en-US"/>
        </w:rPr>
        <w:t xml:space="preserve"> including the Big Rocks Weir, as well as for priority projects agreed by the responsible Minister.</w:t>
      </w:r>
      <w:r w:rsidRPr="00777081">
        <w:rPr>
          <w:i w:val="0"/>
          <w:color w:val="auto"/>
        </w:rPr>
        <w:t xml:space="preserve"> </w:t>
      </w:r>
    </w:p>
    <w:p w14:paraId="090A5E56" w14:textId="77777777" w:rsidR="00752811" w:rsidRPr="00777081" w:rsidRDefault="00752811" w:rsidP="00752811">
      <w:pPr>
        <w:pStyle w:val="Exampletext"/>
        <w:jc w:val="left"/>
        <w:rPr>
          <w:i w:val="0"/>
          <w:color w:val="auto"/>
          <w:lang w:val="en-US"/>
        </w:rPr>
      </w:pPr>
      <w:r w:rsidRPr="00777081">
        <w:rPr>
          <w:i w:val="0"/>
          <w:color w:val="auto"/>
          <w:lang w:val="en-US"/>
        </w:rPr>
        <w:t xml:space="preserve">The NQWIA will provide policy and project advice to the Government with recommendations on future investment in priority water infrastructure projects in </w:t>
      </w:r>
      <w:r>
        <w:rPr>
          <w:i w:val="0"/>
          <w:color w:val="auto"/>
          <w:lang w:val="en-US"/>
        </w:rPr>
        <w:t>n</w:t>
      </w:r>
      <w:r w:rsidRPr="00777081">
        <w:rPr>
          <w:i w:val="0"/>
          <w:color w:val="auto"/>
          <w:lang w:val="en-US"/>
        </w:rPr>
        <w:t xml:space="preserve">orth Queensland to deliver on developmental, environmental, and regional commitments. </w:t>
      </w:r>
    </w:p>
    <w:p w14:paraId="6DD1CC60" w14:textId="77777777" w:rsidR="00752811" w:rsidRDefault="00752811" w:rsidP="007E1B5A">
      <w:pPr>
        <w:pStyle w:val="Heading3-NQWIA"/>
      </w:pPr>
      <w:r w:rsidRPr="0079797F">
        <w:br w:type="page"/>
      </w:r>
      <w:bookmarkStart w:id="17" w:name="_Toc97667526"/>
      <w:bookmarkStart w:id="18" w:name="_Toc98440396"/>
      <w:bookmarkStart w:id="19" w:name="_Toc98440544"/>
      <w:bookmarkStart w:id="20" w:name="_Toc98440692"/>
      <w:bookmarkStart w:id="21" w:name="_Toc98440840"/>
      <w:bookmarkStart w:id="22" w:name="_Toc98440988"/>
      <w:bookmarkStart w:id="23" w:name="_Toc99027401"/>
      <w:r>
        <w:lastRenderedPageBreak/>
        <w:t>1.2</w:t>
      </w:r>
      <w:r>
        <w:tab/>
        <w:t>Entity resource statement</w:t>
      </w:r>
      <w:bookmarkEnd w:id="17"/>
      <w:bookmarkEnd w:id="18"/>
      <w:bookmarkEnd w:id="19"/>
      <w:bookmarkEnd w:id="20"/>
      <w:bookmarkEnd w:id="21"/>
      <w:bookmarkEnd w:id="22"/>
      <w:bookmarkEnd w:id="23"/>
    </w:p>
    <w:p w14:paraId="249A757D" w14:textId="77777777" w:rsidR="00752811" w:rsidRDefault="00752811" w:rsidP="00752811">
      <w:r>
        <w:t>Table 1.1 shows the total funding from all sources available to the NQWIA for its operations and to deliver programs and services on behalf of the Government.</w:t>
      </w:r>
    </w:p>
    <w:p w14:paraId="549A0491" w14:textId="063A2B56" w:rsidR="00752811" w:rsidRDefault="00752811" w:rsidP="00752811">
      <w:r>
        <w:t xml:space="preserve">The table summarises how resources will be applied by outcome (government strategic policy objectives) and by </w:t>
      </w:r>
      <w:r w:rsidR="003C4CC6">
        <w:t>Department</w:t>
      </w:r>
      <w:r>
        <w:t>al (for the entity’s operations) classification.</w:t>
      </w:r>
    </w:p>
    <w:p w14:paraId="33AE0572" w14:textId="77777777" w:rsidR="00752811" w:rsidRDefault="00752811" w:rsidP="00752811">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3613A6EE" w14:textId="77777777" w:rsidR="00752811" w:rsidRPr="00FE1091" w:rsidRDefault="00752811" w:rsidP="00752811">
      <w:pPr>
        <w:pStyle w:val="TableHeading"/>
        <w:rPr>
          <w:b w:val="0"/>
          <w:lang w:val="en-AU"/>
        </w:rPr>
      </w:pPr>
      <w:r w:rsidRPr="00D44150">
        <w:t xml:space="preserve">Table 1.1: </w:t>
      </w:r>
      <w:r>
        <w:rPr>
          <w:lang w:val="en-US"/>
        </w:rPr>
        <w:t>NQWIA</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655" w:type="dxa"/>
        <w:tblLook w:val="04A0" w:firstRow="1" w:lastRow="0" w:firstColumn="1" w:lastColumn="0" w:noHBand="0" w:noVBand="1"/>
      </w:tblPr>
      <w:tblGrid>
        <w:gridCol w:w="5420"/>
        <w:gridCol w:w="1180"/>
        <w:gridCol w:w="1055"/>
      </w:tblGrid>
      <w:tr w:rsidR="00752811" w:rsidRPr="00255D09" w14:paraId="39121032" w14:textId="77777777" w:rsidTr="00F3191B">
        <w:trPr>
          <w:trHeight w:val="204"/>
        </w:trPr>
        <w:tc>
          <w:tcPr>
            <w:tcW w:w="5420" w:type="dxa"/>
            <w:tcBorders>
              <w:top w:val="single" w:sz="4" w:space="0" w:color="auto"/>
              <w:left w:val="nil"/>
              <w:bottom w:val="nil"/>
              <w:right w:val="nil"/>
            </w:tcBorders>
            <w:shd w:val="clear" w:color="000000" w:fill="FFFFFF"/>
            <w:vAlign w:val="bottom"/>
            <w:hideMark/>
          </w:tcPr>
          <w:p w14:paraId="2AF7BB00" w14:textId="77777777" w:rsidR="00752811" w:rsidRPr="00255D09" w:rsidRDefault="00752811" w:rsidP="00333C84">
            <w:pPr>
              <w:spacing w:after="0" w:line="240" w:lineRule="auto"/>
              <w:jc w:val="left"/>
              <w:rPr>
                <w:rFonts w:ascii="Arial" w:hAnsi="Arial" w:cs="Arial"/>
                <w:color w:val="000000"/>
                <w:sz w:val="16"/>
                <w:szCs w:val="16"/>
              </w:rPr>
            </w:pPr>
            <w:r w:rsidRPr="00255D09">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7CCDADDD" w14:textId="77777777" w:rsidR="00752811" w:rsidRPr="00255D09" w:rsidRDefault="00752811" w:rsidP="00333C84">
            <w:pPr>
              <w:spacing w:after="0" w:line="240" w:lineRule="auto"/>
              <w:jc w:val="right"/>
              <w:rPr>
                <w:rFonts w:ascii="Arial" w:hAnsi="Arial" w:cs="Arial"/>
                <w:color w:val="000000"/>
                <w:sz w:val="16"/>
                <w:szCs w:val="16"/>
              </w:rPr>
            </w:pPr>
            <w:r w:rsidRPr="00255D09">
              <w:rPr>
                <w:rFonts w:ascii="Arial" w:hAnsi="Arial" w:cs="Arial"/>
                <w:color w:val="000000"/>
                <w:sz w:val="16"/>
                <w:szCs w:val="16"/>
              </w:rPr>
              <w:t>2021-22 Estimated actual</w:t>
            </w:r>
            <w:r w:rsidRPr="00255D09">
              <w:rPr>
                <w:rFonts w:ascii="Arial" w:hAnsi="Arial" w:cs="Arial"/>
                <w:color w:val="000000"/>
                <w:sz w:val="16"/>
                <w:szCs w:val="16"/>
              </w:rPr>
              <w:br/>
              <w:t>$'000</w:t>
            </w:r>
          </w:p>
        </w:tc>
        <w:tc>
          <w:tcPr>
            <w:tcW w:w="1055" w:type="dxa"/>
            <w:tcBorders>
              <w:top w:val="single" w:sz="4" w:space="0" w:color="auto"/>
              <w:left w:val="nil"/>
              <w:bottom w:val="single" w:sz="4" w:space="0" w:color="auto"/>
              <w:right w:val="nil"/>
            </w:tcBorders>
            <w:shd w:val="clear" w:color="000000" w:fill="E6E6E6"/>
            <w:vAlign w:val="bottom"/>
            <w:hideMark/>
          </w:tcPr>
          <w:p w14:paraId="7993E055" w14:textId="77777777" w:rsidR="00752811" w:rsidRPr="00255D09" w:rsidRDefault="00752811" w:rsidP="00333C84">
            <w:pPr>
              <w:spacing w:after="0" w:line="240" w:lineRule="auto"/>
              <w:jc w:val="right"/>
              <w:rPr>
                <w:rFonts w:ascii="Arial" w:hAnsi="Arial" w:cs="Arial"/>
                <w:color w:val="000000"/>
                <w:sz w:val="16"/>
                <w:szCs w:val="16"/>
              </w:rPr>
            </w:pPr>
            <w:r w:rsidRPr="00255D09">
              <w:rPr>
                <w:rFonts w:ascii="Arial" w:hAnsi="Arial" w:cs="Arial"/>
                <w:color w:val="000000"/>
                <w:sz w:val="16"/>
                <w:szCs w:val="16"/>
              </w:rPr>
              <w:t>2022-23 Estimate</w:t>
            </w:r>
            <w:r w:rsidRPr="00255D09">
              <w:rPr>
                <w:rFonts w:ascii="Arial" w:hAnsi="Arial" w:cs="Arial"/>
                <w:color w:val="000000"/>
                <w:sz w:val="16"/>
                <w:szCs w:val="16"/>
              </w:rPr>
              <w:br/>
            </w:r>
            <w:r w:rsidRPr="00255D09">
              <w:rPr>
                <w:rFonts w:ascii="Arial" w:hAnsi="Arial" w:cs="Arial"/>
                <w:color w:val="000000"/>
                <w:sz w:val="16"/>
                <w:szCs w:val="16"/>
              </w:rPr>
              <w:br/>
              <w:t>$'000</w:t>
            </w:r>
          </w:p>
        </w:tc>
      </w:tr>
      <w:tr w:rsidR="00752811" w:rsidRPr="00255D09" w14:paraId="362D1C94" w14:textId="77777777" w:rsidTr="00F3191B">
        <w:trPr>
          <w:trHeight w:val="204"/>
        </w:trPr>
        <w:tc>
          <w:tcPr>
            <w:tcW w:w="5420" w:type="dxa"/>
            <w:tcBorders>
              <w:top w:val="nil"/>
              <w:left w:val="nil"/>
              <w:bottom w:val="nil"/>
              <w:right w:val="nil"/>
            </w:tcBorders>
            <w:shd w:val="clear" w:color="000000" w:fill="FFFFFF"/>
            <w:vAlign w:val="bottom"/>
            <w:hideMark/>
          </w:tcPr>
          <w:p w14:paraId="050416A0" w14:textId="2C6A2B44" w:rsidR="00752811" w:rsidRPr="00255D09" w:rsidRDefault="003C4CC6" w:rsidP="00333C84">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752811" w:rsidRPr="00255D09">
              <w:rPr>
                <w:rFonts w:ascii="Arial" w:hAnsi="Arial" w:cs="Arial"/>
                <w:b/>
                <w:bCs/>
                <w:color w:val="000000"/>
                <w:sz w:val="16"/>
                <w:szCs w:val="16"/>
              </w:rPr>
              <w:t>al</w:t>
            </w:r>
          </w:p>
        </w:tc>
        <w:tc>
          <w:tcPr>
            <w:tcW w:w="1180" w:type="dxa"/>
            <w:tcBorders>
              <w:top w:val="nil"/>
              <w:left w:val="nil"/>
              <w:bottom w:val="nil"/>
              <w:right w:val="nil"/>
            </w:tcBorders>
            <w:shd w:val="clear" w:color="000000" w:fill="FFFFFF"/>
            <w:vAlign w:val="bottom"/>
            <w:hideMark/>
          </w:tcPr>
          <w:p w14:paraId="08E49E0B" w14:textId="2CF2B185" w:rsidR="00752811" w:rsidRPr="00255D09" w:rsidRDefault="00752811" w:rsidP="00F3191B">
            <w:pPr>
              <w:spacing w:after="0" w:line="240" w:lineRule="auto"/>
              <w:jc w:val="right"/>
              <w:rPr>
                <w:rFonts w:ascii="Arial" w:hAnsi="Arial" w:cs="Arial"/>
                <w:color w:val="000000"/>
                <w:sz w:val="16"/>
                <w:szCs w:val="16"/>
              </w:rPr>
            </w:pPr>
          </w:p>
        </w:tc>
        <w:tc>
          <w:tcPr>
            <w:tcW w:w="1055" w:type="dxa"/>
            <w:tcBorders>
              <w:top w:val="nil"/>
              <w:left w:val="nil"/>
              <w:bottom w:val="nil"/>
              <w:right w:val="nil"/>
            </w:tcBorders>
            <w:shd w:val="clear" w:color="000000" w:fill="E6E6E6"/>
            <w:vAlign w:val="bottom"/>
            <w:hideMark/>
          </w:tcPr>
          <w:p w14:paraId="458FBC06" w14:textId="75911347" w:rsidR="00752811" w:rsidRPr="00255D09" w:rsidRDefault="00752811" w:rsidP="00F3191B">
            <w:pPr>
              <w:spacing w:after="0" w:line="240" w:lineRule="auto"/>
              <w:jc w:val="right"/>
              <w:rPr>
                <w:rFonts w:ascii="Arial" w:hAnsi="Arial" w:cs="Arial"/>
                <w:color w:val="000000"/>
                <w:sz w:val="16"/>
                <w:szCs w:val="16"/>
              </w:rPr>
            </w:pPr>
          </w:p>
        </w:tc>
      </w:tr>
      <w:tr w:rsidR="00752811" w:rsidRPr="00255D09" w14:paraId="2EF0CE12" w14:textId="77777777" w:rsidTr="00F3191B">
        <w:trPr>
          <w:trHeight w:val="204"/>
        </w:trPr>
        <w:tc>
          <w:tcPr>
            <w:tcW w:w="5420" w:type="dxa"/>
            <w:tcBorders>
              <w:top w:val="nil"/>
              <w:left w:val="nil"/>
              <w:bottom w:val="nil"/>
              <w:right w:val="nil"/>
            </w:tcBorders>
            <w:shd w:val="clear" w:color="000000" w:fill="FFFFFF"/>
            <w:vAlign w:val="bottom"/>
            <w:hideMark/>
          </w:tcPr>
          <w:p w14:paraId="7BAE30E7" w14:textId="77777777" w:rsidR="00752811" w:rsidRPr="00255D09" w:rsidRDefault="00752811" w:rsidP="00333C84">
            <w:pPr>
              <w:spacing w:after="0" w:line="240" w:lineRule="auto"/>
              <w:jc w:val="left"/>
              <w:rPr>
                <w:rFonts w:ascii="Arial" w:hAnsi="Arial" w:cs="Arial"/>
                <w:color w:val="000000"/>
                <w:sz w:val="16"/>
                <w:szCs w:val="16"/>
              </w:rPr>
            </w:pPr>
            <w:r w:rsidRPr="00255D09">
              <w:rPr>
                <w:rFonts w:ascii="Arial" w:hAnsi="Arial" w:cs="Arial"/>
                <w:color w:val="000000"/>
                <w:sz w:val="16"/>
                <w:szCs w:val="16"/>
              </w:rPr>
              <w:t>Annual appropriations - ordinary annual services</w:t>
            </w:r>
            <w:r w:rsidRPr="00255D09">
              <w:rPr>
                <w:rFonts w:ascii="Arial" w:hAnsi="Arial" w:cs="Arial"/>
                <w:color w:val="000000"/>
                <w:sz w:val="16"/>
                <w:szCs w:val="16"/>
                <w:vertAlign w:val="superscript"/>
              </w:rPr>
              <w:t xml:space="preserve"> (a)</w:t>
            </w:r>
          </w:p>
        </w:tc>
        <w:tc>
          <w:tcPr>
            <w:tcW w:w="1180" w:type="dxa"/>
            <w:tcBorders>
              <w:top w:val="nil"/>
              <w:left w:val="nil"/>
              <w:bottom w:val="nil"/>
              <w:right w:val="nil"/>
            </w:tcBorders>
            <w:shd w:val="clear" w:color="000000" w:fill="FFFFFF"/>
            <w:vAlign w:val="bottom"/>
            <w:hideMark/>
          </w:tcPr>
          <w:p w14:paraId="649717A2" w14:textId="599D946F" w:rsidR="00752811" w:rsidRPr="00255D09" w:rsidRDefault="00752811" w:rsidP="00F3191B">
            <w:pPr>
              <w:spacing w:after="0" w:line="240" w:lineRule="auto"/>
              <w:jc w:val="right"/>
              <w:rPr>
                <w:rFonts w:ascii="Arial" w:hAnsi="Arial" w:cs="Arial"/>
                <w:color w:val="000000"/>
                <w:sz w:val="16"/>
                <w:szCs w:val="16"/>
              </w:rPr>
            </w:pPr>
          </w:p>
        </w:tc>
        <w:tc>
          <w:tcPr>
            <w:tcW w:w="1055" w:type="dxa"/>
            <w:tcBorders>
              <w:top w:val="nil"/>
              <w:left w:val="nil"/>
              <w:bottom w:val="nil"/>
              <w:right w:val="nil"/>
            </w:tcBorders>
            <w:shd w:val="clear" w:color="000000" w:fill="E6E6E6"/>
            <w:vAlign w:val="bottom"/>
            <w:hideMark/>
          </w:tcPr>
          <w:p w14:paraId="13729CA9" w14:textId="0D545A18" w:rsidR="00752811" w:rsidRPr="00255D09" w:rsidRDefault="00752811" w:rsidP="00F3191B">
            <w:pPr>
              <w:spacing w:after="0" w:line="240" w:lineRule="auto"/>
              <w:jc w:val="right"/>
              <w:rPr>
                <w:rFonts w:ascii="Arial" w:hAnsi="Arial" w:cs="Arial"/>
                <w:color w:val="000000"/>
                <w:sz w:val="16"/>
                <w:szCs w:val="16"/>
              </w:rPr>
            </w:pPr>
          </w:p>
        </w:tc>
      </w:tr>
      <w:tr w:rsidR="00752811" w:rsidRPr="00255D09" w14:paraId="643F72B3" w14:textId="77777777" w:rsidTr="00F3191B">
        <w:trPr>
          <w:trHeight w:val="204"/>
        </w:trPr>
        <w:tc>
          <w:tcPr>
            <w:tcW w:w="5420" w:type="dxa"/>
            <w:tcBorders>
              <w:top w:val="nil"/>
              <w:left w:val="nil"/>
              <w:bottom w:val="nil"/>
              <w:right w:val="nil"/>
            </w:tcBorders>
            <w:shd w:val="clear" w:color="000000" w:fill="FFFFFF"/>
            <w:vAlign w:val="bottom"/>
            <w:hideMark/>
          </w:tcPr>
          <w:p w14:paraId="671E57BC" w14:textId="77777777" w:rsidR="00752811" w:rsidRPr="00255D09" w:rsidRDefault="00752811" w:rsidP="00333C84">
            <w:pPr>
              <w:spacing w:after="0" w:line="240" w:lineRule="auto"/>
              <w:ind w:left="177"/>
              <w:jc w:val="left"/>
              <w:rPr>
                <w:rFonts w:ascii="Arial" w:hAnsi="Arial" w:cs="Arial"/>
                <w:color w:val="000000"/>
                <w:sz w:val="16"/>
                <w:szCs w:val="16"/>
              </w:rPr>
            </w:pPr>
            <w:r w:rsidRPr="00255D09">
              <w:rPr>
                <w:rFonts w:ascii="Arial" w:hAnsi="Arial" w:cs="Arial"/>
                <w:color w:val="000000"/>
                <w:sz w:val="16"/>
                <w:szCs w:val="16"/>
              </w:rPr>
              <w:t xml:space="preserve">Prior year appropriations available </w:t>
            </w:r>
          </w:p>
        </w:tc>
        <w:tc>
          <w:tcPr>
            <w:tcW w:w="1180" w:type="dxa"/>
            <w:tcBorders>
              <w:top w:val="nil"/>
              <w:left w:val="nil"/>
              <w:bottom w:val="nil"/>
              <w:right w:val="nil"/>
            </w:tcBorders>
            <w:shd w:val="clear" w:color="000000" w:fill="FFFFFF"/>
            <w:vAlign w:val="bottom"/>
            <w:hideMark/>
          </w:tcPr>
          <w:p w14:paraId="1218C747" w14:textId="7810F02E" w:rsidR="00752811" w:rsidRPr="00255D09" w:rsidRDefault="00752811" w:rsidP="00F3191B">
            <w:pPr>
              <w:spacing w:after="0" w:line="240" w:lineRule="auto"/>
              <w:jc w:val="right"/>
              <w:rPr>
                <w:rFonts w:ascii="Arial" w:hAnsi="Arial" w:cs="Arial"/>
                <w:color w:val="000000"/>
                <w:sz w:val="16"/>
                <w:szCs w:val="16"/>
              </w:rPr>
            </w:pPr>
            <w:r w:rsidRPr="00255D09">
              <w:rPr>
                <w:rFonts w:ascii="Arial" w:hAnsi="Arial" w:cs="Arial"/>
                <w:color w:val="000000"/>
                <w:sz w:val="16"/>
                <w:szCs w:val="16"/>
              </w:rPr>
              <w:t>2,066</w:t>
            </w:r>
          </w:p>
        </w:tc>
        <w:tc>
          <w:tcPr>
            <w:tcW w:w="1055" w:type="dxa"/>
            <w:tcBorders>
              <w:top w:val="nil"/>
              <w:left w:val="nil"/>
              <w:bottom w:val="nil"/>
              <w:right w:val="nil"/>
            </w:tcBorders>
            <w:shd w:val="clear" w:color="000000" w:fill="E6E6E6"/>
            <w:vAlign w:val="bottom"/>
            <w:hideMark/>
          </w:tcPr>
          <w:p w14:paraId="5BA1AB8F" w14:textId="1F4679EC" w:rsidR="00752811" w:rsidRPr="00255D09" w:rsidRDefault="00752811" w:rsidP="00F3191B">
            <w:pPr>
              <w:spacing w:after="0" w:line="240" w:lineRule="auto"/>
              <w:jc w:val="right"/>
              <w:rPr>
                <w:rFonts w:ascii="Arial" w:hAnsi="Arial" w:cs="Arial"/>
                <w:color w:val="000000"/>
                <w:sz w:val="16"/>
                <w:szCs w:val="16"/>
              </w:rPr>
            </w:pPr>
            <w:r w:rsidRPr="00255D09">
              <w:rPr>
                <w:rFonts w:ascii="Arial" w:hAnsi="Arial" w:cs="Arial"/>
                <w:color w:val="000000"/>
                <w:sz w:val="16"/>
                <w:szCs w:val="16"/>
              </w:rPr>
              <w:t>2,066</w:t>
            </w:r>
          </w:p>
        </w:tc>
      </w:tr>
      <w:tr w:rsidR="00F3191B" w:rsidRPr="00255D09" w14:paraId="4698435B" w14:textId="77777777" w:rsidTr="00F3191B">
        <w:trPr>
          <w:trHeight w:val="204"/>
        </w:trPr>
        <w:tc>
          <w:tcPr>
            <w:tcW w:w="5420" w:type="dxa"/>
            <w:tcBorders>
              <w:top w:val="nil"/>
              <w:left w:val="nil"/>
              <w:bottom w:val="nil"/>
              <w:right w:val="nil"/>
            </w:tcBorders>
            <w:shd w:val="clear" w:color="000000" w:fill="FFFFFF"/>
            <w:vAlign w:val="bottom"/>
            <w:hideMark/>
          </w:tcPr>
          <w:p w14:paraId="7120307D" w14:textId="2F62ACDC" w:rsidR="00F3191B" w:rsidRPr="00255D09" w:rsidRDefault="003C4CC6" w:rsidP="00F3191B">
            <w:pPr>
              <w:spacing w:after="0" w:line="240" w:lineRule="auto"/>
              <w:ind w:left="177"/>
              <w:jc w:val="left"/>
              <w:rPr>
                <w:rFonts w:ascii="Arial" w:hAnsi="Arial" w:cs="Arial"/>
                <w:color w:val="000000"/>
                <w:sz w:val="16"/>
                <w:szCs w:val="16"/>
              </w:rPr>
            </w:pPr>
            <w:r>
              <w:rPr>
                <w:rFonts w:ascii="Arial" w:hAnsi="Arial" w:cs="Arial"/>
                <w:color w:val="000000"/>
                <w:sz w:val="16"/>
                <w:szCs w:val="16"/>
              </w:rPr>
              <w:t>Department</w:t>
            </w:r>
            <w:r w:rsidR="00F3191B" w:rsidRPr="00255D09">
              <w:rPr>
                <w:rFonts w:ascii="Arial" w:hAnsi="Arial" w:cs="Arial"/>
                <w:color w:val="000000"/>
                <w:sz w:val="16"/>
                <w:szCs w:val="16"/>
              </w:rPr>
              <w:t>al appropriation</w:t>
            </w:r>
            <w:r w:rsidR="00F3191B">
              <w:rPr>
                <w:rFonts w:ascii="Arial" w:hAnsi="Arial" w:cs="Arial"/>
                <w:color w:val="000000"/>
                <w:sz w:val="16"/>
                <w:szCs w:val="16"/>
                <w:vertAlign w:val="superscript"/>
              </w:rPr>
              <w:t xml:space="preserve"> </w:t>
            </w:r>
          </w:p>
        </w:tc>
        <w:tc>
          <w:tcPr>
            <w:tcW w:w="1180" w:type="dxa"/>
            <w:tcBorders>
              <w:top w:val="nil"/>
              <w:left w:val="nil"/>
              <w:bottom w:val="nil"/>
              <w:right w:val="nil"/>
            </w:tcBorders>
            <w:shd w:val="clear" w:color="000000" w:fill="FFFFFF"/>
            <w:vAlign w:val="bottom"/>
            <w:hideMark/>
          </w:tcPr>
          <w:p w14:paraId="7AF12816" w14:textId="3CDB0E05" w:rsidR="00F3191B" w:rsidRPr="00255D09" w:rsidRDefault="00F3191B" w:rsidP="00F3191B">
            <w:pPr>
              <w:spacing w:after="0" w:line="240" w:lineRule="auto"/>
              <w:jc w:val="right"/>
              <w:rPr>
                <w:rFonts w:ascii="Arial" w:hAnsi="Arial" w:cs="Arial"/>
                <w:color w:val="000000"/>
                <w:sz w:val="16"/>
                <w:szCs w:val="16"/>
              </w:rPr>
            </w:pPr>
            <w:r w:rsidRPr="00255D09">
              <w:rPr>
                <w:rFonts w:ascii="Arial" w:hAnsi="Arial" w:cs="Arial"/>
                <w:color w:val="000000"/>
                <w:sz w:val="16"/>
                <w:szCs w:val="16"/>
              </w:rPr>
              <w:t>3,306</w:t>
            </w:r>
          </w:p>
        </w:tc>
        <w:tc>
          <w:tcPr>
            <w:tcW w:w="1055" w:type="dxa"/>
            <w:tcBorders>
              <w:top w:val="nil"/>
              <w:left w:val="nil"/>
              <w:bottom w:val="nil"/>
              <w:right w:val="nil"/>
            </w:tcBorders>
            <w:shd w:val="clear" w:color="000000" w:fill="E6E6E6"/>
            <w:vAlign w:val="bottom"/>
            <w:hideMark/>
          </w:tcPr>
          <w:p w14:paraId="109BDDCA" w14:textId="00CB4BA3" w:rsidR="00F3191B" w:rsidRPr="00F3191B" w:rsidRDefault="00F3191B" w:rsidP="00F3191B">
            <w:pPr>
              <w:spacing w:after="0" w:line="240" w:lineRule="auto"/>
              <w:jc w:val="right"/>
              <w:rPr>
                <w:rFonts w:ascii="Arial" w:hAnsi="Arial" w:cs="Arial"/>
                <w:color w:val="000000"/>
                <w:sz w:val="16"/>
                <w:szCs w:val="16"/>
              </w:rPr>
            </w:pPr>
            <w:r w:rsidRPr="00F3191B">
              <w:rPr>
                <w:rFonts w:ascii="Arial" w:hAnsi="Arial" w:cs="Arial"/>
                <w:color w:val="000000"/>
                <w:sz w:val="16"/>
                <w:szCs w:val="16"/>
              </w:rPr>
              <w:t>3,288</w:t>
            </w:r>
          </w:p>
        </w:tc>
      </w:tr>
      <w:tr w:rsidR="00F3191B" w:rsidRPr="00255D09" w14:paraId="53326AB0" w14:textId="77777777" w:rsidTr="00F3191B">
        <w:trPr>
          <w:trHeight w:val="204"/>
        </w:trPr>
        <w:tc>
          <w:tcPr>
            <w:tcW w:w="5420" w:type="dxa"/>
            <w:tcBorders>
              <w:top w:val="nil"/>
              <w:left w:val="nil"/>
              <w:bottom w:val="nil"/>
              <w:right w:val="nil"/>
            </w:tcBorders>
            <w:shd w:val="clear" w:color="000000" w:fill="FFFFFF"/>
            <w:vAlign w:val="bottom"/>
            <w:hideMark/>
          </w:tcPr>
          <w:p w14:paraId="5A5CE402" w14:textId="25B96A36" w:rsidR="00F3191B" w:rsidRPr="00255D09" w:rsidRDefault="00F3191B" w:rsidP="00F3191B">
            <w:pPr>
              <w:spacing w:after="0" w:line="240" w:lineRule="auto"/>
              <w:jc w:val="left"/>
              <w:rPr>
                <w:rFonts w:ascii="Arial" w:hAnsi="Arial" w:cs="Arial"/>
                <w:color w:val="000000"/>
                <w:sz w:val="16"/>
                <w:szCs w:val="16"/>
              </w:rPr>
            </w:pPr>
            <w:r w:rsidRPr="00255D09">
              <w:rPr>
                <w:rFonts w:ascii="Arial" w:hAnsi="Arial" w:cs="Arial"/>
                <w:color w:val="000000"/>
                <w:sz w:val="16"/>
                <w:szCs w:val="16"/>
              </w:rPr>
              <w:t xml:space="preserve">Total </w:t>
            </w:r>
            <w:r w:rsidR="003C4CC6">
              <w:rPr>
                <w:rFonts w:ascii="Arial" w:hAnsi="Arial" w:cs="Arial"/>
                <w:color w:val="000000"/>
                <w:sz w:val="16"/>
                <w:szCs w:val="16"/>
              </w:rPr>
              <w:t>Department</w:t>
            </w:r>
            <w:r w:rsidRPr="00255D09">
              <w:rPr>
                <w:rFonts w:ascii="Arial" w:hAnsi="Arial" w:cs="Arial"/>
                <w:color w:val="000000"/>
                <w:sz w:val="16"/>
                <w:szCs w:val="16"/>
              </w:rPr>
              <w:t>al annual appropriations</w:t>
            </w:r>
          </w:p>
        </w:tc>
        <w:tc>
          <w:tcPr>
            <w:tcW w:w="1180" w:type="dxa"/>
            <w:tcBorders>
              <w:top w:val="single" w:sz="4" w:space="0" w:color="auto"/>
              <w:left w:val="nil"/>
              <w:bottom w:val="single" w:sz="4" w:space="0" w:color="auto"/>
              <w:right w:val="nil"/>
            </w:tcBorders>
            <w:shd w:val="clear" w:color="000000" w:fill="FFFFFF"/>
            <w:vAlign w:val="bottom"/>
            <w:hideMark/>
          </w:tcPr>
          <w:p w14:paraId="38A3F46C" w14:textId="3AB5B2A7" w:rsidR="00F3191B" w:rsidRPr="00255D09" w:rsidRDefault="00F3191B" w:rsidP="00F3191B">
            <w:pPr>
              <w:spacing w:after="0" w:line="240" w:lineRule="auto"/>
              <w:jc w:val="right"/>
              <w:rPr>
                <w:rFonts w:ascii="Arial" w:hAnsi="Arial" w:cs="Arial"/>
                <w:color w:val="000000"/>
                <w:sz w:val="16"/>
                <w:szCs w:val="16"/>
              </w:rPr>
            </w:pPr>
            <w:r w:rsidRPr="00255D09">
              <w:rPr>
                <w:rFonts w:ascii="Arial" w:hAnsi="Arial" w:cs="Arial"/>
                <w:color w:val="000000"/>
                <w:sz w:val="16"/>
                <w:szCs w:val="16"/>
              </w:rPr>
              <w:t>5,372</w:t>
            </w:r>
          </w:p>
        </w:tc>
        <w:tc>
          <w:tcPr>
            <w:tcW w:w="1055" w:type="dxa"/>
            <w:tcBorders>
              <w:top w:val="single" w:sz="4" w:space="0" w:color="auto"/>
              <w:left w:val="nil"/>
              <w:bottom w:val="single" w:sz="4" w:space="0" w:color="auto"/>
              <w:right w:val="nil"/>
            </w:tcBorders>
            <w:shd w:val="clear" w:color="000000" w:fill="E6E6E6"/>
            <w:vAlign w:val="bottom"/>
            <w:hideMark/>
          </w:tcPr>
          <w:p w14:paraId="04E4A8F5" w14:textId="2571BE37" w:rsidR="00F3191B" w:rsidRPr="00F3191B" w:rsidRDefault="00F3191B" w:rsidP="00F3191B">
            <w:pPr>
              <w:spacing w:after="0" w:line="240" w:lineRule="auto"/>
              <w:jc w:val="right"/>
              <w:rPr>
                <w:rFonts w:ascii="Arial" w:hAnsi="Arial" w:cs="Arial"/>
                <w:color w:val="000000"/>
                <w:sz w:val="16"/>
                <w:szCs w:val="16"/>
              </w:rPr>
            </w:pPr>
            <w:r w:rsidRPr="00F3191B">
              <w:rPr>
                <w:rFonts w:ascii="Arial" w:hAnsi="Arial" w:cs="Arial"/>
                <w:color w:val="000000"/>
                <w:sz w:val="16"/>
                <w:szCs w:val="16"/>
              </w:rPr>
              <w:t>5,354</w:t>
            </w:r>
          </w:p>
        </w:tc>
      </w:tr>
      <w:tr w:rsidR="00F3191B" w:rsidRPr="00255D09" w14:paraId="3C1BC3BE" w14:textId="77777777" w:rsidTr="00F3191B">
        <w:trPr>
          <w:trHeight w:val="204"/>
        </w:trPr>
        <w:tc>
          <w:tcPr>
            <w:tcW w:w="5420" w:type="dxa"/>
            <w:tcBorders>
              <w:top w:val="nil"/>
              <w:left w:val="nil"/>
              <w:bottom w:val="nil"/>
              <w:right w:val="nil"/>
            </w:tcBorders>
            <w:shd w:val="clear" w:color="000000" w:fill="FFFFFF"/>
            <w:vAlign w:val="bottom"/>
            <w:hideMark/>
          </w:tcPr>
          <w:p w14:paraId="5033B7CE" w14:textId="235C37F0" w:rsidR="00F3191B" w:rsidRPr="00255D09" w:rsidRDefault="00F3191B" w:rsidP="00F3191B">
            <w:pPr>
              <w:spacing w:after="0" w:line="240" w:lineRule="auto"/>
              <w:jc w:val="left"/>
              <w:rPr>
                <w:rFonts w:ascii="Arial" w:hAnsi="Arial" w:cs="Arial"/>
                <w:b/>
                <w:bCs/>
                <w:color w:val="000000"/>
                <w:sz w:val="16"/>
                <w:szCs w:val="16"/>
              </w:rPr>
            </w:pPr>
            <w:r w:rsidRPr="00255D09">
              <w:rPr>
                <w:rFonts w:ascii="Arial" w:hAnsi="Arial" w:cs="Arial"/>
                <w:b/>
                <w:bCs/>
                <w:color w:val="000000"/>
                <w:sz w:val="16"/>
                <w:szCs w:val="16"/>
              </w:rPr>
              <w:t xml:space="preserve">Total </w:t>
            </w:r>
            <w:r w:rsidR="003C4CC6">
              <w:rPr>
                <w:rFonts w:ascii="Arial" w:hAnsi="Arial" w:cs="Arial"/>
                <w:b/>
                <w:bCs/>
                <w:color w:val="000000"/>
                <w:sz w:val="16"/>
                <w:szCs w:val="16"/>
              </w:rPr>
              <w:t>Department</w:t>
            </w:r>
            <w:r w:rsidRPr="00255D09">
              <w:rPr>
                <w:rFonts w:ascii="Arial" w:hAnsi="Arial" w:cs="Arial"/>
                <w:b/>
                <w:bCs/>
                <w:color w:val="000000"/>
                <w:sz w:val="16"/>
                <w:szCs w:val="16"/>
              </w:rPr>
              <w:t>al resourcing</w:t>
            </w:r>
          </w:p>
        </w:tc>
        <w:tc>
          <w:tcPr>
            <w:tcW w:w="1180" w:type="dxa"/>
            <w:tcBorders>
              <w:top w:val="single" w:sz="4" w:space="0" w:color="auto"/>
              <w:left w:val="nil"/>
              <w:bottom w:val="single" w:sz="4" w:space="0" w:color="auto"/>
              <w:right w:val="nil"/>
            </w:tcBorders>
            <w:shd w:val="clear" w:color="000000" w:fill="FFFFFF"/>
            <w:vAlign w:val="bottom"/>
            <w:hideMark/>
          </w:tcPr>
          <w:p w14:paraId="6B1F39D1" w14:textId="67938C87" w:rsidR="00F3191B" w:rsidRPr="00255D09" w:rsidRDefault="00F3191B" w:rsidP="00F3191B">
            <w:pPr>
              <w:spacing w:after="0" w:line="240" w:lineRule="auto"/>
              <w:jc w:val="right"/>
              <w:rPr>
                <w:rFonts w:ascii="Arial" w:hAnsi="Arial" w:cs="Arial"/>
                <w:b/>
                <w:bCs/>
                <w:color w:val="000000"/>
                <w:sz w:val="16"/>
                <w:szCs w:val="16"/>
              </w:rPr>
            </w:pPr>
            <w:r w:rsidRPr="00255D09">
              <w:rPr>
                <w:rFonts w:ascii="Arial" w:hAnsi="Arial" w:cs="Arial"/>
                <w:b/>
                <w:bCs/>
                <w:color w:val="000000"/>
                <w:sz w:val="16"/>
                <w:szCs w:val="16"/>
              </w:rPr>
              <w:t>5,372</w:t>
            </w:r>
          </w:p>
        </w:tc>
        <w:tc>
          <w:tcPr>
            <w:tcW w:w="1055" w:type="dxa"/>
            <w:tcBorders>
              <w:top w:val="single" w:sz="4" w:space="0" w:color="auto"/>
              <w:left w:val="nil"/>
              <w:bottom w:val="single" w:sz="4" w:space="0" w:color="auto"/>
              <w:right w:val="nil"/>
            </w:tcBorders>
            <w:shd w:val="clear" w:color="000000" w:fill="E6E6E6"/>
            <w:vAlign w:val="bottom"/>
            <w:hideMark/>
          </w:tcPr>
          <w:p w14:paraId="27F9FAEB" w14:textId="33929965" w:rsidR="00F3191B" w:rsidRPr="00F3191B" w:rsidRDefault="00F3191B" w:rsidP="00F3191B">
            <w:pPr>
              <w:spacing w:after="0" w:line="240" w:lineRule="auto"/>
              <w:jc w:val="right"/>
              <w:rPr>
                <w:rFonts w:ascii="Arial" w:hAnsi="Arial" w:cs="Arial"/>
                <w:b/>
                <w:bCs/>
                <w:color w:val="000000"/>
                <w:sz w:val="16"/>
                <w:szCs w:val="16"/>
              </w:rPr>
            </w:pPr>
            <w:r w:rsidRPr="00F3191B">
              <w:rPr>
                <w:rFonts w:ascii="Arial" w:hAnsi="Arial" w:cs="Arial"/>
                <w:b/>
                <w:color w:val="000000"/>
                <w:sz w:val="16"/>
                <w:szCs w:val="16"/>
              </w:rPr>
              <w:t>5,354</w:t>
            </w:r>
          </w:p>
        </w:tc>
      </w:tr>
      <w:tr w:rsidR="00F3191B" w:rsidRPr="00255D09" w14:paraId="1D6230CF" w14:textId="77777777" w:rsidTr="00F3191B">
        <w:trPr>
          <w:trHeight w:val="204"/>
        </w:trPr>
        <w:tc>
          <w:tcPr>
            <w:tcW w:w="5420" w:type="dxa"/>
            <w:tcBorders>
              <w:top w:val="nil"/>
              <w:left w:val="nil"/>
              <w:bottom w:val="single" w:sz="4" w:space="0" w:color="auto"/>
              <w:right w:val="nil"/>
            </w:tcBorders>
            <w:shd w:val="clear" w:color="000000" w:fill="FFFFFF"/>
            <w:vAlign w:val="bottom"/>
            <w:hideMark/>
          </w:tcPr>
          <w:p w14:paraId="1031169C" w14:textId="77777777" w:rsidR="00F3191B" w:rsidRPr="00255D09" w:rsidRDefault="00F3191B" w:rsidP="00F3191B">
            <w:pPr>
              <w:spacing w:after="0" w:line="240" w:lineRule="auto"/>
              <w:jc w:val="left"/>
              <w:rPr>
                <w:rFonts w:ascii="Arial" w:hAnsi="Arial" w:cs="Arial"/>
                <w:b/>
                <w:bCs/>
                <w:color w:val="000000"/>
                <w:sz w:val="16"/>
                <w:szCs w:val="16"/>
              </w:rPr>
            </w:pPr>
            <w:r w:rsidRPr="00255D09">
              <w:rPr>
                <w:rFonts w:ascii="Arial" w:hAnsi="Arial" w:cs="Arial"/>
                <w:b/>
                <w:bCs/>
                <w:color w:val="000000"/>
                <w:sz w:val="16"/>
                <w:szCs w:val="16"/>
              </w:rPr>
              <w:t xml:space="preserve">Total resourcing for </w:t>
            </w:r>
            <w:r>
              <w:rPr>
                <w:rFonts w:ascii="Arial" w:hAnsi="Arial" w:cs="Arial"/>
                <w:b/>
                <w:bCs/>
                <w:color w:val="000000"/>
                <w:sz w:val="16"/>
                <w:szCs w:val="16"/>
              </w:rPr>
              <w:t>NQWIA</w:t>
            </w:r>
          </w:p>
        </w:tc>
        <w:tc>
          <w:tcPr>
            <w:tcW w:w="1180" w:type="dxa"/>
            <w:tcBorders>
              <w:top w:val="single" w:sz="4" w:space="0" w:color="auto"/>
              <w:left w:val="nil"/>
              <w:bottom w:val="single" w:sz="4" w:space="0" w:color="auto"/>
              <w:right w:val="nil"/>
            </w:tcBorders>
            <w:shd w:val="clear" w:color="000000" w:fill="FFFFFF"/>
            <w:vAlign w:val="bottom"/>
            <w:hideMark/>
          </w:tcPr>
          <w:p w14:paraId="463D1632" w14:textId="22830B69" w:rsidR="00F3191B" w:rsidRPr="00255D09" w:rsidRDefault="00F3191B" w:rsidP="00F3191B">
            <w:pPr>
              <w:spacing w:after="0" w:line="240" w:lineRule="auto"/>
              <w:jc w:val="right"/>
              <w:rPr>
                <w:rFonts w:ascii="Arial" w:hAnsi="Arial" w:cs="Arial"/>
                <w:b/>
                <w:bCs/>
                <w:color w:val="000000"/>
                <w:sz w:val="16"/>
                <w:szCs w:val="16"/>
              </w:rPr>
            </w:pPr>
            <w:r w:rsidRPr="00255D09">
              <w:rPr>
                <w:rFonts w:ascii="Arial" w:hAnsi="Arial" w:cs="Arial"/>
                <w:b/>
                <w:bCs/>
                <w:color w:val="000000"/>
                <w:sz w:val="16"/>
                <w:szCs w:val="16"/>
              </w:rPr>
              <w:t>5,372</w:t>
            </w:r>
          </w:p>
        </w:tc>
        <w:tc>
          <w:tcPr>
            <w:tcW w:w="1055" w:type="dxa"/>
            <w:tcBorders>
              <w:top w:val="single" w:sz="4" w:space="0" w:color="auto"/>
              <w:left w:val="nil"/>
              <w:bottom w:val="single" w:sz="4" w:space="0" w:color="auto"/>
              <w:right w:val="nil"/>
            </w:tcBorders>
            <w:shd w:val="clear" w:color="000000" w:fill="E6E6E6"/>
            <w:vAlign w:val="bottom"/>
            <w:hideMark/>
          </w:tcPr>
          <w:p w14:paraId="3089467F" w14:textId="7B754391" w:rsidR="00F3191B" w:rsidRPr="00F3191B" w:rsidRDefault="00F3191B" w:rsidP="00F3191B">
            <w:pPr>
              <w:spacing w:after="0" w:line="240" w:lineRule="auto"/>
              <w:jc w:val="right"/>
              <w:rPr>
                <w:rFonts w:ascii="Arial" w:hAnsi="Arial" w:cs="Arial"/>
                <w:b/>
                <w:bCs/>
                <w:color w:val="000000"/>
                <w:sz w:val="16"/>
                <w:szCs w:val="16"/>
              </w:rPr>
            </w:pPr>
            <w:r w:rsidRPr="00F3191B">
              <w:rPr>
                <w:rFonts w:ascii="Arial" w:hAnsi="Arial" w:cs="Arial"/>
                <w:b/>
                <w:color w:val="000000"/>
                <w:sz w:val="16"/>
                <w:szCs w:val="16"/>
              </w:rPr>
              <w:t>5,354</w:t>
            </w:r>
          </w:p>
        </w:tc>
      </w:tr>
    </w:tbl>
    <w:p w14:paraId="5AF7314A" w14:textId="77777777" w:rsidR="00752811" w:rsidRPr="007E1B5A" w:rsidRDefault="00752811" w:rsidP="00752811">
      <w:pPr>
        <w:pStyle w:val="TableGraphic"/>
        <w:rPr>
          <w:color w:val="000000" w:themeColor="text1"/>
          <w:highlight w:val="yellow"/>
        </w:rPr>
      </w:pPr>
    </w:p>
    <w:tbl>
      <w:tblPr>
        <w:tblW w:w="7655" w:type="dxa"/>
        <w:tblLook w:val="04A0" w:firstRow="1" w:lastRow="0" w:firstColumn="1" w:lastColumn="0" w:noHBand="0" w:noVBand="1"/>
      </w:tblPr>
      <w:tblGrid>
        <w:gridCol w:w="5420"/>
        <w:gridCol w:w="1180"/>
        <w:gridCol w:w="1055"/>
      </w:tblGrid>
      <w:tr w:rsidR="00752811" w:rsidRPr="0055790F" w14:paraId="73DADE71" w14:textId="77777777" w:rsidTr="00333C84">
        <w:trPr>
          <w:trHeight w:val="203"/>
        </w:trPr>
        <w:tc>
          <w:tcPr>
            <w:tcW w:w="5420" w:type="dxa"/>
            <w:tcBorders>
              <w:top w:val="single" w:sz="4" w:space="0" w:color="auto"/>
              <w:left w:val="nil"/>
              <w:bottom w:val="nil"/>
              <w:right w:val="nil"/>
            </w:tcBorders>
            <w:shd w:val="clear" w:color="000000" w:fill="FFFFFF"/>
            <w:vAlign w:val="bottom"/>
            <w:hideMark/>
          </w:tcPr>
          <w:p w14:paraId="582AD7A5" w14:textId="77777777" w:rsidR="00752811" w:rsidRPr="0055790F" w:rsidRDefault="00752811" w:rsidP="00333C84">
            <w:pPr>
              <w:spacing w:after="0" w:line="240" w:lineRule="auto"/>
              <w:jc w:val="left"/>
              <w:rPr>
                <w:rFonts w:ascii="Arial" w:hAnsi="Arial" w:cs="Arial"/>
                <w:color w:val="000000"/>
                <w:sz w:val="16"/>
                <w:szCs w:val="16"/>
              </w:rPr>
            </w:pPr>
            <w:r w:rsidRPr="0055790F">
              <w:rPr>
                <w:rFonts w:ascii="Arial" w:hAnsi="Arial" w:cs="Arial"/>
                <w:color w:val="000000"/>
                <w:sz w:val="16"/>
                <w:szCs w:val="16"/>
              </w:rPr>
              <w:t> </w:t>
            </w:r>
          </w:p>
        </w:tc>
        <w:tc>
          <w:tcPr>
            <w:tcW w:w="1180" w:type="dxa"/>
            <w:tcBorders>
              <w:top w:val="single" w:sz="4" w:space="0" w:color="auto"/>
              <w:left w:val="nil"/>
              <w:bottom w:val="single" w:sz="4" w:space="0" w:color="auto"/>
              <w:right w:val="nil"/>
            </w:tcBorders>
            <w:shd w:val="clear" w:color="000000" w:fill="FFFFFF"/>
            <w:vAlign w:val="bottom"/>
            <w:hideMark/>
          </w:tcPr>
          <w:p w14:paraId="7E9FC721" w14:textId="77777777" w:rsidR="00752811" w:rsidRPr="0055790F" w:rsidRDefault="00752811" w:rsidP="00333C84">
            <w:pPr>
              <w:spacing w:after="0" w:line="240" w:lineRule="auto"/>
              <w:jc w:val="right"/>
              <w:rPr>
                <w:rFonts w:ascii="Arial" w:hAnsi="Arial" w:cs="Arial"/>
                <w:color w:val="000000"/>
                <w:sz w:val="16"/>
                <w:szCs w:val="16"/>
              </w:rPr>
            </w:pPr>
            <w:r w:rsidRPr="0055790F">
              <w:rPr>
                <w:rFonts w:ascii="Arial" w:hAnsi="Arial" w:cs="Arial"/>
                <w:color w:val="000000"/>
                <w:sz w:val="16"/>
                <w:szCs w:val="16"/>
              </w:rPr>
              <w:t>2021-22</w:t>
            </w:r>
          </w:p>
        </w:tc>
        <w:tc>
          <w:tcPr>
            <w:tcW w:w="1055" w:type="dxa"/>
            <w:tcBorders>
              <w:top w:val="single" w:sz="4" w:space="0" w:color="auto"/>
              <w:left w:val="nil"/>
              <w:bottom w:val="single" w:sz="4" w:space="0" w:color="auto"/>
              <w:right w:val="nil"/>
            </w:tcBorders>
            <w:shd w:val="clear" w:color="000000" w:fill="E6E6E6"/>
            <w:vAlign w:val="bottom"/>
            <w:hideMark/>
          </w:tcPr>
          <w:p w14:paraId="52A7364C" w14:textId="77777777" w:rsidR="00752811" w:rsidRPr="0055790F" w:rsidRDefault="00752811" w:rsidP="00333C84">
            <w:pPr>
              <w:spacing w:after="0" w:line="240" w:lineRule="auto"/>
              <w:jc w:val="right"/>
              <w:rPr>
                <w:rFonts w:ascii="Arial" w:hAnsi="Arial" w:cs="Arial"/>
                <w:color w:val="000000"/>
                <w:sz w:val="16"/>
                <w:szCs w:val="16"/>
              </w:rPr>
            </w:pPr>
            <w:r w:rsidRPr="0055790F">
              <w:rPr>
                <w:rFonts w:ascii="Arial" w:hAnsi="Arial" w:cs="Arial"/>
                <w:color w:val="000000"/>
                <w:sz w:val="16"/>
                <w:szCs w:val="16"/>
              </w:rPr>
              <w:t>2022-23</w:t>
            </w:r>
          </w:p>
        </w:tc>
      </w:tr>
      <w:tr w:rsidR="00752811" w:rsidRPr="0055790F" w14:paraId="19DB3721" w14:textId="77777777" w:rsidTr="00333C84">
        <w:trPr>
          <w:trHeight w:val="203"/>
        </w:trPr>
        <w:tc>
          <w:tcPr>
            <w:tcW w:w="5420" w:type="dxa"/>
            <w:tcBorders>
              <w:top w:val="nil"/>
              <w:left w:val="nil"/>
              <w:bottom w:val="single" w:sz="4" w:space="0" w:color="auto"/>
              <w:right w:val="nil"/>
            </w:tcBorders>
            <w:shd w:val="clear" w:color="000000" w:fill="FFFFFF"/>
            <w:vAlign w:val="bottom"/>
            <w:hideMark/>
          </w:tcPr>
          <w:p w14:paraId="2E949747" w14:textId="77777777" w:rsidR="00752811" w:rsidRPr="0055790F" w:rsidRDefault="00752811" w:rsidP="00333C84">
            <w:pPr>
              <w:spacing w:after="0" w:line="240" w:lineRule="auto"/>
              <w:jc w:val="left"/>
              <w:rPr>
                <w:rFonts w:ascii="Arial" w:hAnsi="Arial" w:cs="Arial"/>
                <w:b/>
                <w:bCs/>
                <w:color w:val="000000"/>
                <w:sz w:val="16"/>
                <w:szCs w:val="16"/>
              </w:rPr>
            </w:pPr>
            <w:r w:rsidRPr="0055790F">
              <w:rPr>
                <w:rFonts w:ascii="Arial" w:hAnsi="Arial" w:cs="Arial"/>
                <w:b/>
                <w:bCs/>
                <w:color w:val="000000"/>
                <w:sz w:val="16"/>
                <w:szCs w:val="16"/>
              </w:rPr>
              <w:t>Average staffing level (number)</w:t>
            </w:r>
          </w:p>
        </w:tc>
        <w:tc>
          <w:tcPr>
            <w:tcW w:w="1180" w:type="dxa"/>
            <w:tcBorders>
              <w:top w:val="nil"/>
              <w:left w:val="nil"/>
              <w:bottom w:val="single" w:sz="4" w:space="0" w:color="auto"/>
              <w:right w:val="nil"/>
            </w:tcBorders>
            <w:shd w:val="clear" w:color="000000" w:fill="FFFFFF"/>
            <w:vAlign w:val="bottom"/>
            <w:hideMark/>
          </w:tcPr>
          <w:p w14:paraId="157C4CF2" w14:textId="3B755914" w:rsidR="00752811" w:rsidRPr="0055790F" w:rsidRDefault="00E270A0" w:rsidP="00333C84">
            <w:pPr>
              <w:spacing w:after="0" w:line="240" w:lineRule="auto"/>
              <w:jc w:val="right"/>
              <w:rPr>
                <w:rFonts w:ascii="Arial" w:hAnsi="Arial" w:cs="Arial"/>
                <w:color w:val="000000"/>
                <w:sz w:val="16"/>
                <w:szCs w:val="16"/>
              </w:rPr>
            </w:pPr>
            <w:r>
              <w:rPr>
                <w:rFonts w:ascii="Arial" w:hAnsi="Arial" w:cs="Arial"/>
                <w:color w:val="000000"/>
                <w:sz w:val="16"/>
                <w:szCs w:val="16"/>
              </w:rPr>
              <w:t>3</w:t>
            </w:r>
            <w:r w:rsidR="00752811" w:rsidRPr="0055790F">
              <w:rPr>
                <w:rFonts w:ascii="Arial" w:hAnsi="Arial" w:cs="Arial"/>
                <w:color w:val="000000"/>
                <w:sz w:val="16"/>
                <w:szCs w:val="16"/>
              </w:rPr>
              <w:t xml:space="preserve"> </w:t>
            </w:r>
          </w:p>
        </w:tc>
        <w:tc>
          <w:tcPr>
            <w:tcW w:w="1055" w:type="dxa"/>
            <w:tcBorders>
              <w:top w:val="nil"/>
              <w:left w:val="nil"/>
              <w:bottom w:val="single" w:sz="4" w:space="0" w:color="auto"/>
              <w:right w:val="nil"/>
            </w:tcBorders>
            <w:shd w:val="clear" w:color="000000" w:fill="E6E6E6"/>
            <w:vAlign w:val="bottom"/>
            <w:hideMark/>
          </w:tcPr>
          <w:p w14:paraId="5CA0A4B2" w14:textId="77777777" w:rsidR="00752811" w:rsidRPr="0055790F" w:rsidRDefault="00752811" w:rsidP="00333C84">
            <w:pPr>
              <w:spacing w:after="0" w:line="240" w:lineRule="auto"/>
              <w:jc w:val="right"/>
              <w:rPr>
                <w:rFonts w:ascii="Arial" w:hAnsi="Arial" w:cs="Arial"/>
                <w:color w:val="000000"/>
                <w:sz w:val="16"/>
                <w:szCs w:val="16"/>
              </w:rPr>
            </w:pPr>
            <w:r w:rsidRPr="0055790F">
              <w:rPr>
                <w:rFonts w:ascii="Arial" w:hAnsi="Arial" w:cs="Arial"/>
                <w:color w:val="000000"/>
                <w:sz w:val="16"/>
                <w:szCs w:val="16"/>
              </w:rPr>
              <w:t>1</w:t>
            </w:r>
            <w:r>
              <w:rPr>
                <w:rFonts w:ascii="Arial" w:hAnsi="Arial" w:cs="Arial"/>
                <w:color w:val="000000"/>
                <w:sz w:val="16"/>
                <w:szCs w:val="16"/>
              </w:rPr>
              <w:t>0</w:t>
            </w:r>
            <w:r w:rsidRPr="0055790F">
              <w:rPr>
                <w:rFonts w:ascii="Arial" w:hAnsi="Arial" w:cs="Arial"/>
                <w:color w:val="000000"/>
                <w:sz w:val="16"/>
                <w:szCs w:val="16"/>
              </w:rPr>
              <w:t xml:space="preserve"> </w:t>
            </w:r>
          </w:p>
        </w:tc>
      </w:tr>
    </w:tbl>
    <w:p w14:paraId="09DEA723" w14:textId="77777777" w:rsidR="00752811" w:rsidRPr="00B94E5D" w:rsidRDefault="00752811" w:rsidP="00752811">
      <w:pPr>
        <w:pStyle w:val="ChartandTableFootnote"/>
        <w:keepNext/>
        <w:spacing w:before="60" w:after="20"/>
        <w:jc w:val="left"/>
        <w:rPr>
          <w:color w:val="auto"/>
        </w:rPr>
      </w:pPr>
      <w:r w:rsidRPr="00B94E5D">
        <w:rPr>
          <w:color w:val="auto"/>
        </w:rPr>
        <w:t>All figures shown above are GST exclusive - these may not match figures in the cash flow statement.</w:t>
      </w:r>
      <w:r w:rsidRPr="00D57FA3">
        <w:rPr>
          <w:color w:val="auto"/>
        </w:rPr>
        <w:t xml:space="preserve"> </w:t>
      </w:r>
      <w:r w:rsidRPr="00B94E5D">
        <w:rPr>
          <w:color w:val="auto"/>
        </w:rPr>
        <w:t>Prepared on a resourcing (</w:t>
      </w:r>
      <w:r w:rsidRPr="00B94E5D">
        <w:rPr>
          <w:color w:val="auto"/>
          <w:lang w:val="en-AU"/>
        </w:rPr>
        <w:t>that is,</w:t>
      </w:r>
      <w:r w:rsidRPr="00B94E5D">
        <w:rPr>
          <w:color w:val="auto"/>
        </w:rPr>
        <w:t xml:space="preserve"> appropriations available) basis.</w:t>
      </w:r>
    </w:p>
    <w:p w14:paraId="3DBE9B65" w14:textId="77777777" w:rsidR="00752811" w:rsidRPr="00B94E5D" w:rsidRDefault="00752811" w:rsidP="00664C48">
      <w:pPr>
        <w:pStyle w:val="ChartandTableFootnote"/>
        <w:keepNext/>
        <w:numPr>
          <w:ilvl w:val="0"/>
          <w:numId w:val="245"/>
        </w:numPr>
        <w:tabs>
          <w:tab w:val="clear" w:pos="284"/>
        </w:tabs>
        <w:spacing w:before="60" w:after="20"/>
        <w:ind w:left="284" w:hanging="284"/>
        <w:jc w:val="left"/>
        <w:rPr>
          <w:color w:val="auto"/>
        </w:rPr>
      </w:pPr>
      <w:r w:rsidRPr="00B94E5D">
        <w:rPr>
          <w:rFonts w:cs="Arial"/>
          <w:color w:val="auto"/>
          <w:szCs w:val="16"/>
        </w:rPr>
        <w:t xml:space="preserve">Appropriation Bill (No. 1) </w:t>
      </w:r>
      <w:r w:rsidRPr="00B94E5D">
        <w:rPr>
          <w:rFonts w:cs="Arial"/>
          <w:color w:val="auto"/>
          <w:szCs w:val="16"/>
          <w:lang w:val="en-AU"/>
        </w:rPr>
        <w:t>202</w:t>
      </w:r>
      <w:r>
        <w:rPr>
          <w:rFonts w:cs="Arial"/>
          <w:color w:val="auto"/>
          <w:szCs w:val="16"/>
          <w:lang w:val="en-AU"/>
        </w:rPr>
        <w:t>2</w:t>
      </w:r>
      <w:r w:rsidRPr="00B94E5D">
        <w:rPr>
          <w:rFonts w:cs="Arial"/>
          <w:color w:val="auto"/>
          <w:szCs w:val="16"/>
          <w:lang w:val="en-AU"/>
        </w:rPr>
        <w:t>-2</w:t>
      </w:r>
      <w:r>
        <w:rPr>
          <w:rFonts w:cs="Arial"/>
          <w:color w:val="auto"/>
          <w:szCs w:val="16"/>
          <w:lang w:val="en-AU"/>
        </w:rPr>
        <w:t>3</w:t>
      </w:r>
      <w:r w:rsidRPr="00B94E5D">
        <w:rPr>
          <w:rFonts w:cs="Arial"/>
          <w:color w:val="auto"/>
          <w:szCs w:val="16"/>
        </w:rPr>
        <w:t>.</w:t>
      </w:r>
    </w:p>
    <w:p w14:paraId="545C3593" w14:textId="77777777" w:rsidR="00752811" w:rsidRPr="005A7C0B" w:rsidRDefault="00752811" w:rsidP="007E1B5A">
      <w:pPr>
        <w:pStyle w:val="Heading3-NQWIA"/>
      </w:pPr>
      <w:r>
        <w:br w:type="page"/>
      </w:r>
      <w:bookmarkStart w:id="24" w:name="_Toc97667527"/>
      <w:bookmarkStart w:id="25" w:name="_Toc98440397"/>
      <w:bookmarkStart w:id="26" w:name="_Toc98440545"/>
      <w:bookmarkStart w:id="27" w:name="_Toc98440693"/>
      <w:bookmarkStart w:id="28" w:name="_Toc98440841"/>
      <w:bookmarkStart w:id="29" w:name="_Toc98440989"/>
      <w:bookmarkStart w:id="30" w:name="_Toc99027402"/>
      <w:r w:rsidRPr="005A7C0B">
        <w:lastRenderedPageBreak/>
        <w:t>1.3</w:t>
      </w:r>
      <w:r w:rsidRPr="005A7C0B">
        <w:tab/>
        <w:t>Budget measures</w:t>
      </w:r>
      <w:bookmarkEnd w:id="24"/>
      <w:bookmarkEnd w:id="25"/>
      <w:bookmarkEnd w:id="26"/>
      <w:bookmarkEnd w:id="27"/>
      <w:bookmarkEnd w:id="28"/>
      <w:bookmarkEnd w:id="29"/>
      <w:bookmarkEnd w:id="30"/>
    </w:p>
    <w:p w14:paraId="708037F8" w14:textId="77777777" w:rsidR="00752811" w:rsidRPr="00DE31D9" w:rsidRDefault="00752811" w:rsidP="00752811">
      <w:pPr>
        <w:jc w:val="left"/>
        <w:rPr>
          <w:color w:val="000000" w:themeColor="text1"/>
        </w:rPr>
      </w:pPr>
      <w:r w:rsidRPr="00DC32EC">
        <w:t xml:space="preserve">Budget measures </w:t>
      </w:r>
      <w:r>
        <w:t xml:space="preserve">in Part 1 </w:t>
      </w:r>
      <w:r w:rsidRPr="00DC32EC">
        <w:t>relating to</w:t>
      </w:r>
      <w:r>
        <w:t xml:space="preserve"> the NQWIA</w:t>
      </w:r>
      <w:r w:rsidRPr="00DC32EC">
        <w:t xml:space="preserve"> a</w:t>
      </w:r>
      <w:r>
        <w:t>re detailed in Budget Paper No. </w:t>
      </w:r>
      <w:r w:rsidRPr="00DC32EC">
        <w:t>2</w:t>
      </w:r>
      <w:r>
        <w:t xml:space="preserve"> and are summarised below. </w:t>
      </w:r>
    </w:p>
    <w:p w14:paraId="01F010B2" w14:textId="77777777" w:rsidR="00752811" w:rsidRPr="009A40DD" w:rsidRDefault="00752811" w:rsidP="00752811">
      <w:pPr>
        <w:pStyle w:val="TableHeading"/>
      </w:pPr>
      <w:r w:rsidRPr="009A40DD">
        <w:t xml:space="preserve">Table 1.2: </w:t>
      </w:r>
      <w:r>
        <w:rPr>
          <w:lang w:val="en-GB"/>
        </w:rPr>
        <w:t>NQWIA</w:t>
      </w:r>
      <w:r w:rsidRPr="009A40DD">
        <w:t xml:space="preserve"> </w:t>
      </w:r>
      <w:r>
        <w:rPr>
          <w:lang w:val="en-AU"/>
        </w:rPr>
        <w:t xml:space="preserve">2022-23 </w:t>
      </w:r>
      <w:r w:rsidRPr="009A40DD">
        <w:t>Budget measures</w:t>
      </w:r>
      <w:r>
        <w:rPr>
          <w:lang w:val="en-US"/>
        </w:rPr>
        <w:t xml:space="preserve">  </w:t>
      </w:r>
    </w:p>
    <w:p w14:paraId="71BD29D8" w14:textId="77777777" w:rsidR="00752811" w:rsidRDefault="00752811" w:rsidP="00752811">
      <w:pPr>
        <w:pStyle w:val="TableGraphic"/>
        <w:jc w:val="left"/>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2021-22 Mid-Year Economic and Fiscal Outlook (MYEFO)</w:t>
      </w:r>
    </w:p>
    <w:tbl>
      <w:tblPr>
        <w:tblW w:w="7604" w:type="dxa"/>
        <w:tblLook w:val="04A0" w:firstRow="1" w:lastRow="0" w:firstColumn="1" w:lastColumn="0" w:noHBand="0" w:noVBand="1"/>
      </w:tblPr>
      <w:tblGrid>
        <w:gridCol w:w="2410"/>
        <w:gridCol w:w="830"/>
        <w:gridCol w:w="964"/>
        <w:gridCol w:w="850"/>
        <w:gridCol w:w="850"/>
        <w:gridCol w:w="850"/>
        <w:gridCol w:w="850"/>
      </w:tblGrid>
      <w:tr w:rsidR="00752811" w:rsidRPr="002309FE" w14:paraId="3BC4EB14" w14:textId="77777777" w:rsidTr="00DE31D9">
        <w:trPr>
          <w:trHeight w:val="204"/>
        </w:trPr>
        <w:tc>
          <w:tcPr>
            <w:tcW w:w="2410" w:type="dxa"/>
            <w:tcBorders>
              <w:top w:val="single" w:sz="4" w:space="0" w:color="auto"/>
              <w:left w:val="nil"/>
              <w:bottom w:val="nil"/>
              <w:right w:val="nil"/>
            </w:tcBorders>
            <w:shd w:val="clear" w:color="auto" w:fill="auto"/>
            <w:noWrap/>
            <w:vAlign w:val="bottom"/>
            <w:hideMark/>
          </w:tcPr>
          <w:p w14:paraId="00FB319F" w14:textId="77777777" w:rsidR="00752811" w:rsidRPr="002309FE" w:rsidRDefault="00752811" w:rsidP="00333C84">
            <w:pPr>
              <w:spacing w:after="0" w:line="240" w:lineRule="auto"/>
              <w:jc w:val="center"/>
              <w:rPr>
                <w:rFonts w:ascii="Arial" w:hAnsi="Arial" w:cs="Arial"/>
                <w:color w:val="000000"/>
                <w:sz w:val="16"/>
                <w:szCs w:val="16"/>
              </w:rPr>
            </w:pPr>
            <w:r w:rsidRPr="002309FE">
              <w:rPr>
                <w:rFonts w:ascii="Arial" w:hAnsi="Arial" w:cs="Arial"/>
                <w:color w:val="000000"/>
                <w:sz w:val="16"/>
                <w:szCs w:val="16"/>
              </w:rPr>
              <w:t> </w:t>
            </w:r>
          </w:p>
        </w:tc>
        <w:tc>
          <w:tcPr>
            <w:tcW w:w="830" w:type="dxa"/>
            <w:tcBorders>
              <w:top w:val="single" w:sz="4" w:space="0" w:color="auto"/>
              <w:left w:val="nil"/>
              <w:bottom w:val="nil"/>
              <w:right w:val="nil"/>
            </w:tcBorders>
            <w:shd w:val="clear" w:color="auto" w:fill="auto"/>
            <w:vAlign w:val="bottom"/>
            <w:hideMark/>
          </w:tcPr>
          <w:p w14:paraId="3FAB4567" w14:textId="77777777" w:rsidR="00752811" w:rsidRPr="002309FE" w:rsidRDefault="00752811" w:rsidP="00333C84">
            <w:pPr>
              <w:spacing w:after="0" w:line="240" w:lineRule="auto"/>
              <w:jc w:val="center"/>
              <w:rPr>
                <w:rFonts w:ascii="Arial" w:hAnsi="Arial" w:cs="Arial"/>
                <w:color w:val="000000"/>
                <w:sz w:val="16"/>
                <w:szCs w:val="16"/>
              </w:rPr>
            </w:pPr>
            <w:r w:rsidRPr="002309FE">
              <w:rPr>
                <w:rFonts w:ascii="Arial" w:hAnsi="Arial" w:cs="Arial"/>
                <w:color w:val="000000"/>
                <w:sz w:val="16"/>
                <w:szCs w:val="16"/>
              </w:rPr>
              <w:t>Program</w:t>
            </w:r>
          </w:p>
        </w:tc>
        <w:tc>
          <w:tcPr>
            <w:tcW w:w="964" w:type="dxa"/>
            <w:tcBorders>
              <w:top w:val="single" w:sz="4" w:space="0" w:color="auto"/>
              <w:left w:val="nil"/>
              <w:bottom w:val="nil"/>
              <w:right w:val="nil"/>
            </w:tcBorders>
            <w:shd w:val="clear" w:color="000000" w:fill="E6E6E6"/>
            <w:vAlign w:val="bottom"/>
            <w:hideMark/>
          </w:tcPr>
          <w:p w14:paraId="28925371" w14:textId="77777777" w:rsidR="00752811" w:rsidRPr="002309FE" w:rsidRDefault="00752811" w:rsidP="00333C84">
            <w:pPr>
              <w:spacing w:after="0" w:line="240" w:lineRule="auto"/>
              <w:jc w:val="right"/>
              <w:rPr>
                <w:rFonts w:ascii="Arial" w:hAnsi="Arial" w:cs="Arial"/>
                <w:color w:val="000000"/>
                <w:sz w:val="16"/>
                <w:szCs w:val="16"/>
              </w:rPr>
            </w:pPr>
            <w:r w:rsidRPr="002309FE">
              <w:rPr>
                <w:rFonts w:ascii="Arial" w:hAnsi="Arial" w:cs="Arial"/>
                <w:color w:val="000000"/>
                <w:sz w:val="16"/>
                <w:szCs w:val="16"/>
              </w:rPr>
              <w:t>2021-22</w:t>
            </w:r>
          </w:p>
        </w:tc>
        <w:tc>
          <w:tcPr>
            <w:tcW w:w="850" w:type="dxa"/>
            <w:tcBorders>
              <w:top w:val="single" w:sz="4" w:space="0" w:color="auto"/>
              <w:left w:val="nil"/>
              <w:bottom w:val="nil"/>
              <w:right w:val="nil"/>
            </w:tcBorders>
            <w:shd w:val="clear" w:color="auto" w:fill="auto"/>
            <w:vAlign w:val="bottom"/>
            <w:hideMark/>
          </w:tcPr>
          <w:p w14:paraId="1097DEE2" w14:textId="77777777" w:rsidR="00752811" w:rsidRPr="002309FE" w:rsidRDefault="00752811" w:rsidP="00333C84">
            <w:pPr>
              <w:spacing w:after="0" w:line="240" w:lineRule="auto"/>
              <w:jc w:val="right"/>
              <w:rPr>
                <w:rFonts w:ascii="Arial" w:hAnsi="Arial" w:cs="Arial"/>
                <w:color w:val="000000"/>
                <w:sz w:val="16"/>
                <w:szCs w:val="16"/>
              </w:rPr>
            </w:pPr>
            <w:r w:rsidRPr="002309FE">
              <w:rPr>
                <w:rFonts w:ascii="Arial" w:hAnsi="Arial" w:cs="Arial"/>
                <w:color w:val="000000"/>
                <w:sz w:val="16"/>
                <w:szCs w:val="16"/>
              </w:rPr>
              <w:t>2022-23</w:t>
            </w:r>
          </w:p>
        </w:tc>
        <w:tc>
          <w:tcPr>
            <w:tcW w:w="850" w:type="dxa"/>
            <w:tcBorders>
              <w:top w:val="single" w:sz="4" w:space="0" w:color="auto"/>
              <w:left w:val="nil"/>
              <w:bottom w:val="nil"/>
              <w:right w:val="nil"/>
            </w:tcBorders>
            <w:shd w:val="clear" w:color="auto" w:fill="E7E6E6" w:themeFill="background2"/>
            <w:vAlign w:val="bottom"/>
            <w:hideMark/>
          </w:tcPr>
          <w:p w14:paraId="2D4E4CDC" w14:textId="77777777" w:rsidR="00752811" w:rsidRPr="002309FE" w:rsidRDefault="00752811" w:rsidP="00333C84">
            <w:pPr>
              <w:spacing w:after="0" w:line="240" w:lineRule="auto"/>
              <w:jc w:val="right"/>
              <w:rPr>
                <w:rFonts w:ascii="Arial" w:hAnsi="Arial" w:cs="Arial"/>
                <w:color w:val="000000"/>
                <w:sz w:val="16"/>
                <w:szCs w:val="16"/>
              </w:rPr>
            </w:pPr>
            <w:r w:rsidRPr="002309FE">
              <w:rPr>
                <w:rFonts w:ascii="Arial" w:hAnsi="Arial" w:cs="Arial"/>
                <w:color w:val="000000"/>
                <w:sz w:val="16"/>
                <w:szCs w:val="16"/>
              </w:rPr>
              <w:t>2023-24</w:t>
            </w:r>
          </w:p>
        </w:tc>
        <w:tc>
          <w:tcPr>
            <w:tcW w:w="850" w:type="dxa"/>
            <w:tcBorders>
              <w:top w:val="single" w:sz="4" w:space="0" w:color="auto"/>
              <w:left w:val="nil"/>
              <w:bottom w:val="nil"/>
              <w:right w:val="nil"/>
            </w:tcBorders>
            <w:shd w:val="clear" w:color="auto" w:fill="auto"/>
            <w:vAlign w:val="bottom"/>
            <w:hideMark/>
          </w:tcPr>
          <w:p w14:paraId="2FE755B6" w14:textId="77777777" w:rsidR="00752811" w:rsidRPr="002309FE"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2024-25</w:t>
            </w:r>
          </w:p>
        </w:tc>
        <w:tc>
          <w:tcPr>
            <w:tcW w:w="850" w:type="dxa"/>
            <w:tcBorders>
              <w:top w:val="single" w:sz="4" w:space="0" w:color="auto"/>
              <w:left w:val="nil"/>
              <w:bottom w:val="nil"/>
              <w:right w:val="nil"/>
            </w:tcBorders>
            <w:shd w:val="clear" w:color="auto" w:fill="E7E6E6" w:themeFill="background2"/>
            <w:vAlign w:val="bottom"/>
          </w:tcPr>
          <w:p w14:paraId="58CFED06" w14:textId="77777777" w:rsidR="00752811" w:rsidRPr="00B94E5D" w:rsidRDefault="00752811" w:rsidP="00333C84">
            <w:pPr>
              <w:spacing w:after="0" w:line="240" w:lineRule="auto"/>
              <w:jc w:val="right"/>
              <w:rPr>
                <w:rFonts w:ascii="Arial" w:hAnsi="Arial" w:cs="Arial"/>
                <w:sz w:val="16"/>
                <w:szCs w:val="16"/>
              </w:rPr>
            </w:pPr>
            <w:r>
              <w:rPr>
                <w:rFonts w:ascii="Arial" w:hAnsi="Arial" w:cs="Arial"/>
                <w:color w:val="000000"/>
                <w:sz w:val="16"/>
                <w:szCs w:val="16"/>
              </w:rPr>
              <w:t>2025-26</w:t>
            </w:r>
          </w:p>
        </w:tc>
      </w:tr>
      <w:tr w:rsidR="00752811" w:rsidRPr="002309FE" w14:paraId="76215860" w14:textId="77777777" w:rsidTr="00DE31D9">
        <w:trPr>
          <w:trHeight w:val="204"/>
        </w:trPr>
        <w:tc>
          <w:tcPr>
            <w:tcW w:w="2410" w:type="dxa"/>
            <w:tcBorders>
              <w:top w:val="nil"/>
              <w:left w:val="nil"/>
              <w:bottom w:val="nil"/>
              <w:right w:val="nil"/>
            </w:tcBorders>
            <w:shd w:val="clear" w:color="auto" w:fill="auto"/>
            <w:noWrap/>
            <w:vAlign w:val="bottom"/>
            <w:hideMark/>
          </w:tcPr>
          <w:p w14:paraId="0C7B2753" w14:textId="77777777" w:rsidR="00752811" w:rsidRPr="002309FE" w:rsidRDefault="00752811" w:rsidP="00333C84">
            <w:pPr>
              <w:spacing w:after="0" w:line="240" w:lineRule="auto"/>
              <w:jc w:val="right"/>
              <w:rPr>
                <w:rFonts w:ascii="Arial" w:hAnsi="Arial" w:cs="Arial"/>
                <w:color w:val="000000"/>
                <w:sz w:val="16"/>
                <w:szCs w:val="16"/>
              </w:rPr>
            </w:pPr>
          </w:p>
        </w:tc>
        <w:tc>
          <w:tcPr>
            <w:tcW w:w="830" w:type="dxa"/>
            <w:tcBorders>
              <w:top w:val="nil"/>
              <w:left w:val="nil"/>
              <w:bottom w:val="single" w:sz="4" w:space="0" w:color="auto"/>
              <w:right w:val="nil"/>
            </w:tcBorders>
            <w:shd w:val="clear" w:color="auto" w:fill="auto"/>
            <w:vAlign w:val="bottom"/>
            <w:hideMark/>
          </w:tcPr>
          <w:p w14:paraId="6BA05272" w14:textId="77777777" w:rsidR="00752811" w:rsidRPr="002309FE" w:rsidRDefault="00752811" w:rsidP="00333C84">
            <w:pPr>
              <w:spacing w:after="0" w:line="240" w:lineRule="auto"/>
              <w:jc w:val="center"/>
              <w:rPr>
                <w:rFonts w:ascii="Arial" w:hAnsi="Arial" w:cs="Arial"/>
                <w:color w:val="000000"/>
                <w:sz w:val="16"/>
                <w:szCs w:val="16"/>
              </w:rPr>
            </w:pPr>
          </w:p>
        </w:tc>
        <w:tc>
          <w:tcPr>
            <w:tcW w:w="964" w:type="dxa"/>
            <w:tcBorders>
              <w:top w:val="nil"/>
              <w:left w:val="nil"/>
              <w:bottom w:val="single" w:sz="4" w:space="0" w:color="auto"/>
              <w:right w:val="nil"/>
            </w:tcBorders>
            <w:shd w:val="clear" w:color="000000" w:fill="E6E6E6"/>
            <w:vAlign w:val="bottom"/>
            <w:hideMark/>
          </w:tcPr>
          <w:p w14:paraId="0087E192" w14:textId="77777777" w:rsidR="00752811" w:rsidRPr="002309FE" w:rsidRDefault="00752811" w:rsidP="00333C84">
            <w:pPr>
              <w:spacing w:after="0" w:line="240" w:lineRule="auto"/>
              <w:jc w:val="right"/>
              <w:rPr>
                <w:rFonts w:ascii="Arial" w:hAnsi="Arial" w:cs="Arial"/>
                <w:color w:val="000000"/>
                <w:sz w:val="16"/>
                <w:szCs w:val="16"/>
              </w:rPr>
            </w:pPr>
            <w:r w:rsidRPr="002309FE">
              <w:rPr>
                <w:rFonts w:ascii="Arial" w:hAnsi="Arial" w:cs="Arial"/>
                <w:color w:val="000000"/>
                <w:sz w:val="16"/>
                <w:szCs w:val="16"/>
              </w:rPr>
              <w:t>$'000</w:t>
            </w:r>
          </w:p>
        </w:tc>
        <w:tc>
          <w:tcPr>
            <w:tcW w:w="850" w:type="dxa"/>
            <w:tcBorders>
              <w:top w:val="nil"/>
              <w:left w:val="nil"/>
              <w:bottom w:val="single" w:sz="4" w:space="0" w:color="auto"/>
              <w:right w:val="nil"/>
            </w:tcBorders>
            <w:shd w:val="clear" w:color="auto" w:fill="auto"/>
            <w:vAlign w:val="bottom"/>
            <w:hideMark/>
          </w:tcPr>
          <w:p w14:paraId="77E53EC8" w14:textId="77777777" w:rsidR="00752811" w:rsidRPr="002309FE" w:rsidRDefault="00752811" w:rsidP="00333C84">
            <w:pPr>
              <w:spacing w:after="0" w:line="240" w:lineRule="auto"/>
              <w:jc w:val="right"/>
              <w:rPr>
                <w:rFonts w:ascii="Arial" w:hAnsi="Arial" w:cs="Arial"/>
                <w:color w:val="000000"/>
                <w:sz w:val="16"/>
                <w:szCs w:val="16"/>
              </w:rPr>
            </w:pPr>
            <w:r w:rsidRPr="002309FE">
              <w:rPr>
                <w:rFonts w:ascii="Arial" w:hAnsi="Arial" w:cs="Arial"/>
                <w:color w:val="000000"/>
                <w:sz w:val="16"/>
                <w:szCs w:val="16"/>
              </w:rPr>
              <w:t>$'000</w:t>
            </w:r>
          </w:p>
        </w:tc>
        <w:tc>
          <w:tcPr>
            <w:tcW w:w="850" w:type="dxa"/>
            <w:tcBorders>
              <w:top w:val="nil"/>
              <w:left w:val="nil"/>
              <w:bottom w:val="single" w:sz="4" w:space="0" w:color="auto"/>
              <w:right w:val="nil"/>
            </w:tcBorders>
            <w:shd w:val="clear" w:color="auto" w:fill="E7E6E6" w:themeFill="background2"/>
            <w:vAlign w:val="bottom"/>
            <w:hideMark/>
          </w:tcPr>
          <w:p w14:paraId="30A666F5" w14:textId="77777777" w:rsidR="00752811" w:rsidRPr="002309FE" w:rsidRDefault="00752811" w:rsidP="00333C84">
            <w:pPr>
              <w:spacing w:after="0" w:line="240" w:lineRule="auto"/>
              <w:jc w:val="right"/>
              <w:rPr>
                <w:rFonts w:ascii="Arial" w:hAnsi="Arial" w:cs="Arial"/>
                <w:color w:val="000000"/>
                <w:sz w:val="16"/>
                <w:szCs w:val="16"/>
              </w:rPr>
            </w:pPr>
            <w:r w:rsidRPr="002309FE">
              <w:rPr>
                <w:rFonts w:ascii="Arial" w:hAnsi="Arial" w:cs="Arial"/>
                <w:color w:val="000000"/>
                <w:sz w:val="16"/>
                <w:szCs w:val="16"/>
              </w:rPr>
              <w:t>$'000</w:t>
            </w:r>
          </w:p>
        </w:tc>
        <w:tc>
          <w:tcPr>
            <w:tcW w:w="850" w:type="dxa"/>
            <w:tcBorders>
              <w:top w:val="nil"/>
              <w:left w:val="nil"/>
              <w:bottom w:val="single" w:sz="4" w:space="0" w:color="auto"/>
              <w:right w:val="nil"/>
            </w:tcBorders>
            <w:shd w:val="clear" w:color="auto" w:fill="auto"/>
            <w:vAlign w:val="bottom"/>
            <w:hideMark/>
          </w:tcPr>
          <w:p w14:paraId="7AC8A462" w14:textId="77777777" w:rsidR="00752811" w:rsidRPr="002309FE" w:rsidRDefault="00752811" w:rsidP="00333C84">
            <w:pPr>
              <w:spacing w:after="0" w:line="240" w:lineRule="auto"/>
              <w:jc w:val="right"/>
              <w:rPr>
                <w:rFonts w:ascii="Arial" w:hAnsi="Arial" w:cs="Arial"/>
                <w:color w:val="000000"/>
                <w:sz w:val="16"/>
                <w:szCs w:val="16"/>
              </w:rPr>
            </w:pPr>
            <w:r w:rsidRPr="002309FE">
              <w:rPr>
                <w:rFonts w:ascii="Arial" w:hAnsi="Arial" w:cs="Arial"/>
                <w:color w:val="000000"/>
                <w:sz w:val="16"/>
                <w:szCs w:val="16"/>
              </w:rPr>
              <w:t>$'000</w:t>
            </w:r>
          </w:p>
        </w:tc>
        <w:tc>
          <w:tcPr>
            <w:tcW w:w="850" w:type="dxa"/>
            <w:tcBorders>
              <w:top w:val="nil"/>
              <w:left w:val="nil"/>
              <w:bottom w:val="single" w:sz="4" w:space="0" w:color="auto"/>
              <w:right w:val="nil"/>
            </w:tcBorders>
            <w:shd w:val="clear" w:color="auto" w:fill="E7E6E6" w:themeFill="background2"/>
            <w:vAlign w:val="bottom"/>
          </w:tcPr>
          <w:p w14:paraId="7E574C91" w14:textId="77777777" w:rsidR="00752811" w:rsidRPr="002309FE" w:rsidRDefault="00752811" w:rsidP="00333C84">
            <w:pPr>
              <w:spacing w:after="0" w:line="240" w:lineRule="auto"/>
              <w:jc w:val="right"/>
              <w:rPr>
                <w:rFonts w:ascii="Arial" w:hAnsi="Arial" w:cs="Arial"/>
                <w:color w:val="000000"/>
                <w:sz w:val="16"/>
                <w:szCs w:val="16"/>
              </w:rPr>
            </w:pPr>
            <w:r w:rsidRPr="002309FE">
              <w:rPr>
                <w:rFonts w:ascii="Arial" w:hAnsi="Arial" w:cs="Arial"/>
                <w:color w:val="000000"/>
                <w:sz w:val="16"/>
                <w:szCs w:val="16"/>
              </w:rPr>
              <w:t>$'000</w:t>
            </w:r>
          </w:p>
        </w:tc>
      </w:tr>
      <w:tr w:rsidR="00752811" w:rsidRPr="002309FE" w14:paraId="5113A512" w14:textId="77777777" w:rsidTr="00DE31D9">
        <w:trPr>
          <w:trHeight w:val="204"/>
        </w:trPr>
        <w:tc>
          <w:tcPr>
            <w:tcW w:w="2410" w:type="dxa"/>
            <w:tcBorders>
              <w:top w:val="nil"/>
              <w:left w:val="nil"/>
              <w:bottom w:val="nil"/>
              <w:right w:val="nil"/>
            </w:tcBorders>
            <w:shd w:val="clear" w:color="auto" w:fill="auto"/>
            <w:noWrap/>
            <w:vAlign w:val="bottom"/>
            <w:hideMark/>
          </w:tcPr>
          <w:p w14:paraId="784844E5" w14:textId="77777777" w:rsidR="00752811" w:rsidRDefault="00752811" w:rsidP="00333C84">
            <w:pPr>
              <w:spacing w:after="0" w:line="240" w:lineRule="auto"/>
              <w:jc w:val="left"/>
              <w:rPr>
                <w:rFonts w:ascii="Arial" w:hAnsi="Arial" w:cs="Arial"/>
                <w:b/>
                <w:bCs/>
                <w:color w:val="000000"/>
                <w:sz w:val="16"/>
                <w:szCs w:val="16"/>
              </w:rPr>
            </w:pPr>
            <w:r w:rsidRPr="002309FE">
              <w:rPr>
                <w:rFonts w:ascii="Arial" w:hAnsi="Arial" w:cs="Arial"/>
                <w:b/>
                <w:bCs/>
                <w:color w:val="000000"/>
                <w:sz w:val="16"/>
                <w:szCs w:val="16"/>
              </w:rPr>
              <w:t>Payment measures</w:t>
            </w:r>
          </w:p>
          <w:p w14:paraId="0788064C" w14:textId="1E6D764F" w:rsidR="00752811" w:rsidRPr="002309FE" w:rsidRDefault="000B28F0" w:rsidP="000B28F0">
            <w:pPr>
              <w:spacing w:after="0" w:line="240" w:lineRule="auto"/>
              <w:jc w:val="left"/>
              <w:rPr>
                <w:rFonts w:ascii="Arial" w:hAnsi="Arial" w:cs="Arial"/>
                <w:b/>
                <w:bCs/>
                <w:color w:val="000000"/>
                <w:sz w:val="16"/>
                <w:szCs w:val="16"/>
              </w:rPr>
            </w:pPr>
            <w:r>
              <w:rPr>
                <w:rFonts w:ascii="Arial" w:hAnsi="Arial" w:cs="Arial"/>
                <w:color w:val="000000"/>
                <w:sz w:val="16"/>
                <w:szCs w:val="16"/>
              </w:rPr>
              <w:t>North Queensland Water Infrastructure Authority – future funding</w:t>
            </w:r>
          </w:p>
        </w:tc>
        <w:tc>
          <w:tcPr>
            <w:tcW w:w="830" w:type="dxa"/>
            <w:tcBorders>
              <w:top w:val="nil"/>
              <w:left w:val="nil"/>
              <w:bottom w:val="nil"/>
              <w:right w:val="nil"/>
            </w:tcBorders>
            <w:shd w:val="clear" w:color="auto" w:fill="auto"/>
            <w:noWrap/>
            <w:vAlign w:val="bottom"/>
            <w:hideMark/>
          </w:tcPr>
          <w:p w14:paraId="086643E4" w14:textId="77777777" w:rsidR="00752811" w:rsidRPr="002309FE" w:rsidRDefault="00752811" w:rsidP="00333C84">
            <w:pPr>
              <w:spacing w:after="0" w:line="240" w:lineRule="auto"/>
              <w:jc w:val="center"/>
              <w:rPr>
                <w:rFonts w:ascii="Arial" w:hAnsi="Arial" w:cs="Arial"/>
                <w:b/>
                <w:bCs/>
                <w:color w:val="000000"/>
                <w:sz w:val="16"/>
                <w:szCs w:val="16"/>
              </w:rPr>
            </w:pPr>
            <w:r>
              <w:rPr>
                <w:rFonts w:ascii="Arial" w:hAnsi="Arial" w:cs="Arial"/>
                <w:color w:val="000000"/>
                <w:sz w:val="16"/>
                <w:szCs w:val="16"/>
              </w:rPr>
              <w:t>1.1</w:t>
            </w:r>
          </w:p>
        </w:tc>
        <w:tc>
          <w:tcPr>
            <w:tcW w:w="964" w:type="dxa"/>
            <w:tcBorders>
              <w:top w:val="nil"/>
              <w:left w:val="nil"/>
              <w:bottom w:val="nil"/>
              <w:right w:val="nil"/>
            </w:tcBorders>
            <w:shd w:val="clear" w:color="000000" w:fill="E6E6E6"/>
            <w:noWrap/>
            <w:vAlign w:val="bottom"/>
            <w:hideMark/>
          </w:tcPr>
          <w:p w14:paraId="564730BB" w14:textId="77777777" w:rsidR="00752811" w:rsidRPr="002309FE" w:rsidRDefault="00752811" w:rsidP="00333C84">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04256AE7" w14:textId="77777777" w:rsidR="00752811" w:rsidRPr="002309FE" w:rsidRDefault="00752811" w:rsidP="00333C84">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E7E6E6" w:themeFill="background2"/>
            <w:noWrap/>
            <w:vAlign w:val="bottom"/>
            <w:hideMark/>
          </w:tcPr>
          <w:p w14:paraId="2A82C1CA" w14:textId="77777777" w:rsidR="00752811" w:rsidRPr="002309FE" w:rsidRDefault="00752811" w:rsidP="00333C84">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55119C0" w14:textId="77777777" w:rsidR="00752811" w:rsidRPr="002309FE" w:rsidRDefault="00752811" w:rsidP="00333C84">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E7E6E6" w:themeFill="background2"/>
            <w:vAlign w:val="bottom"/>
          </w:tcPr>
          <w:p w14:paraId="4355E3DE" w14:textId="77777777" w:rsidR="00752811" w:rsidRPr="002309FE" w:rsidRDefault="00752811" w:rsidP="00333C84">
            <w:pPr>
              <w:spacing w:after="0" w:line="240" w:lineRule="auto"/>
              <w:jc w:val="right"/>
              <w:rPr>
                <w:rFonts w:ascii="Arial" w:hAnsi="Arial" w:cs="Arial"/>
                <w:sz w:val="16"/>
                <w:szCs w:val="16"/>
              </w:rPr>
            </w:pPr>
          </w:p>
        </w:tc>
      </w:tr>
      <w:tr w:rsidR="00752811" w:rsidRPr="002309FE" w14:paraId="20D338E5" w14:textId="77777777" w:rsidTr="00DE31D9">
        <w:trPr>
          <w:trHeight w:val="204"/>
        </w:trPr>
        <w:tc>
          <w:tcPr>
            <w:tcW w:w="2410" w:type="dxa"/>
            <w:tcBorders>
              <w:top w:val="nil"/>
              <w:left w:val="nil"/>
              <w:bottom w:val="nil"/>
              <w:right w:val="nil"/>
            </w:tcBorders>
            <w:shd w:val="clear" w:color="auto" w:fill="auto"/>
            <w:noWrap/>
            <w:vAlign w:val="bottom"/>
            <w:hideMark/>
          </w:tcPr>
          <w:p w14:paraId="79B0932E" w14:textId="1B36C133" w:rsidR="00752811" w:rsidRPr="00B72944" w:rsidRDefault="003C4CC6" w:rsidP="00333C84">
            <w:pPr>
              <w:spacing w:after="0" w:line="240" w:lineRule="auto"/>
              <w:ind w:left="177"/>
              <w:jc w:val="left"/>
              <w:rPr>
                <w:rFonts w:ascii="Arial" w:hAnsi="Arial" w:cs="Arial"/>
                <w:color w:val="000000"/>
                <w:sz w:val="16"/>
                <w:szCs w:val="16"/>
              </w:rPr>
            </w:pPr>
            <w:r>
              <w:rPr>
                <w:rFonts w:ascii="Arial" w:hAnsi="Arial" w:cs="Arial"/>
                <w:color w:val="000000"/>
                <w:sz w:val="16"/>
                <w:szCs w:val="16"/>
              </w:rPr>
              <w:t>Department</w:t>
            </w:r>
            <w:r w:rsidR="00752811" w:rsidRPr="00B72944">
              <w:rPr>
                <w:rFonts w:ascii="Arial" w:hAnsi="Arial" w:cs="Arial"/>
                <w:color w:val="000000"/>
                <w:sz w:val="16"/>
                <w:szCs w:val="16"/>
              </w:rPr>
              <w:t>al payments</w:t>
            </w:r>
          </w:p>
        </w:tc>
        <w:tc>
          <w:tcPr>
            <w:tcW w:w="830" w:type="dxa"/>
            <w:tcBorders>
              <w:top w:val="nil"/>
              <w:left w:val="nil"/>
              <w:bottom w:val="nil"/>
              <w:right w:val="nil"/>
            </w:tcBorders>
            <w:shd w:val="clear" w:color="auto" w:fill="auto"/>
            <w:noWrap/>
            <w:vAlign w:val="bottom"/>
            <w:hideMark/>
          </w:tcPr>
          <w:p w14:paraId="060B3E48" w14:textId="77777777" w:rsidR="00752811" w:rsidRPr="00B72944" w:rsidRDefault="00752811" w:rsidP="00333C84">
            <w:pPr>
              <w:spacing w:after="0" w:line="240" w:lineRule="auto"/>
              <w:ind w:firstLineChars="100" w:firstLine="160"/>
              <w:jc w:val="center"/>
              <w:rPr>
                <w:rFonts w:ascii="Arial" w:hAnsi="Arial" w:cs="Arial"/>
                <w:color w:val="000000"/>
                <w:sz w:val="16"/>
                <w:szCs w:val="16"/>
              </w:rPr>
            </w:pPr>
          </w:p>
        </w:tc>
        <w:tc>
          <w:tcPr>
            <w:tcW w:w="964" w:type="dxa"/>
            <w:tcBorders>
              <w:top w:val="nil"/>
              <w:left w:val="nil"/>
              <w:bottom w:val="nil"/>
              <w:right w:val="nil"/>
            </w:tcBorders>
            <w:shd w:val="clear" w:color="000000" w:fill="E6E6E6"/>
            <w:noWrap/>
            <w:vAlign w:val="bottom"/>
          </w:tcPr>
          <w:p w14:paraId="7860F94A"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clear" w:color="auto" w:fill="auto"/>
            <w:noWrap/>
            <w:vAlign w:val="bottom"/>
          </w:tcPr>
          <w:p w14:paraId="3B48815F"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967</w:t>
            </w:r>
          </w:p>
        </w:tc>
        <w:tc>
          <w:tcPr>
            <w:tcW w:w="850" w:type="dxa"/>
            <w:tcBorders>
              <w:top w:val="nil"/>
              <w:left w:val="nil"/>
              <w:bottom w:val="nil"/>
              <w:right w:val="nil"/>
            </w:tcBorders>
            <w:shd w:val="clear" w:color="auto" w:fill="E7E6E6" w:themeFill="background2"/>
            <w:noWrap/>
            <w:vAlign w:val="bottom"/>
          </w:tcPr>
          <w:p w14:paraId="6797EC28"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2,618</w:t>
            </w:r>
          </w:p>
        </w:tc>
        <w:tc>
          <w:tcPr>
            <w:tcW w:w="850" w:type="dxa"/>
            <w:tcBorders>
              <w:top w:val="nil"/>
              <w:left w:val="nil"/>
              <w:bottom w:val="nil"/>
              <w:right w:val="nil"/>
            </w:tcBorders>
            <w:shd w:val="clear" w:color="auto" w:fill="auto"/>
            <w:noWrap/>
            <w:vAlign w:val="bottom"/>
          </w:tcPr>
          <w:p w14:paraId="4A4BA1C8"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2,639</w:t>
            </w:r>
          </w:p>
        </w:tc>
        <w:tc>
          <w:tcPr>
            <w:tcW w:w="850" w:type="dxa"/>
            <w:tcBorders>
              <w:top w:val="nil"/>
              <w:left w:val="nil"/>
              <w:bottom w:val="nil"/>
              <w:right w:val="nil"/>
            </w:tcBorders>
            <w:shd w:val="clear" w:color="auto" w:fill="E7E6E6" w:themeFill="background2"/>
            <w:vAlign w:val="bottom"/>
          </w:tcPr>
          <w:p w14:paraId="528A5B09"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2,657</w:t>
            </w:r>
          </w:p>
        </w:tc>
      </w:tr>
      <w:tr w:rsidR="00752811" w:rsidRPr="002309FE" w14:paraId="0469666C" w14:textId="77777777" w:rsidTr="00DE31D9">
        <w:trPr>
          <w:trHeight w:val="204"/>
        </w:trPr>
        <w:tc>
          <w:tcPr>
            <w:tcW w:w="2410" w:type="dxa"/>
            <w:tcBorders>
              <w:top w:val="nil"/>
              <w:left w:val="nil"/>
              <w:bottom w:val="nil"/>
              <w:right w:val="nil"/>
            </w:tcBorders>
            <w:shd w:val="clear" w:color="auto" w:fill="auto"/>
            <w:noWrap/>
            <w:vAlign w:val="bottom"/>
            <w:hideMark/>
          </w:tcPr>
          <w:p w14:paraId="623A6DC0" w14:textId="77777777" w:rsidR="00752811" w:rsidRPr="00B72944" w:rsidRDefault="00752811" w:rsidP="00E92C9B">
            <w:pPr>
              <w:spacing w:after="0" w:line="240" w:lineRule="auto"/>
              <w:ind w:left="57"/>
              <w:jc w:val="left"/>
              <w:rPr>
                <w:rFonts w:ascii="Arial" w:hAnsi="Arial" w:cs="Arial"/>
                <w:b/>
                <w:bCs/>
                <w:color w:val="000000"/>
                <w:sz w:val="16"/>
                <w:szCs w:val="16"/>
              </w:rPr>
            </w:pPr>
            <w:r w:rsidRPr="00B72944">
              <w:rPr>
                <w:rFonts w:ascii="Arial" w:hAnsi="Arial" w:cs="Arial"/>
                <w:b/>
                <w:bCs/>
                <w:color w:val="000000"/>
                <w:sz w:val="16"/>
                <w:szCs w:val="16"/>
              </w:rPr>
              <w:t>Total</w:t>
            </w:r>
          </w:p>
        </w:tc>
        <w:tc>
          <w:tcPr>
            <w:tcW w:w="830" w:type="dxa"/>
            <w:tcBorders>
              <w:top w:val="nil"/>
              <w:left w:val="nil"/>
              <w:bottom w:val="nil"/>
              <w:right w:val="nil"/>
            </w:tcBorders>
            <w:shd w:val="clear" w:color="auto" w:fill="auto"/>
            <w:noWrap/>
            <w:vAlign w:val="bottom"/>
            <w:hideMark/>
          </w:tcPr>
          <w:p w14:paraId="7691404E" w14:textId="77777777" w:rsidR="00752811" w:rsidRPr="00B72944" w:rsidRDefault="00752811" w:rsidP="00333C84">
            <w:pPr>
              <w:spacing w:after="0" w:line="240" w:lineRule="auto"/>
              <w:ind w:firstLineChars="100" w:firstLine="160"/>
              <w:jc w:val="center"/>
              <w:rPr>
                <w:rFonts w:ascii="Arial" w:hAnsi="Arial" w:cs="Arial"/>
                <w:b/>
                <w:bCs/>
                <w:color w:val="000000"/>
                <w:sz w:val="16"/>
                <w:szCs w:val="16"/>
              </w:rPr>
            </w:pPr>
          </w:p>
        </w:tc>
        <w:tc>
          <w:tcPr>
            <w:tcW w:w="964" w:type="dxa"/>
            <w:tcBorders>
              <w:top w:val="nil"/>
              <w:left w:val="nil"/>
              <w:bottom w:val="nil"/>
              <w:right w:val="nil"/>
            </w:tcBorders>
            <w:shd w:val="clear" w:color="000000" w:fill="E6E6E6"/>
            <w:noWrap/>
            <w:vAlign w:val="bottom"/>
          </w:tcPr>
          <w:p w14:paraId="3D5CDD35" w14:textId="77777777" w:rsidR="00752811" w:rsidRPr="00B72944" w:rsidRDefault="00752811" w:rsidP="00333C84">
            <w:pPr>
              <w:spacing w:after="0" w:line="240" w:lineRule="auto"/>
              <w:jc w:val="right"/>
              <w:outlineLvl w:val="0"/>
              <w:rPr>
                <w:rFonts w:ascii="Arial" w:hAnsi="Arial" w:cs="Arial"/>
                <w:b/>
                <w:color w:val="000000"/>
                <w:sz w:val="16"/>
                <w:szCs w:val="16"/>
              </w:rPr>
            </w:pPr>
            <w:r>
              <w:rPr>
                <w:rFonts w:ascii="Arial" w:hAnsi="Arial" w:cs="Arial"/>
                <w:b/>
                <w:color w:val="000000"/>
                <w:sz w:val="16"/>
                <w:szCs w:val="16"/>
              </w:rPr>
              <w:t>-</w:t>
            </w:r>
          </w:p>
        </w:tc>
        <w:tc>
          <w:tcPr>
            <w:tcW w:w="850" w:type="dxa"/>
            <w:tcBorders>
              <w:top w:val="nil"/>
              <w:left w:val="nil"/>
              <w:bottom w:val="nil"/>
              <w:right w:val="nil"/>
            </w:tcBorders>
            <w:shd w:val="clear" w:color="auto" w:fill="auto"/>
            <w:noWrap/>
            <w:vAlign w:val="bottom"/>
          </w:tcPr>
          <w:p w14:paraId="2E9F113F" w14:textId="77777777" w:rsidR="00752811" w:rsidRPr="00776FEA" w:rsidRDefault="00752811" w:rsidP="00333C84">
            <w:pPr>
              <w:spacing w:after="0" w:line="240" w:lineRule="auto"/>
              <w:jc w:val="right"/>
              <w:outlineLvl w:val="0"/>
              <w:rPr>
                <w:rFonts w:ascii="Arial" w:hAnsi="Arial" w:cs="Arial"/>
                <w:b/>
                <w:color w:val="000000"/>
                <w:sz w:val="16"/>
                <w:szCs w:val="16"/>
              </w:rPr>
            </w:pPr>
            <w:r w:rsidRPr="00776FEA">
              <w:rPr>
                <w:rFonts w:ascii="Arial" w:hAnsi="Arial" w:cs="Arial"/>
                <w:b/>
                <w:color w:val="000000"/>
                <w:sz w:val="16"/>
                <w:szCs w:val="16"/>
              </w:rPr>
              <w:t>967</w:t>
            </w:r>
          </w:p>
        </w:tc>
        <w:tc>
          <w:tcPr>
            <w:tcW w:w="850" w:type="dxa"/>
            <w:tcBorders>
              <w:top w:val="nil"/>
              <w:left w:val="nil"/>
              <w:bottom w:val="nil"/>
              <w:right w:val="nil"/>
            </w:tcBorders>
            <w:shd w:val="clear" w:color="auto" w:fill="E7E6E6" w:themeFill="background2"/>
            <w:noWrap/>
            <w:vAlign w:val="bottom"/>
          </w:tcPr>
          <w:p w14:paraId="2765734F" w14:textId="77777777" w:rsidR="00752811" w:rsidRPr="00B35C64" w:rsidRDefault="00752811" w:rsidP="00333C84">
            <w:pPr>
              <w:spacing w:after="0" w:line="240" w:lineRule="auto"/>
              <w:jc w:val="right"/>
              <w:outlineLvl w:val="0"/>
              <w:rPr>
                <w:rFonts w:ascii="Arial" w:hAnsi="Arial" w:cs="Arial"/>
                <w:b/>
                <w:color w:val="000000"/>
                <w:sz w:val="16"/>
                <w:szCs w:val="16"/>
              </w:rPr>
            </w:pPr>
            <w:r>
              <w:rPr>
                <w:rFonts w:ascii="Arial" w:hAnsi="Arial" w:cs="Arial"/>
                <w:b/>
                <w:color w:val="000000"/>
                <w:sz w:val="16"/>
                <w:szCs w:val="16"/>
              </w:rPr>
              <w:t>2,618</w:t>
            </w:r>
          </w:p>
        </w:tc>
        <w:tc>
          <w:tcPr>
            <w:tcW w:w="850" w:type="dxa"/>
            <w:tcBorders>
              <w:top w:val="nil"/>
              <w:left w:val="nil"/>
              <w:bottom w:val="nil"/>
              <w:right w:val="nil"/>
            </w:tcBorders>
            <w:shd w:val="clear" w:color="auto" w:fill="auto"/>
            <w:noWrap/>
            <w:vAlign w:val="bottom"/>
          </w:tcPr>
          <w:p w14:paraId="7A0553DF" w14:textId="77777777" w:rsidR="00752811" w:rsidRPr="00B35C64" w:rsidRDefault="00752811" w:rsidP="00333C84">
            <w:pPr>
              <w:spacing w:after="0" w:line="240" w:lineRule="auto"/>
              <w:jc w:val="right"/>
              <w:outlineLvl w:val="0"/>
              <w:rPr>
                <w:rFonts w:ascii="Arial" w:hAnsi="Arial" w:cs="Arial"/>
                <w:b/>
                <w:color w:val="000000"/>
                <w:sz w:val="16"/>
                <w:szCs w:val="16"/>
              </w:rPr>
            </w:pPr>
            <w:r w:rsidRPr="00B35C64">
              <w:rPr>
                <w:rFonts w:ascii="Arial" w:hAnsi="Arial" w:cs="Arial"/>
                <w:b/>
                <w:color w:val="000000"/>
                <w:sz w:val="16"/>
                <w:szCs w:val="16"/>
              </w:rPr>
              <w:t>2,6</w:t>
            </w:r>
            <w:r>
              <w:rPr>
                <w:rFonts w:ascii="Arial" w:hAnsi="Arial" w:cs="Arial"/>
                <w:b/>
                <w:color w:val="000000"/>
                <w:sz w:val="16"/>
                <w:szCs w:val="16"/>
              </w:rPr>
              <w:t>39</w:t>
            </w:r>
          </w:p>
        </w:tc>
        <w:tc>
          <w:tcPr>
            <w:tcW w:w="850" w:type="dxa"/>
            <w:tcBorders>
              <w:top w:val="nil"/>
              <w:left w:val="nil"/>
              <w:bottom w:val="nil"/>
              <w:right w:val="nil"/>
            </w:tcBorders>
            <w:shd w:val="clear" w:color="auto" w:fill="E7E6E6" w:themeFill="background2"/>
            <w:vAlign w:val="bottom"/>
          </w:tcPr>
          <w:p w14:paraId="396F785D" w14:textId="77777777" w:rsidR="00752811" w:rsidRPr="00B35C64" w:rsidRDefault="00752811" w:rsidP="00333C84">
            <w:pPr>
              <w:spacing w:after="0" w:line="240" w:lineRule="auto"/>
              <w:jc w:val="right"/>
              <w:outlineLvl w:val="0"/>
              <w:rPr>
                <w:rFonts w:ascii="Arial" w:hAnsi="Arial" w:cs="Arial"/>
                <w:b/>
                <w:color w:val="000000"/>
                <w:sz w:val="16"/>
                <w:szCs w:val="16"/>
              </w:rPr>
            </w:pPr>
            <w:r w:rsidRPr="00B35C64">
              <w:rPr>
                <w:rFonts w:ascii="Arial" w:hAnsi="Arial" w:cs="Arial"/>
                <w:b/>
                <w:color w:val="000000"/>
                <w:sz w:val="16"/>
                <w:szCs w:val="16"/>
              </w:rPr>
              <w:t>2</w:t>
            </w:r>
            <w:r>
              <w:rPr>
                <w:rFonts w:ascii="Arial" w:hAnsi="Arial" w:cs="Arial"/>
                <w:b/>
                <w:color w:val="000000"/>
                <w:sz w:val="16"/>
                <w:szCs w:val="16"/>
              </w:rPr>
              <w:t>,657</w:t>
            </w:r>
          </w:p>
        </w:tc>
      </w:tr>
      <w:tr w:rsidR="00752811" w:rsidRPr="002309FE" w14:paraId="068C7CFC" w14:textId="77777777" w:rsidTr="00DE31D9">
        <w:trPr>
          <w:trHeight w:val="204"/>
        </w:trPr>
        <w:tc>
          <w:tcPr>
            <w:tcW w:w="2410" w:type="dxa"/>
            <w:tcBorders>
              <w:top w:val="nil"/>
              <w:left w:val="nil"/>
              <w:bottom w:val="nil"/>
              <w:right w:val="nil"/>
            </w:tcBorders>
            <w:shd w:val="clear" w:color="auto" w:fill="auto"/>
            <w:vAlign w:val="bottom"/>
            <w:hideMark/>
          </w:tcPr>
          <w:p w14:paraId="5A8B0085" w14:textId="77777777" w:rsidR="00752811" w:rsidRPr="00B72944" w:rsidRDefault="00752811" w:rsidP="00333C84">
            <w:pPr>
              <w:spacing w:after="0" w:line="240" w:lineRule="auto"/>
              <w:jc w:val="left"/>
              <w:outlineLvl w:val="0"/>
              <w:rPr>
                <w:rFonts w:ascii="Arial" w:hAnsi="Arial" w:cs="Arial"/>
                <w:b/>
                <w:bCs/>
                <w:color w:val="000000"/>
                <w:sz w:val="16"/>
                <w:szCs w:val="16"/>
              </w:rPr>
            </w:pPr>
            <w:r w:rsidRPr="00B72944">
              <w:rPr>
                <w:rFonts w:ascii="Arial" w:hAnsi="Arial" w:cs="Arial"/>
                <w:b/>
                <w:bCs/>
                <w:color w:val="000000"/>
                <w:sz w:val="16"/>
                <w:szCs w:val="16"/>
              </w:rPr>
              <w:t>Total payment measures</w:t>
            </w:r>
          </w:p>
        </w:tc>
        <w:tc>
          <w:tcPr>
            <w:tcW w:w="830" w:type="dxa"/>
            <w:tcBorders>
              <w:top w:val="nil"/>
              <w:left w:val="nil"/>
              <w:bottom w:val="nil"/>
              <w:right w:val="nil"/>
            </w:tcBorders>
            <w:shd w:val="clear" w:color="auto" w:fill="auto"/>
            <w:noWrap/>
            <w:vAlign w:val="bottom"/>
            <w:hideMark/>
          </w:tcPr>
          <w:p w14:paraId="219FCC81" w14:textId="77777777" w:rsidR="00752811" w:rsidRPr="00B72944" w:rsidRDefault="00752811" w:rsidP="00333C84">
            <w:pPr>
              <w:spacing w:after="0" w:line="240" w:lineRule="auto"/>
              <w:jc w:val="center"/>
              <w:outlineLvl w:val="0"/>
              <w:rPr>
                <w:rFonts w:ascii="Arial" w:hAnsi="Arial" w:cs="Arial"/>
                <w:b/>
                <w:bCs/>
                <w:color w:val="000000"/>
                <w:sz w:val="16"/>
                <w:szCs w:val="16"/>
              </w:rPr>
            </w:pPr>
          </w:p>
        </w:tc>
        <w:tc>
          <w:tcPr>
            <w:tcW w:w="964" w:type="dxa"/>
            <w:tcBorders>
              <w:top w:val="single" w:sz="4" w:space="0" w:color="auto"/>
              <w:left w:val="nil"/>
              <w:bottom w:val="nil"/>
              <w:right w:val="nil"/>
            </w:tcBorders>
            <w:shd w:val="clear" w:color="000000" w:fill="E6E6E6"/>
            <w:noWrap/>
            <w:vAlign w:val="bottom"/>
          </w:tcPr>
          <w:p w14:paraId="0A7530B5" w14:textId="77777777" w:rsidR="00752811" w:rsidRPr="00B72944" w:rsidRDefault="00752811" w:rsidP="00333C84">
            <w:pPr>
              <w:spacing w:after="0" w:line="240" w:lineRule="auto"/>
              <w:jc w:val="right"/>
              <w:outlineLvl w:val="0"/>
              <w:rPr>
                <w:rFonts w:ascii="Arial" w:hAnsi="Arial" w:cs="Arial"/>
                <w:color w:val="000000"/>
                <w:sz w:val="16"/>
                <w:szCs w:val="16"/>
              </w:rPr>
            </w:pPr>
          </w:p>
        </w:tc>
        <w:tc>
          <w:tcPr>
            <w:tcW w:w="850" w:type="dxa"/>
            <w:tcBorders>
              <w:top w:val="single" w:sz="4" w:space="0" w:color="auto"/>
              <w:left w:val="nil"/>
              <w:bottom w:val="nil"/>
              <w:right w:val="nil"/>
            </w:tcBorders>
            <w:shd w:val="clear" w:color="auto" w:fill="auto"/>
            <w:noWrap/>
            <w:vAlign w:val="bottom"/>
          </w:tcPr>
          <w:p w14:paraId="4CDA39F0" w14:textId="77777777" w:rsidR="00752811" w:rsidRPr="00B72944" w:rsidRDefault="00752811" w:rsidP="00333C84">
            <w:pPr>
              <w:spacing w:after="0" w:line="240" w:lineRule="auto"/>
              <w:jc w:val="right"/>
              <w:outlineLvl w:val="0"/>
              <w:rPr>
                <w:rFonts w:ascii="Arial" w:hAnsi="Arial" w:cs="Arial"/>
                <w:color w:val="000000"/>
                <w:sz w:val="16"/>
                <w:szCs w:val="16"/>
              </w:rPr>
            </w:pPr>
          </w:p>
        </w:tc>
        <w:tc>
          <w:tcPr>
            <w:tcW w:w="850" w:type="dxa"/>
            <w:tcBorders>
              <w:top w:val="single" w:sz="4" w:space="0" w:color="auto"/>
              <w:left w:val="nil"/>
              <w:bottom w:val="nil"/>
              <w:right w:val="nil"/>
            </w:tcBorders>
            <w:shd w:val="clear" w:color="auto" w:fill="E7E6E6" w:themeFill="background2"/>
            <w:noWrap/>
            <w:vAlign w:val="bottom"/>
          </w:tcPr>
          <w:p w14:paraId="6AED9024" w14:textId="77777777" w:rsidR="00752811" w:rsidRPr="00B72944" w:rsidRDefault="00752811" w:rsidP="00333C84">
            <w:pPr>
              <w:spacing w:after="0" w:line="240" w:lineRule="auto"/>
              <w:jc w:val="right"/>
              <w:outlineLvl w:val="0"/>
              <w:rPr>
                <w:rFonts w:ascii="Arial" w:hAnsi="Arial" w:cs="Arial"/>
                <w:color w:val="000000"/>
                <w:sz w:val="16"/>
                <w:szCs w:val="16"/>
              </w:rPr>
            </w:pPr>
          </w:p>
        </w:tc>
        <w:tc>
          <w:tcPr>
            <w:tcW w:w="850" w:type="dxa"/>
            <w:tcBorders>
              <w:top w:val="single" w:sz="4" w:space="0" w:color="auto"/>
              <w:left w:val="nil"/>
              <w:bottom w:val="nil"/>
              <w:right w:val="nil"/>
            </w:tcBorders>
            <w:shd w:val="clear" w:color="auto" w:fill="auto"/>
            <w:noWrap/>
            <w:vAlign w:val="bottom"/>
          </w:tcPr>
          <w:p w14:paraId="36BF9AC2" w14:textId="77777777" w:rsidR="00752811" w:rsidRPr="00B72944" w:rsidRDefault="00752811" w:rsidP="00333C84">
            <w:pPr>
              <w:spacing w:after="0" w:line="240" w:lineRule="auto"/>
              <w:jc w:val="right"/>
              <w:outlineLvl w:val="0"/>
              <w:rPr>
                <w:rFonts w:ascii="Arial" w:hAnsi="Arial" w:cs="Arial"/>
                <w:color w:val="000000"/>
                <w:sz w:val="16"/>
                <w:szCs w:val="16"/>
              </w:rPr>
            </w:pPr>
          </w:p>
        </w:tc>
        <w:tc>
          <w:tcPr>
            <w:tcW w:w="850" w:type="dxa"/>
            <w:tcBorders>
              <w:top w:val="single" w:sz="4" w:space="0" w:color="auto"/>
              <w:left w:val="nil"/>
              <w:bottom w:val="nil"/>
              <w:right w:val="nil"/>
            </w:tcBorders>
            <w:shd w:val="clear" w:color="auto" w:fill="E7E6E6" w:themeFill="background2"/>
            <w:vAlign w:val="bottom"/>
          </w:tcPr>
          <w:p w14:paraId="6FA0CAAF" w14:textId="77777777" w:rsidR="00752811" w:rsidRPr="00B72944" w:rsidRDefault="00752811" w:rsidP="00333C84">
            <w:pPr>
              <w:spacing w:after="0" w:line="240" w:lineRule="auto"/>
              <w:jc w:val="right"/>
              <w:outlineLvl w:val="0"/>
              <w:rPr>
                <w:rFonts w:ascii="Arial" w:hAnsi="Arial" w:cs="Arial"/>
                <w:color w:val="000000"/>
                <w:sz w:val="16"/>
                <w:szCs w:val="16"/>
              </w:rPr>
            </w:pPr>
          </w:p>
        </w:tc>
      </w:tr>
      <w:tr w:rsidR="00752811" w:rsidRPr="002309FE" w14:paraId="42391FB6" w14:textId="77777777" w:rsidTr="00DE31D9">
        <w:trPr>
          <w:trHeight w:val="204"/>
        </w:trPr>
        <w:tc>
          <w:tcPr>
            <w:tcW w:w="2410" w:type="dxa"/>
            <w:tcBorders>
              <w:top w:val="nil"/>
              <w:left w:val="nil"/>
              <w:right w:val="nil"/>
            </w:tcBorders>
            <w:shd w:val="clear" w:color="auto" w:fill="auto"/>
            <w:noWrap/>
            <w:vAlign w:val="bottom"/>
            <w:hideMark/>
          </w:tcPr>
          <w:p w14:paraId="56A3881E" w14:textId="4484C4CA" w:rsidR="00752811" w:rsidRPr="00B72944" w:rsidRDefault="003C4CC6" w:rsidP="00333C84">
            <w:pPr>
              <w:spacing w:after="0" w:line="240" w:lineRule="auto"/>
              <w:ind w:left="177"/>
              <w:jc w:val="left"/>
              <w:rPr>
                <w:rFonts w:ascii="Arial" w:hAnsi="Arial" w:cs="Arial"/>
                <w:color w:val="000000"/>
                <w:sz w:val="16"/>
                <w:szCs w:val="16"/>
              </w:rPr>
            </w:pPr>
            <w:r>
              <w:rPr>
                <w:rFonts w:ascii="Arial" w:hAnsi="Arial" w:cs="Arial"/>
                <w:color w:val="000000"/>
                <w:sz w:val="16"/>
                <w:szCs w:val="16"/>
              </w:rPr>
              <w:t>Department</w:t>
            </w:r>
            <w:r w:rsidR="00752811" w:rsidRPr="00B72944">
              <w:rPr>
                <w:rFonts w:ascii="Arial" w:hAnsi="Arial" w:cs="Arial"/>
                <w:color w:val="000000"/>
                <w:sz w:val="16"/>
                <w:szCs w:val="16"/>
              </w:rPr>
              <w:t>al</w:t>
            </w:r>
          </w:p>
        </w:tc>
        <w:tc>
          <w:tcPr>
            <w:tcW w:w="830" w:type="dxa"/>
            <w:tcBorders>
              <w:top w:val="nil"/>
              <w:left w:val="nil"/>
              <w:right w:val="nil"/>
            </w:tcBorders>
            <w:shd w:val="clear" w:color="auto" w:fill="auto"/>
            <w:noWrap/>
            <w:vAlign w:val="bottom"/>
            <w:hideMark/>
          </w:tcPr>
          <w:p w14:paraId="5AA9C60E" w14:textId="77777777" w:rsidR="00752811" w:rsidRPr="00B72944" w:rsidRDefault="00752811" w:rsidP="00333C84">
            <w:pPr>
              <w:spacing w:after="0" w:line="240" w:lineRule="auto"/>
              <w:ind w:firstLineChars="100" w:firstLine="160"/>
              <w:jc w:val="center"/>
              <w:outlineLvl w:val="0"/>
              <w:rPr>
                <w:rFonts w:ascii="Arial" w:hAnsi="Arial" w:cs="Arial"/>
                <w:color w:val="000000"/>
                <w:sz w:val="16"/>
                <w:szCs w:val="16"/>
              </w:rPr>
            </w:pPr>
          </w:p>
        </w:tc>
        <w:tc>
          <w:tcPr>
            <w:tcW w:w="964" w:type="dxa"/>
            <w:tcBorders>
              <w:top w:val="nil"/>
              <w:left w:val="nil"/>
              <w:right w:val="nil"/>
            </w:tcBorders>
            <w:shd w:val="clear" w:color="000000" w:fill="E6E6E6"/>
            <w:noWrap/>
            <w:vAlign w:val="bottom"/>
          </w:tcPr>
          <w:p w14:paraId="3E1FFB26"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w:t>
            </w:r>
          </w:p>
        </w:tc>
        <w:tc>
          <w:tcPr>
            <w:tcW w:w="850" w:type="dxa"/>
            <w:tcBorders>
              <w:top w:val="nil"/>
              <w:left w:val="nil"/>
              <w:right w:val="nil"/>
            </w:tcBorders>
            <w:shd w:val="clear" w:color="auto" w:fill="auto"/>
            <w:noWrap/>
            <w:vAlign w:val="bottom"/>
          </w:tcPr>
          <w:p w14:paraId="6BF2C881"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967</w:t>
            </w:r>
          </w:p>
        </w:tc>
        <w:tc>
          <w:tcPr>
            <w:tcW w:w="850" w:type="dxa"/>
            <w:tcBorders>
              <w:top w:val="nil"/>
              <w:left w:val="nil"/>
              <w:right w:val="nil"/>
            </w:tcBorders>
            <w:shd w:val="clear" w:color="auto" w:fill="E7E6E6" w:themeFill="background2"/>
            <w:noWrap/>
            <w:vAlign w:val="bottom"/>
          </w:tcPr>
          <w:p w14:paraId="5C02E5B0"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2,618</w:t>
            </w:r>
          </w:p>
        </w:tc>
        <w:tc>
          <w:tcPr>
            <w:tcW w:w="850" w:type="dxa"/>
            <w:tcBorders>
              <w:top w:val="nil"/>
              <w:left w:val="nil"/>
              <w:right w:val="nil"/>
            </w:tcBorders>
            <w:shd w:val="clear" w:color="auto" w:fill="auto"/>
            <w:noWrap/>
            <w:vAlign w:val="bottom"/>
          </w:tcPr>
          <w:p w14:paraId="76326F45"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2,639</w:t>
            </w:r>
          </w:p>
        </w:tc>
        <w:tc>
          <w:tcPr>
            <w:tcW w:w="850" w:type="dxa"/>
            <w:tcBorders>
              <w:top w:val="nil"/>
              <w:left w:val="nil"/>
              <w:right w:val="nil"/>
            </w:tcBorders>
            <w:shd w:val="clear" w:color="auto" w:fill="E7E6E6" w:themeFill="background2"/>
            <w:vAlign w:val="bottom"/>
          </w:tcPr>
          <w:p w14:paraId="07E39E36" w14:textId="77777777" w:rsidR="00752811" w:rsidRPr="00B72944" w:rsidRDefault="00752811" w:rsidP="00333C84">
            <w:pPr>
              <w:spacing w:after="0" w:line="240" w:lineRule="auto"/>
              <w:jc w:val="right"/>
              <w:outlineLvl w:val="0"/>
              <w:rPr>
                <w:rFonts w:ascii="Arial" w:hAnsi="Arial" w:cs="Arial"/>
                <w:color w:val="000000"/>
                <w:sz w:val="16"/>
                <w:szCs w:val="16"/>
              </w:rPr>
            </w:pPr>
            <w:r>
              <w:rPr>
                <w:rFonts w:ascii="Arial" w:hAnsi="Arial" w:cs="Arial"/>
                <w:color w:val="000000"/>
                <w:sz w:val="16"/>
                <w:szCs w:val="16"/>
              </w:rPr>
              <w:t>2,657</w:t>
            </w:r>
          </w:p>
        </w:tc>
      </w:tr>
      <w:tr w:rsidR="00752811" w:rsidRPr="002309FE" w14:paraId="3A96A36C" w14:textId="77777777" w:rsidTr="00DE31D9">
        <w:trPr>
          <w:trHeight w:val="227"/>
        </w:trPr>
        <w:tc>
          <w:tcPr>
            <w:tcW w:w="2410" w:type="dxa"/>
            <w:tcBorders>
              <w:top w:val="nil"/>
              <w:left w:val="nil"/>
              <w:bottom w:val="single" w:sz="4" w:space="0" w:color="auto"/>
              <w:right w:val="nil"/>
            </w:tcBorders>
            <w:shd w:val="clear" w:color="auto" w:fill="auto"/>
            <w:noWrap/>
            <w:vAlign w:val="bottom"/>
            <w:hideMark/>
          </w:tcPr>
          <w:p w14:paraId="24825565" w14:textId="77777777" w:rsidR="00752811" w:rsidRPr="00B72944" w:rsidRDefault="00752811" w:rsidP="00E92C9B">
            <w:pPr>
              <w:spacing w:after="0" w:line="240" w:lineRule="auto"/>
              <w:ind w:left="57"/>
              <w:jc w:val="left"/>
              <w:rPr>
                <w:rFonts w:ascii="Arial" w:hAnsi="Arial" w:cs="Arial"/>
                <w:b/>
                <w:bCs/>
                <w:color w:val="000000"/>
                <w:sz w:val="16"/>
                <w:szCs w:val="16"/>
              </w:rPr>
            </w:pPr>
            <w:r w:rsidRPr="00B72944">
              <w:rPr>
                <w:rFonts w:ascii="Arial" w:hAnsi="Arial" w:cs="Arial"/>
                <w:b/>
                <w:bCs/>
                <w:color w:val="000000"/>
                <w:sz w:val="16"/>
                <w:szCs w:val="16"/>
              </w:rPr>
              <w:t>Total</w:t>
            </w:r>
          </w:p>
        </w:tc>
        <w:tc>
          <w:tcPr>
            <w:tcW w:w="830" w:type="dxa"/>
            <w:tcBorders>
              <w:top w:val="nil"/>
              <w:left w:val="nil"/>
              <w:bottom w:val="single" w:sz="4" w:space="0" w:color="auto"/>
              <w:right w:val="nil"/>
            </w:tcBorders>
            <w:shd w:val="clear" w:color="auto" w:fill="auto"/>
            <w:noWrap/>
            <w:vAlign w:val="bottom"/>
            <w:hideMark/>
          </w:tcPr>
          <w:p w14:paraId="3712DA16" w14:textId="77777777" w:rsidR="00752811" w:rsidRPr="00B72944" w:rsidRDefault="00752811" w:rsidP="00333C84">
            <w:pPr>
              <w:spacing w:after="0" w:line="240" w:lineRule="auto"/>
              <w:ind w:firstLineChars="100" w:firstLine="160"/>
              <w:jc w:val="center"/>
              <w:outlineLvl w:val="0"/>
              <w:rPr>
                <w:rFonts w:ascii="Arial" w:hAnsi="Arial" w:cs="Arial"/>
                <w:b/>
                <w:bCs/>
                <w:color w:val="000000"/>
                <w:sz w:val="16"/>
                <w:szCs w:val="16"/>
              </w:rPr>
            </w:pPr>
          </w:p>
        </w:tc>
        <w:tc>
          <w:tcPr>
            <w:tcW w:w="964" w:type="dxa"/>
            <w:tcBorders>
              <w:top w:val="nil"/>
              <w:left w:val="nil"/>
              <w:bottom w:val="single" w:sz="4" w:space="0" w:color="auto"/>
              <w:right w:val="nil"/>
            </w:tcBorders>
            <w:shd w:val="clear" w:color="000000" w:fill="E6E6E6"/>
            <w:noWrap/>
            <w:vAlign w:val="bottom"/>
          </w:tcPr>
          <w:p w14:paraId="69454206" w14:textId="77777777" w:rsidR="00752811" w:rsidRPr="00B72944" w:rsidRDefault="00752811" w:rsidP="00333C84">
            <w:pPr>
              <w:spacing w:after="0" w:line="240" w:lineRule="auto"/>
              <w:jc w:val="right"/>
              <w:outlineLvl w:val="0"/>
              <w:rPr>
                <w:rFonts w:ascii="Arial" w:hAnsi="Arial" w:cs="Arial"/>
                <w:b/>
                <w:color w:val="000000"/>
                <w:sz w:val="16"/>
                <w:szCs w:val="16"/>
              </w:rPr>
            </w:pPr>
            <w:r>
              <w:rPr>
                <w:rFonts w:ascii="Arial" w:hAnsi="Arial" w:cs="Arial"/>
                <w:b/>
                <w:color w:val="000000"/>
                <w:sz w:val="16"/>
                <w:szCs w:val="16"/>
              </w:rPr>
              <w:t>-</w:t>
            </w:r>
          </w:p>
        </w:tc>
        <w:tc>
          <w:tcPr>
            <w:tcW w:w="850" w:type="dxa"/>
            <w:tcBorders>
              <w:top w:val="nil"/>
              <w:left w:val="nil"/>
              <w:bottom w:val="single" w:sz="4" w:space="0" w:color="auto"/>
              <w:right w:val="nil"/>
            </w:tcBorders>
            <w:shd w:val="clear" w:color="auto" w:fill="auto"/>
            <w:noWrap/>
            <w:vAlign w:val="bottom"/>
          </w:tcPr>
          <w:p w14:paraId="2102DDB0" w14:textId="77777777" w:rsidR="00752811" w:rsidRPr="00B72944" w:rsidRDefault="00752811" w:rsidP="00333C84">
            <w:pPr>
              <w:spacing w:after="0" w:line="240" w:lineRule="auto"/>
              <w:jc w:val="right"/>
              <w:outlineLvl w:val="0"/>
              <w:rPr>
                <w:rFonts w:ascii="Arial" w:hAnsi="Arial" w:cs="Arial"/>
                <w:b/>
                <w:color w:val="000000"/>
                <w:sz w:val="16"/>
                <w:szCs w:val="16"/>
              </w:rPr>
            </w:pPr>
            <w:r w:rsidRPr="00776FEA">
              <w:rPr>
                <w:rFonts w:ascii="Arial" w:hAnsi="Arial" w:cs="Arial"/>
                <w:b/>
                <w:color w:val="000000"/>
                <w:sz w:val="16"/>
                <w:szCs w:val="16"/>
              </w:rPr>
              <w:t>967</w:t>
            </w:r>
          </w:p>
        </w:tc>
        <w:tc>
          <w:tcPr>
            <w:tcW w:w="850" w:type="dxa"/>
            <w:tcBorders>
              <w:top w:val="nil"/>
              <w:left w:val="nil"/>
              <w:bottom w:val="single" w:sz="4" w:space="0" w:color="auto"/>
              <w:right w:val="nil"/>
            </w:tcBorders>
            <w:shd w:val="clear" w:color="auto" w:fill="E7E6E6" w:themeFill="background2"/>
            <w:noWrap/>
            <w:vAlign w:val="bottom"/>
          </w:tcPr>
          <w:p w14:paraId="05FF65EF" w14:textId="77777777" w:rsidR="00752811" w:rsidRPr="00B72944" w:rsidRDefault="00752811" w:rsidP="00333C84">
            <w:pPr>
              <w:spacing w:after="0" w:line="240" w:lineRule="auto"/>
              <w:jc w:val="right"/>
              <w:outlineLvl w:val="0"/>
              <w:rPr>
                <w:rFonts w:ascii="Arial" w:hAnsi="Arial" w:cs="Arial"/>
                <w:b/>
                <w:color w:val="000000"/>
                <w:sz w:val="16"/>
                <w:szCs w:val="16"/>
              </w:rPr>
            </w:pPr>
            <w:r>
              <w:rPr>
                <w:rFonts w:ascii="Arial" w:hAnsi="Arial" w:cs="Arial"/>
                <w:b/>
                <w:color w:val="000000"/>
                <w:sz w:val="16"/>
                <w:szCs w:val="16"/>
              </w:rPr>
              <w:t>2,618</w:t>
            </w:r>
          </w:p>
        </w:tc>
        <w:tc>
          <w:tcPr>
            <w:tcW w:w="850" w:type="dxa"/>
            <w:tcBorders>
              <w:top w:val="nil"/>
              <w:left w:val="nil"/>
              <w:bottom w:val="single" w:sz="4" w:space="0" w:color="auto"/>
              <w:right w:val="nil"/>
            </w:tcBorders>
            <w:shd w:val="clear" w:color="auto" w:fill="auto"/>
            <w:noWrap/>
            <w:vAlign w:val="bottom"/>
          </w:tcPr>
          <w:p w14:paraId="31F62FC2" w14:textId="77777777" w:rsidR="00752811" w:rsidRPr="00B72944" w:rsidRDefault="00752811" w:rsidP="00333C84">
            <w:pPr>
              <w:spacing w:after="0" w:line="240" w:lineRule="auto"/>
              <w:jc w:val="right"/>
              <w:outlineLvl w:val="0"/>
              <w:rPr>
                <w:rFonts w:ascii="Arial" w:hAnsi="Arial" w:cs="Arial"/>
                <w:b/>
                <w:color w:val="000000"/>
                <w:sz w:val="16"/>
                <w:szCs w:val="16"/>
              </w:rPr>
            </w:pPr>
            <w:r w:rsidRPr="00B35C64">
              <w:rPr>
                <w:rFonts w:ascii="Arial" w:hAnsi="Arial" w:cs="Arial"/>
                <w:b/>
                <w:color w:val="000000"/>
                <w:sz w:val="16"/>
                <w:szCs w:val="16"/>
              </w:rPr>
              <w:t>2,6</w:t>
            </w:r>
            <w:r>
              <w:rPr>
                <w:rFonts w:ascii="Arial" w:hAnsi="Arial" w:cs="Arial"/>
                <w:b/>
                <w:color w:val="000000"/>
                <w:sz w:val="16"/>
                <w:szCs w:val="16"/>
              </w:rPr>
              <w:t>39</w:t>
            </w:r>
          </w:p>
        </w:tc>
        <w:tc>
          <w:tcPr>
            <w:tcW w:w="850" w:type="dxa"/>
            <w:tcBorders>
              <w:top w:val="nil"/>
              <w:left w:val="nil"/>
              <w:bottom w:val="single" w:sz="4" w:space="0" w:color="auto"/>
              <w:right w:val="nil"/>
            </w:tcBorders>
            <w:shd w:val="clear" w:color="auto" w:fill="E7E6E6" w:themeFill="background2"/>
            <w:vAlign w:val="bottom"/>
          </w:tcPr>
          <w:p w14:paraId="4C92E637" w14:textId="77777777" w:rsidR="00752811" w:rsidRDefault="00752811" w:rsidP="00333C84">
            <w:pPr>
              <w:spacing w:after="0" w:line="240" w:lineRule="auto"/>
              <w:jc w:val="right"/>
              <w:outlineLvl w:val="0"/>
              <w:rPr>
                <w:rFonts w:ascii="Arial" w:hAnsi="Arial" w:cs="Arial"/>
                <w:b/>
                <w:color w:val="000000"/>
                <w:sz w:val="16"/>
                <w:szCs w:val="16"/>
              </w:rPr>
            </w:pPr>
            <w:r>
              <w:rPr>
                <w:rFonts w:ascii="Arial" w:hAnsi="Arial" w:cs="Arial"/>
                <w:b/>
                <w:color w:val="000000"/>
                <w:sz w:val="16"/>
                <w:szCs w:val="16"/>
              </w:rPr>
              <w:t>2,657</w:t>
            </w:r>
          </w:p>
        </w:tc>
      </w:tr>
    </w:tbl>
    <w:p w14:paraId="0A43CD15" w14:textId="77777777" w:rsidR="00DE31D9" w:rsidRDefault="00752811" w:rsidP="00752811">
      <w:pPr>
        <w:pStyle w:val="ChartandTableFootnote"/>
        <w:spacing w:before="60"/>
        <w:jc w:val="left"/>
      </w:pPr>
      <w:r w:rsidRPr="00704BB6">
        <w:t>Prepared on a Government Finance Stat</w:t>
      </w:r>
      <w:r w:rsidR="00DE31D9">
        <w:t>istics (Underlying Cash) basis.</w:t>
      </w:r>
    </w:p>
    <w:p w14:paraId="40083F1A" w14:textId="22FACAD3" w:rsidR="00752811" w:rsidRPr="00704BB6" w:rsidRDefault="00752811" w:rsidP="00DE31D9">
      <w:pPr>
        <w:pStyle w:val="ChartandTableFootnote"/>
        <w:jc w:val="left"/>
      </w:pPr>
      <w:r w:rsidRPr="00704BB6">
        <w:t>Figures displayed as a negative (-) represent a decrease in funds and a positive (+) represent an increase in funds.</w:t>
      </w:r>
    </w:p>
    <w:p w14:paraId="47368237" w14:textId="77777777" w:rsidR="00752811" w:rsidRDefault="00752811" w:rsidP="00752811">
      <w:pPr>
        <w:pStyle w:val="NoSpacing"/>
      </w:pPr>
    </w:p>
    <w:p w14:paraId="112E4157" w14:textId="77777777" w:rsidR="00752811" w:rsidRDefault="00752811" w:rsidP="00752811">
      <w:pPr>
        <w:spacing w:after="0" w:line="240" w:lineRule="auto"/>
        <w:jc w:val="left"/>
        <w:rPr>
          <w:rFonts w:ascii="Arial Bold" w:hAnsi="Arial Bold"/>
          <w:b/>
        </w:rPr>
      </w:pPr>
      <w:r>
        <w:br w:type="page"/>
      </w:r>
    </w:p>
    <w:p w14:paraId="368D536A" w14:textId="77777777" w:rsidR="00752811" w:rsidRPr="00810C6A" w:rsidRDefault="00752811" w:rsidP="007E1B5A">
      <w:pPr>
        <w:pStyle w:val="Heading2-NQWIA"/>
      </w:pPr>
      <w:bookmarkStart w:id="31" w:name="_Toc97667528"/>
      <w:bookmarkStart w:id="32" w:name="_Toc98440398"/>
      <w:bookmarkStart w:id="33" w:name="_Toc98440546"/>
      <w:bookmarkStart w:id="34" w:name="_Toc98440694"/>
      <w:bookmarkStart w:id="35" w:name="_Toc98440842"/>
      <w:bookmarkStart w:id="36" w:name="_Toc98440990"/>
      <w:bookmarkStart w:id="37" w:name="_Toc99027403"/>
      <w:r>
        <w:lastRenderedPageBreak/>
        <w:t>S</w:t>
      </w:r>
      <w:r w:rsidRPr="00810C6A">
        <w:t>ection 2: Outcomes and planned performance</w:t>
      </w:r>
      <w:bookmarkEnd w:id="31"/>
      <w:bookmarkEnd w:id="32"/>
      <w:bookmarkEnd w:id="33"/>
      <w:bookmarkEnd w:id="34"/>
      <w:bookmarkEnd w:id="35"/>
      <w:bookmarkEnd w:id="36"/>
      <w:bookmarkEnd w:id="37"/>
    </w:p>
    <w:p w14:paraId="66C5D4CF"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E81F818" w14:textId="77777777" w:rsidR="00752811" w:rsidRDefault="00752811" w:rsidP="00752811">
      <w:pPr>
        <w:jc w:val="left"/>
        <w:rPr>
          <w:i/>
          <w:color w:val="FF0000"/>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095C31EA" w14:textId="77777777" w:rsidTr="00333C84">
        <w:tc>
          <w:tcPr>
            <w:tcW w:w="7700" w:type="dxa"/>
          </w:tcPr>
          <w:p w14:paraId="6B1783F6" w14:textId="77777777" w:rsidR="00752811" w:rsidRPr="006906E4" w:rsidRDefault="00752811" w:rsidP="00333C84">
            <w:pPr>
              <w:spacing w:before="120" w:after="120" w:line="240" w:lineRule="auto"/>
              <w:jc w:val="left"/>
              <w:rPr>
                <w:b/>
              </w:rPr>
            </w:pPr>
            <w:r w:rsidRPr="006906E4">
              <w:rPr>
                <w:b/>
              </w:rPr>
              <w:t>Note:</w:t>
            </w:r>
          </w:p>
          <w:p w14:paraId="002E6D02" w14:textId="5494E0D7" w:rsidR="00752811" w:rsidRDefault="00752811" w:rsidP="00333C84">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EB7ABD">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101883ED" w14:textId="77777777" w:rsidR="00752811" w:rsidRPr="00777081" w:rsidRDefault="00752811" w:rsidP="00333C84">
            <w:pPr>
              <w:spacing w:after="0"/>
              <w:jc w:val="left"/>
              <w:rPr>
                <w:u w:val="single"/>
              </w:rPr>
            </w:pPr>
            <w:r w:rsidRPr="00777081">
              <w:t xml:space="preserve">The most recent corporate plan for the North Queensland Water Infrastructure Authority can be found at: </w:t>
            </w:r>
          </w:p>
          <w:p w14:paraId="1789D64C" w14:textId="77777777" w:rsidR="00752811" w:rsidRPr="00777081" w:rsidRDefault="00752811" w:rsidP="00333C84">
            <w:r w:rsidRPr="00777081">
              <w:rPr>
                <w:u w:val="single"/>
              </w:rPr>
              <w:t>https://www.nqwia.gov.au/sites/default/files/documents/nqwia_corp_plan_20-22.pdf</w:t>
            </w:r>
          </w:p>
          <w:p w14:paraId="1DEED020" w14:textId="77777777" w:rsidR="00752811" w:rsidRPr="00777081" w:rsidRDefault="00752811" w:rsidP="00333C84">
            <w:pPr>
              <w:spacing w:after="0"/>
            </w:pPr>
            <w:r w:rsidRPr="00777081">
              <w:t xml:space="preserve">The most recent annual performance statement can be found at: </w:t>
            </w:r>
          </w:p>
          <w:p w14:paraId="6DB30F3B" w14:textId="77777777" w:rsidR="00752811" w:rsidRPr="00940E9A" w:rsidRDefault="00752811" w:rsidP="00333C84">
            <w:pPr>
              <w:rPr>
                <w:u w:val="single"/>
              </w:rPr>
            </w:pPr>
            <w:r w:rsidRPr="00777081">
              <w:rPr>
                <w:u w:val="single"/>
              </w:rPr>
              <w:t>https://www.nqwia.gov.au/sites/default/files/documents/nqwia-annual-report-2020-21.pdf</w:t>
            </w:r>
          </w:p>
        </w:tc>
      </w:tr>
    </w:tbl>
    <w:p w14:paraId="30F38BA4" w14:textId="77777777" w:rsidR="00752811" w:rsidRDefault="00752811" w:rsidP="00752811">
      <w:pPr>
        <w:rPr>
          <w:highlight w:val="yellow"/>
        </w:rPr>
      </w:pPr>
    </w:p>
    <w:p w14:paraId="0A40DDCF" w14:textId="77777777" w:rsidR="00752811" w:rsidRDefault="00752811" w:rsidP="00752811">
      <w:pPr>
        <w:pStyle w:val="Heading3"/>
        <w:sectPr w:rsidR="00752811" w:rsidSect="00EA3788">
          <w:headerReference w:type="even" r:id="rId20"/>
          <w:headerReference w:type="default" r:id="rId21"/>
          <w:headerReference w:type="first" r:id="rId22"/>
          <w:footerReference w:type="first" r:id="rId23"/>
          <w:type w:val="oddPage"/>
          <w:pgSz w:w="11906" w:h="16838" w:code="9"/>
          <w:pgMar w:top="2835" w:right="2098" w:bottom="2466" w:left="2098" w:header="1814" w:footer="1814" w:gutter="0"/>
          <w:pgNumType w:start="445"/>
          <w:cols w:space="708"/>
          <w:titlePg/>
          <w:docGrid w:linePitch="360"/>
        </w:sectPr>
      </w:pPr>
    </w:p>
    <w:p w14:paraId="758A0FC2" w14:textId="77777777" w:rsidR="00752811" w:rsidRPr="00F743D8" w:rsidRDefault="00752811" w:rsidP="007E1B5A">
      <w:pPr>
        <w:pStyle w:val="Heading3-NQWIA"/>
      </w:pPr>
      <w:bookmarkStart w:id="38" w:name="_Toc97667529"/>
      <w:bookmarkStart w:id="39" w:name="_Toc98440399"/>
      <w:bookmarkStart w:id="40" w:name="_Toc98440547"/>
      <w:bookmarkStart w:id="41" w:name="_Toc98440695"/>
      <w:bookmarkStart w:id="42" w:name="_Toc98440843"/>
      <w:bookmarkStart w:id="43" w:name="_Toc98440991"/>
      <w:bookmarkStart w:id="44" w:name="_Toc99027404"/>
      <w:r>
        <w:lastRenderedPageBreak/>
        <w:t>2.1</w:t>
      </w:r>
      <w:r w:rsidRPr="00F743D8">
        <w:tab/>
        <w:t xml:space="preserve">Budgeted expenses and performance for Outcome </w:t>
      </w:r>
      <w:r>
        <w:t>1</w:t>
      </w:r>
      <w:bookmarkEnd w:id="38"/>
      <w:bookmarkEnd w:id="39"/>
      <w:bookmarkEnd w:id="40"/>
      <w:bookmarkEnd w:id="41"/>
      <w:bookmarkEnd w:id="42"/>
      <w:bookmarkEnd w:id="43"/>
      <w:bookmarkEnd w:id="4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52"/>
      </w:tblGrid>
      <w:tr w:rsidR="00752811" w:rsidRPr="005E6F2B" w14:paraId="1F355A4D" w14:textId="77777777" w:rsidTr="00DE31D9">
        <w:tc>
          <w:tcPr>
            <w:tcW w:w="7652" w:type="dxa"/>
            <w:shd w:val="clear" w:color="auto" w:fill="E6E6E6"/>
          </w:tcPr>
          <w:p w14:paraId="4C8B8335" w14:textId="77777777" w:rsidR="00752811" w:rsidRPr="00D80CBE" w:rsidRDefault="00752811" w:rsidP="00333C84">
            <w:pPr>
              <w:pStyle w:val="TableColumnHeadingLeft"/>
            </w:pPr>
            <w:r w:rsidRPr="00777081">
              <w:t>Outcome 1: Progress the development of water resource projects in North Queensland, through strategic planning and coordination of information sharing among relevant regulatory authorities and stakeholders</w:t>
            </w:r>
          </w:p>
        </w:tc>
      </w:tr>
    </w:tbl>
    <w:p w14:paraId="5CD611D7" w14:textId="77777777" w:rsidR="00752811" w:rsidRPr="005E6F2B" w:rsidRDefault="00752811" w:rsidP="00752811">
      <w:pPr>
        <w:pStyle w:val="NoSpacing"/>
      </w:pPr>
    </w:p>
    <w:p w14:paraId="1B774517" w14:textId="77777777" w:rsidR="00752811" w:rsidRPr="00777081" w:rsidRDefault="00752811" w:rsidP="00752811">
      <w:pPr>
        <w:pStyle w:val="Heading5"/>
        <w:rPr>
          <w:b/>
        </w:rPr>
      </w:pPr>
      <w:r w:rsidRPr="00777081">
        <w:rPr>
          <w:b/>
        </w:rPr>
        <w:t>Budgeted expenses for Outcome 1</w:t>
      </w:r>
    </w:p>
    <w:p w14:paraId="49A250FB" w14:textId="34F668C0" w:rsidR="00752811" w:rsidRDefault="00752811" w:rsidP="00752811">
      <w:pPr>
        <w:jc w:val="left"/>
      </w:pPr>
      <w:r w:rsidRPr="00950281">
        <w:t xml:space="preserve">This table shows how much the entity intends to spend (on an accrual basis) on achieving the outcome, broken down by </w:t>
      </w:r>
      <w:r>
        <w:t>program.</w:t>
      </w:r>
    </w:p>
    <w:p w14:paraId="73098DEA" w14:textId="77777777" w:rsidR="00752811" w:rsidRPr="00777081" w:rsidRDefault="00752811" w:rsidP="00752811">
      <w:pPr>
        <w:spacing w:after="0"/>
        <w:rPr>
          <w:rFonts w:ascii="Arial" w:hAnsi="Arial" w:cs="Arial"/>
          <w:b/>
        </w:rPr>
      </w:pPr>
      <w:r w:rsidRPr="00777081">
        <w:rPr>
          <w:rFonts w:ascii="Arial" w:hAnsi="Arial" w:cs="Arial"/>
          <w:b/>
        </w:rPr>
        <w:t>Table 2.</w:t>
      </w:r>
      <w:r>
        <w:rPr>
          <w:rFonts w:ascii="Arial" w:hAnsi="Arial" w:cs="Arial"/>
          <w:b/>
        </w:rPr>
        <w:t>1</w:t>
      </w:r>
      <w:r w:rsidRPr="00777081">
        <w:rPr>
          <w:rFonts w:ascii="Arial" w:hAnsi="Arial" w:cs="Arial"/>
          <w:b/>
        </w:rPr>
        <w:t>.1: Budgeted expenses for Outcome 1</w:t>
      </w:r>
    </w:p>
    <w:tbl>
      <w:tblPr>
        <w:tblW w:w="7655" w:type="dxa"/>
        <w:tblLook w:val="04A0" w:firstRow="1" w:lastRow="0" w:firstColumn="1" w:lastColumn="0" w:noHBand="0" w:noVBand="1"/>
      </w:tblPr>
      <w:tblGrid>
        <w:gridCol w:w="2835"/>
        <w:gridCol w:w="940"/>
        <w:gridCol w:w="940"/>
        <w:gridCol w:w="940"/>
        <w:gridCol w:w="940"/>
        <w:gridCol w:w="1060"/>
      </w:tblGrid>
      <w:tr w:rsidR="00752811" w:rsidRPr="00D47086" w14:paraId="3DD1C5A3" w14:textId="77777777" w:rsidTr="00DE31D9">
        <w:trPr>
          <w:trHeight w:val="810"/>
        </w:trPr>
        <w:tc>
          <w:tcPr>
            <w:tcW w:w="2835" w:type="dxa"/>
            <w:tcBorders>
              <w:top w:val="single" w:sz="4" w:space="0" w:color="auto"/>
              <w:left w:val="nil"/>
              <w:bottom w:val="single" w:sz="4" w:space="0" w:color="auto"/>
              <w:right w:val="nil"/>
            </w:tcBorders>
            <w:shd w:val="clear" w:color="auto" w:fill="auto"/>
            <w:vAlign w:val="center"/>
            <w:hideMark/>
          </w:tcPr>
          <w:p w14:paraId="509636F4" w14:textId="77777777" w:rsidR="00752811" w:rsidRPr="00D47086" w:rsidRDefault="00752811" w:rsidP="00333C84">
            <w:pPr>
              <w:spacing w:after="0" w:line="240" w:lineRule="auto"/>
              <w:jc w:val="left"/>
              <w:rPr>
                <w:rFonts w:ascii="Arial" w:hAnsi="Arial" w:cs="Arial"/>
                <w:b/>
                <w:bCs/>
                <w:color w:val="000000"/>
                <w:sz w:val="16"/>
                <w:szCs w:val="16"/>
              </w:rPr>
            </w:pPr>
            <w:r w:rsidRPr="00D47086">
              <w:rPr>
                <w:rFonts w:ascii="Arial" w:hAnsi="Arial" w:cs="Arial"/>
                <w:b/>
                <w:bCs/>
                <w:color w:val="000000"/>
                <w:sz w:val="16"/>
                <w:szCs w:val="16"/>
              </w:rPr>
              <w:t> </w:t>
            </w:r>
          </w:p>
        </w:tc>
        <w:tc>
          <w:tcPr>
            <w:tcW w:w="940" w:type="dxa"/>
            <w:tcBorders>
              <w:top w:val="single" w:sz="4" w:space="0" w:color="auto"/>
              <w:left w:val="nil"/>
              <w:bottom w:val="single" w:sz="4" w:space="0" w:color="auto"/>
              <w:right w:val="nil"/>
            </w:tcBorders>
            <w:shd w:val="clear" w:color="auto" w:fill="auto"/>
            <w:hideMark/>
          </w:tcPr>
          <w:p w14:paraId="2DC70CAD" w14:textId="77777777" w:rsidR="00752811" w:rsidRPr="00D47086" w:rsidRDefault="00752811" w:rsidP="00333C84">
            <w:pPr>
              <w:spacing w:after="0" w:line="240" w:lineRule="auto"/>
              <w:jc w:val="right"/>
              <w:rPr>
                <w:rFonts w:ascii="Arial" w:hAnsi="Arial" w:cs="Arial"/>
                <w:sz w:val="16"/>
                <w:szCs w:val="16"/>
              </w:rPr>
            </w:pPr>
            <w:r w:rsidRPr="00D47086">
              <w:rPr>
                <w:rFonts w:ascii="Arial" w:hAnsi="Arial" w:cs="Arial"/>
                <w:sz w:val="16"/>
                <w:szCs w:val="16"/>
              </w:rPr>
              <w:t>2021-22 Estimated actual</w:t>
            </w:r>
            <w:r w:rsidRPr="00D4708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hideMark/>
          </w:tcPr>
          <w:p w14:paraId="483E211D" w14:textId="77777777" w:rsidR="00752811" w:rsidRPr="00D47086" w:rsidRDefault="00752811" w:rsidP="00333C84">
            <w:pPr>
              <w:spacing w:after="0" w:line="240" w:lineRule="auto"/>
              <w:jc w:val="right"/>
              <w:rPr>
                <w:rFonts w:ascii="Arial" w:hAnsi="Arial" w:cs="Arial"/>
                <w:sz w:val="16"/>
                <w:szCs w:val="16"/>
              </w:rPr>
            </w:pPr>
            <w:r w:rsidRPr="00D47086">
              <w:rPr>
                <w:rFonts w:ascii="Arial" w:hAnsi="Arial" w:cs="Arial"/>
                <w:sz w:val="16"/>
                <w:szCs w:val="16"/>
              </w:rPr>
              <w:t>2022-23</w:t>
            </w:r>
            <w:r w:rsidRPr="00D47086">
              <w:rPr>
                <w:rFonts w:ascii="Arial" w:hAnsi="Arial" w:cs="Arial"/>
                <w:sz w:val="16"/>
                <w:szCs w:val="16"/>
              </w:rPr>
              <w:br/>
              <w:t>Budget</w:t>
            </w:r>
            <w:r w:rsidRPr="00D47086">
              <w:rPr>
                <w:rFonts w:ascii="Arial" w:hAnsi="Arial" w:cs="Arial"/>
                <w:sz w:val="16"/>
                <w:szCs w:val="16"/>
              </w:rPr>
              <w:br/>
            </w:r>
            <w:r w:rsidRPr="00D4708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12892E54" w14:textId="77777777" w:rsidR="00752811" w:rsidRPr="00D47086" w:rsidRDefault="00752811" w:rsidP="00333C84">
            <w:pPr>
              <w:spacing w:after="0" w:line="240" w:lineRule="auto"/>
              <w:jc w:val="right"/>
              <w:rPr>
                <w:rFonts w:ascii="Arial" w:hAnsi="Arial" w:cs="Arial"/>
                <w:sz w:val="16"/>
                <w:szCs w:val="16"/>
              </w:rPr>
            </w:pPr>
            <w:r w:rsidRPr="00D47086">
              <w:rPr>
                <w:rFonts w:ascii="Arial" w:hAnsi="Arial" w:cs="Arial"/>
                <w:sz w:val="16"/>
                <w:szCs w:val="16"/>
              </w:rPr>
              <w:t>2023-24 Forward estimate</w:t>
            </w:r>
            <w:r w:rsidRPr="00D4708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33C3095C" w14:textId="77777777" w:rsidR="00752811" w:rsidRPr="00D47086" w:rsidRDefault="00752811" w:rsidP="00333C84">
            <w:pPr>
              <w:spacing w:after="0" w:line="240" w:lineRule="auto"/>
              <w:jc w:val="right"/>
              <w:rPr>
                <w:rFonts w:ascii="Arial" w:hAnsi="Arial" w:cs="Arial"/>
                <w:sz w:val="16"/>
                <w:szCs w:val="16"/>
              </w:rPr>
            </w:pPr>
            <w:r w:rsidRPr="00D47086">
              <w:rPr>
                <w:rFonts w:ascii="Arial" w:hAnsi="Arial" w:cs="Arial"/>
                <w:sz w:val="16"/>
                <w:szCs w:val="16"/>
              </w:rPr>
              <w:t>2024-25 Forward estimate</w:t>
            </w:r>
            <w:r w:rsidRPr="00D47086">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5C4AD4C7" w14:textId="77777777" w:rsidR="00752811" w:rsidRPr="00D47086" w:rsidRDefault="00752811" w:rsidP="00333C84">
            <w:pPr>
              <w:spacing w:after="0" w:line="240" w:lineRule="auto"/>
              <w:jc w:val="right"/>
              <w:rPr>
                <w:rFonts w:ascii="Arial" w:hAnsi="Arial" w:cs="Arial"/>
                <w:sz w:val="16"/>
                <w:szCs w:val="16"/>
              </w:rPr>
            </w:pPr>
            <w:r w:rsidRPr="00D47086">
              <w:rPr>
                <w:rFonts w:ascii="Arial" w:hAnsi="Arial" w:cs="Arial"/>
                <w:sz w:val="16"/>
                <w:szCs w:val="16"/>
              </w:rPr>
              <w:t>2025-26</w:t>
            </w:r>
            <w:r w:rsidRPr="00D47086">
              <w:rPr>
                <w:rFonts w:ascii="Arial" w:hAnsi="Arial" w:cs="Arial"/>
                <w:sz w:val="16"/>
                <w:szCs w:val="16"/>
              </w:rPr>
              <w:br/>
              <w:t>Forward estimate</w:t>
            </w:r>
            <w:r w:rsidRPr="00D47086">
              <w:rPr>
                <w:rFonts w:ascii="Arial" w:hAnsi="Arial" w:cs="Arial"/>
                <w:sz w:val="16"/>
                <w:szCs w:val="16"/>
              </w:rPr>
              <w:br/>
              <w:t>$'000</w:t>
            </w:r>
          </w:p>
        </w:tc>
      </w:tr>
      <w:tr w:rsidR="00752811" w:rsidRPr="00D47086" w14:paraId="62CFA830" w14:textId="77777777" w:rsidTr="00DE31D9">
        <w:trPr>
          <w:trHeight w:val="204"/>
        </w:trPr>
        <w:tc>
          <w:tcPr>
            <w:tcW w:w="7655" w:type="dxa"/>
            <w:gridSpan w:val="6"/>
            <w:tcBorders>
              <w:top w:val="single" w:sz="4" w:space="0" w:color="auto"/>
              <w:left w:val="nil"/>
              <w:bottom w:val="single" w:sz="4" w:space="0" w:color="auto"/>
              <w:right w:val="nil"/>
            </w:tcBorders>
            <w:shd w:val="clear" w:color="000000" w:fill="E6E6E6"/>
            <w:hideMark/>
          </w:tcPr>
          <w:p w14:paraId="3397D4E8" w14:textId="77777777" w:rsidR="00752811" w:rsidRPr="00D47086" w:rsidRDefault="00752811" w:rsidP="00333C84">
            <w:pPr>
              <w:spacing w:after="0" w:line="240" w:lineRule="auto"/>
              <w:jc w:val="left"/>
              <w:rPr>
                <w:rFonts w:ascii="Arial" w:hAnsi="Arial" w:cs="Arial"/>
                <w:b/>
                <w:bCs/>
                <w:sz w:val="16"/>
                <w:szCs w:val="16"/>
              </w:rPr>
            </w:pPr>
            <w:r w:rsidRPr="00D47086">
              <w:rPr>
                <w:rFonts w:ascii="Arial" w:hAnsi="Arial" w:cs="Arial"/>
                <w:b/>
                <w:bCs/>
                <w:sz w:val="16"/>
                <w:szCs w:val="16"/>
              </w:rPr>
              <w:t>Program 1.1:</w:t>
            </w:r>
            <w:r>
              <w:rPr>
                <w:rFonts w:ascii="Arial" w:hAnsi="Arial" w:cs="Arial"/>
                <w:b/>
                <w:bCs/>
                <w:sz w:val="16"/>
                <w:szCs w:val="16"/>
              </w:rPr>
              <w:t xml:space="preserve"> NQWIA</w:t>
            </w:r>
          </w:p>
        </w:tc>
      </w:tr>
      <w:tr w:rsidR="00752811" w:rsidRPr="00D47086" w14:paraId="4E75C1B8" w14:textId="77777777" w:rsidTr="00DE31D9">
        <w:trPr>
          <w:trHeight w:val="204"/>
        </w:trPr>
        <w:tc>
          <w:tcPr>
            <w:tcW w:w="2835" w:type="dxa"/>
            <w:tcBorders>
              <w:top w:val="single" w:sz="4" w:space="0" w:color="auto"/>
              <w:left w:val="nil"/>
              <w:bottom w:val="nil"/>
              <w:right w:val="nil"/>
            </w:tcBorders>
            <w:shd w:val="clear" w:color="000000" w:fill="FFFFFF"/>
            <w:noWrap/>
            <w:hideMark/>
          </w:tcPr>
          <w:p w14:paraId="53742675" w14:textId="6AEFDE89" w:rsidR="00752811" w:rsidRPr="00D47086" w:rsidRDefault="003C4CC6" w:rsidP="00333C84">
            <w:pPr>
              <w:spacing w:after="0" w:line="240" w:lineRule="auto"/>
              <w:jc w:val="left"/>
              <w:rPr>
                <w:rFonts w:ascii="Arial" w:hAnsi="Arial" w:cs="Arial"/>
                <w:sz w:val="16"/>
                <w:szCs w:val="16"/>
              </w:rPr>
            </w:pPr>
            <w:r>
              <w:rPr>
                <w:rFonts w:ascii="Arial" w:hAnsi="Arial" w:cs="Arial"/>
                <w:sz w:val="16"/>
                <w:szCs w:val="16"/>
              </w:rPr>
              <w:t>Department</w:t>
            </w:r>
            <w:r w:rsidR="00752811" w:rsidRPr="00D47086">
              <w:rPr>
                <w:rFonts w:ascii="Arial" w:hAnsi="Arial" w:cs="Arial"/>
                <w:sz w:val="16"/>
                <w:szCs w:val="16"/>
              </w:rPr>
              <w:t>al expenses</w:t>
            </w:r>
          </w:p>
        </w:tc>
        <w:tc>
          <w:tcPr>
            <w:tcW w:w="940" w:type="dxa"/>
            <w:tcBorders>
              <w:top w:val="single" w:sz="4" w:space="0" w:color="auto"/>
              <w:left w:val="nil"/>
              <w:bottom w:val="nil"/>
              <w:right w:val="nil"/>
            </w:tcBorders>
            <w:shd w:val="clear" w:color="auto" w:fill="auto"/>
            <w:noWrap/>
            <w:hideMark/>
          </w:tcPr>
          <w:p w14:paraId="29F43B5C" w14:textId="77777777" w:rsidR="00752811" w:rsidRPr="00D47086" w:rsidRDefault="00752811" w:rsidP="00333C84">
            <w:pPr>
              <w:spacing w:after="0" w:line="240" w:lineRule="auto"/>
              <w:jc w:val="right"/>
              <w:rPr>
                <w:rFonts w:ascii="Arial" w:hAnsi="Arial" w:cs="Arial"/>
                <w:sz w:val="16"/>
                <w:szCs w:val="16"/>
              </w:rPr>
            </w:pPr>
          </w:p>
        </w:tc>
        <w:tc>
          <w:tcPr>
            <w:tcW w:w="940" w:type="dxa"/>
            <w:tcBorders>
              <w:top w:val="single" w:sz="4" w:space="0" w:color="auto"/>
              <w:left w:val="nil"/>
              <w:bottom w:val="nil"/>
              <w:right w:val="nil"/>
            </w:tcBorders>
            <w:shd w:val="clear" w:color="000000" w:fill="E6E6E6"/>
            <w:noWrap/>
            <w:hideMark/>
          </w:tcPr>
          <w:p w14:paraId="1995FEA2" w14:textId="77777777" w:rsidR="00752811" w:rsidRPr="00D47086" w:rsidRDefault="00752811" w:rsidP="00333C84">
            <w:pPr>
              <w:spacing w:after="0" w:line="240" w:lineRule="auto"/>
              <w:jc w:val="right"/>
              <w:rPr>
                <w:rFonts w:ascii="Arial" w:hAnsi="Arial" w:cs="Arial"/>
                <w:sz w:val="16"/>
                <w:szCs w:val="16"/>
              </w:rPr>
            </w:pPr>
          </w:p>
        </w:tc>
        <w:tc>
          <w:tcPr>
            <w:tcW w:w="940" w:type="dxa"/>
            <w:tcBorders>
              <w:top w:val="single" w:sz="4" w:space="0" w:color="auto"/>
              <w:left w:val="nil"/>
              <w:bottom w:val="nil"/>
              <w:right w:val="nil"/>
            </w:tcBorders>
            <w:shd w:val="clear" w:color="auto" w:fill="auto"/>
            <w:noWrap/>
            <w:hideMark/>
          </w:tcPr>
          <w:p w14:paraId="2A5647E6" w14:textId="77777777" w:rsidR="00752811" w:rsidRPr="00D47086" w:rsidRDefault="00752811" w:rsidP="00333C84">
            <w:pPr>
              <w:spacing w:after="0" w:line="240" w:lineRule="auto"/>
              <w:jc w:val="right"/>
              <w:rPr>
                <w:rFonts w:ascii="Arial" w:hAnsi="Arial" w:cs="Arial"/>
                <w:sz w:val="16"/>
                <w:szCs w:val="16"/>
              </w:rPr>
            </w:pPr>
          </w:p>
        </w:tc>
        <w:tc>
          <w:tcPr>
            <w:tcW w:w="940" w:type="dxa"/>
            <w:tcBorders>
              <w:top w:val="single" w:sz="4" w:space="0" w:color="auto"/>
              <w:left w:val="nil"/>
              <w:bottom w:val="nil"/>
              <w:right w:val="nil"/>
            </w:tcBorders>
            <w:shd w:val="clear" w:color="auto" w:fill="auto"/>
            <w:noWrap/>
            <w:hideMark/>
          </w:tcPr>
          <w:p w14:paraId="4B10FB20" w14:textId="77777777" w:rsidR="00752811" w:rsidRPr="00D47086" w:rsidRDefault="00752811" w:rsidP="00333C84">
            <w:pPr>
              <w:spacing w:after="0" w:line="240" w:lineRule="auto"/>
              <w:jc w:val="right"/>
              <w:rPr>
                <w:rFonts w:ascii="Arial" w:hAnsi="Arial" w:cs="Arial"/>
                <w:sz w:val="16"/>
                <w:szCs w:val="16"/>
              </w:rPr>
            </w:pPr>
          </w:p>
        </w:tc>
        <w:tc>
          <w:tcPr>
            <w:tcW w:w="1060" w:type="dxa"/>
            <w:tcBorders>
              <w:top w:val="single" w:sz="4" w:space="0" w:color="auto"/>
              <w:left w:val="nil"/>
              <w:bottom w:val="nil"/>
              <w:right w:val="nil"/>
            </w:tcBorders>
            <w:shd w:val="clear" w:color="auto" w:fill="auto"/>
            <w:noWrap/>
            <w:hideMark/>
          </w:tcPr>
          <w:p w14:paraId="657ED9C8" w14:textId="77777777" w:rsidR="00752811" w:rsidRPr="00D47086" w:rsidRDefault="00752811" w:rsidP="00333C84">
            <w:pPr>
              <w:spacing w:after="0" w:line="240" w:lineRule="auto"/>
              <w:jc w:val="right"/>
              <w:rPr>
                <w:rFonts w:ascii="Arial" w:hAnsi="Arial" w:cs="Arial"/>
                <w:sz w:val="16"/>
                <w:szCs w:val="16"/>
              </w:rPr>
            </w:pPr>
          </w:p>
        </w:tc>
      </w:tr>
      <w:tr w:rsidR="00752811" w:rsidRPr="00D47086" w14:paraId="4E3586FC" w14:textId="77777777" w:rsidTr="00EB7ABD">
        <w:trPr>
          <w:trHeight w:val="204"/>
        </w:trPr>
        <w:tc>
          <w:tcPr>
            <w:tcW w:w="2835" w:type="dxa"/>
            <w:tcBorders>
              <w:top w:val="nil"/>
              <w:left w:val="nil"/>
              <w:bottom w:val="nil"/>
              <w:right w:val="nil"/>
            </w:tcBorders>
            <w:shd w:val="clear" w:color="000000" w:fill="FFFFFF"/>
            <w:noWrap/>
            <w:hideMark/>
          </w:tcPr>
          <w:p w14:paraId="1695978C" w14:textId="1D0A9936" w:rsidR="00752811" w:rsidRPr="00D47086" w:rsidRDefault="003C4CC6" w:rsidP="00EB7ABD">
            <w:pPr>
              <w:spacing w:after="0" w:line="240" w:lineRule="auto"/>
              <w:ind w:left="113"/>
              <w:jc w:val="left"/>
              <w:rPr>
                <w:rFonts w:ascii="Arial" w:hAnsi="Arial" w:cs="Arial"/>
                <w:sz w:val="16"/>
                <w:szCs w:val="16"/>
              </w:rPr>
            </w:pPr>
            <w:r>
              <w:rPr>
                <w:rFonts w:ascii="Arial" w:hAnsi="Arial" w:cs="Arial"/>
                <w:sz w:val="16"/>
                <w:szCs w:val="16"/>
              </w:rPr>
              <w:t>Department</w:t>
            </w:r>
            <w:r w:rsidR="00752811" w:rsidRPr="00D47086">
              <w:rPr>
                <w:rFonts w:ascii="Arial" w:hAnsi="Arial" w:cs="Arial"/>
                <w:sz w:val="16"/>
                <w:szCs w:val="16"/>
              </w:rPr>
              <w:t>al appropriation</w:t>
            </w:r>
          </w:p>
        </w:tc>
        <w:tc>
          <w:tcPr>
            <w:tcW w:w="940" w:type="dxa"/>
            <w:tcBorders>
              <w:top w:val="nil"/>
              <w:left w:val="nil"/>
              <w:bottom w:val="nil"/>
              <w:right w:val="nil"/>
            </w:tcBorders>
            <w:shd w:val="clear" w:color="auto" w:fill="auto"/>
            <w:noWrap/>
            <w:vAlign w:val="bottom"/>
            <w:hideMark/>
          </w:tcPr>
          <w:p w14:paraId="03E39853" w14:textId="77777777" w:rsidR="00752811" w:rsidRPr="00D47086" w:rsidRDefault="00752811" w:rsidP="00333C84">
            <w:pPr>
              <w:spacing w:after="0" w:line="240" w:lineRule="auto"/>
              <w:jc w:val="right"/>
              <w:rPr>
                <w:rFonts w:ascii="Arial" w:hAnsi="Arial" w:cs="Arial"/>
                <w:color w:val="000000"/>
                <w:sz w:val="16"/>
                <w:szCs w:val="16"/>
              </w:rPr>
            </w:pPr>
            <w:r w:rsidRPr="00D47086">
              <w:rPr>
                <w:rFonts w:ascii="Arial" w:hAnsi="Arial" w:cs="Arial"/>
                <w:color w:val="000000"/>
                <w:sz w:val="16"/>
                <w:szCs w:val="16"/>
              </w:rPr>
              <w:t>3,306</w:t>
            </w:r>
          </w:p>
        </w:tc>
        <w:tc>
          <w:tcPr>
            <w:tcW w:w="940" w:type="dxa"/>
            <w:tcBorders>
              <w:top w:val="nil"/>
              <w:left w:val="nil"/>
              <w:bottom w:val="nil"/>
              <w:right w:val="nil"/>
            </w:tcBorders>
            <w:shd w:val="clear" w:color="000000" w:fill="E6E6E6"/>
            <w:noWrap/>
            <w:vAlign w:val="bottom"/>
            <w:hideMark/>
          </w:tcPr>
          <w:p w14:paraId="4D57600C" w14:textId="77777777" w:rsidR="00752811" w:rsidRPr="00D47086" w:rsidRDefault="00752811" w:rsidP="00333C84">
            <w:pPr>
              <w:spacing w:after="0" w:line="240" w:lineRule="auto"/>
              <w:jc w:val="right"/>
              <w:rPr>
                <w:rFonts w:ascii="Arial" w:hAnsi="Arial" w:cs="Arial"/>
                <w:sz w:val="16"/>
                <w:szCs w:val="16"/>
              </w:rPr>
            </w:pPr>
            <w:r>
              <w:rPr>
                <w:rFonts w:ascii="Arial" w:hAnsi="Arial" w:cs="Arial"/>
                <w:color w:val="000000"/>
                <w:sz w:val="16"/>
                <w:szCs w:val="16"/>
              </w:rPr>
              <w:t>3,288</w:t>
            </w:r>
          </w:p>
        </w:tc>
        <w:tc>
          <w:tcPr>
            <w:tcW w:w="940" w:type="dxa"/>
            <w:tcBorders>
              <w:top w:val="nil"/>
              <w:left w:val="nil"/>
              <w:bottom w:val="nil"/>
              <w:right w:val="nil"/>
            </w:tcBorders>
            <w:shd w:val="clear" w:color="auto" w:fill="auto"/>
            <w:noWrap/>
            <w:vAlign w:val="bottom"/>
            <w:hideMark/>
          </w:tcPr>
          <w:p w14:paraId="2C0C9988" w14:textId="77777777" w:rsidR="00752811" w:rsidRPr="00D47086" w:rsidRDefault="00752811" w:rsidP="00333C84">
            <w:pPr>
              <w:spacing w:after="0" w:line="240" w:lineRule="auto"/>
              <w:jc w:val="right"/>
              <w:rPr>
                <w:rFonts w:ascii="Arial" w:hAnsi="Arial" w:cs="Arial"/>
                <w:sz w:val="16"/>
                <w:szCs w:val="16"/>
              </w:rPr>
            </w:pPr>
            <w:r>
              <w:rPr>
                <w:rFonts w:ascii="Arial" w:hAnsi="Arial" w:cs="Arial"/>
                <w:color w:val="000000"/>
                <w:sz w:val="16"/>
                <w:szCs w:val="16"/>
              </w:rPr>
              <w:t>2,618</w:t>
            </w:r>
          </w:p>
        </w:tc>
        <w:tc>
          <w:tcPr>
            <w:tcW w:w="940" w:type="dxa"/>
            <w:tcBorders>
              <w:top w:val="nil"/>
              <w:left w:val="nil"/>
              <w:bottom w:val="nil"/>
              <w:right w:val="nil"/>
            </w:tcBorders>
            <w:shd w:val="clear" w:color="auto" w:fill="auto"/>
            <w:noWrap/>
            <w:vAlign w:val="bottom"/>
            <w:hideMark/>
          </w:tcPr>
          <w:p w14:paraId="7A6AC2D4" w14:textId="77777777" w:rsidR="00752811" w:rsidRPr="00D47086" w:rsidRDefault="00752811" w:rsidP="00333C84">
            <w:pPr>
              <w:spacing w:after="0" w:line="240" w:lineRule="auto"/>
              <w:jc w:val="right"/>
              <w:rPr>
                <w:rFonts w:ascii="Arial" w:hAnsi="Arial" w:cs="Arial"/>
                <w:sz w:val="16"/>
                <w:szCs w:val="16"/>
              </w:rPr>
            </w:pPr>
            <w:r>
              <w:rPr>
                <w:rFonts w:ascii="Arial" w:hAnsi="Arial" w:cs="Arial"/>
                <w:color w:val="000000"/>
                <w:sz w:val="16"/>
                <w:szCs w:val="16"/>
              </w:rPr>
              <w:t>2,639</w:t>
            </w:r>
          </w:p>
        </w:tc>
        <w:tc>
          <w:tcPr>
            <w:tcW w:w="1060" w:type="dxa"/>
            <w:tcBorders>
              <w:top w:val="nil"/>
              <w:left w:val="nil"/>
              <w:bottom w:val="nil"/>
              <w:right w:val="nil"/>
            </w:tcBorders>
            <w:shd w:val="clear" w:color="auto" w:fill="auto"/>
            <w:noWrap/>
            <w:vAlign w:val="bottom"/>
            <w:hideMark/>
          </w:tcPr>
          <w:p w14:paraId="6CC149B5" w14:textId="77777777" w:rsidR="00752811" w:rsidRPr="00D47086" w:rsidRDefault="00752811" w:rsidP="00333C84">
            <w:pPr>
              <w:spacing w:after="0" w:line="240" w:lineRule="auto"/>
              <w:jc w:val="right"/>
              <w:rPr>
                <w:rFonts w:ascii="Arial" w:hAnsi="Arial" w:cs="Arial"/>
                <w:sz w:val="16"/>
                <w:szCs w:val="16"/>
              </w:rPr>
            </w:pPr>
            <w:r>
              <w:rPr>
                <w:rFonts w:ascii="Arial" w:hAnsi="Arial" w:cs="Arial"/>
                <w:color w:val="000000"/>
                <w:sz w:val="16"/>
                <w:szCs w:val="16"/>
              </w:rPr>
              <w:t>2,657</w:t>
            </w:r>
          </w:p>
        </w:tc>
      </w:tr>
      <w:tr w:rsidR="00752811" w:rsidRPr="00D47086" w14:paraId="262361F0" w14:textId="77777777" w:rsidTr="00EB7ABD">
        <w:trPr>
          <w:trHeight w:val="204"/>
        </w:trPr>
        <w:tc>
          <w:tcPr>
            <w:tcW w:w="2835" w:type="dxa"/>
            <w:tcBorders>
              <w:top w:val="nil"/>
              <w:left w:val="nil"/>
              <w:bottom w:val="nil"/>
              <w:right w:val="nil"/>
            </w:tcBorders>
            <w:shd w:val="clear" w:color="000000" w:fill="FFFFFF"/>
            <w:hideMark/>
          </w:tcPr>
          <w:p w14:paraId="7688507A" w14:textId="77777777" w:rsidR="00752811" w:rsidRPr="00D47086" w:rsidRDefault="00752811" w:rsidP="00D65FE8">
            <w:pPr>
              <w:spacing w:after="0" w:line="240" w:lineRule="auto"/>
              <w:ind w:left="113"/>
              <w:jc w:val="left"/>
              <w:rPr>
                <w:rFonts w:ascii="Arial" w:hAnsi="Arial" w:cs="Arial"/>
                <w:sz w:val="16"/>
                <w:szCs w:val="16"/>
              </w:rPr>
            </w:pPr>
            <w:r w:rsidRPr="00D47086">
              <w:rPr>
                <w:rFonts w:ascii="Arial" w:hAnsi="Arial" w:cs="Arial"/>
                <w:sz w:val="16"/>
                <w:szCs w:val="16"/>
              </w:rPr>
              <w:t>Expenses not requiring appropriation in the Budget year</w:t>
            </w:r>
            <w:r w:rsidRPr="00D47086">
              <w:rPr>
                <w:rFonts w:ascii="Arial" w:hAnsi="Arial" w:cs="Arial"/>
                <w:sz w:val="16"/>
                <w:szCs w:val="16"/>
                <w:vertAlign w:val="superscript"/>
              </w:rPr>
              <w:t xml:space="preserve"> (</w:t>
            </w:r>
            <w:r w:rsidRPr="00632CA0">
              <w:rPr>
                <w:rFonts w:ascii="Arial" w:hAnsi="Arial" w:cs="Arial"/>
                <w:sz w:val="16"/>
                <w:szCs w:val="16"/>
                <w:vertAlign w:val="superscript"/>
              </w:rPr>
              <w:t>a</w:t>
            </w:r>
            <w:r w:rsidRPr="00D47086">
              <w:rPr>
                <w:rFonts w:ascii="Arial" w:hAnsi="Arial" w:cs="Arial"/>
                <w:sz w:val="16"/>
                <w:szCs w:val="16"/>
                <w:vertAlign w:val="superscript"/>
              </w:rPr>
              <w:t>)</w:t>
            </w:r>
          </w:p>
        </w:tc>
        <w:tc>
          <w:tcPr>
            <w:tcW w:w="940" w:type="dxa"/>
            <w:tcBorders>
              <w:top w:val="nil"/>
              <w:left w:val="nil"/>
              <w:bottom w:val="nil"/>
              <w:right w:val="nil"/>
            </w:tcBorders>
            <w:shd w:val="clear" w:color="auto" w:fill="auto"/>
            <w:noWrap/>
            <w:vAlign w:val="bottom"/>
            <w:hideMark/>
          </w:tcPr>
          <w:p w14:paraId="66845DD7" w14:textId="77777777" w:rsidR="00752811" w:rsidRPr="00D47086" w:rsidRDefault="00752811" w:rsidP="00333C84">
            <w:pPr>
              <w:spacing w:after="0" w:line="240" w:lineRule="auto"/>
              <w:jc w:val="right"/>
              <w:rPr>
                <w:rFonts w:ascii="Arial" w:hAnsi="Arial" w:cs="Arial"/>
                <w:color w:val="000000"/>
                <w:sz w:val="16"/>
                <w:szCs w:val="16"/>
              </w:rPr>
            </w:pPr>
            <w:r w:rsidRPr="00D47086">
              <w:rPr>
                <w:rFonts w:ascii="Arial" w:hAnsi="Arial" w:cs="Arial"/>
                <w:color w:val="000000"/>
                <w:sz w:val="16"/>
                <w:szCs w:val="16"/>
              </w:rPr>
              <w:t>25</w:t>
            </w:r>
          </w:p>
        </w:tc>
        <w:tc>
          <w:tcPr>
            <w:tcW w:w="940" w:type="dxa"/>
            <w:tcBorders>
              <w:top w:val="nil"/>
              <w:left w:val="nil"/>
              <w:bottom w:val="nil"/>
              <w:right w:val="nil"/>
            </w:tcBorders>
            <w:shd w:val="clear" w:color="000000" w:fill="E6E6E6"/>
            <w:noWrap/>
            <w:vAlign w:val="bottom"/>
            <w:hideMark/>
          </w:tcPr>
          <w:p w14:paraId="7F10F551" w14:textId="77777777" w:rsidR="00752811" w:rsidRPr="00D47086" w:rsidRDefault="00752811" w:rsidP="00333C84">
            <w:pPr>
              <w:spacing w:after="0" w:line="240" w:lineRule="auto"/>
              <w:jc w:val="right"/>
              <w:rPr>
                <w:rFonts w:ascii="Arial" w:hAnsi="Arial" w:cs="Arial"/>
                <w:sz w:val="16"/>
                <w:szCs w:val="16"/>
              </w:rPr>
            </w:pPr>
            <w:r w:rsidRPr="00D47086">
              <w:rPr>
                <w:rFonts w:ascii="Arial" w:hAnsi="Arial" w:cs="Arial"/>
                <w:sz w:val="16"/>
                <w:szCs w:val="16"/>
              </w:rPr>
              <w:t>25</w:t>
            </w:r>
          </w:p>
        </w:tc>
        <w:tc>
          <w:tcPr>
            <w:tcW w:w="940" w:type="dxa"/>
            <w:tcBorders>
              <w:top w:val="nil"/>
              <w:left w:val="nil"/>
              <w:bottom w:val="nil"/>
              <w:right w:val="nil"/>
            </w:tcBorders>
            <w:shd w:val="clear" w:color="auto" w:fill="auto"/>
            <w:noWrap/>
            <w:vAlign w:val="bottom"/>
            <w:hideMark/>
          </w:tcPr>
          <w:p w14:paraId="48A01A10" w14:textId="77777777" w:rsidR="00752811" w:rsidRPr="00D47086" w:rsidRDefault="00752811" w:rsidP="00333C84">
            <w:pPr>
              <w:spacing w:after="0" w:line="240" w:lineRule="auto"/>
              <w:jc w:val="right"/>
              <w:rPr>
                <w:rFonts w:ascii="Arial" w:hAnsi="Arial" w:cs="Arial"/>
                <w:sz w:val="16"/>
                <w:szCs w:val="16"/>
              </w:rPr>
            </w:pPr>
            <w:r w:rsidRPr="00632CA0">
              <w:rPr>
                <w:rFonts w:ascii="Arial" w:hAnsi="Arial" w:cs="Arial"/>
                <w:sz w:val="16"/>
                <w:szCs w:val="16"/>
              </w:rPr>
              <w:t>25</w:t>
            </w:r>
          </w:p>
        </w:tc>
        <w:tc>
          <w:tcPr>
            <w:tcW w:w="940" w:type="dxa"/>
            <w:tcBorders>
              <w:top w:val="nil"/>
              <w:left w:val="nil"/>
              <w:bottom w:val="nil"/>
              <w:right w:val="nil"/>
            </w:tcBorders>
            <w:shd w:val="clear" w:color="auto" w:fill="auto"/>
            <w:noWrap/>
            <w:vAlign w:val="bottom"/>
            <w:hideMark/>
          </w:tcPr>
          <w:p w14:paraId="4114B88C" w14:textId="77777777" w:rsidR="00752811" w:rsidRPr="00D47086" w:rsidRDefault="00752811" w:rsidP="00333C84">
            <w:pPr>
              <w:spacing w:after="0" w:line="240" w:lineRule="auto"/>
              <w:jc w:val="right"/>
              <w:rPr>
                <w:rFonts w:ascii="Arial" w:hAnsi="Arial" w:cs="Arial"/>
                <w:sz w:val="16"/>
                <w:szCs w:val="16"/>
              </w:rPr>
            </w:pPr>
            <w:r>
              <w:rPr>
                <w:rFonts w:ascii="Arial" w:hAnsi="Arial" w:cs="Arial"/>
                <w:sz w:val="16"/>
                <w:szCs w:val="16"/>
              </w:rPr>
              <w:t>25</w:t>
            </w:r>
          </w:p>
        </w:tc>
        <w:tc>
          <w:tcPr>
            <w:tcW w:w="1060" w:type="dxa"/>
            <w:tcBorders>
              <w:top w:val="nil"/>
              <w:left w:val="nil"/>
              <w:bottom w:val="nil"/>
              <w:right w:val="nil"/>
            </w:tcBorders>
            <w:shd w:val="clear" w:color="auto" w:fill="auto"/>
            <w:noWrap/>
            <w:vAlign w:val="bottom"/>
            <w:hideMark/>
          </w:tcPr>
          <w:p w14:paraId="52F89971" w14:textId="77777777" w:rsidR="00752811" w:rsidRPr="00D47086" w:rsidRDefault="00752811" w:rsidP="00333C84">
            <w:pPr>
              <w:spacing w:after="0" w:line="240" w:lineRule="auto"/>
              <w:jc w:val="right"/>
              <w:rPr>
                <w:rFonts w:ascii="Arial" w:hAnsi="Arial" w:cs="Arial"/>
                <w:sz w:val="16"/>
                <w:szCs w:val="16"/>
              </w:rPr>
            </w:pPr>
            <w:r>
              <w:rPr>
                <w:rFonts w:ascii="Arial" w:hAnsi="Arial" w:cs="Arial"/>
                <w:sz w:val="16"/>
                <w:szCs w:val="16"/>
              </w:rPr>
              <w:t>25</w:t>
            </w:r>
          </w:p>
        </w:tc>
      </w:tr>
      <w:tr w:rsidR="00752811" w:rsidRPr="00D47086" w14:paraId="1E6800B8" w14:textId="77777777" w:rsidTr="00EB7ABD">
        <w:trPr>
          <w:trHeight w:val="204"/>
        </w:trPr>
        <w:tc>
          <w:tcPr>
            <w:tcW w:w="2835" w:type="dxa"/>
            <w:tcBorders>
              <w:top w:val="nil"/>
              <w:left w:val="nil"/>
              <w:bottom w:val="nil"/>
              <w:right w:val="nil"/>
            </w:tcBorders>
            <w:shd w:val="clear" w:color="auto" w:fill="auto"/>
            <w:hideMark/>
          </w:tcPr>
          <w:p w14:paraId="3670FE84" w14:textId="4F8E6450" w:rsidR="00752811" w:rsidRPr="00D47086" w:rsidRDefault="003C4CC6" w:rsidP="0047147F">
            <w:pPr>
              <w:spacing w:after="0" w:line="240" w:lineRule="auto"/>
              <w:jc w:val="left"/>
              <w:rPr>
                <w:rFonts w:ascii="Arial" w:hAnsi="Arial" w:cs="Arial"/>
                <w:b/>
                <w:bCs/>
                <w:sz w:val="16"/>
                <w:szCs w:val="16"/>
              </w:rPr>
            </w:pPr>
            <w:r>
              <w:rPr>
                <w:rFonts w:ascii="Arial" w:hAnsi="Arial" w:cs="Arial"/>
                <w:b/>
                <w:bCs/>
                <w:sz w:val="16"/>
                <w:szCs w:val="16"/>
              </w:rPr>
              <w:t>Department</w:t>
            </w:r>
            <w:r w:rsidR="00752811" w:rsidRPr="00D47086">
              <w:rPr>
                <w:rFonts w:ascii="Arial" w:hAnsi="Arial" w:cs="Arial"/>
                <w:b/>
                <w:bCs/>
                <w:sz w:val="16"/>
                <w:szCs w:val="16"/>
              </w:rPr>
              <w:t>al total</w:t>
            </w:r>
          </w:p>
        </w:tc>
        <w:tc>
          <w:tcPr>
            <w:tcW w:w="940" w:type="dxa"/>
            <w:tcBorders>
              <w:top w:val="single" w:sz="4" w:space="0" w:color="000000"/>
              <w:left w:val="nil"/>
              <w:bottom w:val="single" w:sz="4" w:space="0" w:color="000000"/>
              <w:right w:val="nil"/>
            </w:tcBorders>
            <w:shd w:val="clear" w:color="auto" w:fill="auto"/>
            <w:noWrap/>
            <w:vAlign w:val="bottom"/>
            <w:hideMark/>
          </w:tcPr>
          <w:p w14:paraId="27E0EEFD" w14:textId="77777777" w:rsidR="00752811" w:rsidRPr="00EB7ABD" w:rsidRDefault="00752811" w:rsidP="00333C84">
            <w:pPr>
              <w:spacing w:after="0" w:line="240" w:lineRule="auto"/>
              <w:jc w:val="right"/>
              <w:rPr>
                <w:rFonts w:ascii="Arial" w:hAnsi="Arial" w:cs="Arial"/>
                <w:b/>
                <w:color w:val="000000"/>
                <w:sz w:val="16"/>
                <w:szCs w:val="16"/>
              </w:rPr>
            </w:pPr>
            <w:r w:rsidRPr="00EB7ABD">
              <w:rPr>
                <w:rFonts w:ascii="Arial" w:hAnsi="Arial" w:cs="Arial"/>
                <w:b/>
                <w:color w:val="000000"/>
                <w:sz w:val="16"/>
                <w:szCs w:val="16"/>
              </w:rPr>
              <w:t>3,331</w:t>
            </w:r>
          </w:p>
        </w:tc>
        <w:tc>
          <w:tcPr>
            <w:tcW w:w="940" w:type="dxa"/>
            <w:tcBorders>
              <w:top w:val="single" w:sz="4" w:space="0" w:color="000000"/>
              <w:left w:val="nil"/>
              <w:bottom w:val="single" w:sz="4" w:space="0" w:color="000000"/>
              <w:right w:val="nil"/>
            </w:tcBorders>
            <w:shd w:val="clear" w:color="000000" w:fill="E6E6E6"/>
            <w:noWrap/>
            <w:vAlign w:val="bottom"/>
            <w:hideMark/>
          </w:tcPr>
          <w:p w14:paraId="7B3D1C00" w14:textId="77777777" w:rsidR="00752811" w:rsidRPr="00EB7ABD" w:rsidRDefault="00752811" w:rsidP="00333C84">
            <w:pPr>
              <w:spacing w:after="0" w:line="240" w:lineRule="auto"/>
              <w:jc w:val="right"/>
              <w:rPr>
                <w:rFonts w:ascii="Arial" w:hAnsi="Arial" w:cs="Arial"/>
                <w:b/>
                <w:sz w:val="16"/>
                <w:szCs w:val="16"/>
              </w:rPr>
            </w:pPr>
            <w:r w:rsidRPr="00EB7ABD">
              <w:rPr>
                <w:rFonts w:ascii="Arial" w:hAnsi="Arial" w:cs="Arial"/>
                <w:b/>
                <w:sz w:val="16"/>
                <w:szCs w:val="16"/>
              </w:rPr>
              <w:t>3,313</w:t>
            </w:r>
          </w:p>
        </w:tc>
        <w:tc>
          <w:tcPr>
            <w:tcW w:w="940" w:type="dxa"/>
            <w:tcBorders>
              <w:top w:val="single" w:sz="4" w:space="0" w:color="000000"/>
              <w:left w:val="nil"/>
              <w:bottom w:val="single" w:sz="4" w:space="0" w:color="000000"/>
              <w:right w:val="nil"/>
            </w:tcBorders>
            <w:shd w:val="clear" w:color="auto" w:fill="auto"/>
            <w:noWrap/>
            <w:vAlign w:val="bottom"/>
            <w:hideMark/>
          </w:tcPr>
          <w:p w14:paraId="72681FC3" w14:textId="77777777" w:rsidR="00752811" w:rsidRPr="00EB7ABD" w:rsidRDefault="00752811" w:rsidP="00333C84">
            <w:pPr>
              <w:spacing w:after="0" w:line="240" w:lineRule="auto"/>
              <w:jc w:val="right"/>
              <w:rPr>
                <w:rFonts w:ascii="Arial" w:hAnsi="Arial" w:cs="Arial"/>
                <w:b/>
                <w:sz w:val="16"/>
                <w:szCs w:val="16"/>
              </w:rPr>
            </w:pPr>
            <w:r w:rsidRPr="00EB7ABD">
              <w:rPr>
                <w:rFonts w:ascii="Arial" w:hAnsi="Arial" w:cs="Arial"/>
                <w:b/>
                <w:sz w:val="16"/>
                <w:szCs w:val="16"/>
              </w:rPr>
              <w:t>2,625</w:t>
            </w:r>
          </w:p>
        </w:tc>
        <w:tc>
          <w:tcPr>
            <w:tcW w:w="940" w:type="dxa"/>
            <w:tcBorders>
              <w:top w:val="single" w:sz="4" w:space="0" w:color="000000"/>
              <w:left w:val="nil"/>
              <w:bottom w:val="single" w:sz="4" w:space="0" w:color="000000"/>
              <w:right w:val="nil"/>
            </w:tcBorders>
            <w:shd w:val="clear" w:color="auto" w:fill="auto"/>
            <w:noWrap/>
            <w:vAlign w:val="bottom"/>
            <w:hideMark/>
          </w:tcPr>
          <w:p w14:paraId="1F976E1C" w14:textId="77777777" w:rsidR="00752811" w:rsidRPr="00EB7ABD" w:rsidRDefault="00752811" w:rsidP="00333C84">
            <w:pPr>
              <w:spacing w:after="0" w:line="240" w:lineRule="auto"/>
              <w:jc w:val="right"/>
              <w:rPr>
                <w:rFonts w:ascii="Arial" w:hAnsi="Arial" w:cs="Arial"/>
                <w:b/>
                <w:sz w:val="16"/>
                <w:szCs w:val="16"/>
              </w:rPr>
            </w:pPr>
            <w:r w:rsidRPr="00EB7ABD">
              <w:rPr>
                <w:rFonts w:ascii="Arial" w:hAnsi="Arial" w:cs="Arial"/>
                <w:b/>
                <w:sz w:val="16"/>
                <w:szCs w:val="16"/>
              </w:rPr>
              <w:t>2,625</w:t>
            </w:r>
          </w:p>
        </w:tc>
        <w:tc>
          <w:tcPr>
            <w:tcW w:w="1060" w:type="dxa"/>
            <w:tcBorders>
              <w:top w:val="single" w:sz="4" w:space="0" w:color="000000"/>
              <w:left w:val="nil"/>
              <w:bottom w:val="single" w:sz="4" w:space="0" w:color="000000"/>
              <w:right w:val="nil"/>
            </w:tcBorders>
            <w:shd w:val="clear" w:color="auto" w:fill="auto"/>
            <w:noWrap/>
            <w:vAlign w:val="bottom"/>
            <w:hideMark/>
          </w:tcPr>
          <w:p w14:paraId="0F67DBCD" w14:textId="77777777" w:rsidR="00752811" w:rsidRPr="00EB7ABD" w:rsidRDefault="00752811" w:rsidP="00333C84">
            <w:pPr>
              <w:spacing w:after="0" w:line="240" w:lineRule="auto"/>
              <w:jc w:val="right"/>
              <w:rPr>
                <w:rFonts w:ascii="Arial" w:hAnsi="Arial" w:cs="Arial"/>
                <w:b/>
                <w:sz w:val="16"/>
                <w:szCs w:val="16"/>
              </w:rPr>
            </w:pPr>
            <w:r w:rsidRPr="00EB7ABD">
              <w:rPr>
                <w:rFonts w:ascii="Arial" w:hAnsi="Arial" w:cs="Arial"/>
                <w:b/>
                <w:sz w:val="16"/>
                <w:szCs w:val="16"/>
              </w:rPr>
              <w:t>2,625</w:t>
            </w:r>
          </w:p>
        </w:tc>
      </w:tr>
      <w:tr w:rsidR="00752811" w:rsidRPr="00D47086" w14:paraId="671FC391" w14:textId="77777777" w:rsidTr="00EB7ABD">
        <w:trPr>
          <w:trHeight w:val="204"/>
        </w:trPr>
        <w:tc>
          <w:tcPr>
            <w:tcW w:w="2835" w:type="dxa"/>
            <w:tcBorders>
              <w:top w:val="nil"/>
              <w:left w:val="nil"/>
              <w:bottom w:val="single" w:sz="4" w:space="0" w:color="auto"/>
              <w:right w:val="nil"/>
            </w:tcBorders>
            <w:shd w:val="clear" w:color="auto" w:fill="auto"/>
            <w:hideMark/>
          </w:tcPr>
          <w:p w14:paraId="16F063FE" w14:textId="77777777" w:rsidR="00752811" w:rsidRPr="00D47086" w:rsidRDefault="00752811" w:rsidP="00333C84">
            <w:pPr>
              <w:spacing w:after="0" w:line="240" w:lineRule="auto"/>
              <w:jc w:val="left"/>
              <w:rPr>
                <w:rFonts w:ascii="Arial" w:hAnsi="Arial" w:cs="Arial"/>
                <w:b/>
                <w:bCs/>
                <w:sz w:val="16"/>
                <w:szCs w:val="16"/>
              </w:rPr>
            </w:pPr>
            <w:r w:rsidRPr="00D47086">
              <w:rPr>
                <w:rFonts w:ascii="Arial" w:hAnsi="Arial" w:cs="Arial"/>
                <w:b/>
                <w:bCs/>
                <w:sz w:val="16"/>
                <w:szCs w:val="16"/>
              </w:rPr>
              <w:t>Total expenses for program 1.1</w:t>
            </w:r>
          </w:p>
        </w:tc>
        <w:tc>
          <w:tcPr>
            <w:tcW w:w="940" w:type="dxa"/>
            <w:tcBorders>
              <w:top w:val="nil"/>
              <w:left w:val="nil"/>
              <w:bottom w:val="single" w:sz="4" w:space="0" w:color="auto"/>
              <w:right w:val="nil"/>
            </w:tcBorders>
            <w:shd w:val="clear" w:color="auto" w:fill="auto"/>
            <w:noWrap/>
            <w:vAlign w:val="bottom"/>
            <w:hideMark/>
          </w:tcPr>
          <w:p w14:paraId="1F38D640"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3,331</w:t>
            </w:r>
          </w:p>
        </w:tc>
        <w:tc>
          <w:tcPr>
            <w:tcW w:w="940" w:type="dxa"/>
            <w:tcBorders>
              <w:top w:val="nil"/>
              <w:left w:val="nil"/>
              <w:bottom w:val="single" w:sz="4" w:space="0" w:color="auto"/>
              <w:right w:val="nil"/>
            </w:tcBorders>
            <w:shd w:val="clear" w:color="000000" w:fill="E6E6E6"/>
            <w:noWrap/>
            <w:vAlign w:val="bottom"/>
            <w:hideMark/>
          </w:tcPr>
          <w:p w14:paraId="628019F5"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3,313</w:t>
            </w:r>
          </w:p>
        </w:tc>
        <w:tc>
          <w:tcPr>
            <w:tcW w:w="940" w:type="dxa"/>
            <w:tcBorders>
              <w:top w:val="nil"/>
              <w:left w:val="nil"/>
              <w:bottom w:val="single" w:sz="4" w:space="0" w:color="auto"/>
              <w:right w:val="nil"/>
            </w:tcBorders>
            <w:shd w:val="clear" w:color="auto" w:fill="auto"/>
            <w:noWrap/>
            <w:vAlign w:val="bottom"/>
            <w:hideMark/>
          </w:tcPr>
          <w:p w14:paraId="6770BB7F" w14:textId="77777777" w:rsidR="00752811" w:rsidRPr="00EB7ABD" w:rsidRDefault="00752811" w:rsidP="00333C84">
            <w:pPr>
              <w:spacing w:after="0" w:line="240" w:lineRule="auto"/>
              <w:jc w:val="right"/>
              <w:rPr>
                <w:rFonts w:ascii="Arial" w:hAnsi="Arial" w:cs="Arial"/>
                <w:b/>
                <w:bCs/>
                <w:sz w:val="16"/>
                <w:szCs w:val="16"/>
              </w:rPr>
            </w:pPr>
            <w:r w:rsidRPr="00EB7ABD">
              <w:rPr>
                <w:rFonts w:ascii="Arial" w:hAnsi="Arial" w:cs="Arial"/>
                <w:b/>
                <w:sz w:val="16"/>
                <w:szCs w:val="16"/>
              </w:rPr>
              <w:t>2,625</w:t>
            </w:r>
          </w:p>
        </w:tc>
        <w:tc>
          <w:tcPr>
            <w:tcW w:w="940" w:type="dxa"/>
            <w:tcBorders>
              <w:top w:val="nil"/>
              <w:left w:val="nil"/>
              <w:bottom w:val="single" w:sz="4" w:space="0" w:color="auto"/>
              <w:right w:val="nil"/>
            </w:tcBorders>
            <w:shd w:val="clear" w:color="auto" w:fill="auto"/>
            <w:noWrap/>
            <w:vAlign w:val="bottom"/>
            <w:hideMark/>
          </w:tcPr>
          <w:p w14:paraId="6AD5DBC3" w14:textId="77777777" w:rsidR="00752811" w:rsidRPr="00EB7ABD" w:rsidRDefault="00752811" w:rsidP="00333C84">
            <w:pPr>
              <w:spacing w:after="0" w:line="240" w:lineRule="auto"/>
              <w:jc w:val="right"/>
              <w:rPr>
                <w:rFonts w:ascii="Arial" w:hAnsi="Arial" w:cs="Arial"/>
                <w:b/>
                <w:bCs/>
                <w:sz w:val="16"/>
                <w:szCs w:val="16"/>
              </w:rPr>
            </w:pPr>
            <w:r w:rsidRPr="00EB7ABD">
              <w:rPr>
                <w:rFonts w:ascii="Arial" w:hAnsi="Arial" w:cs="Arial"/>
                <w:b/>
                <w:sz w:val="16"/>
                <w:szCs w:val="16"/>
              </w:rPr>
              <w:t>2,625</w:t>
            </w:r>
          </w:p>
        </w:tc>
        <w:tc>
          <w:tcPr>
            <w:tcW w:w="1060" w:type="dxa"/>
            <w:tcBorders>
              <w:top w:val="nil"/>
              <w:left w:val="nil"/>
              <w:bottom w:val="single" w:sz="4" w:space="0" w:color="auto"/>
              <w:right w:val="nil"/>
            </w:tcBorders>
            <w:shd w:val="clear" w:color="auto" w:fill="auto"/>
            <w:noWrap/>
            <w:vAlign w:val="bottom"/>
            <w:hideMark/>
          </w:tcPr>
          <w:p w14:paraId="295CC5DF" w14:textId="77777777" w:rsidR="00752811" w:rsidRPr="00EB7ABD" w:rsidRDefault="00752811" w:rsidP="00333C84">
            <w:pPr>
              <w:spacing w:after="0" w:line="240" w:lineRule="auto"/>
              <w:jc w:val="right"/>
              <w:rPr>
                <w:rFonts w:ascii="Arial" w:hAnsi="Arial" w:cs="Arial"/>
                <w:b/>
                <w:bCs/>
                <w:sz w:val="16"/>
                <w:szCs w:val="16"/>
              </w:rPr>
            </w:pPr>
            <w:r w:rsidRPr="00EB7ABD">
              <w:rPr>
                <w:rFonts w:ascii="Arial" w:hAnsi="Arial" w:cs="Arial"/>
                <w:b/>
                <w:sz w:val="16"/>
                <w:szCs w:val="16"/>
              </w:rPr>
              <w:t>2,625</w:t>
            </w:r>
          </w:p>
        </w:tc>
      </w:tr>
    </w:tbl>
    <w:p w14:paraId="6EE0EFBA" w14:textId="77777777" w:rsidR="00F14602" w:rsidRPr="00F14602" w:rsidRDefault="00F14602" w:rsidP="00F14602">
      <w:pPr>
        <w:pStyle w:val="ChartandTableFootnoteAlpha"/>
        <w:numPr>
          <w:ilvl w:val="0"/>
          <w:numId w:val="0"/>
        </w:numPr>
        <w:ind w:left="284" w:hanging="284"/>
        <w:rPr>
          <w:color w:val="000000" w:themeColor="text1"/>
          <w:highlight w:val="yellow"/>
        </w:rPr>
      </w:pPr>
    </w:p>
    <w:tbl>
      <w:tblPr>
        <w:tblW w:w="4678" w:type="dxa"/>
        <w:tblLook w:val="04A0" w:firstRow="1" w:lastRow="0" w:firstColumn="1" w:lastColumn="0" w:noHBand="0" w:noVBand="1"/>
      </w:tblPr>
      <w:tblGrid>
        <w:gridCol w:w="2792"/>
        <w:gridCol w:w="985"/>
        <w:gridCol w:w="901"/>
      </w:tblGrid>
      <w:tr w:rsidR="00F14602" w:rsidRPr="0055790F" w14:paraId="3ED98A66" w14:textId="77777777" w:rsidTr="00F14602">
        <w:trPr>
          <w:trHeight w:val="203"/>
        </w:trPr>
        <w:tc>
          <w:tcPr>
            <w:tcW w:w="2835" w:type="dxa"/>
            <w:tcBorders>
              <w:top w:val="single" w:sz="4" w:space="0" w:color="auto"/>
              <w:left w:val="nil"/>
              <w:bottom w:val="nil"/>
              <w:right w:val="nil"/>
            </w:tcBorders>
            <w:shd w:val="clear" w:color="000000" w:fill="FFFFFF"/>
            <w:vAlign w:val="bottom"/>
            <w:hideMark/>
          </w:tcPr>
          <w:p w14:paraId="4659A3A3" w14:textId="77777777" w:rsidR="00F14602" w:rsidRPr="0055790F" w:rsidRDefault="00F14602" w:rsidP="00763931">
            <w:pPr>
              <w:spacing w:after="0" w:line="240" w:lineRule="auto"/>
              <w:jc w:val="left"/>
              <w:rPr>
                <w:rFonts w:ascii="Arial" w:hAnsi="Arial" w:cs="Arial"/>
                <w:color w:val="000000"/>
                <w:sz w:val="16"/>
                <w:szCs w:val="16"/>
              </w:rPr>
            </w:pPr>
            <w:r w:rsidRPr="0055790F">
              <w:rPr>
                <w:rFonts w:ascii="Arial" w:hAnsi="Arial" w:cs="Arial"/>
                <w:color w:val="000000"/>
                <w:sz w:val="16"/>
                <w:szCs w:val="16"/>
              </w:rPr>
              <w:t> </w:t>
            </w:r>
          </w:p>
        </w:tc>
        <w:tc>
          <w:tcPr>
            <w:tcW w:w="993" w:type="dxa"/>
            <w:tcBorders>
              <w:top w:val="single" w:sz="4" w:space="0" w:color="auto"/>
              <w:left w:val="nil"/>
              <w:bottom w:val="single" w:sz="4" w:space="0" w:color="auto"/>
              <w:right w:val="nil"/>
            </w:tcBorders>
            <w:shd w:val="clear" w:color="000000" w:fill="FFFFFF"/>
            <w:vAlign w:val="bottom"/>
            <w:hideMark/>
          </w:tcPr>
          <w:p w14:paraId="77E781CC" w14:textId="77777777" w:rsidR="00F14602" w:rsidRPr="0055790F" w:rsidRDefault="00F14602" w:rsidP="00763931">
            <w:pPr>
              <w:spacing w:after="0" w:line="240" w:lineRule="auto"/>
              <w:jc w:val="right"/>
              <w:rPr>
                <w:rFonts w:ascii="Arial" w:hAnsi="Arial" w:cs="Arial"/>
                <w:color w:val="000000"/>
                <w:sz w:val="16"/>
                <w:szCs w:val="16"/>
              </w:rPr>
            </w:pPr>
            <w:r w:rsidRPr="0055790F">
              <w:rPr>
                <w:rFonts w:ascii="Arial" w:hAnsi="Arial" w:cs="Arial"/>
                <w:color w:val="000000"/>
                <w:sz w:val="16"/>
                <w:szCs w:val="16"/>
              </w:rPr>
              <w:t>2021-22</w:t>
            </w:r>
          </w:p>
        </w:tc>
        <w:tc>
          <w:tcPr>
            <w:tcW w:w="907" w:type="dxa"/>
            <w:tcBorders>
              <w:top w:val="single" w:sz="4" w:space="0" w:color="auto"/>
              <w:left w:val="nil"/>
              <w:bottom w:val="single" w:sz="4" w:space="0" w:color="auto"/>
              <w:right w:val="nil"/>
            </w:tcBorders>
            <w:shd w:val="clear" w:color="000000" w:fill="E6E6E6"/>
            <w:vAlign w:val="bottom"/>
            <w:hideMark/>
          </w:tcPr>
          <w:p w14:paraId="076B6A4C" w14:textId="77777777" w:rsidR="00F14602" w:rsidRPr="0055790F" w:rsidRDefault="00F14602" w:rsidP="00763931">
            <w:pPr>
              <w:spacing w:after="0" w:line="240" w:lineRule="auto"/>
              <w:jc w:val="right"/>
              <w:rPr>
                <w:rFonts w:ascii="Arial" w:hAnsi="Arial" w:cs="Arial"/>
                <w:color w:val="000000"/>
                <w:sz w:val="16"/>
                <w:szCs w:val="16"/>
              </w:rPr>
            </w:pPr>
            <w:r w:rsidRPr="0055790F">
              <w:rPr>
                <w:rFonts w:ascii="Arial" w:hAnsi="Arial" w:cs="Arial"/>
                <w:color w:val="000000"/>
                <w:sz w:val="16"/>
                <w:szCs w:val="16"/>
              </w:rPr>
              <w:t>2022-23</w:t>
            </w:r>
          </w:p>
        </w:tc>
      </w:tr>
      <w:tr w:rsidR="00F14602" w:rsidRPr="0055790F" w14:paraId="272D3F56" w14:textId="77777777" w:rsidTr="00F14602">
        <w:trPr>
          <w:trHeight w:val="203"/>
        </w:trPr>
        <w:tc>
          <w:tcPr>
            <w:tcW w:w="2835" w:type="dxa"/>
            <w:tcBorders>
              <w:top w:val="nil"/>
              <w:left w:val="nil"/>
              <w:bottom w:val="single" w:sz="4" w:space="0" w:color="auto"/>
              <w:right w:val="nil"/>
            </w:tcBorders>
            <w:shd w:val="clear" w:color="000000" w:fill="FFFFFF"/>
            <w:vAlign w:val="bottom"/>
            <w:hideMark/>
          </w:tcPr>
          <w:p w14:paraId="3A9F4C03" w14:textId="77777777" w:rsidR="00F14602" w:rsidRPr="0055790F" w:rsidRDefault="00F14602" w:rsidP="00763931">
            <w:pPr>
              <w:spacing w:after="0" w:line="240" w:lineRule="auto"/>
              <w:jc w:val="left"/>
              <w:rPr>
                <w:rFonts w:ascii="Arial" w:hAnsi="Arial" w:cs="Arial"/>
                <w:b/>
                <w:bCs/>
                <w:color w:val="000000"/>
                <w:sz w:val="16"/>
                <w:szCs w:val="16"/>
              </w:rPr>
            </w:pPr>
            <w:r w:rsidRPr="0055790F">
              <w:rPr>
                <w:rFonts w:ascii="Arial" w:hAnsi="Arial" w:cs="Arial"/>
                <w:b/>
                <w:bCs/>
                <w:color w:val="000000"/>
                <w:sz w:val="16"/>
                <w:szCs w:val="16"/>
              </w:rPr>
              <w:t>Average staffing level (number)</w:t>
            </w:r>
          </w:p>
        </w:tc>
        <w:tc>
          <w:tcPr>
            <w:tcW w:w="993" w:type="dxa"/>
            <w:tcBorders>
              <w:top w:val="nil"/>
              <w:left w:val="nil"/>
              <w:bottom w:val="single" w:sz="4" w:space="0" w:color="auto"/>
              <w:right w:val="nil"/>
            </w:tcBorders>
            <w:shd w:val="clear" w:color="000000" w:fill="FFFFFF"/>
            <w:vAlign w:val="bottom"/>
            <w:hideMark/>
          </w:tcPr>
          <w:p w14:paraId="0C33EA95" w14:textId="77777777" w:rsidR="00F14602" w:rsidRPr="0055790F" w:rsidRDefault="00F14602" w:rsidP="00763931">
            <w:pPr>
              <w:spacing w:after="0" w:line="240" w:lineRule="auto"/>
              <w:jc w:val="right"/>
              <w:rPr>
                <w:rFonts w:ascii="Arial" w:hAnsi="Arial" w:cs="Arial"/>
                <w:color w:val="000000"/>
                <w:sz w:val="16"/>
                <w:szCs w:val="16"/>
              </w:rPr>
            </w:pPr>
            <w:r>
              <w:rPr>
                <w:rFonts w:ascii="Arial" w:hAnsi="Arial" w:cs="Arial"/>
                <w:color w:val="000000"/>
                <w:sz w:val="16"/>
                <w:szCs w:val="16"/>
              </w:rPr>
              <w:t>3</w:t>
            </w:r>
            <w:r w:rsidRPr="0055790F">
              <w:rPr>
                <w:rFonts w:ascii="Arial" w:hAnsi="Arial" w:cs="Arial"/>
                <w:color w:val="000000"/>
                <w:sz w:val="16"/>
                <w:szCs w:val="16"/>
              </w:rPr>
              <w:t xml:space="preserve"> </w:t>
            </w:r>
          </w:p>
        </w:tc>
        <w:tc>
          <w:tcPr>
            <w:tcW w:w="907" w:type="dxa"/>
            <w:tcBorders>
              <w:top w:val="nil"/>
              <w:left w:val="nil"/>
              <w:bottom w:val="single" w:sz="4" w:space="0" w:color="auto"/>
              <w:right w:val="nil"/>
            </w:tcBorders>
            <w:shd w:val="clear" w:color="000000" w:fill="E6E6E6"/>
            <w:vAlign w:val="bottom"/>
            <w:hideMark/>
          </w:tcPr>
          <w:p w14:paraId="3EBB014A" w14:textId="77777777" w:rsidR="00F14602" w:rsidRPr="0055790F" w:rsidRDefault="00F14602" w:rsidP="00763931">
            <w:pPr>
              <w:spacing w:after="0" w:line="240" w:lineRule="auto"/>
              <w:jc w:val="right"/>
              <w:rPr>
                <w:rFonts w:ascii="Arial" w:hAnsi="Arial" w:cs="Arial"/>
                <w:color w:val="000000"/>
                <w:sz w:val="16"/>
                <w:szCs w:val="16"/>
              </w:rPr>
            </w:pPr>
            <w:r w:rsidRPr="0055790F">
              <w:rPr>
                <w:rFonts w:ascii="Arial" w:hAnsi="Arial" w:cs="Arial"/>
                <w:color w:val="000000"/>
                <w:sz w:val="16"/>
                <w:szCs w:val="16"/>
              </w:rPr>
              <w:t>1</w:t>
            </w:r>
            <w:r>
              <w:rPr>
                <w:rFonts w:ascii="Arial" w:hAnsi="Arial" w:cs="Arial"/>
                <w:color w:val="000000"/>
                <w:sz w:val="16"/>
                <w:szCs w:val="16"/>
              </w:rPr>
              <w:t>0</w:t>
            </w:r>
            <w:r w:rsidRPr="0055790F">
              <w:rPr>
                <w:rFonts w:ascii="Arial" w:hAnsi="Arial" w:cs="Arial"/>
                <w:color w:val="000000"/>
                <w:sz w:val="16"/>
                <w:szCs w:val="16"/>
              </w:rPr>
              <w:t xml:space="preserve"> </w:t>
            </w:r>
          </w:p>
        </w:tc>
      </w:tr>
    </w:tbl>
    <w:p w14:paraId="489E7D6C" w14:textId="77777777" w:rsidR="00752811" w:rsidRDefault="00752811" w:rsidP="009E60A3">
      <w:pPr>
        <w:pStyle w:val="ChartandTableFootnoteAlpha"/>
        <w:numPr>
          <w:ilvl w:val="0"/>
          <w:numId w:val="188"/>
        </w:numPr>
        <w:spacing w:before="60"/>
      </w:pPr>
      <w:r w:rsidRPr="00950281">
        <w:t>Expenses not requiring appropriation in the Budget year are made up of audit fees</w:t>
      </w:r>
      <w:r>
        <w:t xml:space="preserve"> received free of charge.</w:t>
      </w:r>
    </w:p>
    <w:p w14:paraId="033E79B8" w14:textId="77777777" w:rsidR="00752811" w:rsidRPr="00446612" w:rsidRDefault="00752811" w:rsidP="00752811">
      <w:pPr>
        <w:pStyle w:val="NoSpacing"/>
      </w:pPr>
    </w:p>
    <w:p w14:paraId="674F55A4" w14:textId="680C0845" w:rsidR="00752811" w:rsidRPr="00F71634" w:rsidRDefault="00752811" w:rsidP="00752811">
      <w:pPr>
        <w:pStyle w:val="TableHeading"/>
      </w:pPr>
      <w:r>
        <w:rPr>
          <w:highlight w:val="yellow"/>
          <w:lang w:val="en-US"/>
        </w:rPr>
        <w:br w:type="page"/>
      </w:r>
      <w:r w:rsidRPr="00F71634">
        <w:lastRenderedPageBreak/>
        <w:t>Table 2.</w:t>
      </w:r>
      <w:r>
        <w:rPr>
          <w:lang w:val="en-GB"/>
        </w:rPr>
        <w:t>1</w:t>
      </w:r>
      <w:r w:rsidRPr="00F71634">
        <w:t>.</w:t>
      </w:r>
      <w:r w:rsidR="00EB7ABD">
        <w:rPr>
          <w:lang w:val="en-GB"/>
        </w:rPr>
        <w:t>2</w:t>
      </w:r>
      <w:r w:rsidRPr="00F71634">
        <w:t xml:space="preserve">: Performance </w:t>
      </w:r>
      <w:r>
        <w:rPr>
          <w:lang w:val="en-AU"/>
        </w:rPr>
        <w:t>measure</w:t>
      </w:r>
      <w:r w:rsidRPr="00F71634">
        <w:t xml:space="preserve"> </w:t>
      </w:r>
      <w:r>
        <w:t>for Outcome 1</w:t>
      </w:r>
    </w:p>
    <w:p w14:paraId="699559A7" w14:textId="60928F9D" w:rsidR="00752811" w:rsidRPr="00F71634" w:rsidRDefault="00752811" w:rsidP="00752811">
      <w:pPr>
        <w:jc w:val="left"/>
      </w:pPr>
      <w:r w:rsidRPr="001B2F81">
        <w:t>Table 2.</w:t>
      </w:r>
      <w:r>
        <w:t>1</w:t>
      </w:r>
      <w:r w:rsidRPr="001B2F81">
        <w:t>.</w:t>
      </w:r>
      <w:r w:rsidR="00EB7ABD">
        <w:t>2</w:t>
      </w:r>
      <w:r w:rsidRPr="001B2F81">
        <w:t xml:space="preserve"> details the performance measures for each program associated with Outcome </w:t>
      </w:r>
      <w:r>
        <w:t>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r>
        <w:t>D</w:t>
      </w:r>
      <w:r w:rsidRPr="001B2F81">
        <w:t>etails of 202</w:t>
      </w:r>
      <w:r>
        <w:t>2</w:t>
      </w:r>
      <w:r w:rsidRPr="001B2F81">
        <w:t>-</w:t>
      </w:r>
      <w:r>
        <w:t>23</w:t>
      </w:r>
      <w:r w:rsidRPr="001B2F81">
        <w:t xml:space="preserve"> Budget measures that have materially changed existing programs </w:t>
      </w:r>
      <w:r>
        <w:t>are</w:t>
      </w:r>
      <w:r w:rsidRPr="001B2F81">
        <w:t xml:space="preserv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752811" w:rsidRPr="001B2F81" w14:paraId="2D0B297D" w14:textId="77777777" w:rsidTr="00DE31D9">
        <w:trPr>
          <w:trHeight w:val="569"/>
          <w:tblHeader/>
        </w:trPr>
        <w:tc>
          <w:tcPr>
            <w:tcW w:w="7655" w:type="dxa"/>
            <w:gridSpan w:val="3"/>
            <w:shd w:val="clear" w:color="auto" w:fill="F2F2F2"/>
          </w:tcPr>
          <w:p w14:paraId="219D5D25" w14:textId="77777777" w:rsidR="00752811" w:rsidRPr="00777081" w:rsidRDefault="00752811" w:rsidP="00333C84">
            <w:pPr>
              <w:pStyle w:val="TableColumnHeadingLeft"/>
            </w:pPr>
            <w:r w:rsidRPr="00E871B2">
              <w:rPr>
                <w:rStyle w:val="TableHeadingChar"/>
                <w:b/>
              </w:rPr>
              <w:t>Outcome 1</w:t>
            </w:r>
            <w:r w:rsidRPr="00777081">
              <w:t xml:space="preserve"> </w:t>
            </w:r>
            <w:r w:rsidRPr="00EB7ABD">
              <w:rPr>
                <w:b w:val="0"/>
              </w:rPr>
              <w:t>– Progress the development of water resource projects in North Queensland, through strategic planning and coordination of information sharing among relevant regulatory authorities and stakeholders</w:t>
            </w:r>
          </w:p>
        </w:tc>
      </w:tr>
      <w:tr w:rsidR="00752811" w:rsidRPr="001B2F81" w14:paraId="52E49267" w14:textId="77777777" w:rsidTr="00DE31D9">
        <w:trPr>
          <w:trHeight w:val="522"/>
          <w:tblHeader/>
        </w:trPr>
        <w:tc>
          <w:tcPr>
            <w:tcW w:w="7655" w:type="dxa"/>
            <w:gridSpan w:val="3"/>
            <w:shd w:val="clear" w:color="auto" w:fill="F2F2F2"/>
          </w:tcPr>
          <w:p w14:paraId="20435A1B" w14:textId="265C7078" w:rsidR="00752811" w:rsidRPr="00777081" w:rsidRDefault="00752811" w:rsidP="00333C84">
            <w:pPr>
              <w:pStyle w:val="TableTextLeft"/>
            </w:pPr>
            <w:r w:rsidRPr="00777081">
              <w:rPr>
                <w:b/>
              </w:rPr>
              <w:t>Program 1.1</w:t>
            </w:r>
            <w:r w:rsidR="00EB7ABD">
              <w:rPr>
                <w:b/>
              </w:rPr>
              <w:t xml:space="preserve"> </w:t>
            </w:r>
            <w:r w:rsidR="00EB7ABD" w:rsidRPr="00EB7ABD">
              <w:t>–</w:t>
            </w:r>
            <w:r w:rsidRPr="00EB7ABD">
              <w:t xml:space="preserve"> </w:t>
            </w:r>
            <w:r w:rsidRPr="008B6339">
              <w:rPr>
                <w:rFonts w:eastAsia="Arial"/>
              </w:rPr>
              <w:t>Work with stakeholders to deliver priority water resource projects and supporting investment in North Queensland including: Hells Gate Dam and Hughenden Irrigation schemes, the Big Rocks Weir, and other priority projects.</w:t>
            </w:r>
          </w:p>
        </w:tc>
      </w:tr>
      <w:tr w:rsidR="00752811" w:rsidRPr="001B2F81" w14:paraId="6A11F3A5" w14:textId="77777777" w:rsidTr="00DE31D9">
        <w:trPr>
          <w:trHeight w:val="694"/>
        </w:trPr>
        <w:tc>
          <w:tcPr>
            <w:tcW w:w="1560" w:type="dxa"/>
            <w:tcBorders>
              <w:bottom w:val="double" w:sz="4" w:space="0" w:color="auto"/>
            </w:tcBorders>
          </w:tcPr>
          <w:p w14:paraId="25D15608" w14:textId="77777777" w:rsidR="00752811" w:rsidRPr="00160C23" w:rsidRDefault="00752811" w:rsidP="00333C84">
            <w:pPr>
              <w:tabs>
                <w:tab w:val="left" w:pos="709"/>
              </w:tabs>
              <w:spacing w:before="60" w:after="0" w:line="240" w:lineRule="auto"/>
              <w:rPr>
                <w:rFonts w:ascii="Arial" w:hAnsi="Arial" w:cs="Arial"/>
                <w:b/>
                <w:sz w:val="16"/>
                <w:szCs w:val="16"/>
              </w:rPr>
            </w:pPr>
            <w:r w:rsidRPr="00160C23">
              <w:rPr>
                <w:rFonts w:ascii="Arial" w:hAnsi="Arial" w:cs="Arial"/>
                <w:b/>
                <w:sz w:val="16"/>
                <w:szCs w:val="16"/>
              </w:rPr>
              <w:t xml:space="preserve">Key Activities </w:t>
            </w:r>
            <w:r w:rsidRPr="00104FE4">
              <w:rPr>
                <w:rFonts w:ascii="Arial" w:hAnsi="Arial" w:cs="Arial"/>
                <w:sz w:val="16"/>
                <w:szCs w:val="16"/>
                <w:vertAlign w:val="superscript"/>
              </w:rPr>
              <w:t>(a)</w:t>
            </w:r>
          </w:p>
        </w:tc>
        <w:tc>
          <w:tcPr>
            <w:tcW w:w="6095" w:type="dxa"/>
            <w:gridSpan w:val="2"/>
            <w:tcBorders>
              <w:bottom w:val="double" w:sz="4" w:space="0" w:color="auto"/>
            </w:tcBorders>
          </w:tcPr>
          <w:p w14:paraId="6ADE37DC" w14:textId="77777777" w:rsidR="00752811" w:rsidRPr="00160C23" w:rsidRDefault="00752811" w:rsidP="00333C84">
            <w:pPr>
              <w:tabs>
                <w:tab w:val="left" w:pos="709"/>
              </w:tabs>
              <w:spacing w:before="60" w:after="60" w:line="240" w:lineRule="auto"/>
              <w:jc w:val="left"/>
              <w:rPr>
                <w:rFonts w:ascii="Arial" w:hAnsi="Arial" w:cs="Arial"/>
                <w:i/>
                <w:sz w:val="16"/>
                <w:szCs w:val="16"/>
              </w:rPr>
            </w:pPr>
            <w:r w:rsidRPr="00777081">
              <w:rPr>
                <w:rFonts w:ascii="Arial" w:hAnsi="Arial" w:cs="Arial"/>
                <w:bCs/>
                <w:sz w:val="16"/>
                <w:szCs w:val="16"/>
              </w:rPr>
              <w:t xml:space="preserve">During 2022-23 </w:t>
            </w:r>
            <w:r>
              <w:rPr>
                <w:rFonts w:ascii="Arial" w:hAnsi="Arial" w:cs="Arial"/>
                <w:bCs/>
                <w:sz w:val="16"/>
                <w:szCs w:val="16"/>
              </w:rPr>
              <w:t xml:space="preserve">the </w:t>
            </w:r>
            <w:r w:rsidRPr="00777081">
              <w:rPr>
                <w:rFonts w:ascii="Arial" w:hAnsi="Arial" w:cs="Arial"/>
                <w:bCs/>
                <w:sz w:val="16"/>
                <w:szCs w:val="16"/>
              </w:rPr>
              <w:t xml:space="preserve">NQWIA will deliver Program 1.1 by engaging with project proponents, state and local governments and regulatory agencies to ensure timely progression of projects, and collaboratively undertake relevant water infrastructure master planning and on-the-ground project delivery in </w:t>
            </w:r>
            <w:r>
              <w:rPr>
                <w:rFonts w:ascii="Arial" w:hAnsi="Arial" w:cs="Arial"/>
                <w:bCs/>
                <w:sz w:val="16"/>
                <w:szCs w:val="16"/>
              </w:rPr>
              <w:t>n</w:t>
            </w:r>
            <w:r w:rsidRPr="00777081">
              <w:rPr>
                <w:rFonts w:ascii="Arial" w:hAnsi="Arial" w:cs="Arial"/>
                <w:bCs/>
                <w:sz w:val="16"/>
                <w:szCs w:val="16"/>
              </w:rPr>
              <w:t>orth Queensland.</w:t>
            </w:r>
          </w:p>
        </w:tc>
      </w:tr>
      <w:tr w:rsidR="00752811" w:rsidRPr="001B2F81" w14:paraId="1ACC2FD0" w14:textId="77777777" w:rsidTr="00104FE4">
        <w:trPr>
          <w:trHeight w:val="258"/>
        </w:trPr>
        <w:tc>
          <w:tcPr>
            <w:tcW w:w="1560" w:type="dxa"/>
            <w:tcBorders>
              <w:top w:val="double" w:sz="4" w:space="0" w:color="auto"/>
              <w:bottom w:val="single" w:sz="4" w:space="0" w:color="auto"/>
              <w:right w:val="single" w:sz="4" w:space="0" w:color="auto"/>
            </w:tcBorders>
          </w:tcPr>
          <w:p w14:paraId="4DBD038A"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673DB5F9"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2977" w:type="dxa"/>
            <w:tcBorders>
              <w:top w:val="double" w:sz="4" w:space="0" w:color="auto"/>
              <w:left w:val="single" w:sz="4" w:space="0" w:color="auto"/>
              <w:bottom w:val="single" w:sz="4" w:space="0" w:color="auto"/>
            </w:tcBorders>
          </w:tcPr>
          <w:p w14:paraId="457B006D"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752811" w:rsidRPr="001B2F81" w14:paraId="6F414DFA" w14:textId="77777777" w:rsidTr="00104FE4">
        <w:trPr>
          <w:trHeight w:val="710"/>
        </w:trPr>
        <w:tc>
          <w:tcPr>
            <w:tcW w:w="1560" w:type="dxa"/>
            <w:tcBorders>
              <w:top w:val="single" w:sz="4" w:space="0" w:color="auto"/>
              <w:bottom w:val="nil"/>
              <w:right w:val="single" w:sz="4" w:space="0" w:color="auto"/>
            </w:tcBorders>
          </w:tcPr>
          <w:p w14:paraId="26530CB7" w14:textId="77777777" w:rsidR="00752811" w:rsidRPr="00D21EF7" w:rsidRDefault="00752811" w:rsidP="00333C84">
            <w:pPr>
              <w:pStyle w:val="TableTextBase"/>
              <w:rPr>
                <w:sz w:val="16"/>
                <w:szCs w:val="16"/>
              </w:rPr>
            </w:pPr>
            <w:r w:rsidRPr="00D21EF7">
              <w:rPr>
                <w:sz w:val="16"/>
                <w:szCs w:val="16"/>
              </w:rPr>
              <w:t xml:space="preserve">Current year </w:t>
            </w:r>
            <w:r>
              <w:rPr>
                <w:sz w:val="16"/>
                <w:szCs w:val="16"/>
              </w:rPr>
              <w:br/>
            </w:r>
            <w:r w:rsidRPr="00D21EF7">
              <w:rPr>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14:paraId="5B1B8D43" w14:textId="77777777" w:rsidR="00752811" w:rsidRPr="00741872" w:rsidRDefault="00752811" w:rsidP="00333C84">
            <w:pPr>
              <w:pStyle w:val="TableTextBase"/>
              <w:rPr>
                <w:sz w:val="16"/>
                <w:szCs w:val="16"/>
              </w:rPr>
            </w:pPr>
            <w:r w:rsidRPr="00741872">
              <w:rPr>
                <w:sz w:val="16"/>
                <w:szCs w:val="16"/>
              </w:rPr>
              <w:t>Complete the Hughenden Irrigation Scheme detailed business case and authorise payments against completed milestones</w:t>
            </w:r>
          </w:p>
        </w:tc>
        <w:tc>
          <w:tcPr>
            <w:tcW w:w="2977" w:type="dxa"/>
            <w:tcBorders>
              <w:top w:val="single" w:sz="4" w:space="0" w:color="auto"/>
              <w:left w:val="single" w:sz="4" w:space="0" w:color="auto"/>
              <w:bottom w:val="single" w:sz="4" w:space="0" w:color="auto"/>
            </w:tcBorders>
          </w:tcPr>
          <w:p w14:paraId="7300AB82" w14:textId="7AC8C2C5" w:rsidR="00752811" w:rsidRDefault="00752811" w:rsidP="0047147F">
            <w:pPr>
              <w:pStyle w:val="TableTextBase"/>
              <w:rPr>
                <w:sz w:val="16"/>
                <w:szCs w:val="16"/>
              </w:rPr>
            </w:pPr>
            <w:r w:rsidRPr="00741872">
              <w:rPr>
                <w:sz w:val="16"/>
                <w:szCs w:val="16"/>
              </w:rPr>
              <w:t xml:space="preserve">Hughenden </w:t>
            </w:r>
            <w:r w:rsidR="0047147F">
              <w:rPr>
                <w:sz w:val="16"/>
                <w:szCs w:val="16"/>
              </w:rPr>
              <w:t>Irrigation Scheme Business Case.</w:t>
            </w:r>
          </w:p>
          <w:p w14:paraId="4B0739CD" w14:textId="1351413C" w:rsidR="0047147F" w:rsidRPr="00741872" w:rsidRDefault="0047147F" w:rsidP="0047147F">
            <w:pPr>
              <w:pStyle w:val="TableTextBase"/>
              <w:rPr>
                <w:sz w:val="16"/>
                <w:szCs w:val="16"/>
              </w:rPr>
            </w:pPr>
            <w:r>
              <w:rPr>
                <w:sz w:val="16"/>
                <w:szCs w:val="16"/>
              </w:rPr>
              <w:t>Target achieved</w:t>
            </w:r>
          </w:p>
        </w:tc>
      </w:tr>
      <w:tr w:rsidR="00752811" w:rsidRPr="001B2F81" w14:paraId="068200E5" w14:textId="77777777" w:rsidTr="00104FE4">
        <w:trPr>
          <w:trHeight w:val="642"/>
        </w:trPr>
        <w:tc>
          <w:tcPr>
            <w:tcW w:w="1560" w:type="dxa"/>
            <w:tcBorders>
              <w:top w:val="nil"/>
              <w:bottom w:val="nil"/>
              <w:right w:val="single" w:sz="4" w:space="0" w:color="auto"/>
            </w:tcBorders>
          </w:tcPr>
          <w:p w14:paraId="37596E3A"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CE66B07" w14:textId="77777777" w:rsidR="00752811" w:rsidRPr="00741872" w:rsidRDefault="00752811" w:rsidP="00333C84">
            <w:pPr>
              <w:pStyle w:val="TableTextBase"/>
              <w:rPr>
                <w:sz w:val="16"/>
                <w:szCs w:val="16"/>
              </w:rPr>
            </w:pPr>
            <w:r w:rsidRPr="00741872">
              <w:rPr>
                <w:sz w:val="16"/>
                <w:szCs w:val="16"/>
              </w:rPr>
              <w:t>Substantially complete the Hells Gates Dam Business Case and authorise payments against completed milestones</w:t>
            </w:r>
          </w:p>
        </w:tc>
        <w:tc>
          <w:tcPr>
            <w:tcW w:w="2977" w:type="dxa"/>
            <w:tcBorders>
              <w:top w:val="single" w:sz="4" w:space="0" w:color="auto"/>
              <w:left w:val="single" w:sz="4" w:space="0" w:color="auto"/>
              <w:bottom w:val="single" w:sz="4" w:space="0" w:color="auto"/>
            </w:tcBorders>
          </w:tcPr>
          <w:p w14:paraId="03EB45E5" w14:textId="77777777" w:rsidR="00752811" w:rsidRDefault="00752811" w:rsidP="0047147F">
            <w:pPr>
              <w:pStyle w:val="TableTextBase"/>
              <w:rPr>
                <w:sz w:val="16"/>
                <w:szCs w:val="16"/>
              </w:rPr>
            </w:pPr>
            <w:r w:rsidRPr="00741872">
              <w:rPr>
                <w:sz w:val="16"/>
                <w:szCs w:val="16"/>
              </w:rPr>
              <w:t xml:space="preserve">Hells Gates Dam Business </w:t>
            </w:r>
            <w:r w:rsidR="0047147F">
              <w:rPr>
                <w:sz w:val="16"/>
                <w:szCs w:val="16"/>
              </w:rPr>
              <w:t>Case.</w:t>
            </w:r>
          </w:p>
          <w:p w14:paraId="2EA4E215" w14:textId="7327A198" w:rsidR="0047147F" w:rsidRPr="00741872" w:rsidRDefault="0047147F" w:rsidP="0047147F">
            <w:pPr>
              <w:pStyle w:val="TableTextBase"/>
              <w:rPr>
                <w:sz w:val="16"/>
                <w:szCs w:val="16"/>
              </w:rPr>
            </w:pPr>
            <w:r>
              <w:rPr>
                <w:sz w:val="16"/>
                <w:szCs w:val="16"/>
              </w:rPr>
              <w:t>Target achieved</w:t>
            </w:r>
          </w:p>
        </w:tc>
      </w:tr>
      <w:tr w:rsidR="00752811" w:rsidRPr="001B2F81" w14:paraId="75B670A2" w14:textId="77777777" w:rsidTr="00104FE4">
        <w:trPr>
          <w:trHeight w:val="449"/>
        </w:trPr>
        <w:tc>
          <w:tcPr>
            <w:tcW w:w="1560" w:type="dxa"/>
            <w:tcBorders>
              <w:top w:val="nil"/>
              <w:bottom w:val="single" w:sz="4" w:space="0" w:color="auto"/>
              <w:right w:val="single" w:sz="4" w:space="0" w:color="auto"/>
            </w:tcBorders>
          </w:tcPr>
          <w:p w14:paraId="44690CAF"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D1877F5" w14:textId="77777777" w:rsidR="00752811" w:rsidRPr="00741872" w:rsidRDefault="00752811" w:rsidP="00333C84">
            <w:pPr>
              <w:pStyle w:val="TableTextBase"/>
              <w:rPr>
                <w:sz w:val="16"/>
                <w:szCs w:val="16"/>
              </w:rPr>
            </w:pPr>
            <w:r w:rsidRPr="00741872">
              <w:rPr>
                <w:sz w:val="16"/>
                <w:szCs w:val="16"/>
              </w:rPr>
              <w:t>Complete the Upper Burdekin Irrigation Project</w:t>
            </w:r>
          </w:p>
        </w:tc>
        <w:tc>
          <w:tcPr>
            <w:tcW w:w="2977" w:type="dxa"/>
            <w:tcBorders>
              <w:top w:val="single" w:sz="4" w:space="0" w:color="auto"/>
              <w:left w:val="single" w:sz="4" w:space="0" w:color="auto"/>
              <w:bottom w:val="single" w:sz="4" w:space="0" w:color="auto"/>
            </w:tcBorders>
          </w:tcPr>
          <w:p w14:paraId="7EBEB86F" w14:textId="30596CD6" w:rsidR="00752811" w:rsidRPr="00741872" w:rsidRDefault="00752811" w:rsidP="0047147F">
            <w:pPr>
              <w:pStyle w:val="TableTextBase"/>
              <w:rPr>
                <w:sz w:val="16"/>
                <w:szCs w:val="16"/>
              </w:rPr>
            </w:pPr>
            <w:r w:rsidRPr="00741872">
              <w:rPr>
                <w:sz w:val="16"/>
                <w:szCs w:val="16"/>
              </w:rPr>
              <w:t>Uppe</w:t>
            </w:r>
            <w:r w:rsidR="0047147F">
              <w:rPr>
                <w:sz w:val="16"/>
                <w:szCs w:val="16"/>
              </w:rPr>
              <w:t>r Burdekin Irrigation Project.</w:t>
            </w:r>
            <w:r w:rsidRPr="00741872">
              <w:rPr>
                <w:sz w:val="16"/>
                <w:szCs w:val="16"/>
              </w:rPr>
              <w:t xml:space="preserve"> </w:t>
            </w:r>
            <w:r w:rsidR="0047147F">
              <w:rPr>
                <w:sz w:val="16"/>
                <w:szCs w:val="16"/>
              </w:rPr>
              <w:t>Target achieved</w:t>
            </w:r>
          </w:p>
        </w:tc>
      </w:tr>
      <w:tr w:rsidR="00752811" w:rsidRPr="00160C23" w14:paraId="68A1352B" w14:textId="77777777" w:rsidTr="00104FE4">
        <w:trPr>
          <w:trHeight w:val="258"/>
        </w:trPr>
        <w:tc>
          <w:tcPr>
            <w:tcW w:w="1560" w:type="dxa"/>
            <w:tcBorders>
              <w:top w:val="double" w:sz="4" w:space="0" w:color="auto"/>
              <w:bottom w:val="single" w:sz="4" w:space="0" w:color="auto"/>
              <w:right w:val="single" w:sz="4" w:space="0" w:color="auto"/>
            </w:tcBorders>
          </w:tcPr>
          <w:p w14:paraId="730BEFDC" w14:textId="77777777" w:rsidR="00752811" w:rsidRPr="00160C23" w:rsidRDefault="00752811" w:rsidP="00333C84">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2BFDB240"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r>
              <w:rPr>
                <w:rFonts w:cs="Arial"/>
                <w:b/>
                <w:sz w:val="16"/>
                <w:szCs w:val="16"/>
              </w:rPr>
              <w:t xml:space="preserve"> </w:t>
            </w:r>
            <w:r w:rsidRPr="00104FE4">
              <w:rPr>
                <w:rFonts w:cs="Arial"/>
                <w:sz w:val="16"/>
                <w:szCs w:val="16"/>
                <w:vertAlign w:val="superscript"/>
              </w:rPr>
              <w:t>(b)</w:t>
            </w:r>
          </w:p>
        </w:tc>
        <w:tc>
          <w:tcPr>
            <w:tcW w:w="2977" w:type="dxa"/>
            <w:tcBorders>
              <w:top w:val="double" w:sz="4" w:space="0" w:color="auto"/>
              <w:left w:val="single" w:sz="4" w:space="0" w:color="auto"/>
              <w:bottom w:val="single" w:sz="4" w:space="0" w:color="auto"/>
            </w:tcBorders>
          </w:tcPr>
          <w:p w14:paraId="3EAC074F" w14:textId="77777777" w:rsidR="00752811" w:rsidRPr="00160C23" w:rsidRDefault="00752811" w:rsidP="00333C84">
            <w:pPr>
              <w:pStyle w:val="TableTextBase"/>
              <w:rPr>
                <w:rFonts w:cs="Arial"/>
                <w:b/>
                <w:sz w:val="16"/>
                <w:szCs w:val="16"/>
              </w:rPr>
            </w:pPr>
            <w:r>
              <w:rPr>
                <w:b/>
                <w:sz w:val="16"/>
                <w:szCs w:val="16"/>
              </w:rPr>
              <w:t>Planned</w:t>
            </w:r>
            <w:r w:rsidRPr="00160C23">
              <w:rPr>
                <w:b/>
                <w:sz w:val="16"/>
                <w:szCs w:val="16"/>
              </w:rPr>
              <w:t xml:space="preserve"> Performance Results</w:t>
            </w:r>
            <w:r w:rsidRPr="00160C23">
              <w:rPr>
                <w:rFonts w:cs="Arial"/>
                <w:b/>
                <w:sz w:val="16"/>
                <w:szCs w:val="16"/>
              </w:rPr>
              <w:t xml:space="preserve"> </w:t>
            </w:r>
          </w:p>
        </w:tc>
      </w:tr>
      <w:tr w:rsidR="00752811" w:rsidRPr="001B2F81" w14:paraId="5DC2EDFF" w14:textId="77777777" w:rsidTr="00104FE4">
        <w:trPr>
          <w:trHeight w:val="100"/>
        </w:trPr>
        <w:tc>
          <w:tcPr>
            <w:tcW w:w="1560" w:type="dxa"/>
            <w:tcBorders>
              <w:top w:val="single" w:sz="4" w:space="0" w:color="auto"/>
              <w:bottom w:val="nil"/>
              <w:right w:val="single" w:sz="4" w:space="0" w:color="auto"/>
            </w:tcBorders>
          </w:tcPr>
          <w:p w14:paraId="0B8199CD" w14:textId="7A010598" w:rsidR="00752811" w:rsidRPr="00D21EF7" w:rsidRDefault="00706C8A" w:rsidP="00333C84">
            <w:pPr>
              <w:pStyle w:val="TableTextBase"/>
              <w:rPr>
                <w:sz w:val="16"/>
                <w:szCs w:val="16"/>
              </w:rPr>
            </w:pPr>
            <w:r>
              <w:rPr>
                <w:sz w:val="16"/>
                <w:szCs w:val="16"/>
              </w:rPr>
              <w:t>Budget y</w:t>
            </w:r>
            <w:r w:rsidR="00752811" w:rsidRPr="00D21EF7">
              <w:rPr>
                <w:sz w:val="16"/>
                <w:szCs w:val="16"/>
              </w:rPr>
              <w:t>ear</w:t>
            </w:r>
            <w:r w:rsidR="00752811">
              <w:rPr>
                <w:sz w:val="16"/>
                <w:szCs w:val="16"/>
              </w:rPr>
              <w:br/>
            </w:r>
            <w:r w:rsidR="00752811" w:rsidRPr="00D21EF7">
              <w:rPr>
                <w:sz w:val="16"/>
                <w:szCs w:val="16"/>
              </w:rPr>
              <w:t>2022-23</w:t>
            </w:r>
          </w:p>
        </w:tc>
        <w:tc>
          <w:tcPr>
            <w:tcW w:w="3118" w:type="dxa"/>
            <w:tcBorders>
              <w:top w:val="single" w:sz="4" w:space="0" w:color="auto"/>
              <w:left w:val="single" w:sz="4" w:space="0" w:color="auto"/>
              <w:bottom w:val="single" w:sz="4" w:space="0" w:color="auto"/>
              <w:right w:val="single" w:sz="4" w:space="0" w:color="auto"/>
            </w:tcBorders>
          </w:tcPr>
          <w:p w14:paraId="05F60586" w14:textId="77777777" w:rsidR="00752811" w:rsidRPr="00777081" w:rsidRDefault="00752811" w:rsidP="00333C84">
            <w:pPr>
              <w:pStyle w:val="TableTextBase"/>
              <w:rPr>
                <w:i/>
                <w:sz w:val="16"/>
                <w:szCs w:val="16"/>
              </w:rPr>
            </w:pPr>
            <w:r w:rsidRPr="00777081">
              <w:rPr>
                <w:i/>
                <w:sz w:val="16"/>
                <w:szCs w:val="16"/>
              </w:rPr>
              <w:t xml:space="preserve">Oversight completion of Big Rocks Weir pre-construction </w:t>
            </w:r>
          </w:p>
        </w:tc>
        <w:tc>
          <w:tcPr>
            <w:tcW w:w="2977" w:type="dxa"/>
            <w:tcBorders>
              <w:top w:val="single" w:sz="4" w:space="0" w:color="auto"/>
              <w:left w:val="single" w:sz="4" w:space="0" w:color="auto"/>
              <w:bottom w:val="single" w:sz="4" w:space="0" w:color="auto"/>
            </w:tcBorders>
          </w:tcPr>
          <w:p w14:paraId="4A3E940F" w14:textId="77777777" w:rsidR="00752811" w:rsidRPr="00777081" w:rsidRDefault="00752811" w:rsidP="00333C84">
            <w:pPr>
              <w:pStyle w:val="TableTextBase"/>
              <w:rPr>
                <w:i/>
                <w:sz w:val="16"/>
                <w:szCs w:val="16"/>
              </w:rPr>
            </w:pPr>
            <w:r w:rsidRPr="00777081">
              <w:rPr>
                <w:i/>
                <w:sz w:val="16"/>
                <w:szCs w:val="16"/>
              </w:rPr>
              <w:t>Pre-construction activities completed, and recommendations provided to Government</w:t>
            </w:r>
          </w:p>
        </w:tc>
      </w:tr>
      <w:tr w:rsidR="00752811" w:rsidRPr="001B2F81" w14:paraId="17CF597A" w14:textId="77777777" w:rsidTr="00104FE4">
        <w:trPr>
          <w:trHeight w:val="100"/>
        </w:trPr>
        <w:tc>
          <w:tcPr>
            <w:tcW w:w="1560" w:type="dxa"/>
            <w:tcBorders>
              <w:top w:val="nil"/>
              <w:bottom w:val="nil"/>
              <w:right w:val="single" w:sz="4" w:space="0" w:color="auto"/>
            </w:tcBorders>
          </w:tcPr>
          <w:p w14:paraId="1A3134B8"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6CC02B97" w14:textId="77777777" w:rsidR="00752811" w:rsidRPr="00D80CBE" w:rsidRDefault="00752811" w:rsidP="00333C84">
            <w:pPr>
              <w:pStyle w:val="TableTextBase"/>
              <w:rPr>
                <w:i/>
                <w:sz w:val="16"/>
                <w:szCs w:val="16"/>
              </w:rPr>
            </w:pPr>
            <w:r w:rsidRPr="00D902DF">
              <w:rPr>
                <w:i/>
                <w:sz w:val="16"/>
                <w:szCs w:val="16"/>
              </w:rPr>
              <w:t>Substantially progress decisions concerning further development of Hells Gate Dam a</w:t>
            </w:r>
            <w:r>
              <w:rPr>
                <w:i/>
                <w:sz w:val="16"/>
                <w:szCs w:val="16"/>
              </w:rPr>
              <w:t>nd Hughenden Irrigation schemes</w:t>
            </w:r>
          </w:p>
        </w:tc>
        <w:tc>
          <w:tcPr>
            <w:tcW w:w="2977" w:type="dxa"/>
            <w:tcBorders>
              <w:top w:val="single" w:sz="4" w:space="0" w:color="auto"/>
              <w:left w:val="single" w:sz="4" w:space="0" w:color="auto"/>
              <w:bottom w:val="single" w:sz="4" w:space="0" w:color="auto"/>
            </w:tcBorders>
          </w:tcPr>
          <w:p w14:paraId="23553B44" w14:textId="77777777" w:rsidR="00752811" w:rsidRPr="00D80CBE" w:rsidRDefault="00752811" w:rsidP="00333C84">
            <w:pPr>
              <w:pStyle w:val="TableTextBase"/>
              <w:rPr>
                <w:i/>
                <w:sz w:val="16"/>
                <w:szCs w:val="16"/>
              </w:rPr>
            </w:pPr>
            <w:r w:rsidRPr="007814DE">
              <w:rPr>
                <w:i/>
                <w:sz w:val="16"/>
                <w:szCs w:val="16"/>
              </w:rPr>
              <w:t>Advice provided to Government, w</w:t>
            </w:r>
            <w:r>
              <w:rPr>
                <w:i/>
                <w:sz w:val="16"/>
                <w:szCs w:val="16"/>
              </w:rPr>
              <w:t>ith activities well progressed</w:t>
            </w:r>
          </w:p>
        </w:tc>
      </w:tr>
      <w:tr w:rsidR="00752811" w:rsidRPr="001B2F81" w14:paraId="2233B2BC" w14:textId="77777777" w:rsidTr="00104FE4">
        <w:trPr>
          <w:trHeight w:val="100"/>
        </w:trPr>
        <w:tc>
          <w:tcPr>
            <w:tcW w:w="1560" w:type="dxa"/>
            <w:tcBorders>
              <w:top w:val="nil"/>
              <w:bottom w:val="nil"/>
              <w:right w:val="single" w:sz="4" w:space="0" w:color="auto"/>
            </w:tcBorders>
          </w:tcPr>
          <w:p w14:paraId="08A85286"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C7290CF" w14:textId="77777777" w:rsidR="00752811" w:rsidRPr="00D80CBE" w:rsidRDefault="00752811" w:rsidP="00333C84">
            <w:pPr>
              <w:pStyle w:val="TableTextBase"/>
              <w:rPr>
                <w:i/>
                <w:sz w:val="16"/>
                <w:szCs w:val="16"/>
              </w:rPr>
            </w:pPr>
            <w:r w:rsidRPr="00367405">
              <w:rPr>
                <w:i/>
                <w:sz w:val="16"/>
                <w:szCs w:val="16"/>
              </w:rPr>
              <w:t>Oversight substantial completion of Bowen Pipeline business case project, including authorising payment</w:t>
            </w:r>
            <w:r>
              <w:rPr>
                <w:i/>
                <w:sz w:val="16"/>
                <w:szCs w:val="16"/>
              </w:rPr>
              <w:t xml:space="preserve">s against completed milestones </w:t>
            </w:r>
          </w:p>
        </w:tc>
        <w:tc>
          <w:tcPr>
            <w:tcW w:w="2977" w:type="dxa"/>
            <w:tcBorders>
              <w:top w:val="single" w:sz="4" w:space="0" w:color="auto"/>
              <w:left w:val="single" w:sz="4" w:space="0" w:color="auto"/>
              <w:bottom w:val="single" w:sz="4" w:space="0" w:color="auto"/>
            </w:tcBorders>
          </w:tcPr>
          <w:p w14:paraId="122A1C89" w14:textId="2EAD9693" w:rsidR="00752811" w:rsidRPr="00B07F39" w:rsidRDefault="00752811" w:rsidP="00333C84">
            <w:pPr>
              <w:pStyle w:val="TableTextBase"/>
              <w:rPr>
                <w:i/>
                <w:sz w:val="16"/>
                <w:szCs w:val="16"/>
              </w:rPr>
            </w:pPr>
            <w:r w:rsidRPr="00B07F39">
              <w:rPr>
                <w:i/>
                <w:sz w:val="16"/>
                <w:szCs w:val="16"/>
              </w:rPr>
              <w:t>Bowen Pipeline business case – 80</w:t>
            </w:r>
            <w:r w:rsidR="00217C54">
              <w:rPr>
                <w:i/>
                <w:sz w:val="16"/>
                <w:szCs w:val="16"/>
              </w:rPr>
              <w:t>%</w:t>
            </w:r>
            <w:r w:rsidRPr="00B07F39">
              <w:rPr>
                <w:i/>
                <w:sz w:val="16"/>
                <w:szCs w:val="16"/>
              </w:rPr>
              <w:t xml:space="preserve"> complete</w:t>
            </w:r>
          </w:p>
          <w:p w14:paraId="7495643F" w14:textId="77777777" w:rsidR="00752811" w:rsidRPr="00D80CBE" w:rsidRDefault="00752811" w:rsidP="00333C84">
            <w:pPr>
              <w:pStyle w:val="TableTextBase"/>
              <w:rPr>
                <w:i/>
                <w:sz w:val="16"/>
                <w:szCs w:val="16"/>
              </w:rPr>
            </w:pPr>
          </w:p>
        </w:tc>
      </w:tr>
      <w:tr w:rsidR="00752811" w:rsidRPr="001B2F81" w14:paraId="65EEFA7A" w14:textId="77777777" w:rsidTr="00104FE4">
        <w:trPr>
          <w:trHeight w:val="100"/>
        </w:trPr>
        <w:tc>
          <w:tcPr>
            <w:tcW w:w="1560" w:type="dxa"/>
            <w:tcBorders>
              <w:top w:val="nil"/>
              <w:bottom w:val="single" w:sz="4" w:space="0" w:color="auto"/>
              <w:right w:val="single" w:sz="4" w:space="0" w:color="auto"/>
            </w:tcBorders>
          </w:tcPr>
          <w:p w14:paraId="345C94DD" w14:textId="77777777" w:rsidR="00752811" w:rsidRPr="00D21EF7" w:rsidRDefault="00752811" w:rsidP="00333C84">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EC7AF76" w14:textId="77777777" w:rsidR="00752811" w:rsidRPr="00D80CBE" w:rsidRDefault="00752811" w:rsidP="00333C84">
            <w:pPr>
              <w:pStyle w:val="TableTextBase"/>
              <w:rPr>
                <w:i/>
                <w:sz w:val="16"/>
                <w:szCs w:val="16"/>
              </w:rPr>
            </w:pPr>
            <w:r w:rsidRPr="000353C0">
              <w:rPr>
                <w:i/>
                <w:sz w:val="16"/>
                <w:szCs w:val="16"/>
              </w:rPr>
              <w:t>Oversight substantial completion of Urannah Dam business case project, including authorising payment</w:t>
            </w:r>
            <w:r>
              <w:rPr>
                <w:i/>
                <w:sz w:val="16"/>
                <w:szCs w:val="16"/>
              </w:rPr>
              <w:t xml:space="preserve">s against completed milestones </w:t>
            </w:r>
          </w:p>
        </w:tc>
        <w:tc>
          <w:tcPr>
            <w:tcW w:w="2977" w:type="dxa"/>
            <w:tcBorders>
              <w:top w:val="single" w:sz="4" w:space="0" w:color="auto"/>
              <w:left w:val="single" w:sz="4" w:space="0" w:color="auto"/>
              <w:bottom w:val="single" w:sz="4" w:space="0" w:color="auto"/>
            </w:tcBorders>
          </w:tcPr>
          <w:p w14:paraId="2DA31F28" w14:textId="5C0E20BF" w:rsidR="00752811" w:rsidRPr="00D80CBE" w:rsidRDefault="00752811" w:rsidP="00EB7ABD">
            <w:pPr>
              <w:pStyle w:val="TableTextBase"/>
              <w:rPr>
                <w:i/>
                <w:sz w:val="16"/>
                <w:szCs w:val="16"/>
              </w:rPr>
            </w:pPr>
            <w:r w:rsidRPr="00414B76">
              <w:rPr>
                <w:i/>
                <w:sz w:val="16"/>
                <w:szCs w:val="16"/>
              </w:rPr>
              <w:t>Urannah Dam business case – 100</w:t>
            </w:r>
            <w:r w:rsidR="00217C54">
              <w:rPr>
                <w:i/>
                <w:sz w:val="16"/>
                <w:szCs w:val="16"/>
              </w:rPr>
              <w:t>%</w:t>
            </w:r>
            <w:r w:rsidRPr="00414B76">
              <w:rPr>
                <w:i/>
                <w:sz w:val="16"/>
                <w:szCs w:val="16"/>
              </w:rPr>
              <w:t xml:space="preserve"> complete</w:t>
            </w:r>
          </w:p>
        </w:tc>
      </w:tr>
    </w:tbl>
    <w:p w14:paraId="1C0BF5F6" w14:textId="77777777" w:rsidR="00752811" w:rsidRDefault="00752811" w:rsidP="00752811">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2977"/>
      </w:tblGrid>
      <w:tr w:rsidR="00752811" w:rsidRPr="00160C23" w14:paraId="66075406" w14:textId="77777777" w:rsidTr="0047147F">
        <w:trPr>
          <w:trHeight w:val="258"/>
        </w:trPr>
        <w:tc>
          <w:tcPr>
            <w:tcW w:w="1560" w:type="dxa"/>
            <w:tcBorders>
              <w:top w:val="double" w:sz="4" w:space="0" w:color="auto"/>
              <w:bottom w:val="single" w:sz="4" w:space="0" w:color="auto"/>
              <w:right w:val="single" w:sz="4" w:space="0" w:color="auto"/>
            </w:tcBorders>
          </w:tcPr>
          <w:p w14:paraId="11E79777" w14:textId="77777777" w:rsidR="00752811" w:rsidRPr="00160C23" w:rsidRDefault="00752811" w:rsidP="00333C84">
            <w:pPr>
              <w:pStyle w:val="TableTextBase"/>
              <w:rPr>
                <w:b/>
                <w:sz w:val="16"/>
                <w:szCs w:val="16"/>
              </w:rPr>
            </w:pPr>
            <w:r w:rsidRPr="00160C23">
              <w:rPr>
                <w:b/>
                <w:sz w:val="16"/>
                <w:szCs w:val="16"/>
              </w:rPr>
              <w:lastRenderedPageBreak/>
              <w:t>Year</w:t>
            </w:r>
          </w:p>
        </w:tc>
        <w:tc>
          <w:tcPr>
            <w:tcW w:w="3118" w:type="dxa"/>
            <w:tcBorders>
              <w:top w:val="double" w:sz="4" w:space="0" w:color="auto"/>
              <w:left w:val="single" w:sz="4" w:space="0" w:color="auto"/>
              <w:bottom w:val="single" w:sz="4" w:space="0" w:color="auto"/>
              <w:right w:val="single" w:sz="4" w:space="0" w:color="auto"/>
            </w:tcBorders>
          </w:tcPr>
          <w:p w14:paraId="7CAA7370"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r>
              <w:rPr>
                <w:rFonts w:cs="Arial"/>
                <w:b/>
                <w:sz w:val="16"/>
                <w:szCs w:val="16"/>
              </w:rPr>
              <w:t xml:space="preserve"> </w:t>
            </w:r>
            <w:r w:rsidRPr="00F35398">
              <w:rPr>
                <w:rFonts w:cs="Arial"/>
                <w:b/>
                <w:sz w:val="16"/>
                <w:szCs w:val="16"/>
                <w:vertAlign w:val="superscript"/>
              </w:rPr>
              <w:t>(b)</w:t>
            </w:r>
          </w:p>
        </w:tc>
        <w:tc>
          <w:tcPr>
            <w:tcW w:w="2977" w:type="dxa"/>
            <w:tcBorders>
              <w:top w:val="double" w:sz="4" w:space="0" w:color="auto"/>
              <w:left w:val="single" w:sz="4" w:space="0" w:color="auto"/>
              <w:bottom w:val="single" w:sz="4" w:space="0" w:color="auto"/>
            </w:tcBorders>
          </w:tcPr>
          <w:p w14:paraId="321B8D45" w14:textId="77777777" w:rsidR="00752811" w:rsidRPr="00160C23" w:rsidRDefault="00752811" w:rsidP="00333C84">
            <w:pPr>
              <w:pStyle w:val="TableTextBase"/>
              <w:rPr>
                <w:rFonts w:cs="Arial"/>
                <w:b/>
                <w:sz w:val="16"/>
                <w:szCs w:val="16"/>
              </w:rPr>
            </w:pPr>
            <w:r>
              <w:rPr>
                <w:b/>
                <w:sz w:val="16"/>
                <w:szCs w:val="16"/>
              </w:rPr>
              <w:t>Planned</w:t>
            </w:r>
            <w:r w:rsidRPr="00160C23">
              <w:rPr>
                <w:b/>
                <w:sz w:val="16"/>
                <w:szCs w:val="16"/>
              </w:rPr>
              <w:t xml:space="preserve"> Performance Results</w:t>
            </w:r>
            <w:r w:rsidRPr="00160C23">
              <w:rPr>
                <w:rFonts w:cs="Arial"/>
                <w:b/>
                <w:sz w:val="16"/>
                <w:szCs w:val="16"/>
              </w:rPr>
              <w:t xml:space="preserve"> </w:t>
            </w:r>
          </w:p>
        </w:tc>
      </w:tr>
      <w:tr w:rsidR="00752811" w:rsidRPr="001B2F81" w14:paraId="2A75B2CD" w14:textId="77777777" w:rsidTr="0047147F">
        <w:trPr>
          <w:trHeight w:val="491"/>
        </w:trPr>
        <w:tc>
          <w:tcPr>
            <w:tcW w:w="1560" w:type="dxa"/>
            <w:tcBorders>
              <w:top w:val="single" w:sz="4" w:space="0" w:color="auto"/>
              <w:bottom w:val="single" w:sz="4" w:space="0" w:color="auto"/>
              <w:right w:val="single" w:sz="4" w:space="0" w:color="auto"/>
            </w:tcBorders>
          </w:tcPr>
          <w:p w14:paraId="422F60B7" w14:textId="77777777" w:rsidR="00752811" w:rsidRPr="00D21EF7" w:rsidRDefault="00752811" w:rsidP="00333C84">
            <w:pPr>
              <w:pStyle w:val="TableTextBase"/>
              <w:rPr>
                <w:b/>
                <w:sz w:val="16"/>
                <w:szCs w:val="16"/>
              </w:rPr>
            </w:pPr>
            <w:r w:rsidRPr="00D21EF7">
              <w:rPr>
                <w:sz w:val="16"/>
                <w:szCs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2E9E33F5" w14:textId="77777777" w:rsidR="00752811" w:rsidRPr="00777081" w:rsidRDefault="00752811" w:rsidP="00333C84">
            <w:pPr>
              <w:pStyle w:val="TableTextBase"/>
              <w:rPr>
                <w:b/>
                <w:sz w:val="16"/>
                <w:szCs w:val="16"/>
              </w:rPr>
            </w:pPr>
            <w:r w:rsidRPr="00777081">
              <w:rPr>
                <w:i/>
                <w:sz w:val="16"/>
                <w:szCs w:val="16"/>
              </w:rPr>
              <w:t>As per 2022-23</w:t>
            </w:r>
          </w:p>
        </w:tc>
        <w:tc>
          <w:tcPr>
            <w:tcW w:w="2977" w:type="dxa"/>
            <w:tcBorders>
              <w:top w:val="single" w:sz="4" w:space="0" w:color="auto"/>
              <w:left w:val="single" w:sz="4" w:space="0" w:color="auto"/>
              <w:bottom w:val="single" w:sz="4" w:space="0" w:color="auto"/>
            </w:tcBorders>
          </w:tcPr>
          <w:p w14:paraId="063C11ED" w14:textId="77777777" w:rsidR="00752811" w:rsidRPr="00777081" w:rsidRDefault="00752811" w:rsidP="00333C84">
            <w:pPr>
              <w:pStyle w:val="TableTextBase"/>
              <w:rPr>
                <w:i/>
                <w:sz w:val="16"/>
                <w:szCs w:val="16"/>
              </w:rPr>
            </w:pPr>
            <w:r w:rsidRPr="00777081">
              <w:rPr>
                <w:i/>
                <w:sz w:val="16"/>
                <w:szCs w:val="16"/>
              </w:rPr>
              <w:t>Oversight successful completion of relevant business cases</w:t>
            </w:r>
          </w:p>
          <w:p w14:paraId="4988755B" w14:textId="77777777" w:rsidR="00752811" w:rsidRPr="00777081" w:rsidRDefault="00752811" w:rsidP="00333C84">
            <w:pPr>
              <w:pStyle w:val="TableTextBase"/>
              <w:rPr>
                <w:i/>
                <w:sz w:val="16"/>
                <w:szCs w:val="16"/>
              </w:rPr>
            </w:pPr>
          </w:p>
          <w:p w14:paraId="130B101C" w14:textId="77777777" w:rsidR="00752811" w:rsidRPr="00777081" w:rsidRDefault="00752811" w:rsidP="00333C84">
            <w:pPr>
              <w:pStyle w:val="TableTextBase"/>
              <w:rPr>
                <w:b/>
                <w:sz w:val="16"/>
                <w:szCs w:val="16"/>
              </w:rPr>
            </w:pPr>
            <w:r w:rsidRPr="00777081">
              <w:rPr>
                <w:i/>
                <w:sz w:val="16"/>
                <w:szCs w:val="16"/>
              </w:rPr>
              <w:t>Priority water infrastructure projects identified and advice provided to Government</w:t>
            </w:r>
          </w:p>
        </w:tc>
      </w:tr>
    </w:tbl>
    <w:p w14:paraId="7B05655C" w14:textId="4668F8E1" w:rsidR="0047147F" w:rsidRDefault="0047147F" w:rsidP="0047147F">
      <w:pPr>
        <w:pStyle w:val="ChartandTableFootnoteAlpha"/>
        <w:numPr>
          <w:ilvl w:val="0"/>
          <w:numId w:val="0"/>
        </w:numPr>
        <w:spacing w:before="60"/>
      </w:pPr>
      <w:r w:rsidRPr="00E871B2">
        <w:rPr>
          <w:rFonts w:cs="Arial"/>
          <w:szCs w:val="16"/>
        </w:rPr>
        <w:t>Material changes to Program 1.1 resulting from 2022-23 Budget Measures</w:t>
      </w:r>
      <w:r>
        <w:rPr>
          <w:rFonts w:cs="Arial"/>
          <w:szCs w:val="16"/>
        </w:rPr>
        <w:t>:</w:t>
      </w:r>
      <w:r>
        <w:t xml:space="preserve"> </w:t>
      </w:r>
      <w:r w:rsidRPr="00E871B2">
        <w:rPr>
          <w:rFonts w:cs="Arial"/>
          <w:szCs w:val="16"/>
        </w:rPr>
        <w:t>North Queensland Water Infrastructure Authority operational (</w:t>
      </w:r>
      <w:r>
        <w:rPr>
          <w:rFonts w:cs="Arial"/>
          <w:szCs w:val="16"/>
        </w:rPr>
        <w:t>Department</w:t>
      </w:r>
      <w:r w:rsidRPr="00E871B2">
        <w:rPr>
          <w:rFonts w:cs="Arial"/>
          <w:szCs w:val="16"/>
        </w:rPr>
        <w:t xml:space="preserve">al) funding extended to 30 June 2027. Previously </w:t>
      </w:r>
      <w:r>
        <w:rPr>
          <w:rFonts w:cs="Arial"/>
          <w:szCs w:val="16"/>
        </w:rPr>
        <w:t xml:space="preserve">a </w:t>
      </w:r>
      <w:r w:rsidRPr="00E871B2">
        <w:rPr>
          <w:rFonts w:cs="Arial"/>
          <w:szCs w:val="16"/>
        </w:rPr>
        <w:t>terminating measure ending 30 June 2023.</w:t>
      </w:r>
    </w:p>
    <w:p w14:paraId="08F0EBEB" w14:textId="0A5F09BE" w:rsidR="00DE31D9" w:rsidRDefault="00752811" w:rsidP="0047147F">
      <w:pPr>
        <w:pStyle w:val="ChartandTableFootnoteAlpha"/>
        <w:numPr>
          <w:ilvl w:val="0"/>
          <w:numId w:val="189"/>
        </w:numPr>
        <w:spacing w:before="60"/>
      </w:pPr>
      <w:r w:rsidRPr="00741872">
        <w:t>Refers to updated key activities that will be reflected</w:t>
      </w:r>
      <w:r w:rsidR="00DE31D9">
        <w:t xml:space="preserve"> in the 2022-23 Corporate Plan.</w:t>
      </w:r>
    </w:p>
    <w:p w14:paraId="42637B96" w14:textId="2E5EE12B" w:rsidR="00752811" w:rsidRPr="00741872" w:rsidRDefault="00752811" w:rsidP="009E60A3">
      <w:pPr>
        <w:pStyle w:val="ChartandTableFootnoteAlpha"/>
        <w:numPr>
          <w:ilvl w:val="0"/>
          <w:numId w:val="189"/>
        </w:numPr>
      </w:pPr>
      <w:r w:rsidRPr="00741872">
        <w:t xml:space="preserve">New or modified performance measures that reflect new or materially changed programs are shown in </w:t>
      </w:r>
      <w:r w:rsidRPr="00E824FB">
        <w:rPr>
          <w:i/>
        </w:rPr>
        <w:t>italics</w:t>
      </w:r>
      <w:r w:rsidRPr="00741872">
        <w:t xml:space="preserve">. </w:t>
      </w:r>
    </w:p>
    <w:p w14:paraId="7D890068" w14:textId="77777777" w:rsidR="00752811" w:rsidRPr="00AD42E2" w:rsidRDefault="00752811" w:rsidP="007E1B5A">
      <w:pPr>
        <w:pStyle w:val="Heading2-NQWIA"/>
      </w:pPr>
      <w:r w:rsidRPr="005B6A94">
        <w:br w:type="page"/>
      </w:r>
      <w:bookmarkStart w:id="45" w:name="_Toc97667530"/>
      <w:bookmarkStart w:id="46" w:name="_Toc98440400"/>
      <w:bookmarkStart w:id="47" w:name="_Toc98440548"/>
      <w:bookmarkStart w:id="48" w:name="_Toc98440696"/>
      <w:bookmarkStart w:id="49" w:name="_Toc98440844"/>
      <w:bookmarkStart w:id="50" w:name="_Toc98440992"/>
      <w:bookmarkStart w:id="51" w:name="_Toc99027405"/>
      <w:r w:rsidRPr="00AD42E2">
        <w:lastRenderedPageBreak/>
        <w:t>Section 3: Budgeted financial statements</w:t>
      </w:r>
      <w:bookmarkEnd w:id="45"/>
      <w:bookmarkEnd w:id="46"/>
      <w:bookmarkEnd w:id="47"/>
      <w:bookmarkEnd w:id="48"/>
      <w:bookmarkEnd w:id="49"/>
      <w:bookmarkEnd w:id="50"/>
      <w:bookmarkEnd w:id="51"/>
    </w:p>
    <w:p w14:paraId="0BE18A99" w14:textId="2CE548FF" w:rsidR="00752811" w:rsidRDefault="00752811" w:rsidP="00752811">
      <w:pPr>
        <w:jc w:val="left"/>
      </w:pPr>
      <w:r>
        <w:t xml:space="preserve">Section 3 presents budgeted financial statements which provide a comprehensive snapshot of </w:t>
      </w:r>
      <w:r w:rsidR="00EB7ABD">
        <w:t>NQWIA</w:t>
      </w:r>
      <w:r>
        <w:t xml:space="preserve"> finances for the 2022-23</w:t>
      </w:r>
      <w:r w:rsidR="00EB7ABD">
        <w:t xml:space="preserve"> Bu</w:t>
      </w:r>
      <w:r>
        <w:t>dget year, including the impact of budget measures and resourcing on financial statements.</w:t>
      </w:r>
    </w:p>
    <w:p w14:paraId="668EC9F3" w14:textId="77777777" w:rsidR="00752811" w:rsidRPr="005328A9" w:rsidRDefault="00752811" w:rsidP="007E1B5A">
      <w:pPr>
        <w:pStyle w:val="Heading3-NQWIA"/>
      </w:pPr>
      <w:bookmarkStart w:id="52" w:name="_Toc97667531"/>
      <w:bookmarkStart w:id="53" w:name="_Toc98440401"/>
      <w:bookmarkStart w:id="54" w:name="_Toc98440549"/>
      <w:bookmarkStart w:id="55" w:name="_Toc98440697"/>
      <w:bookmarkStart w:id="56" w:name="_Toc98440845"/>
      <w:bookmarkStart w:id="57" w:name="_Toc98440993"/>
      <w:bookmarkStart w:id="58" w:name="_Toc99027406"/>
      <w:r w:rsidRPr="005328A9">
        <w:t>3.1</w:t>
      </w:r>
      <w:r w:rsidRPr="005328A9">
        <w:tab/>
        <w:t>Budgeted financial statements</w:t>
      </w:r>
      <w:bookmarkEnd w:id="52"/>
      <w:bookmarkEnd w:id="53"/>
      <w:bookmarkEnd w:id="54"/>
      <w:bookmarkEnd w:id="55"/>
      <w:bookmarkEnd w:id="56"/>
      <w:bookmarkEnd w:id="57"/>
      <w:bookmarkEnd w:id="58"/>
    </w:p>
    <w:p w14:paraId="0EE65C3A" w14:textId="77777777" w:rsidR="00752811" w:rsidRDefault="00752811" w:rsidP="00752811">
      <w:pPr>
        <w:pStyle w:val="Heading4"/>
      </w:pPr>
      <w:r>
        <w:t>3.1.1</w:t>
      </w:r>
      <w:r>
        <w:tab/>
        <w:t>Explanatory notes and analysis of budgeted financial statements</w:t>
      </w:r>
    </w:p>
    <w:p w14:paraId="366CD498" w14:textId="50E6BA7F" w:rsidR="00752811" w:rsidRPr="00236133" w:rsidRDefault="00752811" w:rsidP="00752811">
      <w:pPr>
        <w:pStyle w:val="ExampleText0"/>
        <w:spacing w:after="160"/>
        <w:rPr>
          <w:i w:val="0"/>
          <w:color w:val="auto"/>
        </w:rPr>
      </w:pPr>
      <w:r w:rsidRPr="00777081">
        <w:rPr>
          <w:i w:val="0"/>
          <w:color w:val="auto"/>
        </w:rPr>
        <w:t xml:space="preserve">Total budgeted expense for </w:t>
      </w:r>
      <w:r>
        <w:rPr>
          <w:i w:val="0"/>
          <w:color w:val="auto"/>
        </w:rPr>
        <w:t xml:space="preserve">the </w:t>
      </w:r>
      <w:r w:rsidRPr="00777081">
        <w:rPr>
          <w:i w:val="0"/>
          <w:color w:val="auto"/>
        </w:rPr>
        <w:t>NQWIA in 2022-</w:t>
      </w:r>
      <w:r w:rsidRPr="00236133">
        <w:rPr>
          <w:i w:val="0"/>
          <w:color w:val="auto"/>
        </w:rPr>
        <w:t>23 are $</w:t>
      </w:r>
      <w:r w:rsidR="00AB674D">
        <w:rPr>
          <w:i w:val="0"/>
          <w:color w:val="auto"/>
        </w:rPr>
        <w:t>3</w:t>
      </w:r>
      <w:r>
        <w:rPr>
          <w:i w:val="0"/>
          <w:color w:val="auto"/>
        </w:rPr>
        <w:t>.3</w:t>
      </w:r>
      <w:r w:rsidRPr="00236133">
        <w:rPr>
          <w:i w:val="0"/>
          <w:color w:val="auto"/>
        </w:rPr>
        <w:t xml:space="preserve"> million, represented by $</w:t>
      </w:r>
      <w:r w:rsidR="00AB674D">
        <w:rPr>
          <w:i w:val="0"/>
          <w:color w:val="auto"/>
        </w:rPr>
        <w:t>1.6</w:t>
      </w:r>
      <w:r w:rsidRPr="00236133">
        <w:rPr>
          <w:i w:val="0"/>
          <w:color w:val="auto"/>
        </w:rPr>
        <w:t xml:space="preserve"> million in employee benefits and $</w:t>
      </w:r>
      <w:r w:rsidR="00AB674D">
        <w:rPr>
          <w:i w:val="0"/>
          <w:color w:val="auto"/>
        </w:rPr>
        <w:t>1.7</w:t>
      </w:r>
      <w:r w:rsidRPr="00236133">
        <w:rPr>
          <w:i w:val="0"/>
          <w:color w:val="auto"/>
        </w:rPr>
        <w:t xml:space="preserve"> million in suppliers.  Suppliers include expenses associated with the procurement of external advice to support NQWIA projects, travel, and contracted services.</w:t>
      </w:r>
    </w:p>
    <w:p w14:paraId="0824958D" w14:textId="0058E0A4" w:rsidR="00752811" w:rsidRPr="00777081" w:rsidRDefault="00752811" w:rsidP="00752811">
      <w:pPr>
        <w:pStyle w:val="ExampleText0"/>
        <w:spacing w:after="160"/>
        <w:rPr>
          <w:i w:val="0"/>
          <w:color w:val="auto"/>
        </w:rPr>
      </w:pPr>
      <w:r w:rsidRPr="00236133">
        <w:rPr>
          <w:i w:val="0"/>
          <w:color w:val="auto"/>
        </w:rPr>
        <w:t>The NQWIA’s major assets include cash and receivables ($</w:t>
      </w:r>
      <w:r>
        <w:rPr>
          <w:i w:val="0"/>
          <w:color w:val="auto"/>
        </w:rPr>
        <w:t>2.2</w:t>
      </w:r>
      <w:r w:rsidRPr="00236133">
        <w:rPr>
          <w:i w:val="0"/>
          <w:color w:val="auto"/>
        </w:rPr>
        <w:t xml:space="preserve"> million).</w:t>
      </w:r>
      <w:r>
        <w:rPr>
          <w:i w:val="0"/>
          <w:color w:val="auto"/>
        </w:rPr>
        <w:t xml:space="preserve"> </w:t>
      </w:r>
      <w:r w:rsidRPr="00236133">
        <w:rPr>
          <w:i w:val="0"/>
          <w:color w:val="auto"/>
        </w:rPr>
        <w:t>The NQWIA’s major liabilities ($</w:t>
      </w:r>
      <w:r>
        <w:rPr>
          <w:i w:val="0"/>
          <w:color w:val="auto"/>
        </w:rPr>
        <w:t>0.2</w:t>
      </w:r>
      <w:r w:rsidRPr="00236133">
        <w:rPr>
          <w:i w:val="0"/>
          <w:color w:val="auto"/>
        </w:rPr>
        <w:t xml:space="preserve"> million) include supplier</w:t>
      </w:r>
      <w:r>
        <w:rPr>
          <w:i w:val="0"/>
          <w:color w:val="auto"/>
        </w:rPr>
        <w:t>s, other</w:t>
      </w:r>
      <w:r w:rsidRPr="00236133">
        <w:rPr>
          <w:i w:val="0"/>
          <w:color w:val="auto"/>
        </w:rPr>
        <w:t xml:space="preserve"> payables</w:t>
      </w:r>
      <w:r>
        <w:rPr>
          <w:i w:val="0"/>
          <w:color w:val="auto"/>
        </w:rPr>
        <w:t xml:space="preserve"> </w:t>
      </w:r>
      <w:r w:rsidRPr="00236133">
        <w:rPr>
          <w:i w:val="0"/>
          <w:color w:val="auto"/>
        </w:rPr>
        <w:t>and employee provisions.</w:t>
      </w:r>
    </w:p>
    <w:p w14:paraId="7E89FCE3" w14:textId="77777777" w:rsidR="00752811" w:rsidRPr="00777081" w:rsidRDefault="00752811" w:rsidP="00752811">
      <w:pPr>
        <w:pStyle w:val="ExampleText0"/>
        <w:spacing w:after="160"/>
        <w:rPr>
          <w:i w:val="0"/>
          <w:color w:val="auto"/>
        </w:rPr>
      </w:pPr>
      <w:r>
        <w:rPr>
          <w:i w:val="0"/>
          <w:color w:val="auto"/>
        </w:rPr>
        <w:t xml:space="preserve">The </w:t>
      </w:r>
      <w:r w:rsidRPr="00777081">
        <w:rPr>
          <w:i w:val="0"/>
          <w:color w:val="auto"/>
        </w:rPr>
        <w:t xml:space="preserve">NQWIA will receive an additional $11.6 million to 2026-27 to enable continued oversight of priority water infrastructure business cases in </w:t>
      </w:r>
      <w:r>
        <w:rPr>
          <w:i w:val="0"/>
          <w:color w:val="auto"/>
        </w:rPr>
        <w:t>n</w:t>
      </w:r>
      <w:r w:rsidRPr="00777081">
        <w:rPr>
          <w:i w:val="0"/>
          <w:color w:val="auto"/>
        </w:rPr>
        <w:t xml:space="preserve">orth Queensland.  </w:t>
      </w:r>
    </w:p>
    <w:p w14:paraId="0EB7994A" w14:textId="77777777" w:rsidR="00752811" w:rsidRDefault="00752811" w:rsidP="007E1B5A">
      <w:pPr>
        <w:pStyle w:val="Heading3-NQWIA"/>
      </w:pPr>
      <w:r>
        <w:br w:type="page"/>
      </w:r>
      <w:bookmarkStart w:id="59" w:name="_Toc97667532"/>
      <w:bookmarkStart w:id="60" w:name="_Toc98440402"/>
      <w:bookmarkStart w:id="61" w:name="_Toc98440550"/>
      <w:bookmarkStart w:id="62" w:name="_Toc98440698"/>
      <w:bookmarkStart w:id="63" w:name="_Toc98440846"/>
      <w:bookmarkStart w:id="64" w:name="_Toc98440994"/>
      <w:bookmarkStart w:id="65" w:name="_Toc99027407"/>
      <w:r w:rsidRPr="00777081">
        <w:lastRenderedPageBreak/>
        <w:t>3.2</w:t>
      </w:r>
      <w:r w:rsidRPr="00777081">
        <w:tab/>
        <w:t>Budgeted financial statements tables</w:t>
      </w:r>
      <w:bookmarkEnd w:id="59"/>
      <w:bookmarkEnd w:id="60"/>
      <w:bookmarkEnd w:id="61"/>
      <w:bookmarkEnd w:id="62"/>
      <w:bookmarkEnd w:id="63"/>
      <w:bookmarkEnd w:id="64"/>
      <w:bookmarkEnd w:id="65"/>
      <w:r>
        <w:t xml:space="preserve"> </w:t>
      </w:r>
    </w:p>
    <w:p w14:paraId="34805312" w14:textId="77777777" w:rsidR="00752811" w:rsidRPr="00E03B93" w:rsidRDefault="00752811" w:rsidP="00752811">
      <w:pPr>
        <w:pStyle w:val="TableHeading"/>
        <w:rPr>
          <w:snapToGrid w:val="0"/>
          <w:lang w:val="en-US"/>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Pr>
          <w:snapToGrid w:val="0"/>
          <w:lang w:val="en-US"/>
        </w:rPr>
        <w:t xml:space="preserve"> </w:t>
      </w:r>
    </w:p>
    <w:tbl>
      <w:tblPr>
        <w:tblW w:w="7425" w:type="dxa"/>
        <w:tblLook w:val="04A0" w:firstRow="1" w:lastRow="0" w:firstColumn="1" w:lastColumn="0" w:noHBand="0" w:noVBand="1"/>
      </w:tblPr>
      <w:tblGrid>
        <w:gridCol w:w="2977"/>
        <w:gridCol w:w="928"/>
        <w:gridCol w:w="880"/>
        <w:gridCol w:w="880"/>
        <w:gridCol w:w="880"/>
        <w:gridCol w:w="880"/>
      </w:tblGrid>
      <w:tr w:rsidR="00752811" w:rsidRPr="00236133" w14:paraId="08210675" w14:textId="77777777" w:rsidTr="006B4C13">
        <w:trPr>
          <w:trHeight w:val="204"/>
        </w:trPr>
        <w:tc>
          <w:tcPr>
            <w:tcW w:w="2977" w:type="dxa"/>
            <w:tcBorders>
              <w:top w:val="single" w:sz="4" w:space="0" w:color="auto"/>
              <w:left w:val="nil"/>
              <w:bottom w:val="nil"/>
              <w:right w:val="nil"/>
            </w:tcBorders>
            <w:shd w:val="clear" w:color="auto" w:fill="auto"/>
            <w:noWrap/>
            <w:vAlign w:val="bottom"/>
            <w:hideMark/>
          </w:tcPr>
          <w:p w14:paraId="39FFB34E" w14:textId="77777777" w:rsidR="00752811" w:rsidRPr="00236133" w:rsidRDefault="00752811" w:rsidP="00333C84">
            <w:pPr>
              <w:spacing w:after="0" w:line="240" w:lineRule="auto"/>
              <w:jc w:val="left"/>
              <w:rPr>
                <w:rFonts w:ascii="Arial" w:hAnsi="Arial" w:cs="Arial"/>
                <w:b/>
                <w:bCs/>
                <w:sz w:val="16"/>
                <w:szCs w:val="16"/>
              </w:rPr>
            </w:pPr>
            <w:r w:rsidRPr="00236133">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218E820B" w14:textId="77777777" w:rsidR="00752811" w:rsidRPr="00236133" w:rsidRDefault="00752811" w:rsidP="00333C84">
            <w:pPr>
              <w:spacing w:after="0" w:line="240" w:lineRule="auto"/>
              <w:jc w:val="right"/>
              <w:rPr>
                <w:rFonts w:ascii="Arial" w:hAnsi="Arial" w:cs="Arial"/>
                <w:sz w:val="16"/>
                <w:szCs w:val="16"/>
              </w:rPr>
            </w:pPr>
            <w:r w:rsidRPr="00236133">
              <w:rPr>
                <w:rFonts w:ascii="Arial" w:hAnsi="Arial" w:cs="Arial"/>
                <w:sz w:val="16"/>
                <w:szCs w:val="16"/>
              </w:rPr>
              <w:t>2021-22 Estimated actual</w:t>
            </w:r>
            <w:r w:rsidRPr="0023613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731F9724" w14:textId="77777777" w:rsidR="00752811" w:rsidRPr="00236133" w:rsidRDefault="00752811" w:rsidP="00333C84">
            <w:pPr>
              <w:spacing w:after="0" w:line="240" w:lineRule="auto"/>
              <w:jc w:val="right"/>
              <w:rPr>
                <w:rFonts w:ascii="Arial" w:hAnsi="Arial" w:cs="Arial"/>
                <w:sz w:val="16"/>
                <w:szCs w:val="16"/>
              </w:rPr>
            </w:pPr>
            <w:r w:rsidRPr="00236133">
              <w:rPr>
                <w:rFonts w:ascii="Arial" w:hAnsi="Arial" w:cs="Arial"/>
                <w:sz w:val="16"/>
                <w:szCs w:val="16"/>
              </w:rPr>
              <w:t>2022-23</w:t>
            </w:r>
            <w:r w:rsidRPr="00236133">
              <w:rPr>
                <w:rFonts w:ascii="Arial" w:hAnsi="Arial" w:cs="Arial"/>
                <w:sz w:val="16"/>
                <w:szCs w:val="16"/>
              </w:rPr>
              <w:br/>
              <w:t>Budget</w:t>
            </w:r>
            <w:r w:rsidRPr="00236133">
              <w:rPr>
                <w:rFonts w:ascii="Arial" w:hAnsi="Arial" w:cs="Arial"/>
                <w:sz w:val="16"/>
                <w:szCs w:val="16"/>
              </w:rPr>
              <w:br/>
            </w:r>
            <w:r w:rsidRPr="0023613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DF6344B" w14:textId="77777777" w:rsidR="00752811" w:rsidRPr="00236133" w:rsidRDefault="00752811" w:rsidP="00333C84">
            <w:pPr>
              <w:spacing w:after="0" w:line="240" w:lineRule="auto"/>
              <w:jc w:val="right"/>
              <w:rPr>
                <w:rFonts w:ascii="Arial" w:hAnsi="Arial" w:cs="Arial"/>
                <w:sz w:val="16"/>
                <w:szCs w:val="16"/>
              </w:rPr>
            </w:pPr>
            <w:r w:rsidRPr="00236133">
              <w:rPr>
                <w:rFonts w:ascii="Arial" w:hAnsi="Arial" w:cs="Arial"/>
                <w:sz w:val="16"/>
                <w:szCs w:val="16"/>
              </w:rPr>
              <w:t>2023-24 Forward estimate</w:t>
            </w:r>
            <w:r w:rsidRPr="0023613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0940F099" w14:textId="77777777" w:rsidR="00752811" w:rsidRPr="00236133" w:rsidRDefault="00752811" w:rsidP="00333C84">
            <w:pPr>
              <w:spacing w:after="0" w:line="240" w:lineRule="auto"/>
              <w:jc w:val="right"/>
              <w:rPr>
                <w:rFonts w:ascii="Arial" w:hAnsi="Arial" w:cs="Arial"/>
                <w:sz w:val="16"/>
                <w:szCs w:val="16"/>
              </w:rPr>
            </w:pPr>
            <w:r w:rsidRPr="00236133">
              <w:rPr>
                <w:rFonts w:ascii="Arial" w:hAnsi="Arial" w:cs="Arial"/>
                <w:sz w:val="16"/>
                <w:szCs w:val="16"/>
              </w:rPr>
              <w:t>2024-25 Forward estimate</w:t>
            </w:r>
            <w:r w:rsidRPr="0023613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B5ADEC6" w14:textId="77777777" w:rsidR="00752811" w:rsidRPr="00236133" w:rsidRDefault="00752811" w:rsidP="00333C84">
            <w:pPr>
              <w:spacing w:after="0" w:line="240" w:lineRule="auto"/>
              <w:jc w:val="right"/>
              <w:rPr>
                <w:rFonts w:ascii="Arial" w:hAnsi="Arial" w:cs="Arial"/>
                <w:sz w:val="16"/>
                <w:szCs w:val="16"/>
              </w:rPr>
            </w:pPr>
            <w:r w:rsidRPr="00236133">
              <w:rPr>
                <w:rFonts w:ascii="Arial" w:hAnsi="Arial" w:cs="Arial"/>
                <w:sz w:val="16"/>
                <w:szCs w:val="16"/>
              </w:rPr>
              <w:t>2025-26</w:t>
            </w:r>
            <w:r w:rsidRPr="00236133">
              <w:rPr>
                <w:rFonts w:ascii="Arial" w:hAnsi="Arial" w:cs="Arial"/>
                <w:sz w:val="16"/>
                <w:szCs w:val="16"/>
              </w:rPr>
              <w:br/>
              <w:t>Forward estimate</w:t>
            </w:r>
            <w:r w:rsidRPr="00236133">
              <w:rPr>
                <w:rFonts w:ascii="Arial" w:hAnsi="Arial" w:cs="Arial"/>
                <w:sz w:val="16"/>
                <w:szCs w:val="16"/>
              </w:rPr>
              <w:br/>
              <w:t>$'000</w:t>
            </w:r>
          </w:p>
        </w:tc>
      </w:tr>
      <w:tr w:rsidR="00752811" w:rsidRPr="00236133" w14:paraId="32CD033B" w14:textId="77777777" w:rsidTr="006B4C13">
        <w:trPr>
          <w:trHeight w:val="204"/>
        </w:trPr>
        <w:tc>
          <w:tcPr>
            <w:tcW w:w="2977" w:type="dxa"/>
            <w:tcBorders>
              <w:top w:val="nil"/>
              <w:left w:val="nil"/>
              <w:bottom w:val="nil"/>
              <w:right w:val="nil"/>
            </w:tcBorders>
            <w:shd w:val="clear" w:color="auto" w:fill="auto"/>
            <w:noWrap/>
            <w:vAlign w:val="bottom"/>
            <w:hideMark/>
          </w:tcPr>
          <w:p w14:paraId="760176A4" w14:textId="77777777" w:rsidR="00752811" w:rsidRPr="00236133" w:rsidRDefault="00752811" w:rsidP="00333C84">
            <w:pPr>
              <w:spacing w:after="0" w:line="240" w:lineRule="auto"/>
              <w:jc w:val="left"/>
              <w:rPr>
                <w:rFonts w:ascii="Arial" w:hAnsi="Arial" w:cs="Arial"/>
                <w:b/>
                <w:bCs/>
                <w:sz w:val="16"/>
                <w:szCs w:val="16"/>
              </w:rPr>
            </w:pPr>
            <w:r w:rsidRPr="00236133">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31315E00" w14:textId="77777777" w:rsidR="00752811" w:rsidRPr="00236133"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DEFF98B" w14:textId="77777777" w:rsidR="00752811" w:rsidRPr="00236133" w:rsidRDefault="00752811" w:rsidP="00333C84">
            <w:pPr>
              <w:spacing w:after="0" w:line="240" w:lineRule="auto"/>
              <w:jc w:val="right"/>
              <w:rPr>
                <w:rFonts w:ascii="Arial" w:hAnsi="Arial" w:cs="Arial"/>
                <w:b/>
                <w:bCs/>
                <w:sz w:val="16"/>
                <w:szCs w:val="16"/>
              </w:rPr>
            </w:pPr>
            <w:r w:rsidRPr="00236133">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0A4537A5" w14:textId="77777777" w:rsidR="00752811" w:rsidRPr="00236133"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1C7468DF" w14:textId="77777777" w:rsidR="00752811" w:rsidRPr="00236133" w:rsidRDefault="00752811" w:rsidP="00333C8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38E7E1C5" w14:textId="77777777" w:rsidR="00752811" w:rsidRPr="00236133" w:rsidRDefault="00752811" w:rsidP="00333C84">
            <w:pPr>
              <w:spacing w:after="0" w:line="240" w:lineRule="auto"/>
              <w:jc w:val="right"/>
              <w:rPr>
                <w:rFonts w:ascii="Times New Roman" w:hAnsi="Times New Roman"/>
              </w:rPr>
            </w:pPr>
          </w:p>
        </w:tc>
      </w:tr>
      <w:tr w:rsidR="00752811" w:rsidRPr="00236133" w14:paraId="2E985B04" w14:textId="77777777" w:rsidTr="006B4C13">
        <w:trPr>
          <w:trHeight w:val="204"/>
        </w:trPr>
        <w:tc>
          <w:tcPr>
            <w:tcW w:w="2977" w:type="dxa"/>
            <w:tcBorders>
              <w:top w:val="nil"/>
              <w:left w:val="nil"/>
              <w:bottom w:val="nil"/>
              <w:right w:val="nil"/>
            </w:tcBorders>
            <w:shd w:val="clear" w:color="auto" w:fill="auto"/>
            <w:noWrap/>
            <w:vAlign w:val="bottom"/>
            <w:hideMark/>
          </w:tcPr>
          <w:p w14:paraId="7E01BEE7" w14:textId="77777777" w:rsidR="00752811" w:rsidRPr="00236133" w:rsidRDefault="00752811" w:rsidP="00EB7ABD">
            <w:pPr>
              <w:spacing w:after="0" w:line="240" w:lineRule="auto"/>
              <w:ind w:left="113"/>
              <w:jc w:val="left"/>
              <w:rPr>
                <w:rFonts w:ascii="Arial" w:hAnsi="Arial" w:cs="Arial"/>
                <w:sz w:val="16"/>
                <w:szCs w:val="16"/>
              </w:rPr>
            </w:pPr>
            <w:r w:rsidRPr="00236133">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2405A745" w14:textId="77777777" w:rsidR="00752811" w:rsidRPr="00236133" w:rsidRDefault="00752811" w:rsidP="00333C84">
            <w:pPr>
              <w:spacing w:after="0" w:line="240" w:lineRule="auto"/>
              <w:jc w:val="right"/>
              <w:rPr>
                <w:rFonts w:ascii="Arial" w:hAnsi="Arial" w:cs="Arial"/>
                <w:sz w:val="16"/>
                <w:szCs w:val="16"/>
              </w:rPr>
            </w:pPr>
            <w:r>
              <w:rPr>
                <w:rFonts w:ascii="Arial" w:hAnsi="Arial" w:cs="Arial"/>
                <w:sz w:val="16"/>
                <w:szCs w:val="16"/>
              </w:rPr>
              <w:t>1,506</w:t>
            </w:r>
          </w:p>
        </w:tc>
        <w:tc>
          <w:tcPr>
            <w:tcW w:w="880" w:type="dxa"/>
            <w:tcBorders>
              <w:top w:val="nil"/>
              <w:left w:val="nil"/>
              <w:bottom w:val="nil"/>
              <w:right w:val="nil"/>
            </w:tcBorders>
            <w:shd w:val="clear" w:color="000000" w:fill="E6E6E6"/>
            <w:noWrap/>
            <w:vAlign w:val="bottom"/>
            <w:hideMark/>
          </w:tcPr>
          <w:p w14:paraId="07EEC595" w14:textId="77777777" w:rsidR="00752811" w:rsidRPr="00063BB6" w:rsidRDefault="00752811" w:rsidP="00333C84">
            <w:pPr>
              <w:spacing w:after="0" w:line="240" w:lineRule="auto"/>
              <w:jc w:val="right"/>
              <w:rPr>
                <w:rFonts w:ascii="Arial" w:hAnsi="Arial" w:cs="Arial"/>
                <w:bCs/>
                <w:sz w:val="16"/>
                <w:szCs w:val="16"/>
              </w:rPr>
            </w:pPr>
            <w:r>
              <w:rPr>
                <w:rFonts w:ascii="Arial" w:hAnsi="Arial" w:cs="Arial"/>
                <w:sz w:val="16"/>
                <w:szCs w:val="16"/>
              </w:rPr>
              <w:t>1,639</w:t>
            </w:r>
          </w:p>
        </w:tc>
        <w:tc>
          <w:tcPr>
            <w:tcW w:w="880" w:type="dxa"/>
            <w:tcBorders>
              <w:top w:val="nil"/>
              <w:left w:val="nil"/>
              <w:bottom w:val="nil"/>
              <w:right w:val="nil"/>
            </w:tcBorders>
            <w:shd w:val="clear" w:color="auto" w:fill="auto"/>
            <w:noWrap/>
            <w:vAlign w:val="bottom"/>
            <w:hideMark/>
          </w:tcPr>
          <w:p w14:paraId="6E1E8B7D"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sz w:val="16"/>
                <w:szCs w:val="16"/>
              </w:rPr>
              <w:t>2,007</w:t>
            </w:r>
          </w:p>
        </w:tc>
        <w:tc>
          <w:tcPr>
            <w:tcW w:w="880" w:type="dxa"/>
            <w:tcBorders>
              <w:top w:val="nil"/>
              <w:left w:val="nil"/>
              <w:bottom w:val="nil"/>
              <w:right w:val="nil"/>
            </w:tcBorders>
            <w:shd w:val="clear" w:color="auto" w:fill="auto"/>
            <w:noWrap/>
            <w:vAlign w:val="bottom"/>
            <w:hideMark/>
          </w:tcPr>
          <w:p w14:paraId="24DA3A9D" w14:textId="77777777" w:rsidR="00752811" w:rsidRPr="00236133" w:rsidRDefault="00752811" w:rsidP="00333C84">
            <w:pPr>
              <w:spacing w:after="0" w:line="240" w:lineRule="auto"/>
              <w:jc w:val="right"/>
              <w:rPr>
                <w:rFonts w:ascii="Times New Roman" w:hAnsi="Times New Roman"/>
              </w:rPr>
            </w:pPr>
            <w:r>
              <w:rPr>
                <w:rFonts w:ascii="Arial" w:hAnsi="Arial" w:cs="Arial"/>
                <w:sz w:val="16"/>
                <w:szCs w:val="16"/>
              </w:rPr>
              <w:t>2,022</w:t>
            </w:r>
          </w:p>
        </w:tc>
        <w:tc>
          <w:tcPr>
            <w:tcW w:w="880" w:type="dxa"/>
            <w:tcBorders>
              <w:top w:val="nil"/>
              <w:left w:val="nil"/>
              <w:bottom w:val="nil"/>
              <w:right w:val="nil"/>
            </w:tcBorders>
            <w:shd w:val="clear" w:color="auto" w:fill="auto"/>
            <w:noWrap/>
            <w:vAlign w:val="bottom"/>
            <w:hideMark/>
          </w:tcPr>
          <w:p w14:paraId="63076AC8" w14:textId="77777777" w:rsidR="00752811" w:rsidRPr="00236133" w:rsidRDefault="00752811" w:rsidP="00333C84">
            <w:pPr>
              <w:spacing w:after="0" w:line="240" w:lineRule="auto"/>
              <w:jc w:val="right"/>
              <w:rPr>
                <w:rFonts w:ascii="Times New Roman" w:hAnsi="Times New Roman"/>
              </w:rPr>
            </w:pPr>
            <w:r>
              <w:rPr>
                <w:rFonts w:ascii="Arial" w:hAnsi="Arial" w:cs="Arial"/>
                <w:sz w:val="16"/>
                <w:szCs w:val="16"/>
              </w:rPr>
              <w:t>2,035</w:t>
            </w:r>
          </w:p>
        </w:tc>
      </w:tr>
      <w:tr w:rsidR="00752811" w:rsidRPr="00236133" w14:paraId="23E5C4CA" w14:textId="77777777" w:rsidTr="006B4C13">
        <w:trPr>
          <w:trHeight w:val="204"/>
        </w:trPr>
        <w:tc>
          <w:tcPr>
            <w:tcW w:w="2977" w:type="dxa"/>
            <w:tcBorders>
              <w:top w:val="nil"/>
              <w:left w:val="nil"/>
              <w:bottom w:val="nil"/>
              <w:right w:val="nil"/>
            </w:tcBorders>
            <w:shd w:val="clear" w:color="auto" w:fill="auto"/>
            <w:noWrap/>
            <w:vAlign w:val="bottom"/>
            <w:hideMark/>
          </w:tcPr>
          <w:p w14:paraId="25E8728F" w14:textId="77777777" w:rsidR="00752811" w:rsidRPr="00236133" w:rsidRDefault="00752811" w:rsidP="00EB7ABD">
            <w:pPr>
              <w:spacing w:after="0" w:line="240" w:lineRule="auto"/>
              <w:ind w:left="113"/>
              <w:jc w:val="left"/>
              <w:rPr>
                <w:rFonts w:ascii="Arial" w:hAnsi="Arial" w:cs="Arial"/>
                <w:sz w:val="16"/>
                <w:szCs w:val="16"/>
              </w:rPr>
            </w:pPr>
            <w:r w:rsidRPr="00236133">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617FA413" w14:textId="77777777" w:rsidR="00752811" w:rsidRPr="00236133" w:rsidRDefault="00752811" w:rsidP="00333C84">
            <w:pPr>
              <w:spacing w:after="0" w:line="240" w:lineRule="auto"/>
              <w:jc w:val="right"/>
              <w:rPr>
                <w:rFonts w:ascii="Arial" w:hAnsi="Arial" w:cs="Arial"/>
                <w:sz w:val="16"/>
                <w:szCs w:val="16"/>
              </w:rPr>
            </w:pPr>
            <w:r>
              <w:rPr>
                <w:rFonts w:ascii="Arial" w:hAnsi="Arial" w:cs="Arial"/>
                <w:sz w:val="16"/>
                <w:szCs w:val="16"/>
              </w:rPr>
              <w:t>1,825</w:t>
            </w:r>
          </w:p>
        </w:tc>
        <w:tc>
          <w:tcPr>
            <w:tcW w:w="880" w:type="dxa"/>
            <w:tcBorders>
              <w:top w:val="nil"/>
              <w:left w:val="nil"/>
              <w:bottom w:val="nil"/>
              <w:right w:val="nil"/>
            </w:tcBorders>
            <w:shd w:val="clear" w:color="000000" w:fill="E6E6E6"/>
            <w:noWrap/>
            <w:vAlign w:val="bottom"/>
            <w:hideMark/>
          </w:tcPr>
          <w:p w14:paraId="78C65BB8" w14:textId="77777777" w:rsidR="00752811" w:rsidRPr="00063BB6" w:rsidRDefault="00752811" w:rsidP="00333C84">
            <w:pPr>
              <w:spacing w:after="0" w:line="240" w:lineRule="auto"/>
              <w:jc w:val="right"/>
              <w:rPr>
                <w:rFonts w:ascii="Arial" w:hAnsi="Arial" w:cs="Arial"/>
                <w:bCs/>
                <w:sz w:val="16"/>
                <w:szCs w:val="16"/>
              </w:rPr>
            </w:pPr>
            <w:r>
              <w:rPr>
                <w:rFonts w:ascii="Arial" w:hAnsi="Arial" w:cs="Arial"/>
                <w:sz w:val="16"/>
                <w:szCs w:val="16"/>
              </w:rPr>
              <w:t>1,674</w:t>
            </w:r>
          </w:p>
        </w:tc>
        <w:tc>
          <w:tcPr>
            <w:tcW w:w="880" w:type="dxa"/>
            <w:tcBorders>
              <w:top w:val="nil"/>
              <w:left w:val="nil"/>
              <w:bottom w:val="nil"/>
              <w:right w:val="nil"/>
            </w:tcBorders>
            <w:shd w:val="clear" w:color="auto" w:fill="auto"/>
            <w:noWrap/>
            <w:vAlign w:val="bottom"/>
            <w:hideMark/>
          </w:tcPr>
          <w:p w14:paraId="6CB9947B"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sz w:val="16"/>
                <w:szCs w:val="16"/>
              </w:rPr>
              <w:t>636</w:t>
            </w:r>
          </w:p>
        </w:tc>
        <w:tc>
          <w:tcPr>
            <w:tcW w:w="880" w:type="dxa"/>
            <w:tcBorders>
              <w:top w:val="nil"/>
              <w:left w:val="nil"/>
              <w:bottom w:val="nil"/>
              <w:right w:val="nil"/>
            </w:tcBorders>
            <w:shd w:val="clear" w:color="auto" w:fill="auto"/>
            <w:noWrap/>
            <w:vAlign w:val="bottom"/>
            <w:hideMark/>
          </w:tcPr>
          <w:p w14:paraId="26822F97" w14:textId="77777777" w:rsidR="00752811" w:rsidRPr="00236133" w:rsidRDefault="00752811" w:rsidP="00333C84">
            <w:pPr>
              <w:spacing w:after="0" w:line="240" w:lineRule="auto"/>
              <w:jc w:val="right"/>
              <w:rPr>
                <w:rFonts w:ascii="Times New Roman" w:hAnsi="Times New Roman"/>
              </w:rPr>
            </w:pPr>
            <w:r>
              <w:rPr>
                <w:rFonts w:ascii="Arial" w:hAnsi="Arial" w:cs="Arial"/>
                <w:sz w:val="16"/>
                <w:szCs w:val="16"/>
              </w:rPr>
              <w:t>642</w:t>
            </w:r>
          </w:p>
        </w:tc>
        <w:tc>
          <w:tcPr>
            <w:tcW w:w="880" w:type="dxa"/>
            <w:tcBorders>
              <w:top w:val="nil"/>
              <w:left w:val="nil"/>
              <w:bottom w:val="nil"/>
              <w:right w:val="nil"/>
            </w:tcBorders>
            <w:shd w:val="clear" w:color="auto" w:fill="auto"/>
            <w:noWrap/>
            <w:vAlign w:val="bottom"/>
            <w:hideMark/>
          </w:tcPr>
          <w:p w14:paraId="6B6885E6" w14:textId="77777777" w:rsidR="00752811" w:rsidRPr="00236133" w:rsidRDefault="00752811" w:rsidP="00333C84">
            <w:pPr>
              <w:spacing w:after="0" w:line="240" w:lineRule="auto"/>
              <w:jc w:val="right"/>
              <w:rPr>
                <w:rFonts w:ascii="Times New Roman" w:hAnsi="Times New Roman"/>
              </w:rPr>
            </w:pPr>
            <w:r>
              <w:rPr>
                <w:rFonts w:ascii="Arial" w:hAnsi="Arial" w:cs="Arial"/>
                <w:sz w:val="16"/>
                <w:szCs w:val="16"/>
              </w:rPr>
              <w:t>647</w:t>
            </w:r>
          </w:p>
        </w:tc>
      </w:tr>
      <w:tr w:rsidR="00752811" w:rsidRPr="00236133" w14:paraId="13A836B5" w14:textId="77777777" w:rsidTr="006B4C13">
        <w:trPr>
          <w:trHeight w:val="204"/>
        </w:trPr>
        <w:tc>
          <w:tcPr>
            <w:tcW w:w="2977" w:type="dxa"/>
            <w:tcBorders>
              <w:top w:val="nil"/>
              <w:left w:val="nil"/>
              <w:bottom w:val="nil"/>
              <w:right w:val="nil"/>
            </w:tcBorders>
            <w:shd w:val="clear" w:color="auto" w:fill="auto"/>
            <w:noWrap/>
            <w:vAlign w:val="bottom"/>
            <w:hideMark/>
          </w:tcPr>
          <w:p w14:paraId="40BB3327" w14:textId="77777777" w:rsidR="00752811" w:rsidRPr="00236133" w:rsidRDefault="00752811" w:rsidP="00333C84">
            <w:pPr>
              <w:spacing w:after="0" w:line="240" w:lineRule="auto"/>
              <w:jc w:val="left"/>
              <w:rPr>
                <w:rFonts w:ascii="Arial" w:hAnsi="Arial" w:cs="Arial"/>
                <w:b/>
                <w:bCs/>
                <w:sz w:val="16"/>
                <w:szCs w:val="16"/>
              </w:rPr>
            </w:pPr>
            <w:r w:rsidRPr="00236133">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68A63ABA"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3,331</w:t>
            </w:r>
          </w:p>
        </w:tc>
        <w:tc>
          <w:tcPr>
            <w:tcW w:w="880" w:type="dxa"/>
            <w:tcBorders>
              <w:top w:val="single" w:sz="4" w:space="0" w:color="auto"/>
              <w:left w:val="nil"/>
              <w:bottom w:val="single" w:sz="4" w:space="0" w:color="auto"/>
              <w:right w:val="nil"/>
            </w:tcBorders>
            <w:shd w:val="clear" w:color="000000" w:fill="E6E6E6"/>
            <w:noWrap/>
            <w:vAlign w:val="bottom"/>
            <w:hideMark/>
          </w:tcPr>
          <w:p w14:paraId="4C27F06C"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3,313</w:t>
            </w:r>
          </w:p>
        </w:tc>
        <w:tc>
          <w:tcPr>
            <w:tcW w:w="880" w:type="dxa"/>
            <w:tcBorders>
              <w:top w:val="single" w:sz="4" w:space="0" w:color="auto"/>
              <w:left w:val="nil"/>
              <w:bottom w:val="single" w:sz="4" w:space="0" w:color="auto"/>
              <w:right w:val="nil"/>
            </w:tcBorders>
            <w:shd w:val="clear" w:color="auto" w:fill="auto"/>
            <w:noWrap/>
            <w:vAlign w:val="bottom"/>
            <w:hideMark/>
          </w:tcPr>
          <w:p w14:paraId="333F4CEE"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2,643</w:t>
            </w:r>
          </w:p>
        </w:tc>
        <w:tc>
          <w:tcPr>
            <w:tcW w:w="880" w:type="dxa"/>
            <w:tcBorders>
              <w:top w:val="single" w:sz="4" w:space="0" w:color="auto"/>
              <w:left w:val="nil"/>
              <w:bottom w:val="single" w:sz="4" w:space="0" w:color="auto"/>
              <w:right w:val="nil"/>
            </w:tcBorders>
            <w:shd w:val="clear" w:color="auto" w:fill="auto"/>
            <w:noWrap/>
            <w:vAlign w:val="bottom"/>
            <w:hideMark/>
          </w:tcPr>
          <w:p w14:paraId="1E771D4E"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2,664</w:t>
            </w:r>
          </w:p>
        </w:tc>
        <w:tc>
          <w:tcPr>
            <w:tcW w:w="880" w:type="dxa"/>
            <w:tcBorders>
              <w:top w:val="single" w:sz="4" w:space="0" w:color="auto"/>
              <w:left w:val="nil"/>
              <w:bottom w:val="single" w:sz="4" w:space="0" w:color="auto"/>
              <w:right w:val="nil"/>
            </w:tcBorders>
            <w:shd w:val="clear" w:color="auto" w:fill="auto"/>
            <w:noWrap/>
            <w:vAlign w:val="bottom"/>
            <w:hideMark/>
          </w:tcPr>
          <w:p w14:paraId="5AAC00D1"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2,682</w:t>
            </w:r>
          </w:p>
        </w:tc>
      </w:tr>
      <w:tr w:rsidR="00752811" w:rsidRPr="00236133" w14:paraId="712DDF41" w14:textId="77777777" w:rsidTr="006B4C13">
        <w:trPr>
          <w:trHeight w:val="204"/>
        </w:trPr>
        <w:tc>
          <w:tcPr>
            <w:tcW w:w="2977" w:type="dxa"/>
            <w:tcBorders>
              <w:top w:val="nil"/>
              <w:left w:val="nil"/>
              <w:bottom w:val="nil"/>
              <w:right w:val="nil"/>
            </w:tcBorders>
            <w:shd w:val="clear" w:color="auto" w:fill="auto"/>
            <w:noWrap/>
            <w:vAlign w:val="bottom"/>
            <w:hideMark/>
          </w:tcPr>
          <w:p w14:paraId="37477CFF" w14:textId="77777777" w:rsidR="00752811" w:rsidRPr="00236133" w:rsidRDefault="00752811" w:rsidP="00333C84">
            <w:pPr>
              <w:spacing w:after="0" w:line="240" w:lineRule="auto"/>
              <w:jc w:val="left"/>
              <w:rPr>
                <w:rFonts w:ascii="Arial" w:hAnsi="Arial" w:cs="Arial"/>
                <w:b/>
                <w:bCs/>
                <w:sz w:val="16"/>
                <w:szCs w:val="16"/>
              </w:rPr>
            </w:pPr>
            <w:r w:rsidRPr="00236133">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4C9301CD" w14:textId="77777777" w:rsidR="00752811" w:rsidRPr="00236133"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3EB8F408" w14:textId="77777777" w:rsidR="00752811" w:rsidRPr="00236133"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876B996" w14:textId="77777777" w:rsidR="00752811" w:rsidRPr="00236133"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5DBA91CC" w14:textId="77777777" w:rsidR="00752811" w:rsidRPr="00236133" w:rsidRDefault="00752811" w:rsidP="00333C8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597824F0" w14:textId="77777777" w:rsidR="00752811" w:rsidRPr="00236133" w:rsidRDefault="00752811" w:rsidP="00333C84">
            <w:pPr>
              <w:spacing w:after="0" w:line="240" w:lineRule="auto"/>
              <w:jc w:val="right"/>
              <w:rPr>
                <w:rFonts w:ascii="Times New Roman" w:hAnsi="Times New Roman"/>
              </w:rPr>
            </w:pPr>
          </w:p>
        </w:tc>
      </w:tr>
      <w:tr w:rsidR="00752811" w:rsidRPr="00236133" w14:paraId="2702D81B" w14:textId="77777777" w:rsidTr="006B4C13">
        <w:trPr>
          <w:trHeight w:val="204"/>
        </w:trPr>
        <w:tc>
          <w:tcPr>
            <w:tcW w:w="2977" w:type="dxa"/>
            <w:tcBorders>
              <w:top w:val="nil"/>
              <w:left w:val="nil"/>
              <w:bottom w:val="nil"/>
              <w:right w:val="nil"/>
            </w:tcBorders>
            <w:shd w:val="clear" w:color="auto" w:fill="auto"/>
            <w:noWrap/>
            <w:vAlign w:val="bottom"/>
            <w:hideMark/>
          </w:tcPr>
          <w:p w14:paraId="07DAB92D" w14:textId="77777777" w:rsidR="00752811" w:rsidRPr="00236133" w:rsidRDefault="00752811" w:rsidP="00333C84">
            <w:pPr>
              <w:spacing w:after="0" w:line="240" w:lineRule="auto"/>
              <w:jc w:val="left"/>
              <w:rPr>
                <w:rFonts w:ascii="Arial" w:hAnsi="Arial" w:cs="Arial"/>
                <w:b/>
                <w:bCs/>
                <w:sz w:val="16"/>
                <w:szCs w:val="16"/>
              </w:rPr>
            </w:pPr>
            <w:r w:rsidRPr="00236133">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6CFEB0DD" w14:textId="77777777" w:rsidR="00752811" w:rsidRPr="00236133"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01D3ED00" w14:textId="77777777" w:rsidR="00752811" w:rsidRPr="00236133"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3A37BCE4" w14:textId="77777777" w:rsidR="00752811" w:rsidRPr="00236133" w:rsidRDefault="00752811" w:rsidP="00333C84">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075650E6" w14:textId="77777777" w:rsidR="00752811" w:rsidRPr="00236133" w:rsidRDefault="00752811" w:rsidP="00333C8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156A3869" w14:textId="77777777" w:rsidR="00752811" w:rsidRPr="00236133" w:rsidRDefault="00752811" w:rsidP="00333C84">
            <w:pPr>
              <w:spacing w:after="0" w:line="240" w:lineRule="auto"/>
              <w:jc w:val="right"/>
              <w:rPr>
                <w:rFonts w:ascii="Times New Roman" w:hAnsi="Times New Roman"/>
              </w:rPr>
            </w:pPr>
          </w:p>
        </w:tc>
      </w:tr>
      <w:tr w:rsidR="00752811" w:rsidRPr="00236133" w14:paraId="30C2F946" w14:textId="77777777" w:rsidTr="006B4C13">
        <w:trPr>
          <w:trHeight w:val="204"/>
        </w:trPr>
        <w:tc>
          <w:tcPr>
            <w:tcW w:w="2977" w:type="dxa"/>
            <w:tcBorders>
              <w:top w:val="nil"/>
              <w:left w:val="nil"/>
              <w:bottom w:val="nil"/>
              <w:right w:val="nil"/>
            </w:tcBorders>
            <w:shd w:val="clear" w:color="auto" w:fill="auto"/>
            <w:noWrap/>
            <w:vAlign w:val="bottom"/>
            <w:hideMark/>
          </w:tcPr>
          <w:p w14:paraId="332953FC" w14:textId="77777777" w:rsidR="00752811" w:rsidRPr="00236133" w:rsidRDefault="00752811" w:rsidP="00EB7ABD">
            <w:pPr>
              <w:spacing w:after="0" w:line="240" w:lineRule="auto"/>
              <w:ind w:left="113"/>
              <w:jc w:val="left"/>
              <w:rPr>
                <w:rFonts w:ascii="Arial" w:hAnsi="Arial" w:cs="Arial"/>
                <w:sz w:val="16"/>
                <w:szCs w:val="16"/>
              </w:rPr>
            </w:pPr>
            <w:r w:rsidRPr="00236133">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5387ABA9" w14:textId="77777777" w:rsidR="00752811" w:rsidRPr="00236133" w:rsidRDefault="00752811" w:rsidP="00333C84">
            <w:pPr>
              <w:spacing w:after="0" w:line="240" w:lineRule="auto"/>
              <w:jc w:val="right"/>
              <w:rPr>
                <w:rFonts w:ascii="Arial" w:hAnsi="Arial" w:cs="Arial"/>
                <w:sz w:val="16"/>
                <w:szCs w:val="16"/>
              </w:rPr>
            </w:pPr>
            <w:r>
              <w:rPr>
                <w:rFonts w:ascii="Arial" w:hAnsi="Arial" w:cs="Arial"/>
                <w:sz w:val="16"/>
                <w:szCs w:val="16"/>
              </w:rPr>
              <w:t>25</w:t>
            </w:r>
          </w:p>
        </w:tc>
        <w:tc>
          <w:tcPr>
            <w:tcW w:w="880" w:type="dxa"/>
            <w:tcBorders>
              <w:top w:val="nil"/>
              <w:left w:val="nil"/>
              <w:bottom w:val="nil"/>
              <w:right w:val="nil"/>
            </w:tcBorders>
            <w:shd w:val="clear" w:color="000000" w:fill="E6E6E6"/>
            <w:noWrap/>
            <w:vAlign w:val="bottom"/>
            <w:hideMark/>
          </w:tcPr>
          <w:p w14:paraId="16D14651" w14:textId="77777777" w:rsidR="00752811" w:rsidRPr="00063BB6" w:rsidRDefault="00752811" w:rsidP="00333C84">
            <w:pPr>
              <w:spacing w:after="0" w:line="240" w:lineRule="auto"/>
              <w:jc w:val="right"/>
              <w:rPr>
                <w:rFonts w:ascii="Arial" w:hAnsi="Arial" w:cs="Arial"/>
                <w:bCs/>
                <w:sz w:val="16"/>
                <w:szCs w:val="16"/>
              </w:rPr>
            </w:pPr>
            <w:r>
              <w:rPr>
                <w:rFonts w:ascii="Arial" w:hAnsi="Arial" w:cs="Arial"/>
                <w:sz w:val="16"/>
                <w:szCs w:val="16"/>
              </w:rPr>
              <w:t>25</w:t>
            </w:r>
          </w:p>
        </w:tc>
        <w:tc>
          <w:tcPr>
            <w:tcW w:w="880" w:type="dxa"/>
            <w:tcBorders>
              <w:top w:val="nil"/>
              <w:left w:val="nil"/>
              <w:bottom w:val="nil"/>
              <w:right w:val="nil"/>
            </w:tcBorders>
            <w:shd w:val="clear" w:color="auto" w:fill="auto"/>
            <w:noWrap/>
            <w:vAlign w:val="bottom"/>
            <w:hideMark/>
          </w:tcPr>
          <w:p w14:paraId="758355AF"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sz w:val="16"/>
                <w:szCs w:val="16"/>
              </w:rPr>
              <w:t>25</w:t>
            </w:r>
          </w:p>
        </w:tc>
        <w:tc>
          <w:tcPr>
            <w:tcW w:w="880" w:type="dxa"/>
            <w:tcBorders>
              <w:top w:val="nil"/>
              <w:left w:val="nil"/>
              <w:bottom w:val="nil"/>
              <w:right w:val="nil"/>
            </w:tcBorders>
            <w:shd w:val="clear" w:color="auto" w:fill="auto"/>
            <w:noWrap/>
            <w:vAlign w:val="bottom"/>
            <w:hideMark/>
          </w:tcPr>
          <w:p w14:paraId="4A7B069F" w14:textId="77777777" w:rsidR="00752811" w:rsidRPr="00236133" w:rsidRDefault="00752811" w:rsidP="00333C84">
            <w:pPr>
              <w:spacing w:after="0" w:line="240" w:lineRule="auto"/>
              <w:jc w:val="right"/>
              <w:rPr>
                <w:rFonts w:ascii="Times New Roman" w:hAnsi="Times New Roman"/>
              </w:rPr>
            </w:pPr>
            <w:r>
              <w:rPr>
                <w:rFonts w:ascii="Arial" w:hAnsi="Arial" w:cs="Arial"/>
                <w:sz w:val="16"/>
                <w:szCs w:val="16"/>
              </w:rPr>
              <w:t>25</w:t>
            </w:r>
          </w:p>
        </w:tc>
        <w:tc>
          <w:tcPr>
            <w:tcW w:w="880" w:type="dxa"/>
            <w:tcBorders>
              <w:top w:val="nil"/>
              <w:left w:val="nil"/>
              <w:bottom w:val="nil"/>
              <w:right w:val="nil"/>
            </w:tcBorders>
            <w:shd w:val="clear" w:color="auto" w:fill="auto"/>
            <w:noWrap/>
            <w:vAlign w:val="bottom"/>
            <w:hideMark/>
          </w:tcPr>
          <w:p w14:paraId="6CB9D8E7" w14:textId="77777777" w:rsidR="00752811" w:rsidRPr="00236133" w:rsidRDefault="00752811" w:rsidP="00333C84">
            <w:pPr>
              <w:spacing w:after="0" w:line="240" w:lineRule="auto"/>
              <w:jc w:val="right"/>
              <w:rPr>
                <w:rFonts w:ascii="Times New Roman" w:hAnsi="Times New Roman"/>
              </w:rPr>
            </w:pPr>
            <w:r>
              <w:rPr>
                <w:rFonts w:ascii="Arial" w:hAnsi="Arial" w:cs="Arial"/>
                <w:sz w:val="16"/>
                <w:szCs w:val="16"/>
              </w:rPr>
              <w:t>25</w:t>
            </w:r>
          </w:p>
        </w:tc>
      </w:tr>
      <w:tr w:rsidR="00752811" w:rsidRPr="00236133" w14:paraId="27DAFFDD" w14:textId="77777777" w:rsidTr="006B4C13">
        <w:trPr>
          <w:trHeight w:val="204"/>
        </w:trPr>
        <w:tc>
          <w:tcPr>
            <w:tcW w:w="2977" w:type="dxa"/>
            <w:tcBorders>
              <w:top w:val="nil"/>
              <w:left w:val="nil"/>
              <w:bottom w:val="nil"/>
              <w:right w:val="nil"/>
            </w:tcBorders>
            <w:shd w:val="clear" w:color="auto" w:fill="auto"/>
            <w:noWrap/>
            <w:vAlign w:val="bottom"/>
            <w:hideMark/>
          </w:tcPr>
          <w:p w14:paraId="42E1C6E0" w14:textId="77777777" w:rsidR="00752811" w:rsidRPr="00236133" w:rsidRDefault="00752811" w:rsidP="00333C84">
            <w:pPr>
              <w:spacing w:after="0" w:line="240" w:lineRule="auto"/>
              <w:jc w:val="left"/>
              <w:rPr>
                <w:rFonts w:ascii="Arial" w:hAnsi="Arial" w:cs="Arial"/>
                <w:b/>
                <w:bCs/>
                <w:sz w:val="16"/>
                <w:szCs w:val="16"/>
              </w:rPr>
            </w:pPr>
            <w:r w:rsidRPr="00236133">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6A974E0C"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000000" w:fill="E6E6E6"/>
            <w:noWrap/>
            <w:vAlign w:val="bottom"/>
            <w:hideMark/>
          </w:tcPr>
          <w:p w14:paraId="499A17EC"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37949259"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59BF4376"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198BEB9F"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r>
      <w:tr w:rsidR="00752811" w:rsidRPr="00236133" w14:paraId="5662E71C" w14:textId="77777777" w:rsidTr="006B4C13">
        <w:trPr>
          <w:trHeight w:val="204"/>
        </w:trPr>
        <w:tc>
          <w:tcPr>
            <w:tcW w:w="2977" w:type="dxa"/>
            <w:tcBorders>
              <w:top w:val="nil"/>
              <w:left w:val="nil"/>
              <w:bottom w:val="nil"/>
              <w:right w:val="nil"/>
            </w:tcBorders>
            <w:shd w:val="clear" w:color="auto" w:fill="auto"/>
            <w:noWrap/>
            <w:vAlign w:val="bottom"/>
            <w:hideMark/>
          </w:tcPr>
          <w:p w14:paraId="1796979B" w14:textId="77777777" w:rsidR="00752811" w:rsidRPr="00236133" w:rsidRDefault="00752811" w:rsidP="00333C84">
            <w:pPr>
              <w:spacing w:after="0" w:line="240" w:lineRule="auto"/>
              <w:jc w:val="left"/>
              <w:rPr>
                <w:rFonts w:ascii="Arial" w:hAnsi="Arial" w:cs="Arial"/>
                <w:b/>
                <w:bCs/>
                <w:sz w:val="16"/>
                <w:szCs w:val="16"/>
              </w:rPr>
            </w:pPr>
            <w:r w:rsidRPr="00236133">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0742D261"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000000" w:fill="E6E6E6"/>
            <w:noWrap/>
            <w:vAlign w:val="bottom"/>
            <w:hideMark/>
          </w:tcPr>
          <w:p w14:paraId="298D8824"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35AC89B2"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372B497B"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c>
          <w:tcPr>
            <w:tcW w:w="880" w:type="dxa"/>
            <w:tcBorders>
              <w:top w:val="single" w:sz="4" w:space="0" w:color="auto"/>
              <w:left w:val="nil"/>
              <w:bottom w:val="single" w:sz="4" w:space="0" w:color="auto"/>
              <w:right w:val="nil"/>
            </w:tcBorders>
            <w:shd w:val="clear" w:color="auto" w:fill="auto"/>
            <w:noWrap/>
            <w:vAlign w:val="bottom"/>
            <w:hideMark/>
          </w:tcPr>
          <w:p w14:paraId="12AEC908"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25</w:t>
            </w:r>
          </w:p>
        </w:tc>
      </w:tr>
      <w:tr w:rsidR="00752811" w:rsidRPr="00236133" w14:paraId="233339D5" w14:textId="77777777" w:rsidTr="006B4C13">
        <w:trPr>
          <w:trHeight w:val="204"/>
        </w:trPr>
        <w:tc>
          <w:tcPr>
            <w:tcW w:w="2977" w:type="dxa"/>
            <w:tcBorders>
              <w:top w:val="nil"/>
              <w:left w:val="nil"/>
              <w:bottom w:val="nil"/>
              <w:right w:val="nil"/>
            </w:tcBorders>
            <w:shd w:val="clear" w:color="auto" w:fill="auto"/>
            <w:vAlign w:val="bottom"/>
            <w:hideMark/>
          </w:tcPr>
          <w:p w14:paraId="2B4907A6" w14:textId="77777777" w:rsidR="00752811" w:rsidRPr="00236133" w:rsidRDefault="00752811" w:rsidP="00333C84">
            <w:pPr>
              <w:spacing w:after="0" w:line="240" w:lineRule="auto"/>
              <w:jc w:val="left"/>
              <w:rPr>
                <w:rFonts w:ascii="Arial" w:hAnsi="Arial" w:cs="Arial"/>
                <w:b/>
                <w:bCs/>
                <w:color w:val="000000"/>
                <w:sz w:val="16"/>
                <w:szCs w:val="16"/>
              </w:rPr>
            </w:pPr>
            <w:r w:rsidRPr="00236133">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2BB7230E"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(3,306)</w:t>
            </w:r>
          </w:p>
        </w:tc>
        <w:tc>
          <w:tcPr>
            <w:tcW w:w="880" w:type="dxa"/>
            <w:tcBorders>
              <w:top w:val="nil"/>
              <w:left w:val="nil"/>
              <w:bottom w:val="single" w:sz="4" w:space="0" w:color="auto"/>
              <w:right w:val="nil"/>
            </w:tcBorders>
            <w:shd w:val="clear" w:color="000000" w:fill="E6E6E6"/>
            <w:noWrap/>
            <w:vAlign w:val="bottom"/>
            <w:hideMark/>
          </w:tcPr>
          <w:p w14:paraId="2BC888F5"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(3,288)</w:t>
            </w:r>
          </w:p>
        </w:tc>
        <w:tc>
          <w:tcPr>
            <w:tcW w:w="880" w:type="dxa"/>
            <w:tcBorders>
              <w:top w:val="nil"/>
              <w:left w:val="nil"/>
              <w:bottom w:val="single" w:sz="4" w:space="0" w:color="auto"/>
              <w:right w:val="nil"/>
            </w:tcBorders>
            <w:shd w:val="clear" w:color="auto" w:fill="auto"/>
            <w:noWrap/>
            <w:vAlign w:val="bottom"/>
            <w:hideMark/>
          </w:tcPr>
          <w:p w14:paraId="473AF3AC"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(2,618)</w:t>
            </w:r>
          </w:p>
        </w:tc>
        <w:tc>
          <w:tcPr>
            <w:tcW w:w="880" w:type="dxa"/>
            <w:tcBorders>
              <w:top w:val="nil"/>
              <w:left w:val="nil"/>
              <w:bottom w:val="single" w:sz="4" w:space="0" w:color="auto"/>
              <w:right w:val="nil"/>
            </w:tcBorders>
            <w:shd w:val="clear" w:color="auto" w:fill="auto"/>
            <w:noWrap/>
            <w:vAlign w:val="bottom"/>
            <w:hideMark/>
          </w:tcPr>
          <w:p w14:paraId="3BA2F111"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(2,639)</w:t>
            </w:r>
          </w:p>
        </w:tc>
        <w:tc>
          <w:tcPr>
            <w:tcW w:w="880" w:type="dxa"/>
            <w:tcBorders>
              <w:top w:val="nil"/>
              <w:left w:val="nil"/>
              <w:bottom w:val="single" w:sz="4" w:space="0" w:color="auto"/>
              <w:right w:val="nil"/>
            </w:tcBorders>
            <w:shd w:val="clear" w:color="auto" w:fill="auto"/>
            <w:noWrap/>
            <w:vAlign w:val="bottom"/>
            <w:hideMark/>
          </w:tcPr>
          <w:p w14:paraId="7506DC02"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(2,657)</w:t>
            </w:r>
          </w:p>
        </w:tc>
      </w:tr>
      <w:tr w:rsidR="00752811" w:rsidRPr="00236133" w14:paraId="2DC7D4E7" w14:textId="77777777" w:rsidTr="006B4C13">
        <w:trPr>
          <w:trHeight w:val="204"/>
        </w:trPr>
        <w:tc>
          <w:tcPr>
            <w:tcW w:w="2977" w:type="dxa"/>
            <w:tcBorders>
              <w:top w:val="nil"/>
              <w:left w:val="nil"/>
              <w:bottom w:val="nil"/>
              <w:right w:val="nil"/>
            </w:tcBorders>
            <w:shd w:val="clear" w:color="auto" w:fill="auto"/>
            <w:noWrap/>
            <w:vAlign w:val="bottom"/>
            <w:hideMark/>
          </w:tcPr>
          <w:p w14:paraId="7F3E52A7" w14:textId="77777777" w:rsidR="00752811" w:rsidRPr="00236133" w:rsidRDefault="00752811" w:rsidP="00EB7ABD">
            <w:pPr>
              <w:spacing w:after="0" w:line="240" w:lineRule="auto"/>
              <w:ind w:left="113"/>
              <w:jc w:val="left"/>
              <w:rPr>
                <w:rFonts w:ascii="Arial" w:hAnsi="Arial" w:cs="Arial"/>
                <w:sz w:val="16"/>
                <w:szCs w:val="16"/>
              </w:rPr>
            </w:pPr>
            <w:r w:rsidRPr="00236133">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14F5CC4D" w14:textId="77777777" w:rsidR="00752811" w:rsidRPr="00236133" w:rsidRDefault="00752811" w:rsidP="00333C84">
            <w:pPr>
              <w:spacing w:after="0" w:line="240" w:lineRule="auto"/>
              <w:jc w:val="right"/>
              <w:rPr>
                <w:rFonts w:ascii="Arial" w:hAnsi="Arial" w:cs="Arial"/>
                <w:sz w:val="16"/>
                <w:szCs w:val="16"/>
              </w:rPr>
            </w:pPr>
            <w:r>
              <w:rPr>
                <w:rFonts w:ascii="Arial" w:hAnsi="Arial" w:cs="Arial"/>
                <w:sz w:val="16"/>
                <w:szCs w:val="16"/>
              </w:rPr>
              <w:t>3,306</w:t>
            </w:r>
          </w:p>
        </w:tc>
        <w:tc>
          <w:tcPr>
            <w:tcW w:w="880" w:type="dxa"/>
            <w:tcBorders>
              <w:top w:val="nil"/>
              <w:left w:val="nil"/>
              <w:bottom w:val="single" w:sz="4" w:space="0" w:color="auto"/>
              <w:right w:val="nil"/>
            </w:tcBorders>
            <w:shd w:val="clear" w:color="000000" w:fill="E6E6E6"/>
            <w:noWrap/>
            <w:vAlign w:val="bottom"/>
            <w:hideMark/>
          </w:tcPr>
          <w:p w14:paraId="34AB74B9" w14:textId="77777777" w:rsidR="00752811" w:rsidRPr="00063BB6" w:rsidRDefault="00752811" w:rsidP="00333C84">
            <w:pPr>
              <w:spacing w:after="0" w:line="240" w:lineRule="auto"/>
              <w:jc w:val="right"/>
              <w:rPr>
                <w:rFonts w:ascii="Arial" w:hAnsi="Arial" w:cs="Arial"/>
                <w:bCs/>
                <w:sz w:val="16"/>
                <w:szCs w:val="16"/>
              </w:rPr>
            </w:pPr>
            <w:r>
              <w:rPr>
                <w:rFonts w:ascii="Arial" w:hAnsi="Arial" w:cs="Arial"/>
                <w:sz w:val="16"/>
                <w:szCs w:val="16"/>
              </w:rPr>
              <w:t>3,288</w:t>
            </w:r>
          </w:p>
        </w:tc>
        <w:tc>
          <w:tcPr>
            <w:tcW w:w="880" w:type="dxa"/>
            <w:tcBorders>
              <w:top w:val="nil"/>
              <w:left w:val="nil"/>
              <w:bottom w:val="single" w:sz="4" w:space="0" w:color="auto"/>
              <w:right w:val="nil"/>
            </w:tcBorders>
            <w:shd w:val="clear" w:color="auto" w:fill="auto"/>
            <w:noWrap/>
            <w:vAlign w:val="bottom"/>
            <w:hideMark/>
          </w:tcPr>
          <w:p w14:paraId="30A9B360"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sz w:val="16"/>
                <w:szCs w:val="16"/>
              </w:rPr>
              <w:t>2,618</w:t>
            </w:r>
          </w:p>
        </w:tc>
        <w:tc>
          <w:tcPr>
            <w:tcW w:w="880" w:type="dxa"/>
            <w:tcBorders>
              <w:top w:val="nil"/>
              <w:left w:val="nil"/>
              <w:bottom w:val="single" w:sz="4" w:space="0" w:color="auto"/>
              <w:right w:val="nil"/>
            </w:tcBorders>
            <w:shd w:val="clear" w:color="auto" w:fill="auto"/>
            <w:noWrap/>
            <w:vAlign w:val="bottom"/>
            <w:hideMark/>
          </w:tcPr>
          <w:p w14:paraId="79533F5D"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sz w:val="16"/>
                <w:szCs w:val="16"/>
              </w:rPr>
              <w:t>2,639</w:t>
            </w:r>
          </w:p>
        </w:tc>
        <w:tc>
          <w:tcPr>
            <w:tcW w:w="880" w:type="dxa"/>
            <w:tcBorders>
              <w:top w:val="nil"/>
              <w:left w:val="nil"/>
              <w:bottom w:val="single" w:sz="4" w:space="0" w:color="auto"/>
              <w:right w:val="nil"/>
            </w:tcBorders>
            <w:shd w:val="clear" w:color="auto" w:fill="auto"/>
            <w:noWrap/>
            <w:vAlign w:val="bottom"/>
            <w:hideMark/>
          </w:tcPr>
          <w:p w14:paraId="09B2DCA8"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sz w:val="16"/>
                <w:szCs w:val="16"/>
              </w:rPr>
              <w:t>2,657</w:t>
            </w:r>
          </w:p>
        </w:tc>
      </w:tr>
      <w:tr w:rsidR="00752811" w:rsidRPr="00236133" w14:paraId="1B92235A" w14:textId="77777777" w:rsidTr="006B4C13">
        <w:trPr>
          <w:trHeight w:val="204"/>
        </w:trPr>
        <w:tc>
          <w:tcPr>
            <w:tcW w:w="2977" w:type="dxa"/>
            <w:tcBorders>
              <w:top w:val="nil"/>
              <w:left w:val="nil"/>
              <w:bottom w:val="nil"/>
              <w:right w:val="nil"/>
            </w:tcBorders>
            <w:shd w:val="clear" w:color="auto" w:fill="auto"/>
            <w:vAlign w:val="bottom"/>
            <w:hideMark/>
          </w:tcPr>
          <w:p w14:paraId="663F5A69" w14:textId="77777777" w:rsidR="00752811" w:rsidRPr="00236133" w:rsidRDefault="00752811" w:rsidP="00333C84">
            <w:pPr>
              <w:spacing w:after="0" w:line="240" w:lineRule="auto"/>
              <w:jc w:val="left"/>
              <w:rPr>
                <w:rFonts w:ascii="Arial" w:hAnsi="Arial" w:cs="Arial"/>
                <w:b/>
                <w:bCs/>
                <w:sz w:val="16"/>
                <w:szCs w:val="16"/>
              </w:rPr>
            </w:pPr>
            <w:r w:rsidRPr="00236133">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277C6CB3"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000000" w:fill="E6E6E6"/>
            <w:noWrap/>
            <w:vAlign w:val="bottom"/>
            <w:hideMark/>
          </w:tcPr>
          <w:p w14:paraId="6B62E0D9"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4B58CC28"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289D06F4"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2B20921D"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r>
      <w:tr w:rsidR="00752811" w:rsidRPr="00236133" w14:paraId="65B5C55E" w14:textId="77777777" w:rsidTr="006B4C13">
        <w:trPr>
          <w:trHeight w:val="204"/>
        </w:trPr>
        <w:tc>
          <w:tcPr>
            <w:tcW w:w="2977" w:type="dxa"/>
            <w:tcBorders>
              <w:top w:val="nil"/>
              <w:left w:val="nil"/>
              <w:bottom w:val="single" w:sz="4" w:space="0" w:color="auto"/>
              <w:right w:val="nil"/>
            </w:tcBorders>
            <w:shd w:val="clear" w:color="auto" w:fill="auto"/>
            <w:vAlign w:val="bottom"/>
            <w:hideMark/>
          </w:tcPr>
          <w:p w14:paraId="5062EBBE" w14:textId="77777777" w:rsidR="00752811" w:rsidRPr="00236133" w:rsidRDefault="00752811" w:rsidP="00333C84">
            <w:pPr>
              <w:spacing w:after="0" w:line="240" w:lineRule="auto"/>
              <w:jc w:val="left"/>
              <w:rPr>
                <w:rFonts w:ascii="Arial" w:hAnsi="Arial" w:cs="Arial"/>
                <w:b/>
                <w:bCs/>
                <w:sz w:val="16"/>
                <w:szCs w:val="16"/>
              </w:rPr>
            </w:pPr>
            <w:r w:rsidRPr="00236133">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DFAACC4"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000000" w:fill="E6E6E6"/>
            <w:noWrap/>
            <w:vAlign w:val="bottom"/>
            <w:hideMark/>
          </w:tcPr>
          <w:p w14:paraId="14C2C5C1"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0F293BFB"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3BEECEDF"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14:paraId="53830DD0" w14:textId="77777777" w:rsidR="00752811" w:rsidRPr="00236133" w:rsidRDefault="00752811" w:rsidP="00333C84">
            <w:pPr>
              <w:spacing w:after="0" w:line="240" w:lineRule="auto"/>
              <w:jc w:val="right"/>
              <w:rPr>
                <w:rFonts w:ascii="Arial" w:hAnsi="Arial" w:cs="Arial"/>
                <w:b/>
                <w:bCs/>
                <w:sz w:val="16"/>
                <w:szCs w:val="16"/>
              </w:rPr>
            </w:pPr>
            <w:r>
              <w:rPr>
                <w:rFonts w:ascii="Arial" w:hAnsi="Arial" w:cs="Arial"/>
                <w:b/>
                <w:bCs/>
                <w:sz w:val="16"/>
                <w:szCs w:val="16"/>
              </w:rPr>
              <w:t>-</w:t>
            </w:r>
          </w:p>
        </w:tc>
      </w:tr>
    </w:tbl>
    <w:p w14:paraId="09619B11" w14:textId="77777777" w:rsidR="00752811" w:rsidRDefault="00752811" w:rsidP="00752811">
      <w:pPr>
        <w:pStyle w:val="Source"/>
        <w:spacing w:before="60"/>
        <w:rPr>
          <w:rFonts w:cs="Arial"/>
        </w:rPr>
      </w:pPr>
      <w:r w:rsidRPr="009D54F3">
        <w:rPr>
          <w:rFonts w:cs="Arial"/>
        </w:rPr>
        <w:t>Prepared on Australian Accounting Standards basis.</w:t>
      </w:r>
    </w:p>
    <w:p w14:paraId="00868E95" w14:textId="77777777" w:rsidR="00752811" w:rsidRDefault="00752811" w:rsidP="006B4C13">
      <w:pPr>
        <w:pStyle w:val="Source"/>
        <w:rPr>
          <w:rFonts w:cs="Arial"/>
        </w:rPr>
      </w:pPr>
    </w:p>
    <w:p w14:paraId="45188E78" w14:textId="1130D3D4" w:rsidR="00752811" w:rsidRDefault="00752811" w:rsidP="00752811">
      <w:pPr>
        <w:pStyle w:val="TableHeading"/>
      </w:pPr>
      <w:r w:rsidRPr="00E4582E">
        <w:t>Table</w:t>
      </w:r>
      <w:r>
        <w:t xml:space="preserve"> 3.</w:t>
      </w:r>
      <w:r w:rsidRPr="00E4582E">
        <w:t>2: Budg</w:t>
      </w:r>
      <w:r>
        <w:t xml:space="preserve">eted </w:t>
      </w:r>
      <w:r w:rsidR="003C4CC6">
        <w:t>Department</w:t>
      </w:r>
      <w:r>
        <w:t xml:space="preserve">al balance sheet </w:t>
      </w:r>
      <w:r w:rsidRPr="00E4582E">
        <w:t>(as at 30 June)</w:t>
      </w:r>
    </w:p>
    <w:tbl>
      <w:tblPr>
        <w:tblW w:w="7513" w:type="dxa"/>
        <w:tblLook w:val="04A0" w:firstRow="1" w:lastRow="0" w:firstColumn="1" w:lastColumn="0" w:noHBand="0" w:noVBand="1"/>
      </w:tblPr>
      <w:tblGrid>
        <w:gridCol w:w="2977"/>
        <w:gridCol w:w="928"/>
        <w:gridCol w:w="920"/>
        <w:gridCol w:w="920"/>
        <w:gridCol w:w="920"/>
        <w:gridCol w:w="848"/>
      </w:tblGrid>
      <w:tr w:rsidR="00752811" w:rsidRPr="00981B25" w14:paraId="25644E1F" w14:textId="77777777" w:rsidTr="006B4C13">
        <w:trPr>
          <w:trHeight w:val="204"/>
        </w:trPr>
        <w:tc>
          <w:tcPr>
            <w:tcW w:w="2977" w:type="dxa"/>
            <w:tcBorders>
              <w:top w:val="single" w:sz="4" w:space="0" w:color="auto"/>
              <w:left w:val="nil"/>
              <w:bottom w:val="nil"/>
              <w:right w:val="nil"/>
            </w:tcBorders>
            <w:shd w:val="clear" w:color="auto" w:fill="auto"/>
            <w:noWrap/>
            <w:vAlign w:val="bottom"/>
            <w:hideMark/>
          </w:tcPr>
          <w:p w14:paraId="5A1E6F1B" w14:textId="77777777" w:rsidR="00752811" w:rsidRPr="00981B25" w:rsidRDefault="00752811" w:rsidP="00333C84">
            <w:pPr>
              <w:spacing w:after="0" w:line="240" w:lineRule="auto"/>
              <w:jc w:val="left"/>
              <w:rPr>
                <w:rFonts w:ascii="Arial" w:hAnsi="Arial" w:cs="Arial"/>
                <w:b/>
                <w:bCs/>
                <w:sz w:val="16"/>
                <w:szCs w:val="16"/>
              </w:rPr>
            </w:pPr>
            <w:r w:rsidRPr="00981B25">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C99381F" w14:textId="77777777" w:rsidR="00752811" w:rsidRPr="00981B25" w:rsidRDefault="00752811" w:rsidP="00333C84">
            <w:pPr>
              <w:spacing w:after="0" w:line="240" w:lineRule="auto"/>
              <w:jc w:val="right"/>
              <w:rPr>
                <w:rFonts w:ascii="Arial" w:hAnsi="Arial" w:cs="Arial"/>
                <w:sz w:val="16"/>
                <w:szCs w:val="16"/>
              </w:rPr>
            </w:pPr>
            <w:r w:rsidRPr="00981B25">
              <w:rPr>
                <w:rFonts w:ascii="Arial" w:hAnsi="Arial" w:cs="Arial"/>
                <w:sz w:val="16"/>
                <w:szCs w:val="16"/>
              </w:rPr>
              <w:t>2021-22 Estimated actual</w:t>
            </w:r>
            <w:r w:rsidRPr="00981B25">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000000" w:fill="E6E6E6"/>
            <w:vAlign w:val="bottom"/>
            <w:hideMark/>
          </w:tcPr>
          <w:p w14:paraId="7D0AEAE1" w14:textId="77777777" w:rsidR="00752811" w:rsidRPr="00981B25" w:rsidRDefault="00752811" w:rsidP="00333C84">
            <w:pPr>
              <w:spacing w:after="0" w:line="240" w:lineRule="auto"/>
              <w:jc w:val="right"/>
              <w:rPr>
                <w:rFonts w:ascii="Arial" w:hAnsi="Arial" w:cs="Arial"/>
                <w:sz w:val="16"/>
                <w:szCs w:val="16"/>
              </w:rPr>
            </w:pPr>
            <w:r w:rsidRPr="00981B25">
              <w:rPr>
                <w:rFonts w:ascii="Arial" w:hAnsi="Arial" w:cs="Arial"/>
                <w:sz w:val="16"/>
                <w:szCs w:val="16"/>
              </w:rPr>
              <w:t>2022-23</w:t>
            </w:r>
            <w:r w:rsidRPr="00981B25">
              <w:rPr>
                <w:rFonts w:ascii="Arial" w:hAnsi="Arial" w:cs="Arial"/>
                <w:sz w:val="16"/>
                <w:szCs w:val="16"/>
              </w:rPr>
              <w:br/>
              <w:t>Budget</w:t>
            </w:r>
            <w:r w:rsidRPr="00981B25">
              <w:rPr>
                <w:rFonts w:ascii="Arial" w:hAnsi="Arial" w:cs="Arial"/>
                <w:sz w:val="16"/>
                <w:szCs w:val="16"/>
              </w:rPr>
              <w:br/>
            </w:r>
            <w:r w:rsidRPr="00981B25">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26E1AFFA" w14:textId="77777777" w:rsidR="00752811" w:rsidRPr="00981B25" w:rsidRDefault="00752811" w:rsidP="00333C84">
            <w:pPr>
              <w:spacing w:after="0" w:line="240" w:lineRule="auto"/>
              <w:jc w:val="right"/>
              <w:rPr>
                <w:rFonts w:ascii="Arial" w:hAnsi="Arial" w:cs="Arial"/>
                <w:sz w:val="16"/>
                <w:szCs w:val="16"/>
              </w:rPr>
            </w:pPr>
            <w:r w:rsidRPr="00981B25">
              <w:rPr>
                <w:rFonts w:ascii="Arial" w:hAnsi="Arial" w:cs="Arial"/>
                <w:sz w:val="16"/>
                <w:szCs w:val="16"/>
              </w:rPr>
              <w:t>2023-24 Forward estimate</w:t>
            </w:r>
            <w:r w:rsidRPr="00981B25">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vAlign w:val="bottom"/>
            <w:hideMark/>
          </w:tcPr>
          <w:p w14:paraId="3B28D593" w14:textId="77777777" w:rsidR="00752811" w:rsidRPr="00981B25" w:rsidRDefault="00752811" w:rsidP="00333C84">
            <w:pPr>
              <w:spacing w:after="0" w:line="240" w:lineRule="auto"/>
              <w:jc w:val="right"/>
              <w:rPr>
                <w:rFonts w:ascii="Arial" w:hAnsi="Arial" w:cs="Arial"/>
                <w:sz w:val="16"/>
                <w:szCs w:val="16"/>
              </w:rPr>
            </w:pPr>
            <w:r w:rsidRPr="00981B25">
              <w:rPr>
                <w:rFonts w:ascii="Arial" w:hAnsi="Arial" w:cs="Arial"/>
                <w:sz w:val="16"/>
                <w:szCs w:val="16"/>
              </w:rPr>
              <w:t>2024-25 Forward estimate</w:t>
            </w:r>
            <w:r w:rsidRPr="00981B25">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auto" w:fill="auto"/>
            <w:vAlign w:val="bottom"/>
            <w:hideMark/>
          </w:tcPr>
          <w:p w14:paraId="28963462" w14:textId="77777777" w:rsidR="00752811" w:rsidRPr="00981B25" w:rsidRDefault="00752811" w:rsidP="00333C84">
            <w:pPr>
              <w:spacing w:after="0" w:line="240" w:lineRule="auto"/>
              <w:jc w:val="right"/>
              <w:rPr>
                <w:rFonts w:ascii="Arial" w:hAnsi="Arial" w:cs="Arial"/>
                <w:sz w:val="16"/>
                <w:szCs w:val="16"/>
              </w:rPr>
            </w:pPr>
            <w:r w:rsidRPr="00981B25">
              <w:rPr>
                <w:rFonts w:ascii="Arial" w:hAnsi="Arial" w:cs="Arial"/>
                <w:sz w:val="16"/>
                <w:szCs w:val="16"/>
              </w:rPr>
              <w:t>2025-26</w:t>
            </w:r>
            <w:r w:rsidRPr="00981B25">
              <w:rPr>
                <w:rFonts w:ascii="Arial" w:hAnsi="Arial" w:cs="Arial"/>
                <w:sz w:val="16"/>
                <w:szCs w:val="16"/>
              </w:rPr>
              <w:br/>
              <w:t>Forward estimate</w:t>
            </w:r>
            <w:r w:rsidRPr="00981B25">
              <w:rPr>
                <w:rFonts w:ascii="Arial" w:hAnsi="Arial" w:cs="Arial"/>
                <w:sz w:val="16"/>
                <w:szCs w:val="16"/>
              </w:rPr>
              <w:br/>
              <w:t>$'000</w:t>
            </w:r>
          </w:p>
        </w:tc>
      </w:tr>
      <w:tr w:rsidR="00752811" w:rsidRPr="00981B25" w14:paraId="2ADAACD2" w14:textId="77777777" w:rsidTr="00EB7ABD">
        <w:trPr>
          <w:trHeight w:val="204"/>
        </w:trPr>
        <w:tc>
          <w:tcPr>
            <w:tcW w:w="2977" w:type="dxa"/>
            <w:tcBorders>
              <w:top w:val="nil"/>
              <w:left w:val="nil"/>
              <w:bottom w:val="nil"/>
              <w:right w:val="nil"/>
            </w:tcBorders>
            <w:shd w:val="clear" w:color="auto" w:fill="auto"/>
            <w:noWrap/>
            <w:vAlign w:val="bottom"/>
            <w:hideMark/>
          </w:tcPr>
          <w:p w14:paraId="1415CFC9"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23D1014D" w14:textId="77777777" w:rsidR="00752811" w:rsidRPr="00EB7ABD"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242BB20E"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B5A76B6"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88903BA" w14:textId="77777777" w:rsidR="00752811" w:rsidRPr="00EB7ABD" w:rsidRDefault="00752811" w:rsidP="00333C84">
            <w:pPr>
              <w:spacing w:after="0" w:line="240" w:lineRule="auto"/>
              <w:jc w:val="right"/>
              <w:rPr>
                <w:rFonts w:ascii="Times New Roman" w:hAnsi="Times New Roman"/>
                <w:sz w:val="16"/>
                <w:szCs w:val="16"/>
              </w:rPr>
            </w:pPr>
          </w:p>
        </w:tc>
        <w:tc>
          <w:tcPr>
            <w:tcW w:w="848" w:type="dxa"/>
            <w:tcBorders>
              <w:top w:val="nil"/>
              <w:left w:val="nil"/>
              <w:bottom w:val="nil"/>
              <w:right w:val="nil"/>
            </w:tcBorders>
            <w:shd w:val="clear" w:color="auto" w:fill="auto"/>
            <w:noWrap/>
            <w:vAlign w:val="bottom"/>
            <w:hideMark/>
          </w:tcPr>
          <w:p w14:paraId="5B60C7B7" w14:textId="77777777" w:rsidR="00752811" w:rsidRPr="00EB7ABD" w:rsidRDefault="00752811" w:rsidP="00333C84">
            <w:pPr>
              <w:spacing w:after="0" w:line="240" w:lineRule="auto"/>
              <w:jc w:val="right"/>
              <w:rPr>
                <w:rFonts w:ascii="Times New Roman" w:hAnsi="Times New Roman"/>
                <w:sz w:val="16"/>
                <w:szCs w:val="16"/>
              </w:rPr>
            </w:pPr>
          </w:p>
        </w:tc>
      </w:tr>
      <w:tr w:rsidR="00752811" w:rsidRPr="00981B25" w14:paraId="3A7B9E31" w14:textId="77777777" w:rsidTr="00EB7ABD">
        <w:trPr>
          <w:trHeight w:val="204"/>
        </w:trPr>
        <w:tc>
          <w:tcPr>
            <w:tcW w:w="2977" w:type="dxa"/>
            <w:tcBorders>
              <w:top w:val="nil"/>
              <w:left w:val="nil"/>
              <w:bottom w:val="nil"/>
              <w:right w:val="nil"/>
            </w:tcBorders>
            <w:shd w:val="clear" w:color="auto" w:fill="auto"/>
            <w:noWrap/>
            <w:vAlign w:val="bottom"/>
            <w:hideMark/>
          </w:tcPr>
          <w:p w14:paraId="2224B900"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75D9FE21" w14:textId="77777777" w:rsidR="00752811" w:rsidRPr="00EB7ABD"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46F71C9E"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111B125"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EC58073" w14:textId="77777777" w:rsidR="00752811" w:rsidRPr="00EB7ABD" w:rsidRDefault="00752811" w:rsidP="00333C84">
            <w:pPr>
              <w:spacing w:after="0" w:line="240" w:lineRule="auto"/>
              <w:jc w:val="right"/>
              <w:rPr>
                <w:rFonts w:ascii="Times New Roman" w:hAnsi="Times New Roman"/>
                <w:sz w:val="16"/>
                <w:szCs w:val="16"/>
              </w:rPr>
            </w:pPr>
          </w:p>
        </w:tc>
        <w:tc>
          <w:tcPr>
            <w:tcW w:w="848" w:type="dxa"/>
            <w:tcBorders>
              <w:top w:val="nil"/>
              <w:left w:val="nil"/>
              <w:bottom w:val="nil"/>
              <w:right w:val="nil"/>
            </w:tcBorders>
            <w:shd w:val="clear" w:color="auto" w:fill="auto"/>
            <w:noWrap/>
            <w:vAlign w:val="bottom"/>
            <w:hideMark/>
          </w:tcPr>
          <w:p w14:paraId="29DDBBD5" w14:textId="77777777" w:rsidR="00752811" w:rsidRPr="00EB7ABD" w:rsidRDefault="00752811" w:rsidP="00333C84">
            <w:pPr>
              <w:spacing w:after="0" w:line="240" w:lineRule="auto"/>
              <w:jc w:val="right"/>
              <w:rPr>
                <w:rFonts w:ascii="Times New Roman" w:hAnsi="Times New Roman"/>
                <w:sz w:val="16"/>
                <w:szCs w:val="16"/>
              </w:rPr>
            </w:pPr>
          </w:p>
        </w:tc>
      </w:tr>
      <w:tr w:rsidR="00752811" w:rsidRPr="00981B25" w14:paraId="279490DA" w14:textId="77777777" w:rsidTr="00EB7ABD">
        <w:trPr>
          <w:trHeight w:val="204"/>
        </w:trPr>
        <w:tc>
          <w:tcPr>
            <w:tcW w:w="2977" w:type="dxa"/>
            <w:tcBorders>
              <w:top w:val="nil"/>
              <w:left w:val="nil"/>
              <w:bottom w:val="nil"/>
              <w:right w:val="nil"/>
            </w:tcBorders>
            <w:shd w:val="clear" w:color="auto" w:fill="auto"/>
            <w:noWrap/>
            <w:vAlign w:val="bottom"/>
            <w:hideMark/>
          </w:tcPr>
          <w:p w14:paraId="3370800A" w14:textId="77777777" w:rsidR="00752811" w:rsidRPr="00EB7ABD" w:rsidRDefault="00752811" w:rsidP="006B4C13">
            <w:pPr>
              <w:spacing w:after="0" w:line="240" w:lineRule="auto"/>
              <w:ind w:left="113"/>
              <w:jc w:val="left"/>
              <w:rPr>
                <w:rFonts w:ascii="Arial" w:hAnsi="Arial" w:cs="Arial"/>
                <w:sz w:val="16"/>
                <w:szCs w:val="16"/>
              </w:rPr>
            </w:pPr>
            <w:r w:rsidRPr="00EB7ABD">
              <w:rPr>
                <w:rFonts w:ascii="Arial" w:hAnsi="Arial" w:cs="Arial"/>
                <w:sz w:val="16"/>
                <w:szCs w:val="16"/>
              </w:rPr>
              <w:t xml:space="preserve">Cash </w:t>
            </w:r>
            <w:r w:rsidRPr="00981B25">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7DECC8FC"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20</w:t>
            </w:r>
          </w:p>
        </w:tc>
        <w:tc>
          <w:tcPr>
            <w:tcW w:w="920" w:type="dxa"/>
            <w:tcBorders>
              <w:top w:val="nil"/>
              <w:left w:val="nil"/>
              <w:bottom w:val="nil"/>
              <w:right w:val="nil"/>
            </w:tcBorders>
            <w:shd w:val="clear" w:color="000000" w:fill="E6E6E6"/>
            <w:noWrap/>
            <w:vAlign w:val="bottom"/>
            <w:hideMark/>
          </w:tcPr>
          <w:p w14:paraId="7FE76514"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20</w:t>
            </w:r>
          </w:p>
        </w:tc>
        <w:tc>
          <w:tcPr>
            <w:tcW w:w="920" w:type="dxa"/>
            <w:tcBorders>
              <w:top w:val="nil"/>
              <w:left w:val="nil"/>
              <w:bottom w:val="nil"/>
              <w:right w:val="nil"/>
            </w:tcBorders>
            <w:shd w:val="clear" w:color="auto" w:fill="auto"/>
            <w:noWrap/>
            <w:vAlign w:val="bottom"/>
            <w:hideMark/>
          </w:tcPr>
          <w:p w14:paraId="6B1DA214"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20</w:t>
            </w:r>
          </w:p>
        </w:tc>
        <w:tc>
          <w:tcPr>
            <w:tcW w:w="920" w:type="dxa"/>
            <w:tcBorders>
              <w:top w:val="nil"/>
              <w:left w:val="nil"/>
              <w:bottom w:val="nil"/>
              <w:right w:val="nil"/>
            </w:tcBorders>
            <w:shd w:val="clear" w:color="auto" w:fill="auto"/>
            <w:noWrap/>
            <w:vAlign w:val="bottom"/>
            <w:hideMark/>
          </w:tcPr>
          <w:p w14:paraId="6ADFD62B"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20</w:t>
            </w:r>
          </w:p>
        </w:tc>
        <w:tc>
          <w:tcPr>
            <w:tcW w:w="848" w:type="dxa"/>
            <w:tcBorders>
              <w:top w:val="nil"/>
              <w:left w:val="nil"/>
              <w:bottom w:val="nil"/>
              <w:right w:val="nil"/>
            </w:tcBorders>
            <w:shd w:val="clear" w:color="auto" w:fill="auto"/>
            <w:noWrap/>
            <w:vAlign w:val="bottom"/>
            <w:hideMark/>
          </w:tcPr>
          <w:p w14:paraId="28282808"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20</w:t>
            </w:r>
          </w:p>
        </w:tc>
      </w:tr>
      <w:tr w:rsidR="00752811" w:rsidRPr="00981B25" w14:paraId="2A583214" w14:textId="77777777" w:rsidTr="00EB7ABD">
        <w:trPr>
          <w:trHeight w:val="204"/>
        </w:trPr>
        <w:tc>
          <w:tcPr>
            <w:tcW w:w="2977" w:type="dxa"/>
            <w:tcBorders>
              <w:top w:val="nil"/>
              <w:left w:val="nil"/>
              <w:bottom w:val="nil"/>
              <w:right w:val="nil"/>
            </w:tcBorders>
            <w:shd w:val="clear" w:color="auto" w:fill="auto"/>
            <w:noWrap/>
            <w:vAlign w:val="bottom"/>
            <w:hideMark/>
          </w:tcPr>
          <w:p w14:paraId="0985BBCA" w14:textId="77777777" w:rsidR="00752811" w:rsidRPr="00981B25" w:rsidRDefault="00752811" w:rsidP="006B4C13">
            <w:pPr>
              <w:spacing w:after="0" w:line="240" w:lineRule="auto"/>
              <w:ind w:left="113"/>
              <w:jc w:val="left"/>
              <w:rPr>
                <w:rFonts w:ascii="Arial" w:hAnsi="Arial" w:cs="Arial"/>
                <w:sz w:val="16"/>
                <w:szCs w:val="16"/>
              </w:rPr>
            </w:pPr>
            <w:r w:rsidRPr="00981B25">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6A81D786"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2,172</w:t>
            </w:r>
          </w:p>
        </w:tc>
        <w:tc>
          <w:tcPr>
            <w:tcW w:w="920" w:type="dxa"/>
            <w:tcBorders>
              <w:top w:val="nil"/>
              <w:left w:val="nil"/>
              <w:bottom w:val="nil"/>
              <w:right w:val="nil"/>
            </w:tcBorders>
            <w:shd w:val="clear" w:color="000000" w:fill="E6E6E6"/>
            <w:noWrap/>
            <w:vAlign w:val="bottom"/>
            <w:hideMark/>
          </w:tcPr>
          <w:p w14:paraId="123610CA"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2,172</w:t>
            </w:r>
          </w:p>
        </w:tc>
        <w:tc>
          <w:tcPr>
            <w:tcW w:w="920" w:type="dxa"/>
            <w:tcBorders>
              <w:top w:val="nil"/>
              <w:left w:val="nil"/>
              <w:bottom w:val="nil"/>
              <w:right w:val="nil"/>
            </w:tcBorders>
            <w:shd w:val="clear" w:color="auto" w:fill="auto"/>
            <w:noWrap/>
            <w:vAlign w:val="bottom"/>
            <w:hideMark/>
          </w:tcPr>
          <w:p w14:paraId="3F2ED872"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2,172</w:t>
            </w:r>
          </w:p>
        </w:tc>
        <w:tc>
          <w:tcPr>
            <w:tcW w:w="920" w:type="dxa"/>
            <w:tcBorders>
              <w:top w:val="nil"/>
              <w:left w:val="nil"/>
              <w:bottom w:val="nil"/>
              <w:right w:val="nil"/>
            </w:tcBorders>
            <w:shd w:val="clear" w:color="auto" w:fill="auto"/>
            <w:noWrap/>
            <w:vAlign w:val="bottom"/>
            <w:hideMark/>
          </w:tcPr>
          <w:p w14:paraId="033256B3"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2,172</w:t>
            </w:r>
          </w:p>
        </w:tc>
        <w:tc>
          <w:tcPr>
            <w:tcW w:w="848" w:type="dxa"/>
            <w:tcBorders>
              <w:top w:val="nil"/>
              <w:left w:val="nil"/>
              <w:bottom w:val="nil"/>
              <w:right w:val="nil"/>
            </w:tcBorders>
            <w:shd w:val="clear" w:color="auto" w:fill="auto"/>
            <w:noWrap/>
            <w:vAlign w:val="bottom"/>
            <w:hideMark/>
          </w:tcPr>
          <w:p w14:paraId="3D34B6DE"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2,172</w:t>
            </w:r>
          </w:p>
        </w:tc>
      </w:tr>
      <w:tr w:rsidR="00752811" w:rsidRPr="00981B25" w14:paraId="29B741C5" w14:textId="77777777" w:rsidTr="00EB7ABD">
        <w:trPr>
          <w:trHeight w:val="204"/>
        </w:trPr>
        <w:tc>
          <w:tcPr>
            <w:tcW w:w="2977" w:type="dxa"/>
            <w:tcBorders>
              <w:top w:val="nil"/>
              <w:left w:val="nil"/>
              <w:bottom w:val="nil"/>
              <w:right w:val="nil"/>
            </w:tcBorders>
            <w:shd w:val="clear" w:color="auto" w:fill="auto"/>
            <w:noWrap/>
            <w:vAlign w:val="bottom"/>
            <w:hideMark/>
          </w:tcPr>
          <w:p w14:paraId="1485E210" w14:textId="77777777" w:rsidR="00752811" w:rsidRPr="00981B25" w:rsidRDefault="00752811" w:rsidP="00333C84">
            <w:pPr>
              <w:spacing w:after="0" w:line="240" w:lineRule="auto"/>
              <w:jc w:val="left"/>
              <w:rPr>
                <w:rFonts w:ascii="Arial" w:hAnsi="Arial" w:cs="Arial"/>
                <w:b/>
                <w:bCs/>
                <w:i/>
                <w:iCs/>
                <w:color w:val="000000"/>
                <w:sz w:val="16"/>
                <w:szCs w:val="16"/>
              </w:rPr>
            </w:pPr>
            <w:r w:rsidRPr="00981B25">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6F3E4D83"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2,192</w:t>
            </w:r>
          </w:p>
        </w:tc>
        <w:tc>
          <w:tcPr>
            <w:tcW w:w="920" w:type="dxa"/>
            <w:tcBorders>
              <w:top w:val="single" w:sz="4" w:space="0" w:color="000000"/>
              <w:left w:val="nil"/>
              <w:bottom w:val="single" w:sz="4" w:space="0" w:color="000000"/>
              <w:right w:val="nil"/>
            </w:tcBorders>
            <w:shd w:val="clear" w:color="000000" w:fill="E6E6E6"/>
            <w:noWrap/>
            <w:vAlign w:val="bottom"/>
            <w:hideMark/>
          </w:tcPr>
          <w:p w14:paraId="4430824A"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2,192</w:t>
            </w:r>
          </w:p>
        </w:tc>
        <w:tc>
          <w:tcPr>
            <w:tcW w:w="920" w:type="dxa"/>
            <w:tcBorders>
              <w:top w:val="single" w:sz="4" w:space="0" w:color="000000"/>
              <w:left w:val="nil"/>
              <w:bottom w:val="single" w:sz="4" w:space="0" w:color="000000"/>
              <w:right w:val="nil"/>
            </w:tcBorders>
            <w:shd w:val="clear" w:color="auto" w:fill="auto"/>
            <w:noWrap/>
            <w:vAlign w:val="bottom"/>
            <w:hideMark/>
          </w:tcPr>
          <w:p w14:paraId="140339B6"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2,192</w:t>
            </w:r>
          </w:p>
        </w:tc>
        <w:tc>
          <w:tcPr>
            <w:tcW w:w="920" w:type="dxa"/>
            <w:tcBorders>
              <w:top w:val="single" w:sz="4" w:space="0" w:color="000000"/>
              <w:left w:val="nil"/>
              <w:bottom w:val="single" w:sz="4" w:space="0" w:color="000000"/>
              <w:right w:val="nil"/>
            </w:tcBorders>
            <w:shd w:val="clear" w:color="auto" w:fill="auto"/>
            <w:noWrap/>
            <w:vAlign w:val="bottom"/>
            <w:hideMark/>
          </w:tcPr>
          <w:p w14:paraId="5AC9B303"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2,192</w:t>
            </w:r>
          </w:p>
        </w:tc>
        <w:tc>
          <w:tcPr>
            <w:tcW w:w="848" w:type="dxa"/>
            <w:tcBorders>
              <w:top w:val="single" w:sz="4" w:space="0" w:color="000000"/>
              <w:left w:val="nil"/>
              <w:bottom w:val="single" w:sz="4" w:space="0" w:color="000000"/>
              <w:right w:val="nil"/>
            </w:tcBorders>
            <w:shd w:val="clear" w:color="auto" w:fill="auto"/>
            <w:noWrap/>
            <w:vAlign w:val="bottom"/>
            <w:hideMark/>
          </w:tcPr>
          <w:p w14:paraId="06E56744"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2,192</w:t>
            </w:r>
          </w:p>
        </w:tc>
      </w:tr>
      <w:tr w:rsidR="00752811" w:rsidRPr="00981B25" w14:paraId="3A417777" w14:textId="77777777" w:rsidTr="00EB7ABD">
        <w:trPr>
          <w:trHeight w:val="204"/>
        </w:trPr>
        <w:tc>
          <w:tcPr>
            <w:tcW w:w="2977" w:type="dxa"/>
            <w:tcBorders>
              <w:top w:val="nil"/>
              <w:left w:val="nil"/>
              <w:bottom w:val="nil"/>
              <w:right w:val="nil"/>
            </w:tcBorders>
            <w:shd w:val="clear" w:color="auto" w:fill="auto"/>
            <w:noWrap/>
            <w:vAlign w:val="bottom"/>
            <w:hideMark/>
          </w:tcPr>
          <w:p w14:paraId="7662E087"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4A4CA390"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2,192</w:t>
            </w:r>
          </w:p>
        </w:tc>
        <w:tc>
          <w:tcPr>
            <w:tcW w:w="920" w:type="dxa"/>
            <w:tcBorders>
              <w:top w:val="nil"/>
              <w:left w:val="nil"/>
              <w:bottom w:val="single" w:sz="4" w:space="0" w:color="000000"/>
              <w:right w:val="nil"/>
            </w:tcBorders>
            <w:shd w:val="clear" w:color="000000" w:fill="E6E6E6"/>
            <w:noWrap/>
            <w:vAlign w:val="bottom"/>
            <w:hideMark/>
          </w:tcPr>
          <w:p w14:paraId="792BA35A"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2,192</w:t>
            </w:r>
          </w:p>
        </w:tc>
        <w:tc>
          <w:tcPr>
            <w:tcW w:w="920" w:type="dxa"/>
            <w:tcBorders>
              <w:top w:val="nil"/>
              <w:left w:val="nil"/>
              <w:bottom w:val="single" w:sz="4" w:space="0" w:color="000000"/>
              <w:right w:val="nil"/>
            </w:tcBorders>
            <w:shd w:val="clear" w:color="auto" w:fill="auto"/>
            <w:noWrap/>
            <w:vAlign w:val="bottom"/>
            <w:hideMark/>
          </w:tcPr>
          <w:p w14:paraId="1A269DF2"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2,192</w:t>
            </w:r>
          </w:p>
        </w:tc>
        <w:tc>
          <w:tcPr>
            <w:tcW w:w="920" w:type="dxa"/>
            <w:tcBorders>
              <w:top w:val="nil"/>
              <w:left w:val="nil"/>
              <w:bottom w:val="single" w:sz="4" w:space="0" w:color="000000"/>
              <w:right w:val="nil"/>
            </w:tcBorders>
            <w:shd w:val="clear" w:color="auto" w:fill="auto"/>
            <w:noWrap/>
            <w:vAlign w:val="bottom"/>
            <w:hideMark/>
          </w:tcPr>
          <w:p w14:paraId="56861645"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2,192</w:t>
            </w:r>
          </w:p>
        </w:tc>
        <w:tc>
          <w:tcPr>
            <w:tcW w:w="848" w:type="dxa"/>
            <w:tcBorders>
              <w:top w:val="nil"/>
              <w:left w:val="nil"/>
              <w:bottom w:val="single" w:sz="4" w:space="0" w:color="000000"/>
              <w:right w:val="nil"/>
            </w:tcBorders>
            <w:shd w:val="clear" w:color="auto" w:fill="auto"/>
            <w:noWrap/>
            <w:vAlign w:val="bottom"/>
            <w:hideMark/>
          </w:tcPr>
          <w:p w14:paraId="7111283C"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2,192</w:t>
            </w:r>
          </w:p>
        </w:tc>
      </w:tr>
      <w:tr w:rsidR="00752811" w:rsidRPr="00981B25" w14:paraId="72DDE07A" w14:textId="77777777" w:rsidTr="00EB7ABD">
        <w:trPr>
          <w:trHeight w:val="204"/>
        </w:trPr>
        <w:tc>
          <w:tcPr>
            <w:tcW w:w="2977" w:type="dxa"/>
            <w:tcBorders>
              <w:top w:val="nil"/>
              <w:left w:val="nil"/>
              <w:bottom w:val="nil"/>
              <w:right w:val="nil"/>
            </w:tcBorders>
            <w:shd w:val="clear" w:color="auto" w:fill="auto"/>
            <w:noWrap/>
            <w:vAlign w:val="bottom"/>
            <w:hideMark/>
          </w:tcPr>
          <w:p w14:paraId="7C90D8D5"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5BDB63F4" w14:textId="77777777" w:rsidR="00752811" w:rsidRPr="00EB7ABD"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0A967C28"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A25CF51"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78F2687" w14:textId="77777777" w:rsidR="00752811" w:rsidRPr="00EB7ABD" w:rsidRDefault="00752811" w:rsidP="00333C84">
            <w:pPr>
              <w:spacing w:after="0" w:line="240" w:lineRule="auto"/>
              <w:jc w:val="right"/>
              <w:rPr>
                <w:rFonts w:ascii="Times New Roman" w:hAnsi="Times New Roman"/>
                <w:sz w:val="16"/>
                <w:szCs w:val="16"/>
              </w:rPr>
            </w:pPr>
          </w:p>
        </w:tc>
        <w:tc>
          <w:tcPr>
            <w:tcW w:w="848" w:type="dxa"/>
            <w:tcBorders>
              <w:top w:val="nil"/>
              <w:left w:val="nil"/>
              <w:bottom w:val="nil"/>
              <w:right w:val="nil"/>
            </w:tcBorders>
            <w:shd w:val="clear" w:color="auto" w:fill="auto"/>
            <w:noWrap/>
            <w:vAlign w:val="bottom"/>
            <w:hideMark/>
          </w:tcPr>
          <w:p w14:paraId="39C5C330" w14:textId="77777777" w:rsidR="00752811" w:rsidRPr="00EB7ABD" w:rsidRDefault="00752811" w:rsidP="00333C84">
            <w:pPr>
              <w:spacing w:after="0" w:line="240" w:lineRule="auto"/>
              <w:jc w:val="right"/>
              <w:rPr>
                <w:rFonts w:ascii="Times New Roman" w:hAnsi="Times New Roman"/>
                <w:sz w:val="16"/>
                <w:szCs w:val="16"/>
              </w:rPr>
            </w:pPr>
          </w:p>
        </w:tc>
      </w:tr>
      <w:tr w:rsidR="00752811" w:rsidRPr="00981B25" w14:paraId="37153FA7" w14:textId="77777777" w:rsidTr="00EB7ABD">
        <w:trPr>
          <w:trHeight w:val="204"/>
        </w:trPr>
        <w:tc>
          <w:tcPr>
            <w:tcW w:w="2977" w:type="dxa"/>
            <w:tcBorders>
              <w:top w:val="nil"/>
              <w:left w:val="nil"/>
              <w:bottom w:val="nil"/>
              <w:right w:val="nil"/>
            </w:tcBorders>
            <w:shd w:val="clear" w:color="auto" w:fill="auto"/>
            <w:noWrap/>
            <w:vAlign w:val="bottom"/>
            <w:hideMark/>
          </w:tcPr>
          <w:p w14:paraId="44F99292"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3578B465" w14:textId="77777777" w:rsidR="00752811" w:rsidRPr="00EB7ABD"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72AD59DC"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F5D3E96"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736EF76" w14:textId="77777777" w:rsidR="00752811" w:rsidRPr="00EB7ABD" w:rsidRDefault="00752811" w:rsidP="00333C84">
            <w:pPr>
              <w:spacing w:after="0" w:line="240" w:lineRule="auto"/>
              <w:jc w:val="right"/>
              <w:rPr>
                <w:rFonts w:ascii="Times New Roman" w:hAnsi="Times New Roman"/>
                <w:sz w:val="16"/>
                <w:szCs w:val="16"/>
              </w:rPr>
            </w:pPr>
          </w:p>
        </w:tc>
        <w:tc>
          <w:tcPr>
            <w:tcW w:w="848" w:type="dxa"/>
            <w:tcBorders>
              <w:top w:val="nil"/>
              <w:left w:val="nil"/>
              <w:bottom w:val="nil"/>
              <w:right w:val="nil"/>
            </w:tcBorders>
            <w:shd w:val="clear" w:color="auto" w:fill="auto"/>
            <w:noWrap/>
            <w:vAlign w:val="bottom"/>
            <w:hideMark/>
          </w:tcPr>
          <w:p w14:paraId="518D5C28" w14:textId="77777777" w:rsidR="00752811" w:rsidRPr="00EB7ABD" w:rsidRDefault="00752811" w:rsidP="00333C84">
            <w:pPr>
              <w:spacing w:after="0" w:line="240" w:lineRule="auto"/>
              <w:jc w:val="right"/>
              <w:rPr>
                <w:rFonts w:ascii="Times New Roman" w:hAnsi="Times New Roman"/>
                <w:sz w:val="16"/>
                <w:szCs w:val="16"/>
              </w:rPr>
            </w:pPr>
          </w:p>
        </w:tc>
      </w:tr>
      <w:tr w:rsidR="00752811" w:rsidRPr="00981B25" w14:paraId="5C6C8C0B" w14:textId="77777777" w:rsidTr="00EB7ABD">
        <w:trPr>
          <w:trHeight w:val="204"/>
        </w:trPr>
        <w:tc>
          <w:tcPr>
            <w:tcW w:w="2977" w:type="dxa"/>
            <w:tcBorders>
              <w:top w:val="nil"/>
              <w:left w:val="nil"/>
              <w:bottom w:val="nil"/>
              <w:right w:val="nil"/>
            </w:tcBorders>
            <w:shd w:val="clear" w:color="auto" w:fill="auto"/>
            <w:noWrap/>
            <w:vAlign w:val="bottom"/>
            <w:hideMark/>
          </w:tcPr>
          <w:p w14:paraId="4537AA55" w14:textId="77777777" w:rsidR="00752811" w:rsidRPr="00981B25" w:rsidRDefault="00752811" w:rsidP="006B4C13">
            <w:pPr>
              <w:spacing w:after="0" w:line="240" w:lineRule="auto"/>
              <w:ind w:left="113"/>
              <w:jc w:val="left"/>
              <w:rPr>
                <w:rFonts w:ascii="Arial" w:hAnsi="Arial" w:cs="Arial"/>
                <w:color w:val="000000"/>
                <w:sz w:val="16"/>
                <w:szCs w:val="16"/>
              </w:rPr>
            </w:pPr>
            <w:r w:rsidRPr="00EB7ABD">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038E4F5B"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68</w:t>
            </w:r>
          </w:p>
        </w:tc>
        <w:tc>
          <w:tcPr>
            <w:tcW w:w="920" w:type="dxa"/>
            <w:tcBorders>
              <w:top w:val="nil"/>
              <w:left w:val="nil"/>
              <w:bottom w:val="nil"/>
              <w:right w:val="nil"/>
            </w:tcBorders>
            <w:shd w:val="clear" w:color="000000" w:fill="E6E6E6"/>
            <w:noWrap/>
            <w:vAlign w:val="bottom"/>
            <w:hideMark/>
          </w:tcPr>
          <w:p w14:paraId="05870CAF"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68</w:t>
            </w:r>
          </w:p>
        </w:tc>
        <w:tc>
          <w:tcPr>
            <w:tcW w:w="920" w:type="dxa"/>
            <w:tcBorders>
              <w:top w:val="nil"/>
              <w:left w:val="nil"/>
              <w:bottom w:val="nil"/>
              <w:right w:val="nil"/>
            </w:tcBorders>
            <w:shd w:val="clear" w:color="auto" w:fill="auto"/>
            <w:noWrap/>
            <w:vAlign w:val="bottom"/>
            <w:hideMark/>
          </w:tcPr>
          <w:p w14:paraId="28FE5903"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68</w:t>
            </w:r>
          </w:p>
        </w:tc>
        <w:tc>
          <w:tcPr>
            <w:tcW w:w="920" w:type="dxa"/>
            <w:tcBorders>
              <w:top w:val="nil"/>
              <w:left w:val="nil"/>
              <w:bottom w:val="nil"/>
              <w:right w:val="nil"/>
            </w:tcBorders>
            <w:shd w:val="clear" w:color="auto" w:fill="auto"/>
            <w:noWrap/>
            <w:vAlign w:val="bottom"/>
            <w:hideMark/>
          </w:tcPr>
          <w:p w14:paraId="40A98DD9"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68</w:t>
            </w:r>
          </w:p>
        </w:tc>
        <w:tc>
          <w:tcPr>
            <w:tcW w:w="848" w:type="dxa"/>
            <w:tcBorders>
              <w:top w:val="nil"/>
              <w:left w:val="nil"/>
              <w:bottom w:val="nil"/>
              <w:right w:val="nil"/>
            </w:tcBorders>
            <w:shd w:val="clear" w:color="auto" w:fill="auto"/>
            <w:noWrap/>
            <w:vAlign w:val="bottom"/>
            <w:hideMark/>
          </w:tcPr>
          <w:p w14:paraId="43B39BCB"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68</w:t>
            </w:r>
          </w:p>
        </w:tc>
      </w:tr>
      <w:tr w:rsidR="00752811" w:rsidRPr="00981B25" w14:paraId="56C2CEF1" w14:textId="77777777" w:rsidTr="00EB7ABD">
        <w:trPr>
          <w:trHeight w:val="204"/>
        </w:trPr>
        <w:tc>
          <w:tcPr>
            <w:tcW w:w="2977" w:type="dxa"/>
            <w:tcBorders>
              <w:top w:val="nil"/>
              <w:left w:val="nil"/>
              <w:bottom w:val="nil"/>
              <w:right w:val="nil"/>
            </w:tcBorders>
            <w:shd w:val="clear" w:color="auto" w:fill="auto"/>
            <w:noWrap/>
            <w:vAlign w:val="bottom"/>
            <w:hideMark/>
          </w:tcPr>
          <w:p w14:paraId="4B455EE8" w14:textId="77777777" w:rsidR="00752811" w:rsidRPr="00981B25" w:rsidRDefault="00752811" w:rsidP="006B4C13">
            <w:pPr>
              <w:spacing w:after="0" w:line="240" w:lineRule="auto"/>
              <w:ind w:left="113"/>
              <w:jc w:val="left"/>
              <w:rPr>
                <w:rFonts w:ascii="Arial" w:hAnsi="Arial" w:cs="Arial"/>
                <w:color w:val="000000"/>
                <w:sz w:val="16"/>
                <w:szCs w:val="16"/>
              </w:rPr>
            </w:pPr>
            <w:r w:rsidRPr="00EB7ABD">
              <w:rPr>
                <w:rFonts w:ascii="Arial" w:hAnsi="Arial" w:cs="Arial"/>
                <w:sz w:val="16"/>
                <w:szCs w:val="16"/>
              </w:rPr>
              <w:t>Other</w:t>
            </w:r>
            <w:r w:rsidRPr="00981B25">
              <w:rPr>
                <w:rFonts w:ascii="Arial" w:hAnsi="Arial" w:cs="Arial"/>
                <w:color w:val="000000"/>
                <w:sz w:val="16"/>
                <w:szCs w:val="16"/>
              </w:rPr>
              <w:t xml:space="preserve"> payables</w:t>
            </w:r>
          </w:p>
        </w:tc>
        <w:tc>
          <w:tcPr>
            <w:tcW w:w="928" w:type="dxa"/>
            <w:tcBorders>
              <w:top w:val="nil"/>
              <w:left w:val="nil"/>
              <w:bottom w:val="nil"/>
              <w:right w:val="nil"/>
            </w:tcBorders>
            <w:shd w:val="clear" w:color="auto" w:fill="auto"/>
            <w:noWrap/>
            <w:vAlign w:val="bottom"/>
            <w:hideMark/>
          </w:tcPr>
          <w:p w14:paraId="3F56CD1D"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11</w:t>
            </w:r>
          </w:p>
        </w:tc>
        <w:tc>
          <w:tcPr>
            <w:tcW w:w="920" w:type="dxa"/>
            <w:tcBorders>
              <w:top w:val="nil"/>
              <w:left w:val="nil"/>
              <w:bottom w:val="nil"/>
              <w:right w:val="nil"/>
            </w:tcBorders>
            <w:shd w:val="clear" w:color="000000" w:fill="E6E6E6"/>
            <w:noWrap/>
            <w:vAlign w:val="bottom"/>
            <w:hideMark/>
          </w:tcPr>
          <w:p w14:paraId="00079B6B"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11</w:t>
            </w:r>
          </w:p>
        </w:tc>
        <w:tc>
          <w:tcPr>
            <w:tcW w:w="920" w:type="dxa"/>
            <w:tcBorders>
              <w:top w:val="nil"/>
              <w:left w:val="nil"/>
              <w:bottom w:val="nil"/>
              <w:right w:val="nil"/>
            </w:tcBorders>
            <w:shd w:val="clear" w:color="auto" w:fill="auto"/>
            <w:noWrap/>
            <w:vAlign w:val="bottom"/>
            <w:hideMark/>
          </w:tcPr>
          <w:p w14:paraId="3EE20F18"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11</w:t>
            </w:r>
          </w:p>
        </w:tc>
        <w:tc>
          <w:tcPr>
            <w:tcW w:w="920" w:type="dxa"/>
            <w:tcBorders>
              <w:top w:val="nil"/>
              <w:left w:val="nil"/>
              <w:bottom w:val="nil"/>
              <w:right w:val="nil"/>
            </w:tcBorders>
            <w:shd w:val="clear" w:color="auto" w:fill="auto"/>
            <w:noWrap/>
            <w:vAlign w:val="bottom"/>
            <w:hideMark/>
          </w:tcPr>
          <w:p w14:paraId="0169E08B"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11</w:t>
            </w:r>
          </w:p>
        </w:tc>
        <w:tc>
          <w:tcPr>
            <w:tcW w:w="848" w:type="dxa"/>
            <w:tcBorders>
              <w:top w:val="nil"/>
              <w:left w:val="nil"/>
              <w:bottom w:val="nil"/>
              <w:right w:val="nil"/>
            </w:tcBorders>
            <w:shd w:val="clear" w:color="auto" w:fill="auto"/>
            <w:noWrap/>
            <w:vAlign w:val="bottom"/>
            <w:hideMark/>
          </w:tcPr>
          <w:p w14:paraId="55D7E6EC"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11</w:t>
            </w:r>
          </w:p>
        </w:tc>
      </w:tr>
      <w:tr w:rsidR="00752811" w:rsidRPr="00981B25" w14:paraId="0BB77061" w14:textId="77777777" w:rsidTr="00EB7ABD">
        <w:trPr>
          <w:trHeight w:val="204"/>
        </w:trPr>
        <w:tc>
          <w:tcPr>
            <w:tcW w:w="2977" w:type="dxa"/>
            <w:tcBorders>
              <w:top w:val="nil"/>
              <w:left w:val="nil"/>
              <w:bottom w:val="nil"/>
              <w:right w:val="nil"/>
            </w:tcBorders>
            <w:shd w:val="clear" w:color="auto" w:fill="auto"/>
            <w:noWrap/>
            <w:vAlign w:val="bottom"/>
            <w:hideMark/>
          </w:tcPr>
          <w:p w14:paraId="0A89C560" w14:textId="77777777" w:rsidR="00752811" w:rsidRPr="00981B25" w:rsidRDefault="00752811" w:rsidP="00333C84">
            <w:pPr>
              <w:spacing w:after="0" w:line="240" w:lineRule="auto"/>
              <w:jc w:val="left"/>
              <w:rPr>
                <w:rFonts w:ascii="Arial" w:hAnsi="Arial" w:cs="Arial"/>
                <w:b/>
                <w:bCs/>
                <w:i/>
                <w:iCs/>
                <w:color w:val="000000"/>
                <w:sz w:val="16"/>
                <w:szCs w:val="16"/>
              </w:rPr>
            </w:pPr>
            <w:r w:rsidRPr="00981B25">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6265B4D6"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79</w:t>
            </w:r>
          </w:p>
        </w:tc>
        <w:tc>
          <w:tcPr>
            <w:tcW w:w="920" w:type="dxa"/>
            <w:tcBorders>
              <w:top w:val="single" w:sz="4" w:space="0" w:color="000000"/>
              <w:left w:val="nil"/>
              <w:bottom w:val="single" w:sz="4" w:space="0" w:color="000000"/>
              <w:right w:val="nil"/>
            </w:tcBorders>
            <w:shd w:val="clear" w:color="000000" w:fill="E6E6E6"/>
            <w:noWrap/>
            <w:vAlign w:val="bottom"/>
            <w:hideMark/>
          </w:tcPr>
          <w:p w14:paraId="72D76216"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79</w:t>
            </w:r>
          </w:p>
        </w:tc>
        <w:tc>
          <w:tcPr>
            <w:tcW w:w="920" w:type="dxa"/>
            <w:tcBorders>
              <w:top w:val="single" w:sz="4" w:space="0" w:color="000000"/>
              <w:left w:val="nil"/>
              <w:bottom w:val="single" w:sz="4" w:space="0" w:color="000000"/>
              <w:right w:val="nil"/>
            </w:tcBorders>
            <w:shd w:val="clear" w:color="auto" w:fill="auto"/>
            <w:noWrap/>
            <w:vAlign w:val="bottom"/>
            <w:hideMark/>
          </w:tcPr>
          <w:p w14:paraId="4BDAD8DB"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79</w:t>
            </w:r>
          </w:p>
        </w:tc>
        <w:tc>
          <w:tcPr>
            <w:tcW w:w="920" w:type="dxa"/>
            <w:tcBorders>
              <w:top w:val="single" w:sz="4" w:space="0" w:color="000000"/>
              <w:left w:val="nil"/>
              <w:bottom w:val="single" w:sz="4" w:space="0" w:color="000000"/>
              <w:right w:val="nil"/>
            </w:tcBorders>
            <w:shd w:val="clear" w:color="auto" w:fill="auto"/>
            <w:noWrap/>
            <w:vAlign w:val="bottom"/>
            <w:hideMark/>
          </w:tcPr>
          <w:p w14:paraId="25BE34EF"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79</w:t>
            </w:r>
          </w:p>
        </w:tc>
        <w:tc>
          <w:tcPr>
            <w:tcW w:w="848" w:type="dxa"/>
            <w:tcBorders>
              <w:top w:val="single" w:sz="4" w:space="0" w:color="000000"/>
              <w:left w:val="nil"/>
              <w:bottom w:val="single" w:sz="4" w:space="0" w:color="000000"/>
              <w:right w:val="nil"/>
            </w:tcBorders>
            <w:shd w:val="clear" w:color="auto" w:fill="auto"/>
            <w:noWrap/>
            <w:vAlign w:val="bottom"/>
            <w:hideMark/>
          </w:tcPr>
          <w:p w14:paraId="0D017378"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79</w:t>
            </w:r>
          </w:p>
        </w:tc>
      </w:tr>
      <w:tr w:rsidR="00752811" w:rsidRPr="00981B25" w14:paraId="0FC514BB" w14:textId="77777777" w:rsidTr="00EB7ABD">
        <w:trPr>
          <w:trHeight w:val="204"/>
        </w:trPr>
        <w:tc>
          <w:tcPr>
            <w:tcW w:w="2977" w:type="dxa"/>
            <w:tcBorders>
              <w:top w:val="nil"/>
              <w:left w:val="nil"/>
              <w:bottom w:val="nil"/>
              <w:right w:val="nil"/>
            </w:tcBorders>
            <w:shd w:val="clear" w:color="auto" w:fill="auto"/>
            <w:noWrap/>
            <w:vAlign w:val="bottom"/>
            <w:hideMark/>
          </w:tcPr>
          <w:p w14:paraId="175EEC0B"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2F921B51" w14:textId="77777777" w:rsidR="00752811" w:rsidRPr="00EB7ABD"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132ECA8B"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51D015A"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4C99EC7" w14:textId="77777777" w:rsidR="00752811" w:rsidRPr="00EB7ABD" w:rsidRDefault="00752811" w:rsidP="00333C84">
            <w:pPr>
              <w:spacing w:after="0" w:line="240" w:lineRule="auto"/>
              <w:jc w:val="right"/>
              <w:rPr>
                <w:rFonts w:ascii="Times New Roman" w:hAnsi="Times New Roman"/>
                <w:sz w:val="16"/>
                <w:szCs w:val="16"/>
              </w:rPr>
            </w:pPr>
          </w:p>
        </w:tc>
        <w:tc>
          <w:tcPr>
            <w:tcW w:w="848" w:type="dxa"/>
            <w:tcBorders>
              <w:top w:val="nil"/>
              <w:left w:val="nil"/>
              <w:bottom w:val="nil"/>
              <w:right w:val="nil"/>
            </w:tcBorders>
            <w:shd w:val="clear" w:color="auto" w:fill="auto"/>
            <w:noWrap/>
            <w:vAlign w:val="bottom"/>
            <w:hideMark/>
          </w:tcPr>
          <w:p w14:paraId="05DD2445" w14:textId="77777777" w:rsidR="00752811" w:rsidRPr="00EB7ABD" w:rsidRDefault="00752811" w:rsidP="00333C84">
            <w:pPr>
              <w:spacing w:after="0" w:line="240" w:lineRule="auto"/>
              <w:jc w:val="right"/>
              <w:rPr>
                <w:rFonts w:ascii="Times New Roman" w:hAnsi="Times New Roman"/>
                <w:sz w:val="16"/>
                <w:szCs w:val="16"/>
              </w:rPr>
            </w:pPr>
          </w:p>
        </w:tc>
      </w:tr>
      <w:tr w:rsidR="00752811" w:rsidRPr="00981B25" w14:paraId="190316E2" w14:textId="77777777" w:rsidTr="00EB7ABD">
        <w:trPr>
          <w:trHeight w:val="204"/>
        </w:trPr>
        <w:tc>
          <w:tcPr>
            <w:tcW w:w="2977" w:type="dxa"/>
            <w:tcBorders>
              <w:top w:val="nil"/>
              <w:left w:val="nil"/>
              <w:bottom w:val="nil"/>
              <w:right w:val="nil"/>
            </w:tcBorders>
            <w:shd w:val="clear" w:color="auto" w:fill="auto"/>
            <w:noWrap/>
            <w:vAlign w:val="bottom"/>
            <w:hideMark/>
          </w:tcPr>
          <w:p w14:paraId="16B8FD1D" w14:textId="77777777" w:rsidR="00752811" w:rsidRPr="00981B25" w:rsidRDefault="00752811" w:rsidP="006B4C13">
            <w:pPr>
              <w:spacing w:after="0" w:line="240" w:lineRule="auto"/>
              <w:ind w:left="113"/>
              <w:jc w:val="left"/>
              <w:rPr>
                <w:rFonts w:ascii="Arial" w:hAnsi="Arial" w:cs="Arial"/>
                <w:color w:val="000000"/>
                <w:sz w:val="16"/>
                <w:szCs w:val="16"/>
              </w:rPr>
            </w:pPr>
            <w:r w:rsidRPr="00EB7ABD">
              <w:rPr>
                <w:rFonts w:ascii="Arial" w:hAnsi="Arial" w:cs="Arial"/>
                <w:sz w:val="16"/>
                <w:szCs w:val="16"/>
              </w:rPr>
              <w:t>Employee</w:t>
            </w:r>
            <w:r w:rsidRPr="00981B25">
              <w:rPr>
                <w:rFonts w:ascii="Arial" w:hAnsi="Arial" w:cs="Arial"/>
                <w:color w:val="000000"/>
                <w:sz w:val="16"/>
                <w:szCs w:val="16"/>
              </w:rPr>
              <w:t xml:space="preserve"> provisions</w:t>
            </w:r>
          </w:p>
        </w:tc>
        <w:tc>
          <w:tcPr>
            <w:tcW w:w="928" w:type="dxa"/>
            <w:tcBorders>
              <w:top w:val="nil"/>
              <w:left w:val="nil"/>
              <w:bottom w:val="nil"/>
              <w:right w:val="nil"/>
            </w:tcBorders>
            <w:shd w:val="clear" w:color="auto" w:fill="auto"/>
            <w:noWrap/>
            <w:vAlign w:val="bottom"/>
            <w:hideMark/>
          </w:tcPr>
          <w:p w14:paraId="51D2F755"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147</w:t>
            </w:r>
          </w:p>
        </w:tc>
        <w:tc>
          <w:tcPr>
            <w:tcW w:w="920" w:type="dxa"/>
            <w:tcBorders>
              <w:top w:val="nil"/>
              <w:left w:val="nil"/>
              <w:bottom w:val="nil"/>
              <w:right w:val="nil"/>
            </w:tcBorders>
            <w:shd w:val="clear" w:color="000000" w:fill="E6E6E6"/>
            <w:noWrap/>
            <w:vAlign w:val="bottom"/>
            <w:hideMark/>
          </w:tcPr>
          <w:p w14:paraId="256761C1"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147</w:t>
            </w:r>
          </w:p>
        </w:tc>
        <w:tc>
          <w:tcPr>
            <w:tcW w:w="920" w:type="dxa"/>
            <w:tcBorders>
              <w:top w:val="nil"/>
              <w:left w:val="nil"/>
              <w:bottom w:val="nil"/>
              <w:right w:val="nil"/>
            </w:tcBorders>
            <w:shd w:val="clear" w:color="auto" w:fill="auto"/>
            <w:noWrap/>
            <w:vAlign w:val="bottom"/>
            <w:hideMark/>
          </w:tcPr>
          <w:p w14:paraId="0A1DF5D8"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147</w:t>
            </w:r>
          </w:p>
        </w:tc>
        <w:tc>
          <w:tcPr>
            <w:tcW w:w="920" w:type="dxa"/>
            <w:tcBorders>
              <w:top w:val="nil"/>
              <w:left w:val="nil"/>
              <w:bottom w:val="nil"/>
              <w:right w:val="nil"/>
            </w:tcBorders>
            <w:shd w:val="clear" w:color="auto" w:fill="auto"/>
            <w:noWrap/>
            <w:vAlign w:val="bottom"/>
            <w:hideMark/>
          </w:tcPr>
          <w:p w14:paraId="3A6D12F2"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147</w:t>
            </w:r>
          </w:p>
        </w:tc>
        <w:tc>
          <w:tcPr>
            <w:tcW w:w="848" w:type="dxa"/>
            <w:tcBorders>
              <w:top w:val="nil"/>
              <w:left w:val="nil"/>
              <w:bottom w:val="nil"/>
              <w:right w:val="nil"/>
            </w:tcBorders>
            <w:shd w:val="clear" w:color="auto" w:fill="auto"/>
            <w:noWrap/>
            <w:vAlign w:val="bottom"/>
            <w:hideMark/>
          </w:tcPr>
          <w:p w14:paraId="057C9F97"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147</w:t>
            </w:r>
          </w:p>
        </w:tc>
      </w:tr>
      <w:tr w:rsidR="00752811" w:rsidRPr="00981B25" w14:paraId="608644D7" w14:textId="77777777" w:rsidTr="00EB7ABD">
        <w:trPr>
          <w:trHeight w:val="204"/>
        </w:trPr>
        <w:tc>
          <w:tcPr>
            <w:tcW w:w="2977" w:type="dxa"/>
            <w:tcBorders>
              <w:top w:val="nil"/>
              <w:left w:val="nil"/>
              <w:bottom w:val="nil"/>
              <w:right w:val="nil"/>
            </w:tcBorders>
            <w:shd w:val="clear" w:color="auto" w:fill="auto"/>
            <w:noWrap/>
            <w:vAlign w:val="bottom"/>
            <w:hideMark/>
          </w:tcPr>
          <w:p w14:paraId="2691AA54" w14:textId="77777777" w:rsidR="00752811" w:rsidRPr="00981B25" w:rsidRDefault="00752811" w:rsidP="00333C84">
            <w:pPr>
              <w:spacing w:after="0" w:line="240" w:lineRule="auto"/>
              <w:jc w:val="left"/>
              <w:rPr>
                <w:rFonts w:ascii="Arial" w:hAnsi="Arial" w:cs="Arial"/>
                <w:b/>
                <w:bCs/>
                <w:i/>
                <w:iCs/>
                <w:color w:val="000000"/>
                <w:sz w:val="16"/>
                <w:szCs w:val="16"/>
              </w:rPr>
            </w:pPr>
            <w:r w:rsidRPr="00981B25">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3D402445"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147</w:t>
            </w:r>
          </w:p>
        </w:tc>
        <w:tc>
          <w:tcPr>
            <w:tcW w:w="920" w:type="dxa"/>
            <w:tcBorders>
              <w:top w:val="single" w:sz="4" w:space="0" w:color="000000"/>
              <w:left w:val="nil"/>
              <w:bottom w:val="single" w:sz="4" w:space="0" w:color="000000"/>
              <w:right w:val="nil"/>
            </w:tcBorders>
            <w:shd w:val="clear" w:color="000000" w:fill="E6E6E6"/>
            <w:noWrap/>
            <w:vAlign w:val="bottom"/>
            <w:hideMark/>
          </w:tcPr>
          <w:p w14:paraId="60BC370B"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147</w:t>
            </w:r>
          </w:p>
        </w:tc>
        <w:tc>
          <w:tcPr>
            <w:tcW w:w="920" w:type="dxa"/>
            <w:tcBorders>
              <w:top w:val="single" w:sz="4" w:space="0" w:color="000000"/>
              <w:left w:val="nil"/>
              <w:bottom w:val="single" w:sz="4" w:space="0" w:color="000000"/>
              <w:right w:val="nil"/>
            </w:tcBorders>
            <w:shd w:val="clear" w:color="auto" w:fill="auto"/>
            <w:noWrap/>
            <w:vAlign w:val="bottom"/>
            <w:hideMark/>
          </w:tcPr>
          <w:p w14:paraId="2F9881E1"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147</w:t>
            </w:r>
          </w:p>
        </w:tc>
        <w:tc>
          <w:tcPr>
            <w:tcW w:w="920" w:type="dxa"/>
            <w:tcBorders>
              <w:top w:val="single" w:sz="4" w:space="0" w:color="000000"/>
              <w:left w:val="nil"/>
              <w:bottom w:val="single" w:sz="4" w:space="0" w:color="000000"/>
              <w:right w:val="nil"/>
            </w:tcBorders>
            <w:shd w:val="clear" w:color="auto" w:fill="auto"/>
            <w:noWrap/>
            <w:vAlign w:val="bottom"/>
            <w:hideMark/>
          </w:tcPr>
          <w:p w14:paraId="08BB6943"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147</w:t>
            </w:r>
          </w:p>
        </w:tc>
        <w:tc>
          <w:tcPr>
            <w:tcW w:w="848" w:type="dxa"/>
            <w:tcBorders>
              <w:top w:val="single" w:sz="4" w:space="0" w:color="000000"/>
              <w:left w:val="nil"/>
              <w:bottom w:val="single" w:sz="4" w:space="0" w:color="000000"/>
              <w:right w:val="nil"/>
            </w:tcBorders>
            <w:shd w:val="clear" w:color="auto" w:fill="auto"/>
            <w:noWrap/>
            <w:vAlign w:val="bottom"/>
            <w:hideMark/>
          </w:tcPr>
          <w:p w14:paraId="18C1DE9F"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color w:val="000000"/>
                <w:sz w:val="16"/>
                <w:szCs w:val="16"/>
              </w:rPr>
              <w:t>147</w:t>
            </w:r>
          </w:p>
        </w:tc>
      </w:tr>
      <w:tr w:rsidR="00752811" w:rsidRPr="00981B25" w14:paraId="6CB17D2F" w14:textId="77777777" w:rsidTr="00EB7ABD">
        <w:trPr>
          <w:trHeight w:val="204"/>
        </w:trPr>
        <w:tc>
          <w:tcPr>
            <w:tcW w:w="2977" w:type="dxa"/>
            <w:tcBorders>
              <w:top w:val="nil"/>
              <w:left w:val="nil"/>
              <w:right w:val="nil"/>
            </w:tcBorders>
            <w:shd w:val="clear" w:color="auto" w:fill="auto"/>
            <w:noWrap/>
            <w:vAlign w:val="bottom"/>
            <w:hideMark/>
          </w:tcPr>
          <w:p w14:paraId="1A0BC619"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50BB6654"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226</w:t>
            </w:r>
          </w:p>
        </w:tc>
        <w:tc>
          <w:tcPr>
            <w:tcW w:w="920" w:type="dxa"/>
            <w:tcBorders>
              <w:top w:val="single" w:sz="4" w:space="0" w:color="auto"/>
              <w:left w:val="nil"/>
              <w:bottom w:val="single" w:sz="4" w:space="0" w:color="auto"/>
              <w:right w:val="nil"/>
            </w:tcBorders>
            <w:shd w:val="clear" w:color="000000" w:fill="E6E6E6"/>
            <w:noWrap/>
            <w:vAlign w:val="bottom"/>
            <w:hideMark/>
          </w:tcPr>
          <w:p w14:paraId="405175AA"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226</w:t>
            </w:r>
          </w:p>
        </w:tc>
        <w:tc>
          <w:tcPr>
            <w:tcW w:w="920" w:type="dxa"/>
            <w:tcBorders>
              <w:top w:val="single" w:sz="4" w:space="0" w:color="auto"/>
              <w:left w:val="nil"/>
              <w:bottom w:val="single" w:sz="4" w:space="0" w:color="auto"/>
              <w:right w:val="nil"/>
            </w:tcBorders>
            <w:shd w:val="clear" w:color="auto" w:fill="auto"/>
            <w:noWrap/>
            <w:vAlign w:val="bottom"/>
            <w:hideMark/>
          </w:tcPr>
          <w:p w14:paraId="101BC9BC"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226</w:t>
            </w:r>
          </w:p>
        </w:tc>
        <w:tc>
          <w:tcPr>
            <w:tcW w:w="920" w:type="dxa"/>
            <w:tcBorders>
              <w:top w:val="single" w:sz="4" w:space="0" w:color="auto"/>
              <w:left w:val="nil"/>
              <w:bottom w:val="single" w:sz="4" w:space="0" w:color="auto"/>
              <w:right w:val="nil"/>
            </w:tcBorders>
            <w:shd w:val="clear" w:color="auto" w:fill="auto"/>
            <w:noWrap/>
            <w:vAlign w:val="bottom"/>
            <w:hideMark/>
          </w:tcPr>
          <w:p w14:paraId="1516F602"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226</w:t>
            </w:r>
          </w:p>
        </w:tc>
        <w:tc>
          <w:tcPr>
            <w:tcW w:w="848" w:type="dxa"/>
            <w:tcBorders>
              <w:top w:val="single" w:sz="4" w:space="0" w:color="auto"/>
              <w:left w:val="nil"/>
              <w:bottom w:val="single" w:sz="4" w:space="0" w:color="auto"/>
              <w:right w:val="nil"/>
            </w:tcBorders>
            <w:shd w:val="clear" w:color="auto" w:fill="auto"/>
            <w:noWrap/>
            <w:vAlign w:val="bottom"/>
            <w:hideMark/>
          </w:tcPr>
          <w:p w14:paraId="2CE873DC"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226</w:t>
            </w:r>
          </w:p>
        </w:tc>
      </w:tr>
      <w:tr w:rsidR="00752811" w:rsidRPr="00981B25" w14:paraId="600AABE1" w14:textId="77777777" w:rsidTr="00EB7ABD">
        <w:trPr>
          <w:trHeight w:val="204"/>
        </w:trPr>
        <w:tc>
          <w:tcPr>
            <w:tcW w:w="2977" w:type="dxa"/>
            <w:tcBorders>
              <w:top w:val="nil"/>
              <w:left w:val="nil"/>
              <w:right w:val="nil"/>
            </w:tcBorders>
            <w:shd w:val="clear" w:color="auto" w:fill="auto"/>
            <w:noWrap/>
            <w:vAlign w:val="bottom"/>
            <w:hideMark/>
          </w:tcPr>
          <w:p w14:paraId="701C721A" w14:textId="77777777" w:rsidR="00752811" w:rsidRPr="00981B25" w:rsidRDefault="00752811" w:rsidP="00333C84">
            <w:pPr>
              <w:spacing w:after="0" w:line="240" w:lineRule="auto"/>
              <w:jc w:val="left"/>
              <w:rPr>
                <w:rFonts w:ascii="Arial" w:hAnsi="Arial" w:cs="Arial"/>
                <w:b/>
                <w:bCs/>
                <w:sz w:val="16"/>
                <w:szCs w:val="16"/>
              </w:rPr>
            </w:pPr>
            <w:r w:rsidRPr="00981B25">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0E523D5E"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c>
          <w:tcPr>
            <w:tcW w:w="920" w:type="dxa"/>
            <w:tcBorders>
              <w:top w:val="nil"/>
              <w:left w:val="nil"/>
              <w:bottom w:val="single" w:sz="4" w:space="0" w:color="auto"/>
              <w:right w:val="nil"/>
            </w:tcBorders>
            <w:shd w:val="clear" w:color="000000" w:fill="E6E6E6"/>
            <w:noWrap/>
            <w:vAlign w:val="bottom"/>
            <w:hideMark/>
          </w:tcPr>
          <w:p w14:paraId="0409049C"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c>
          <w:tcPr>
            <w:tcW w:w="920" w:type="dxa"/>
            <w:tcBorders>
              <w:top w:val="nil"/>
              <w:left w:val="nil"/>
              <w:bottom w:val="single" w:sz="4" w:space="0" w:color="auto"/>
              <w:right w:val="nil"/>
            </w:tcBorders>
            <w:shd w:val="clear" w:color="auto" w:fill="auto"/>
            <w:noWrap/>
            <w:vAlign w:val="bottom"/>
            <w:hideMark/>
          </w:tcPr>
          <w:p w14:paraId="690296C2"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c>
          <w:tcPr>
            <w:tcW w:w="920" w:type="dxa"/>
            <w:tcBorders>
              <w:top w:val="nil"/>
              <w:left w:val="nil"/>
              <w:bottom w:val="single" w:sz="4" w:space="0" w:color="auto"/>
              <w:right w:val="nil"/>
            </w:tcBorders>
            <w:shd w:val="clear" w:color="auto" w:fill="auto"/>
            <w:noWrap/>
            <w:vAlign w:val="bottom"/>
            <w:hideMark/>
          </w:tcPr>
          <w:p w14:paraId="235E7243"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c>
          <w:tcPr>
            <w:tcW w:w="848" w:type="dxa"/>
            <w:tcBorders>
              <w:top w:val="nil"/>
              <w:left w:val="nil"/>
              <w:bottom w:val="single" w:sz="4" w:space="0" w:color="auto"/>
              <w:right w:val="nil"/>
            </w:tcBorders>
            <w:shd w:val="clear" w:color="auto" w:fill="auto"/>
            <w:noWrap/>
            <w:vAlign w:val="bottom"/>
            <w:hideMark/>
          </w:tcPr>
          <w:p w14:paraId="79522963"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r>
      <w:tr w:rsidR="00752811" w:rsidRPr="00981B25" w14:paraId="2DAAC0C7" w14:textId="77777777" w:rsidTr="00EB7ABD">
        <w:trPr>
          <w:trHeight w:val="204"/>
        </w:trPr>
        <w:tc>
          <w:tcPr>
            <w:tcW w:w="2977" w:type="dxa"/>
            <w:tcBorders>
              <w:left w:val="nil"/>
              <w:bottom w:val="nil"/>
              <w:right w:val="nil"/>
            </w:tcBorders>
            <w:shd w:val="clear" w:color="auto" w:fill="auto"/>
            <w:noWrap/>
            <w:vAlign w:val="bottom"/>
            <w:hideMark/>
          </w:tcPr>
          <w:p w14:paraId="1470CCC1" w14:textId="4B47259A" w:rsidR="00752811" w:rsidRPr="00981B25" w:rsidRDefault="003C3202" w:rsidP="00333C84">
            <w:pPr>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466BBED0" w14:textId="77777777" w:rsidR="00752811" w:rsidRPr="00EB7ABD"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2E83FBF8"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18661ABC"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201C5645" w14:textId="77777777" w:rsidR="00752811" w:rsidRPr="00EB7ABD" w:rsidRDefault="00752811" w:rsidP="00333C84">
            <w:pPr>
              <w:spacing w:after="0" w:line="240" w:lineRule="auto"/>
              <w:jc w:val="right"/>
              <w:rPr>
                <w:rFonts w:ascii="Times New Roman" w:hAnsi="Times New Roman"/>
                <w:sz w:val="16"/>
                <w:szCs w:val="16"/>
              </w:rPr>
            </w:pPr>
          </w:p>
        </w:tc>
        <w:tc>
          <w:tcPr>
            <w:tcW w:w="848" w:type="dxa"/>
            <w:tcBorders>
              <w:top w:val="nil"/>
              <w:left w:val="nil"/>
              <w:bottom w:val="nil"/>
              <w:right w:val="nil"/>
            </w:tcBorders>
            <w:shd w:val="clear" w:color="auto" w:fill="auto"/>
            <w:noWrap/>
            <w:vAlign w:val="bottom"/>
            <w:hideMark/>
          </w:tcPr>
          <w:p w14:paraId="7A2662D7" w14:textId="77777777" w:rsidR="00752811" w:rsidRPr="00EB7ABD" w:rsidRDefault="00752811" w:rsidP="00333C84">
            <w:pPr>
              <w:spacing w:after="0" w:line="240" w:lineRule="auto"/>
              <w:jc w:val="right"/>
              <w:rPr>
                <w:rFonts w:ascii="Times New Roman" w:hAnsi="Times New Roman"/>
                <w:sz w:val="16"/>
                <w:szCs w:val="16"/>
              </w:rPr>
            </w:pPr>
          </w:p>
        </w:tc>
      </w:tr>
      <w:tr w:rsidR="00752811" w:rsidRPr="00981B25" w14:paraId="006C8F0F" w14:textId="77777777" w:rsidTr="00EB7ABD">
        <w:trPr>
          <w:trHeight w:val="204"/>
        </w:trPr>
        <w:tc>
          <w:tcPr>
            <w:tcW w:w="2977" w:type="dxa"/>
            <w:tcBorders>
              <w:top w:val="nil"/>
              <w:left w:val="nil"/>
              <w:bottom w:val="nil"/>
              <w:right w:val="nil"/>
            </w:tcBorders>
            <w:shd w:val="clear" w:color="auto" w:fill="auto"/>
            <w:noWrap/>
            <w:vAlign w:val="bottom"/>
            <w:hideMark/>
          </w:tcPr>
          <w:p w14:paraId="0AB250B6"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75CF155B" w14:textId="77777777" w:rsidR="00752811" w:rsidRPr="00EB7ABD" w:rsidRDefault="00752811" w:rsidP="00333C84">
            <w:pPr>
              <w:spacing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bottom"/>
            <w:hideMark/>
          </w:tcPr>
          <w:p w14:paraId="24732997"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10F3E20" w14:textId="77777777" w:rsidR="00752811" w:rsidRPr="00EB7ABD" w:rsidRDefault="00752811" w:rsidP="00333C84">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0CF3B45" w14:textId="77777777" w:rsidR="00752811" w:rsidRPr="00EB7ABD" w:rsidRDefault="00752811" w:rsidP="00333C84">
            <w:pPr>
              <w:spacing w:after="0" w:line="240" w:lineRule="auto"/>
              <w:jc w:val="right"/>
              <w:rPr>
                <w:rFonts w:ascii="Times New Roman" w:hAnsi="Times New Roman"/>
                <w:sz w:val="16"/>
                <w:szCs w:val="16"/>
              </w:rPr>
            </w:pPr>
          </w:p>
        </w:tc>
        <w:tc>
          <w:tcPr>
            <w:tcW w:w="848" w:type="dxa"/>
            <w:tcBorders>
              <w:top w:val="nil"/>
              <w:left w:val="nil"/>
              <w:bottom w:val="nil"/>
              <w:right w:val="nil"/>
            </w:tcBorders>
            <w:shd w:val="clear" w:color="auto" w:fill="auto"/>
            <w:noWrap/>
            <w:vAlign w:val="bottom"/>
            <w:hideMark/>
          </w:tcPr>
          <w:p w14:paraId="5921CAC3" w14:textId="77777777" w:rsidR="00752811" w:rsidRPr="00EB7ABD" w:rsidRDefault="00752811" w:rsidP="00333C84">
            <w:pPr>
              <w:spacing w:after="0" w:line="240" w:lineRule="auto"/>
              <w:jc w:val="right"/>
              <w:rPr>
                <w:rFonts w:ascii="Times New Roman" w:hAnsi="Times New Roman"/>
                <w:sz w:val="16"/>
                <w:szCs w:val="16"/>
              </w:rPr>
            </w:pPr>
          </w:p>
        </w:tc>
      </w:tr>
      <w:tr w:rsidR="00752811" w:rsidRPr="00981B25" w14:paraId="3B88CDF0" w14:textId="77777777" w:rsidTr="00EB7ABD">
        <w:trPr>
          <w:trHeight w:val="204"/>
        </w:trPr>
        <w:tc>
          <w:tcPr>
            <w:tcW w:w="2977" w:type="dxa"/>
            <w:tcBorders>
              <w:top w:val="nil"/>
              <w:left w:val="nil"/>
              <w:bottom w:val="nil"/>
              <w:right w:val="nil"/>
            </w:tcBorders>
            <w:shd w:val="clear" w:color="auto" w:fill="auto"/>
            <w:vAlign w:val="bottom"/>
            <w:hideMark/>
          </w:tcPr>
          <w:p w14:paraId="5FB8DB5C" w14:textId="77777777" w:rsidR="00752811" w:rsidRPr="00981B25" w:rsidRDefault="00752811" w:rsidP="006B4C13">
            <w:pPr>
              <w:spacing w:after="0" w:line="240" w:lineRule="auto"/>
              <w:ind w:left="113"/>
              <w:jc w:val="left"/>
              <w:rPr>
                <w:rFonts w:ascii="Arial" w:hAnsi="Arial" w:cs="Arial"/>
                <w:color w:val="000000"/>
                <w:sz w:val="16"/>
                <w:szCs w:val="16"/>
              </w:rPr>
            </w:pPr>
            <w:r w:rsidRPr="00981B25">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51C43901"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1,966</w:t>
            </w:r>
          </w:p>
        </w:tc>
        <w:tc>
          <w:tcPr>
            <w:tcW w:w="920" w:type="dxa"/>
            <w:tcBorders>
              <w:top w:val="nil"/>
              <w:left w:val="nil"/>
              <w:bottom w:val="nil"/>
              <w:right w:val="nil"/>
            </w:tcBorders>
            <w:shd w:val="clear" w:color="000000" w:fill="E6E6E6"/>
            <w:noWrap/>
            <w:vAlign w:val="bottom"/>
            <w:hideMark/>
          </w:tcPr>
          <w:p w14:paraId="6FCBC5D5"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1,966</w:t>
            </w:r>
          </w:p>
        </w:tc>
        <w:tc>
          <w:tcPr>
            <w:tcW w:w="920" w:type="dxa"/>
            <w:tcBorders>
              <w:top w:val="nil"/>
              <w:left w:val="nil"/>
              <w:bottom w:val="nil"/>
              <w:right w:val="nil"/>
            </w:tcBorders>
            <w:shd w:val="clear" w:color="auto" w:fill="auto"/>
            <w:noWrap/>
            <w:vAlign w:val="bottom"/>
            <w:hideMark/>
          </w:tcPr>
          <w:p w14:paraId="777180D9"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1,966</w:t>
            </w:r>
          </w:p>
        </w:tc>
        <w:tc>
          <w:tcPr>
            <w:tcW w:w="920" w:type="dxa"/>
            <w:tcBorders>
              <w:top w:val="nil"/>
              <w:left w:val="nil"/>
              <w:bottom w:val="nil"/>
              <w:right w:val="nil"/>
            </w:tcBorders>
            <w:shd w:val="clear" w:color="auto" w:fill="auto"/>
            <w:noWrap/>
            <w:vAlign w:val="bottom"/>
            <w:hideMark/>
          </w:tcPr>
          <w:p w14:paraId="58690A6E"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1,966</w:t>
            </w:r>
          </w:p>
        </w:tc>
        <w:tc>
          <w:tcPr>
            <w:tcW w:w="848" w:type="dxa"/>
            <w:tcBorders>
              <w:top w:val="nil"/>
              <w:left w:val="nil"/>
              <w:bottom w:val="nil"/>
              <w:right w:val="nil"/>
            </w:tcBorders>
            <w:shd w:val="clear" w:color="auto" w:fill="auto"/>
            <w:noWrap/>
            <w:vAlign w:val="bottom"/>
            <w:hideMark/>
          </w:tcPr>
          <w:p w14:paraId="50C1F2B4"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1,966</w:t>
            </w:r>
          </w:p>
        </w:tc>
      </w:tr>
      <w:tr w:rsidR="00752811" w:rsidRPr="00981B25" w14:paraId="53474431" w14:textId="77777777" w:rsidTr="00EB7ABD">
        <w:trPr>
          <w:trHeight w:val="204"/>
        </w:trPr>
        <w:tc>
          <w:tcPr>
            <w:tcW w:w="2977" w:type="dxa"/>
            <w:tcBorders>
              <w:top w:val="nil"/>
              <w:left w:val="nil"/>
              <w:bottom w:val="nil"/>
              <w:right w:val="nil"/>
            </w:tcBorders>
            <w:shd w:val="clear" w:color="auto" w:fill="auto"/>
            <w:noWrap/>
            <w:vAlign w:val="bottom"/>
            <w:hideMark/>
          </w:tcPr>
          <w:p w14:paraId="0A515545" w14:textId="77777777" w:rsidR="00752811" w:rsidRPr="00981B25" w:rsidRDefault="00752811" w:rsidP="00333C84">
            <w:pPr>
              <w:spacing w:after="0" w:line="240" w:lineRule="auto"/>
              <w:jc w:val="left"/>
              <w:rPr>
                <w:rFonts w:ascii="Arial" w:hAnsi="Arial" w:cs="Arial"/>
                <w:b/>
                <w:bCs/>
                <w:i/>
                <w:iCs/>
                <w:color w:val="000000"/>
                <w:sz w:val="16"/>
                <w:szCs w:val="16"/>
              </w:rPr>
            </w:pPr>
            <w:r w:rsidRPr="00981B25">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6D40ECD0"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1,966</w:t>
            </w:r>
          </w:p>
        </w:tc>
        <w:tc>
          <w:tcPr>
            <w:tcW w:w="920" w:type="dxa"/>
            <w:tcBorders>
              <w:top w:val="single" w:sz="4" w:space="0" w:color="000000"/>
              <w:left w:val="nil"/>
              <w:bottom w:val="single" w:sz="4" w:space="0" w:color="000000"/>
              <w:right w:val="nil"/>
            </w:tcBorders>
            <w:shd w:val="clear" w:color="000000" w:fill="E6E6E6"/>
            <w:noWrap/>
            <w:vAlign w:val="bottom"/>
            <w:hideMark/>
          </w:tcPr>
          <w:p w14:paraId="6EC9E2F8"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1,966</w:t>
            </w:r>
          </w:p>
        </w:tc>
        <w:tc>
          <w:tcPr>
            <w:tcW w:w="920" w:type="dxa"/>
            <w:tcBorders>
              <w:top w:val="single" w:sz="4" w:space="0" w:color="000000"/>
              <w:left w:val="nil"/>
              <w:bottom w:val="single" w:sz="4" w:space="0" w:color="000000"/>
              <w:right w:val="nil"/>
            </w:tcBorders>
            <w:shd w:val="clear" w:color="auto" w:fill="auto"/>
            <w:noWrap/>
            <w:vAlign w:val="bottom"/>
            <w:hideMark/>
          </w:tcPr>
          <w:p w14:paraId="5215243A"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1,966</w:t>
            </w:r>
          </w:p>
        </w:tc>
        <w:tc>
          <w:tcPr>
            <w:tcW w:w="920" w:type="dxa"/>
            <w:tcBorders>
              <w:top w:val="single" w:sz="4" w:space="0" w:color="000000"/>
              <w:left w:val="nil"/>
              <w:bottom w:val="single" w:sz="4" w:space="0" w:color="000000"/>
              <w:right w:val="nil"/>
            </w:tcBorders>
            <w:shd w:val="clear" w:color="auto" w:fill="auto"/>
            <w:noWrap/>
            <w:vAlign w:val="bottom"/>
            <w:hideMark/>
          </w:tcPr>
          <w:p w14:paraId="101BA0B6"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1,966</w:t>
            </w:r>
          </w:p>
        </w:tc>
        <w:tc>
          <w:tcPr>
            <w:tcW w:w="848" w:type="dxa"/>
            <w:tcBorders>
              <w:top w:val="single" w:sz="4" w:space="0" w:color="000000"/>
              <w:left w:val="nil"/>
              <w:bottom w:val="single" w:sz="4" w:space="0" w:color="000000"/>
              <w:right w:val="nil"/>
            </w:tcBorders>
            <w:shd w:val="clear" w:color="auto" w:fill="auto"/>
            <w:noWrap/>
            <w:vAlign w:val="bottom"/>
            <w:hideMark/>
          </w:tcPr>
          <w:p w14:paraId="0EF11F37"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1,966</w:t>
            </w:r>
          </w:p>
        </w:tc>
      </w:tr>
      <w:tr w:rsidR="00752811" w:rsidRPr="00981B25" w14:paraId="38F7272C" w14:textId="77777777" w:rsidTr="00EB7ABD">
        <w:trPr>
          <w:trHeight w:val="204"/>
        </w:trPr>
        <w:tc>
          <w:tcPr>
            <w:tcW w:w="2977" w:type="dxa"/>
            <w:tcBorders>
              <w:top w:val="nil"/>
              <w:left w:val="nil"/>
              <w:bottom w:val="single" w:sz="4" w:space="0" w:color="000000"/>
              <w:right w:val="nil"/>
            </w:tcBorders>
            <w:shd w:val="clear" w:color="auto" w:fill="auto"/>
            <w:noWrap/>
            <w:vAlign w:val="bottom"/>
            <w:hideMark/>
          </w:tcPr>
          <w:p w14:paraId="700FE304"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2C84FAC7"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c>
          <w:tcPr>
            <w:tcW w:w="920" w:type="dxa"/>
            <w:tcBorders>
              <w:top w:val="nil"/>
              <w:left w:val="nil"/>
              <w:bottom w:val="single" w:sz="4" w:space="0" w:color="000000"/>
              <w:right w:val="nil"/>
            </w:tcBorders>
            <w:shd w:val="clear" w:color="000000" w:fill="E6E6E6"/>
            <w:noWrap/>
            <w:vAlign w:val="bottom"/>
            <w:hideMark/>
          </w:tcPr>
          <w:p w14:paraId="0495748C"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c>
          <w:tcPr>
            <w:tcW w:w="920" w:type="dxa"/>
            <w:tcBorders>
              <w:top w:val="nil"/>
              <w:left w:val="nil"/>
              <w:bottom w:val="single" w:sz="4" w:space="0" w:color="000000"/>
              <w:right w:val="nil"/>
            </w:tcBorders>
            <w:shd w:val="clear" w:color="auto" w:fill="auto"/>
            <w:noWrap/>
            <w:vAlign w:val="bottom"/>
            <w:hideMark/>
          </w:tcPr>
          <w:p w14:paraId="74A4C093"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c>
          <w:tcPr>
            <w:tcW w:w="920" w:type="dxa"/>
            <w:tcBorders>
              <w:top w:val="nil"/>
              <w:left w:val="nil"/>
              <w:bottom w:val="single" w:sz="4" w:space="0" w:color="000000"/>
              <w:right w:val="nil"/>
            </w:tcBorders>
            <w:shd w:val="clear" w:color="auto" w:fill="auto"/>
            <w:noWrap/>
            <w:vAlign w:val="bottom"/>
            <w:hideMark/>
          </w:tcPr>
          <w:p w14:paraId="6F7CBD90"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c>
          <w:tcPr>
            <w:tcW w:w="848" w:type="dxa"/>
            <w:tcBorders>
              <w:top w:val="nil"/>
              <w:left w:val="nil"/>
              <w:bottom w:val="single" w:sz="4" w:space="0" w:color="000000"/>
              <w:right w:val="nil"/>
            </w:tcBorders>
            <w:shd w:val="clear" w:color="auto" w:fill="auto"/>
            <w:noWrap/>
            <w:vAlign w:val="bottom"/>
            <w:hideMark/>
          </w:tcPr>
          <w:p w14:paraId="1F812863"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1,966</w:t>
            </w:r>
          </w:p>
        </w:tc>
      </w:tr>
    </w:tbl>
    <w:p w14:paraId="7CA68837" w14:textId="77777777" w:rsidR="00752811" w:rsidRPr="00132F9E" w:rsidRDefault="00752811" w:rsidP="00752811">
      <w:pPr>
        <w:pStyle w:val="Source"/>
        <w:spacing w:before="60"/>
        <w:rPr>
          <w:rFonts w:cs="Arial"/>
        </w:rPr>
      </w:pPr>
      <w:r w:rsidRPr="00132F9E">
        <w:rPr>
          <w:rFonts w:cs="Arial"/>
        </w:rPr>
        <w:t>Prepared on Australian Accounting Standards basis.</w:t>
      </w:r>
    </w:p>
    <w:p w14:paraId="1BC49FE4" w14:textId="0EF436C4" w:rsidR="00752811" w:rsidRDefault="00752811" w:rsidP="00752811">
      <w:pPr>
        <w:pStyle w:val="TableHeading"/>
        <w:rPr>
          <w:rFonts w:cs="Arial"/>
          <w:sz w:val="16"/>
        </w:rPr>
      </w:pP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7714" w:type="dxa"/>
        <w:tblLook w:val="04A0" w:firstRow="1" w:lastRow="0" w:firstColumn="1" w:lastColumn="0" w:noHBand="0" w:noVBand="1"/>
      </w:tblPr>
      <w:tblGrid>
        <w:gridCol w:w="5954"/>
        <w:gridCol w:w="880"/>
        <w:gridCol w:w="880"/>
      </w:tblGrid>
      <w:tr w:rsidR="00752811" w:rsidRPr="00981B25" w14:paraId="06A28948" w14:textId="77777777" w:rsidTr="00333C84">
        <w:trPr>
          <w:trHeight w:val="204"/>
        </w:trPr>
        <w:tc>
          <w:tcPr>
            <w:tcW w:w="5954" w:type="dxa"/>
            <w:tcBorders>
              <w:top w:val="single" w:sz="4" w:space="0" w:color="auto"/>
              <w:left w:val="nil"/>
              <w:bottom w:val="nil"/>
              <w:right w:val="nil"/>
            </w:tcBorders>
            <w:shd w:val="clear" w:color="auto" w:fill="auto"/>
            <w:noWrap/>
            <w:vAlign w:val="bottom"/>
            <w:hideMark/>
          </w:tcPr>
          <w:p w14:paraId="6136B5AF" w14:textId="77777777" w:rsidR="00752811" w:rsidRPr="00981B25" w:rsidRDefault="00752811" w:rsidP="00333C84">
            <w:pPr>
              <w:spacing w:after="0" w:line="240" w:lineRule="auto"/>
              <w:jc w:val="right"/>
              <w:rPr>
                <w:rFonts w:ascii="Arial" w:hAnsi="Arial" w:cs="Arial"/>
                <w:color w:val="000000"/>
                <w:sz w:val="16"/>
                <w:szCs w:val="16"/>
              </w:rPr>
            </w:pPr>
            <w:r w:rsidRPr="00981B25">
              <w:rPr>
                <w:rFonts w:ascii="Arial" w:hAnsi="Arial" w:cs="Arial"/>
                <w:color w:val="000000"/>
                <w:sz w:val="16"/>
                <w:szCs w:val="16"/>
              </w:rPr>
              <w:t> </w:t>
            </w:r>
          </w:p>
        </w:tc>
        <w:tc>
          <w:tcPr>
            <w:tcW w:w="880" w:type="dxa"/>
            <w:tcBorders>
              <w:top w:val="single" w:sz="4" w:space="0" w:color="auto"/>
              <w:left w:val="nil"/>
              <w:bottom w:val="single" w:sz="4" w:space="0" w:color="000000"/>
              <w:right w:val="nil"/>
            </w:tcBorders>
            <w:shd w:val="clear" w:color="auto" w:fill="auto"/>
            <w:vAlign w:val="bottom"/>
            <w:hideMark/>
          </w:tcPr>
          <w:p w14:paraId="0AE4DBD6" w14:textId="77777777" w:rsidR="00752811" w:rsidRPr="00981B25" w:rsidRDefault="00752811" w:rsidP="00333C84">
            <w:pPr>
              <w:spacing w:after="0" w:line="240" w:lineRule="auto"/>
              <w:jc w:val="right"/>
              <w:rPr>
                <w:rFonts w:ascii="Arial" w:hAnsi="Arial" w:cs="Arial"/>
                <w:color w:val="000000"/>
                <w:sz w:val="16"/>
                <w:szCs w:val="16"/>
              </w:rPr>
            </w:pPr>
            <w:r w:rsidRPr="00981B25">
              <w:rPr>
                <w:rFonts w:ascii="Arial" w:hAnsi="Arial" w:cs="Arial"/>
                <w:color w:val="000000"/>
                <w:sz w:val="16"/>
                <w:szCs w:val="16"/>
              </w:rPr>
              <w:t>Retained</w:t>
            </w:r>
            <w:r w:rsidRPr="00981B25">
              <w:rPr>
                <w:rFonts w:ascii="Arial" w:hAnsi="Arial" w:cs="Arial"/>
                <w:color w:val="000000"/>
                <w:sz w:val="16"/>
                <w:szCs w:val="16"/>
              </w:rPr>
              <w:br/>
              <w:t>earnings</w:t>
            </w:r>
            <w:r w:rsidRPr="00981B25">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bottom"/>
            <w:hideMark/>
          </w:tcPr>
          <w:p w14:paraId="08D24B61" w14:textId="77777777" w:rsidR="00752811" w:rsidRPr="00981B25" w:rsidRDefault="00752811" w:rsidP="00333C84">
            <w:pPr>
              <w:spacing w:after="0" w:line="240" w:lineRule="auto"/>
              <w:jc w:val="right"/>
              <w:rPr>
                <w:rFonts w:ascii="Arial" w:hAnsi="Arial" w:cs="Arial"/>
                <w:color w:val="000000"/>
                <w:sz w:val="16"/>
                <w:szCs w:val="16"/>
              </w:rPr>
            </w:pPr>
            <w:r w:rsidRPr="00981B25">
              <w:rPr>
                <w:rFonts w:ascii="Arial" w:hAnsi="Arial" w:cs="Arial"/>
                <w:color w:val="000000"/>
                <w:sz w:val="16"/>
                <w:szCs w:val="16"/>
              </w:rPr>
              <w:t>Total</w:t>
            </w:r>
            <w:r w:rsidRPr="00981B25">
              <w:rPr>
                <w:rFonts w:ascii="Arial" w:hAnsi="Arial" w:cs="Arial"/>
                <w:color w:val="000000"/>
                <w:sz w:val="16"/>
                <w:szCs w:val="16"/>
              </w:rPr>
              <w:br/>
              <w:t xml:space="preserve">equity </w:t>
            </w:r>
            <w:r w:rsidRPr="00981B25">
              <w:rPr>
                <w:rFonts w:ascii="Arial" w:hAnsi="Arial" w:cs="Arial"/>
                <w:color w:val="000000"/>
                <w:sz w:val="16"/>
                <w:szCs w:val="16"/>
              </w:rPr>
              <w:br/>
              <w:t>$'000</w:t>
            </w:r>
          </w:p>
        </w:tc>
      </w:tr>
      <w:tr w:rsidR="00752811" w:rsidRPr="00981B25" w14:paraId="14DA35E4" w14:textId="77777777" w:rsidTr="00333C84">
        <w:trPr>
          <w:trHeight w:val="204"/>
        </w:trPr>
        <w:tc>
          <w:tcPr>
            <w:tcW w:w="5954" w:type="dxa"/>
            <w:tcBorders>
              <w:top w:val="nil"/>
              <w:left w:val="nil"/>
              <w:bottom w:val="nil"/>
              <w:right w:val="nil"/>
            </w:tcBorders>
            <w:shd w:val="clear" w:color="auto" w:fill="auto"/>
            <w:vAlign w:val="bottom"/>
            <w:hideMark/>
          </w:tcPr>
          <w:p w14:paraId="247935BF"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Opening balance as at 1 July 2022</w:t>
            </w:r>
          </w:p>
        </w:tc>
        <w:tc>
          <w:tcPr>
            <w:tcW w:w="880" w:type="dxa"/>
            <w:tcBorders>
              <w:top w:val="nil"/>
              <w:left w:val="nil"/>
              <w:bottom w:val="nil"/>
              <w:right w:val="nil"/>
            </w:tcBorders>
            <w:shd w:val="clear" w:color="auto" w:fill="auto"/>
            <w:noWrap/>
            <w:vAlign w:val="bottom"/>
            <w:hideMark/>
          </w:tcPr>
          <w:p w14:paraId="590FA8C4" w14:textId="77777777" w:rsidR="00752811" w:rsidRPr="00981B25" w:rsidRDefault="00752811" w:rsidP="006B4C13">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48CA52E0" w14:textId="77777777" w:rsidR="00752811" w:rsidRPr="00981B25" w:rsidRDefault="00752811" w:rsidP="006B4C13">
            <w:pPr>
              <w:spacing w:after="0" w:line="240" w:lineRule="auto"/>
              <w:jc w:val="right"/>
              <w:rPr>
                <w:rFonts w:ascii="Times New Roman" w:hAnsi="Times New Roman"/>
              </w:rPr>
            </w:pPr>
          </w:p>
        </w:tc>
      </w:tr>
      <w:tr w:rsidR="00752811" w:rsidRPr="00981B25" w14:paraId="17EA7400" w14:textId="77777777" w:rsidTr="00333C84">
        <w:trPr>
          <w:trHeight w:val="204"/>
        </w:trPr>
        <w:tc>
          <w:tcPr>
            <w:tcW w:w="5954" w:type="dxa"/>
            <w:tcBorders>
              <w:top w:val="nil"/>
              <w:left w:val="nil"/>
              <w:bottom w:val="nil"/>
              <w:right w:val="nil"/>
            </w:tcBorders>
            <w:shd w:val="clear" w:color="auto" w:fill="auto"/>
            <w:vAlign w:val="bottom"/>
            <w:hideMark/>
          </w:tcPr>
          <w:p w14:paraId="12522F7E" w14:textId="77777777" w:rsidR="00752811" w:rsidRPr="00981B25" w:rsidRDefault="00752811" w:rsidP="00333C84">
            <w:pPr>
              <w:spacing w:after="0" w:line="240" w:lineRule="auto"/>
              <w:ind w:firstLineChars="100" w:firstLine="160"/>
              <w:jc w:val="left"/>
              <w:rPr>
                <w:rFonts w:ascii="Arial" w:hAnsi="Arial" w:cs="Arial"/>
                <w:color w:val="000000"/>
                <w:sz w:val="16"/>
                <w:szCs w:val="16"/>
              </w:rPr>
            </w:pPr>
            <w:r w:rsidRPr="00981B25">
              <w:rPr>
                <w:rFonts w:ascii="Arial" w:hAnsi="Arial" w:cs="Arial"/>
                <w:color w:val="000000"/>
                <w:sz w:val="16"/>
                <w:szCs w:val="16"/>
              </w:rPr>
              <w:t>Balance carried forward from previous period</w:t>
            </w:r>
          </w:p>
        </w:tc>
        <w:tc>
          <w:tcPr>
            <w:tcW w:w="880" w:type="dxa"/>
            <w:tcBorders>
              <w:top w:val="nil"/>
              <w:left w:val="nil"/>
              <w:bottom w:val="nil"/>
              <w:right w:val="nil"/>
            </w:tcBorders>
            <w:shd w:val="clear" w:color="auto" w:fill="auto"/>
            <w:noWrap/>
            <w:vAlign w:val="bottom"/>
            <w:hideMark/>
          </w:tcPr>
          <w:p w14:paraId="75F4A912" w14:textId="77777777" w:rsidR="00752811" w:rsidRPr="00981B25" w:rsidRDefault="00752811" w:rsidP="006B4C13">
            <w:pPr>
              <w:spacing w:after="0" w:line="240" w:lineRule="auto"/>
              <w:jc w:val="right"/>
              <w:rPr>
                <w:rFonts w:ascii="Arial" w:hAnsi="Arial" w:cs="Arial"/>
                <w:color w:val="000000"/>
                <w:sz w:val="16"/>
                <w:szCs w:val="16"/>
              </w:rPr>
            </w:pPr>
            <w:r w:rsidRPr="00981B25">
              <w:rPr>
                <w:rFonts w:ascii="Arial" w:hAnsi="Arial" w:cs="Arial"/>
                <w:color w:val="000000"/>
                <w:sz w:val="16"/>
                <w:szCs w:val="16"/>
              </w:rPr>
              <w:t>1,966</w:t>
            </w:r>
          </w:p>
        </w:tc>
        <w:tc>
          <w:tcPr>
            <w:tcW w:w="880" w:type="dxa"/>
            <w:tcBorders>
              <w:top w:val="nil"/>
              <w:left w:val="nil"/>
              <w:bottom w:val="nil"/>
              <w:right w:val="nil"/>
            </w:tcBorders>
            <w:shd w:val="clear" w:color="auto" w:fill="auto"/>
            <w:noWrap/>
            <w:vAlign w:val="bottom"/>
            <w:hideMark/>
          </w:tcPr>
          <w:p w14:paraId="46070F80" w14:textId="77777777" w:rsidR="00752811" w:rsidRPr="00981B25" w:rsidRDefault="00752811" w:rsidP="006B4C13">
            <w:pPr>
              <w:spacing w:after="0" w:line="240" w:lineRule="auto"/>
              <w:jc w:val="right"/>
              <w:rPr>
                <w:rFonts w:ascii="Arial" w:hAnsi="Arial" w:cs="Arial"/>
                <w:color w:val="000000"/>
                <w:sz w:val="16"/>
                <w:szCs w:val="16"/>
              </w:rPr>
            </w:pPr>
            <w:r w:rsidRPr="00981B25">
              <w:rPr>
                <w:rFonts w:ascii="Arial" w:hAnsi="Arial" w:cs="Arial"/>
                <w:color w:val="000000"/>
                <w:sz w:val="16"/>
                <w:szCs w:val="16"/>
              </w:rPr>
              <w:t>1,966</w:t>
            </w:r>
          </w:p>
        </w:tc>
      </w:tr>
      <w:tr w:rsidR="00752811" w:rsidRPr="00981B25" w14:paraId="33308F91" w14:textId="77777777" w:rsidTr="00333C84">
        <w:trPr>
          <w:trHeight w:val="204"/>
        </w:trPr>
        <w:tc>
          <w:tcPr>
            <w:tcW w:w="5954" w:type="dxa"/>
            <w:tcBorders>
              <w:top w:val="nil"/>
              <w:left w:val="nil"/>
              <w:bottom w:val="nil"/>
              <w:right w:val="nil"/>
            </w:tcBorders>
            <w:shd w:val="clear" w:color="auto" w:fill="auto"/>
            <w:vAlign w:val="bottom"/>
            <w:hideMark/>
          </w:tcPr>
          <w:p w14:paraId="1870D6F4" w14:textId="77777777" w:rsidR="00752811" w:rsidRPr="00981B25" w:rsidRDefault="00752811" w:rsidP="00333C84">
            <w:pPr>
              <w:spacing w:after="0" w:line="240" w:lineRule="auto"/>
              <w:jc w:val="left"/>
              <w:rPr>
                <w:rFonts w:ascii="Arial" w:hAnsi="Arial" w:cs="Arial"/>
                <w:b/>
                <w:bCs/>
                <w:i/>
                <w:iCs/>
                <w:color w:val="000000"/>
                <w:sz w:val="16"/>
                <w:szCs w:val="16"/>
              </w:rPr>
            </w:pPr>
            <w:r w:rsidRPr="00981B25">
              <w:rPr>
                <w:rFonts w:ascii="Arial" w:hAnsi="Arial" w:cs="Arial"/>
                <w:b/>
                <w:bCs/>
                <w:i/>
                <w:iCs/>
                <w:color w:val="000000"/>
                <w:sz w:val="16"/>
                <w:szCs w:val="16"/>
              </w:rPr>
              <w:t>Adjusted opening balance</w:t>
            </w:r>
          </w:p>
        </w:tc>
        <w:tc>
          <w:tcPr>
            <w:tcW w:w="880" w:type="dxa"/>
            <w:tcBorders>
              <w:top w:val="single" w:sz="4" w:space="0" w:color="000000"/>
              <w:left w:val="nil"/>
              <w:bottom w:val="single" w:sz="4" w:space="0" w:color="000000"/>
              <w:right w:val="nil"/>
            </w:tcBorders>
            <w:shd w:val="clear" w:color="auto" w:fill="auto"/>
            <w:noWrap/>
            <w:vAlign w:val="bottom"/>
            <w:hideMark/>
          </w:tcPr>
          <w:p w14:paraId="3BF315E6" w14:textId="77777777" w:rsidR="00752811" w:rsidRPr="00981B25" w:rsidRDefault="00752811" w:rsidP="006B4C13">
            <w:pPr>
              <w:spacing w:after="0" w:line="240" w:lineRule="auto"/>
              <w:jc w:val="right"/>
              <w:rPr>
                <w:rFonts w:ascii="Arial" w:hAnsi="Arial" w:cs="Arial"/>
                <w:b/>
                <w:bCs/>
                <w:i/>
                <w:iCs/>
                <w:color w:val="000000"/>
                <w:sz w:val="16"/>
                <w:szCs w:val="16"/>
              </w:rPr>
            </w:pPr>
            <w:r w:rsidRPr="00981B25">
              <w:rPr>
                <w:rFonts w:ascii="Arial" w:hAnsi="Arial" w:cs="Arial"/>
                <w:b/>
                <w:bCs/>
                <w:i/>
                <w:iCs/>
                <w:color w:val="000000"/>
                <w:sz w:val="16"/>
                <w:szCs w:val="16"/>
              </w:rPr>
              <w:t>1,966</w:t>
            </w:r>
          </w:p>
        </w:tc>
        <w:tc>
          <w:tcPr>
            <w:tcW w:w="880" w:type="dxa"/>
            <w:tcBorders>
              <w:top w:val="single" w:sz="4" w:space="0" w:color="000000"/>
              <w:left w:val="nil"/>
              <w:bottom w:val="single" w:sz="4" w:space="0" w:color="000000"/>
              <w:right w:val="nil"/>
            </w:tcBorders>
            <w:shd w:val="clear" w:color="auto" w:fill="auto"/>
            <w:noWrap/>
            <w:vAlign w:val="bottom"/>
            <w:hideMark/>
          </w:tcPr>
          <w:p w14:paraId="779BE86D" w14:textId="77777777" w:rsidR="00752811" w:rsidRPr="00981B25" w:rsidRDefault="00752811" w:rsidP="006B4C13">
            <w:pPr>
              <w:spacing w:after="0" w:line="240" w:lineRule="auto"/>
              <w:jc w:val="right"/>
              <w:rPr>
                <w:rFonts w:ascii="Arial" w:hAnsi="Arial" w:cs="Arial"/>
                <w:b/>
                <w:bCs/>
                <w:i/>
                <w:iCs/>
                <w:color w:val="000000"/>
                <w:sz w:val="16"/>
                <w:szCs w:val="16"/>
              </w:rPr>
            </w:pPr>
            <w:r w:rsidRPr="00981B25">
              <w:rPr>
                <w:rFonts w:ascii="Arial" w:hAnsi="Arial" w:cs="Arial"/>
                <w:b/>
                <w:bCs/>
                <w:i/>
                <w:iCs/>
                <w:color w:val="000000"/>
                <w:sz w:val="16"/>
                <w:szCs w:val="16"/>
              </w:rPr>
              <w:t>1,966</w:t>
            </w:r>
          </w:p>
        </w:tc>
      </w:tr>
      <w:tr w:rsidR="00752811" w:rsidRPr="00981B25" w14:paraId="6A8F1627" w14:textId="77777777" w:rsidTr="00333C84">
        <w:trPr>
          <w:trHeight w:val="204"/>
        </w:trPr>
        <w:tc>
          <w:tcPr>
            <w:tcW w:w="5954" w:type="dxa"/>
            <w:tcBorders>
              <w:top w:val="nil"/>
              <w:left w:val="nil"/>
              <w:bottom w:val="nil"/>
              <w:right w:val="nil"/>
            </w:tcBorders>
            <w:shd w:val="clear" w:color="auto" w:fill="auto"/>
            <w:vAlign w:val="bottom"/>
            <w:hideMark/>
          </w:tcPr>
          <w:p w14:paraId="69006BCA"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Estimated closing balance as at 30 June 2023</w:t>
            </w:r>
          </w:p>
        </w:tc>
        <w:tc>
          <w:tcPr>
            <w:tcW w:w="880" w:type="dxa"/>
            <w:tcBorders>
              <w:top w:val="single" w:sz="4" w:space="0" w:color="auto"/>
              <w:left w:val="nil"/>
              <w:bottom w:val="single" w:sz="4" w:space="0" w:color="auto"/>
              <w:right w:val="nil"/>
            </w:tcBorders>
            <w:shd w:val="clear" w:color="auto" w:fill="auto"/>
            <w:noWrap/>
            <w:vAlign w:val="bottom"/>
            <w:hideMark/>
          </w:tcPr>
          <w:p w14:paraId="5034147A" w14:textId="77777777" w:rsidR="00752811" w:rsidRPr="00981B25" w:rsidRDefault="00752811" w:rsidP="006B4C13">
            <w:pPr>
              <w:spacing w:after="0" w:line="240" w:lineRule="auto"/>
              <w:jc w:val="right"/>
              <w:rPr>
                <w:rFonts w:ascii="Arial" w:hAnsi="Arial" w:cs="Arial"/>
                <w:b/>
                <w:bCs/>
                <w:color w:val="000000"/>
                <w:sz w:val="16"/>
                <w:szCs w:val="16"/>
              </w:rPr>
            </w:pPr>
            <w:r w:rsidRPr="00981B25">
              <w:rPr>
                <w:rFonts w:ascii="Arial" w:hAnsi="Arial" w:cs="Arial"/>
                <w:b/>
                <w:bCs/>
                <w:color w:val="000000"/>
                <w:sz w:val="16"/>
                <w:szCs w:val="16"/>
              </w:rPr>
              <w:t>1,966</w:t>
            </w:r>
          </w:p>
        </w:tc>
        <w:tc>
          <w:tcPr>
            <w:tcW w:w="880" w:type="dxa"/>
            <w:tcBorders>
              <w:top w:val="single" w:sz="4" w:space="0" w:color="auto"/>
              <w:left w:val="nil"/>
              <w:bottom w:val="single" w:sz="4" w:space="0" w:color="auto"/>
              <w:right w:val="nil"/>
            </w:tcBorders>
            <w:shd w:val="clear" w:color="auto" w:fill="auto"/>
            <w:noWrap/>
            <w:vAlign w:val="bottom"/>
            <w:hideMark/>
          </w:tcPr>
          <w:p w14:paraId="79025BF7" w14:textId="77777777" w:rsidR="00752811" w:rsidRPr="00981B25" w:rsidRDefault="00752811" w:rsidP="006B4C13">
            <w:pPr>
              <w:spacing w:after="0" w:line="240" w:lineRule="auto"/>
              <w:jc w:val="right"/>
              <w:rPr>
                <w:rFonts w:ascii="Arial" w:hAnsi="Arial" w:cs="Arial"/>
                <w:b/>
                <w:bCs/>
                <w:color w:val="000000"/>
                <w:sz w:val="16"/>
                <w:szCs w:val="16"/>
              </w:rPr>
            </w:pPr>
            <w:r w:rsidRPr="00981B25">
              <w:rPr>
                <w:rFonts w:ascii="Arial" w:hAnsi="Arial" w:cs="Arial"/>
                <w:b/>
                <w:bCs/>
                <w:color w:val="000000"/>
                <w:sz w:val="16"/>
                <w:szCs w:val="16"/>
              </w:rPr>
              <w:t>1,966</w:t>
            </w:r>
          </w:p>
        </w:tc>
      </w:tr>
      <w:tr w:rsidR="00752811" w:rsidRPr="00981B25" w14:paraId="10BDBA2B" w14:textId="77777777" w:rsidTr="00E005FD">
        <w:trPr>
          <w:trHeight w:val="204"/>
        </w:trPr>
        <w:tc>
          <w:tcPr>
            <w:tcW w:w="5954" w:type="dxa"/>
            <w:tcBorders>
              <w:top w:val="nil"/>
              <w:left w:val="nil"/>
              <w:bottom w:val="single" w:sz="4" w:space="0" w:color="auto"/>
              <w:right w:val="nil"/>
            </w:tcBorders>
            <w:shd w:val="clear" w:color="auto" w:fill="auto"/>
            <w:vAlign w:val="bottom"/>
            <w:hideMark/>
          </w:tcPr>
          <w:p w14:paraId="0E51C717" w14:textId="77777777" w:rsidR="00752811" w:rsidRPr="00981B25" w:rsidRDefault="00752811" w:rsidP="00333C84">
            <w:pPr>
              <w:spacing w:after="0" w:line="240" w:lineRule="auto"/>
              <w:jc w:val="left"/>
              <w:rPr>
                <w:rFonts w:ascii="Arial" w:hAnsi="Arial" w:cs="Arial"/>
                <w:b/>
                <w:bCs/>
                <w:color w:val="000000"/>
                <w:sz w:val="16"/>
                <w:szCs w:val="16"/>
              </w:rPr>
            </w:pPr>
            <w:r w:rsidRPr="00981B25">
              <w:rPr>
                <w:rFonts w:ascii="Arial" w:hAnsi="Arial" w:cs="Arial"/>
                <w:b/>
                <w:bCs/>
                <w:color w:val="000000"/>
                <w:sz w:val="16"/>
                <w:szCs w:val="16"/>
              </w:rPr>
              <w:t>Closing balance attributable to the Australian Government</w:t>
            </w:r>
          </w:p>
        </w:tc>
        <w:tc>
          <w:tcPr>
            <w:tcW w:w="880" w:type="dxa"/>
            <w:tcBorders>
              <w:top w:val="nil"/>
              <w:left w:val="nil"/>
              <w:bottom w:val="single" w:sz="4" w:space="0" w:color="auto"/>
              <w:right w:val="nil"/>
            </w:tcBorders>
            <w:shd w:val="clear" w:color="auto" w:fill="auto"/>
            <w:noWrap/>
            <w:vAlign w:val="bottom"/>
            <w:hideMark/>
          </w:tcPr>
          <w:p w14:paraId="724F6690" w14:textId="77777777" w:rsidR="00752811" w:rsidRPr="00981B25" w:rsidRDefault="00752811" w:rsidP="006B4C13">
            <w:pPr>
              <w:spacing w:after="0" w:line="240" w:lineRule="auto"/>
              <w:jc w:val="right"/>
              <w:rPr>
                <w:rFonts w:ascii="Arial" w:hAnsi="Arial" w:cs="Arial"/>
                <w:b/>
                <w:bCs/>
                <w:color w:val="000000"/>
                <w:sz w:val="16"/>
                <w:szCs w:val="16"/>
              </w:rPr>
            </w:pPr>
            <w:r w:rsidRPr="00981B25">
              <w:rPr>
                <w:rFonts w:ascii="Arial" w:hAnsi="Arial" w:cs="Arial"/>
                <w:b/>
                <w:bCs/>
                <w:color w:val="000000"/>
                <w:sz w:val="16"/>
                <w:szCs w:val="16"/>
              </w:rPr>
              <w:t>1,966</w:t>
            </w:r>
          </w:p>
        </w:tc>
        <w:tc>
          <w:tcPr>
            <w:tcW w:w="880" w:type="dxa"/>
            <w:tcBorders>
              <w:top w:val="nil"/>
              <w:left w:val="nil"/>
              <w:bottom w:val="single" w:sz="4" w:space="0" w:color="auto"/>
              <w:right w:val="nil"/>
            </w:tcBorders>
            <w:shd w:val="clear" w:color="auto" w:fill="auto"/>
            <w:noWrap/>
            <w:vAlign w:val="bottom"/>
            <w:hideMark/>
          </w:tcPr>
          <w:p w14:paraId="6B1E9EC4" w14:textId="77777777" w:rsidR="00752811" w:rsidRPr="00981B25" w:rsidRDefault="00752811" w:rsidP="006B4C13">
            <w:pPr>
              <w:spacing w:after="0" w:line="240" w:lineRule="auto"/>
              <w:jc w:val="right"/>
              <w:rPr>
                <w:rFonts w:ascii="Arial" w:hAnsi="Arial" w:cs="Arial"/>
                <w:b/>
                <w:bCs/>
                <w:color w:val="000000"/>
                <w:sz w:val="16"/>
                <w:szCs w:val="16"/>
              </w:rPr>
            </w:pPr>
            <w:r w:rsidRPr="00981B25">
              <w:rPr>
                <w:rFonts w:ascii="Arial" w:hAnsi="Arial" w:cs="Arial"/>
                <w:b/>
                <w:bCs/>
                <w:color w:val="000000"/>
                <w:sz w:val="16"/>
                <w:szCs w:val="16"/>
              </w:rPr>
              <w:t>1,966</w:t>
            </w:r>
          </w:p>
        </w:tc>
      </w:tr>
    </w:tbl>
    <w:p w14:paraId="599BCBED" w14:textId="77777777" w:rsidR="00752811" w:rsidRDefault="00752811" w:rsidP="00752811">
      <w:pPr>
        <w:pStyle w:val="TableGraphic"/>
        <w:spacing w:before="60"/>
        <w:rPr>
          <w:rFonts w:ascii="Arial" w:hAnsi="Arial" w:cs="Arial"/>
          <w:sz w:val="16"/>
        </w:rPr>
      </w:pPr>
      <w:r w:rsidRPr="00D606C2">
        <w:rPr>
          <w:rFonts w:ascii="Arial" w:hAnsi="Arial" w:cs="Arial"/>
          <w:sz w:val="16"/>
        </w:rPr>
        <w:t>Prepared on Australian Accounting Standards basis</w:t>
      </w:r>
    </w:p>
    <w:p w14:paraId="48EB27CD" w14:textId="77777777" w:rsidR="00752811" w:rsidRPr="006C4CCA" w:rsidRDefault="00752811" w:rsidP="00752811"/>
    <w:p w14:paraId="0062C21C" w14:textId="09D20ABE" w:rsidR="00752811" w:rsidRPr="00A00283" w:rsidRDefault="00752811" w:rsidP="00752811">
      <w:pPr>
        <w:pStyle w:val="TableHeading"/>
      </w:pPr>
      <w:r>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740" w:type="dxa"/>
        <w:tblLook w:val="04A0" w:firstRow="1" w:lastRow="0" w:firstColumn="1" w:lastColumn="0" w:noHBand="0" w:noVBand="1"/>
      </w:tblPr>
      <w:tblGrid>
        <w:gridCol w:w="3040"/>
        <w:gridCol w:w="940"/>
        <w:gridCol w:w="940"/>
        <w:gridCol w:w="940"/>
        <w:gridCol w:w="940"/>
        <w:gridCol w:w="940"/>
      </w:tblGrid>
      <w:tr w:rsidR="00752811" w:rsidRPr="003276D6" w14:paraId="0F0226E6" w14:textId="77777777" w:rsidTr="00333C84">
        <w:trPr>
          <w:trHeight w:val="204"/>
        </w:trPr>
        <w:tc>
          <w:tcPr>
            <w:tcW w:w="3040" w:type="dxa"/>
            <w:tcBorders>
              <w:top w:val="single" w:sz="4" w:space="0" w:color="auto"/>
              <w:left w:val="nil"/>
              <w:bottom w:val="nil"/>
              <w:right w:val="nil"/>
            </w:tcBorders>
            <w:shd w:val="clear" w:color="auto" w:fill="auto"/>
            <w:noWrap/>
            <w:vAlign w:val="bottom"/>
            <w:hideMark/>
          </w:tcPr>
          <w:p w14:paraId="67BD6F75" w14:textId="77777777" w:rsidR="00752811" w:rsidRPr="003276D6" w:rsidRDefault="00752811" w:rsidP="00333C84">
            <w:pPr>
              <w:spacing w:after="0" w:line="240" w:lineRule="auto"/>
              <w:jc w:val="left"/>
              <w:rPr>
                <w:rFonts w:ascii="Arial" w:hAnsi="Arial" w:cs="Arial"/>
                <w:b/>
                <w:bCs/>
                <w:sz w:val="16"/>
                <w:szCs w:val="16"/>
              </w:rPr>
            </w:pPr>
            <w:r w:rsidRPr="003276D6">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6969B9B0" w14:textId="77777777" w:rsidR="00752811" w:rsidRPr="003276D6" w:rsidRDefault="00752811" w:rsidP="00333C84">
            <w:pPr>
              <w:spacing w:after="0" w:line="240" w:lineRule="auto"/>
              <w:jc w:val="right"/>
              <w:rPr>
                <w:rFonts w:ascii="Arial" w:hAnsi="Arial" w:cs="Arial"/>
                <w:sz w:val="16"/>
                <w:szCs w:val="16"/>
              </w:rPr>
            </w:pPr>
            <w:r w:rsidRPr="003276D6">
              <w:rPr>
                <w:rFonts w:ascii="Arial" w:hAnsi="Arial" w:cs="Arial"/>
                <w:sz w:val="16"/>
                <w:szCs w:val="16"/>
              </w:rPr>
              <w:t>2021-22 Estimated actual</w:t>
            </w:r>
            <w:r w:rsidRPr="003276D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18058987" w14:textId="77777777" w:rsidR="00752811" w:rsidRPr="003276D6" w:rsidRDefault="00752811" w:rsidP="00333C84">
            <w:pPr>
              <w:spacing w:after="0" w:line="240" w:lineRule="auto"/>
              <w:jc w:val="right"/>
              <w:rPr>
                <w:rFonts w:ascii="Arial" w:hAnsi="Arial" w:cs="Arial"/>
                <w:sz w:val="16"/>
                <w:szCs w:val="16"/>
              </w:rPr>
            </w:pPr>
            <w:r w:rsidRPr="003276D6">
              <w:rPr>
                <w:rFonts w:ascii="Arial" w:hAnsi="Arial" w:cs="Arial"/>
                <w:sz w:val="16"/>
                <w:szCs w:val="16"/>
              </w:rPr>
              <w:t>2022-23</w:t>
            </w:r>
            <w:r w:rsidRPr="003276D6">
              <w:rPr>
                <w:rFonts w:ascii="Arial" w:hAnsi="Arial" w:cs="Arial"/>
                <w:sz w:val="16"/>
                <w:szCs w:val="16"/>
              </w:rPr>
              <w:br/>
              <w:t>Budget</w:t>
            </w:r>
            <w:r w:rsidRPr="003276D6">
              <w:rPr>
                <w:rFonts w:ascii="Arial" w:hAnsi="Arial" w:cs="Arial"/>
                <w:sz w:val="16"/>
                <w:szCs w:val="16"/>
              </w:rPr>
              <w:br/>
            </w:r>
            <w:r w:rsidRPr="003276D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2779CBCC" w14:textId="77777777" w:rsidR="00752811" w:rsidRPr="003276D6" w:rsidRDefault="00752811" w:rsidP="00333C84">
            <w:pPr>
              <w:spacing w:after="0" w:line="240" w:lineRule="auto"/>
              <w:jc w:val="right"/>
              <w:rPr>
                <w:rFonts w:ascii="Arial" w:hAnsi="Arial" w:cs="Arial"/>
                <w:sz w:val="16"/>
                <w:szCs w:val="16"/>
              </w:rPr>
            </w:pPr>
            <w:r w:rsidRPr="003276D6">
              <w:rPr>
                <w:rFonts w:ascii="Arial" w:hAnsi="Arial" w:cs="Arial"/>
                <w:sz w:val="16"/>
                <w:szCs w:val="16"/>
              </w:rPr>
              <w:t>2023-24 Forward estimate</w:t>
            </w:r>
            <w:r w:rsidRPr="003276D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068C1D17" w14:textId="77777777" w:rsidR="00752811" w:rsidRPr="003276D6" w:rsidRDefault="00752811" w:rsidP="00333C84">
            <w:pPr>
              <w:spacing w:after="0" w:line="240" w:lineRule="auto"/>
              <w:jc w:val="right"/>
              <w:rPr>
                <w:rFonts w:ascii="Arial" w:hAnsi="Arial" w:cs="Arial"/>
                <w:sz w:val="16"/>
                <w:szCs w:val="16"/>
              </w:rPr>
            </w:pPr>
            <w:r w:rsidRPr="003276D6">
              <w:rPr>
                <w:rFonts w:ascii="Arial" w:hAnsi="Arial" w:cs="Arial"/>
                <w:sz w:val="16"/>
                <w:szCs w:val="16"/>
              </w:rPr>
              <w:t>2024-25 Forward estimate</w:t>
            </w:r>
            <w:r w:rsidRPr="003276D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4844B5E0" w14:textId="77777777" w:rsidR="00752811" w:rsidRPr="003276D6" w:rsidRDefault="00752811" w:rsidP="00333C84">
            <w:pPr>
              <w:spacing w:after="0" w:line="240" w:lineRule="auto"/>
              <w:jc w:val="right"/>
              <w:rPr>
                <w:rFonts w:ascii="Arial" w:hAnsi="Arial" w:cs="Arial"/>
                <w:sz w:val="16"/>
                <w:szCs w:val="16"/>
              </w:rPr>
            </w:pPr>
            <w:r w:rsidRPr="003276D6">
              <w:rPr>
                <w:rFonts w:ascii="Arial" w:hAnsi="Arial" w:cs="Arial"/>
                <w:sz w:val="16"/>
                <w:szCs w:val="16"/>
              </w:rPr>
              <w:t>2025-26</w:t>
            </w:r>
            <w:r w:rsidRPr="003276D6">
              <w:rPr>
                <w:rFonts w:ascii="Arial" w:hAnsi="Arial" w:cs="Arial"/>
                <w:sz w:val="16"/>
                <w:szCs w:val="16"/>
              </w:rPr>
              <w:br/>
              <w:t>Forward estimate</w:t>
            </w:r>
            <w:r w:rsidRPr="003276D6">
              <w:rPr>
                <w:rFonts w:ascii="Arial" w:hAnsi="Arial" w:cs="Arial"/>
                <w:sz w:val="16"/>
                <w:szCs w:val="16"/>
              </w:rPr>
              <w:br/>
              <w:t>$'000</w:t>
            </w:r>
          </w:p>
        </w:tc>
      </w:tr>
      <w:tr w:rsidR="00752811" w:rsidRPr="003276D6" w14:paraId="59E9D160" w14:textId="77777777" w:rsidTr="00EB7ABD">
        <w:trPr>
          <w:trHeight w:val="204"/>
        </w:trPr>
        <w:tc>
          <w:tcPr>
            <w:tcW w:w="3040" w:type="dxa"/>
            <w:tcBorders>
              <w:top w:val="nil"/>
              <w:left w:val="nil"/>
              <w:bottom w:val="nil"/>
              <w:right w:val="nil"/>
            </w:tcBorders>
            <w:shd w:val="clear" w:color="auto" w:fill="auto"/>
            <w:noWrap/>
            <w:vAlign w:val="bottom"/>
            <w:hideMark/>
          </w:tcPr>
          <w:p w14:paraId="609AF4D5" w14:textId="77777777" w:rsidR="00752811" w:rsidRPr="003276D6" w:rsidRDefault="00752811" w:rsidP="00333C84">
            <w:pPr>
              <w:spacing w:after="0" w:line="240" w:lineRule="auto"/>
              <w:jc w:val="left"/>
              <w:rPr>
                <w:rFonts w:ascii="Arial" w:hAnsi="Arial" w:cs="Arial"/>
                <w:b/>
                <w:bCs/>
                <w:color w:val="000000"/>
                <w:sz w:val="16"/>
                <w:szCs w:val="16"/>
              </w:rPr>
            </w:pPr>
            <w:r w:rsidRPr="003276D6">
              <w:rPr>
                <w:rFonts w:ascii="Arial" w:hAnsi="Arial"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14:paraId="33AF80D2" w14:textId="77777777" w:rsidR="00752811" w:rsidRPr="00EB7ABD" w:rsidRDefault="00752811" w:rsidP="00333C84">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6EEDD247" w14:textId="77777777" w:rsidR="00752811" w:rsidRPr="00EB7ABD" w:rsidRDefault="00752811" w:rsidP="00333C84">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4A8CD67" w14:textId="77777777" w:rsidR="00752811" w:rsidRPr="00EB7ABD" w:rsidRDefault="00752811" w:rsidP="00333C84">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4ADCB991" w14:textId="77777777" w:rsidR="00752811" w:rsidRPr="00EB7ABD" w:rsidRDefault="00752811" w:rsidP="00333C84">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10C7BEA7" w14:textId="77777777" w:rsidR="00752811" w:rsidRPr="00EB7ABD" w:rsidRDefault="00752811" w:rsidP="00333C84">
            <w:pPr>
              <w:spacing w:after="0" w:line="240" w:lineRule="auto"/>
              <w:jc w:val="right"/>
              <w:rPr>
                <w:rFonts w:ascii="Times New Roman" w:hAnsi="Times New Roman"/>
                <w:sz w:val="16"/>
                <w:szCs w:val="16"/>
              </w:rPr>
            </w:pPr>
          </w:p>
        </w:tc>
      </w:tr>
      <w:tr w:rsidR="00752811" w:rsidRPr="003276D6" w14:paraId="529E8F1F" w14:textId="77777777" w:rsidTr="00EB7ABD">
        <w:trPr>
          <w:trHeight w:val="204"/>
        </w:trPr>
        <w:tc>
          <w:tcPr>
            <w:tcW w:w="3040" w:type="dxa"/>
            <w:tcBorders>
              <w:top w:val="nil"/>
              <w:left w:val="nil"/>
              <w:bottom w:val="nil"/>
              <w:right w:val="nil"/>
            </w:tcBorders>
            <w:shd w:val="clear" w:color="auto" w:fill="auto"/>
            <w:noWrap/>
            <w:vAlign w:val="bottom"/>
            <w:hideMark/>
          </w:tcPr>
          <w:p w14:paraId="7A123F5D" w14:textId="77777777" w:rsidR="00752811" w:rsidRPr="003276D6" w:rsidRDefault="00752811" w:rsidP="00333C84">
            <w:pPr>
              <w:spacing w:after="0" w:line="240" w:lineRule="auto"/>
              <w:jc w:val="left"/>
              <w:rPr>
                <w:rFonts w:ascii="Arial" w:hAnsi="Arial" w:cs="Arial"/>
                <w:b/>
                <w:bCs/>
                <w:color w:val="000000"/>
                <w:sz w:val="16"/>
                <w:szCs w:val="16"/>
              </w:rPr>
            </w:pPr>
            <w:r w:rsidRPr="003276D6">
              <w:rPr>
                <w:rFonts w:ascii="Arial" w:hAnsi="Arial"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2915DDC7" w14:textId="77777777" w:rsidR="00752811" w:rsidRPr="00EB7ABD" w:rsidRDefault="00752811" w:rsidP="00333C84">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46E9F309" w14:textId="77777777" w:rsidR="00752811" w:rsidRPr="00EB7ABD" w:rsidRDefault="00752811" w:rsidP="00333C84">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81D6EA6" w14:textId="77777777" w:rsidR="00752811" w:rsidRPr="00EB7ABD" w:rsidRDefault="00752811" w:rsidP="00333C84">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C2A89A2" w14:textId="77777777" w:rsidR="00752811" w:rsidRPr="00EB7ABD" w:rsidRDefault="00752811" w:rsidP="00333C84">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46EECF96" w14:textId="77777777" w:rsidR="00752811" w:rsidRPr="00EB7ABD" w:rsidRDefault="00752811" w:rsidP="00333C84">
            <w:pPr>
              <w:spacing w:after="0" w:line="240" w:lineRule="auto"/>
              <w:jc w:val="right"/>
              <w:rPr>
                <w:rFonts w:ascii="Times New Roman" w:hAnsi="Times New Roman"/>
                <w:sz w:val="16"/>
                <w:szCs w:val="16"/>
              </w:rPr>
            </w:pPr>
          </w:p>
        </w:tc>
      </w:tr>
      <w:tr w:rsidR="00752811" w:rsidRPr="003276D6" w14:paraId="5292C261" w14:textId="77777777" w:rsidTr="00EB7ABD">
        <w:trPr>
          <w:trHeight w:val="204"/>
        </w:trPr>
        <w:tc>
          <w:tcPr>
            <w:tcW w:w="3040" w:type="dxa"/>
            <w:tcBorders>
              <w:top w:val="nil"/>
              <w:left w:val="nil"/>
              <w:bottom w:val="nil"/>
              <w:right w:val="nil"/>
            </w:tcBorders>
            <w:shd w:val="clear" w:color="auto" w:fill="auto"/>
            <w:noWrap/>
            <w:vAlign w:val="bottom"/>
            <w:hideMark/>
          </w:tcPr>
          <w:p w14:paraId="27E58C1A" w14:textId="77777777" w:rsidR="00752811" w:rsidRPr="003276D6" w:rsidRDefault="00752811" w:rsidP="00333C84">
            <w:pPr>
              <w:spacing w:after="0" w:line="240" w:lineRule="auto"/>
              <w:ind w:firstLineChars="100" w:firstLine="160"/>
              <w:jc w:val="left"/>
              <w:rPr>
                <w:rFonts w:ascii="Arial" w:hAnsi="Arial" w:cs="Arial"/>
                <w:color w:val="000000"/>
                <w:sz w:val="16"/>
                <w:szCs w:val="16"/>
              </w:rPr>
            </w:pPr>
            <w:r w:rsidRPr="003276D6">
              <w:rPr>
                <w:rFonts w:ascii="Arial" w:hAnsi="Arial" w:cs="Arial"/>
                <w:color w:val="000000"/>
                <w:sz w:val="16"/>
                <w:szCs w:val="16"/>
              </w:rPr>
              <w:t>Appropriations</w:t>
            </w:r>
          </w:p>
        </w:tc>
        <w:tc>
          <w:tcPr>
            <w:tcW w:w="940" w:type="dxa"/>
            <w:tcBorders>
              <w:top w:val="nil"/>
              <w:left w:val="nil"/>
              <w:bottom w:val="nil"/>
              <w:right w:val="nil"/>
            </w:tcBorders>
            <w:shd w:val="clear" w:color="auto" w:fill="auto"/>
            <w:noWrap/>
            <w:vAlign w:val="bottom"/>
            <w:hideMark/>
          </w:tcPr>
          <w:p w14:paraId="2C3C943E"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3,306</w:t>
            </w:r>
          </w:p>
        </w:tc>
        <w:tc>
          <w:tcPr>
            <w:tcW w:w="940" w:type="dxa"/>
            <w:tcBorders>
              <w:top w:val="nil"/>
              <w:left w:val="nil"/>
              <w:bottom w:val="nil"/>
              <w:right w:val="nil"/>
            </w:tcBorders>
            <w:shd w:val="clear" w:color="000000" w:fill="E6E6E6"/>
            <w:noWrap/>
            <w:vAlign w:val="bottom"/>
            <w:hideMark/>
          </w:tcPr>
          <w:p w14:paraId="2B0FDD59"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3,288</w:t>
            </w:r>
          </w:p>
        </w:tc>
        <w:tc>
          <w:tcPr>
            <w:tcW w:w="940" w:type="dxa"/>
            <w:tcBorders>
              <w:top w:val="nil"/>
              <w:left w:val="nil"/>
              <w:bottom w:val="nil"/>
              <w:right w:val="nil"/>
            </w:tcBorders>
            <w:shd w:val="clear" w:color="auto" w:fill="auto"/>
            <w:noWrap/>
            <w:vAlign w:val="bottom"/>
            <w:hideMark/>
          </w:tcPr>
          <w:p w14:paraId="1AAB7C78"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2,618</w:t>
            </w:r>
          </w:p>
        </w:tc>
        <w:tc>
          <w:tcPr>
            <w:tcW w:w="940" w:type="dxa"/>
            <w:tcBorders>
              <w:top w:val="nil"/>
              <w:left w:val="nil"/>
              <w:bottom w:val="nil"/>
              <w:right w:val="nil"/>
            </w:tcBorders>
            <w:shd w:val="clear" w:color="auto" w:fill="auto"/>
            <w:noWrap/>
            <w:vAlign w:val="bottom"/>
            <w:hideMark/>
          </w:tcPr>
          <w:p w14:paraId="3FD2D8F7"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2,639</w:t>
            </w:r>
          </w:p>
        </w:tc>
        <w:tc>
          <w:tcPr>
            <w:tcW w:w="940" w:type="dxa"/>
            <w:tcBorders>
              <w:top w:val="nil"/>
              <w:left w:val="nil"/>
              <w:bottom w:val="nil"/>
              <w:right w:val="nil"/>
            </w:tcBorders>
            <w:shd w:val="clear" w:color="auto" w:fill="auto"/>
            <w:noWrap/>
            <w:vAlign w:val="bottom"/>
            <w:hideMark/>
          </w:tcPr>
          <w:p w14:paraId="16DA5F9D"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2,657</w:t>
            </w:r>
          </w:p>
        </w:tc>
      </w:tr>
      <w:tr w:rsidR="00752811" w:rsidRPr="003276D6" w14:paraId="373C5E5B" w14:textId="77777777" w:rsidTr="00EB7ABD">
        <w:trPr>
          <w:trHeight w:val="204"/>
        </w:trPr>
        <w:tc>
          <w:tcPr>
            <w:tcW w:w="3040" w:type="dxa"/>
            <w:tcBorders>
              <w:top w:val="nil"/>
              <w:left w:val="nil"/>
              <w:bottom w:val="nil"/>
              <w:right w:val="nil"/>
            </w:tcBorders>
            <w:shd w:val="clear" w:color="auto" w:fill="auto"/>
            <w:noWrap/>
            <w:vAlign w:val="bottom"/>
            <w:hideMark/>
          </w:tcPr>
          <w:p w14:paraId="6337F3DB" w14:textId="77777777" w:rsidR="00752811" w:rsidRPr="003276D6" w:rsidRDefault="00752811" w:rsidP="00333C84">
            <w:pPr>
              <w:spacing w:after="0" w:line="240" w:lineRule="auto"/>
              <w:ind w:firstLineChars="100" w:firstLine="160"/>
              <w:jc w:val="left"/>
              <w:rPr>
                <w:rFonts w:ascii="Arial" w:hAnsi="Arial" w:cs="Arial"/>
                <w:color w:val="000000"/>
                <w:sz w:val="16"/>
                <w:szCs w:val="16"/>
              </w:rPr>
            </w:pPr>
            <w:r w:rsidRPr="003276D6">
              <w:rPr>
                <w:rFonts w:ascii="Arial" w:hAnsi="Arial" w:cs="Arial"/>
                <w:color w:val="000000"/>
                <w:sz w:val="16"/>
                <w:szCs w:val="16"/>
              </w:rPr>
              <w:t xml:space="preserve">Other </w:t>
            </w:r>
          </w:p>
        </w:tc>
        <w:tc>
          <w:tcPr>
            <w:tcW w:w="940" w:type="dxa"/>
            <w:tcBorders>
              <w:top w:val="nil"/>
              <w:left w:val="nil"/>
              <w:bottom w:val="nil"/>
              <w:right w:val="nil"/>
            </w:tcBorders>
            <w:shd w:val="clear" w:color="auto" w:fill="auto"/>
            <w:noWrap/>
            <w:vAlign w:val="bottom"/>
            <w:hideMark/>
          </w:tcPr>
          <w:p w14:paraId="7492F29F"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150</w:t>
            </w:r>
          </w:p>
        </w:tc>
        <w:tc>
          <w:tcPr>
            <w:tcW w:w="940" w:type="dxa"/>
            <w:tcBorders>
              <w:top w:val="nil"/>
              <w:left w:val="nil"/>
              <w:bottom w:val="nil"/>
              <w:right w:val="nil"/>
            </w:tcBorders>
            <w:shd w:val="clear" w:color="000000" w:fill="E6E6E6"/>
            <w:noWrap/>
            <w:vAlign w:val="bottom"/>
            <w:hideMark/>
          </w:tcPr>
          <w:p w14:paraId="4472A457"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7D176AB4"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06657813"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7DBC2DF7"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w:t>
            </w:r>
          </w:p>
        </w:tc>
      </w:tr>
      <w:tr w:rsidR="00752811" w:rsidRPr="003276D6" w14:paraId="3AF79DF4" w14:textId="77777777" w:rsidTr="00EB7ABD">
        <w:trPr>
          <w:trHeight w:val="204"/>
        </w:trPr>
        <w:tc>
          <w:tcPr>
            <w:tcW w:w="3040" w:type="dxa"/>
            <w:tcBorders>
              <w:top w:val="nil"/>
              <w:left w:val="nil"/>
              <w:bottom w:val="nil"/>
              <w:right w:val="nil"/>
            </w:tcBorders>
            <w:shd w:val="clear" w:color="auto" w:fill="auto"/>
            <w:noWrap/>
            <w:vAlign w:val="bottom"/>
            <w:hideMark/>
          </w:tcPr>
          <w:p w14:paraId="21FCAC31" w14:textId="77777777" w:rsidR="00752811" w:rsidRPr="003276D6" w:rsidRDefault="00752811" w:rsidP="00333C84">
            <w:pPr>
              <w:spacing w:after="0" w:line="240" w:lineRule="auto"/>
              <w:jc w:val="left"/>
              <w:rPr>
                <w:rFonts w:ascii="Arial" w:hAnsi="Arial" w:cs="Arial"/>
                <w:b/>
                <w:bCs/>
                <w:i/>
                <w:iCs/>
                <w:color w:val="000000"/>
                <w:sz w:val="16"/>
                <w:szCs w:val="16"/>
              </w:rPr>
            </w:pPr>
            <w:r w:rsidRPr="003276D6">
              <w:rPr>
                <w:rFonts w:ascii="Arial" w:hAnsi="Arial" w:cs="Arial"/>
                <w:b/>
                <w:bCs/>
                <w:i/>
                <w:iCs/>
                <w:color w:val="000000"/>
                <w:sz w:val="16"/>
                <w:szCs w:val="16"/>
              </w:rPr>
              <w:t>Total cash received</w:t>
            </w:r>
          </w:p>
        </w:tc>
        <w:tc>
          <w:tcPr>
            <w:tcW w:w="940" w:type="dxa"/>
            <w:tcBorders>
              <w:top w:val="single" w:sz="4" w:space="0" w:color="000000"/>
              <w:left w:val="nil"/>
              <w:bottom w:val="single" w:sz="4" w:space="0" w:color="000000"/>
              <w:right w:val="nil"/>
            </w:tcBorders>
            <w:shd w:val="clear" w:color="auto" w:fill="auto"/>
            <w:noWrap/>
            <w:vAlign w:val="bottom"/>
            <w:hideMark/>
          </w:tcPr>
          <w:p w14:paraId="75669330"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3,456</w:t>
            </w:r>
          </w:p>
        </w:tc>
        <w:tc>
          <w:tcPr>
            <w:tcW w:w="940" w:type="dxa"/>
            <w:tcBorders>
              <w:top w:val="single" w:sz="4" w:space="0" w:color="000000"/>
              <w:left w:val="nil"/>
              <w:bottom w:val="single" w:sz="4" w:space="0" w:color="000000"/>
              <w:right w:val="nil"/>
            </w:tcBorders>
            <w:shd w:val="clear" w:color="000000" w:fill="E6E6E6"/>
            <w:noWrap/>
            <w:vAlign w:val="bottom"/>
            <w:hideMark/>
          </w:tcPr>
          <w:p w14:paraId="7B298BE6"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3,288</w:t>
            </w:r>
          </w:p>
        </w:tc>
        <w:tc>
          <w:tcPr>
            <w:tcW w:w="940" w:type="dxa"/>
            <w:tcBorders>
              <w:top w:val="single" w:sz="4" w:space="0" w:color="000000"/>
              <w:left w:val="nil"/>
              <w:bottom w:val="single" w:sz="4" w:space="0" w:color="000000"/>
              <w:right w:val="nil"/>
            </w:tcBorders>
            <w:shd w:val="clear" w:color="auto" w:fill="auto"/>
            <w:noWrap/>
            <w:vAlign w:val="bottom"/>
            <w:hideMark/>
          </w:tcPr>
          <w:p w14:paraId="03E8F350"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2,618</w:t>
            </w:r>
          </w:p>
        </w:tc>
        <w:tc>
          <w:tcPr>
            <w:tcW w:w="940" w:type="dxa"/>
            <w:tcBorders>
              <w:top w:val="single" w:sz="4" w:space="0" w:color="000000"/>
              <w:left w:val="nil"/>
              <w:bottom w:val="single" w:sz="4" w:space="0" w:color="000000"/>
              <w:right w:val="nil"/>
            </w:tcBorders>
            <w:shd w:val="clear" w:color="auto" w:fill="auto"/>
            <w:noWrap/>
            <w:vAlign w:val="bottom"/>
            <w:hideMark/>
          </w:tcPr>
          <w:p w14:paraId="1ACB082D"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2,639</w:t>
            </w:r>
          </w:p>
        </w:tc>
        <w:tc>
          <w:tcPr>
            <w:tcW w:w="940" w:type="dxa"/>
            <w:tcBorders>
              <w:top w:val="single" w:sz="4" w:space="0" w:color="000000"/>
              <w:left w:val="nil"/>
              <w:bottom w:val="single" w:sz="4" w:space="0" w:color="000000"/>
              <w:right w:val="nil"/>
            </w:tcBorders>
            <w:shd w:val="clear" w:color="auto" w:fill="auto"/>
            <w:noWrap/>
            <w:vAlign w:val="bottom"/>
            <w:hideMark/>
          </w:tcPr>
          <w:p w14:paraId="7A055E17"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2,657</w:t>
            </w:r>
          </w:p>
        </w:tc>
      </w:tr>
      <w:tr w:rsidR="00752811" w:rsidRPr="003276D6" w14:paraId="5E5134C1" w14:textId="77777777" w:rsidTr="00EB7ABD">
        <w:trPr>
          <w:trHeight w:val="204"/>
        </w:trPr>
        <w:tc>
          <w:tcPr>
            <w:tcW w:w="3040" w:type="dxa"/>
            <w:tcBorders>
              <w:top w:val="nil"/>
              <w:left w:val="nil"/>
              <w:bottom w:val="nil"/>
              <w:right w:val="nil"/>
            </w:tcBorders>
            <w:shd w:val="clear" w:color="auto" w:fill="auto"/>
            <w:noWrap/>
            <w:vAlign w:val="bottom"/>
            <w:hideMark/>
          </w:tcPr>
          <w:p w14:paraId="48736E62" w14:textId="77777777" w:rsidR="00752811" w:rsidRPr="003276D6" w:rsidRDefault="00752811" w:rsidP="00333C84">
            <w:pPr>
              <w:spacing w:after="0" w:line="240" w:lineRule="auto"/>
              <w:jc w:val="left"/>
              <w:rPr>
                <w:rFonts w:ascii="Arial" w:hAnsi="Arial" w:cs="Arial"/>
                <w:b/>
                <w:bCs/>
                <w:color w:val="000000"/>
                <w:sz w:val="16"/>
                <w:szCs w:val="16"/>
              </w:rPr>
            </w:pPr>
            <w:r w:rsidRPr="003276D6">
              <w:rPr>
                <w:rFonts w:ascii="Arial" w:hAnsi="Arial"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14:paraId="0F5E9027" w14:textId="77777777" w:rsidR="00752811" w:rsidRPr="00EB7ABD" w:rsidRDefault="00752811" w:rsidP="00333C84">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39CCE6E2" w14:textId="77777777" w:rsidR="00752811" w:rsidRPr="00EB7ABD" w:rsidRDefault="00752811" w:rsidP="00333C84">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04C24738" w14:textId="77777777" w:rsidR="00752811" w:rsidRPr="00EB7ABD" w:rsidRDefault="00752811" w:rsidP="00333C84">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2C32DE07" w14:textId="77777777" w:rsidR="00752811" w:rsidRPr="00EB7ABD" w:rsidRDefault="00752811" w:rsidP="00333C84">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vAlign w:val="bottom"/>
            <w:hideMark/>
          </w:tcPr>
          <w:p w14:paraId="367C6C3D" w14:textId="77777777" w:rsidR="00752811" w:rsidRPr="00EB7ABD" w:rsidRDefault="00752811" w:rsidP="00333C84">
            <w:pPr>
              <w:spacing w:after="0" w:line="240" w:lineRule="auto"/>
              <w:jc w:val="right"/>
              <w:rPr>
                <w:rFonts w:ascii="Times New Roman" w:hAnsi="Times New Roman"/>
                <w:sz w:val="16"/>
                <w:szCs w:val="16"/>
              </w:rPr>
            </w:pPr>
          </w:p>
        </w:tc>
      </w:tr>
      <w:tr w:rsidR="00752811" w:rsidRPr="003276D6" w14:paraId="2B23CE5D" w14:textId="77777777" w:rsidTr="00EB7ABD">
        <w:trPr>
          <w:trHeight w:val="204"/>
        </w:trPr>
        <w:tc>
          <w:tcPr>
            <w:tcW w:w="3040" w:type="dxa"/>
            <w:tcBorders>
              <w:top w:val="nil"/>
              <w:left w:val="nil"/>
              <w:bottom w:val="nil"/>
              <w:right w:val="nil"/>
            </w:tcBorders>
            <w:shd w:val="clear" w:color="auto" w:fill="auto"/>
            <w:noWrap/>
            <w:vAlign w:val="bottom"/>
            <w:hideMark/>
          </w:tcPr>
          <w:p w14:paraId="6C61ACB9" w14:textId="77777777" w:rsidR="00752811" w:rsidRPr="003276D6" w:rsidRDefault="00752811" w:rsidP="00333C84">
            <w:pPr>
              <w:spacing w:after="0" w:line="240" w:lineRule="auto"/>
              <w:ind w:firstLineChars="100" w:firstLine="160"/>
              <w:jc w:val="left"/>
              <w:rPr>
                <w:rFonts w:ascii="Arial" w:hAnsi="Arial" w:cs="Arial"/>
                <w:color w:val="000000"/>
                <w:sz w:val="16"/>
                <w:szCs w:val="16"/>
              </w:rPr>
            </w:pPr>
            <w:r w:rsidRPr="003276D6">
              <w:rPr>
                <w:rFonts w:ascii="Arial" w:hAnsi="Arial" w:cs="Arial"/>
                <w:color w:val="000000"/>
                <w:sz w:val="16"/>
                <w:szCs w:val="16"/>
              </w:rPr>
              <w:t>Employees</w:t>
            </w:r>
          </w:p>
        </w:tc>
        <w:tc>
          <w:tcPr>
            <w:tcW w:w="940" w:type="dxa"/>
            <w:tcBorders>
              <w:top w:val="nil"/>
              <w:left w:val="nil"/>
              <w:bottom w:val="nil"/>
              <w:right w:val="nil"/>
            </w:tcBorders>
            <w:shd w:val="clear" w:color="auto" w:fill="auto"/>
            <w:noWrap/>
            <w:vAlign w:val="bottom"/>
            <w:hideMark/>
          </w:tcPr>
          <w:p w14:paraId="7A2C2286"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1,506</w:t>
            </w:r>
          </w:p>
        </w:tc>
        <w:tc>
          <w:tcPr>
            <w:tcW w:w="940" w:type="dxa"/>
            <w:tcBorders>
              <w:top w:val="nil"/>
              <w:left w:val="nil"/>
              <w:bottom w:val="nil"/>
              <w:right w:val="nil"/>
            </w:tcBorders>
            <w:shd w:val="clear" w:color="000000" w:fill="E6E6E6"/>
            <w:noWrap/>
            <w:vAlign w:val="bottom"/>
            <w:hideMark/>
          </w:tcPr>
          <w:p w14:paraId="0A356F7C"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1,639</w:t>
            </w:r>
          </w:p>
        </w:tc>
        <w:tc>
          <w:tcPr>
            <w:tcW w:w="940" w:type="dxa"/>
            <w:tcBorders>
              <w:top w:val="nil"/>
              <w:left w:val="nil"/>
              <w:bottom w:val="nil"/>
              <w:right w:val="nil"/>
            </w:tcBorders>
            <w:shd w:val="clear" w:color="auto" w:fill="auto"/>
            <w:noWrap/>
            <w:vAlign w:val="bottom"/>
            <w:hideMark/>
          </w:tcPr>
          <w:p w14:paraId="3F02A4D0"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2,007</w:t>
            </w:r>
          </w:p>
        </w:tc>
        <w:tc>
          <w:tcPr>
            <w:tcW w:w="940" w:type="dxa"/>
            <w:tcBorders>
              <w:top w:val="nil"/>
              <w:left w:val="nil"/>
              <w:bottom w:val="nil"/>
              <w:right w:val="nil"/>
            </w:tcBorders>
            <w:shd w:val="clear" w:color="auto" w:fill="auto"/>
            <w:noWrap/>
            <w:vAlign w:val="bottom"/>
            <w:hideMark/>
          </w:tcPr>
          <w:p w14:paraId="6379A550"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2,022</w:t>
            </w:r>
          </w:p>
        </w:tc>
        <w:tc>
          <w:tcPr>
            <w:tcW w:w="940" w:type="dxa"/>
            <w:tcBorders>
              <w:top w:val="nil"/>
              <w:left w:val="nil"/>
              <w:bottom w:val="nil"/>
              <w:right w:val="nil"/>
            </w:tcBorders>
            <w:shd w:val="clear" w:color="auto" w:fill="auto"/>
            <w:noWrap/>
            <w:vAlign w:val="bottom"/>
            <w:hideMark/>
          </w:tcPr>
          <w:p w14:paraId="4CC7E187"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2,035</w:t>
            </w:r>
          </w:p>
        </w:tc>
      </w:tr>
      <w:tr w:rsidR="00752811" w:rsidRPr="003276D6" w14:paraId="4CC4638F" w14:textId="77777777" w:rsidTr="00EB7ABD">
        <w:trPr>
          <w:trHeight w:val="204"/>
        </w:trPr>
        <w:tc>
          <w:tcPr>
            <w:tcW w:w="3040" w:type="dxa"/>
            <w:tcBorders>
              <w:top w:val="nil"/>
              <w:left w:val="nil"/>
              <w:bottom w:val="nil"/>
              <w:right w:val="nil"/>
            </w:tcBorders>
            <w:shd w:val="clear" w:color="auto" w:fill="auto"/>
            <w:noWrap/>
            <w:vAlign w:val="bottom"/>
            <w:hideMark/>
          </w:tcPr>
          <w:p w14:paraId="17B082DB" w14:textId="77777777" w:rsidR="00752811" w:rsidRPr="003276D6" w:rsidRDefault="00752811" w:rsidP="00333C84">
            <w:pPr>
              <w:spacing w:after="0" w:line="240" w:lineRule="auto"/>
              <w:ind w:firstLineChars="100" w:firstLine="160"/>
              <w:jc w:val="left"/>
              <w:rPr>
                <w:rFonts w:ascii="Arial" w:hAnsi="Arial" w:cs="Arial"/>
                <w:color w:val="000000"/>
                <w:sz w:val="16"/>
                <w:szCs w:val="16"/>
              </w:rPr>
            </w:pPr>
            <w:r w:rsidRPr="003276D6">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bottom"/>
            <w:hideMark/>
          </w:tcPr>
          <w:p w14:paraId="6998C075"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1,950</w:t>
            </w:r>
          </w:p>
        </w:tc>
        <w:tc>
          <w:tcPr>
            <w:tcW w:w="940" w:type="dxa"/>
            <w:tcBorders>
              <w:top w:val="nil"/>
              <w:left w:val="nil"/>
              <w:bottom w:val="nil"/>
              <w:right w:val="nil"/>
            </w:tcBorders>
            <w:shd w:val="clear" w:color="000000" w:fill="E6E6E6"/>
            <w:noWrap/>
            <w:vAlign w:val="bottom"/>
            <w:hideMark/>
          </w:tcPr>
          <w:p w14:paraId="241C2B7C"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1,649</w:t>
            </w:r>
          </w:p>
        </w:tc>
        <w:tc>
          <w:tcPr>
            <w:tcW w:w="940" w:type="dxa"/>
            <w:tcBorders>
              <w:top w:val="nil"/>
              <w:left w:val="nil"/>
              <w:bottom w:val="nil"/>
              <w:right w:val="nil"/>
            </w:tcBorders>
            <w:shd w:val="clear" w:color="auto" w:fill="auto"/>
            <w:noWrap/>
            <w:vAlign w:val="bottom"/>
            <w:hideMark/>
          </w:tcPr>
          <w:p w14:paraId="67BD0BDC"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611</w:t>
            </w:r>
          </w:p>
        </w:tc>
        <w:tc>
          <w:tcPr>
            <w:tcW w:w="940" w:type="dxa"/>
            <w:tcBorders>
              <w:top w:val="nil"/>
              <w:left w:val="nil"/>
              <w:bottom w:val="nil"/>
              <w:right w:val="nil"/>
            </w:tcBorders>
            <w:shd w:val="clear" w:color="auto" w:fill="auto"/>
            <w:noWrap/>
            <w:vAlign w:val="bottom"/>
            <w:hideMark/>
          </w:tcPr>
          <w:p w14:paraId="5A7CF2A1"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617</w:t>
            </w:r>
          </w:p>
        </w:tc>
        <w:tc>
          <w:tcPr>
            <w:tcW w:w="940" w:type="dxa"/>
            <w:tcBorders>
              <w:top w:val="nil"/>
              <w:left w:val="nil"/>
              <w:bottom w:val="nil"/>
              <w:right w:val="nil"/>
            </w:tcBorders>
            <w:shd w:val="clear" w:color="auto" w:fill="auto"/>
            <w:noWrap/>
            <w:vAlign w:val="bottom"/>
            <w:hideMark/>
          </w:tcPr>
          <w:p w14:paraId="0674E00F"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622</w:t>
            </w:r>
          </w:p>
        </w:tc>
      </w:tr>
      <w:tr w:rsidR="00752811" w:rsidRPr="003276D6" w14:paraId="3EBA12DA" w14:textId="77777777" w:rsidTr="00EB7ABD">
        <w:trPr>
          <w:trHeight w:val="204"/>
        </w:trPr>
        <w:tc>
          <w:tcPr>
            <w:tcW w:w="3040" w:type="dxa"/>
            <w:tcBorders>
              <w:top w:val="nil"/>
              <w:left w:val="nil"/>
              <w:bottom w:val="nil"/>
              <w:right w:val="nil"/>
            </w:tcBorders>
            <w:shd w:val="clear" w:color="auto" w:fill="auto"/>
            <w:noWrap/>
            <w:vAlign w:val="bottom"/>
            <w:hideMark/>
          </w:tcPr>
          <w:p w14:paraId="252C4310" w14:textId="77777777" w:rsidR="00752811" w:rsidRPr="003276D6" w:rsidRDefault="00752811" w:rsidP="00333C84">
            <w:pPr>
              <w:spacing w:after="0" w:line="240" w:lineRule="auto"/>
              <w:jc w:val="left"/>
              <w:rPr>
                <w:rFonts w:ascii="Arial" w:hAnsi="Arial" w:cs="Arial"/>
                <w:b/>
                <w:bCs/>
                <w:i/>
                <w:iCs/>
                <w:color w:val="000000"/>
                <w:sz w:val="16"/>
                <w:szCs w:val="16"/>
              </w:rPr>
            </w:pPr>
            <w:r w:rsidRPr="003276D6">
              <w:rPr>
                <w:rFonts w:ascii="Arial" w:hAnsi="Arial" w:cs="Arial"/>
                <w:b/>
                <w:bCs/>
                <w:i/>
                <w:iCs/>
                <w:color w:val="000000"/>
                <w:sz w:val="16"/>
                <w:szCs w:val="16"/>
              </w:rPr>
              <w:t>Total cash used</w:t>
            </w:r>
          </w:p>
        </w:tc>
        <w:tc>
          <w:tcPr>
            <w:tcW w:w="940" w:type="dxa"/>
            <w:tcBorders>
              <w:top w:val="single" w:sz="4" w:space="0" w:color="000000"/>
              <w:left w:val="nil"/>
              <w:bottom w:val="nil"/>
              <w:right w:val="nil"/>
            </w:tcBorders>
            <w:shd w:val="clear" w:color="auto" w:fill="auto"/>
            <w:noWrap/>
            <w:vAlign w:val="bottom"/>
            <w:hideMark/>
          </w:tcPr>
          <w:p w14:paraId="2E1575AF"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3,456</w:t>
            </w:r>
          </w:p>
        </w:tc>
        <w:tc>
          <w:tcPr>
            <w:tcW w:w="940" w:type="dxa"/>
            <w:tcBorders>
              <w:top w:val="single" w:sz="4" w:space="0" w:color="000000"/>
              <w:left w:val="nil"/>
              <w:bottom w:val="nil"/>
              <w:right w:val="nil"/>
            </w:tcBorders>
            <w:shd w:val="clear" w:color="000000" w:fill="E6E6E6"/>
            <w:noWrap/>
            <w:vAlign w:val="bottom"/>
            <w:hideMark/>
          </w:tcPr>
          <w:p w14:paraId="08508F3F"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3,288</w:t>
            </w:r>
          </w:p>
        </w:tc>
        <w:tc>
          <w:tcPr>
            <w:tcW w:w="940" w:type="dxa"/>
            <w:tcBorders>
              <w:top w:val="single" w:sz="4" w:space="0" w:color="000000"/>
              <w:left w:val="nil"/>
              <w:bottom w:val="nil"/>
              <w:right w:val="nil"/>
            </w:tcBorders>
            <w:shd w:val="clear" w:color="auto" w:fill="auto"/>
            <w:noWrap/>
            <w:vAlign w:val="bottom"/>
            <w:hideMark/>
          </w:tcPr>
          <w:p w14:paraId="1594211B"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2,618</w:t>
            </w:r>
          </w:p>
        </w:tc>
        <w:tc>
          <w:tcPr>
            <w:tcW w:w="940" w:type="dxa"/>
            <w:tcBorders>
              <w:top w:val="single" w:sz="4" w:space="0" w:color="000000"/>
              <w:left w:val="nil"/>
              <w:bottom w:val="nil"/>
              <w:right w:val="nil"/>
            </w:tcBorders>
            <w:shd w:val="clear" w:color="auto" w:fill="auto"/>
            <w:noWrap/>
            <w:vAlign w:val="bottom"/>
            <w:hideMark/>
          </w:tcPr>
          <w:p w14:paraId="6EC6CBA4"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2,639</w:t>
            </w:r>
          </w:p>
        </w:tc>
        <w:tc>
          <w:tcPr>
            <w:tcW w:w="940" w:type="dxa"/>
            <w:tcBorders>
              <w:top w:val="single" w:sz="4" w:space="0" w:color="000000"/>
              <w:left w:val="nil"/>
              <w:bottom w:val="nil"/>
              <w:right w:val="nil"/>
            </w:tcBorders>
            <w:shd w:val="clear" w:color="auto" w:fill="auto"/>
            <w:noWrap/>
            <w:vAlign w:val="bottom"/>
            <w:hideMark/>
          </w:tcPr>
          <w:p w14:paraId="5B7F53AE" w14:textId="77777777" w:rsidR="00752811" w:rsidRPr="00EB7ABD" w:rsidRDefault="00752811" w:rsidP="00333C84">
            <w:pPr>
              <w:spacing w:after="0" w:line="240" w:lineRule="auto"/>
              <w:jc w:val="right"/>
              <w:rPr>
                <w:rFonts w:ascii="Arial" w:hAnsi="Arial" w:cs="Arial"/>
                <w:b/>
                <w:bCs/>
                <w:i/>
                <w:iCs/>
                <w:color w:val="000000"/>
                <w:sz w:val="16"/>
                <w:szCs w:val="16"/>
              </w:rPr>
            </w:pPr>
            <w:r w:rsidRPr="00EB7ABD">
              <w:rPr>
                <w:rFonts w:ascii="Arial" w:hAnsi="Arial" w:cs="Arial"/>
                <w:b/>
                <w:bCs/>
                <w:i/>
                <w:iCs/>
                <w:color w:val="000000"/>
                <w:sz w:val="16"/>
                <w:szCs w:val="16"/>
              </w:rPr>
              <w:t>2,657</w:t>
            </w:r>
          </w:p>
        </w:tc>
      </w:tr>
      <w:tr w:rsidR="00752811" w:rsidRPr="003276D6" w14:paraId="55E906C7" w14:textId="77777777" w:rsidTr="00EB7ABD">
        <w:trPr>
          <w:trHeight w:val="204"/>
        </w:trPr>
        <w:tc>
          <w:tcPr>
            <w:tcW w:w="3040" w:type="dxa"/>
            <w:tcBorders>
              <w:top w:val="nil"/>
              <w:left w:val="nil"/>
              <w:bottom w:val="nil"/>
              <w:right w:val="nil"/>
            </w:tcBorders>
            <w:shd w:val="clear" w:color="auto" w:fill="auto"/>
            <w:vAlign w:val="bottom"/>
            <w:hideMark/>
          </w:tcPr>
          <w:p w14:paraId="03720A78" w14:textId="77777777" w:rsidR="00752811" w:rsidRPr="003276D6" w:rsidRDefault="00752811" w:rsidP="00333C84">
            <w:pPr>
              <w:spacing w:after="0" w:line="240" w:lineRule="auto"/>
              <w:jc w:val="left"/>
              <w:rPr>
                <w:rFonts w:ascii="Arial" w:hAnsi="Arial" w:cs="Arial"/>
                <w:b/>
                <w:bCs/>
                <w:color w:val="000000"/>
                <w:sz w:val="16"/>
                <w:szCs w:val="16"/>
              </w:rPr>
            </w:pPr>
            <w:r w:rsidRPr="003276D6">
              <w:rPr>
                <w:rFonts w:ascii="Arial" w:hAnsi="Arial" w:cs="Arial"/>
                <w:b/>
                <w:bCs/>
                <w:color w:val="000000"/>
                <w:sz w:val="16"/>
                <w:szCs w:val="16"/>
              </w:rPr>
              <w:t>Net cash from/(used by) operating activities</w:t>
            </w:r>
          </w:p>
        </w:tc>
        <w:tc>
          <w:tcPr>
            <w:tcW w:w="940" w:type="dxa"/>
            <w:tcBorders>
              <w:top w:val="single" w:sz="4" w:space="0" w:color="auto"/>
              <w:left w:val="nil"/>
              <w:bottom w:val="single" w:sz="4" w:space="0" w:color="auto"/>
              <w:right w:val="nil"/>
            </w:tcBorders>
            <w:shd w:val="clear" w:color="auto" w:fill="auto"/>
            <w:noWrap/>
            <w:vAlign w:val="bottom"/>
            <w:hideMark/>
          </w:tcPr>
          <w:p w14:paraId="490845D4"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000000" w:fill="E6E6E6"/>
            <w:noWrap/>
            <w:vAlign w:val="bottom"/>
            <w:hideMark/>
          </w:tcPr>
          <w:p w14:paraId="5D6BC49C"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0A627269"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7DCBE289"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14:paraId="11BE8B0C"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r>
      <w:tr w:rsidR="00752811" w:rsidRPr="003276D6" w14:paraId="007522B4" w14:textId="77777777" w:rsidTr="00EB7ABD">
        <w:trPr>
          <w:trHeight w:val="204"/>
        </w:trPr>
        <w:tc>
          <w:tcPr>
            <w:tcW w:w="3040" w:type="dxa"/>
            <w:tcBorders>
              <w:top w:val="nil"/>
              <w:left w:val="nil"/>
              <w:bottom w:val="nil"/>
              <w:right w:val="nil"/>
            </w:tcBorders>
            <w:shd w:val="clear" w:color="auto" w:fill="auto"/>
            <w:vAlign w:val="bottom"/>
            <w:hideMark/>
          </w:tcPr>
          <w:p w14:paraId="67B5DBB4" w14:textId="77777777" w:rsidR="00752811" w:rsidRPr="003276D6" w:rsidRDefault="00752811" w:rsidP="00333C84">
            <w:pPr>
              <w:spacing w:after="0" w:line="240" w:lineRule="auto"/>
              <w:jc w:val="left"/>
              <w:rPr>
                <w:rFonts w:ascii="Arial" w:hAnsi="Arial" w:cs="Arial"/>
                <w:b/>
                <w:bCs/>
                <w:color w:val="000000"/>
                <w:sz w:val="16"/>
                <w:szCs w:val="16"/>
              </w:rPr>
            </w:pPr>
            <w:r w:rsidRPr="003276D6">
              <w:rPr>
                <w:rFonts w:ascii="Arial" w:hAnsi="Arial" w:cs="Arial"/>
                <w:b/>
                <w:bCs/>
                <w:color w:val="000000"/>
                <w:sz w:val="16"/>
                <w:szCs w:val="16"/>
              </w:rPr>
              <w:t>Net increase/(decrease) in cash held</w:t>
            </w:r>
          </w:p>
        </w:tc>
        <w:tc>
          <w:tcPr>
            <w:tcW w:w="940" w:type="dxa"/>
            <w:tcBorders>
              <w:top w:val="nil"/>
              <w:left w:val="nil"/>
              <w:bottom w:val="single" w:sz="4" w:space="0" w:color="000000"/>
              <w:right w:val="nil"/>
            </w:tcBorders>
            <w:shd w:val="clear" w:color="auto" w:fill="auto"/>
            <w:noWrap/>
            <w:vAlign w:val="bottom"/>
            <w:hideMark/>
          </w:tcPr>
          <w:p w14:paraId="46BA794F"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c>
          <w:tcPr>
            <w:tcW w:w="940" w:type="dxa"/>
            <w:tcBorders>
              <w:top w:val="nil"/>
              <w:left w:val="nil"/>
              <w:bottom w:val="single" w:sz="4" w:space="0" w:color="000000"/>
              <w:right w:val="nil"/>
            </w:tcBorders>
            <w:shd w:val="clear" w:color="000000" w:fill="E6E6E6"/>
            <w:noWrap/>
            <w:vAlign w:val="bottom"/>
            <w:hideMark/>
          </w:tcPr>
          <w:p w14:paraId="7ACC9B45"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166DA286"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0700BD49"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noWrap/>
            <w:vAlign w:val="bottom"/>
            <w:hideMark/>
          </w:tcPr>
          <w:p w14:paraId="426A3B63" w14:textId="77777777" w:rsidR="00752811" w:rsidRPr="00EB7ABD" w:rsidRDefault="00752811" w:rsidP="00333C84">
            <w:pPr>
              <w:spacing w:after="0" w:line="240" w:lineRule="auto"/>
              <w:jc w:val="right"/>
              <w:rPr>
                <w:rFonts w:ascii="Arial" w:hAnsi="Arial" w:cs="Arial"/>
                <w:b/>
                <w:bCs/>
                <w:color w:val="000000"/>
                <w:sz w:val="16"/>
                <w:szCs w:val="16"/>
              </w:rPr>
            </w:pPr>
            <w:r w:rsidRPr="00EB7ABD">
              <w:rPr>
                <w:rFonts w:ascii="Arial" w:hAnsi="Arial" w:cs="Arial"/>
                <w:b/>
                <w:bCs/>
                <w:color w:val="000000"/>
                <w:sz w:val="16"/>
                <w:szCs w:val="16"/>
              </w:rPr>
              <w:t>-</w:t>
            </w:r>
          </w:p>
        </w:tc>
      </w:tr>
      <w:tr w:rsidR="00752811" w:rsidRPr="003276D6" w14:paraId="25AD897C" w14:textId="77777777" w:rsidTr="00EB7ABD">
        <w:trPr>
          <w:trHeight w:val="204"/>
        </w:trPr>
        <w:tc>
          <w:tcPr>
            <w:tcW w:w="3040" w:type="dxa"/>
            <w:tcBorders>
              <w:top w:val="nil"/>
              <w:left w:val="nil"/>
              <w:bottom w:val="nil"/>
              <w:right w:val="nil"/>
            </w:tcBorders>
            <w:shd w:val="clear" w:color="auto" w:fill="auto"/>
            <w:vAlign w:val="bottom"/>
            <w:hideMark/>
          </w:tcPr>
          <w:p w14:paraId="28C10FC9" w14:textId="77777777" w:rsidR="00752811" w:rsidRPr="003276D6" w:rsidRDefault="00752811" w:rsidP="00EB7ABD">
            <w:pPr>
              <w:spacing w:before="60" w:after="0" w:line="240" w:lineRule="auto"/>
              <w:jc w:val="left"/>
              <w:rPr>
                <w:rFonts w:ascii="Arial" w:hAnsi="Arial" w:cs="Arial"/>
                <w:color w:val="000000"/>
                <w:sz w:val="16"/>
                <w:szCs w:val="16"/>
              </w:rPr>
            </w:pPr>
            <w:r w:rsidRPr="003276D6">
              <w:rPr>
                <w:rFonts w:ascii="Arial" w:hAnsi="Arial" w:cs="Arial"/>
                <w:color w:val="000000"/>
                <w:sz w:val="16"/>
                <w:szCs w:val="16"/>
              </w:rPr>
              <w:t>Cash and cash equivalents at the beginning of the reporting period</w:t>
            </w:r>
          </w:p>
        </w:tc>
        <w:tc>
          <w:tcPr>
            <w:tcW w:w="940" w:type="dxa"/>
            <w:tcBorders>
              <w:top w:val="nil"/>
              <w:left w:val="nil"/>
              <w:bottom w:val="nil"/>
              <w:right w:val="nil"/>
            </w:tcBorders>
            <w:shd w:val="clear" w:color="auto" w:fill="auto"/>
            <w:noWrap/>
            <w:vAlign w:val="bottom"/>
            <w:hideMark/>
          </w:tcPr>
          <w:p w14:paraId="118754EF"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20</w:t>
            </w:r>
          </w:p>
        </w:tc>
        <w:tc>
          <w:tcPr>
            <w:tcW w:w="940" w:type="dxa"/>
            <w:tcBorders>
              <w:top w:val="nil"/>
              <w:left w:val="nil"/>
              <w:bottom w:val="nil"/>
              <w:right w:val="nil"/>
            </w:tcBorders>
            <w:shd w:val="clear" w:color="000000" w:fill="E6E6E6"/>
            <w:noWrap/>
            <w:vAlign w:val="bottom"/>
            <w:hideMark/>
          </w:tcPr>
          <w:p w14:paraId="0FD21BAC"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20</w:t>
            </w:r>
          </w:p>
        </w:tc>
        <w:tc>
          <w:tcPr>
            <w:tcW w:w="940" w:type="dxa"/>
            <w:tcBorders>
              <w:top w:val="nil"/>
              <w:left w:val="nil"/>
              <w:bottom w:val="nil"/>
              <w:right w:val="nil"/>
            </w:tcBorders>
            <w:shd w:val="clear" w:color="auto" w:fill="auto"/>
            <w:noWrap/>
            <w:vAlign w:val="bottom"/>
            <w:hideMark/>
          </w:tcPr>
          <w:p w14:paraId="0A7C5238" w14:textId="77777777" w:rsidR="00752811" w:rsidRPr="00EB7ABD" w:rsidRDefault="00752811" w:rsidP="00333C84">
            <w:pPr>
              <w:spacing w:after="0" w:line="240" w:lineRule="auto"/>
              <w:jc w:val="right"/>
              <w:rPr>
                <w:rFonts w:ascii="Arial" w:hAnsi="Arial" w:cs="Arial"/>
                <w:color w:val="000000"/>
                <w:sz w:val="16"/>
                <w:szCs w:val="16"/>
              </w:rPr>
            </w:pPr>
            <w:r w:rsidRPr="00EB7ABD">
              <w:rPr>
                <w:rFonts w:ascii="Arial" w:hAnsi="Arial" w:cs="Arial"/>
                <w:color w:val="000000"/>
                <w:sz w:val="16"/>
                <w:szCs w:val="16"/>
              </w:rPr>
              <w:t>20</w:t>
            </w:r>
          </w:p>
        </w:tc>
        <w:tc>
          <w:tcPr>
            <w:tcW w:w="940" w:type="dxa"/>
            <w:tcBorders>
              <w:top w:val="nil"/>
              <w:left w:val="nil"/>
              <w:bottom w:val="nil"/>
              <w:right w:val="nil"/>
            </w:tcBorders>
            <w:shd w:val="clear" w:color="auto" w:fill="auto"/>
            <w:noWrap/>
            <w:vAlign w:val="bottom"/>
            <w:hideMark/>
          </w:tcPr>
          <w:p w14:paraId="5E6AD711"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20</w:t>
            </w:r>
          </w:p>
        </w:tc>
        <w:tc>
          <w:tcPr>
            <w:tcW w:w="940" w:type="dxa"/>
            <w:tcBorders>
              <w:top w:val="nil"/>
              <w:left w:val="nil"/>
              <w:bottom w:val="nil"/>
              <w:right w:val="nil"/>
            </w:tcBorders>
            <w:shd w:val="clear" w:color="auto" w:fill="auto"/>
            <w:noWrap/>
            <w:vAlign w:val="bottom"/>
            <w:hideMark/>
          </w:tcPr>
          <w:p w14:paraId="43C98985" w14:textId="77777777" w:rsidR="00752811" w:rsidRPr="00EB7ABD" w:rsidRDefault="00752811" w:rsidP="00333C84">
            <w:pPr>
              <w:spacing w:after="0" w:line="240" w:lineRule="auto"/>
              <w:jc w:val="right"/>
              <w:rPr>
                <w:rFonts w:ascii="Times New Roman" w:hAnsi="Times New Roman"/>
                <w:sz w:val="16"/>
                <w:szCs w:val="16"/>
              </w:rPr>
            </w:pPr>
            <w:r w:rsidRPr="00EB7ABD">
              <w:rPr>
                <w:rFonts w:ascii="Arial" w:hAnsi="Arial" w:cs="Arial"/>
                <w:color w:val="000000"/>
                <w:sz w:val="16"/>
                <w:szCs w:val="16"/>
              </w:rPr>
              <w:t>20</w:t>
            </w:r>
          </w:p>
        </w:tc>
      </w:tr>
      <w:tr w:rsidR="00752811" w:rsidRPr="003276D6" w14:paraId="1DBEE067" w14:textId="77777777" w:rsidTr="00EB7ABD">
        <w:trPr>
          <w:trHeight w:val="204"/>
        </w:trPr>
        <w:tc>
          <w:tcPr>
            <w:tcW w:w="3040" w:type="dxa"/>
            <w:tcBorders>
              <w:top w:val="nil"/>
              <w:left w:val="nil"/>
              <w:bottom w:val="single" w:sz="4" w:space="0" w:color="auto"/>
              <w:right w:val="nil"/>
            </w:tcBorders>
            <w:shd w:val="clear" w:color="auto" w:fill="auto"/>
            <w:vAlign w:val="bottom"/>
            <w:hideMark/>
          </w:tcPr>
          <w:p w14:paraId="0D802F8B" w14:textId="77777777" w:rsidR="00752811" w:rsidRPr="003276D6" w:rsidRDefault="00752811" w:rsidP="00333C84">
            <w:pPr>
              <w:spacing w:after="0" w:line="240" w:lineRule="auto"/>
              <w:jc w:val="left"/>
              <w:rPr>
                <w:rFonts w:ascii="Arial" w:hAnsi="Arial" w:cs="Arial"/>
                <w:b/>
                <w:bCs/>
                <w:color w:val="000000"/>
                <w:sz w:val="16"/>
                <w:szCs w:val="16"/>
              </w:rPr>
            </w:pPr>
            <w:r w:rsidRPr="003276D6">
              <w:rPr>
                <w:rFonts w:ascii="Arial" w:hAnsi="Arial" w:cs="Arial"/>
                <w:b/>
                <w:bCs/>
                <w:color w:val="000000"/>
                <w:sz w:val="16"/>
                <w:szCs w:val="16"/>
              </w:rPr>
              <w:t>Cash and cash equivalents at the end of the reporting period</w:t>
            </w:r>
          </w:p>
        </w:tc>
        <w:tc>
          <w:tcPr>
            <w:tcW w:w="940" w:type="dxa"/>
            <w:tcBorders>
              <w:top w:val="single" w:sz="4" w:space="0" w:color="000000"/>
              <w:left w:val="nil"/>
              <w:bottom w:val="single" w:sz="4" w:space="0" w:color="auto"/>
              <w:right w:val="nil"/>
            </w:tcBorders>
            <w:shd w:val="clear" w:color="auto" w:fill="auto"/>
            <w:noWrap/>
            <w:vAlign w:val="bottom"/>
            <w:hideMark/>
          </w:tcPr>
          <w:p w14:paraId="09ACA4A4" w14:textId="77777777" w:rsidR="00752811" w:rsidRPr="00E359B6" w:rsidRDefault="00752811" w:rsidP="00333C84">
            <w:pPr>
              <w:spacing w:after="0" w:line="240" w:lineRule="auto"/>
              <w:jc w:val="right"/>
              <w:rPr>
                <w:rFonts w:ascii="Arial" w:hAnsi="Arial" w:cs="Arial"/>
                <w:b/>
                <w:color w:val="000000"/>
                <w:sz w:val="16"/>
                <w:szCs w:val="16"/>
              </w:rPr>
            </w:pPr>
            <w:r w:rsidRPr="00E359B6">
              <w:rPr>
                <w:rFonts w:ascii="Arial" w:hAnsi="Arial" w:cs="Arial"/>
                <w:b/>
                <w:color w:val="000000"/>
                <w:sz w:val="16"/>
                <w:szCs w:val="16"/>
              </w:rPr>
              <w:t>20</w:t>
            </w:r>
          </w:p>
        </w:tc>
        <w:tc>
          <w:tcPr>
            <w:tcW w:w="940" w:type="dxa"/>
            <w:tcBorders>
              <w:top w:val="single" w:sz="4" w:space="0" w:color="000000"/>
              <w:left w:val="nil"/>
              <w:bottom w:val="single" w:sz="4" w:space="0" w:color="auto"/>
              <w:right w:val="nil"/>
            </w:tcBorders>
            <w:shd w:val="clear" w:color="000000" w:fill="E6E6E6"/>
            <w:noWrap/>
            <w:vAlign w:val="bottom"/>
            <w:hideMark/>
          </w:tcPr>
          <w:p w14:paraId="3F34E372" w14:textId="77777777" w:rsidR="00752811" w:rsidRPr="00E359B6" w:rsidRDefault="00752811" w:rsidP="00333C84">
            <w:pPr>
              <w:spacing w:after="0" w:line="240" w:lineRule="auto"/>
              <w:jc w:val="right"/>
              <w:rPr>
                <w:rFonts w:ascii="Arial" w:hAnsi="Arial" w:cs="Arial"/>
                <w:b/>
                <w:color w:val="000000"/>
                <w:sz w:val="16"/>
                <w:szCs w:val="16"/>
              </w:rPr>
            </w:pPr>
            <w:r w:rsidRPr="00E359B6">
              <w:rPr>
                <w:rFonts w:ascii="Arial" w:hAnsi="Arial" w:cs="Arial"/>
                <w:b/>
                <w:color w:val="000000"/>
                <w:sz w:val="16"/>
                <w:szCs w:val="16"/>
              </w:rPr>
              <w:t>20</w:t>
            </w:r>
          </w:p>
        </w:tc>
        <w:tc>
          <w:tcPr>
            <w:tcW w:w="940" w:type="dxa"/>
            <w:tcBorders>
              <w:top w:val="single" w:sz="4" w:space="0" w:color="000000"/>
              <w:left w:val="nil"/>
              <w:bottom w:val="single" w:sz="4" w:space="0" w:color="auto"/>
              <w:right w:val="nil"/>
            </w:tcBorders>
            <w:shd w:val="clear" w:color="auto" w:fill="auto"/>
            <w:noWrap/>
            <w:vAlign w:val="bottom"/>
            <w:hideMark/>
          </w:tcPr>
          <w:p w14:paraId="6B066B45" w14:textId="77777777" w:rsidR="00752811" w:rsidRPr="00E359B6" w:rsidRDefault="00752811" w:rsidP="00333C84">
            <w:pPr>
              <w:spacing w:after="0" w:line="240" w:lineRule="auto"/>
              <w:jc w:val="right"/>
              <w:rPr>
                <w:rFonts w:ascii="Arial" w:hAnsi="Arial" w:cs="Arial"/>
                <w:b/>
                <w:color w:val="000000"/>
                <w:sz w:val="16"/>
                <w:szCs w:val="16"/>
              </w:rPr>
            </w:pPr>
            <w:r w:rsidRPr="00E359B6">
              <w:rPr>
                <w:rFonts w:ascii="Arial" w:hAnsi="Arial" w:cs="Arial"/>
                <w:b/>
                <w:color w:val="000000"/>
                <w:sz w:val="16"/>
                <w:szCs w:val="16"/>
              </w:rPr>
              <w:t>20</w:t>
            </w:r>
          </w:p>
        </w:tc>
        <w:tc>
          <w:tcPr>
            <w:tcW w:w="940" w:type="dxa"/>
            <w:tcBorders>
              <w:top w:val="single" w:sz="4" w:space="0" w:color="000000"/>
              <w:left w:val="nil"/>
              <w:bottom w:val="single" w:sz="4" w:space="0" w:color="auto"/>
              <w:right w:val="nil"/>
            </w:tcBorders>
            <w:shd w:val="clear" w:color="auto" w:fill="auto"/>
            <w:noWrap/>
            <w:vAlign w:val="bottom"/>
            <w:hideMark/>
          </w:tcPr>
          <w:p w14:paraId="704E349E" w14:textId="77777777" w:rsidR="00752811" w:rsidRPr="00E359B6" w:rsidRDefault="00752811" w:rsidP="00333C84">
            <w:pPr>
              <w:spacing w:after="0" w:line="240" w:lineRule="auto"/>
              <w:jc w:val="right"/>
              <w:rPr>
                <w:rFonts w:ascii="Arial" w:hAnsi="Arial" w:cs="Arial"/>
                <w:b/>
                <w:color w:val="000000"/>
                <w:sz w:val="16"/>
                <w:szCs w:val="16"/>
              </w:rPr>
            </w:pPr>
            <w:r w:rsidRPr="00E359B6">
              <w:rPr>
                <w:rFonts w:ascii="Arial" w:hAnsi="Arial" w:cs="Arial"/>
                <w:b/>
                <w:color w:val="000000"/>
                <w:sz w:val="16"/>
                <w:szCs w:val="16"/>
              </w:rPr>
              <w:t>20</w:t>
            </w:r>
          </w:p>
        </w:tc>
        <w:tc>
          <w:tcPr>
            <w:tcW w:w="940" w:type="dxa"/>
            <w:tcBorders>
              <w:top w:val="single" w:sz="4" w:space="0" w:color="000000"/>
              <w:left w:val="nil"/>
              <w:bottom w:val="single" w:sz="4" w:space="0" w:color="auto"/>
              <w:right w:val="nil"/>
            </w:tcBorders>
            <w:shd w:val="clear" w:color="auto" w:fill="auto"/>
            <w:noWrap/>
            <w:vAlign w:val="bottom"/>
            <w:hideMark/>
          </w:tcPr>
          <w:p w14:paraId="034589AA" w14:textId="77777777" w:rsidR="00752811" w:rsidRPr="00E359B6" w:rsidRDefault="00752811" w:rsidP="00333C84">
            <w:pPr>
              <w:spacing w:after="0" w:line="240" w:lineRule="auto"/>
              <w:jc w:val="right"/>
              <w:rPr>
                <w:rFonts w:ascii="Arial" w:hAnsi="Arial" w:cs="Arial"/>
                <w:b/>
                <w:color w:val="000000"/>
                <w:sz w:val="16"/>
                <w:szCs w:val="16"/>
              </w:rPr>
            </w:pPr>
            <w:r w:rsidRPr="00E359B6">
              <w:rPr>
                <w:rFonts w:ascii="Arial" w:hAnsi="Arial" w:cs="Arial"/>
                <w:b/>
                <w:color w:val="000000"/>
                <w:sz w:val="16"/>
                <w:szCs w:val="16"/>
              </w:rPr>
              <w:t>20</w:t>
            </w:r>
          </w:p>
        </w:tc>
      </w:tr>
    </w:tbl>
    <w:p w14:paraId="3EB39840" w14:textId="77777777" w:rsidR="00752811" w:rsidRPr="00132F9E" w:rsidRDefault="00752811" w:rsidP="00752811">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0AE4AF03" w14:textId="77777777" w:rsidR="00752811" w:rsidRDefault="00752811" w:rsidP="00752811">
      <w:pPr>
        <w:pStyle w:val="NoSpacing"/>
        <w:rPr>
          <w:rFonts w:ascii="Arial" w:hAnsi="Arial" w:cs="Arial"/>
          <w:sz w:val="16"/>
          <w:szCs w:val="16"/>
        </w:rPr>
      </w:pPr>
    </w:p>
    <w:p w14:paraId="021ABED1" w14:textId="77777777" w:rsidR="00752811" w:rsidRDefault="00752811" w:rsidP="00752811">
      <w:pPr>
        <w:pStyle w:val="NoSpacing"/>
        <w:rPr>
          <w:rFonts w:ascii="Arial" w:hAnsi="Arial" w:cs="Arial"/>
          <w:sz w:val="16"/>
          <w:szCs w:val="16"/>
        </w:rPr>
      </w:pPr>
    </w:p>
    <w:p w14:paraId="5716F84B" w14:textId="53BAACBB" w:rsidR="00752811" w:rsidRPr="00A00283" w:rsidRDefault="00752811" w:rsidP="00752811">
      <w:pPr>
        <w:pStyle w:val="TableHeading"/>
      </w:pPr>
      <w:r w:rsidRPr="00D30CBA">
        <w:t>Table</w:t>
      </w:r>
      <w:r>
        <w:t xml:space="preserve"> 3.5</w:t>
      </w:r>
      <w:r w:rsidRPr="00D30CBA">
        <w:t xml:space="preserve">: </w:t>
      </w:r>
      <w:r w:rsidR="003C4CC6">
        <w:t>Department</w:t>
      </w:r>
      <w:r>
        <w:t>al capital budget statement (for the period ended 30 June)</w:t>
      </w:r>
    </w:p>
    <w:p w14:paraId="27404112" w14:textId="77777777" w:rsidR="00752811" w:rsidRPr="00EC2B4C" w:rsidRDefault="00752811" w:rsidP="00752811">
      <w:pPr>
        <w:pStyle w:val="ExampleText0"/>
        <w:spacing w:after="160"/>
        <w:rPr>
          <w:i w:val="0"/>
          <w:iCs/>
          <w:color w:val="auto"/>
        </w:rPr>
      </w:pPr>
      <w:r w:rsidRPr="00EC2B4C">
        <w:rPr>
          <w:i w:val="0"/>
          <w:iCs/>
          <w:color w:val="auto"/>
        </w:rPr>
        <w:t xml:space="preserve">This table is not provided as </w:t>
      </w:r>
      <w:r>
        <w:rPr>
          <w:i w:val="0"/>
          <w:iCs/>
          <w:color w:val="auto"/>
        </w:rPr>
        <w:t>NQWIA</w:t>
      </w:r>
      <w:r w:rsidRPr="00EC2B4C">
        <w:rPr>
          <w:i w:val="0"/>
          <w:iCs/>
          <w:color w:val="auto"/>
        </w:rPr>
        <w:t xml:space="preserve"> does not </w:t>
      </w:r>
      <w:r>
        <w:rPr>
          <w:i w:val="0"/>
          <w:iCs/>
          <w:color w:val="auto"/>
        </w:rPr>
        <w:t xml:space="preserve">receive capital funds. </w:t>
      </w:r>
    </w:p>
    <w:p w14:paraId="670D28A0" w14:textId="77777777" w:rsidR="00752811" w:rsidRDefault="00752811" w:rsidP="00752811">
      <w:pPr>
        <w:spacing w:after="0" w:line="240" w:lineRule="auto"/>
        <w:jc w:val="left"/>
      </w:pPr>
    </w:p>
    <w:p w14:paraId="7EDC8133" w14:textId="6D8222E6" w:rsidR="00752811" w:rsidRDefault="00752811" w:rsidP="00752811">
      <w:pPr>
        <w:pStyle w:val="TableHeading"/>
      </w:pPr>
      <w:r w:rsidRPr="00D30CBA">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p w14:paraId="6C558420" w14:textId="1BE9237B" w:rsidR="00752811" w:rsidRDefault="00752811" w:rsidP="00752811">
      <w:pPr>
        <w:pStyle w:val="ExampleText0"/>
        <w:spacing w:after="160"/>
        <w:rPr>
          <w:i w:val="0"/>
          <w:iCs/>
          <w:color w:val="auto"/>
        </w:rPr>
      </w:pPr>
      <w:r w:rsidRPr="00777081">
        <w:rPr>
          <w:i w:val="0"/>
          <w:iCs/>
          <w:color w:val="auto"/>
        </w:rPr>
        <w:t>T</w:t>
      </w:r>
      <w:r w:rsidRPr="00D80CBE">
        <w:rPr>
          <w:i w:val="0"/>
          <w:iCs/>
          <w:color w:val="auto"/>
        </w:rPr>
        <w:t>his t</w:t>
      </w:r>
      <w:r w:rsidRPr="00777081">
        <w:rPr>
          <w:i w:val="0"/>
          <w:iCs/>
          <w:color w:val="auto"/>
        </w:rPr>
        <w:t xml:space="preserve">able </w:t>
      </w:r>
      <w:r w:rsidRPr="00D80CBE">
        <w:rPr>
          <w:i w:val="0"/>
          <w:iCs/>
          <w:color w:val="auto"/>
        </w:rPr>
        <w:t xml:space="preserve">is not provided as </w:t>
      </w:r>
      <w:r>
        <w:rPr>
          <w:i w:val="0"/>
          <w:iCs/>
          <w:color w:val="auto"/>
        </w:rPr>
        <w:t>NQWIA</w:t>
      </w:r>
      <w:r w:rsidRPr="00D80CBE">
        <w:rPr>
          <w:i w:val="0"/>
          <w:iCs/>
          <w:color w:val="auto"/>
        </w:rPr>
        <w:t xml:space="preserve"> does not hold non-financial assets.</w:t>
      </w:r>
    </w:p>
    <w:p w14:paraId="5A02F09C" w14:textId="77777777" w:rsidR="00EA3788" w:rsidRDefault="00EA3788" w:rsidP="00752811">
      <w:pPr>
        <w:pStyle w:val="ExampleText0"/>
        <w:spacing w:after="160"/>
        <w:rPr>
          <w:i w:val="0"/>
          <w:iCs/>
          <w:color w:val="auto"/>
        </w:rPr>
      </w:pPr>
      <w:bookmarkStart w:id="66" w:name="_GoBack"/>
      <w:bookmarkEnd w:id="66"/>
    </w:p>
    <w:bookmarkEnd w:id="0"/>
    <w:bookmarkEnd w:id="1"/>
    <w:sectPr w:rsidR="00EA3788" w:rsidSect="00EA3788">
      <w:headerReference w:type="even" r:id="rId24"/>
      <w:headerReference w:type="default" r:id="rId25"/>
      <w:headerReference w:type="first" r:id="rId26"/>
      <w:footerReference w:type="first" r:id="rId27"/>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A9390" w14:textId="5CFF7858"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Transport Commission</w:t>
    </w:r>
    <w:r>
      <w:rPr>
        <w:rStyle w:val="PageNumber"/>
      </w:rPr>
      <w:fldChar w:fldCharType="end"/>
    </w:r>
  </w:p>
  <w:p w14:paraId="4E5BB60E"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0ADF" w14:textId="247C1B05"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Transport Commission</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46EDD937"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B75E" w14:textId="5FC33B3E"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EA3788">
      <w:rPr>
        <w:rStyle w:val="PageNumber"/>
        <w:b/>
        <w:bCs w:val="0"/>
        <w:noProof/>
      </w:rPr>
      <w:t>448</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EA3788">
      <w:rPr>
        <w:rStyle w:val="PageNumber"/>
        <w:noProof/>
      </w:rPr>
      <w:t>North Queensland Water Infrastructure Authority</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81EA" w14:textId="34D1F0BD"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EA3788">
      <w:rPr>
        <w:rStyle w:val="PageNumber"/>
        <w:noProof/>
      </w:rPr>
      <w:t>North Queensland Water Infrastructure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EA3788">
      <w:rPr>
        <w:rStyle w:val="PageNumber"/>
        <w:b/>
        <w:bCs/>
        <w:noProof/>
      </w:rPr>
      <w:t>447</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77F0" w14:textId="77777777" w:rsidR="00A54065" w:rsidRPr="001808A4" w:rsidRDefault="00A54065"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5F5C" w14:textId="05CD0FDF" w:rsidR="00A54065" w:rsidRDefault="00A54065" w:rsidP="00782467">
    <w:pPr>
      <w:pStyle w:val="FooterOdd"/>
      <w:rPr>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EA3788">
      <w:rPr>
        <w:rStyle w:val="PageNumber"/>
        <w:noProof/>
        <w:lang w:val="en-AU"/>
      </w:rPr>
      <w:t>North Queensland Water Infrastructure Authority</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EA3788">
      <w:rPr>
        <w:b/>
        <w:bCs/>
        <w:noProof/>
      </w:rPr>
      <w:t>445</w:t>
    </w:r>
    <w:r w:rsidRPr="00B628E8">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5C8C9B1B"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EA3788">
      <w:rPr>
        <w:rStyle w:val="PageNumber"/>
        <w:noProof/>
      </w:rPr>
      <w:t>North Queensland Water Infrastructure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EA3788">
      <w:rPr>
        <w:rStyle w:val="PageNumber"/>
        <w:b/>
        <w:bCs/>
        <w:noProof/>
      </w:rPr>
      <w:t>449</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2FEDE" w14:textId="77777777" w:rsidR="00A54065" w:rsidRPr="00B4084B" w:rsidRDefault="00A54065" w:rsidP="0049200C">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069B33DB" w14:textId="77777777" w:rsidTr="00333C84">
      <w:trPr>
        <w:trHeight w:hRule="exact" w:val="340"/>
      </w:trPr>
      <w:tc>
        <w:tcPr>
          <w:tcW w:w="7797" w:type="dxa"/>
        </w:tcPr>
        <w:p w14:paraId="42565F84" w14:textId="3DDECDE9" w:rsidR="00A54065" w:rsidRDefault="00A54065" w:rsidP="003F458D">
          <w:pPr>
            <w:pStyle w:val="HeaderEven"/>
            <w:ind w:left="-113"/>
          </w:pPr>
          <w:r w:rsidRPr="000635BE">
            <w:rPr>
              <w:rFonts w:ascii="Arial Bold" w:hAnsi="Arial Bold"/>
              <w:b/>
              <w:bCs/>
              <w:noProof/>
              <w:position w:val="-10"/>
            </w:rPr>
            <w:drawing>
              <wp:inline distT="0" distB="0" distL="0" distR="0" wp14:anchorId="067F6A9A" wp14:editId="61294C0B">
                <wp:extent cx="989308" cy="170121"/>
                <wp:effectExtent l="0" t="0" r="1905" b="190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0B21176D" w14:textId="77777777" w:rsidR="00A54065" w:rsidRPr="00F00984" w:rsidRDefault="00A54065"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2BF41E99" w14:textId="77777777" w:rsidTr="00333C84">
      <w:trPr>
        <w:trHeight w:hRule="exact" w:val="340"/>
      </w:trPr>
      <w:tc>
        <w:tcPr>
          <w:tcW w:w="7797" w:type="dxa"/>
        </w:tcPr>
        <w:p w14:paraId="1A2F8453" w14:textId="16D6AFDA"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08572162" wp14:editId="11A868D9">
                <wp:extent cx="989308" cy="170121"/>
                <wp:effectExtent l="0" t="0" r="190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4F46A122" w14:textId="77777777" w:rsidR="00A54065" w:rsidRDefault="00A54065"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D915" w14:textId="35E4FED2" w:rsidR="00A54065" w:rsidRDefault="00A54065" w:rsidP="00DE31D9">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0ABBEA80" wp14:editId="661FEB51">
          <wp:extent cx="989308" cy="170121"/>
          <wp:effectExtent l="0" t="0" r="1905" b="190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1CD39C9B" w14:textId="77777777" w:rsidR="00A54065" w:rsidRPr="00B4084B" w:rsidRDefault="00A54065"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4F0"/>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78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http://purl.org/dc/elements/1.1/"/>
    <ds:schemaRef ds:uri="82ff9d9b-d3fc-4aad-bc42-9949ee83b815"/>
    <ds:schemaRef ds:uri="7f038680-7400-4805-8f95-861f74a21749"/>
    <ds:schemaRef ds:uri="http://www.w3.org/XML/1998/namespace"/>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1B8B31C-5F5C-4C00-8910-E4FD3747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2062</Words>
  <Characters>13330</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2022-03-27T09:35:00Z</dcterms:created>
  <dcterms:modified xsi:type="dcterms:W3CDTF">2022-03-27T09:36:00Z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