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8D9D25" w14:textId="00B3D653" w:rsidR="00E54042" w:rsidRPr="004213AE" w:rsidRDefault="00E54042" w:rsidP="00715A0F">
      <w:pPr>
        <w:pStyle w:val="Heading1"/>
        <w:numPr>
          <w:ilvl w:val="0"/>
          <w:numId w:val="0"/>
        </w:numPr>
        <w:ind w:left="1560" w:right="2225"/>
        <w:rPr>
          <w:rFonts w:eastAsia="PMingLiU" w:cs="Mangal"/>
          <w:bCs w:val="0"/>
          <w:sz w:val="48"/>
          <w:szCs w:val="32"/>
        </w:rPr>
      </w:pPr>
      <w:r w:rsidRPr="00202E68">
        <w:rPr>
          <w:rFonts w:eastAsia="PMingLiU" w:cs="Mangal"/>
          <w:bCs w:val="0"/>
          <w:sz w:val="48"/>
          <w:szCs w:val="32"/>
        </w:rPr>
        <w:t xml:space="preserve">Cost benefit analysis of changes to the </w:t>
      </w:r>
      <w:r w:rsidRPr="00202E68">
        <w:rPr>
          <w:rFonts w:eastAsia="PMingLiU" w:cs="Mangal"/>
          <w:bCs w:val="0"/>
          <w:i/>
          <w:sz w:val="48"/>
          <w:szCs w:val="32"/>
        </w:rPr>
        <w:t>Copyright Act 1968</w:t>
      </w:r>
    </w:p>
    <w:p w14:paraId="41506125" w14:textId="07D7AFEB" w:rsidR="00CC05C9" w:rsidRDefault="00E54042" w:rsidP="00202E68">
      <w:pPr>
        <w:widowControl/>
        <w:autoSpaceDE/>
        <w:autoSpaceDN/>
        <w:adjustRightInd/>
        <w:spacing w:before="1000" w:after="1000" w:line="240" w:lineRule="auto"/>
        <w:ind w:left="1560" w:right="1658"/>
        <w:outlineLvl w:val="1"/>
        <w:rPr>
          <w:b/>
          <w:bCs/>
          <w:sz w:val="36"/>
        </w:rPr>
      </w:pPr>
      <w:r w:rsidRPr="004213AE">
        <w:rPr>
          <w:b/>
          <w:bCs/>
          <w:sz w:val="36"/>
        </w:rPr>
        <w:t xml:space="preserve">Department of </w:t>
      </w:r>
      <w:r w:rsidR="004F1573" w:rsidRPr="004213AE">
        <w:rPr>
          <w:b/>
          <w:bCs/>
          <w:sz w:val="36"/>
        </w:rPr>
        <w:br/>
      </w:r>
      <w:r w:rsidRPr="00124E7F">
        <w:rPr>
          <w:b/>
          <w:bCs/>
          <w:sz w:val="36"/>
        </w:rPr>
        <w:t>Communications and the Arts</w:t>
      </w:r>
    </w:p>
    <w:p w14:paraId="0983712A" w14:textId="4B8615FD" w:rsidR="00AE5E8A" w:rsidRPr="00124E7F" w:rsidRDefault="00AE5E8A" w:rsidP="00D87CE7">
      <w:r>
        <w:rPr>
          <w:noProof/>
          <w:lang w:eastAsia="zh-TW" w:bidi="hi-IN"/>
        </w:rPr>
        <w:drawing>
          <wp:inline distT="0" distB="0" distL="0" distR="0" wp14:anchorId="3FA62EA7" wp14:editId="2B74CD97">
            <wp:extent cx="7536872" cy="5839844"/>
            <wp:effectExtent l="0" t="0" r="6985" b="8890"/>
            <wp:docPr id="2" name="Picture 2" descr="Logo: EY, building a better working world." title="Ernst and You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552263" cy="5851770"/>
                    </a:xfrm>
                    <a:prstGeom prst="rect">
                      <a:avLst/>
                    </a:prstGeom>
                  </pic:spPr>
                </pic:pic>
              </a:graphicData>
            </a:graphic>
          </wp:inline>
        </w:drawing>
      </w:r>
    </w:p>
    <w:p w14:paraId="3DA0A498" w14:textId="5654BC5E" w:rsidR="00E836C6" w:rsidRPr="004213AE" w:rsidRDefault="00E836C6" w:rsidP="00536578">
      <w:pPr>
        <w:sectPr w:rsidR="00E836C6" w:rsidRPr="004213AE" w:rsidSect="0077545E">
          <w:headerReference w:type="even" r:id="rId12"/>
          <w:headerReference w:type="default" r:id="rId13"/>
          <w:footerReference w:type="default" r:id="rId14"/>
          <w:pgSz w:w="11909" w:h="16834" w:code="9"/>
          <w:pgMar w:top="1440" w:right="1440" w:bottom="1440" w:left="1440" w:header="720" w:footer="425" w:gutter="0"/>
          <w:pgNumType w:fmt="lowerRoman" w:start="1" w:chapStyle="1"/>
          <w:cols w:space="720"/>
          <w:docGrid w:linePitch="360"/>
        </w:sectPr>
      </w:pPr>
    </w:p>
    <w:p w14:paraId="56D72133" w14:textId="77777777" w:rsidR="007C587D" w:rsidRPr="00202E68" w:rsidRDefault="007C587D" w:rsidP="00536578">
      <w:pPr>
        <w:pStyle w:val="EYHeading1"/>
        <w:numPr>
          <w:ilvl w:val="0"/>
          <w:numId w:val="0"/>
        </w:numPr>
        <w:ind w:left="851" w:hanging="851"/>
        <w:rPr>
          <w:color w:val="auto"/>
        </w:rPr>
      </w:pPr>
      <w:bookmarkStart w:id="1" w:name="_Toc467768880"/>
      <w:bookmarkStart w:id="2" w:name="_Toc467768935"/>
      <w:bookmarkStart w:id="3" w:name="_Toc467769072"/>
      <w:bookmarkStart w:id="4" w:name="_Toc469644720"/>
      <w:r w:rsidRPr="00202E68">
        <w:rPr>
          <w:color w:val="auto"/>
        </w:rPr>
        <w:lastRenderedPageBreak/>
        <w:t>Notice</w:t>
      </w:r>
      <w:bookmarkEnd w:id="1"/>
      <w:bookmarkEnd w:id="2"/>
      <w:bookmarkEnd w:id="3"/>
      <w:bookmarkEnd w:id="4"/>
    </w:p>
    <w:p w14:paraId="16219465" w14:textId="77777777" w:rsidR="007C587D" w:rsidRPr="00124E7F" w:rsidRDefault="007C587D" w:rsidP="007C587D">
      <w:pPr>
        <w:pStyle w:val="EYBodytextwithparaspace"/>
      </w:pPr>
      <w:r w:rsidRPr="004213AE">
        <w:t xml:space="preserve">Ernst &amp; Young was engaged on the instructions of the Department of Communications and the Arts (the “Department”) to undertake an analysis of the impact of amending the </w:t>
      </w:r>
      <w:r w:rsidRPr="004213AE">
        <w:rPr>
          <w:i/>
        </w:rPr>
        <w:t>Copyright Act 1968</w:t>
      </w:r>
      <w:r w:rsidRPr="004213AE">
        <w:t xml:space="preserve"> to implement a number of the recommendations of the ALRC Report into Copyright and the Digital Economy (the "</w:t>
      </w:r>
      <w:r w:rsidRPr="00124E7F">
        <w:rPr>
          <w:b/>
        </w:rPr>
        <w:t>Project</w:t>
      </w:r>
      <w:r w:rsidRPr="00124E7F">
        <w:t>")], in accordance with the Order for Services dated 17 July 2015 [amended in the Change Request Letter dated 18 February 2016].</w:t>
      </w:r>
    </w:p>
    <w:p w14:paraId="2146ABA1" w14:textId="77777777" w:rsidR="007C587D" w:rsidRPr="00124E7F" w:rsidRDefault="007C587D" w:rsidP="007C587D">
      <w:pPr>
        <w:pStyle w:val="EYBodytextwithparaspace"/>
      </w:pPr>
      <w:r w:rsidRPr="00124E7F">
        <w:t>The results of Ernst &amp; Young’s work, including the assumptions and qualifications made in preparing the report, are set out in Ernst &amp; Young's report dated 29 April 2016 ("</w:t>
      </w:r>
      <w:r w:rsidRPr="00124E7F">
        <w:rPr>
          <w:b/>
        </w:rPr>
        <w:t>Report</w:t>
      </w:r>
      <w:r w:rsidRPr="00124E7F">
        <w:t>").  The Report should be read in its entirety including the transmittal letter, the applicable scope of the work and any limitations. A reference to the Report includes any part of the Report. No further work has been undertaken by Ernst &amp; Young since the date of the Report to update it.</w:t>
      </w:r>
    </w:p>
    <w:p w14:paraId="2F32F729" w14:textId="77777777" w:rsidR="007C587D" w:rsidRPr="00124E7F" w:rsidRDefault="007C587D" w:rsidP="007C587D">
      <w:pPr>
        <w:pStyle w:val="EYBodytextwithparaspace"/>
      </w:pPr>
      <w:r w:rsidRPr="00124E7F">
        <w:t xml:space="preserve">Ernst &amp; Young has prepared the Report for the benefit of the Department and has considered only the interests of the Department. Ernst &amp; Young has not been engaged to act, and has not acted, as advisor to any other party.  Accordingly, Ernst &amp; Young makes no representations as to the appropriateness, accuracy or completeness of the Report for any other party's purposes. </w:t>
      </w:r>
    </w:p>
    <w:p w14:paraId="5140B829" w14:textId="77777777" w:rsidR="007C587D" w:rsidRPr="00124E7F" w:rsidRDefault="007C587D" w:rsidP="007C587D">
      <w:pPr>
        <w:pStyle w:val="EYBodytextwithparaspace"/>
      </w:pPr>
      <w:r w:rsidRPr="00124E7F">
        <w:t>No reliance may be placed upon the Report or any of its contents by any recipient of the Report for any purpose and any party receiving a copy of the Report must make and rely on their own enquiries in relation to the issues to which the Report relates, the contents of the Report and all matters arising from or relating to or in any way connected with the Report or its contents.</w:t>
      </w:r>
    </w:p>
    <w:p w14:paraId="3AE5D5AF" w14:textId="77777777" w:rsidR="007C587D" w:rsidRPr="00124E7F" w:rsidRDefault="007C587D" w:rsidP="007C587D">
      <w:pPr>
        <w:pStyle w:val="EYBodytextwithparaspace"/>
      </w:pPr>
      <w:r w:rsidRPr="00124E7F">
        <w:t xml:space="preserve">Ernst &amp; Young disclaims all responsibility to any other party for any loss or liability that the other party may suffer or incur arising from or relating to or in any way connected with the contents of the Report, the provision of the Report to the other party or the reliance upon the Report by the other party.  </w:t>
      </w:r>
    </w:p>
    <w:p w14:paraId="1E437DC8" w14:textId="77777777" w:rsidR="007C587D" w:rsidRPr="00124E7F" w:rsidRDefault="007C587D" w:rsidP="007C587D">
      <w:pPr>
        <w:pStyle w:val="EYBodytextwithparaspace"/>
      </w:pPr>
      <w:r w:rsidRPr="00124E7F">
        <w:t>No claim or demand or any actions or proceedings may be brought against Ernst &amp; Young arising from or connected with the contents of the Report or the provision of the Report to any party.  Ernst &amp; Young will be released and forever discharged from any such claims, demands, actions or proceedings.</w:t>
      </w:r>
    </w:p>
    <w:p w14:paraId="1E3D2804" w14:textId="004BF415" w:rsidR="007C587D" w:rsidRPr="00124E7F" w:rsidRDefault="007C587D" w:rsidP="004B6547">
      <w:pPr>
        <w:pStyle w:val="EYBodytextwithparaspace"/>
      </w:pPr>
      <w:r w:rsidRPr="00124E7F">
        <w:t xml:space="preserve">Ernst &amp; Young have consented to the Report being published electronically on the </w:t>
      </w:r>
      <w:r w:rsidR="00AE5E8A">
        <w:t>Department of Communications and the Arts</w:t>
      </w:r>
      <w:r w:rsidRPr="00124E7F">
        <w:t xml:space="preserve"> website for informational purposes only.  Ernst &amp; Young have not consented to distribution or disclosure beyond this. The material contained in the Report, including the Ernst &amp; Young logo, is copyright and copyright in the Report itself vests in Ernst &amp; Young. The Report, including the Ernst &amp; Young logo, cannot be altered without prior written permission from Ernst &amp; Young.</w:t>
      </w:r>
    </w:p>
    <w:p w14:paraId="2B34EA6F" w14:textId="77777777" w:rsidR="007C587D" w:rsidRPr="00124E7F" w:rsidRDefault="007C587D" w:rsidP="007C587D">
      <w:pPr>
        <w:pStyle w:val="EYBodytextwithparaspace"/>
      </w:pPr>
      <w:r w:rsidRPr="00124E7F">
        <w:t>Ernst &amp; Young’s liability is limited by a scheme approved under Professional Standards Legislation.</w:t>
      </w:r>
    </w:p>
    <w:p w14:paraId="28127B05" w14:textId="77777777" w:rsidR="007A2942" w:rsidRPr="00124E7F" w:rsidRDefault="007A2942" w:rsidP="009D63E5">
      <w:pPr>
        <w:rPr>
          <w:lang w:val="en-US"/>
        </w:rPr>
        <w:sectPr w:rsidR="007A2942" w:rsidRPr="00124E7F" w:rsidSect="0077545E">
          <w:headerReference w:type="default" r:id="rId15"/>
          <w:footerReference w:type="default" r:id="rId16"/>
          <w:pgSz w:w="11909" w:h="16834" w:code="9"/>
          <w:pgMar w:top="1440" w:right="1440" w:bottom="1440" w:left="1440" w:header="720" w:footer="425" w:gutter="0"/>
          <w:pgNumType w:fmt="lowerRoman" w:start="1" w:chapStyle="1"/>
          <w:cols w:space="720"/>
          <w:docGrid w:linePitch="360"/>
        </w:sectPr>
      </w:pPr>
    </w:p>
    <w:p w14:paraId="6806285C" w14:textId="77777777" w:rsidR="00755878" w:rsidRPr="00202E68" w:rsidRDefault="00755878" w:rsidP="00961B30">
      <w:pPr>
        <w:pStyle w:val="EYHeading1"/>
        <w:numPr>
          <w:ilvl w:val="0"/>
          <w:numId w:val="0"/>
        </w:numPr>
        <w:ind w:left="851" w:hanging="851"/>
        <w:rPr>
          <w:color w:val="auto"/>
        </w:rPr>
      </w:pPr>
      <w:bookmarkStart w:id="5" w:name="_Toc451769099"/>
      <w:bookmarkStart w:id="6" w:name="_Toc467768881"/>
      <w:bookmarkStart w:id="7" w:name="_Toc467768936"/>
      <w:bookmarkStart w:id="8" w:name="_Toc467769073"/>
      <w:bookmarkStart w:id="9" w:name="_Toc469644721"/>
      <w:bookmarkStart w:id="10" w:name="_Toc447063750"/>
      <w:r w:rsidRPr="00202E68">
        <w:rPr>
          <w:color w:val="auto"/>
        </w:rPr>
        <w:lastRenderedPageBreak/>
        <w:t>Glossary of key terms</w:t>
      </w:r>
      <w:bookmarkEnd w:id="5"/>
      <w:bookmarkEnd w:id="6"/>
      <w:bookmarkEnd w:id="7"/>
      <w:bookmarkEnd w:id="8"/>
      <w:bookmarkEnd w:id="9"/>
    </w:p>
    <w:p w14:paraId="4F473E71" w14:textId="6C2E5A26" w:rsidR="00747252" w:rsidRPr="00202E68" w:rsidRDefault="00747252" w:rsidP="00747252">
      <w:pPr>
        <w:tabs>
          <w:tab w:val="left" w:pos="1809"/>
        </w:tabs>
        <w:spacing w:after="240" w:line="240" w:lineRule="auto"/>
        <w:rPr>
          <w:rFonts w:cstheme="minorHAnsi"/>
          <w:lang w:val="en"/>
        </w:rPr>
      </w:pPr>
      <w:r w:rsidRPr="004213AE">
        <w:rPr>
          <w:rFonts w:cstheme="minorHAnsi"/>
          <w:b/>
        </w:rPr>
        <w:t xml:space="preserve">Artistic works: </w:t>
      </w:r>
      <w:r w:rsidRPr="00202E68">
        <w:t xml:space="preserve">Includes paintings, sculptures, graphics, cartoons, etchings, lithographs, photography, drawings, plans, maps, diagrams, charts, </w:t>
      </w:r>
      <w:proofErr w:type="gramStart"/>
      <w:r w:rsidRPr="00202E68">
        <w:t>buildings</w:t>
      </w:r>
      <w:proofErr w:type="gramEnd"/>
      <w:r w:rsidRPr="00202E68">
        <w:t>, models of buildings, moulds and casts for sculptures.</w:t>
      </w:r>
    </w:p>
    <w:p w14:paraId="7B3359E7" w14:textId="494546EF" w:rsidR="00747252" w:rsidRPr="00202E68" w:rsidRDefault="00747252" w:rsidP="00747252">
      <w:pPr>
        <w:tabs>
          <w:tab w:val="left" w:pos="1809"/>
        </w:tabs>
        <w:spacing w:after="240" w:line="240" w:lineRule="auto"/>
        <w:rPr>
          <w:b/>
        </w:rPr>
      </w:pPr>
      <w:r w:rsidRPr="004213AE">
        <w:rPr>
          <w:rFonts w:cstheme="minorHAnsi"/>
          <w:b/>
        </w:rPr>
        <w:t>Author:</w:t>
      </w:r>
      <w:r w:rsidRPr="004213AE">
        <w:rPr>
          <w:rFonts w:cstheme="minorHAnsi"/>
        </w:rPr>
        <w:t xml:space="preserve"> </w:t>
      </w:r>
      <w:r w:rsidRPr="00202E68">
        <w:t xml:space="preserve">Refers to the person who put the </w:t>
      </w:r>
      <w:hyperlink r:id="rId17" w:history="1">
        <w:r w:rsidRPr="00202E68">
          <w:t>work</w:t>
        </w:r>
      </w:hyperlink>
      <w:r w:rsidRPr="00202E68">
        <w:t xml:space="preserve"> in </w:t>
      </w:r>
      <w:hyperlink r:id="rId18" w:history="1">
        <w:r w:rsidRPr="00202E68">
          <w:t>material form</w:t>
        </w:r>
      </w:hyperlink>
      <w:r w:rsidRPr="00202E68">
        <w:t xml:space="preserve">, for example the writer of a </w:t>
      </w:r>
      <w:hyperlink r:id="rId19" w:history="1">
        <w:r w:rsidRPr="00202E68">
          <w:t>literary work</w:t>
        </w:r>
      </w:hyperlink>
      <w:r w:rsidRPr="00202E68">
        <w:t xml:space="preserve">, the composer of a </w:t>
      </w:r>
      <w:hyperlink r:id="rId20" w:history="1">
        <w:r w:rsidRPr="00202E68">
          <w:t>musical work</w:t>
        </w:r>
      </w:hyperlink>
      <w:r w:rsidRPr="00202E68">
        <w:t xml:space="preserve"> or the artist who created an artwork.</w:t>
      </w:r>
    </w:p>
    <w:p w14:paraId="7C0CDF7C" w14:textId="77777777" w:rsidR="00747252" w:rsidRPr="004213AE" w:rsidRDefault="00747252" w:rsidP="00747252">
      <w:pPr>
        <w:tabs>
          <w:tab w:val="left" w:pos="1809"/>
        </w:tabs>
        <w:spacing w:after="240" w:line="240" w:lineRule="auto"/>
        <w:rPr>
          <w:rFonts w:cstheme="minorHAnsi"/>
          <w:lang w:val="en"/>
        </w:rPr>
      </w:pPr>
      <w:r w:rsidRPr="004213AE">
        <w:rPr>
          <w:rFonts w:cstheme="minorHAnsi"/>
          <w:b/>
        </w:rPr>
        <w:t xml:space="preserve">Australian Copyright Law: </w:t>
      </w:r>
      <w:r w:rsidRPr="00202E68">
        <w:t xml:space="preserve">Australian copyright law refers to the </w:t>
      </w:r>
      <w:hyperlink r:id="rId21" w:history="1">
        <w:r w:rsidRPr="00202E68">
          <w:rPr>
            <w:i/>
          </w:rPr>
          <w:t>Copyright Act 1968</w:t>
        </w:r>
      </w:hyperlink>
      <w:r w:rsidRPr="00202E68">
        <w:rPr>
          <w:i/>
        </w:rPr>
        <w:t>,</w:t>
      </w:r>
      <w:r w:rsidRPr="00202E68">
        <w:t xml:space="preserve"> which protects ownership of copyright material and allows certain rights to both copyright owners and users of copyright material.</w:t>
      </w:r>
    </w:p>
    <w:p w14:paraId="14E69FE5" w14:textId="6EEC9ADB" w:rsidR="00747252" w:rsidRPr="00202E68" w:rsidRDefault="00747252" w:rsidP="00747252">
      <w:pPr>
        <w:tabs>
          <w:tab w:val="left" w:pos="1809"/>
        </w:tabs>
        <w:spacing w:after="240" w:line="240" w:lineRule="auto"/>
      </w:pPr>
      <w:r w:rsidRPr="004213AE">
        <w:rPr>
          <w:rFonts w:cstheme="minorHAnsi"/>
          <w:b/>
        </w:rPr>
        <w:t>ALRC report into Copyright and the Digital Econom</w:t>
      </w:r>
      <w:r w:rsidR="004213AE" w:rsidRPr="004213AE">
        <w:rPr>
          <w:rFonts w:cstheme="minorHAnsi"/>
        </w:rPr>
        <w:t xml:space="preserve">y: </w:t>
      </w:r>
      <w:r w:rsidRPr="00202E68">
        <w:t xml:space="preserve">The </w:t>
      </w:r>
      <w:r w:rsidRPr="004213AE">
        <w:rPr>
          <w:rFonts w:cstheme="minorHAnsi"/>
        </w:rPr>
        <w:t xml:space="preserve">Australian Law </w:t>
      </w:r>
      <w:r w:rsidRPr="004213AE">
        <w:t>Reform Commission</w:t>
      </w:r>
      <w:r w:rsidRPr="004213AE">
        <w:rPr>
          <w:rFonts w:cstheme="minorHAnsi"/>
        </w:rPr>
        <w:t xml:space="preserve"> </w:t>
      </w:r>
      <w:r w:rsidRPr="00202E68">
        <w:t>was asked to consider whether the current exceptions and statutory licences in the Copyright Act are adequate and appropriate in the digital era. The Report, tabled on 13 February 2014, was the result of an 18-month Inquiry during which the ALRC produced two consultation documents, undertook 109 consultations and received 870 submissions.</w:t>
      </w:r>
    </w:p>
    <w:p w14:paraId="6E90D3CE" w14:textId="77777777" w:rsidR="00747252" w:rsidRPr="004213AE" w:rsidRDefault="00747252" w:rsidP="00747252">
      <w:pPr>
        <w:tabs>
          <w:tab w:val="left" w:pos="1809"/>
        </w:tabs>
        <w:spacing w:after="240" w:line="240" w:lineRule="auto"/>
        <w:rPr>
          <w:rFonts w:cstheme="minorHAnsi"/>
          <w:lang w:val="en"/>
        </w:rPr>
      </w:pPr>
      <w:r w:rsidRPr="004213AE">
        <w:rPr>
          <w:rFonts w:cstheme="minorHAnsi"/>
          <w:b/>
        </w:rPr>
        <w:t xml:space="preserve">Caching: </w:t>
      </w:r>
      <w:r w:rsidRPr="00202E68">
        <w:t xml:space="preserve">Caching refers to the storage, usually temporary, of </w:t>
      </w:r>
      <w:hyperlink r:id="rId22" w:history="1">
        <w:r w:rsidRPr="00202E68">
          <w:t>website</w:t>
        </w:r>
      </w:hyperlink>
      <w:r w:rsidRPr="00202E68">
        <w:t xml:space="preserve"> material.</w:t>
      </w:r>
    </w:p>
    <w:p w14:paraId="451A67D8" w14:textId="77777777" w:rsidR="00747252" w:rsidRPr="004213AE" w:rsidRDefault="00747252" w:rsidP="00747252">
      <w:pPr>
        <w:tabs>
          <w:tab w:val="left" w:pos="1809"/>
        </w:tabs>
        <w:spacing w:after="240" w:line="240" w:lineRule="auto"/>
        <w:rPr>
          <w:rFonts w:cstheme="minorHAnsi"/>
          <w:lang w:val="en"/>
        </w:rPr>
      </w:pPr>
      <w:r w:rsidRPr="004213AE">
        <w:rPr>
          <w:rFonts w:cstheme="minorHAnsi"/>
          <w:b/>
        </w:rPr>
        <w:t>Collecting society</w:t>
      </w:r>
      <w:r w:rsidR="00645FEA" w:rsidRPr="004213AE">
        <w:rPr>
          <w:rFonts w:cstheme="minorHAnsi"/>
          <w:b/>
        </w:rPr>
        <w:t xml:space="preserve">: </w:t>
      </w:r>
      <w:r w:rsidRPr="00202E68">
        <w:t xml:space="preserve">Refers to a body created either by private agreements or by statute to represent copyright owners and manage their rights in copyright </w:t>
      </w:r>
      <w:hyperlink r:id="rId23" w:history="1">
        <w:r w:rsidRPr="00202E68">
          <w:t>works</w:t>
        </w:r>
      </w:hyperlink>
      <w:r w:rsidRPr="00202E68">
        <w:t xml:space="preserve">. The society may have the authority to </w:t>
      </w:r>
      <w:hyperlink r:id="rId24" w:history="1">
        <w:r w:rsidRPr="00202E68">
          <w:t>license</w:t>
        </w:r>
      </w:hyperlink>
      <w:r w:rsidRPr="00202E68">
        <w:t xml:space="preserve"> copyright </w:t>
      </w:r>
      <w:hyperlink r:id="rId25" w:history="1">
        <w:r w:rsidRPr="00202E68">
          <w:t>works</w:t>
        </w:r>
      </w:hyperlink>
      <w:r w:rsidRPr="00202E68">
        <w:t xml:space="preserve"> to the public on behalf of its members and collect </w:t>
      </w:r>
      <w:hyperlink r:id="rId26" w:history="1">
        <w:r w:rsidRPr="00202E68">
          <w:t>license</w:t>
        </w:r>
      </w:hyperlink>
      <w:r w:rsidRPr="00202E68">
        <w:t xml:space="preserve"> fees paid by individuals and groups for the use of those </w:t>
      </w:r>
      <w:hyperlink r:id="rId27" w:history="1">
        <w:r w:rsidRPr="00202E68">
          <w:t>works</w:t>
        </w:r>
      </w:hyperlink>
      <w:r w:rsidRPr="00202E68">
        <w:t xml:space="preserve">. The society distributes these </w:t>
      </w:r>
      <w:hyperlink r:id="rId28" w:history="1">
        <w:r w:rsidRPr="00202E68">
          <w:t>license</w:t>
        </w:r>
      </w:hyperlink>
      <w:r w:rsidRPr="00202E68">
        <w:t xml:space="preserve"> fees to its members as royalty payments. </w:t>
      </w:r>
    </w:p>
    <w:p w14:paraId="210E936D" w14:textId="77777777" w:rsidR="00747252" w:rsidRPr="00202E68" w:rsidRDefault="00747252" w:rsidP="00747252">
      <w:pPr>
        <w:tabs>
          <w:tab w:val="left" w:pos="1809"/>
        </w:tabs>
        <w:spacing w:after="240" w:line="240" w:lineRule="auto"/>
      </w:pPr>
      <w:r w:rsidRPr="00202E68">
        <w:rPr>
          <w:b/>
        </w:rPr>
        <w:t>Communicate</w:t>
      </w:r>
      <w:r w:rsidR="00645FEA" w:rsidRPr="00202E68">
        <w:rPr>
          <w:b/>
        </w:rPr>
        <w:t xml:space="preserve">: </w:t>
      </w:r>
      <w:r w:rsidRPr="00202E68">
        <w:t>Making copyright material available online or electronically transmitting copyright material. 'Making available' can include putting material on the internet or intranet. ‘Electronic transmission’ includes emailing, streaming or electronic reticulation.</w:t>
      </w:r>
    </w:p>
    <w:p w14:paraId="473A7ACA" w14:textId="77777777" w:rsidR="00747252" w:rsidRPr="00202E68" w:rsidRDefault="00747252" w:rsidP="00747252">
      <w:pPr>
        <w:shd w:val="clear" w:color="auto" w:fill="FFFFFF"/>
        <w:tabs>
          <w:tab w:val="left" w:pos="1809"/>
        </w:tabs>
        <w:spacing w:after="240" w:line="240" w:lineRule="auto"/>
      </w:pPr>
      <w:r w:rsidRPr="004213AE">
        <w:rPr>
          <w:rFonts w:cstheme="minorHAnsi"/>
          <w:b/>
        </w:rPr>
        <w:t>Copy</w:t>
      </w:r>
      <w:r w:rsidR="00645FEA" w:rsidRPr="004213AE">
        <w:rPr>
          <w:rFonts w:cstheme="minorHAnsi"/>
          <w:b/>
        </w:rPr>
        <w:t xml:space="preserve">: </w:t>
      </w:r>
      <w:r w:rsidRPr="00202E68">
        <w:t xml:space="preserve">Includes photocopying, audiotaping, scanning or saving to disc. </w:t>
      </w:r>
    </w:p>
    <w:p w14:paraId="29856815" w14:textId="77777777" w:rsidR="00747252" w:rsidRPr="00202E68" w:rsidRDefault="00747252" w:rsidP="00747252">
      <w:pPr>
        <w:tabs>
          <w:tab w:val="left" w:pos="1809"/>
        </w:tabs>
        <w:spacing w:after="240" w:line="240" w:lineRule="auto"/>
        <w:rPr>
          <w:lang w:val="en"/>
        </w:rPr>
      </w:pPr>
      <w:r w:rsidRPr="004213AE">
        <w:rPr>
          <w:rFonts w:cstheme="minorHAnsi"/>
          <w:b/>
        </w:rPr>
        <w:t>Copyright Agency Limited (CAL)</w:t>
      </w:r>
      <w:r w:rsidR="00645FEA" w:rsidRPr="004213AE">
        <w:rPr>
          <w:rFonts w:cstheme="minorHAnsi"/>
          <w:b/>
        </w:rPr>
        <w:t>:</w:t>
      </w:r>
      <w:r w:rsidR="00645FEA" w:rsidRPr="004213AE">
        <w:rPr>
          <w:rFonts w:cstheme="minorHAnsi"/>
        </w:rPr>
        <w:t xml:space="preserve"> </w:t>
      </w:r>
      <w:r w:rsidRPr="00202E68">
        <w:t xml:space="preserve">CAL represents copyright owners of print and </w:t>
      </w:r>
      <w:hyperlink r:id="rId29" w:history="1">
        <w:r w:rsidRPr="00202E68">
          <w:t>artistic works</w:t>
        </w:r>
      </w:hyperlink>
      <w:r w:rsidRPr="00202E68">
        <w:t xml:space="preserve"> including publishers, </w:t>
      </w:r>
      <w:hyperlink r:id="rId30" w:history="1">
        <w:r w:rsidRPr="00202E68">
          <w:t>authors</w:t>
        </w:r>
      </w:hyperlink>
      <w:r w:rsidRPr="00202E68">
        <w:t xml:space="preserve"> and artists. Its main function is to administer the </w:t>
      </w:r>
      <w:hyperlink r:id="rId31" w:history="1">
        <w:r w:rsidRPr="00202E68">
          <w:t>statutory license</w:t>
        </w:r>
      </w:hyperlink>
      <w:r w:rsidRPr="00202E68">
        <w:t xml:space="preserve"> for the educational copying of print and </w:t>
      </w:r>
      <w:hyperlink r:id="rId32" w:history="1">
        <w:r w:rsidRPr="00202E68">
          <w:t>artistic works</w:t>
        </w:r>
      </w:hyperlink>
      <w:r w:rsidRPr="00202E68">
        <w:t>.</w:t>
      </w:r>
    </w:p>
    <w:p w14:paraId="7DF6B927" w14:textId="77777777" w:rsidR="00747252" w:rsidRPr="004213AE" w:rsidRDefault="00747252" w:rsidP="00747252">
      <w:pPr>
        <w:tabs>
          <w:tab w:val="left" w:pos="1809"/>
        </w:tabs>
        <w:spacing w:after="240" w:line="240" w:lineRule="auto"/>
        <w:rPr>
          <w:rFonts w:cstheme="minorHAnsi"/>
        </w:rPr>
      </w:pPr>
      <w:r w:rsidRPr="004213AE">
        <w:rPr>
          <w:rFonts w:cstheme="minorHAnsi"/>
          <w:b/>
        </w:rPr>
        <w:t>Copyright</w:t>
      </w:r>
      <w:r w:rsidR="00645FEA" w:rsidRPr="004213AE">
        <w:rPr>
          <w:rFonts w:cstheme="minorHAnsi"/>
          <w:b/>
        </w:rPr>
        <w:t xml:space="preserve">: </w:t>
      </w:r>
      <w:r w:rsidRPr="00202E68">
        <w:rPr>
          <w:lang w:val="en"/>
        </w:rPr>
        <w:t>A form of legal protection given to the creators of original works of authorship, including literary, dramatic, musical, and artistic works.</w:t>
      </w:r>
    </w:p>
    <w:p w14:paraId="7D2A10F7" w14:textId="77777777" w:rsidR="00747252" w:rsidRPr="004213AE" w:rsidRDefault="00747252" w:rsidP="00747252">
      <w:pPr>
        <w:tabs>
          <w:tab w:val="left" w:pos="1809"/>
        </w:tabs>
        <w:spacing w:after="240" w:line="240" w:lineRule="auto"/>
        <w:rPr>
          <w:rFonts w:cstheme="minorHAnsi"/>
          <w:lang w:val="en" w:eastAsia="en-AU"/>
        </w:rPr>
      </w:pPr>
      <w:r w:rsidRPr="004213AE">
        <w:rPr>
          <w:rFonts w:cstheme="minorHAnsi"/>
          <w:b/>
        </w:rPr>
        <w:t>Copyright owner</w:t>
      </w:r>
      <w:r w:rsidR="00645FEA" w:rsidRPr="004213AE">
        <w:rPr>
          <w:rFonts w:cstheme="minorHAnsi"/>
          <w:b/>
        </w:rPr>
        <w:t xml:space="preserve">: </w:t>
      </w:r>
      <w:r w:rsidRPr="00202E68">
        <w:rPr>
          <w:rFonts w:cstheme="minorHAnsi"/>
          <w:lang w:val="en"/>
        </w:rPr>
        <w:t>The copyright owner is usually the author or creator of the copyright material, unless ownership of the material has been signed over to someone else, e.g. a publisher.</w:t>
      </w:r>
    </w:p>
    <w:p w14:paraId="51D9C10D" w14:textId="77777777" w:rsidR="00747252" w:rsidRPr="00202E68" w:rsidRDefault="00747252" w:rsidP="00747252">
      <w:pPr>
        <w:tabs>
          <w:tab w:val="left" w:pos="1809"/>
        </w:tabs>
        <w:spacing w:after="240" w:line="240" w:lineRule="auto"/>
        <w:rPr>
          <w:rFonts w:cstheme="minorHAnsi"/>
          <w:lang w:val="en"/>
        </w:rPr>
      </w:pPr>
      <w:r w:rsidRPr="004213AE">
        <w:rPr>
          <w:rFonts w:cstheme="minorHAnsi"/>
          <w:b/>
        </w:rPr>
        <w:t>Copyright permission</w:t>
      </w:r>
      <w:r w:rsidR="00645FEA" w:rsidRPr="004213AE">
        <w:rPr>
          <w:rFonts w:cstheme="minorHAnsi"/>
          <w:b/>
        </w:rPr>
        <w:t xml:space="preserve">: </w:t>
      </w:r>
      <w:r w:rsidRPr="00202E68">
        <w:rPr>
          <w:rFonts w:cstheme="minorHAnsi"/>
          <w:lang w:val="en"/>
        </w:rPr>
        <w:t xml:space="preserve">Copyright permission is </w:t>
      </w:r>
      <w:proofErr w:type="spellStart"/>
      <w:r w:rsidRPr="00202E68">
        <w:rPr>
          <w:rFonts w:cstheme="minorHAnsi"/>
          <w:lang w:val="en"/>
        </w:rPr>
        <w:t>authorisation</w:t>
      </w:r>
      <w:proofErr w:type="spellEnd"/>
      <w:r w:rsidRPr="00202E68">
        <w:rPr>
          <w:rFonts w:cstheme="minorHAnsi"/>
          <w:lang w:val="en"/>
        </w:rPr>
        <w:t xml:space="preserve"> from the copyright owner to use the copyright material in a certain way.</w:t>
      </w:r>
    </w:p>
    <w:p w14:paraId="29CFEA2A" w14:textId="05FDBE5F" w:rsidR="00747252" w:rsidRPr="00202E68" w:rsidRDefault="00747252" w:rsidP="00747252">
      <w:pPr>
        <w:tabs>
          <w:tab w:val="left" w:pos="1809"/>
        </w:tabs>
        <w:spacing w:after="240" w:line="240" w:lineRule="auto"/>
        <w:rPr>
          <w:b/>
        </w:rPr>
      </w:pPr>
      <w:r w:rsidRPr="004213AE">
        <w:rPr>
          <w:rFonts w:cstheme="minorHAnsi"/>
          <w:b/>
        </w:rPr>
        <w:t>Data and text mining</w:t>
      </w:r>
      <w:r w:rsidR="004213AE" w:rsidRPr="004213AE">
        <w:rPr>
          <w:rFonts w:cstheme="minorHAnsi"/>
          <w:b/>
        </w:rPr>
        <w:t xml:space="preserve">: </w:t>
      </w:r>
      <w:r w:rsidRPr="004213AE">
        <w:rPr>
          <w:rFonts w:cstheme="minorHAnsi"/>
        </w:rPr>
        <w:t xml:space="preserve">Automated analytical techniques that work by copying existing electronic information, for instance articles in scientific journals and other works, </w:t>
      </w:r>
      <w:r w:rsidRPr="00124E7F">
        <w:rPr>
          <w:rFonts w:cstheme="minorHAnsi"/>
        </w:rPr>
        <w:t>and analysing the data they contain for patterns, trends and other useful information.</w:t>
      </w:r>
    </w:p>
    <w:p w14:paraId="285709F4" w14:textId="77777777" w:rsidR="00747252" w:rsidRPr="004213AE" w:rsidRDefault="00747252" w:rsidP="00747252">
      <w:pPr>
        <w:tabs>
          <w:tab w:val="left" w:pos="1809"/>
        </w:tabs>
        <w:spacing w:after="240" w:line="240" w:lineRule="auto"/>
        <w:rPr>
          <w:rFonts w:cstheme="minorHAnsi"/>
        </w:rPr>
      </w:pPr>
      <w:r w:rsidRPr="004213AE">
        <w:rPr>
          <w:rFonts w:cstheme="minorHAnsi"/>
          <w:b/>
        </w:rPr>
        <w:t>Education institutions</w:t>
      </w:r>
      <w:r w:rsidR="00645FEA" w:rsidRPr="004213AE">
        <w:rPr>
          <w:rFonts w:cstheme="minorHAnsi"/>
          <w:b/>
        </w:rPr>
        <w:t xml:space="preserve">: </w:t>
      </w:r>
      <w:r w:rsidRPr="004213AE">
        <w:rPr>
          <w:rFonts w:cstheme="minorHAnsi"/>
        </w:rPr>
        <w:t xml:space="preserve">Educational institutions include </w:t>
      </w:r>
      <w:hyperlink r:id="rId33" w:history="1">
        <w:r w:rsidRPr="004213AE">
          <w:t>schools</w:t>
        </w:r>
      </w:hyperlink>
      <w:r w:rsidRPr="004213AE">
        <w:rPr>
          <w:rFonts w:cstheme="minorHAnsi"/>
        </w:rPr>
        <w:t>, TAFE institutes and Universities.</w:t>
      </w:r>
    </w:p>
    <w:p w14:paraId="2E258E10" w14:textId="77777777" w:rsidR="00747252" w:rsidRPr="00124E7F" w:rsidRDefault="00747252" w:rsidP="001D5071">
      <w:pPr>
        <w:widowControl/>
        <w:autoSpaceDE/>
        <w:autoSpaceDN/>
        <w:adjustRightInd/>
        <w:spacing w:after="120" w:line="240" w:lineRule="auto"/>
        <w:rPr>
          <w:rFonts w:cstheme="minorHAnsi"/>
          <w:lang w:val="en" w:eastAsia="en-AU"/>
        </w:rPr>
      </w:pPr>
      <w:r w:rsidRPr="004213AE">
        <w:rPr>
          <w:rFonts w:cstheme="minorHAnsi"/>
          <w:b/>
        </w:rPr>
        <w:t>Exclusive rights</w:t>
      </w:r>
      <w:r w:rsidR="00645FEA" w:rsidRPr="004213AE">
        <w:rPr>
          <w:rFonts w:cstheme="minorHAnsi"/>
          <w:b/>
        </w:rPr>
        <w:t xml:space="preserve">: </w:t>
      </w:r>
      <w:r w:rsidRPr="00124E7F">
        <w:rPr>
          <w:rFonts w:cstheme="minorHAnsi"/>
          <w:lang w:val="en" w:eastAsia="en-AU"/>
        </w:rPr>
        <w:t>Exclusive rights of the owners of copyright include the right to:</w:t>
      </w:r>
    </w:p>
    <w:p w14:paraId="71C7CD08" w14:textId="77777777" w:rsidR="00747252" w:rsidRPr="00124E7F" w:rsidRDefault="00747252" w:rsidP="000635CC">
      <w:pPr>
        <w:pStyle w:val="EYBulletedText1"/>
        <w:spacing w:after="120"/>
        <w:rPr>
          <w:lang w:eastAsia="en-AU"/>
        </w:rPr>
      </w:pPr>
      <w:r w:rsidRPr="00124E7F">
        <w:rPr>
          <w:lang w:eastAsia="en-AU"/>
        </w:rPr>
        <w:t>reproduce the work in material form</w:t>
      </w:r>
    </w:p>
    <w:p w14:paraId="1911A837" w14:textId="77777777" w:rsidR="00747252" w:rsidRPr="00124E7F" w:rsidRDefault="00747252" w:rsidP="000635CC">
      <w:pPr>
        <w:pStyle w:val="EYBulletedText1"/>
        <w:spacing w:after="120"/>
        <w:rPr>
          <w:lang w:eastAsia="en-AU"/>
        </w:rPr>
      </w:pPr>
      <w:r w:rsidRPr="00124E7F">
        <w:rPr>
          <w:lang w:eastAsia="en-AU"/>
        </w:rPr>
        <w:t>publish the work</w:t>
      </w:r>
    </w:p>
    <w:p w14:paraId="556F06A5" w14:textId="77777777" w:rsidR="00747252" w:rsidRPr="00124E7F" w:rsidRDefault="00747252" w:rsidP="000635CC">
      <w:pPr>
        <w:pStyle w:val="EYBulletedText1"/>
        <w:spacing w:after="120"/>
        <w:rPr>
          <w:lang w:eastAsia="en-AU"/>
        </w:rPr>
      </w:pPr>
      <w:r w:rsidRPr="00124E7F">
        <w:rPr>
          <w:lang w:eastAsia="en-AU"/>
        </w:rPr>
        <w:t>perform the work in public</w:t>
      </w:r>
    </w:p>
    <w:p w14:paraId="1F5EB86B" w14:textId="77777777" w:rsidR="00747252" w:rsidRPr="00124E7F" w:rsidRDefault="00747252" w:rsidP="000635CC">
      <w:pPr>
        <w:pStyle w:val="EYBulletedText1"/>
        <w:spacing w:after="120"/>
        <w:rPr>
          <w:lang w:eastAsia="en-AU"/>
        </w:rPr>
      </w:pPr>
      <w:r w:rsidRPr="00124E7F">
        <w:rPr>
          <w:lang w:eastAsia="en-AU"/>
        </w:rPr>
        <w:t>make an adaptation of the work</w:t>
      </w:r>
    </w:p>
    <w:p w14:paraId="0FD5977F" w14:textId="77777777" w:rsidR="00747252" w:rsidRPr="00124E7F" w:rsidRDefault="00747252" w:rsidP="000635CC">
      <w:pPr>
        <w:pStyle w:val="EYBulletedText1"/>
        <w:spacing w:after="120"/>
        <w:rPr>
          <w:lang w:eastAsia="en-AU"/>
        </w:rPr>
      </w:pPr>
      <w:r w:rsidRPr="00124E7F">
        <w:rPr>
          <w:lang w:eastAsia="en-AU"/>
        </w:rPr>
        <w:t>do, in relation to a work that is an adaptation of the first-mentioned work, any of the acts specified in relation to the first-mentioned work</w:t>
      </w:r>
    </w:p>
    <w:p w14:paraId="1021A693" w14:textId="77777777" w:rsidR="00747252" w:rsidRPr="00124E7F" w:rsidRDefault="00747252" w:rsidP="000635CC">
      <w:pPr>
        <w:pStyle w:val="EYBulletedText1"/>
        <w:spacing w:after="120"/>
        <w:rPr>
          <w:lang w:eastAsia="en-AU"/>
        </w:rPr>
      </w:pPr>
      <w:r w:rsidRPr="00124E7F">
        <w:rPr>
          <w:lang w:eastAsia="en-AU"/>
        </w:rPr>
        <w:t>communicate the work to the public</w:t>
      </w:r>
    </w:p>
    <w:p w14:paraId="76001B28" w14:textId="77777777" w:rsidR="00747252" w:rsidRPr="00124E7F" w:rsidRDefault="00747252" w:rsidP="000635CC">
      <w:pPr>
        <w:pStyle w:val="EYBulletedText1"/>
        <w:spacing w:after="120"/>
        <w:rPr>
          <w:lang w:eastAsia="en-AU"/>
        </w:rPr>
      </w:pPr>
      <w:r w:rsidRPr="00124E7F">
        <w:rPr>
          <w:lang w:eastAsia="en-AU"/>
        </w:rPr>
        <w:t>in the case of computer programs and sound recordings, enter into commercial rental arrangements</w:t>
      </w:r>
    </w:p>
    <w:p w14:paraId="7D1ED1DA" w14:textId="77777777" w:rsidR="00747252" w:rsidRPr="00124E7F" w:rsidRDefault="00747252" w:rsidP="000635CC">
      <w:pPr>
        <w:pStyle w:val="EYBulletedText1"/>
        <w:rPr>
          <w:lang w:eastAsia="en-AU"/>
        </w:rPr>
      </w:pPr>
      <w:r w:rsidRPr="00124E7F">
        <w:rPr>
          <w:lang w:eastAsia="en-AU"/>
        </w:rPr>
        <w:t>in the case of broadcasts, re-broadcast or copy (visual images and sound recordings)</w:t>
      </w:r>
    </w:p>
    <w:p w14:paraId="22659002" w14:textId="77777777" w:rsidR="00747252" w:rsidRPr="00202E68" w:rsidRDefault="00747252" w:rsidP="00747252">
      <w:pPr>
        <w:tabs>
          <w:tab w:val="left" w:pos="1809"/>
        </w:tabs>
        <w:spacing w:after="240" w:line="240" w:lineRule="auto"/>
        <w:rPr>
          <w:rFonts w:cstheme="minorHAnsi"/>
          <w:lang w:val="en"/>
        </w:rPr>
      </w:pPr>
      <w:r w:rsidRPr="00124E7F">
        <w:rPr>
          <w:rFonts w:cstheme="minorHAnsi"/>
          <w:b/>
        </w:rPr>
        <w:t>Fair dealing</w:t>
      </w:r>
      <w:r w:rsidR="00645FEA" w:rsidRPr="00124E7F">
        <w:rPr>
          <w:rFonts w:cstheme="minorHAnsi"/>
          <w:b/>
        </w:rPr>
        <w:t xml:space="preserve">: </w:t>
      </w:r>
      <w:r w:rsidRPr="00124E7F">
        <w:rPr>
          <w:rFonts w:cstheme="minorHAnsi"/>
        </w:rPr>
        <w:t xml:space="preserve">Fair Dealing is one of the exceptions to copyright infringement. The </w:t>
      </w:r>
      <w:r w:rsidRPr="00124E7F">
        <w:rPr>
          <w:rFonts w:cstheme="minorHAnsi"/>
          <w:i/>
        </w:rPr>
        <w:t>Copyright Act 1968</w:t>
      </w:r>
      <w:r w:rsidRPr="00124E7F">
        <w:rPr>
          <w:rFonts w:cstheme="minorHAnsi"/>
        </w:rPr>
        <w:t xml:space="preserve"> provides that copying a </w:t>
      </w:r>
      <w:hyperlink r:id="rId34" w:history="1">
        <w:r w:rsidRPr="004213AE">
          <w:t>reasonable portion</w:t>
        </w:r>
      </w:hyperlink>
      <w:r w:rsidRPr="004213AE">
        <w:rPr>
          <w:rFonts w:cstheme="minorHAnsi"/>
        </w:rPr>
        <w:t xml:space="preserve"> of a </w:t>
      </w:r>
      <w:hyperlink r:id="rId35" w:history="1">
        <w:r w:rsidRPr="004213AE">
          <w:t>work</w:t>
        </w:r>
      </w:hyperlink>
      <w:r w:rsidRPr="004213AE">
        <w:rPr>
          <w:rFonts w:cstheme="minorHAnsi"/>
        </w:rPr>
        <w:t xml:space="preserve"> for the purposes of research or study, criticism or review, news reporting or </w:t>
      </w:r>
      <w:hyperlink r:id="rId36" w:history="1">
        <w:r w:rsidRPr="004213AE">
          <w:t>parody</w:t>
        </w:r>
      </w:hyperlink>
      <w:r w:rsidRPr="004213AE">
        <w:rPr>
          <w:rFonts w:cstheme="minorHAnsi"/>
        </w:rPr>
        <w:t xml:space="preserve"> and </w:t>
      </w:r>
      <w:hyperlink r:id="rId37" w:history="1">
        <w:r w:rsidRPr="004213AE">
          <w:t>satire</w:t>
        </w:r>
      </w:hyperlink>
      <w:r w:rsidRPr="004213AE">
        <w:rPr>
          <w:rFonts w:cstheme="minorHAnsi"/>
        </w:rPr>
        <w:t xml:space="preserve"> will be a </w:t>
      </w:r>
      <w:hyperlink r:id="rId38" w:history="1">
        <w:r w:rsidRPr="004213AE">
          <w:t>fair dealing</w:t>
        </w:r>
      </w:hyperlink>
      <w:r w:rsidRPr="004213AE">
        <w:rPr>
          <w:rFonts w:cstheme="minorHAnsi"/>
        </w:rPr>
        <w:t>.</w:t>
      </w:r>
    </w:p>
    <w:p w14:paraId="2D52614A" w14:textId="77777777" w:rsidR="00747252" w:rsidRPr="00124E7F" w:rsidRDefault="00747252" w:rsidP="00747252">
      <w:pPr>
        <w:tabs>
          <w:tab w:val="left" w:pos="1809"/>
        </w:tabs>
        <w:spacing w:after="240" w:line="240" w:lineRule="auto"/>
        <w:rPr>
          <w:rFonts w:cstheme="minorHAnsi"/>
        </w:rPr>
      </w:pPr>
      <w:r w:rsidRPr="004213AE">
        <w:rPr>
          <w:rFonts w:cstheme="minorHAnsi"/>
          <w:b/>
        </w:rPr>
        <w:t>Fair use</w:t>
      </w:r>
      <w:r w:rsidR="00645FEA" w:rsidRPr="004213AE">
        <w:rPr>
          <w:rFonts w:cstheme="minorHAnsi"/>
          <w:b/>
        </w:rPr>
        <w:t xml:space="preserve">: </w:t>
      </w:r>
      <w:r w:rsidRPr="004213AE">
        <w:rPr>
          <w:rFonts w:cstheme="minorHAnsi"/>
          <w:lang w:val="en" w:eastAsia="en-AU"/>
        </w:rPr>
        <w:t>One of several legal limitations on the exclusive rights granted to copyright owners. Fair use permits</w:t>
      </w:r>
      <w:r w:rsidRPr="00124E7F">
        <w:rPr>
          <w:rFonts w:cstheme="minorHAnsi"/>
        </w:rPr>
        <w:t xml:space="preserve"> the use of portions of copyrighted materials without permission of the copyright owner provided the use is fair. What is fair is assessed on a case-by-case basis against a number of ‘fairness factors’ including the </w:t>
      </w:r>
      <w:r w:rsidRPr="00124E7F">
        <w:rPr>
          <w:rFonts w:cstheme="minorHAnsi"/>
          <w:lang w:val="en" w:eastAsia="en-AU"/>
        </w:rPr>
        <w:t>purpose and character of the use, the nature of the original work, the amount and substantiality of the portion used in, and the effect of the use upon the potential market for or value of the original work.</w:t>
      </w:r>
    </w:p>
    <w:p w14:paraId="4C6B0F13" w14:textId="77777777" w:rsidR="00747252" w:rsidRPr="00124E7F" w:rsidRDefault="00747252" w:rsidP="00747252">
      <w:pPr>
        <w:tabs>
          <w:tab w:val="left" w:pos="1809"/>
        </w:tabs>
        <w:spacing w:after="240" w:line="240" w:lineRule="auto"/>
        <w:rPr>
          <w:rFonts w:cstheme="minorHAnsi"/>
          <w:lang w:val="en"/>
        </w:rPr>
      </w:pPr>
      <w:r w:rsidRPr="00124E7F">
        <w:rPr>
          <w:rFonts w:cstheme="minorHAnsi"/>
          <w:b/>
        </w:rPr>
        <w:t>Incidental or technical use</w:t>
      </w:r>
      <w:r w:rsidR="00645FEA" w:rsidRPr="00124E7F">
        <w:rPr>
          <w:rFonts w:cstheme="minorHAnsi"/>
          <w:b/>
        </w:rPr>
        <w:t xml:space="preserve">: </w:t>
      </w:r>
      <w:r w:rsidRPr="00124E7F">
        <w:t>Copying</w:t>
      </w:r>
      <w:r w:rsidRPr="00124E7F">
        <w:rPr>
          <w:b/>
        </w:rPr>
        <w:t xml:space="preserve"> </w:t>
      </w:r>
      <w:r w:rsidRPr="00124E7F">
        <w:t>activities undertaken by internet intermediaries necessary for the effective and efficient functioning of the internet, networks and other technologies that facilitate lawful access to copyright material.</w:t>
      </w:r>
    </w:p>
    <w:p w14:paraId="422E38C6" w14:textId="77777777" w:rsidR="00747252" w:rsidRPr="00202E68" w:rsidRDefault="00747252" w:rsidP="00747252">
      <w:pPr>
        <w:tabs>
          <w:tab w:val="left" w:pos="1809"/>
        </w:tabs>
        <w:spacing w:after="240" w:line="240" w:lineRule="auto"/>
        <w:rPr>
          <w:rFonts w:cstheme="minorHAnsi"/>
          <w:lang w:val="en"/>
        </w:rPr>
      </w:pPr>
      <w:r w:rsidRPr="00124E7F">
        <w:rPr>
          <w:rFonts w:cstheme="minorHAnsi"/>
          <w:b/>
        </w:rPr>
        <w:t>Infringement</w:t>
      </w:r>
      <w:r w:rsidR="00645FEA" w:rsidRPr="00124E7F">
        <w:rPr>
          <w:rFonts w:cstheme="minorHAnsi"/>
          <w:b/>
        </w:rPr>
        <w:t xml:space="preserve">: </w:t>
      </w:r>
      <w:r w:rsidRPr="00124E7F">
        <w:rPr>
          <w:rFonts w:cstheme="minorHAnsi"/>
          <w:lang w:val="en"/>
        </w:rPr>
        <w:t xml:space="preserve">Infringement occurs when a person does with a copyright work anything that is defined as an exclusive right of a copyright owner that isn't a fair </w:t>
      </w:r>
      <w:proofErr w:type="gramStart"/>
      <w:r w:rsidRPr="00124E7F">
        <w:rPr>
          <w:rFonts w:cstheme="minorHAnsi"/>
          <w:lang w:val="en"/>
        </w:rPr>
        <w:t>dealing, that</w:t>
      </w:r>
      <w:proofErr w:type="gramEnd"/>
      <w:r w:rsidRPr="00124E7F">
        <w:rPr>
          <w:rFonts w:cstheme="minorHAnsi"/>
          <w:lang w:val="en"/>
        </w:rPr>
        <w:t xml:space="preserve"> is undertaken without the protection of the statutory educational use licenses, or is undertaken in the absence of explicit permission from copyright owners.</w:t>
      </w:r>
    </w:p>
    <w:p w14:paraId="0244DADA" w14:textId="77777777" w:rsidR="00747252" w:rsidRPr="004213AE" w:rsidRDefault="00747252" w:rsidP="00747252">
      <w:pPr>
        <w:tabs>
          <w:tab w:val="left" w:pos="1809"/>
        </w:tabs>
        <w:spacing w:after="240" w:line="240" w:lineRule="auto"/>
        <w:rPr>
          <w:rFonts w:cstheme="minorHAnsi"/>
        </w:rPr>
      </w:pPr>
      <w:r w:rsidRPr="004213AE">
        <w:rPr>
          <w:rFonts w:cstheme="minorHAnsi"/>
          <w:b/>
        </w:rPr>
        <w:t>License</w:t>
      </w:r>
      <w:r w:rsidR="00645FEA" w:rsidRPr="004213AE">
        <w:rPr>
          <w:rFonts w:cstheme="minorHAnsi"/>
          <w:b/>
        </w:rPr>
        <w:t xml:space="preserve">: </w:t>
      </w:r>
      <w:r w:rsidRPr="004213AE">
        <w:rPr>
          <w:rFonts w:cstheme="minorHAnsi"/>
          <w:lang w:val="en"/>
        </w:rPr>
        <w:t xml:space="preserve">The grant of permission to use a copyright </w:t>
      </w:r>
      <w:hyperlink r:id="rId39" w:history="1">
        <w:r w:rsidRPr="004213AE">
          <w:rPr>
            <w:lang w:val="en"/>
          </w:rPr>
          <w:t>work</w:t>
        </w:r>
      </w:hyperlink>
      <w:r w:rsidRPr="004213AE">
        <w:rPr>
          <w:rFonts w:cstheme="minorHAnsi"/>
          <w:lang w:val="en"/>
        </w:rPr>
        <w:t xml:space="preserve"> in a particular way. A license may be exclusive or non-exclusive.</w:t>
      </w:r>
    </w:p>
    <w:p w14:paraId="268C8549" w14:textId="77777777" w:rsidR="00747252" w:rsidRPr="004213AE" w:rsidRDefault="00747252" w:rsidP="00747252">
      <w:pPr>
        <w:tabs>
          <w:tab w:val="left" w:pos="1809"/>
        </w:tabs>
        <w:spacing w:after="240" w:line="240" w:lineRule="auto"/>
        <w:rPr>
          <w:rFonts w:cstheme="minorHAnsi"/>
        </w:rPr>
      </w:pPr>
      <w:r w:rsidRPr="004213AE">
        <w:rPr>
          <w:rFonts w:cstheme="minorHAnsi"/>
          <w:b/>
        </w:rPr>
        <w:t>Mashup</w:t>
      </w:r>
      <w:r w:rsidR="00645FEA" w:rsidRPr="00124E7F">
        <w:rPr>
          <w:rFonts w:cstheme="minorHAnsi"/>
          <w:b/>
        </w:rPr>
        <w:t xml:space="preserve">: </w:t>
      </w:r>
      <w:r w:rsidRPr="00202E68">
        <w:rPr>
          <w:rFonts w:cstheme="minorHAnsi"/>
          <w:lang w:val="en"/>
        </w:rPr>
        <w:t>A genre of derivative works that are built by creatively reusing and combining various portions of music, film, audio, and graphics</w:t>
      </w:r>
    </w:p>
    <w:p w14:paraId="77E1FBD0" w14:textId="77777777" w:rsidR="00747252" w:rsidRPr="00124E7F" w:rsidRDefault="00747252" w:rsidP="00747252">
      <w:pPr>
        <w:tabs>
          <w:tab w:val="left" w:pos="1809"/>
        </w:tabs>
        <w:spacing w:after="240" w:line="240" w:lineRule="auto"/>
        <w:rPr>
          <w:rFonts w:cstheme="minorHAnsi"/>
        </w:rPr>
      </w:pPr>
      <w:r w:rsidRPr="004213AE">
        <w:rPr>
          <w:rFonts w:cstheme="minorHAnsi"/>
          <w:b/>
        </w:rPr>
        <w:t>New fair dealing</w:t>
      </w:r>
      <w:r w:rsidR="00645FEA" w:rsidRPr="004213AE">
        <w:rPr>
          <w:rFonts w:cstheme="minorHAnsi"/>
          <w:b/>
        </w:rPr>
        <w:t xml:space="preserve">: </w:t>
      </w:r>
      <w:r w:rsidRPr="00124E7F">
        <w:rPr>
          <w:rFonts w:cstheme="minorHAnsi"/>
        </w:rPr>
        <w:t>The ALRC’s recommendation 6-1 (the new fair dealing exception) consolidates the existing fair dealing exceptions and provides fair dealing for certain new purposes including quotation, non-commercial private use, incidental or technical use, library of or archive use; education and access for people with disability. The recommendation also provides that the fairness factors should be considered when determining whether the dealing is fair, along with any other relevant matter.</w:t>
      </w:r>
    </w:p>
    <w:p w14:paraId="3386578B" w14:textId="77777777" w:rsidR="00747252" w:rsidRPr="00124E7F" w:rsidRDefault="00747252" w:rsidP="00747252">
      <w:pPr>
        <w:tabs>
          <w:tab w:val="left" w:pos="1809"/>
        </w:tabs>
        <w:spacing w:after="240" w:line="240" w:lineRule="auto"/>
        <w:rPr>
          <w:rFonts w:cstheme="minorHAnsi"/>
          <w:lang w:val="en"/>
        </w:rPr>
      </w:pPr>
      <w:r w:rsidRPr="00124E7F">
        <w:rPr>
          <w:rFonts w:cstheme="minorHAnsi"/>
          <w:b/>
        </w:rPr>
        <w:t>Non-commercial private use</w:t>
      </w:r>
      <w:r w:rsidR="00645FEA" w:rsidRPr="00124E7F">
        <w:rPr>
          <w:rFonts w:cstheme="minorHAnsi"/>
          <w:b/>
        </w:rPr>
        <w:t xml:space="preserve">: </w:t>
      </w:r>
      <w:r w:rsidRPr="00124E7F">
        <w:rPr>
          <w:rFonts w:cstheme="minorHAnsi"/>
          <w:lang w:val="en"/>
        </w:rPr>
        <w:t>Reproduction of legitimately acquired copyright content for use solely in the private sphere.</w:t>
      </w:r>
    </w:p>
    <w:p w14:paraId="43D94870" w14:textId="77777777" w:rsidR="00747252" w:rsidRPr="00124E7F" w:rsidRDefault="00747252" w:rsidP="00747252">
      <w:pPr>
        <w:tabs>
          <w:tab w:val="left" w:pos="1809"/>
        </w:tabs>
        <w:spacing w:after="240" w:line="240" w:lineRule="auto"/>
        <w:rPr>
          <w:rFonts w:cstheme="minorHAnsi"/>
        </w:rPr>
      </w:pPr>
      <w:r w:rsidRPr="00124E7F">
        <w:rPr>
          <w:rFonts w:cstheme="minorHAnsi"/>
          <w:b/>
        </w:rPr>
        <w:t>Orphan works</w:t>
      </w:r>
      <w:r w:rsidR="00645FEA" w:rsidRPr="00124E7F">
        <w:rPr>
          <w:rFonts w:cstheme="minorHAnsi"/>
          <w:b/>
        </w:rPr>
        <w:t xml:space="preserve">: </w:t>
      </w:r>
      <w:r w:rsidRPr="00124E7F">
        <w:rPr>
          <w:rFonts w:cstheme="minorHAnsi"/>
        </w:rPr>
        <w:t xml:space="preserve">A work that may be covered by copyright but for which no copyright owner can be identified or contacted for the purpose of obtaining permission to use the work. </w:t>
      </w:r>
    </w:p>
    <w:p w14:paraId="01BCBB78" w14:textId="77777777" w:rsidR="00747252" w:rsidRPr="00124E7F" w:rsidRDefault="00747252" w:rsidP="00747252">
      <w:pPr>
        <w:tabs>
          <w:tab w:val="left" w:pos="1809"/>
        </w:tabs>
        <w:spacing w:after="240" w:line="240" w:lineRule="auto"/>
        <w:rPr>
          <w:rFonts w:cstheme="minorHAnsi"/>
        </w:rPr>
      </w:pPr>
      <w:r w:rsidRPr="00124E7F">
        <w:rPr>
          <w:rFonts w:cstheme="minorHAnsi"/>
          <w:b/>
        </w:rPr>
        <w:t>PwC Report</w:t>
      </w:r>
      <w:r w:rsidR="00645FEA" w:rsidRPr="00124E7F">
        <w:rPr>
          <w:rFonts w:cstheme="minorHAnsi"/>
          <w:b/>
        </w:rPr>
        <w:t xml:space="preserve">: </w:t>
      </w:r>
      <w:r w:rsidRPr="00124E7F">
        <w:rPr>
          <w:rFonts w:cstheme="minorHAnsi"/>
        </w:rPr>
        <w:t xml:space="preserve">Refers to a report – </w:t>
      </w:r>
      <w:r w:rsidRPr="00124E7F">
        <w:rPr>
          <w:rFonts w:cstheme="minorHAnsi"/>
          <w:i/>
        </w:rPr>
        <w:t>Understanding the costs and benefits of introducing a ‘fair use’ exception</w:t>
      </w:r>
      <w:r w:rsidRPr="00124E7F">
        <w:rPr>
          <w:rFonts w:cstheme="minorHAnsi"/>
        </w:rPr>
        <w:t xml:space="preserve"> – prepared by PwC in February 2016 for APRA, AMCOS, PPCA, Copyright </w:t>
      </w:r>
      <w:proofErr w:type="spellStart"/>
      <w:r w:rsidRPr="00124E7F">
        <w:rPr>
          <w:rFonts w:cstheme="minorHAnsi"/>
        </w:rPr>
        <w:t>Agency|Viscopy</w:t>
      </w:r>
      <w:proofErr w:type="spellEnd"/>
      <w:r w:rsidRPr="00124E7F">
        <w:rPr>
          <w:rFonts w:cstheme="minorHAnsi"/>
        </w:rPr>
        <w:t xml:space="preserve">, Foxtel, News Corp Australia and </w:t>
      </w:r>
      <w:proofErr w:type="spellStart"/>
      <w:r w:rsidRPr="00124E7F">
        <w:rPr>
          <w:rFonts w:cstheme="minorHAnsi"/>
        </w:rPr>
        <w:t>Screenrights</w:t>
      </w:r>
      <w:proofErr w:type="spellEnd"/>
      <w:r w:rsidRPr="00124E7F">
        <w:rPr>
          <w:rFonts w:cstheme="minorHAnsi"/>
        </w:rPr>
        <w:t xml:space="preserve">. </w:t>
      </w:r>
    </w:p>
    <w:p w14:paraId="4070A8B6" w14:textId="77777777" w:rsidR="00747252" w:rsidRPr="00124E7F" w:rsidRDefault="00747252" w:rsidP="00747252">
      <w:pPr>
        <w:tabs>
          <w:tab w:val="left" w:pos="1809"/>
        </w:tabs>
        <w:spacing w:after="240" w:line="240" w:lineRule="auto"/>
        <w:rPr>
          <w:rFonts w:cstheme="minorHAnsi"/>
        </w:rPr>
      </w:pPr>
      <w:r w:rsidRPr="00124E7F">
        <w:rPr>
          <w:rFonts w:cstheme="minorHAnsi"/>
          <w:b/>
        </w:rPr>
        <w:t>Quotation</w:t>
      </w:r>
      <w:r w:rsidR="00645FEA" w:rsidRPr="00124E7F">
        <w:rPr>
          <w:rFonts w:cstheme="minorHAnsi"/>
          <w:b/>
        </w:rPr>
        <w:t xml:space="preserve">: </w:t>
      </w:r>
      <w:r w:rsidRPr="00124E7F">
        <w:rPr>
          <w:rFonts w:cstheme="minorHAnsi"/>
        </w:rPr>
        <w:t>The taking of some part of a greater whole – a group of words from a text or a speech, a musical passage or visual image taken from a piece of music or a work of art – where the taking is done by someone other than the creator of the work.</w:t>
      </w:r>
    </w:p>
    <w:p w14:paraId="3D0517D9" w14:textId="77777777" w:rsidR="00747252" w:rsidRPr="00124E7F" w:rsidRDefault="00747252" w:rsidP="00747252">
      <w:pPr>
        <w:tabs>
          <w:tab w:val="left" w:pos="1809"/>
        </w:tabs>
        <w:spacing w:after="240" w:line="240" w:lineRule="auto"/>
        <w:rPr>
          <w:rFonts w:cstheme="minorHAnsi"/>
        </w:rPr>
      </w:pPr>
      <w:r w:rsidRPr="00124E7F">
        <w:rPr>
          <w:rFonts w:cstheme="minorHAnsi"/>
          <w:b/>
        </w:rPr>
        <w:t>Reproduction</w:t>
      </w:r>
      <w:r w:rsidR="00645FEA" w:rsidRPr="00124E7F">
        <w:rPr>
          <w:rFonts w:cstheme="minorHAnsi"/>
          <w:b/>
        </w:rPr>
        <w:t xml:space="preserve">: </w:t>
      </w:r>
      <w:r w:rsidRPr="00124E7F">
        <w:rPr>
          <w:rFonts w:cstheme="minorHAnsi"/>
        </w:rPr>
        <w:t>Reproduction includes photocopying, audiotaping, scanning or saving to disc.</w:t>
      </w:r>
    </w:p>
    <w:p w14:paraId="0770C67D" w14:textId="77777777" w:rsidR="00747252" w:rsidRPr="004213AE" w:rsidRDefault="00747252" w:rsidP="001D5071">
      <w:pPr>
        <w:shd w:val="clear" w:color="auto" w:fill="FFFFFF"/>
        <w:spacing w:after="120" w:line="240" w:lineRule="auto"/>
        <w:rPr>
          <w:rFonts w:cstheme="minorHAnsi"/>
        </w:rPr>
      </w:pPr>
      <w:proofErr w:type="spellStart"/>
      <w:r w:rsidRPr="00124E7F">
        <w:rPr>
          <w:rFonts w:cstheme="minorHAnsi"/>
          <w:b/>
          <w:lang w:val="en-US"/>
        </w:rPr>
        <w:t>Screenrights</w:t>
      </w:r>
      <w:proofErr w:type="spellEnd"/>
      <w:r w:rsidR="00645FEA" w:rsidRPr="00124E7F">
        <w:rPr>
          <w:rFonts w:cstheme="minorHAnsi"/>
          <w:b/>
          <w:lang w:val="en-US"/>
        </w:rPr>
        <w:t xml:space="preserve">: </w:t>
      </w:r>
      <w:proofErr w:type="spellStart"/>
      <w:r w:rsidRPr="00124E7F">
        <w:rPr>
          <w:rFonts w:cstheme="minorHAnsi"/>
        </w:rPr>
        <w:t>Screenrights</w:t>
      </w:r>
      <w:proofErr w:type="spellEnd"/>
      <w:r w:rsidRPr="00124E7F">
        <w:rPr>
          <w:rFonts w:cstheme="minorHAnsi"/>
        </w:rPr>
        <w:t xml:space="preserve"> is the declared </w:t>
      </w:r>
      <w:hyperlink r:id="rId40" w:history="1">
        <w:r w:rsidRPr="004213AE">
          <w:t>collecting society</w:t>
        </w:r>
      </w:hyperlink>
      <w:r w:rsidRPr="004213AE">
        <w:rPr>
          <w:rFonts w:cstheme="minorHAnsi"/>
        </w:rPr>
        <w:t xml:space="preserve"> for the:</w:t>
      </w:r>
    </w:p>
    <w:p w14:paraId="0C7B570C" w14:textId="77777777" w:rsidR="00747252" w:rsidRPr="00124E7F" w:rsidRDefault="00747252" w:rsidP="004C5881">
      <w:pPr>
        <w:pStyle w:val="EYBulletedText1"/>
        <w:rPr>
          <w:szCs w:val="22"/>
          <w:lang w:eastAsia="en-AU"/>
        </w:rPr>
      </w:pPr>
      <w:r w:rsidRPr="004213AE">
        <w:rPr>
          <w:szCs w:val="22"/>
          <w:lang w:eastAsia="en-AU"/>
        </w:rPr>
        <w:t xml:space="preserve">copying and </w:t>
      </w:r>
      <w:hyperlink r:id="rId41" w:history="1">
        <w:r w:rsidRPr="00124E7F">
          <w:rPr>
            <w:szCs w:val="22"/>
            <w:lang w:eastAsia="en-AU"/>
          </w:rPr>
          <w:t>communication</w:t>
        </w:r>
      </w:hyperlink>
      <w:r w:rsidRPr="00124E7F">
        <w:rPr>
          <w:szCs w:val="22"/>
          <w:lang w:eastAsia="en-AU"/>
        </w:rPr>
        <w:t xml:space="preserve"> of material from radio and television </w:t>
      </w:r>
      <w:hyperlink r:id="rId42" w:history="1">
        <w:r w:rsidRPr="00124E7F">
          <w:rPr>
            <w:szCs w:val="22"/>
            <w:lang w:eastAsia="en-AU"/>
          </w:rPr>
          <w:t>broadcasts</w:t>
        </w:r>
      </w:hyperlink>
      <w:r w:rsidRPr="00124E7F">
        <w:rPr>
          <w:szCs w:val="22"/>
          <w:lang w:eastAsia="en-AU"/>
        </w:rPr>
        <w:t xml:space="preserve"> by </w:t>
      </w:r>
      <w:hyperlink r:id="rId43" w:history="1">
        <w:r w:rsidRPr="00124E7F">
          <w:rPr>
            <w:szCs w:val="22"/>
            <w:lang w:eastAsia="en-AU"/>
          </w:rPr>
          <w:t>educational institutions</w:t>
        </w:r>
      </w:hyperlink>
      <w:r w:rsidRPr="00124E7F">
        <w:rPr>
          <w:szCs w:val="22"/>
          <w:lang w:eastAsia="en-AU"/>
        </w:rPr>
        <w:t xml:space="preserve"> </w:t>
      </w:r>
    </w:p>
    <w:p w14:paraId="72C70C39" w14:textId="77777777" w:rsidR="00747252" w:rsidRPr="00124E7F" w:rsidRDefault="00747252" w:rsidP="004C5881">
      <w:pPr>
        <w:pStyle w:val="EYBulletedText1"/>
        <w:rPr>
          <w:szCs w:val="22"/>
          <w:lang w:eastAsia="en-AU"/>
        </w:rPr>
      </w:pPr>
      <w:r w:rsidRPr="00124E7F">
        <w:rPr>
          <w:szCs w:val="22"/>
          <w:lang w:eastAsia="en-AU"/>
        </w:rPr>
        <w:t xml:space="preserve">copying and </w:t>
      </w:r>
      <w:hyperlink r:id="rId44" w:history="1">
        <w:r w:rsidRPr="00124E7F">
          <w:rPr>
            <w:szCs w:val="22"/>
            <w:lang w:eastAsia="en-AU"/>
          </w:rPr>
          <w:t>communication</w:t>
        </w:r>
      </w:hyperlink>
      <w:r w:rsidRPr="00124E7F">
        <w:rPr>
          <w:szCs w:val="22"/>
          <w:lang w:eastAsia="en-AU"/>
        </w:rPr>
        <w:t xml:space="preserve"> of material from radio and television </w:t>
      </w:r>
      <w:hyperlink r:id="rId45" w:history="1">
        <w:r w:rsidRPr="00124E7F">
          <w:rPr>
            <w:szCs w:val="22"/>
            <w:lang w:eastAsia="en-AU"/>
          </w:rPr>
          <w:t>broadcasts</w:t>
        </w:r>
      </w:hyperlink>
      <w:r w:rsidRPr="00124E7F">
        <w:rPr>
          <w:szCs w:val="22"/>
          <w:lang w:eastAsia="en-AU"/>
        </w:rPr>
        <w:t xml:space="preserve"> by government</w:t>
      </w:r>
      <w:r w:rsidR="00C36D57" w:rsidRPr="00124E7F">
        <w:rPr>
          <w:szCs w:val="22"/>
          <w:lang w:eastAsia="en-AU"/>
        </w:rPr>
        <w:t xml:space="preserve"> </w:t>
      </w:r>
    </w:p>
    <w:p w14:paraId="592CCEA2" w14:textId="77777777" w:rsidR="00747252" w:rsidRPr="00124E7F" w:rsidRDefault="00747252" w:rsidP="004C5881">
      <w:pPr>
        <w:pStyle w:val="EYBulletedText1"/>
        <w:rPr>
          <w:rFonts w:cstheme="minorHAnsi"/>
          <w:szCs w:val="22"/>
          <w:lang w:val="en" w:eastAsia="en-AU"/>
        </w:rPr>
      </w:pPr>
      <w:r w:rsidRPr="00124E7F">
        <w:rPr>
          <w:szCs w:val="22"/>
          <w:lang w:eastAsia="en-AU"/>
        </w:rPr>
        <w:t>re-transmission</w:t>
      </w:r>
      <w:r w:rsidRPr="00124E7F">
        <w:rPr>
          <w:rFonts w:cstheme="minorHAnsi"/>
          <w:szCs w:val="22"/>
          <w:lang w:val="en" w:eastAsia="en-AU"/>
        </w:rPr>
        <w:t xml:space="preserve"> of radio and television </w:t>
      </w:r>
      <w:hyperlink r:id="rId46" w:history="1">
        <w:r w:rsidRPr="00124E7F">
          <w:rPr>
            <w:rFonts w:cstheme="minorHAnsi"/>
            <w:szCs w:val="22"/>
            <w:lang w:val="en" w:eastAsia="en-AU"/>
          </w:rPr>
          <w:t>broadcasts</w:t>
        </w:r>
      </w:hyperlink>
      <w:r w:rsidRPr="00124E7F">
        <w:rPr>
          <w:rFonts w:cstheme="minorHAnsi"/>
          <w:szCs w:val="22"/>
          <w:lang w:val="en" w:eastAsia="en-AU"/>
        </w:rPr>
        <w:t xml:space="preserve"> </w:t>
      </w:r>
    </w:p>
    <w:p w14:paraId="26FFF44B" w14:textId="77777777" w:rsidR="00747252" w:rsidRPr="004213AE" w:rsidRDefault="00747252" w:rsidP="00747252">
      <w:pPr>
        <w:tabs>
          <w:tab w:val="left" w:pos="1809"/>
        </w:tabs>
        <w:spacing w:after="240" w:line="240" w:lineRule="auto"/>
        <w:rPr>
          <w:rFonts w:cstheme="minorHAnsi"/>
          <w:lang w:val="en-US"/>
        </w:rPr>
      </w:pPr>
      <w:r w:rsidRPr="00124E7F">
        <w:rPr>
          <w:rFonts w:cstheme="minorHAnsi"/>
          <w:b/>
          <w:lang w:val="en-US"/>
        </w:rPr>
        <w:t>Statutory licenses</w:t>
      </w:r>
      <w:r w:rsidR="00645FEA" w:rsidRPr="00124E7F">
        <w:rPr>
          <w:rFonts w:cstheme="minorHAnsi"/>
          <w:b/>
          <w:lang w:val="en-US"/>
        </w:rPr>
        <w:t xml:space="preserve">: </w:t>
      </w:r>
      <w:hyperlink r:id="rId47" w:history="1">
        <w:r w:rsidRPr="004213AE">
          <w:t>License</w:t>
        </w:r>
      </w:hyperlink>
      <w:r w:rsidRPr="004213AE">
        <w:rPr>
          <w:rFonts w:cstheme="minorHAnsi"/>
        </w:rPr>
        <w:t xml:space="preserve"> schemes created under the Copyright Act for the educational use of copyright material. The two statutory license schemes are the </w:t>
      </w:r>
      <w:hyperlink r:id="rId48" w:history="1">
        <w:r w:rsidRPr="004213AE">
          <w:t>Statutory Broadcast License</w:t>
        </w:r>
      </w:hyperlink>
      <w:r w:rsidRPr="004213AE">
        <w:rPr>
          <w:rFonts w:cstheme="minorHAnsi"/>
        </w:rPr>
        <w:t xml:space="preserve"> and the </w:t>
      </w:r>
      <w:hyperlink r:id="rId49" w:history="1">
        <w:r w:rsidRPr="004213AE">
          <w:t>Statutory Text and Artistic License</w:t>
        </w:r>
      </w:hyperlink>
      <w:r w:rsidRPr="004213AE">
        <w:rPr>
          <w:rFonts w:cstheme="minorHAnsi"/>
        </w:rPr>
        <w:t>.</w:t>
      </w:r>
    </w:p>
    <w:p w14:paraId="444BBA1C" w14:textId="77777777" w:rsidR="00747252" w:rsidRPr="00202E68" w:rsidRDefault="00747252" w:rsidP="00747252">
      <w:pPr>
        <w:tabs>
          <w:tab w:val="left" w:pos="1809"/>
        </w:tabs>
        <w:spacing w:after="240" w:line="240" w:lineRule="auto"/>
        <w:rPr>
          <w:rFonts w:cstheme="minorHAnsi"/>
          <w:lang w:val="en" w:eastAsia="en-AU"/>
        </w:rPr>
      </w:pPr>
      <w:r w:rsidRPr="004213AE">
        <w:rPr>
          <w:rFonts w:cstheme="minorHAnsi"/>
          <w:b/>
          <w:lang w:val="en-US"/>
        </w:rPr>
        <w:t>Substantial part</w:t>
      </w:r>
      <w:r w:rsidR="00645FEA" w:rsidRPr="004213AE">
        <w:rPr>
          <w:rFonts w:cstheme="minorHAnsi"/>
          <w:b/>
          <w:lang w:val="en-US"/>
        </w:rPr>
        <w:t xml:space="preserve">: </w:t>
      </w:r>
      <w:r w:rsidRPr="00124E7F">
        <w:t xml:space="preserve">Substantial part refers to any part which is copied or communicated from copyright material. Under Australian copyright law it is the quality or relevance of the copied part that is important, not only the amount that is copied. </w:t>
      </w:r>
    </w:p>
    <w:p w14:paraId="282FAE59" w14:textId="77777777" w:rsidR="00747252" w:rsidRPr="004213AE" w:rsidRDefault="00747252" w:rsidP="00747252">
      <w:pPr>
        <w:shd w:val="clear" w:color="auto" w:fill="FFFFFF"/>
        <w:tabs>
          <w:tab w:val="left" w:pos="1809"/>
        </w:tabs>
        <w:spacing w:after="240" w:line="240" w:lineRule="auto"/>
      </w:pPr>
      <w:r w:rsidRPr="00202E68">
        <w:rPr>
          <w:rFonts w:cstheme="minorHAnsi"/>
          <w:b/>
          <w:bCs/>
        </w:rPr>
        <w:t>Technological Protection Measure</w:t>
      </w:r>
      <w:r w:rsidR="00645FEA" w:rsidRPr="00202E68">
        <w:rPr>
          <w:rFonts w:cstheme="minorHAnsi"/>
          <w:b/>
          <w:bCs/>
        </w:rPr>
        <w:t xml:space="preserve">: </w:t>
      </w:r>
      <w:r w:rsidRPr="004213AE">
        <w:t xml:space="preserve">TPM is a device or software placed on copyright material to prevent unauthorised access or copying. Examples include software locks or password protection measures. </w:t>
      </w:r>
    </w:p>
    <w:p w14:paraId="48404E92" w14:textId="77777777" w:rsidR="00747252" w:rsidRPr="00202E68" w:rsidRDefault="00747252" w:rsidP="00747252">
      <w:pPr>
        <w:shd w:val="clear" w:color="auto" w:fill="FFFFFF"/>
        <w:tabs>
          <w:tab w:val="left" w:pos="1809"/>
        </w:tabs>
        <w:spacing w:after="240" w:line="240" w:lineRule="auto"/>
        <w:rPr>
          <w:rFonts w:cstheme="minorHAnsi"/>
        </w:rPr>
      </w:pPr>
      <w:r w:rsidRPr="004213AE">
        <w:rPr>
          <w:rFonts w:cstheme="minorHAnsi"/>
          <w:b/>
          <w:lang w:val="en-US"/>
        </w:rPr>
        <w:t>Voluntary licenses</w:t>
      </w:r>
      <w:r w:rsidR="00645FEA" w:rsidRPr="00124E7F">
        <w:rPr>
          <w:rFonts w:cstheme="minorHAnsi"/>
          <w:b/>
          <w:lang w:val="en-US"/>
        </w:rPr>
        <w:t xml:space="preserve">: </w:t>
      </w:r>
      <w:r w:rsidRPr="00124E7F">
        <w:t>L</w:t>
      </w:r>
      <w:hyperlink r:id="rId50" w:history="1">
        <w:r w:rsidRPr="004213AE">
          <w:t>icence</w:t>
        </w:r>
      </w:hyperlink>
      <w:r w:rsidRPr="004213AE">
        <w:t xml:space="preserve"> schemes which are not enacted by statue and in this regard are “voluntary” arrangements between </w:t>
      </w:r>
      <w:hyperlink r:id="rId51" w:history="1">
        <w:r w:rsidRPr="004213AE">
          <w:t>collecting societies</w:t>
        </w:r>
      </w:hyperlink>
      <w:r w:rsidRPr="004213AE">
        <w:t xml:space="preserve"> and the public for the use of copyright </w:t>
      </w:r>
      <w:hyperlink r:id="rId52" w:history="1">
        <w:r w:rsidRPr="004213AE">
          <w:t>works</w:t>
        </w:r>
      </w:hyperlink>
      <w:r w:rsidRPr="004213AE">
        <w:t xml:space="preserve">. </w:t>
      </w:r>
    </w:p>
    <w:p w14:paraId="66130064" w14:textId="77777777" w:rsidR="00747252" w:rsidRPr="004213AE" w:rsidRDefault="00747252" w:rsidP="00747252">
      <w:pPr>
        <w:tabs>
          <w:tab w:val="left" w:pos="1809"/>
        </w:tabs>
        <w:spacing w:after="240" w:line="240" w:lineRule="auto"/>
        <w:rPr>
          <w:rFonts w:cstheme="minorHAnsi"/>
          <w:lang w:val="en-US"/>
        </w:rPr>
      </w:pPr>
      <w:r w:rsidRPr="004213AE">
        <w:rPr>
          <w:rFonts w:cstheme="minorHAnsi"/>
          <w:b/>
          <w:lang w:val="en-US"/>
        </w:rPr>
        <w:t>Works</w:t>
      </w:r>
      <w:r w:rsidR="00645FEA" w:rsidRPr="004213AE">
        <w:rPr>
          <w:rFonts w:cstheme="minorHAnsi"/>
          <w:b/>
          <w:lang w:val="en-US"/>
        </w:rPr>
        <w:t xml:space="preserve">: </w:t>
      </w:r>
      <w:r w:rsidRPr="004213AE">
        <w:t xml:space="preserve">A work refers to </w:t>
      </w:r>
      <w:hyperlink r:id="rId53" w:history="1">
        <w:r w:rsidRPr="004213AE">
          <w:t>literary</w:t>
        </w:r>
      </w:hyperlink>
      <w:r w:rsidRPr="004213AE">
        <w:t xml:space="preserve">, </w:t>
      </w:r>
      <w:hyperlink r:id="rId54" w:history="1">
        <w:r w:rsidRPr="004213AE">
          <w:t>dramatic</w:t>
        </w:r>
      </w:hyperlink>
      <w:r w:rsidRPr="004213AE">
        <w:t xml:space="preserve">, </w:t>
      </w:r>
      <w:hyperlink r:id="rId55" w:history="1">
        <w:r w:rsidRPr="004213AE">
          <w:t>musical</w:t>
        </w:r>
      </w:hyperlink>
      <w:r w:rsidRPr="004213AE">
        <w:t xml:space="preserve"> or </w:t>
      </w:r>
      <w:hyperlink r:id="rId56" w:history="1">
        <w:r w:rsidRPr="004213AE">
          <w:t>artistic works</w:t>
        </w:r>
      </w:hyperlink>
      <w:r w:rsidRPr="004213AE">
        <w:t>.</w:t>
      </w:r>
    </w:p>
    <w:p w14:paraId="0202F5DE" w14:textId="77777777" w:rsidR="00FB1085" w:rsidRPr="00202E68" w:rsidRDefault="00857004" w:rsidP="00961B30">
      <w:pPr>
        <w:pStyle w:val="EYHeading1"/>
        <w:numPr>
          <w:ilvl w:val="0"/>
          <w:numId w:val="0"/>
        </w:numPr>
        <w:ind w:left="851" w:hanging="851"/>
        <w:rPr>
          <w:color w:val="auto"/>
        </w:rPr>
      </w:pPr>
      <w:bookmarkStart w:id="11" w:name="_Toc451769100"/>
      <w:bookmarkStart w:id="12" w:name="_Toc467768882"/>
      <w:bookmarkStart w:id="13" w:name="_Toc467768937"/>
      <w:bookmarkStart w:id="14" w:name="_Toc467769074"/>
      <w:bookmarkStart w:id="15" w:name="_Toc469644722"/>
      <w:r w:rsidRPr="00202E68">
        <w:rPr>
          <w:color w:val="auto"/>
        </w:rPr>
        <w:t>Executive summary</w:t>
      </w:r>
      <w:bookmarkEnd w:id="10"/>
      <w:bookmarkEnd w:id="11"/>
      <w:bookmarkEnd w:id="12"/>
      <w:bookmarkEnd w:id="13"/>
      <w:bookmarkEnd w:id="14"/>
      <w:bookmarkEnd w:id="15"/>
    </w:p>
    <w:p w14:paraId="469EEA97" w14:textId="77777777" w:rsidR="00FC67CC" w:rsidRPr="004213AE" w:rsidRDefault="00967E9A" w:rsidP="007B0604">
      <w:pPr>
        <w:pStyle w:val="EYHeading2"/>
        <w:numPr>
          <w:ilvl w:val="0"/>
          <w:numId w:val="0"/>
        </w:numPr>
        <w:ind w:left="851" w:hanging="851"/>
      </w:pPr>
      <w:bookmarkStart w:id="16" w:name="_Toc467768883"/>
      <w:bookmarkStart w:id="17" w:name="_Toc467768938"/>
      <w:bookmarkStart w:id="18" w:name="_Toc469644723"/>
      <w:r w:rsidRPr="004213AE">
        <w:t>Background</w:t>
      </w:r>
      <w:bookmarkEnd w:id="16"/>
      <w:bookmarkEnd w:id="17"/>
      <w:bookmarkEnd w:id="18"/>
    </w:p>
    <w:p w14:paraId="599A6B63" w14:textId="5FA88D29" w:rsidR="00CA5380" w:rsidRPr="004213AE" w:rsidRDefault="00CA5380" w:rsidP="007B0604">
      <w:pPr>
        <w:pStyle w:val="EYBodytextwithparaspace"/>
      </w:pPr>
      <w:r w:rsidRPr="004213AE">
        <w:t>In Australia, the Copyright Act 1968 (Copyright Act henceforth) confers a number of exclusive rights to creators</w:t>
      </w:r>
      <w:r w:rsidR="003E74D1" w:rsidRPr="00124E7F">
        <w:t>,</w:t>
      </w:r>
      <w:r w:rsidRPr="00124E7F">
        <w:t xml:space="preserve"> including the right to reproduce, publish, perform, communicate, adapt and rent original works. However, copyright has always been based on a notion of balance. That is, balance between the incentives to invest in creative effort and the general interest of Australians to access, use and interact with content in the advancement of wider social and economic objectives.</w:t>
      </w:r>
      <w:r w:rsidRPr="00202E68">
        <w:rPr>
          <w:vertAlign w:val="superscript"/>
        </w:rPr>
        <w:footnoteReference w:id="2"/>
      </w:r>
    </w:p>
    <w:p w14:paraId="14169F37" w14:textId="77777777" w:rsidR="00006F91" w:rsidRPr="004213AE" w:rsidRDefault="00CA5380" w:rsidP="007B0604">
      <w:pPr>
        <w:pStyle w:val="EYBodytextwithparaspace"/>
      </w:pPr>
      <w:r w:rsidRPr="004213AE">
        <w:t>One way in which the copyright balance has been achieved is by granting copyright for a limited term that varies according to the nature of the copyright material and whether it is published. A further limitation of copyright is that it protects the expression of the protected ideas, but not the un</w:t>
      </w:r>
      <w:r w:rsidRPr="00124E7F">
        <w:t>derlying ideas themselves. In addition, the Copyright Act provides over 50 exceptions to the general rules regarding copyright infringement.</w:t>
      </w:r>
      <w:r w:rsidRPr="00202E68">
        <w:rPr>
          <w:vertAlign w:val="superscript"/>
        </w:rPr>
        <w:footnoteReference w:id="3"/>
      </w:r>
      <w:r w:rsidRPr="00202E68">
        <w:rPr>
          <w:vertAlign w:val="superscript"/>
        </w:rPr>
        <w:t xml:space="preserve"> </w:t>
      </w:r>
    </w:p>
    <w:p w14:paraId="42E6CA30" w14:textId="77777777" w:rsidR="00CA5380" w:rsidRPr="004213AE" w:rsidRDefault="00CA5380" w:rsidP="007B0604">
      <w:pPr>
        <w:pStyle w:val="EYBodytextwithparaspace"/>
      </w:pPr>
      <w:r w:rsidRPr="004213AE">
        <w:t xml:space="preserve">In Australia, exceptions may be </w:t>
      </w:r>
      <w:proofErr w:type="spellStart"/>
      <w:r w:rsidRPr="004213AE">
        <w:t>categorised</w:t>
      </w:r>
      <w:proofErr w:type="spellEnd"/>
      <w:r w:rsidRPr="004213AE">
        <w:t xml:space="preserve"> into three key groupings:</w:t>
      </w:r>
    </w:p>
    <w:p w14:paraId="2AE758AC" w14:textId="77777777" w:rsidR="00CA5380" w:rsidRPr="00124E7F" w:rsidRDefault="00CA5380" w:rsidP="009F4C06">
      <w:pPr>
        <w:pStyle w:val="EYBulletedText1"/>
      </w:pPr>
      <w:r w:rsidRPr="00124E7F">
        <w:t>Fair dealing exceptions for enumerated purposes (i.e. research/study; criticism/review; parody/satire; reporting news; legal practitioners; and professional advice)</w:t>
      </w:r>
    </w:p>
    <w:p w14:paraId="08419208" w14:textId="77777777" w:rsidR="00CA5380" w:rsidRPr="00124E7F" w:rsidRDefault="009978DD" w:rsidP="009F4C06">
      <w:pPr>
        <w:pStyle w:val="EYBulletedText1"/>
      </w:pPr>
      <w:r w:rsidRPr="00124E7F">
        <w:t xml:space="preserve">Statutory </w:t>
      </w:r>
      <w:r w:rsidR="008D7BC8" w:rsidRPr="00124E7F">
        <w:t>licenses</w:t>
      </w:r>
      <w:r w:rsidR="00CA5380" w:rsidRPr="00124E7F">
        <w:t xml:space="preserve"> (whereby certain uses of copyright material are allowed in return </w:t>
      </w:r>
      <w:r w:rsidR="005D236A" w:rsidRPr="00124E7F">
        <w:t>for</w:t>
      </w:r>
      <w:r w:rsidR="00CA5380" w:rsidRPr="00124E7F">
        <w:t xml:space="preserve"> fees to the owner or collecting society)</w:t>
      </w:r>
    </w:p>
    <w:p w14:paraId="568C04B0" w14:textId="77777777" w:rsidR="00CA5380" w:rsidRPr="00124E7F" w:rsidRDefault="00CA5380" w:rsidP="003665D9">
      <w:pPr>
        <w:pStyle w:val="EYBulletedText1"/>
      </w:pPr>
      <w:r w:rsidRPr="00124E7F">
        <w:t xml:space="preserve">Other exceptions (e.g. format shifting and time shifting). </w:t>
      </w:r>
    </w:p>
    <w:p w14:paraId="549CAE3A" w14:textId="77777777" w:rsidR="00CA5380" w:rsidRPr="00124E7F" w:rsidRDefault="00CA5380" w:rsidP="007B0604">
      <w:pPr>
        <w:pStyle w:val="EYBodytextwithparaspace"/>
      </w:pPr>
      <w:r w:rsidRPr="00124E7F">
        <w:t>The appropriate role and scope of copyright exceptions has been an ongoing matter of debate both internationally and in Australia, and even more so in the digital era. It is clear that the advent of digital technology has brought about new opportunities and challenges for both copyright owners and users. What is less clear is how this is affecting the desirable level of copyright protection.</w:t>
      </w:r>
    </w:p>
    <w:p w14:paraId="19D4BC31" w14:textId="603C57CD" w:rsidR="00CA5380" w:rsidRPr="00124E7F" w:rsidRDefault="00CA5380" w:rsidP="007B0604">
      <w:pPr>
        <w:pStyle w:val="EYBodytextwithparaspace"/>
      </w:pPr>
      <w:r w:rsidRPr="00124E7F">
        <w:t>Some commentators have suggested that ‘the relative weight of costs and benefits will change with changing market conditions so that the desirable level of copyright protection is likely to vary over time’.</w:t>
      </w:r>
      <w:r w:rsidRPr="00202E68">
        <w:rPr>
          <w:vertAlign w:val="superscript"/>
        </w:rPr>
        <w:footnoteReference w:id="4"/>
      </w:r>
      <w:r w:rsidRPr="004213AE">
        <w:t xml:space="preserve"> This has prompted a number of countries to seek greater flexibility in their copyright laws. In particular, attention has been gradually shifting away from purely close-ended copyright exceptions that are based on a prescriptive list of purposes (fair dealing); towards systems incorporating elements of the US-style open-ended exceptions, in which the merits </w:t>
      </w:r>
      <w:r w:rsidRPr="00124E7F">
        <w:t>of an exception are judged case by case on the basis of fairness standards (fair use).</w:t>
      </w:r>
    </w:p>
    <w:p w14:paraId="11446478" w14:textId="77777777" w:rsidR="00FC67CC" w:rsidRPr="00124E7F" w:rsidRDefault="00CA5380" w:rsidP="007B0604">
      <w:pPr>
        <w:pStyle w:val="EYBodytextwithparaspace"/>
      </w:pPr>
      <w:r w:rsidRPr="00124E7F">
        <w:t xml:space="preserve">The case for fair use has been prosecuted by a number of Australian reviews, and most recently by the Australian Law Reform Commission (ALRC). </w:t>
      </w:r>
      <w:r w:rsidR="00FC67CC" w:rsidRPr="00124E7F">
        <w:t xml:space="preserve">In 2013, the </w:t>
      </w:r>
      <w:r w:rsidRPr="00124E7F">
        <w:t>ALRC</w:t>
      </w:r>
      <w:r w:rsidR="00FC67CC" w:rsidRPr="00124E7F">
        <w:t xml:space="preserve"> </w:t>
      </w:r>
      <w:r w:rsidR="000D1B2E" w:rsidRPr="00124E7F">
        <w:t xml:space="preserve">completed </w:t>
      </w:r>
      <w:r w:rsidR="00FC67CC" w:rsidRPr="00124E7F">
        <w:t xml:space="preserve">the final report of its review into copyright and the digital economy. Over the previous 18 months, the ALRC had considered whether the exceptions and </w:t>
      </w:r>
      <w:r w:rsidR="009978DD" w:rsidRPr="00124E7F">
        <w:t xml:space="preserve">statutory </w:t>
      </w:r>
      <w:r w:rsidR="008D7BC8" w:rsidRPr="00124E7F">
        <w:t>licenses</w:t>
      </w:r>
      <w:r w:rsidR="00FC67CC" w:rsidRPr="00124E7F">
        <w:t xml:space="preserve"> in the </w:t>
      </w:r>
      <w:r w:rsidR="000F380E" w:rsidRPr="00124E7F">
        <w:t>Copyright Act</w:t>
      </w:r>
      <w:r w:rsidR="00006F91" w:rsidRPr="00124E7F">
        <w:t xml:space="preserve"> </w:t>
      </w:r>
      <w:r w:rsidR="00FC67CC" w:rsidRPr="00124E7F">
        <w:t>are appropriate and adequate in the digital environment.</w:t>
      </w:r>
    </w:p>
    <w:p w14:paraId="07CEF9B5" w14:textId="77777777" w:rsidR="00FC67CC" w:rsidRPr="00124E7F" w:rsidRDefault="00FC67CC" w:rsidP="007B0604">
      <w:pPr>
        <w:pStyle w:val="EYHeading2"/>
        <w:numPr>
          <w:ilvl w:val="0"/>
          <w:numId w:val="0"/>
        </w:numPr>
        <w:ind w:left="851" w:hanging="851"/>
      </w:pPr>
      <w:bookmarkStart w:id="19" w:name="_Toc467768884"/>
      <w:bookmarkStart w:id="20" w:name="_Toc467768939"/>
      <w:bookmarkStart w:id="21" w:name="_Toc469644724"/>
      <w:r w:rsidRPr="00124E7F">
        <w:t>Project scope</w:t>
      </w:r>
      <w:bookmarkEnd w:id="19"/>
      <w:bookmarkEnd w:id="20"/>
      <w:bookmarkEnd w:id="21"/>
    </w:p>
    <w:p w14:paraId="2A4E4B61" w14:textId="77777777" w:rsidR="00FC67CC" w:rsidRPr="00124E7F" w:rsidRDefault="00FC67CC" w:rsidP="007B0604">
      <w:pPr>
        <w:pStyle w:val="EYBodytextwithparaspace"/>
      </w:pPr>
      <w:r w:rsidRPr="00124E7F">
        <w:t>The Department of Communications and the Arts</w:t>
      </w:r>
      <w:r w:rsidR="00476AB4" w:rsidRPr="00124E7F">
        <w:t xml:space="preserve"> (the Department)</w:t>
      </w:r>
      <w:r w:rsidRPr="00124E7F">
        <w:t xml:space="preserve"> has commissioned Ernst and Young (EY) to undertake cost benefit analyses (CBA) of a number of the ALRC’s recommendations. The focus of the CBA is on the following ALRC recommendations:</w:t>
      </w:r>
    </w:p>
    <w:p w14:paraId="18AE8BAD" w14:textId="77777777" w:rsidR="00FC67CC" w:rsidRPr="00124E7F" w:rsidRDefault="00FC67CC" w:rsidP="003665D9">
      <w:pPr>
        <w:pStyle w:val="EYBulletedText1"/>
      </w:pPr>
      <w:r w:rsidRPr="00124E7F">
        <w:t>Recommendations 4 and 5 - Seek to remove the ‘fair dealing’ exception from the Copyright Act and replace it with a ‘fair use’ exception.</w:t>
      </w:r>
    </w:p>
    <w:p w14:paraId="7B31319A" w14:textId="77777777" w:rsidR="00FC67CC" w:rsidRPr="00124E7F" w:rsidRDefault="00FC67CC" w:rsidP="003665D9">
      <w:pPr>
        <w:pStyle w:val="EYBulletedText1"/>
      </w:pPr>
      <w:r w:rsidRPr="00124E7F">
        <w:t xml:space="preserve">Recommendation 6 –In the event that recommendations 4 and 5 are not adopted, seeks to broaden the current fair dealing exceptions of the Copyright Act to include the following six  prescribed purposes: </w:t>
      </w:r>
    </w:p>
    <w:p w14:paraId="2948E545" w14:textId="77777777" w:rsidR="00FC67CC" w:rsidRPr="00124E7F" w:rsidRDefault="00FC67CC" w:rsidP="009B36A0">
      <w:pPr>
        <w:pStyle w:val="EYBulletedText2"/>
      </w:pPr>
      <w:r w:rsidRPr="00124E7F">
        <w:t>Quotation</w:t>
      </w:r>
    </w:p>
    <w:p w14:paraId="6C905983" w14:textId="77777777" w:rsidR="00FC67CC" w:rsidRPr="00124E7F" w:rsidRDefault="00FC67CC" w:rsidP="009B36A0">
      <w:pPr>
        <w:pStyle w:val="EYBulletedText2"/>
      </w:pPr>
      <w:r w:rsidRPr="00124E7F">
        <w:t>Non-commercial private use</w:t>
      </w:r>
    </w:p>
    <w:p w14:paraId="78C6E16F" w14:textId="77777777" w:rsidR="00FC67CC" w:rsidRPr="00124E7F" w:rsidRDefault="00FC67CC" w:rsidP="009B36A0">
      <w:pPr>
        <w:pStyle w:val="EYBulletedText2"/>
      </w:pPr>
      <w:r w:rsidRPr="00124E7F">
        <w:t>Incidental or technical use</w:t>
      </w:r>
      <w:r w:rsidR="00755878" w:rsidRPr="00124E7F">
        <w:t>/data and text mining</w:t>
      </w:r>
    </w:p>
    <w:p w14:paraId="00C3606E" w14:textId="77777777" w:rsidR="00FC67CC" w:rsidRPr="00124E7F" w:rsidRDefault="00FC67CC" w:rsidP="009B36A0">
      <w:pPr>
        <w:pStyle w:val="EYBulletedText2"/>
      </w:pPr>
      <w:r w:rsidRPr="00124E7F">
        <w:t>Libraries and archives</w:t>
      </w:r>
    </w:p>
    <w:p w14:paraId="62570E3C" w14:textId="77777777" w:rsidR="00FC67CC" w:rsidRPr="00124E7F" w:rsidRDefault="00FC67CC" w:rsidP="009B36A0">
      <w:pPr>
        <w:pStyle w:val="EYBulletedText2"/>
      </w:pPr>
      <w:r w:rsidRPr="00124E7F">
        <w:t>Education</w:t>
      </w:r>
    </w:p>
    <w:p w14:paraId="40CA0F6E" w14:textId="77777777" w:rsidR="000B1632" w:rsidRPr="00124E7F" w:rsidRDefault="00FC67CC" w:rsidP="00C46978">
      <w:pPr>
        <w:pStyle w:val="EYBulletedText2"/>
        <w:numPr>
          <w:ilvl w:val="0"/>
          <w:numId w:val="21"/>
        </w:numPr>
        <w:spacing w:before="120" w:after="120"/>
        <w:ind w:left="714" w:hanging="357"/>
      </w:pPr>
      <w:r w:rsidRPr="00124E7F">
        <w:t xml:space="preserve">Access for people with disability. </w:t>
      </w:r>
    </w:p>
    <w:p w14:paraId="22BEC907" w14:textId="77777777" w:rsidR="000D1B2E" w:rsidRPr="00124E7F" w:rsidRDefault="00476AB4" w:rsidP="007B0604">
      <w:pPr>
        <w:pStyle w:val="EYBodytextwithparaspace"/>
      </w:pPr>
      <w:r w:rsidRPr="00124E7F">
        <w:t xml:space="preserve">The ALRC’s recommendations with relation to </w:t>
      </w:r>
      <w:r w:rsidR="009978DD" w:rsidRPr="00124E7F">
        <w:t xml:space="preserve">statutory </w:t>
      </w:r>
      <w:r w:rsidR="008D7BC8" w:rsidRPr="00124E7F">
        <w:t>licenses</w:t>
      </w:r>
      <w:r w:rsidRPr="00124E7F">
        <w:t xml:space="preserve"> and orphan works will also be assessed in the context of the above recommendations. </w:t>
      </w:r>
    </w:p>
    <w:p w14:paraId="0C32D1C3" w14:textId="77777777" w:rsidR="007A2942" w:rsidRPr="00124E7F" w:rsidRDefault="007A2942" w:rsidP="007B0604">
      <w:pPr>
        <w:pStyle w:val="EYBodytextwithparaspace"/>
      </w:pPr>
      <w:r w:rsidRPr="00124E7F">
        <w:t xml:space="preserve">A diagrammatic representation of the ALRC’s recommendations, in the order in which they are assessed, is provided in </w:t>
      </w:r>
      <w:r w:rsidRPr="00124E7F">
        <w:fldChar w:fldCharType="begin"/>
      </w:r>
      <w:r w:rsidRPr="00124E7F">
        <w:instrText xml:space="preserve"> REF _Ref447113949 \h </w:instrText>
      </w:r>
      <w:r w:rsidR="00633989" w:rsidRPr="00124E7F">
        <w:instrText xml:space="preserve"> \* MERGEFORMAT </w:instrText>
      </w:r>
      <w:r w:rsidRPr="00124E7F">
        <w:fldChar w:fldCharType="separate"/>
      </w:r>
      <w:r w:rsidR="0075700D" w:rsidRPr="00124E7F">
        <w:t xml:space="preserve">Figure </w:t>
      </w:r>
      <w:r w:rsidR="0075700D">
        <w:rPr>
          <w:noProof/>
        </w:rPr>
        <w:t>1</w:t>
      </w:r>
      <w:r w:rsidRPr="00124E7F">
        <w:fldChar w:fldCharType="end"/>
      </w:r>
      <w:r w:rsidRPr="00124E7F">
        <w:t>. This presents the ALRC’s recommendations as a serie</w:t>
      </w:r>
      <w:r w:rsidR="008C6D26" w:rsidRPr="00124E7F">
        <w:t>s of incremental changes, with new fair d</w:t>
      </w:r>
      <w:r w:rsidRPr="00124E7F">
        <w:t>ealing building on</w:t>
      </w:r>
      <w:r w:rsidR="008C6D26" w:rsidRPr="00124E7F">
        <w:t xml:space="preserve"> the status quo, and fair use building on new fair d</w:t>
      </w:r>
      <w:r w:rsidRPr="00124E7F">
        <w:t xml:space="preserve">ealing. </w:t>
      </w:r>
    </w:p>
    <w:p w14:paraId="14A5CC81" w14:textId="77777777" w:rsidR="00497B3E" w:rsidRPr="00124E7F" w:rsidRDefault="00497B3E" w:rsidP="007B0604">
      <w:pPr>
        <w:pStyle w:val="EYBodytextwithparaspace"/>
      </w:pPr>
      <w:r w:rsidRPr="00124E7F">
        <w:t xml:space="preserve">The Report has been constructed based on information current as of 30 March 2016 (being the date of completion of the analysis), and which has been provided by the Department and other stakeholders. Since this date, material events may have occurred since completion which is not reflected in the report. This Report may be relied upon by the Department for the purpose of understanding the impacts of amending the </w:t>
      </w:r>
      <w:r w:rsidRPr="00124E7F">
        <w:rPr>
          <w:i/>
        </w:rPr>
        <w:t>Copyright Act 1968</w:t>
      </w:r>
      <w:r w:rsidRPr="00124E7F">
        <w:t xml:space="preserve"> to implement a number of the recommendations of the ALRC Report into Copyright and the Digital Economy (“the Purpose”). It should not be relied upon for any other purpose. Other persons accessing this report should do so for their general information only as Ernst &amp; Young (“EY”) has only acted for, and advised the Department, and has not acted for or advised anyone else in respect of the contents of this report. EY disclaims all liability to any party for all costs, loss, damage and liability that the third party may suffer or incur arising from or relating to or in any way connected with the provision of the deliverables to the third party without our prior written consent. Any decisions taken by the Department are not within the scope of our duty of care and in making such decisions you should take into account the limitations of the scope of our work and other factors, of which you should be aware of from sources other than our work.</w:t>
      </w:r>
    </w:p>
    <w:p w14:paraId="37A34037" w14:textId="77777777" w:rsidR="00497B3E" w:rsidRPr="00124E7F" w:rsidRDefault="00497B3E" w:rsidP="007B0604">
      <w:pPr>
        <w:pStyle w:val="EYBodytextwithparaspace"/>
      </w:pPr>
      <w:r w:rsidRPr="00124E7F">
        <w:t>EY has prepared this independent analysis and has relied on information provided by the Department and other stakeholders. We do not imply, and it should not be construed that we have performed audit or due diligence procedures on any of the information provided to us.  We have not independently verified, or accept any responsibility or liability for independently verifying, any such information nor do we make any representation as to the accuracy or completeness of the information. We accept no liability for any loss or damage, which may result from your reliance on any research, analyses or information so supplied.</w:t>
      </w:r>
    </w:p>
    <w:p w14:paraId="0CE33F2C" w14:textId="77777777" w:rsidR="00235C3A" w:rsidRPr="00124E7F" w:rsidRDefault="00235C3A" w:rsidP="007B0604">
      <w:pPr>
        <w:pStyle w:val="EYHeading2"/>
        <w:numPr>
          <w:ilvl w:val="0"/>
          <w:numId w:val="0"/>
        </w:numPr>
        <w:ind w:left="851" w:hanging="851"/>
      </w:pPr>
      <w:bookmarkStart w:id="22" w:name="_Toc467768885"/>
      <w:bookmarkStart w:id="23" w:name="_Toc467768940"/>
      <w:bookmarkStart w:id="24" w:name="_Toc469644725"/>
      <w:r w:rsidRPr="00124E7F">
        <w:t>Structure of the report</w:t>
      </w:r>
      <w:bookmarkEnd w:id="22"/>
      <w:bookmarkEnd w:id="23"/>
      <w:bookmarkEnd w:id="24"/>
    </w:p>
    <w:p w14:paraId="04FB2F83" w14:textId="77777777" w:rsidR="00235C3A" w:rsidRPr="00124E7F" w:rsidRDefault="00235C3A" w:rsidP="007B0604">
      <w:pPr>
        <w:pStyle w:val="EYBodytextwithparaspace"/>
      </w:pPr>
      <w:r w:rsidRPr="00124E7F">
        <w:t>The report is structured as follows.</w:t>
      </w:r>
    </w:p>
    <w:p w14:paraId="335A74BB" w14:textId="77777777" w:rsidR="00235C3A" w:rsidRPr="00124E7F" w:rsidRDefault="00235C3A" w:rsidP="00BF4850">
      <w:pPr>
        <w:pStyle w:val="EYBulletedText1"/>
      </w:pPr>
      <w:r w:rsidRPr="00124E7F">
        <w:t>Section 2 outlines our approach to the analysis, with particular attention to the conceptual approach adopted for evaluating the costs and benefits of each recommendation; approach to stakeholder consultations; and key assumptions made in undertaking the analysis.</w:t>
      </w:r>
    </w:p>
    <w:p w14:paraId="303CEFFE" w14:textId="77777777" w:rsidR="00235C3A" w:rsidRPr="00124E7F" w:rsidRDefault="00235C3A" w:rsidP="00F72E3A">
      <w:pPr>
        <w:pStyle w:val="EYBulletedText1"/>
        <w:keepNext/>
        <w:keepLines/>
      </w:pPr>
      <w:r w:rsidRPr="00124E7F">
        <w:t xml:space="preserve">Section 3 follows with an individual assessment of each proposed fair dealing exception as well as orphan works. The costs and benefits of each exception will differ due to the different nature of works and uses associated with each exception, and the different </w:t>
      </w:r>
      <w:r w:rsidR="005D236A" w:rsidRPr="00124E7F">
        <w:t>licens</w:t>
      </w:r>
      <w:r w:rsidRPr="00124E7F">
        <w:t xml:space="preserve">ing and legal landscapes within which each exception operates. </w:t>
      </w:r>
    </w:p>
    <w:p w14:paraId="2CCFB6BF" w14:textId="77777777" w:rsidR="00235C3A" w:rsidRPr="00124E7F" w:rsidRDefault="00235C3A" w:rsidP="00F72E3A">
      <w:pPr>
        <w:pStyle w:val="EYBulletedText1"/>
        <w:keepNext/>
        <w:keepLines/>
      </w:pPr>
      <w:r w:rsidRPr="00124E7F">
        <w:t xml:space="preserve">Finally, Section 4 compares the costs and benefits of a fair use system relative to a fair dealing system of exceptions from two perspectives, certainty and flexibility. </w:t>
      </w:r>
    </w:p>
    <w:p w14:paraId="37A27E33" w14:textId="77777777" w:rsidR="00476AB4" w:rsidRPr="00124E7F" w:rsidRDefault="00476AB4" w:rsidP="00F72E3A">
      <w:pPr>
        <w:pStyle w:val="AAnormal"/>
        <w:keepNext/>
        <w:keepLines/>
        <w:spacing w:line="276" w:lineRule="auto"/>
        <w:rPr>
          <w:sz w:val="16"/>
          <w:szCs w:val="16"/>
        </w:rPr>
        <w:sectPr w:rsidR="00476AB4" w:rsidRPr="00124E7F" w:rsidSect="00F33F7D">
          <w:headerReference w:type="default" r:id="rId57"/>
          <w:footerReference w:type="default" r:id="rId58"/>
          <w:pgSz w:w="11909" w:h="16834" w:code="9"/>
          <w:pgMar w:top="1440" w:right="1440" w:bottom="1440" w:left="1440" w:header="720" w:footer="567" w:gutter="0"/>
          <w:pgNumType w:fmt="lowerRoman" w:start="3" w:chapStyle="1"/>
          <w:cols w:space="720"/>
          <w:docGrid w:linePitch="360"/>
        </w:sectPr>
      </w:pPr>
    </w:p>
    <w:p w14:paraId="6FD048EF" w14:textId="77777777" w:rsidR="00476AB4" w:rsidRPr="00124E7F" w:rsidRDefault="00476AB4" w:rsidP="00476AB4">
      <w:pPr>
        <w:pStyle w:val="Caption"/>
        <w:keepNext/>
      </w:pPr>
      <w:bookmarkStart w:id="25" w:name="_Ref447113949"/>
      <w:r w:rsidRPr="00124E7F">
        <w:t xml:space="preserve">Figure </w:t>
      </w:r>
      <w:r w:rsidRPr="00124E7F">
        <w:fldChar w:fldCharType="begin"/>
      </w:r>
      <w:r w:rsidRPr="00124E7F">
        <w:instrText xml:space="preserve"> SEQ Figure \* ARABIC </w:instrText>
      </w:r>
      <w:r w:rsidRPr="00124E7F">
        <w:fldChar w:fldCharType="separate"/>
      </w:r>
      <w:r w:rsidR="0075700D">
        <w:rPr>
          <w:noProof/>
        </w:rPr>
        <w:t>1</w:t>
      </w:r>
      <w:r w:rsidRPr="00124E7F">
        <w:fldChar w:fldCharType="end"/>
      </w:r>
      <w:bookmarkEnd w:id="25"/>
      <w:r w:rsidR="005C33BF" w:rsidRPr="00124E7F">
        <w:t xml:space="preserve">: </w:t>
      </w:r>
      <w:r w:rsidRPr="00124E7F">
        <w:t>Key ALRC recommendations</w:t>
      </w:r>
    </w:p>
    <w:p w14:paraId="248AF3EF" w14:textId="77777777" w:rsidR="004213AE" w:rsidRPr="00124E7F" w:rsidRDefault="004213AE" w:rsidP="00202E68">
      <w:r w:rsidRPr="00124E7F">
        <w:rPr>
          <w:noProof/>
          <w:lang w:eastAsia="zh-TW" w:bidi="hi-IN"/>
        </w:rPr>
        <w:drawing>
          <wp:inline distT="0" distB="0" distL="0" distR="0" wp14:anchorId="42569CA4" wp14:editId="0FC4220A">
            <wp:extent cx="7952400" cy="5184000"/>
            <wp:effectExtent l="0" t="0" r="0" b="0"/>
            <wp:docPr id="1" name="Picture 1" descr="The diagram presents the Australian Law Reform Commission's recommendations as a series of incremental changes, with new fair dealing building on the status quo, and fair use building on new fair dealing. These differences are explained in the document above. " title="Figure 1: Key ALRC recommenda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952400" cy="5184000"/>
                    </a:xfrm>
                    <a:prstGeom prst="rect">
                      <a:avLst/>
                    </a:prstGeom>
                    <a:noFill/>
                  </pic:spPr>
                </pic:pic>
              </a:graphicData>
            </a:graphic>
          </wp:inline>
        </w:drawing>
      </w:r>
    </w:p>
    <w:p w14:paraId="6CEEA086" w14:textId="1FBD415B" w:rsidR="00476AB4" w:rsidRPr="00124E7F" w:rsidRDefault="004213AE" w:rsidP="00202E68">
      <w:pPr>
        <w:pStyle w:val="EYSource"/>
        <w:sectPr w:rsidR="00476AB4" w:rsidRPr="00124E7F" w:rsidSect="00F33F7D">
          <w:footerReference w:type="default" r:id="rId60"/>
          <w:pgSz w:w="16834" w:h="11909" w:orient="landscape" w:code="9"/>
          <w:pgMar w:top="1440" w:right="1440" w:bottom="1440" w:left="1440" w:header="720" w:footer="567" w:gutter="0"/>
          <w:pgNumType w:fmt="lowerRoman" w:chapStyle="1"/>
          <w:cols w:space="720"/>
          <w:docGrid w:linePitch="360"/>
        </w:sectPr>
      </w:pPr>
      <w:r w:rsidRPr="00124E7F">
        <w:t>Source: EY</w:t>
      </w:r>
    </w:p>
    <w:p w14:paraId="19912E84" w14:textId="77777777" w:rsidR="00FC67CC" w:rsidRPr="00124E7F" w:rsidRDefault="00FC67CC" w:rsidP="007B0604">
      <w:pPr>
        <w:pStyle w:val="EYHeading2"/>
        <w:numPr>
          <w:ilvl w:val="0"/>
          <w:numId w:val="0"/>
        </w:numPr>
        <w:ind w:left="851" w:hanging="851"/>
      </w:pPr>
      <w:bookmarkStart w:id="26" w:name="_Toc467768886"/>
      <w:bookmarkStart w:id="27" w:name="_Toc467768941"/>
      <w:bookmarkStart w:id="28" w:name="_Toc469644726"/>
      <w:r w:rsidRPr="00124E7F">
        <w:t>Key findings</w:t>
      </w:r>
      <w:bookmarkEnd w:id="26"/>
      <w:bookmarkEnd w:id="27"/>
      <w:bookmarkEnd w:id="28"/>
    </w:p>
    <w:p w14:paraId="71B23EEA" w14:textId="77777777" w:rsidR="00BD3D84" w:rsidRPr="00202E68" w:rsidRDefault="006E3071" w:rsidP="004F1573">
      <w:pPr>
        <w:pStyle w:val="AAnormal"/>
        <w:spacing w:after="240"/>
        <w:rPr>
          <w:b/>
        </w:rPr>
      </w:pPr>
      <w:r w:rsidRPr="00202E68">
        <w:rPr>
          <w:b/>
        </w:rPr>
        <w:t xml:space="preserve">Overall, our analysis of </w:t>
      </w:r>
      <w:r w:rsidR="007A2942" w:rsidRPr="00202E68">
        <w:rPr>
          <w:b/>
        </w:rPr>
        <w:t>n</w:t>
      </w:r>
      <w:r w:rsidRPr="00202E68">
        <w:rPr>
          <w:b/>
        </w:rPr>
        <w:t xml:space="preserve">ew </w:t>
      </w:r>
      <w:r w:rsidR="007A2942" w:rsidRPr="00202E68">
        <w:rPr>
          <w:b/>
        </w:rPr>
        <w:t>f</w:t>
      </w:r>
      <w:r w:rsidRPr="00202E68">
        <w:rPr>
          <w:b/>
        </w:rPr>
        <w:t xml:space="preserve">air </w:t>
      </w:r>
      <w:r w:rsidR="007A2942" w:rsidRPr="00202E68">
        <w:rPr>
          <w:b/>
        </w:rPr>
        <w:t>d</w:t>
      </w:r>
      <w:r w:rsidR="008C6D26" w:rsidRPr="00202E68">
        <w:rPr>
          <w:b/>
        </w:rPr>
        <w:t xml:space="preserve">ealing </w:t>
      </w:r>
      <w:r w:rsidRPr="00202E68">
        <w:rPr>
          <w:b/>
        </w:rPr>
        <w:t>suggests that the AL</w:t>
      </w:r>
      <w:r w:rsidR="00F7433A" w:rsidRPr="00202E68">
        <w:rPr>
          <w:b/>
        </w:rPr>
        <w:t>RC</w:t>
      </w:r>
      <w:r w:rsidRPr="00202E68">
        <w:rPr>
          <w:b/>
        </w:rPr>
        <w:t>’s proposed recommendations should be beneficial, albeit not substantially in some areas.</w:t>
      </w:r>
      <w:r w:rsidR="007A2942" w:rsidRPr="00202E68">
        <w:rPr>
          <w:b/>
        </w:rPr>
        <w:t xml:space="preserve"> </w:t>
      </w:r>
      <w:r w:rsidRPr="00202E68">
        <w:rPr>
          <w:b/>
        </w:rPr>
        <w:t xml:space="preserve">From the standpoint of an ‘open-ended’ (fair use) or ‘closed-ended’ (fair dealing) system of exceptions, the former is likely to have the largest net benefit. </w:t>
      </w:r>
      <w:r w:rsidR="00BD3D84" w:rsidRPr="00202E68">
        <w:rPr>
          <w:b/>
        </w:rPr>
        <w:t xml:space="preserve">In a rapidly changing </w:t>
      </w:r>
      <w:r w:rsidR="007A2942" w:rsidRPr="00202E68">
        <w:rPr>
          <w:b/>
        </w:rPr>
        <w:t xml:space="preserve">digital </w:t>
      </w:r>
      <w:r w:rsidR="00BD3D84" w:rsidRPr="00202E68">
        <w:rPr>
          <w:b/>
        </w:rPr>
        <w:t>environment, the costs and benefits associated with copyright will change</w:t>
      </w:r>
      <w:r w:rsidR="006A75CC" w:rsidRPr="00202E68">
        <w:rPr>
          <w:b/>
        </w:rPr>
        <w:t xml:space="preserve"> over time</w:t>
      </w:r>
      <w:r w:rsidR="00BD3D84" w:rsidRPr="00202E68">
        <w:rPr>
          <w:b/>
        </w:rPr>
        <w:t xml:space="preserve">. In this context, prescription </w:t>
      </w:r>
      <w:r w:rsidR="007A2942" w:rsidRPr="00202E68">
        <w:rPr>
          <w:b/>
        </w:rPr>
        <w:t>can</w:t>
      </w:r>
      <w:r w:rsidR="00BD3D84" w:rsidRPr="00202E68">
        <w:rPr>
          <w:b/>
        </w:rPr>
        <w:t xml:space="preserve"> be a liability and flexibility an asset. Beyond a transition period, there is no evidence to suggest that fair use</w:t>
      </w:r>
      <w:r w:rsidR="008C6D26" w:rsidRPr="00202E68">
        <w:rPr>
          <w:b/>
        </w:rPr>
        <w:t xml:space="preserve"> is inherently less certain than</w:t>
      </w:r>
      <w:r w:rsidR="00BD3D84" w:rsidRPr="00202E68">
        <w:rPr>
          <w:b/>
        </w:rPr>
        <w:t xml:space="preserve"> the status quo. Where it does differ is flexibility</w:t>
      </w:r>
      <w:r w:rsidR="00E71A2A" w:rsidRPr="00202E68">
        <w:rPr>
          <w:b/>
        </w:rPr>
        <w:t xml:space="preserve">; </w:t>
      </w:r>
      <w:r w:rsidR="007A2942" w:rsidRPr="00202E68">
        <w:rPr>
          <w:b/>
        </w:rPr>
        <w:t>i</w:t>
      </w:r>
      <w:r w:rsidR="00BD3D84" w:rsidRPr="00202E68">
        <w:rPr>
          <w:b/>
        </w:rPr>
        <w:t xml:space="preserve">t would be difficult to </w:t>
      </w:r>
      <w:r w:rsidR="007A2942" w:rsidRPr="00202E68">
        <w:rPr>
          <w:b/>
        </w:rPr>
        <w:t>argue</w:t>
      </w:r>
      <w:r w:rsidR="00BD3D84" w:rsidRPr="00202E68">
        <w:rPr>
          <w:b/>
        </w:rPr>
        <w:t xml:space="preserve"> that fair use is less flexible than the status quo.  </w:t>
      </w:r>
    </w:p>
    <w:p w14:paraId="5E24835A" w14:textId="77777777" w:rsidR="00FC67CC" w:rsidRPr="004213AE" w:rsidRDefault="006350EE" w:rsidP="007B0604">
      <w:pPr>
        <w:pStyle w:val="EYHeading3"/>
        <w:numPr>
          <w:ilvl w:val="0"/>
          <w:numId w:val="0"/>
        </w:numPr>
        <w:ind w:left="851" w:hanging="851"/>
      </w:pPr>
      <w:r w:rsidRPr="004213AE">
        <w:t>New fair dealing</w:t>
      </w:r>
    </w:p>
    <w:p w14:paraId="39D006B6" w14:textId="77777777" w:rsidR="000F380E" w:rsidRPr="00124E7F" w:rsidRDefault="00A71AD9" w:rsidP="007B0604">
      <w:pPr>
        <w:pStyle w:val="EYBodytextwithparaspace"/>
      </w:pPr>
      <w:r w:rsidRPr="004213AE">
        <w:t xml:space="preserve">Whilst, conceptually there is an optimal balance to be achieved between the incentives to invest in creative effort and the incentives to invest in new uses of creative content, in practice, striking that balance requires a </w:t>
      </w:r>
      <w:r w:rsidR="007A2942" w:rsidRPr="004213AE">
        <w:t>‘</w:t>
      </w:r>
      <w:r w:rsidRPr="00124E7F">
        <w:t>judgement call</w:t>
      </w:r>
      <w:r w:rsidR="007A2942" w:rsidRPr="00124E7F">
        <w:t>’</w:t>
      </w:r>
      <w:r w:rsidRPr="00124E7F">
        <w:t>.</w:t>
      </w:r>
      <w:r w:rsidR="00AD5ACB" w:rsidRPr="00124E7F">
        <w:t xml:space="preserve"> </w:t>
      </w:r>
      <w:r w:rsidRPr="00124E7F">
        <w:t>This does not make an analysis of t</w:t>
      </w:r>
      <w:r w:rsidR="005D236A" w:rsidRPr="00124E7F">
        <w:t>he proposed changes highly amen</w:t>
      </w:r>
      <w:r w:rsidRPr="00124E7F">
        <w:t xml:space="preserve">able to a traditional CBA. </w:t>
      </w:r>
      <w:r w:rsidR="00B24C69" w:rsidRPr="00124E7F">
        <w:t xml:space="preserve">A lack of relevant </w:t>
      </w:r>
      <w:r w:rsidR="00FF3CE1" w:rsidRPr="00124E7F">
        <w:t xml:space="preserve">and defensible data has also impeded our ability to undertake a traditional CBA, with </w:t>
      </w:r>
      <w:proofErr w:type="spellStart"/>
      <w:r w:rsidR="00FF3CE1" w:rsidRPr="00124E7F">
        <w:t>monetisation</w:t>
      </w:r>
      <w:proofErr w:type="spellEnd"/>
      <w:r w:rsidR="00FF3CE1" w:rsidRPr="00124E7F">
        <w:t xml:space="preserve"> of costs and benefits. Instead, to </w:t>
      </w:r>
      <w:r w:rsidR="00FC67CC" w:rsidRPr="00124E7F">
        <w:t xml:space="preserve">evaluate the impact of the ALRC’s recommendations, we have adopted a </w:t>
      </w:r>
      <w:proofErr w:type="spellStart"/>
      <w:r w:rsidR="00FC67CC" w:rsidRPr="00124E7F">
        <w:t>stylised</w:t>
      </w:r>
      <w:proofErr w:type="spellEnd"/>
      <w:r w:rsidR="00FC67CC" w:rsidRPr="00124E7F">
        <w:t xml:space="preserve"> Multi Criteria Analysis</w:t>
      </w:r>
      <w:r w:rsidR="000F380E" w:rsidRPr="00124E7F">
        <w:t xml:space="preserve"> (MCA)</w:t>
      </w:r>
      <w:r w:rsidR="00FC67CC" w:rsidRPr="00124E7F">
        <w:t xml:space="preserve"> framework. </w:t>
      </w:r>
    </w:p>
    <w:p w14:paraId="7C9E46FC" w14:textId="77777777" w:rsidR="00AD5ACB" w:rsidRPr="00124E7F" w:rsidRDefault="00FC67CC" w:rsidP="007B0604">
      <w:pPr>
        <w:pStyle w:val="EYBodytextwithparaspace"/>
      </w:pPr>
      <w:r w:rsidRPr="00124E7F">
        <w:t xml:space="preserve">For each fair dealing exception, the </w:t>
      </w:r>
      <w:r w:rsidR="000F380E" w:rsidRPr="00124E7F">
        <w:t xml:space="preserve">MCA </w:t>
      </w:r>
      <w:r w:rsidRPr="00124E7F">
        <w:t>framework provides a consistent representa</w:t>
      </w:r>
      <w:r w:rsidR="008C6D26" w:rsidRPr="00124E7F">
        <w:t xml:space="preserve">tion of the costs and benefits that </w:t>
      </w:r>
      <w:r w:rsidRPr="00124E7F">
        <w:t>economic theory suggests are most related to copyright</w:t>
      </w:r>
      <w:r w:rsidR="00A71AD9" w:rsidRPr="00124E7F">
        <w:t xml:space="preserve">. </w:t>
      </w:r>
    </w:p>
    <w:p w14:paraId="5F162DB4" w14:textId="77777777" w:rsidR="00AD5ACB" w:rsidRPr="00124E7F" w:rsidRDefault="00A71AD9" w:rsidP="007B0604">
      <w:pPr>
        <w:pStyle w:val="EYBodytextwithparaspace"/>
      </w:pPr>
      <w:r w:rsidRPr="00124E7F">
        <w:t>Using the available evidence we then undertake a qualitative analysis of each fair dealing exception against the status quo</w:t>
      </w:r>
      <w:r w:rsidR="007A2942" w:rsidRPr="00124E7F">
        <w:t>, using quantitative evidence where available.</w:t>
      </w:r>
      <w:r w:rsidR="00FC67CC" w:rsidRPr="00124E7F">
        <w:t xml:space="preserve"> </w:t>
      </w:r>
    </w:p>
    <w:p w14:paraId="70E42B7A" w14:textId="77777777" w:rsidR="00F03200" w:rsidRPr="00124E7F" w:rsidRDefault="00FC67CC" w:rsidP="007B0604">
      <w:pPr>
        <w:pStyle w:val="EYBodytextwithparaspace"/>
      </w:pPr>
      <w:r w:rsidRPr="00124E7F">
        <w:t>The framework identifies the tim</w:t>
      </w:r>
      <w:r w:rsidR="008C6D26" w:rsidRPr="00124E7F">
        <w:t>eframe of the impacts evaluated,</w:t>
      </w:r>
      <w:r w:rsidRPr="00124E7F">
        <w:t xml:space="preserve"> the</w:t>
      </w:r>
      <w:r w:rsidR="008C6D26" w:rsidRPr="00124E7F">
        <w:t xml:space="preserve"> relevant stakeholders impacted</w:t>
      </w:r>
      <w:r w:rsidR="00AD5ACB" w:rsidRPr="00124E7F">
        <w:t xml:space="preserve"> (i.e. right holders,</w:t>
      </w:r>
      <w:r w:rsidR="002D481B" w:rsidRPr="00124E7F">
        <w:t xml:space="preserve"> </w:t>
      </w:r>
      <w:r w:rsidR="00AD5ACB" w:rsidRPr="00124E7F">
        <w:t>users, the economy and society)</w:t>
      </w:r>
      <w:r w:rsidR="008C6D26" w:rsidRPr="00124E7F">
        <w:t>,</w:t>
      </w:r>
      <w:r w:rsidRPr="00124E7F">
        <w:t xml:space="preserve"> and includes a description of the impact as well as an indication</w:t>
      </w:r>
      <w:r w:rsidR="00C9702D" w:rsidRPr="00124E7F">
        <w:t xml:space="preserve"> of the magnitude of the impact.</w:t>
      </w:r>
    </w:p>
    <w:p w14:paraId="7C64E665" w14:textId="77777777" w:rsidR="00C9702D" w:rsidRPr="00124E7F" w:rsidRDefault="00F03200" w:rsidP="007B0604">
      <w:pPr>
        <w:pStyle w:val="EYBodytextwithparaspace"/>
      </w:pPr>
      <w:r w:rsidRPr="00124E7F">
        <w:fldChar w:fldCharType="begin"/>
      </w:r>
      <w:r w:rsidRPr="00124E7F">
        <w:instrText xml:space="preserve"> REF _Ref467508640 \h </w:instrText>
      </w:r>
      <w:r w:rsidR="005864D3" w:rsidRPr="00124E7F">
        <w:instrText xml:space="preserve"> \* MERGEFORMAT </w:instrText>
      </w:r>
      <w:r w:rsidRPr="00124E7F">
        <w:fldChar w:fldCharType="separate"/>
      </w:r>
      <w:r w:rsidR="0075700D" w:rsidRPr="00124E7F">
        <w:t xml:space="preserve">Box </w:t>
      </w:r>
      <w:r w:rsidR="0075700D">
        <w:rPr>
          <w:noProof/>
        </w:rPr>
        <w:t>1</w:t>
      </w:r>
      <w:r w:rsidRPr="00124E7F">
        <w:fldChar w:fldCharType="end"/>
      </w:r>
      <w:r w:rsidRPr="00124E7F">
        <w:t xml:space="preserve"> </w:t>
      </w:r>
      <w:r w:rsidR="002D7D89" w:rsidRPr="00124E7F">
        <w:t>provides a high level summary of findings against each proposed new fair dealing exception.</w:t>
      </w:r>
      <w:r w:rsidR="00882B67" w:rsidRPr="00124E7F">
        <w:t xml:space="preserve"> </w:t>
      </w:r>
      <w:r w:rsidR="00D3336D" w:rsidRPr="00124E7F">
        <w:fldChar w:fldCharType="begin"/>
      </w:r>
      <w:r w:rsidR="00D3336D" w:rsidRPr="00124E7F">
        <w:instrText xml:space="preserve"> REF _Ref467501625 \h </w:instrText>
      </w:r>
      <w:r w:rsidR="005864D3" w:rsidRPr="00124E7F">
        <w:instrText xml:space="preserve"> \* MERGEFORMAT </w:instrText>
      </w:r>
      <w:r w:rsidR="00D3336D" w:rsidRPr="00124E7F">
        <w:fldChar w:fldCharType="separate"/>
      </w:r>
      <w:r w:rsidR="0075700D" w:rsidRPr="00124E7F">
        <w:t xml:space="preserve">Table </w:t>
      </w:r>
      <w:r w:rsidR="0075700D">
        <w:rPr>
          <w:noProof/>
        </w:rPr>
        <w:t>1</w:t>
      </w:r>
      <w:r w:rsidR="00D3336D" w:rsidRPr="00124E7F">
        <w:fldChar w:fldCharType="end"/>
      </w:r>
      <w:r w:rsidR="00D3336D" w:rsidRPr="00124E7F">
        <w:t xml:space="preserve"> </w:t>
      </w:r>
      <w:r w:rsidR="00FC67CC" w:rsidRPr="00124E7F">
        <w:t>provide</w:t>
      </w:r>
      <w:r w:rsidR="00E71A2A" w:rsidRPr="00124E7F">
        <w:t>s</w:t>
      </w:r>
      <w:r w:rsidR="00FC67CC" w:rsidRPr="00124E7F">
        <w:t xml:space="preserve"> a summary of </w:t>
      </w:r>
      <w:r w:rsidR="002D7D89" w:rsidRPr="00124E7F">
        <w:t xml:space="preserve">the key impacts for each exception. </w:t>
      </w:r>
      <w:r w:rsidR="00FC67CC" w:rsidRPr="00124E7F">
        <w:t xml:space="preserve"> </w:t>
      </w:r>
    </w:p>
    <w:p w14:paraId="45E7B34B" w14:textId="77777777" w:rsidR="00FC67CC" w:rsidRPr="00124E7F" w:rsidRDefault="004F1573" w:rsidP="00E90421">
      <w:pPr>
        <w:pStyle w:val="Caption"/>
        <w:pBdr>
          <w:top w:val="single" w:sz="4" w:space="1" w:color="808080" w:themeColor="background1" w:themeShade="80"/>
        </w:pBdr>
        <w:rPr>
          <w:i/>
        </w:rPr>
      </w:pPr>
      <w:bookmarkStart w:id="29" w:name="_Ref467501607"/>
      <w:bookmarkStart w:id="30" w:name="_Ref467508640"/>
      <w:r w:rsidRPr="00124E7F">
        <w:t xml:space="preserve">Box </w:t>
      </w:r>
      <w:r w:rsidRPr="00124E7F">
        <w:fldChar w:fldCharType="begin"/>
      </w:r>
      <w:r w:rsidRPr="00124E7F">
        <w:instrText xml:space="preserve"> SEQ Box \* ARABIC </w:instrText>
      </w:r>
      <w:r w:rsidRPr="00124E7F">
        <w:fldChar w:fldCharType="separate"/>
      </w:r>
      <w:r w:rsidR="0075700D">
        <w:rPr>
          <w:noProof/>
        </w:rPr>
        <w:t>1</w:t>
      </w:r>
      <w:r w:rsidRPr="00124E7F">
        <w:fldChar w:fldCharType="end"/>
      </w:r>
      <w:bookmarkEnd w:id="29"/>
      <w:bookmarkEnd w:id="30"/>
      <w:r w:rsidR="00D3336D" w:rsidRPr="00124E7F">
        <w:t xml:space="preserve">: </w:t>
      </w:r>
      <w:r w:rsidR="00FC67CC" w:rsidRPr="00124E7F">
        <w:t>Key findings – Fair dealing</w:t>
      </w:r>
    </w:p>
    <w:p w14:paraId="64D60ECC" w14:textId="77777777" w:rsidR="00BF4850" w:rsidRPr="00124E7F" w:rsidRDefault="00BF4850" w:rsidP="00BF4850">
      <w:pPr>
        <w:pStyle w:val="EYBulletedText1"/>
      </w:pPr>
      <w:r w:rsidRPr="00124E7F">
        <w:t xml:space="preserve">A </w:t>
      </w:r>
      <w:r w:rsidRPr="00124E7F">
        <w:rPr>
          <w:b/>
        </w:rPr>
        <w:t>fair dealing exception for quotation</w:t>
      </w:r>
      <w:r w:rsidRPr="00124E7F">
        <w:t xml:space="preserve"> is associated with a small positive net benefit of around $1.5 million per annum, due to reduced transaction costs. Reduced transaction costs would be expected to increase the flexibility with which works are disseminated to the public and the value of those works to the consumer. Any downsides to rights holders are expected to be minimal, especially where use of quotations and extracts is transformative. If anything, increased exposure of some works may increase the sales of those works. </w:t>
      </w:r>
    </w:p>
    <w:p w14:paraId="03029E0D" w14:textId="77777777" w:rsidR="00BF4850" w:rsidRPr="00124E7F" w:rsidRDefault="00BF4850" w:rsidP="005C33BF">
      <w:pPr>
        <w:pStyle w:val="EYBulletedText1"/>
        <w:spacing w:after="180"/>
      </w:pPr>
      <w:r w:rsidRPr="00124E7F">
        <w:t xml:space="preserve">A </w:t>
      </w:r>
      <w:r w:rsidRPr="00124E7F">
        <w:rPr>
          <w:b/>
        </w:rPr>
        <w:t>fair dealing exception for non-commercial private use</w:t>
      </w:r>
      <w:r w:rsidRPr="00124E7F">
        <w:t xml:space="preserve"> is associated with limited benefits from greater alignment between copyright law and current practices. While arguably complex and outdated, current private copying provisions are relatively permissive. Where there is some legal uncertainty, industry appears to accept current copying </w:t>
      </w:r>
      <w:proofErr w:type="spellStart"/>
      <w:r w:rsidRPr="00124E7F">
        <w:t>behaviours</w:t>
      </w:r>
      <w:proofErr w:type="spellEnd"/>
      <w:r w:rsidRPr="00124E7F">
        <w:t xml:space="preserve"> as reasonable (e.g. format shifting of legitimately acquired material). In other areas, market solutions are removing the need for an exception altogether.</w:t>
      </w:r>
    </w:p>
    <w:p w14:paraId="16760874" w14:textId="77777777" w:rsidR="00BF4850" w:rsidRPr="00124E7F" w:rsidRDefault="00BF4850" w:rsidP="005C33BF">
      <w:pPr>
        <w:pStyle w:val="EYBulletedText1"/>
        <w:spacing w:after="180"/>
      </w:pPr>
      <w:r w:rsidRPr="00124E7F">
        <w:t xml:space="preserve">A </w:t>
      </w:r>
      <w:r w:rsidRPr="00124E7F">
        <w:rPr>
          <w:b/>
        </w:rPr>
        <w:t>fair dealing exception for incidental or technical use</w:t>
      </w:r>
      <w:r w:rsidRPr="00124E7F">
        <w:t xml:space="preserve"> is associated with possible benefits from an increase in certainty for Australian-based internet intermediaries. There is a lack of evidence on the extent to which Copyright law is currently constraining the activities of internet intermediaries in Australia. However, the exception is associated with limited downsides and potentially large upsides (given the value of the internet). </w:t>
      </w:r>
    </w:p>
    <w:p w14:paraId="492F18AB" w14:textId="77777777" w:rsidR="00BF4850" w:rsidRPr="00124E7F" w:rsidRDefault="00BF4850" w:rsidP="005C33BF">
      <w:pPr>
        <w:pStyle w:val="EYBulletedText1"/>
        <w:spacing w:after="180"/>
      </w:pPr>
      <w:r w:rsidRPr="00124E7F">
        <w:t xml:space="preserve">A </w:t>
      </w:r>
      <w:r w:rsidRPr="00124E7F">
        <w:rPr>
          <w:b/>
        </w:rPr>
        <w:t>fair dealing exception for data and text mining (DTM)</w:t>
      </w:r>
      <w:r w:rsidRPr="00124E7F">
        <w:t xml:space="preserve"> would have an ambiguous impact. In the short run, </w:t>
      </w:r>
      <w:proofErr w:type="gramStart"/>
      <w:r w:rsidRPr="00124E7F">
        <w:t>the</w:t>
      </w:r>
      <w:proofErr w:type="gramEnd"/>
      <w:r w:rsidRPr="00124E7F">
        <w:t xml:space="preserve"> exception would be expected to lead to a small reduction in transaction costs and commensurate increase in the level of DTM, with associated economic and social benefits. However, there is some concern that to the extent that rights holders may need to make investments in order to enable DTM (e.g.to introduce additional server capacity, bandwidth and monitoring), an exception may see a fall in DTM in the long run.</w:t>
      </w:r>
    </w:p>
    <w:p w14:paraId="2ED23063" w14:textId="77777777" w:rsidR="00BF4850" w:rsidRPr="00124E7F" w:rsidRDefault="00BF4850" w:rsidP="005C33BF">
      <w:pPr>
        <w:pStyle w:val="EYBulletedText1"/>
        <w:spacing w:after="180"/>
      </w:pPr>
      <w:r w:rsidRPr="00124E7F">
        <w:t xml:space="preserve">A </w:t>
      </w:r>
      <w:r w:rsidRPr="00124E7F">
        <w:rPr>
          <w:b/>
        </w:rPr>
        <w:t>fair dealing exception for libraries and archives</w:t>
      </w:r>
      <w:r w:rsidRPr="00124E7F">
        <w:t xml:space="preserve"> is associated with negligible changes relative to the status quo. Given the similarities between the current Section 200AB exception and the proposed exception and, until such time as the proposed exception is tested by cultural institutions, it is not possible to determine the impact for libraries and archives of moving to new fair dealing.</w:t>
      </w:r>
    </w:p>
    <w:p w14:paraId="50971EC1" w14:textId="77777777" w:rsidR="00BF4850" w:rsidRPr="00124E7F" w:rsidRDefault="00BF4850" w:rsidP="005C33BF">
      <w:pPr>
        <w:pStyle w:val="EYBulletedText1"/>
        <w:spacing w:after="180"/>
      </w:pPr>
      <w:r w:rsidRPr="00124E7F">
        <w:t xml:space="preserve">A </w:t>
      </w:r>
      <w:r w:rsidRPr="00124E7F">
        <w:rPr>
          <w:b/>
        </w:rPr>
        <w:t>fair dealing exception for education</w:t>
      </w:r>
      <w:r w:rsidRPr="00124E7F">
        <w:t xml:space="preserve"> is associated with a potentially significant transfer from rights holders to licensees, with concomitant benefits for education institutions with respect to effectiveness (i.e. with which public funds are currently spent) and efficiency (i.e. in the use of digital technologies to facilitate access to copyright content). Given the restriction of the exception to fair dealing, any impact on the original market for content (and thereby incentives to create) is likely to be marginal. The impact on transaction costs is highly variable and depends on the number of uses of copyright material currently managed by collecting societies that would be found ‘fair’ under the ALRC’s recommendations. </w:t>
      </w:r>
    </w:p>
    <w:p w14:paraId="5083B551" w14:textId="77777777" w:rsidR="00BF4850" w:rsidRPr="00124E7F" w:rsidRDefault="00BF4850" w:rsidP="005C33BF">
      <w:pPr>
        <w:pStyle w:val="EYBulletedText1"/>
        <w:spacing w:after="180"/>
      </w:pPr>
      <w:r w:rsidRPr="00124E7F">
        <w:t xml:space="preserve">For the purposes of this assessment, it is assumed that a </w:t>
      </w:r>
      <w:r w:rsidRPr="00124E7F">
        <w:rPr>
          <w:b/>
        </w:rPr>
        <w:t>fair dealing exception for access for people with disability is already in place</w:t>
      </w:r>
      <w:r w:rsidRPr="00124E7F">
        <w:t xml:space="preserve"> [i.e. included in the Exposure Draft – Copyright Amendment (Disability Access and Other Measures) Bill 2016].</w:t>
      </w:r>
    </w:p>
    <w:p w14:paraId="67CFD125" w14:textId="77777777" w:rsidR="00BF4850" w:rsidRPr="00124E7F" w:rsidRDefault="00BF4850" w:rsidP="00E90421">
      <w:pPr>
        <w:pStyle w:val="EYBulletedText1"/>
        <w:pBdr>
          <w:bottom w:val="single" w:sz="4" w:space="1" w:color="808080" w:themeColor="background1" w:themeShade="80"/>
        </w:pBdr>
        <w:spacing w:after="180"/>
      </w:pPr>
      <w:r w:rsidRPr="00124E7F">
        <w:t xml:space="preserve">Given the voluntary nature of the </w:t>
      </w:r>
      <w:r w:rsidRPr="00124E7F">
        <w:rPr>
          <w:b/>
        </w:rPr>
        <w:t>orphan work provisions</w:t>
      </w:r>
      <w:r w:rsidRPr="00124E7F">
        <w:t>, we assume that orphan works would only be cleared if an institution or user believed that the value of that activity was at least enough to cover the costs. As such, the analysis estimates diligent search costs and coinciding benefits of between $10.3 million and $20.6 million per annum. Where there is no copyright owner and therefore no beneficiary of copyright, the provisions would not detrimentally affect a rights holder’s revenue and thereby incentive to create new works.</w:t>
      </w:r>
    </w:p>
    <w:p w14:paraId="2A9767C9" w14:textId="77777777" w:rsidR="00DE543E" w:rsidRPr="00124E7F" w:rsidRDefault="00DE543E" w:rsidP="00DE543E">
      <w:pPr>
        <w:pStyle w:val="EYBulletedText1"/>
        <w:numPr>
          <w:ilvl w:val="0"/>
          <w:numId w:val="0"/>
        </w:numPr>
        <w:spacing w:after="180"/>
        <w:ind w:left="425" w:hanging="425"/>
      </w:pPr>
    </w:p>
    <w:p w14:paraId="0D7560B7" w14:textId="77777777" w:rsidR="005C33BF" w:rsidRPr="00124E7F" w:rsidRDefault="005C33BF" w:rsidP="000D3A0A">
      <w:pPr>
        <w:pStyle w:val="EYAppendixHeading2"/>
        <w:sectPr w:rsidR="005C33BF" w:rsidRPr="00124E7F" w:rsidSect="000D3A0A">
          <w:footerReference w:type="default" r:id="rId61"/>
          <w:pgSz w:w="11909" w:h="16834" w:code="9"/>
          <w:pgMar w:top="1440" w:right="1440" w:bottom="1134" w:left="1440" w:header="720" w:footer="425" w:gutter="0"/>
          <w:pgNumType w:fmt="lowerRoman" w:chapStyle="1"/>
          <w:cols w:space="720"/>
          <w:docGrid w:linePitch="360"/>
        </w:sectPr>
      </w:pPr>
      <w:bookmarkStart w:id="31" w:name="_Ref448220901"/>
      <w:bookmarkStart w:id="32" w:name="_Ref447063688"/>
    </w:p>
    <w:p w14:paraId="6B0C0606" w14:textId="77777777" w:rsidR="00BD3D84" w:rsidRPr="00124E7F" w:rsidRDefault="000D3A0A" w:rsidP="005C33BF">
      <w:pPr>
        <w:pStyle w:val="Caption"/>
      </w:pPr>
      <w:bookmarkStart w:id="33" w:name="_Ref467501625"/>
      <w:r w:rsidRPr="00124E7F">
        <w:t xml:space="preserve">Table </w:t>
      </w:r>
      <w:r w:rsidRPr="00124E7F">
        <w:fldChar w:fldCharType="begin"/>
      </w:r>
      <w:r w:rsidRPr="00124E7F">
        <w:instrText xml:space="preserve"> SEQ Table \* ARABIC </w:instrText>
      </w:r>
      <w:r w:rsidRPr="00124E7F">
        <w:fldChar w:fldCharType="separate"/>
      </w:r>
      <w:r w:rsidR="0075700D">
        <w:rPr>
          <w:noProof/>
        </w:rPr>
        <w:t>1</w:t>
      </w:r>
      <w:r w:rsidRPr="00124E7F">
        <w:fldChar w:fldCharType="end"/>
      </w:r>
      <w:bookmarkEnd w:id="31"/>
      <w:bookmarkEnd w:id="33"/>
      <w:r w:rsidR="005C33BF" w:rsidRPr="00124E7F">
        <w:t>:</w:t>
      </w:r>
      <w:r w:rsidRPr="00124E7F">
        <w:t xml:space="preserve"> Key impacts by fair dealing exception</w:t>
      </w:r>
    </w:p>
    <w:tbl>
      <w:tblPr>
        <w:tblStyle w:val="LightShading-Accent1"/>
        <w:tblW w:w="5000" w:type="pct"/>
        <w:tblBorders>
          <w:top w:val="none" w:sz="0" w:space="0" w:color="auto"/>
          <w:bottom w:val="none" w:sz="0" w:space="0" w:color="auto"/>
          <w:insideH w:val="single" w:sz="4" w:space="0" w:color="808080" w:themeColor="background1" w:themeShade="80"/>
        </w:tblBorders>
        <w:tblLook w:val="0420" w:firstRow="1" w:lastRow="0" w:firstColumn="0" w:lastColumn="0" w:noHBand="0" w:noVBand="1"/>
        <w:tblCaption w:val="Table 1: Key impacts by fair dealing exception"/>
        <w:tblDescription w:val="The table summarises the key impacts against each proposed fair dealing exception. &#10;&#10;The impact on “monopoly rents” is as follows:&#10;• For ‘Quotation’: Possible/Limited negative effect&#10;• For ‘Private Use’: No effect, or negligible effect&#10;• For ‘Incidental/Technical Use’: Possible/Limited positive effect&#10;• For ‘Data/Text Mining’: Ambiguous effect&#10;• For ‘Libraries/archives’: No effect, or negligible effect&#10;• For ‘Education’: Negative effect&#10;• For ‘Disability’: No effect&#10;• For ‘Orphan Works’: No effect, or negligible effect                                                              &#10;&#10;The impact on “incentives to crease new works” is as follows:&#10;• For ‘Quotation’: Possible/Limited positive effect&#10;• For ‘Private Use’: No effect, or negligible effect&#10;• For ‘Incidental/Technical Use’: Possible/Limited positive effect&#10;• For ‘Data/Text Mining’: Ambiguous effect&#10;• For ‘Libraries/archives’: No effect, or negligible effect&#10;• For ‘Education’: No effect, or negligible effect&#10;• For ‘Disability’: No effect&#10;• For ‘Orphan Works’: No effect, or negligible effect&#10;&#10;The impact on “administration costs/ transaction costs” is as follows:&#10;• For ‘Quotation’: Possible/Limited positive effect&#10;• For ‘Private Use’: No effect, or negligible effect&#10;• For ‘Incidental/Technical Use’: Possible/Limited positive effect&#10;• For ‘Data/Text Mining’: Possible/Limited positive effect&#10;• For ‘Libraries/archives’: No effect, or negligible effect&#10;• For ‘Education’: Ambiguous effect&#10;• For ‘Disability’: No effect&#10;• For ‘Orphan Works’: Negative effect&#10;&#10;The impact on “incentives to invest in new uses of works” is as follows:&#10;• For ‘Quotation’: Possible/Limited positive effect&#10;• For ‘Private Use’: No effect, or negligible effect&#10;• For ‘Incidental/Technical Use’: Possible/Limited positive effect&#10;• For ‘Data/Text Mining’: Ambiguous effect&#10;• For ‘Libraries/archives’: No effect, or negligible effect&#10;• For ‘Education’: No effect, or negligible effect&#10;• For ‘Disability’: No effect&#10;• For ‘Orphan Works’: No effect, or negligible effect&#10;&#10;The impact on “enhanced use of existing works” is as follows:&#10;• For ‘Quotation’: Possible/Limited positive effect&#10;• For ‘Private Use’: Possible/Limited positive effect&#10;• For ‘Incidental/Technical Use’: Possible/Limited positive effect&#10;• For ‘Data/Text Mining’: Possible/Limited positive effect&#10;• For ‘Libraries/archives’: No effect, or negligible effect&#10;• For ‘Education’: Positive effect&#10;• For ‘Disability’: No effect&#10;• For ‘Orphan Works’: Positive effect&#10;&#10;The impact on “economic and societal benefits” is as follows:&#10;• For ‘Quotation’: No effect, or negligible effect&#10;• For ‘Private Use’: Possible/Limited positive effect&#10;• For ‘Incidental/Technical Use’: Possible/Limited positive effect&#10;• For ‘Data/Text Mining’: Possible/Limited positive effect&#10;• For ‘Libraries/archives’: No effect, or negligible effect&#10;• For ‘Education’: Positive effect&#10;• For ‘Disability’: No effect&#10;• For ‘Orphan Works’: Positive effect&#10;&#10;The net expected impact is as follows:&#10;• For ‘Quotation’:  Positive, not strong&#10;• For ‘Private Use’:  Positive, not strong&#10;• For ‘Incidental/Technical Use’:  Positive, not quantifiable&#10;• For ‘Data/Text Mining’:  Ambiguous&#10;• For ‘Libraries/archives’:  Negligible effect&#10;• For ‘Education’:  Positive&#10;• For ‘Disability’:  No effect&#10;• For ‘Orphan Works’:  Positive&#10;"/>
      </w:tblPr>
      <w:tblGrid>
        <w:gridCol w:w="2023"/>
        <w:gridCol w:w="1472"/>
        <w:gridCol w:w="1286"/>
        <w:gridCol w:w="1668"/>
        <w:gridCol w:w="1591"/>
        <w:gridCol w:w="1466"/>
        <w:gridCol w:w="1480"/>
        <w:gridCol w:w="1395"/>
        <w:gridCol w:w="1879"/>
      </w:tblGrid>
      <w:tr w:rsidR="004213AE" w:rsidRPr="00124E7F" w14:paraId="4498E49F" w14:textId="77777777" w:rsidTr="00285F86">
        <w:trPr>
          <w:cnfStyle w:val="100000000000" w:firstRow="1" w:lastRow="0" w:firstColumn="0" w:lastColumn="0" w:oddVBand="0" w:evenVBand="0" w:oddHBand="0" w:evenHBand="0" w:firstRowFirstColumn="0" w:firstRowLastColumn="0" w:lastRowFirstColumn="0" w:lastRowLastColumn="0"/>
          <w:trHeight w:val="584"/>
          <w:tblHeader/>
        </w:trPr>
        <w:tc>
          <w:tcPr>
            <w:tcW w:w="709" w:type="pct"/>
            <w:shd w:val="clear" w:color="auto" w:fill="F0F0F0" w:themeFill="accent4"/>
            <w:vAlign w:val="center"/>
            <w:hideMark/>
          </w:tcPr>
          <w:bookmarkEnd w:id="32"/>
          <w:p w14:paraId="47500133" w14:textId="77777777" w:rsidR="00752C30" w:rsidRPr="00124E7F" w:rsidRDefault="00A95B66" w:rsidP="00C740D3">
            <w:pPr>
              <w:widowControl/>
              <w:autoSpaceDE/>
              <w:autoSpaceDN/>
              <w:adjustRightInd/>
              <w:spacing w:line="240" w:lineRule="auto"/>
              <w:jc w:val="center"/>
              <w:rPr>
                <w:color w:val="auto"/>
                <w:szCs w:val="22"/>
              </w:rPr>
            </w:pPr>
            <w:r w:rsidRPr="00124E7F">
              <w:rPr>
                <w:color w:val="auto"/>
                <w:szCs w:val="22"/>
              </w:rPr>
              <w:t>Impact type</w:t>
            </w:r>
          </w:p>
        </w:tc>
        <w:tc>
          <w:tcPr>
            <w:tcW w:w="516" w:type="pct"/>
            <w:shd w:val="clear" w:color="auto" w:fill="F0F0F0" w:themeFill="accent4"/>
            <w:vAlign w:val="center"/>
            <w:hideMark/>
          </w:tcPr>
          <w:p w14:paraId="634AE674" w14:textId="77777777" w:rsidR="00A95B66" w:rsidRPr="00124E7F" w:rsidRDefault="00A95B66" w:rsidP="007A2942">
            <w:pPr>
              <w:widowControl/>
              <w:autoSpaceDE/>
              <w:autoSpaceDN/>
              <w:adjustRightInd/>
              <w:spacing w:line="240" w:lineRule="auto"/>
              <w:jc w:val="center"/>
              <w:rPr>
                <w:b w:val="0"/>
                <w:color w:val="auto"/>
                <w:szCs w:val="22"/>
              </w:rPr>
            </w:pPr>
            <w:r w:rsidRPr="00124E7F">
              <w:rPr>
                <w:color w:val="auto"/>
                <w:szCs w:val="22"/>
              </w:rPr>
              <w:t>Quotation</w:t>
            </w:r>
          </w:p>
        </w:tc>
        <w:tc>
          <w:tcPr>
            <w:tcW w:w="451" w:type="pct"/>
            <w:shd w:val="clear" w:color="auto" w:fill="F0F0F0" w:themeFill="accent4"/>
            <w:vAlign w:val="center"/>
            <w:hideMark/>
          </w:tcPr>
          <w:p w14:paraId="4B77E3AE" w14:textId="77777777" w:rsidR="00A95B66" w:rsidRPr="00124E7F" w:rsidRDefault="00A95B66" w:rsidP="007A2942">
            <w:pPr>
              <w:widowControl/>
              <w:autoSpaceDE/>
              <w:autoSpaceDN/>
              <w:adjustRightInd/>
              <w:spacing w:line="240" w:lineRule="auto"/>
              <w:jc w:val="center"/>
              <w:rPr>
                <w:b w:val="0"/>
                <w:color w:val="auto"/>
                <w:szCs w:val="22"/>
              </w:rPr>
            </w:pPr>
            <w:r w:rsidRPr="00124E7F">
              <w:rPr>
                <w:color w:val="auto"/>
                <w:szCs w:val="22"/>
              </w:rPr>
              <w:t>Private use</w:t>
            </w:r>
          </w:p>
        </w:tc>
        <w:tc>
          <w:tcPr>
            <w:tcW w:w="585" w:type="pct"/>
            <w:shd w:val="clear" w:color="auto" w:fill="F0F0F0" w:themeFill="accent4"/>
            <w:vAlign w:val="center"/>
            <w:hideMark/>
          </w:tcPr>
          <w:p w14:paraId="5166677F" w14:textId="77777777" w:rsidR="00A95B66" w:rsidRPr="00124E7F" w:rsidRDefault="00A95B66" w:rsidP="007A2942">
            <w:pPr>
              <w:widowControl/>
              <w:autoSpaceDE/>
              <w:autoSpaceDN/>
              <w:adjustRightInd/>
              <w:spacing w:line="240" w:lineRule="auto"/>
              <w:jc w:val="center"/>
              <w:rPr>
                <w:b w:val="0"/>
                <w:color w:val="auto"/>
                <w:szCs w:val="22"/>
              </w:rPr>
            </w:pPr>
            <w:r w:rsidRPr="00124E7F">
              <w:rPr>
                <w:color w:val="auto"/>
                <w:szCs w:val="22"/>
              </w:rPr>
              <w:t>Incidental/ technical use</w:t>
            </w:r>
          </w:p>
        </w:tc>
        <w:tc>
          <w:tcPr>
            <w:tcW w:w="558" w:type="pct"/>
            <w:shd w:val="clear" w:color="auto" w:fill="F0F0F0" w:themeFill="accent4"/>
            <w:vAlign w:val="center"/>
            <w:hideMark/>
          </w:tcPr>
          <w:p w14:paraId="609D5272" w14:textId="77777777" w:rsidR="00A95B66" w:rsidRPr="00124E7F" w:rsidRDefault="00A95B66" w:rsidP="007A2942">
            <w:pPr>
              <w:widowControl/>
              <w:autoSpaceDE/>
              <w:autoSpaceDN/>
              <w:adjustRightInd/>
              <w:spacing w:line="240" w:lineRule="auto"/>
              <w:jc w:val="center"/>
              <w:rPr>
                <w:b w:val="0"/>
                <w:color w:val="auto"/>
                <w:szCs w:val="22"/>
              </w:rPr>
            </w:pPr>
            <w:r w:rsidRPr="00124E7F">
              <w:rPr>
                <w:color w:val="auto"/>
                <w:szCs w:val="22"/>
              </w:rPr>
              <w:t>Data/text mining</w:t>
            </w:r>
          </w:p>
        </w:tc>
        <w:tc>
          <w:tcPr>
            <w:tcW w:w="514" w:type="pct"/>
            <w:shd w:val="clear" w:color="auto" w:fill="F0F0F0" w:themeFill="accent4"/>
            <w:vAlign w:val="center"/>
          </w:tcPr>
          <w:p w14:paraId="0E70BB0E" w14:textId="77777777" w:rsidR="00A95B66" w:rsidRPr="00124E7F" w:rsidRDefault="00A95B66" w:rsidP="007A2942">
            <w:pPr>
              <w:widowControl/>
              <w:autoSpaceDE/>
              <w:autoSpaceDN/>
              <w:adjustRightInd/>
              <w:spacing w:line="240" w:lineRule="auto"/>
              <w:jc w:val="center"/>
              <w:rPr>
                <w:b w:val="0"/>
                <w:color w:val="auto"/>
                <w:szCs w:val="22"/>
              </w:rPr>
            </w:pPr>
            <w:r w:rsidRPr="00124E7F">
              <w:rPr>
                <w:color w:val="auto"/>
                <w:szCs w:val="22"/>
              </w:rPr>
              <w:t>Libraries/ archives</w:t>
            </w:r>
          </w:p>
        </w:tc>
        <w:tc>
          <w:tcPr>
            <w:tcW w:w="519" w:type="pct"/>
            <w:shd w:val="clear" w:color="auto" w:fill="F0F0F0" w:themeFill="accent4"/>
            <w:vAlign w:val="center"/>
            <w:hideMark/>
          </w:tcPr>
          <w:p w14:paraId="15C4C12F" w14:textId="77777777" w:rsidR="00A95B66" w:rsidRPr="00124E7F" w:rsidRDefault="00A95B66" w:rsidP="007A2942">
            <w:pPr>
              <w:widowControl/>
              <w:autoSpaceDE/>
              <w:autoSpaceDN/>
              <w:adjustRightInd/>
              <w:spacing w:line="240" w:lineRule="auto"/>
              <w:jc w:val="center"/>
              <w:rPr>
                <w:b w:val="0"/>
                <w:color w:val="auto"/>
                <w:szCs w:val="22"/>
              </w:rPr>
            </w:pPr>
            <w:r w:rsidRPr="00124E7F">
              <w:rPr>
                <w:color w:val="auto"/>
                <w:szCs w:val="22"/>
              </w:rPr>
              <w:t>Education</w:t>
            </w:r>
          </w:p>
        </w:tc>
        <w:tc>
          <w:tcPr>
            <w:tcW w:w="489" w:type="pct"/>
            <w:shd w:val="clear" w:color="auto" w:fill="F0F0F0" w:themeFill="accent4"/>
            <w:vAlign w:val="center"/>
          </w:tcPr>
          <w:p w14:paraId="3833EB49" w14:textId="77777777" w:rsidR="00A95B66" w:rsidRPr="00124E7F" w:rsidRDefault="00A95B66" w:rsidP="007A2942">
            <w:pPr>
              <w:widowControl/>
              <w:autoSpaceDE/>
              <w:autoSpaceDN/>
              <w:adjustRightInd/>
              <w:spacing w:line="240" w:lineRule="auto"/>
              <w:jc w:val="center"/>
              <w:rPr>
                <w:b w:val="0"/>
                <w:color w:val="auto"/>
                <w:szCs w:val="22"/>
              </w:rPr>
            </w:pPr>
            <w:r w:rsidRPr="00124E7F">
              <w:rPr>
                <w:color w:val="auto"/>
                <w:szCs w:val="22"/>
              </w:rPr>
              <w:t>Disability</w:t>
            </w:r>
          </w:p>
        </w:tc>
        <w:tc>
          <w:tcPr>
            <w:tcW w:w="659" w:type="pct"/>
            <w:shd w:val="clear" w:color="auto" w:fill="F0F0F0" w:themeFill="accent4"/>
            <w:vAlign w:val="center"/>
            <w:hideMark/>
          </w:tcPr>
          <w:p w14:paraId="3AD626BD" w14:textId="77777777" w:rsidR="00A95B66" w:rsidRPr="00124E7F" w:rsidRDefault="00A95B66" w:rsidP="007A2942">
            <w:pPr>
              <w:widowControl/>
              <w:autoSpaceDE/>
              <w:autoSpaceDN/>
              <w:adjustRightInd/>
              <w:spacing w:line="240" w:lineRule="auto"/>
              <w:jc w:val="center"/>
              <w:rPr>
                <w:b w:val="0"/>
                <w:color w:val="auto"/>
                <w:szCs w:val="22"/>
              </w:rPr>
            </w:pPr>
            <w:r w:rsidRPr="00124E7F">
              <w:rPr>
                <w:color w:val="auto"/>
                <w:szCs w:val="22"/>
              </w:rPr>
              <w:t>Orphan works</w:t>
            </w:r>
          </w:p>
        </w:tc>
      </w:tr>
      <w:tr w:rsidR="004213AE" w:rsidRPr="00124E7F" w14:paraId="74D286F2" w14:textId="77777777" w:rsidTr="00164E10">
        <w:trPr>
          <w:cnfStyle w:val="000000100000" w:firstRow="0" w:lastRow="0" w:firstColumn="0" w:lastColumn="0" w:oddVBand="0" w:evenVBand="0" w:oddHBand="1" w:evenHBand="0" w:firstRowFirstColumn="0" w:firstRowLastColumn="0" w:lastRowFirstColumn="0" w:lastRowLastColumn="0"/>
          <w:trHeight w:val="584"/>
        </w:trPr>
        <w:tc>
          <w:tcPr>
            <w:tcW w:w="709" w:type="pct"/>
            <w:shd w:val="clear" w:color="auto" w:fill="auto"/>
            <w:vAlign w:val="center"/>
            <w:hideMark/>
          </w:tcPr>
          <w:p w14:paraId="388777F0" w14:textId="77777777" w:rsidR="00164E10" w:rsidRPr="00124E7F" w:rsidRDefault="00164E10" w:rsidP="00D21857">
            <w:pPr>
              <w:widowControl/>
              <w:autoSpaceDE/>
              <w:autoSpaceDN/>
              <w:adjustRightInd/>
              <w:spacing w:line="240" w:lineRule="auto"/>
              <w:rPr>
                <w:color w:val="auto"/>
                <w:szCs w:val="22"/>
              </w:rPr>
            </w:pPr>
            <w:r w:rsidRPr="00124E7F">
              <w:rPr>
                <w:color w:val="auto"/>
                <w:szCs w:val="22"/>
              </w:rPr>
              <w:t>Monopoly rents/</w:t>
            </w:r>
          </w:p>
          <w:p w14:paraId="4010F34D" w14:textId="77777777" w:rsidR="00164E10" w:rsidRPr="00124E7F" w:rsidRDefault="00164E10" w:rsidP="00D21857">
            <w:pPr>
              <w:widowControl/>
              <w:autoSpaceDE/>
              <w:autoSpaceDN/>
              <w:adjustRightInd/>
              <w:spacing w:line="240" w:lineRule="auto"/>
              <w:rPr>
                <w:color w:val="auto"/>
                <w:szCs w:val="22"/>
              </w:rPr>
            </w:pPr>
            <w:r w:rsidRPr="00124E7F">
              <w:rPr>
                <w:color w:val="auto"/>
                <w:szCs w:val="22"/>
              </w:rPr>
              <w:t>Access costs</w:t>
            </w:r>
          </w:p>
        </w:tc>
        <w:tc>
          <w:tcPr>
            <w:tcW w:w="516" w:type="pct"/>
            <w:shd w:val="clear" w:color="auto" w:fill="auto"/>
            <w:vAlign w:val="center"/>
            <w:hideMark/>
          </w:tcPr>
          <w:p w14:paraId="6552A4E4" w14:textId="77777777" w:rsidR="00164E10" w:rsidRPr="00124E7F" w:rsidRDefault="00164E10" w:rsidP="007A2942">
            <w:pPr>
              <w:widowControl/>
              <w:autoSpaceDE/>
              <w:autoSpaceDN/>
              <w:adjustRightInd/>
              <w:spacing w:line="240" w:lineRule="auto"/>
              <w:jc w:val="center"/>
              <w:rPr>
                <w:color w:val="auto"/>
                <w:szCs w:val="22"/>
              </w:rPr>
            </w:pPr>
            <w:r w:rsidRPr="00124E7F">
              <w:rPr>
                <w:color w:val="auto"/>
                <w:szCs w:val="22"/>
              </w:rPr>
              <w:t>?-/?+</w:t>
            </w:r>
          </w:p>
        </w:tc>
        <w:tc>
          <w:tcPr>
            <w:tcW w:w="451" w:type="pct"/>
            <w:shd w:val="clear" w:color="auto" w:fill="auto"/>
            <w:vAlign w:val="center"/>
            <w:hideMark/>
          </w:tcPr>
          <w:p w14:paraId="2E8CA974" w14:textId="77777777" w:rsidR="00164E10" w:rsidRPr="00124E7F" w:rsidRDefault="00164E10" w:rsidP="007A2942">
            <w:pPr>
              <w:widowControl/>
              <w:autoSpaceDE/>
              <w:autoSpaceDN/>
              <w:adjustRightInd/>
              <w:spacing w:line="240" w:lineRule="auto"/>
              <w:jc w:val="center"/>
              <w:rPr>
                <w:color w:val="auto"/>
                <w:szCs w:val="22"/>
              </w:rPr>
            </w:pPr>
            <w:r w:rsidRPr="00124E7F">
              <w:rPr>
                <w:color w:val="auto"/>
                <w:szCs w:val="22"/>
              </w:rPr>
              <w:t>0</w:t>
            </w:r>
          </w:p>
        </w:tc>
        <w:tc>
          <w:tcPr>
            <w:tcW w:w="585" w:type="pct"/>
            <w:shd w:val="clear" w:color="auto" w:fill="auto"/>
            <w:vAlign w:val="center"/>
            <w:hideMark/>
          </w:tcPr>
          <w:p w14:paraId="654D8CD2" w14:textId="77777777" w:rsidR="00164E10" w:rsidRPr="00124E7F" w:rsidRDefault="00164E10">
            <w:pPr>
              <w:spacing w:line="240" w:lineRule="auto"/>
              <w:jc w:val="center"/>
              <w:rPr>
                <w:color w:val="auto"/>
                <w:szCs w:val="22"/>
              </w:rPr>
            </w:pPr>
            <w:r w:rsidRPr="00124E7F">
              <w:rPr>
                <w:color w:val="auto"/>
                <w:szCs w:val="22"/>
              </w:rPr>
              <w:t>?+</w:t>
            </w:r>
          </w:p>
        </w:tc>
        <w:tc>
          <w:tcPr>
            <w:tcW w:w="558" w:type="pct"/>
            <w:shd w:val="clear" w:color="auto" w:fill="auto"/>
            <w:vAlign w:val="center"/>
            <w:hideMark/>
          </w:tcPr>
          <w:p w14:paraId="6B2051A4" w14:textId="77777777" w:rsidR="00164E10" w:rsidRPr="00124E7F" w:rsidRDefault="00164E10" w:rsidP="007A2942">
            <w:pPr>
              <w:widowControl/>
              <w:autoSpaceDE/>
              <w:autoSpaceDN/>
              <w:adjustRightInd/>
              <w:spacing w:line="240" w:lineRule="auto"/>
              <w:jc w:val="center"/>
              <w:rPr>
                <w:color w:val="auto"/>
                <w:szCs w:val="22"/>
              </w:rPr>
            </w:pPr>
            <w:r w:rsidRPr="00124E7F">
              <w:rPr>
                <w:color w:val="auto"/>
                <w:szCs w:val="22"/>
              </w:rPr>
              <w:t>?</w:t>
            </w:r>
          </w:p>
        </w:tc>
        <w:tc>
          <w:tcPr>
            <w:tcW w:w="514" w:type="pct"/>
            <w:shd w:val="clear" w:color="auto" w:fill="auto"/>
            <w:vAlign w:val="center"/>
          </w:tcPr>
          <w:p w14:paraId="51E8FC5C" w14:textId="77777777" w:rsidR="00164E10" w:rsidRPr="00124E7F" w:rsidRDefault="00164E10" w:rsidP="007A2942">
            <w:pPr>
              <w:widowControl/>
              <w:autoSpaceDE/>
              <w:autoSpaceDN/>
              <w:adjustRightInd/>
              <w:spacing w:line="240" w:lineRule="auto"/>
              <w:jc w:val="center"/>
              <w:rPr>
                <w:color w:val="auto"/>
                <w:szCs w:val="22"/>
              </w:rPr>
            </w:pPr>
            <w:r w:rsidRPr="00124E7F">
              <w:rPr>
                <w:color w:val="auto"/>
                <w:szCs w:val="22"/>
              </w:rPr>
              <w:t>0</w:t>
            </w:r>
          </w:p>
        </w:tc>
        <w:tc>
          <w:tcPr>
            <w:tcW w:w="519" w:type="pct"/>
            <w:shd w:val="clear" w:color="auto" w:fill="auto"/>
            <w:vAlign w:val="center"/>
            <w:hideMark/>
          </w:tcPr>
          <w:p w14:paraId="722631F5" w14:textId="77777777" w:rsidR="00164E10" w:rsidRPr="00124E7F" w:rsidRDefault="00164E10" w:rsidP="007A2942">
            <w:pPr>
              <w:widowControl/>
              <w:autoSpaceDE/>
              <w:autoSpaceDN/>
              <w:adjustRightInd/>
              <w:spacing w:line="240" w:lineRule="auto"/>
              <w:jc w:val="center"/>
              <w:rPr>
                <w:color w:val="auto"/>
                <w:szCs w:val="22"/>
              </w:rPr>
            </w:pPr>
            <w:r w:rsidRPr="00124E7F">
              <w:rPr>
                <w:color w:val="auto"/>
                <w:szCs w:val="22"/>
              </w:rPr>
              <w:t>-/+</w:t>
            </w:r>
          </w:p>
        </w:tc>
        <w:tc>
          <w:tcPr>
            <w:tcW w:w="489" w:type="pct"/>
            <w:shd w:val="clear" w:color="auto" w:fill="auto"/>
            <w:vAlign w:val="center"/>
          </w:tcPr>
          <w:p w14:paraId="3E576A5B" w14:textId="77777777" w:rsidR="00164E10" w:rsidRPr="00124E7F" w:rsidRDefault="00164E10" w:rsidP="007A2942">
            <w:pPr>
              <w:widowControl/>
              <w:autoSpaceDE/>
              <w:autoSpaceDN/>
              <w:adjustRightInd/>
              <w:spacing w:line="240" w:lineRule="auto"/>
              <w:jc w:val="center"/>
              <w:rPr>
                <w:color w:val="auto"/>
                <w:szCs w:val="22"/>
              </w:rPr>
            </w:pPr>
          </w:p>
        </w:tc>
        <w:tc>
          <w:tcPr>
            <w:tcW w:w="659" w:type="pct"/>
            <w:shd w:val="clear" w:color="auto" w:fill="auto"/>
            <w:vAlign w:val="center"/>
            <w:hideMark/>
          </w:tcPr>
          <w:p w14:paraId="3A9803B2" w14:textId="77777777" w:rsidR="00164E10" w:rsidRPr="00124E7F" w:rsidRDefault="00164E10" w:rsidP="007A2942">
            <w:pPr>
              <w:widowControl/>
              <w:autoSpaceDE/>
              <w:autoSpaceDN/>
              <w:adjustRightInd/>
              <w:spacing w:line="240" w:lineRule="auto"/>
              <w:jc w:val="center"/>
              <w:rPr>
                <w:color w:val="auto"/>
                <w:szCs w:val="22"/>
              </w:rPr>
            </w:pPr>
            <w:r w:rsidRPr="00124E7F">
              <w:rPr>
                <w:color w:val="auto"/>
                <w:szCs w:val="22"/>
              </w:rPr>
              <w:t>0</w:t>
            </w:r>
          </w:p>
        </w:tc>
      </w:tr>
      <w:tr w:rsidR="004213AE" w:rsidRPr="00124E7F" w14:paraId="6F1C96B1" w14:textId="77777777" w:rsidTr="00164E10">
        <w:trPr>
          <w:trHeight w:val="584"/>
        </w:trPr>
        <w:tc>
          <w:tcPr>
            <w:tcW w:w="709" w:type="pct"/>
            <w:shd w:val="clear" w:color="auto" w:fill="auto"/>
            <w:vAlign w:val="center"/>
            <w:hideMark/>
          </w:tcPr>
          <w:p w14:paraId="4B8FF676" w14:textId="77777777" w:rsidR="00164E10" w:rsidRPr="00124E7F" w:rsidRDefault="00164E10" w:rsidP="00D21857">
            <w:pPr>
              <w:widowControl/>
              <w:autoSpaceDE/>
              <w:autoSpaceDN/>
              <w:adjustRightInd/>
              <w:spacing w:line="240" w:lineRule="auto"/>
              <w:rPr>
                <w:color w:val="auto"/>
                <w:szCs w:val="22"/>
              </w:rPr>
            </w:pPr>
            <w:r w:rsidRPr="00124E7F">
              <w:rPr>
                <w:color w:val="auto"/>
                <w:szCs w:val="22"/>
              </w:rPr>
              <w:t>Incentives to create new works</w:t>
            </w:r>
          </w:p>
        </w:tc>
        <w:tc>
          <w:tcPr>
            <w:tcW w:w="516" w:type="pct"/>
            <w:shd w:val="clear" w:color="auto" w:fill="auto"/>
            <w:vAlign w:val="center"/>
            <w:hideMark/>
          </w:tcPr>
          <w:p w14:paraId="6CEEF324" w14:textId="77777777" w:rsidR="00164E10" w:rsidRPr="00124E7F" w:rsidRDefault="00164E10" w:rsidP="007A2942">
            <w:pPr>
              <w:widowControl/>
              <w:autoSpaceDE/>
              <w:autoSpaceDN/>
              <w:adjustRightInd/>
              <w:spacing w:line="240" w:lineRule="auto"/>
              <w:jc w:val="center"/>
              <w:rPr>
                <w:color w:val="auto"/>
                <w:szCs w:val="22"/>
              </w:rPr>
            </w:pPr>
            <w:r w:rsidRPr="00124E7F">
              <w:rPr>
                <w:color w:val="auto"/>
                <w:szCs w:val="22"/>
              </w:rPr>
              <w:t>?+</w:t>
            </w:r>
          </w:p>
        </w:tc>
        <w:tc>
          <w:tcPr>
            <w:tcW w:w="451" w:type="pct"/>
            <w:shd w:val="clear" w:color="auto" w:fill="auto"/>
            <w:vAlign w:val="center"/>
            <w:hideMark/>
          </w:tcPr>
          <w:p w14:paraId="25F2A9F6" w14:textId="77777777" w:rsidR="00164E10" w:rsidRPr="00124E7F" w:rsidRDefault="00164E10" w:rsidP="007A2942">
            <w:pPr>
              <w:widowControl/>
              <w:autoSpaceDE/>
              <w:autoSpaceDN/>
              <w:adjustRightInd/>
              <w:spacing w:line="240" w:lineRule="auto"/>
              <w:jc w:val="center"/>
              <w:rPr>
                <w:color w:val="auto"/>
                <w:szCs w:val="22"/>
              </w:rPr>
            </w:pPr>
            <w:r w:rsidRPr="00124E7F">
              <w:rPr>
                <w:color w:val="auto"/>
                <w:szCs w:val="22"/>
              </w:rPr>
              <w:t>0</w:t>
            </w:r>
          </w:p>
        </w:tc>
        <w:tc>
          <w:tcPr>
            <w:tcW w:w="585" w:type="pct"/>
            <w:shd w:val="clear" w:color="auto" w:fill="auto"/>
            <w:vAlign w:val="center"/>
            <w:hideMark/>
          </w:tcPr>
          <w:p w14:paraId="696EFBD6" w14:textId="77777777" w:rsidR="00164E10" w:rsidRPr="00124E7F" w:rsidRDefault="00164E10">
            <w:pPr>
              <w:spacing w:line="240" w:lineRule="auto"/>
              <w:jc w:val="center"/>
              <w:rPr>
                <w:color w:val="auto"/>
                <w:szCs w:val="22"/>
              </w:rPr>
            </w:pPr>
            <w:r w:rsidRPr="00124E7F">
              <w:rPr>
                <w:color w:val="auto"/>
                <w:szCs w:val="22"/>
              </w:rPr>
              <w:t>?+</w:t>
            </w:r>
          </w:p>
        </w:tc>
        <w:tc>
          <w:tcPr>
            <w:tcW w:w="558" w:type="pct"/>
            <w:shd w:val="clear" w:color="auto" w:fill="auto"/>
            <w:vAlign w:val="center"/>
            <w:hideMark/>
          </w:tcPr>
          <w:p w14:paraId="61C026CB" w14:textId="77777777" w:rsidR="00164E10" w:rsidRPr="00124E7F" w:rsidRDefault="00164E10" w:rsidP="007A2942">
            <w:pPr>
              <w:widowControl/>
              <w:autoSpaceDE/>
              <w:autoSpaceDN/>
              <w:adjustRightInd/>
              <w:spacing w:line="240" w:lineRule="auto"/>
              <w:jc w:val="center"/>
              <w:rPr>
                <w:color w:val="auto"/>
                <w:szCs w:val="22"/>
              </w:rPr>
            </w:pPr>
            <w:r w:rsidRPr="00124E7F">
              <w:rPr>
                <w:color w:val="auto"/>
                <w:szCs w:val="22"/>
              </w:rPr>
              <w:t>?</w:t>
            </w:r>
          </w:p>
        </w:tc>
        <w:tc>
          <w:tcPr>
            <w:tcW w:w="514" w:type="pct"/>
            <w:shd w:val="clear" w:color="auto" w:fill="auto"/>
            <w:vAlign w:val="center"/>
          </w:tcPr>
          <w:p w14:paraId="239D22B9" w14:textId="77777777" w:rsidR="00164E10" w:rsidRPr="00124E7F" w:rsidRDefault="00164E10" w:rsidP="007A2942">
            <w:pPr>
              <w:widowControl/>
              <w:autoSpaceDE/>
              <w:autoSpaceDN/>
              <w:adjustRightInd/>
              <w:spacing w:line="240" w:lineRule="auto"/>
              <w:jc w:val="center"/>
              <w:rPr>
                <w:color w:val="auto"/>
                <w:szCs w:val="22"/>
              </w:rPr>
            </w:pPr>
            <w:r w:rsidRPr="00124E7F">
              <w:rPr>
                <w:color w:val="auto"/>
                <w:szCs w:val="22"/>
              </w:rPr>
              <w:t>0</w:t>
            </w:r>
          </w:p>
        </w:tc>
        <w:tc>
          <w:tcPr>
            <w:tcW w:w="519" w:type="pct"/>
            <w:shd w:val="clear" w:color="auto" w:fill="auto"/>
            <w:vAlign w:val="center"/>
            <w:hideMark/>
          </w:tcPr>
          <w:p w14:paraId="5E49D90A" w14:textId="77777777" w:rsidR="00164E10" w:rsidRPr="00124E7F" w:rsidRDefault="00164E10" w:rsidP="007A2942">
            <w:pPr>
              <w:widowControl/>
              <w:autoSpaceDE/>
              <w:autoSpaceDN/>
              <w:adjustRightInd/>
              <w:spacing w:line="240" w:lineRule="auto"/>
              <w:jc w:val="center"/>
              <w:rPr>
                <w:color w:val="auto"/>
                <w:szCs w:val="22"/>
              </w:rPr>
            </w:pPr>
            <w:r w:rsidRPr="00124E7F">
              <w:rPr>
                <w:color w:val="auto"/>
                <w:szCs w:val="22"/>
              </w:rPr>
              <w:t>0</w:t>
            </w:r>
          </w:p>
        </w:tc>
        <w:tc>
          <w:tcPr>
            <w:tcW w:w="489" w:type="pct"/>
            <w:shd w:val="clear" w:color="auto" w:fill="auto"/>
            <w:vAlign w:val="center"/>
          </w:tcPr>
          <w:p w14:paraId="5218398F" w14:textId="77777777" w:rsidR="00164E10" w:rsidRPr="00124E7F" w:rsidRDefault="00164E10" w:rsidP="007A2942">
            <w:pPr>
              <w:widowControl/>
              <w:autoSpaceDE/>
              <w:autoSpaceDN/>
              <w:adjustRightInd/>
              <w:spacing w:line="240" w:lineRule="auto"/>
              <w:jc w:val="center"/>
              <w:rPr>
                <w:color w:val="auto"/>
                <w:szCs w:val="22"/>
              </w:rPr>
            </w:pPr>
          </w:p>
        </w:tc>
        <w:tc>
          <w:tcPr>
            <w:tcW w:w="659" w:type="pct"/>
            <w:shd w:val="clear" w:color="auto" w:fill="auto"/>
            <w:vAlign w:val="center"/>
            <w:hideMark/>
          </w:tcPr>
          <w:p w14:paraId="0665167E" w14:textId="77777777" w:rsidR="00164E10" w:rsidRPr="00124E7F" w:rsidRDefault="00164E10" w:rsidP="007A2942">
            <w:pPr>
              <w:widowControl/>
              <w:autoSpaceDE/>
              <w:autoSpaceDN/>
              <w:adjustRightInd/>
              <w:spacing w:line="240" w:lineRule="auto"/>
              <w:jc w:val="center"/>
              <w:rPr>
                <w:color w:val="auto"/>
                <w:szCs w:val="22"/>
              </w:rPr>
            </w:pPr>
            <w:r w:rsidRPr="00124E7F">
              <w:rPr>
                <w:color w:val="auto"/>
                <w:szCs w:val="22"/>
              </w:rPr>
              <w:t>0</w:t>
            </w:r>
          </w:p>
        </w:tc>
      </w:tr>
      <w:tr w:rsidR="004213AE" w:rsidRPr="00124E7F" w14:paraId="485B6E5E" w14:textId="77777777" w:rsidTr="00164E10">
        <w:trPr>
          <w:cnfStyle w:val="000000100000" w:firstRow="0" w:lastRow="0" w:firstColumn="0" w:lastColumn="0" w:oddVBand="0" w:evenVBand="0" w:oddHBand="1" w:evenHBand="0" w:firstRowFirstColumn="0" w:firstRowLastColumn="0" w:lastRowFirstColumn="0" w:lastRowLastColumn="0"/>
          <w:trHeight w:val="584"/>
        </w:trPr>
        <w:tc>
          <w:tcPr>
            <w:tcW w:w="709" w:type="pct"/>
            <w:shd w:val="clear" w:color="auto" w:fill="auto"/>
            <w:vAlign w:val="center"/>
            <w:hideMark/>
          </w:tcPr>
          <w:p w14:paraId="36CE09F9" w14:textId="77777777" w:rsidR="00164E10" w:rsidRPr="00124E7F" w:rsidRDefault="00164E10" w:rsidP="00D21857">
            <w:pPr>
              <w:widowControl/>
              <w:autoSpaceDE/>
              <w:autoSpaceDN/>
              <w:adjustRightInd/>
              <w:spacing w:line="240" w:lineRule="auto"/>
              <w:rPr>
                <w:color w:val="auto"/>
                <w:szCs w:val="22"/>
              </w:rPr>
            </w:pPr>
            <w:r w:rsidRPr="00124E7F">
              <w:rPr>
                <w:color w:val="auto"/>
                <w:szCs w:val="22"/>
              </w:rPr>
              <w:t>Administration costs/ transaction costs</w:t>
            </w:r>
          </w:p>
        </w:tc>
        <w:tc>
          <w:tcPr>
            <w:tcW w:w="516" w:type="pct"/>
            <w:shd w:val="clear" w:color="auto" w:fill="auto"/>
            <w:vAlign w:val="center"/>
            <w:hideMark/>
          </w:tcPr>
          <w:p w14:paraId="19617119" w14:textId="77777777" w:rsidR="00164E10" w:rsidRPr="00124E7F" w:rsidRDefault="00164E10" w:rsidP="007A2942">
            <w:pPr>
              <w:widowControl/>
              <w:autoSpaceDE/>
              <w:autoSpaceDN/>
              <w:adjustRightInd/>
              <w:spacing w:line="240" w:lineRule="auto"/>
              <w:jc w:val="center"/>
              <w:rPr>
                <w:color w:val="auto"/>
                <w:szCs w:val="22"/>
              </w:rPr>
            </w:pPr>
            <w:r w:rsidRPr="00124E7F">
              <w:rPr>
                <w:color w:val="auto"/>
                <w:szCs w:val="22"/>
              </w:rPr>
              <w:t>?+</w:t>
            </w:r>
          </w:p>
        </w:tc>
        <w:tc>
          <w:tcPr>
            <w:tcW w:w="451" w:type="pct"/>
            <w:shd w:val="clear" w:color="auto" w:fill="auto"/>
            <w:vAlign w:val="center"/>
            <w:hideMark/>
          </w:tcPr>
          <w:p w14:paraId="4A3C852D" w14:textId="77777777" w:rsidR="00164E10" w:rsidRPr="00124E7F" w:rsidRDefault="00164E10" w:rsidP="007A2942">
            <w:pPr>
              <w:widowControl/>
              <w:autoSpaceDE/>
              <w:autoSpaceDN/>
              <w:adjustRightInd/>
              <w:spacing w:line="240" w:lineRule="auto"/>
              <w:jc w:val="center"/>
              <w:rPr>
                <w:color w:val="auto"/>
                <w:szCs w:val="22"/>
              </w:rPr>
            </w:pPr>
            <w:r w:rsidRPr="00124E7F">
              <w:rPr>
                <w:color w:val="auto"/>
                <w:szCs w:val="22"/>
              </w:rPr>
              <w:t>0</w:t>
            </w:r>
          </w:p>
        </w:tc>
        <w:tc>
          <w:tcPr>
            <w:tcW w:w="585" w:type="pct"/>
            <w:shd w:val="clear" w:color="auto" w:fill="auto"/>
            <w:vAlign w:val="center"/>
            <w:hideMark/>
          </w:tcPr>
          <w:p w14:paraId="0ECDF8ED" w14:textId="77777777" w:rsidR="00164E10" w:rsidRPr="00124E7F" w:rsidRDefault="00164E10">
            <w:pPr>
              <w:spacing w:line="240" w:lineRule="auto"/>
              <w:jc w:val="center"/>
              <w:rPr>
                <w:color w:val="auto"/>
                <w:szCs w:val="22"/>
              </w:rPr>
            </w:pPr>
            <w:r w:rsidRPr="00124E7F">
              <w:rPr>
                <w:color w:val="auto"/>
                <w:szCs w:val="22"/>
              </w:rPr>
              <w:t>?+</w:t>
            </w:r>
          </w:p>
        </w:tc>
        <w:tc>
          <w:tcPr>
            <w:tcW w:w="558" w:type="pct"/>
            <w:shd w:val="clear" w:color="auto" w:fill="auto"/>
            <w:vAlign w:val="center"/>
            <w:hideMark/>
          </w:tcPr>
          <w:p w14:paraId="0ED34CF4" w14:textId="77777777" w:rsidR="00164E10" w:rsidRPr="00124E7F" w:rsidRDefault="00164E10" w:rsidP="007A2942">
            <w:pPr>
              <w:widowControl/>
              <w:autoSpaceDE/>
              <w:autoSpaceDN/>
              <w:adjustRightInd/>
              <w:spacing w:line="240" w:lineRule="auto"/>
              <w:jc w:val="center"/>
              <w:rPr>
                <w:color w:val="auto"/>
                <w:szCs w:val="22"/>
              </w:rPr>
            </w:pPr>
            <w:r w:rsidRPr="00124E7F">
              <w:rPr>
                <w:color w:val="auto"/>
                <w:szCs w:val="22"/>
              </w:rPr>
              <w:t>?+</w:t>
            </w:r>
          </w:p>
        </w:tc>
        <w:tc>
          <w:tcPr>
            <w:tcW w:w="514" w:type="pct"/>
            <w:shd w:val="clear" w:color="auto" w:fill="auto"/>
            <w:vAlign w:val="center"/>
          </w:tcPr>
          <w:p w14:paraId="5B3BF099" w14:textId="77777777" w:rsidR="00164E10" w:rsidRPr="00124E7F" w:rsidRDefault="00164E10" w:rsidP="007A2942">
            <w:pPr>
              <w:widowControl/>
              <w:autoSpaceDE/>
              <w:autoSpaceDN/>
              <w:adjustRightInd/>
              <w:spacing w:line="240" w:lineRule="auto"/>
              <w:jc w:val="center"/>
              <w:rPr>
                <w:color w:val="auto"/>
                <w:szCs w:val="22"/>
              </w:rPr>
            </w:pPr>
            <w:r w:rsidRPr="00124E7F">
              <w:rPr>
                <w:color w:val="auto"/>
                <w:szCs w:val="22"/>
              </w:rPr>
              <w:t>0</w:t>
            </w:r>
          </w:p>
        </w:tc>
        <w:tc>
          <w:tcPr>
            <w:tcW w:w="519" w:type="pct"/>
            <w:shd w:val="clear" w:color="auto" w:fill="auto"/>
            <w:vAlign w:val="center"/>
            <w:hideMark/>
          </w:tcPr>
          <w:p w14:paraId="258A141F" w14:textId="77777777" w:rsidR="00164E10" w:rsidRPr="00124E7F" w:rsidRDefault="00164E10" w:rsidP="007A2942">
            <w:pPr>
              <w:widowControl/>
              <w:autoSpaceDE/>
              <w:autoSpaceDN/>
              <w:adjustRightInd/>
              <w:spacing w:line="240" w:lineRule="auto"/>
              <w:jc w:val="center"/>
              <w:rPr>
                <w:color w:val="auto"/>
                <w:szCs w:val="22"/>
              </w:rPr>
            </w:pPr>
            <w:r w:rsidRPr="00124E7F">
              <w:rPr>
                <w:color w:val="auto"/>
                <w:szCs w:val="22"/>
              </w:rPr>
              <w:t>?</w:t>
            </w:r>
          </w:p>
        </w:tc>
        <w:tc>
          <w:tcPr>
            <w:tcW w:w="489" w:type="pct"/>
            <w:shd w:val="clear" w:color="auto" w:fill="auto"/>
            <w:vAlign w:val="center"/>
          </w:tcPr>
          <w:p w14:paraId="3D32AA60" w14:textId="77777777" w:rsidR="00164E10" w:rsidRPr="00124E7F" w:rsidRDefault="00164E10" w:rsidP="007A2942">
            <w:pPr>
              <w:widowControl/>
              <w:autoSpaceDE/>
              <w:autoSpaceDN/>
              <w:adjustRightInd/>
              <w:spacing w:line="240" w:lineRule="auto"/>
              <w:jc w:val="center"/>
              <w:rPr>
                <w:color w:val="auto"/>
                <w:szCs w:val="22"/>
              </w:rPr>
            </w:pPr>
          </w:p>
        </w:tc>
        <w:tc>
          <w:tcPr>
            <w:tcW w:w="659" w:type="pct"/>
            <w:shd w:val="clear" w:color="auto" w:fill="auto"/>
            <w:vAlign w:val="center"/>
            <w:hideMark/>
          </w:tcPr>
          <w:p w14:paraId="5BBEF8CB" w14:textId="77777777" w:rsidR="00164E10" w:rsidRPr="00124E7F" w:rsidRDefault="00164E10" w:rsidP="007A2942">
            <w:pPr>
              <w:widowControl/>
              <w:autoSpaceDE/>
              <w:autoSpaceDN/>
              <w:adjustRightInd/>
              <w:spacing w:line="240" w:lineRule="auto"/>
              <w:jc w:val="center"/>
              <w:rPr>
                <w:color w:val="auto"/>
                <w:szCs w:val="22"/>
              </w:rPr>
            </w:pPr>
            <w:r w:rsidRPr="00124E7F">
              <w:rPr>
                <w:color w:val="auto"/>
                <w:szCs w:val="22"/>
              </w:rPr>
              <w:t>-</w:t>
            </w:r>
          </w:p>
        </w:tc>
      </w:tr>
      <w:tr w:rsidR="004213AE" w:rsidRPr="00124E7F" w14:paraId="2D984988" w14:textId="77777777" w:rsidTr="00164E10">
        <w:trPr>
          <w:trHeight w:val="675"/>
        </w:trPr>
        <w:tc>
          <w:tcPr>
            <w:tcW w:w="709" w:type="pct"/>
            <w:shd w:val="clear" w:color="auto" w:fill="auto"/>
            <w:vAlign w:val="center"/>
            <w:hideMark/>
          </w:tcPr>
          <w:p w14:paraId="76A5F831" w14:textId="77777777" w:rsidR="00164E10" w:rsidRPr="00124E7F" w:rsidRDefault="00164E10" w:rsidP="00D21857">
            <w:pPr>
              <w:widowControl/>
              <w:autoSpaceDE/>
              <w:autoSpaceDN/>
              <w:adjustRightInd/>
              <w:spacing w:line="240" w:lineRule="auto"/>
              <w:rPr>
                <w:color w:val="auto"/>
                <w:szCs w:val="22"/>
              </w:rPr>
            </w:pPr>
            <w:r w:rsidRPr="00124E7F">
              <w:rPr>
                <w:color w:val="auto"/>
                <w:szCs w:val="22"/>
              </w:rPr>
              <w:t>Incentives to invest in new uses of works</w:t>
            </w:r>
          </w:p>
        </w:tc>
        <w:tc>
          <w:tcPr>
            <w:tcW w:w="516" w:type="pct"/>
            <w:shd w:val="clear" w:color="auto" w:fill="auto"/>
            <w:vAlign w:val="center"/>
            <w:hideMark/>
          </w:tcPr>
          <w:p w14:paraId="582F6D28" w14:textId="77777777" w:rsidR="00164E10" w:rsidRPr="00124E7F" w:rsidRDefault="00164E10" w:rsidP="007A2942">
            <w:pPr>
              <w:widowControl/>
              <w:autoSpaceDE/>
              <w:autoSpaceDN/>
              <w:adjustRightInd/>
              <w:spacing w:line="240" w:lineRule="auto"/>
              <w:jc w:val="center"/>
              <w:rPr>
                <w:color w:val="auto"/>
                <w:szCs w:val="22"/>
              </w:rPr>
            </w:pPr>
            <w:r w:rsidRPr="00124E7F">
              <w:rPr>
                <w:color w:val="auto"/>
                <w:szCs w:val="22"/>
              </w:rPr>
              <w:t>?+</w:t>
            </w:r>
          </w:p>
        </w:tc>
        <w:tc>
          <w:tcPr>
            <w:tcW w:w="451" w:type="pct"/>
            <w:shd w:val="clear" w:color="auto" w:fill="auto"/>
            <w:vAlign w:val="center"/>
            <w:hideMark/>
          </w:tcPr>
          <w:p w14:paraId="2E7B6D07" w14:textId="77777777" w:rsidR="00164E10" w:rsidRPr="00124E7F" w:rsidRDefault="00164E10" w:rsidP="007A2942">
            <w:pPr>
              <w:widowControl/>
              <w:autoSpaceDE/>
              <w:autoSpaceDN/>
              <w:adjustRightInd/>
              <w:spacing w:line="240" w:lineRule="auto"/>
              <w:jc w:val="center"/>
              <w:rPr>
                <w:color w:val="auto"/>
                <w:szCs w:val="22"/>
              </w:rPr>
            </w:pPr>
            <w:r w:rsidRPr="00124E7F">
              <w:rPr>
                <w:color w:val="auto"/>
                <w:szCs w:val="22"/>
              </w:rPr>
              <w:t>0</w:t>
            </w:r>
          </w:p>
        </w:tc>
        <w:tc>
          <w:tcPr>
            <w:tcW w:w="585" w:type="pct"/>
            <w:shd w:val="clear" w:color="auto" w:fill="auto"/>
            <w:vAlign w:val="center"/>
            <w:hideMark/>
          </w:tcPr>
          <w:p w14:paraId="501262AF" w14:textId="77777777" w:rsidR="00164E10" w:rsidRPr="00124E7F" w:rsidRDefault="00164E10">
            <w:pPr>
              <w:spacing w:line="240" w:lineRule="auto"/>
              <w:jc w:val="center"/>
              <w:rPr>
                <w:color w:val="auto"/>
                <w:szCs w:val="22"/>
              </w:rPr>
            </w:pPr>
            <w:r w:rsidRPr="00124E7F">
              <w:rPr>
                <w:color w:val="auto"/>
                <w:szCs w:val="22"/>
              </w:rPr>
              <w:t>?+</w:t>
            </w:r>
          </w:p>
        </w:tc>
        <w:tc>
          <w:tcPr>
            <w:tcW w:w="558" w:type="pct"/>
            <w:shd w:val="clear" w:color="auto" w:fill="auto"/>
            <w:vAlign w:val="center"/>
            <w:hideMark/>
          </w:tcPr>
          <w:p w14:paraId="6C60B5CE" w14:textId="77777777" w:rsidR="00164E10" w:rsidRPr="00124E7F" w:rsidRDefault="00164E10" w:rsidP="007A2942">
            <w:pPr>
              <w:widowControl/>
              <w:autoSpaceDE/>
              <w:autoSpaceDN/>
              <w:adjustRightInd/>
              <w:spacing w:line="240" w:lineRule="auto"/>
              <w:jc w:val="center"/>
              <w:rPr>
                <w:color w:val="auto"/>
                <w:szCs w:val="22"/>
              </w:rPr>
            </w:pPr>
            <w:r w:rsidRPr="00124E7F">
              <w:rPr>
                <w:color w:val="auto"/>
                <w:szCs w:val="22"/>
              </w:rPr>
              <w:t>?</w:t>
            </w:r>
          </w:p>
        </w:tc>
        <w:tc>
          <w:tcPr>
            <w:tcW w:w="514" w:type="pct"/>
            <w:shd w:val="clear" w:color="auto" w:fill="auto"/>
            <w:vAlign w:val="center"/>
          </w:tcPr>
          <w:p w14:paraId="552B7EB2" w14:textId="77777777" w:rsidR="00164E10" w:rsidRPr="00124E7F" w:rsidRDefault="00164E10" w:rsidP="007A2942">
            <w:pPr>
              <w:widowControl/>
              <w:autoSpaceDE/>
              <w:autoSpaceDN/>
              <w:adjustRightInd/>
              <w:spacing w:line="240" w:lineRule="auto"/>
              <w:jc w:val="center"/>
              <w:rPr>
                <w:color w:val="auto"/>
                <w:szCs w:val="22"/>
              </w:rPr>
            </w:pPr>
            <w:r w:rsidRPr="00124E7F">
              <w:rPr>
                <w:color w:val="auto"/>
                <w:szCs w:val="22"/>
              </w:rPr>
              <w:t>0</w:t>
            </w:r>
          </w:p>
        </w:tc>
        <w:tc>
          <w:tcPr>
            <w:tcW w:w="519" w:type="pct"/>
            <w:shd w:val="clear" w:color="auto" w:fill="auto"/>
            <w:vAlign w:val="center"/>
            <w:hideMark/>
          </w:tcPr>
          <w:p w14:paraId="00A84B02" w14:textId="77777777" w:rsidR="00164E10" w:rsidRPr="00124E7F" w:rsidRDefault="00164E10" w:rsidP="007A2942">
            <w:pPr>
              <w:widowControl/>
              <w:autoSpaceDE/>
              <w:autoSpaceDN/>
              <w:adjustRightInd/>
              <w:spacing w:line="240" w:lineRule="auto"/>
              <w:jc w:val="center"/>
              <w:rPr>
                <w:color w:val="auto"/>
                <w:szCs w:val="22"/>
              </w:rPr>
            </w:pPr>
            <w:r w:rsidRPr="00124E7F">
              <w:rPr>
                <w:color w:val="auto"/>
                <w:szCs w:val="22"/>
              </w:rPr>
              <w:t>0</w:t>
            </w:r>
          </w:p>
        </w:tc>
        <w:tc>
          <w:tcPr>
            <w:tcW w:w="489" w:type="pct"/>
            <w:shd w:val="clear" w:color="auto" w:fill="auto"/>
            <w:vAlign w:val="center"/>
          </w:tcPr>
          <w:p w14:paraId="5352451F" w14:textId="77777777" w:rsidR="00164E10" w:rsidRPr="00124E7F" w:rsidRDefault="00164E10" w:rsidP="007A2942">
            <w:pPr>
              <w:widowControl/>
              <w:autoSpaceDE/>
              <w:autoSpaceDN/>
              <w:adjustRightInd/>
              <w:spacing w:line="240" w:lineRule="auto"/>
              <w:jc w:val="center"/>
              <w:rPr>
                <w:color w:val="auto"/>
                <w:szCs w:val="22"/>
              </w:rPr>
            </w:pPr>
          </w:p>
        </w:tc>
        <w:tc>
          <w:tcPr>
            <w:tcW w:w="659" w:type="pct"/>
            <w:shd w:val="clear" w:color="auto" w:fill="auto"/>
            <w:vAlign w:val="center"/>
            <w:hideMark/>
          </w:tcPr>
          <w:p w14:paraId="1632955A" w14:textId="77777777" w:rsidR="00164E10" w:rsidRPr="00124E7F" w:rsidRDefault="00164E10" w:rsidP="007A2942">
            <w:pPr>
              <w:widowControl/>
              <w:autoSpaceDE/>
              <w:autoSpaceDN/>
              <w:adjustRightInd/>
              <w:spacing w:line="240" w:lineRule="auto"/>
              <w:jc w:val="center"/>
              <w:rPr>
                <w:color w:val="auto"/>
                <w:szCs w:val="22"/>
              </w:rPr>
            </w:pPr>
            <w:r w:rsidRPr="00124E7F">
              <w:rPr>
                <w:color w:val="auto"/>
                <w:szCs w:val="22"/>
              </w:rPr>
              <w:t>0</w:t>
            </w:r>
          </w:p>
        </w:tc>
      </w:tr>
      <w:tr w:rsidR="004213AE" w:rsidRPr="00124E7F" w14:paraId="30203389" w14:textId="77777777" w:rsidTr="00164E10">
        <w:trPr>
          <w:cnfStyle w:val="000000100000" w:firstRow="0" w:lastRow="0" w:firstColumn="0" w:lastColumn="0" w:oddVBand="0" w:evenVBand="0" w:oddHBand="1" w:evenHBand="0" w:firstRowFirstColumn="0" w:firstRowLastColumn="0" w:lastRowFirstColumn="0" w:lastRowLastColumn="0"/>
          <w:trHeight w:val="584"/>
        </w:trPr>
        <w:tc>
          <w:tcPr>
            <w:tcW w:w="709" w:type="pct"/>
            <w:shd w:val="clear" w:color="auto" w:fill="auto"/>
            <w:vAlign w:val="center"/>
            <w:hideMark/>
          </w:tcPr>
          <w:p w14:paraId="4649A3D9" w14:textId="77777777" w:rsidR="00164E10" w:rsidRPr="00124E7F" w:rsidRDefault="00164E10" w:rsidP="00D21857">
            <w:pPr>
              <w:widowControl/>
              <w:autoSpaceDE/>
              <w:autoSpaceDN/>
              <w:adjustRightInd/>
              <w:spacing w:line="240" w:lineRule="auto"/>
              <w:rPr>
                <w:color w:val="auto"/>
                <w:szCs w:val="22"/>
              </w:rPr>
            </w:pPr>
            <w:r w:rsidRPr="00124E7F">
              <w:rPr>
                <w:color w:val="auto"/>
                <w:szCs w:val="22"/>
              </w:rPr>
              <w:t>Enhanced use of existing works</w:t>
            </w:r>
          </w:p>
        </w:tc>
        <w:tc>
          <w:tcPr>
            <w:tcW w:w="516" w:type="pct"/>
            <w:shd w:val="clear" w:color="auto" w:fill="auto"/>
            <w:vAlign w:val="center"/>
            <w:hideMark/>
          </w:tcPr>
          <w:p w14:paraId="121F9394" w14:textId="77777777" w:rsidR="00164E10" w:rsidRPr="00124E7F" w:rsidRDefault="00164E10" w:rsidP="007A2942">
            <w:pPr>
              <w:widowControl/>
              <w:autoSpaceDE/>
              <w:autoSpaceDN/>
              <w:adjustRightInd/>
              <w:spacing w:line="240" w:lineRule="auto"/>
              <w:jc w:val="center"/>
              <w:rPr>
                <w:color w:val="auto"/>
                <w:szCs w:val="22"/>
              </w:rPr>
            </w:pPr>
            <w:r w:rsidRPr="00124E7F">
              <w:rPr>
                <w:color w:val="auto"/>
                <w:szCs w:val="22"/>
              </w:rPr>
              <w:t>?+</w:t>
            </w:r>
          </w:p>
        </w:tc>
        <w:tc>
          <w:tcPr>
            <w:tcW w:w="451" w:type="pct"/>
            <w:shd w:val="clear" w:color="auto" w:fill="auto"/>
            <w:vAlign w:val="center"/>
            <w:hideMark/>
          </w:tcPr>
          <w:p w14:paraId="606D3CC7" w14:textId="77777777" w:rsidR="00164E10" w:rsidRPr="00124E7F" w:rsidRDefault="00164E10" w:rsidP="007A2942">
            <w:pPr>
              <w:widowControl/>
              <w:autoSpaceDE/>
              <w:autoSpaceDN/>
              <w:adjustRightInd/>
              <w:spacing w:line="240" w:lineRule="auto"/>
              <w:jc w:val="center"/>
              <w:rPr>
                <w:color w:val="auto"/>
                <w:szCs w:val="22"/>
              </w:rPr>
            </w:pPr>
            <w:r w:rsidRPr="00124E7F">
              <w:rPr>
                <w:color w:val="auto"/>
                <w:szCs w:val="22"/>
              </w:rPr>
              <w:t>?+</w:t>
            </w:r>
          </w:p>
        </w:tc>
        <w:tc>
          <w:tcPr>
            <w:tcW w:w="585" w:type="pct"/>
            <w:shd w:val="clear" w:color="auto" w:fill="auto"/>
            <w:vAlign w:val="center"/>
            <w:hideMark/>
          </w:tcPr>
          <w:p w14:paraId="59C177FB" w14:textId="77777777" w:rsidR="00164E10" w:rsidRPr="00124E7F" w:rsidRDefault="00164E10">
            <w:pPr>
              <w:spacing w:line="240" w:lineRule="auto"/>
              <w:jc w:val="center"/>
              <w:rPr>
                <w:color w:val="auto"/>
                <w:szCs w:val="22"/>
              </w:rPr>
            </w:pPr>
            <w:r w:rsidRPr="00124E7F">
              <w:rPr>
                <w:color w:val="auto"/>
                <w:szCs w:val="22"/>
              </w:rPr>
              <w:t>?+</w:t>
            </w:r>
          </w:p>
        </w:tc>
        <w:tc>
          <w:tcPr>
            <w:tcW w:w="558" w:type="pct"/>
            <w:shd w:val="clear" w:color="auto" w:fill="auto"/>
            <w:vAlign w:val="center"/>
            <w:hideMark/>
          </w:tcPr>
          <w:p w14:paraId="6E24C248" w14:textId="77777777" w:rsidR="00164E10" w:rsidRPr="00124E7F" w:rsidRDefault="00164E10" w:rsidP="007A2942">
            <w:pPr>
              <w:widowControl/>
              <w:autoSpaceDE/>
              <w:autoSpaceDN/>
              <w:adjustRightInd/>
              <w:spacing w:line="240" w:lineRule="auto"/>
              <w:jc w:val="center"/>
              <w:rPr>
                <w:color w:val="auto"/>
                <w:szCs w:val="22"/>
              </w:rPr>
            </w:pPr>
            <w:r w:rsidRPr="00124E7F">
              <w:rPr>
                <w:color w:val="auto"/>
                <w:szCs w:val="22"/>
              </w:rPr>
              <w:t>?+</w:t>
            </w:r>
          </w:p>
        </w:tc>
        <w:tc>
          <w:tcPr>
            <w:tcW w:w="514" w:type="pct"/>
            <w:shd w:val="clear" w:color="auto" w:fill="auto"/>
            <w:vAlign w:val="center"/>
          </w:tcPr>
          <w:p w14:paraId="133E25CA" w14:textId="77777777" w:rsidR="00164E10" w:rsidRPr="00124E7F" w:rsidRDefault="00164E10" w:rsidP="007A2942">
            <w:pPr>
              <w:widowControl/>
              <w:autoSpaceDE/>
              <w:autoSpaceDN/>
              <w:adjustRightInd/>
              <w:spacing w:line="240" w:lineRule="auto"/>
              <w:jc w:val="center"/>
              <w:rPr>
                <w:color w:val="auto"/>
                <w:szCs w:val="22"/>
              </w:rPr>
            </w:pPr>
            <w:r w:rsidRPr="00124E7F">
              <w:rPr>
                <w:color w:val="auto"/>
                <w:szCs w:val="22"/>
              </w:rPr>
              <w:t>0</w:t>
            </w:r>
          </w:p>
        </w:tc>
        <w:tc>
          <w:tcPr>
            <w:tcW w:w="519" w:type="pct"/>
            <w:shd w:val="clear" w:color="auto" w:fill="auto"/>
            <w:vAlign w:val="center"/>
            <w:hideMark/>
          </w:tcPr>
          <w:p w14:paraId="523C83EF" w14:textId="77777777" w:rsidR="00164E10" w:rsidRPr="00124E7F" w:rsidRDefault="00164E10" w:rsidP="007A2942">
            <w:pPr>
              <w:widowControl/>
              <w:autoSpaceDE/>
              <w:autoSpaceDN/>
              <w:adjustRightInd/>
              <w:spacing w:line="240" w:lineRule="auto"/>
              <w:jc w:val="center"/>
              <w:rPr>
                <w:color w:val="auto"/>
                <w:szCs w:val="22"/>
              </w:rPr>
            </w:pPr>
            <w:r w:rsidRPr="00124E7F">
              <w:rPr>
                <w:color w:val="auto"/>
                <w:szCs w:val="22"/>
              </w:rPr>
              <w:t>+</w:t>
            </w:r>
          </w:p>
        </w:tc>
        <w:tc>
          <w:tcPr>
            <w:tcW w:w="489" w:type="pct"/>
            <w:shd w:val="clear" w:color="auto" w:fill="auto"/>
            <w:vAlign w:val="center"/>
          </w:tcPr>
          <w:p w14:paraId="769E4196" w14:textId="77777777" w:rsidR="00164E10" w:rsidRPr="00124E7F" w:rsidRDefault="00164E10" w:rsidP="007A2942">
            <w:pPr>
              <w:widowControl/>
              <w:autoSpaceDE/>
              <w:autoSpaceDN/>
              <w:adjustRightInd/>
              <w:spacing w:line="240" w:lineRule="auto"/>
              <w:jc w:val="center"/>
              <w:rPr>
                <w:color w:val="auto"/>
                <w:szCs w:val="22"/>
              </w:rPr>
            </w:pPr>
          </w:p>
        </w:tc>
        <w:tc>
          <w:tcPr>
            <w:tcW w:w="659" w:type="pct"/>
            <w:shd w:val="clear" w:color="auto" w:fill="auto"/>
            <w:vAlign w:val="center"/>
            <w:hideMark/>
          </w:tcPr>
          <w:p w14:paraId="3047088F" w14:textId="77777777" w:rsidR="00164E10" w:rsidRPr="00124E7F" w:rsidRDefault="00164E10" w:rsidP="007A2942">
            <w:pPr>
              <w:widowControl/>
              <w:autoSpaceDE/>
              <w:autoSpaceDN/>
              <w:adjustRightInd/>
              <w:spacing w:line="240" w:lineRule="auto"/>
              <w:jc w:val="center"/>
              <w:rPr>
                <w:color w:val="auto"/>
                <w:szCs w:val="22"/>
              </w:rPr>
            </w:pPr>
            <w:r w:rsidRPr="00124E7F">
              <w:rPr>
                <w:color w:val="auto"/>
                <w:szCs w:val="22"/>
              </w:rPr>
              <w:t>+</w:t>
            </w:r>
          </w:p>
        </w:tc>
      </w:tr>
      <w:tr w:rsidR="004213AE" w:rsidRPr="00124E7F" w14:paraId="677E6F79" w14:textId="77777777" w:rsidTr="00164E10">
        <w:trPr>
          <w:trHeight w:val="584"/>
        </w:trPr>
        <w:tc>
          <w:tcPr>
            <w:tcW w:w="709" w:type="pct"/>
            <w:tcBorders>
              <w:bottom w:val="single" w:sz="4" w:space="0" w:color="808080" w:themeColor="background1" w:themeShade="80"/>
            </w:tcBorders>
            <w:shd w:val="clear" w:color="auto" w:fill="auto"/>
            <w:vAlign w:val="center"/>
            <w:hideMark/>
          </w:tcPr>
          <w:p w14:paraId="5E65E396" w14:textId="77777777" w:rsidR="00164E10" w:rsidRPr="00124E7F" w:rsidRDefault="00164E10" w:rsidP="00D21857">
            <w:pPr>
              <w:widowControl/>
              <w:autoSpaceDE/>
              <w:autoSpaceDN/>
              <w:adjustRightInd/>
              <w:spacing w:line="240" w:lineRule="auto"/>
              <w:rPr>
                <w:color w:val="auto"/>
                <w:szCs w:val="22"/>
              </w:rPr>
            </w:pPr>
            <w:r w:rsidRPr="00124E7F">
              <w:rPr>
                <w:color w:val="auto"/>
                <w:szCs w:val="22"/>
              </w:rPr>
              <w:t>Economic and societal benefits</w:t>
            </w:r>
          </w:p>
        </w:tc>
        <w:tc>
          <w:tcPr>
            <w:tcW w:w="516" w:type="pct"/>
            <w:tcBorders>
              <w:bottom w:val="single" w:sz="4" w:space="0" w:color="808080" w:themeColor="background1" w:themeShade="80"/>
            </w:tcBorders>
            <w:shd w:val="clear" w:color="auto" w:fill="auto"/>
            <w:vAlign w:val="center"/>
            <w:hideMark/>
          </w:tcPr>
          <w:p w14:paraId="05D8E303" w14:textId="77777777" w:rsidR="00164E10" w:rsidRPr="00124E7F" w:rsidRDefault="00164E10" w:rsidP="007A2942">
            <w:pPr>
              <w:widowControl/>
              <w:autoSpaceDE/>
              <w:autoSpaceDN/>
              <w:adjustRightInd/>
              <w:spacing w:line="240" w:lineRule="auto"/>
              <w:jc w:val="center"/>
              <w:rPr>
                <w:color w:val="auto"/>
                <w:szCs w:val="22"/>
              </w:rPr>
            </w:pPr>
            <w:r w:rsidRPr="00124E7F">
              <w:rPr>
                <w:color w:val="auto"/>
                <w:szCs w:val="22"/>
              </w:rPr>
              <w:t>0</w:t>
            </w:r>
          </w:p>
        </w:tc>
        <w:tc>
          <w:tcPr>
            <w:tcW w:w="451" w:type="pct"/>
            <w:tcBorders>
              <w:bottom w:val="single" w:sz="4" w:space="0" w:color="808080" w:themeColor="background1" w:themeShade="80"/>
            </w:tcBorders>
            <w:shd w:val="clear" w:color="auto" w:fill="auto"/>
            <w:vAlign w:val="center"/>
            <w:hideMark/>
          </w:tcPr>
          <w:p w14:paraId="6C89A4AE" w14:textId="77777777" w:rsidR="00164E10" w:rsidRPr="00124E7F" w:rsidRDefault="00164E10" w:rsidP="007A2942">
            <w:pPr>
              <w:widowControl/>
              <w:autoSpaceDE/>
              <w:autoSpaceDN/>
              <w:adjustRightInd/>
              <w:spacing w:line="240" w:lineRule="auto"/>
              <w:jc w:val="center"/>
              <w:rPr>
                <w:color w:val="auto"/>
                <w:szCs w:val="22"/>
              </w:rPr>
            </w:pPr>
            <w:r w:rsidRPr="00124E7F">
              <w:rPr>
                <w:color w:val="auto"/>
                <w:szCs w:val="22"/>
              </w:rPr>
              <w:t>?+</w:t>
            </w:r>
          </w:p>
        </w:tc>
        <w:tc>
          <w:tcPr>
            <w:tcW w:w="585" w:type="pct"/>
            <w:tcBorders>
              <w:bottom w:val="single" w:sz="4" w:space="0" w:color="808080" w:themeColor="background1" w:themeShade="80"/>
            </w:tcBorders>
            <w:shd w:val="clear" w:color="auto" w:fill="auto"/>
            <w:vAlign w:val="center"/>
            <w:hideMark/>
          </w:tcPr>
          <w:p w14:paraId="777FA90F" w14:textId="77777777" w:rsidR="00164E10" w:rsidRPr="00124E7F" w:rsidRDefault="00164E10">
            <w:pPr>
              <w:spacing w:line="240" w:lineRule="auto"/>
              <w:jc w:val="center"/>
              <w:rPr>
                <w:color w:val="auto"/>
                <w:szCs w:val="22"/>
              </w:rPr>
            </w:pPr>
            <w:r w:rsidRPr="00124E7F">
              <w:rPr>
                <w:color w:val="auto"/>
                <w:szCs w:val="22"/>
              </w:rPr>
              <w:t>?+</w:t>
            </w:r>
          </w:p>
        </w:tc>
        <w:tc>
          <w:tcPr>
            <w:tcW w:w="558" w:type="pct"/>
            <w:tcBorders>
              <w:bottom w:val="single" w:sz="4" w:space="0" w:color="808080" w:themeColor="background1" w:themeShade="80"/>
            </w:tcBorders>
            <w:shd w:val="clear" w:color="auto" w:fill="auto"/>
            <w:vAlign w:val="center"/>
            <w:hideMark/>
          </w:tcPr>
          <w:p w14:paraId="77859C68" w14:textId="77777777" w:rsidR="00164E10" w:rsidRPr="00124E7F" w:rsidRDefault="00164E10" w:rsidP="007A2942">
            <w:pPr>
              <w:widowControl/>
              <w:autoSpaceDE/>
              <w:autoSpaceDN/>
              <w:adjustRightInd/>
              <w:spacing w:line="240" w:lineRule="auto"/>
              <w:jc w:val="center"/>
              <w:rPr>
                <w:color w:val="auto"/>
                <w:szCs w:val="22"/>
              </w:rPr>
            </w:pPr>
            <w:r w:rsidRPr="00124E7F">
              <w:rPr>
                <w:color w:val="auto"/>
                <w:szCs w:val="22"/>
              </w:rPr>
              <w:t>?+</w:t>
            </w:r>
          </w:p>
        </w:tc>
        <w:tc>
          <w:tcPr>
            <w:tcW w:w="514" w:type="pct"/>
            <w:tcBorders>
              <w:bottom w:val="single" w:sz="4" w:space="0" w:color="808080" w:themeColor="background1" w:themeShade="80"/>
            </w:tcBorders>
            <w:shd w:val="clear" w:color="auto" w:fill="auto"/>
            <w:vAlign w:val="center"/>
          </w:tcPr>
          <w:p w14:paraId="5BCE3AA4" w14:textId="77777777" w:rsidR="00164E10" w:rsidRPr="00124E7F" w:rsidRDefault="00164E10" w:rsidP="007A2942">
            <w:pPr>
              <w:widowControl/>
              <w:autoSpaceDE/>
              <w:autoSpaceDN/>
              <w:adjustRightInd/>
              <w:spacing w:line="240" w:lineRule="auto"/>
              <w:jc w:val="center"/>
              <w:rPr>
                <w:color w:val="auto"/>
                <w:szCs w:val="22"/>
              </w:rPr>
            </w:pPr>
            <w:r w:rsidRPr="00124E7F">
              <w:rPr>
                <w:color w:val="auto"/>
                <w:szCs w:val="22"/>
              </w:rPr>
              <w:t>0</w:t>
            </w:r>
          </w:p>
        </w:tc>
        <w:tc>
          <w:tcPr>
            <w:tcW w:w="519" w:type="pct"/>
            <w:tcBorders>
              <w:bottom w:val="single" w:sz="4" w:space="0" w:color="808080" w:themeColor="background1" w:themeShade="80"/>
            </w:tcBorders>
            <w:shd w:val="clear" w:color="auto" w:fill="auto"/>
            <w:vAlign w:val="center"/>
            <w:hideMark/>
          </w:tcPr>
          <w:p w14:paraId="11AC7EF9" w14:textId="77777777" w:rsidR="00164E10" w:rsidRPr="00124E7F" w:rsidRDefault="00164E10" w:rsidP="007A2942">
            <w:pPr>
              <w:widowControl/>
              <w:autoSpaceDE/>
              <w:autoSpaceDN/>
              <w:adjustRightInd/>
              <w:spacing w:line="240" w:lineRule="auto"/>
              <w:jc w:val="center"/>
              <w:rPr>
                <w:color w:val="auto"/>
                <w:szCs w:val="22"/>
              </w:rPr>
            </w:pPr>
            <w:r w:rsidRPr="00124E7F">
              <w:rPr>
                <w:color w:val="auto"/>
                <w:szCs w:val="22"/>
              </w:rPr>
              <w:t>+</w:t>
            </w:r>
          </w:p>
        </w:tc>
        <w:tc>
          <w:tcPr>
            <w:tcW w:w="489" w:type="pct"/>
            <w:tcBorders>
              <w:bottom w:val="single" w:sz="4" w:space="0" w:color="808080" w:themeColor="background1" w:themeShade="80"/>
            </w:tcBorders>
            <w:shd w:val="clear" w:color="auto" w:fill="auto"/>
            <w:vAlign w:val="center"/>
          </w:tcPr>
          <w:p w14:paraId="218FBE52" w14:textId="77777777" w:rsidR="00164E10" w:rsidRPr="00124E7F" w:rsidRDefault="00164E10" w:rsidP="007A2942">
            <w:pPr>
              <w:widowControl/>
              <w:autoSpaceDE/>
              <w:autoSpaceDN/>
              <w:adjustRightInd/>
              <w:spacing w:line="240" w:lineRule="auto"/>
              <w:jc w:val="center"/>
              <w:rPr>
                <w:color w:val="auto"/>
                <w:szCs w:val="22"/>
              </w:rPr>
            </w:pPr>
          </w:p>
        </w:tc>
        <w:tc>
          <w:tcPr>
            <w:tcW w:w="659" w:type="pct"/>
            <w:tcBorders>
              <w:bottom w:val="single" w:sz="4" w:space="0" w:color="808080" w:themeColor="background1" w:themeShade="80"/>
            </w:tcBorders>
            <w:shd w:val="clear" w:color="auto" w:fill="auto"/>
            <w:vAlign w:val="center"/>
            <w:hideMark/>
          </w:tcPr>
          <w:p w14:paraId="22851B8B" w14:textId="77777777" w:rsidR="00164E10" w:rsidRPr="00124E7F" w:rsidRDefault="00164E10" w:rsidP="007A2942">
            <w:pPr>
              <w:widowControl/>
              <w:autoSpaceDE/>
              <w:autoSpaceDN/>
              <w:adjustRightInd/>
              <w:spacing w:line="240" w:lineRule="auto"/>
              <w:jc w:val="center"/>
              <w:rPr>
                <w:color w:val="auto"/>
                <w:szCs w:val="22"/>
              </w:rPr>
            </w:pPr>
            <w:r w:rsidRPr="00124E7F">
              <w:rPr>
                <w:color w:val="auto"/>
                <w:szCs w:val="22"/>
              </w:rPr>
              <w:t>+</w:t>
            </w:r>
          </w:p>
        </w:tc>
      </w:tr>
      <w:tr w:rsidR="004213AE" w:rsidRPr="00124E7F" w14:paraId="6C86C320" w14:textId="77777777" w:rsidTr="00F07D6B">
        <w:trPr>
          <w:cnfStyle w:val="000000100000" w:firstRow="0" w:lastRow="0" w:firstColumn="0" w:lastColumn="0" w:oddVBand="0" w:evenVBand="0" w:oddHBand="1" w:evenHBand="0" w:firstRowFirstColumn="0" w:firstRowLastColumn="0" w:lastRowFirstColumn="0" w:lastRowLastColumn="0"/>
          <w:trHeight w:val="397"/>
        </w:trPr>
        <w:tc>
          <w:tcPr>
            <w:tcW w:w="709" w:type="pct"/>
            <w:tcBorders>
              <w:top w:val="single" w:sz="4" w:space="0" w:color="808080" w:themeColor="background1" w:themeShade="80"/>
              <w:bottom w:val="single" w:sz="4" w:space="0" w:color="808080" w:themeColor="background1" w:themeShade="80"/>
            </w:tcBorders>
            <w:shd w:val="clear" w:color="auto" w:fill="E5E5E5" w:themeFill="accent1" w:themeFillTint="33"/>
            <w:vAlign w:val="center"/>
          </w:tcPr>
          <w:p w14:paraId="788755D6" w14:textId="77777777" w:rsidR="00A95B66" w:rsidRPr="00202E68" w:rsidRDefault="00A95B66" w:rsidP="00D21857">
            <w:pPr>
              <w:widowControl/>
              <w:autoSpaceDE/>
              <w:autoSpaceDN/>
              <w:adjustRightInd/>
              <w:spacing w:line="240" w:lineRule="auto"/>
              <w:rPr>
                <w:b/>
                <w:color w:val="auto"/>
                <w:szCs w:val="22"/>
              </w:rPr>
            </w:pPr>
            <w:r w:rsidRPr="00124E7F">
              <w:rPr>
                <w:b/>
                <w:color w:val="auto"/>
                <w:szCs w:val="22"/>
              </w:rPr>
              <w:t xml:space="preserve">Net expected </w:t>
            </w:r>
            <w:r w:rsidRPr="004213AE">
              <w:rPr>
                <w:b/>
                <w:color w:val="auto"/>
                <w:szCs w:val="22"/>
              </w:rPr>
              <w:t>impact:</w:t>
            </w:r>
          </w:p>
        </w:tc>
        <w:tc>
          <w:tcPr>
            <w:tcW w:w="516" w:type="pct"/>
            <w:tcBorders>
              <w:top w:val="single" w:sz="4" w:space="0" w:color="808080" w:themeColor="background1" w:themeShade="80"/>
              <w:bottom w:val="single" w:sz="4" w:space="0" w:color="808080" w:themeColor="background1" w:themeShade="80"/>
            </w:tcBorders>
            <w:shd w:val="clear" w:color="auto" w:fill="E5E5E5" w:themeFill="accent1" w:themeFillTint="33"/>
            <w:vAlign w:val="center"/>
          </w:tcPr>
          <w:p w14:paraId="7AF4ED9F" w14:textId="77777777" w:rsidR="00A95B66" w:rsidRPr="00202E68" w:rsidRDefault="00A95B66" w:rsidP="007A2942">
            <w:pPr>
              <w:widowControl/>
              <w:autoSpaceDE/>
              <w:autoSpaceDN/>
              <w:adjustRightInd/>
              <w:spacing w:line="240" w:lineRule="auto"/>
              <w:jc w:val="center"/>
              <w:rPr>
                <w:b/>
                <w:color w:val="auto"/>
                <w:szCs w:val="22"/>
              </w:rPr>
            </w:pPr>
            <w:r w:rsidRPr="004213AE">
              <w:rPr>
                <w:b/>
                <w:color w:val="auto"/>
                <w:szCs w:val="22"/>
              </w:rPr>
              <w:t>Positive, not strong</w:t>
            </w:r>
          </w:p>
        </w:tc>
        <w:tc>
          <w:tcPr>
            <w:tcW w:w="451" w:type="pct"/>
            <w:tcBorders>
              <w:top w:val="single" w:sz="4" w:space="0" w:color="808080" w:themeColor="background1" w:themeShade="80"/>
              <w:bottom w:val="single" w:sz="4" w:space="0" w:color="808080" w:themeColor="background1" w:themeShade="80"/>
            </w:tcBorders>
            <w:shd w:val="clear" w:color="auto" w:fill="E5E5E5" w:themeFill="accent1" w:themeFillTint="33"/>
            <w:vAlign w:val="center"/>
          </w:tcPr>
          <w:p w14:paraId="214CE8C5" w14:textId="77777777" w:rsidR="00A95B66" w:rsidRPr="00202E68" w:rsidRDefault="00A95B66" w:rsidP="007A2942">
            <w:pPr>
              <w:widowControl/>
              <w:autoSpaceDE/>
              <w:autoSpaceDN/>
              <w:adjustRightInd/>
              <w:spacing w:line="240" w:lineRule="auto"/>
              <w:jc w:val="center"/>
              <w:rPr>
                <w:b/>
                <w:color w:val="auto"/>
                <w:szCs w:val="22"/>
              </w:rPr>
            </w:pPr>
            <w:r w:rsidRPr="004213AE">
              <w:rPr>
                <w:b/>
                <w:color w:val="auto"/>
                <w:szCs w:val="22"/>
              </w:rPr>
              <w:t>Positive, not strong</w:t>
            </w:r>
          </w:p>
        </w:tc>
        <w:tc>
          <w:tcPr>
            <w:tcW w:w="585" w:type="pct"/>
            <w:tcBorders>
              <w:top w:val="single" w:sz="4" w:space="0" w:color="808080" w:themeColor="background1" w:themeShade="80"/>
              <w:bottom w:val="single" w:sz="4" w:space="0" w:color="808080" w:themeColor="background1" w:themeShade="80"/>
            </w:tcBorders>
            <w:shd w:val="clear" w:color="auto" w:fill="E5E5E5" w:themeFill="accent1" w:themeFillTint="33"/>
            <w:vAlign w:val="center"/>
          </w:tcPr>
          <w:p w14:paraId="1E8A98B9" w14:textId="77777777" w:rsidR="00A95B66" w:rsidRPr="00202E68" w:rsidRDefault="00A95B66" w:rsidP="007A2942">
            <w:pPr>
              <w:spacing w:line="240" w:lineRule="auto"/>
              <w:jc w:val="center"/>
              <w:rPr>
                <w:b/>
                <w:color w:val="auto"/>
                <w:szCs w:val="22"/>
              </w:rPr>
            </w:pPr>
            <w:r w:rsidRPr="004213AE">
              <w:rPr>
                <w:b/>
                <w:color w:val="auto"/>
                <w:szCs w:val="22"/>
              </w:rPr>
              <w:t>Positive, not quantifiable</w:t>
            </w:r>
          </w:p>
        </w:tc>
        <w:tc>
          <w:tcPr>
            <w:tcW w:w="558" w:type="pct"/>
            <w:tcBorders>
              <w:top w:val="single" w:sz="4" w:space="0" w:color="808080" w:themeColor="background1" w:themeShade="80"/>
              <w:bottom w:val="single" w:sz="4" w:space="0" w:color="808080" w:themeColor="background1" w:themeShade="80"/>
            </w:tcBorders>
            <w:shd w:val="clear" w:color="auto" w:fill="E5E5E5" w:themeFill="accent1" w:themeFillTint="33"/>
            <w:vAlign w:val="center"/>
          </w:tcPr>
          <w:p w14:paraId="4611ABCD" w14:textId="77777777" w:rsidR="00A95B66" w:rsidRPr="00202E68" w:rsidRDefault="00A95B66" w:rsidP="007A2942">
            <w:pPr>
              <w:widowControl/>
              <w:autoSpaceDE/>
              <w:autoSpaceDN/>
              <w:adjustRightInd/>
              <w:spacing w:line="240" w:lineRule="auto"/>
              <w:jc w:val="center"/>
              <w:rPr>
                <w:b/>
                <w:color w:val="auto"/>
                <w:szCs w:val="22"/>
              </w:rPr>
            </w:pPr>
            <w:r w:rsidRPr="004213AE">
              <w:rPr>
                <w:b/>
                <w:color w:val="auto"/>
                <w:szCs w:val="22"/>
              </w:rPr>
              <w:t>Ambiguous</w:t>
            </w:r>
          </w:p>
        </w:tc>
        <w:tc>
          <w:tcPr>
            <w:tcW w:w="514" w:type="pct"/>
            <w:tcBorders>
              <w:top w:val="single" w:sz="4" w:space="0" w:color="808080" w:themeColor="background1" w:themeShade="80"/>
              <w:bottom w:val="single" w:sz="4" w:space="0" w:color="808080" w:themeColor="background1" w:themeShade="80"/>
            </w:tcBorders>
            <w:shd w:val="clear" w:color="auto" w:fill="E5E5E5" w:themeFill="accent1" w:themeFillTint="33"/>
            <w:vAlign w:val="center"/>
          </w:tcPr>
          <w:p w14:paraId="2EF8B2F6" w14:textId="77777777" w:rsidR="00A95B66" w:rsidRPr="00202E68" w:rsidRDefault="00A95B66" w:rsidP="007A2942">
            <w:pPr>
              <w:widowControl/>
              <w:autoSpaceDE/>
              <w:autoSpaceDN/>
              <w:adjustRightInd/>
              <w:spacing w:line="240" w:lineRule="auto"/>
              <w:jc w:val="center"/>
              <w:rPr>
                <w:b/>
                <w:color w:val="auto"/>
                <w:szCs w:val="22"/>
              </w:rPr>
            </w:pPr>
            <w:r w:rsidRPr="004213AE">
              <w:rPr>
                <w:b/>
                <w:color w:val="auto"/>
                <w:szCs w:val="22"/>
              </w:rPr>
              <w:t>Negligible effect</w:t>
            </w:r>
          </w:p>
        </w:tc>
        <w:tc>
          <w:tcPr>
            <w:tcW w:w="519" w:type="pct"/>
            <w:tcBorders>
              <w:top w:val="single" w:sz="4" w:space="0" w:color="808080" w:themeColor="background1" w:themeShade="80"/>
              <w:bottom w:val="single" w:sz="4" w:space="0" w:color="808080" w:themeColor="background1" w:themeShade="80"/>
            </w:tcBorders>
            <w:shd w:val="clear" w:color="auto" w:fill="E5E5E5" w:themeFill="accent1" w:themeFillTint="33"/>
            <w:vAlign w:val="center"/>
          </w:tcPr>
          <w:p w14:paraId="15F658E4" w14:textId="77777777" w:rsidR="00A95B66" w:rsidRPr="00202E68" w:rsidRDefault="00A95B66" w:rsidP="007A2942">
            <w:pPr>
              <w:widowControl/>
              <w:autoSpaceDE/>
              <w:autoSpaceDN/>
              <w:adjustRightInd/>
              <w:spacing w:line="240" w:lineRule="auto"/>
              <w:jc w:val="center"/>
              <w:rPr>
                <w:b/>
                <w:color w:val="auto"/>
                <w:szCs w:val="22"/>
              </w:rPr>
            </w:pPr>
            <w:r w:rsidRPr="004213AE">
              <w:rPr>
                <w:b/>
                <w:color w:val="auto"/>
                <w:szCs w:val="22"/>
              </w:rPr>
              <w:t>Positive</w:t>
            </w:r>
          </w:p>
        </w:tc>
        <w:tc>
          <w:tcPr>
            <w:tcW w:w="489" w:type="pct"/>
            <w:tcBorders>
              <w:top w:val="single" w:sz="4" w:space="0" w:color="808080" w:themeColor="background1" w:themeShade="80"/>
              <w:bottom w:val="single" w:sz="4" w:space="0" w:color="808080" w:themeColor="background1" w:themeShade="80"/>
            </w:tcBorders>
            <w:shd w:val="clear" w:color="auto" w:fill="E5E5E5" w:themeFill="accent1" w:themeFillTint="33"/>
            <w:vAlign w:val="center"/>
          </w:tcPr>
          <w:p w14:paraId="26BCEE48" w14:textId="77777777" w:rsidR="00A95B66" w:rsidRPr="00202E68" w:rsidRDefault="00A95B66" w:rsidP="007A2942">
            <w:pPr>
              <w:widowControl/>
              <w:autoSpaceDE/>
              <w:autoSpaceDN/>
              <w:adjustRightInd/>
              <w:spacing w:line="240" w:lineRule="auto"/>
              <w:jc w:val="center"/>
              <w:rPr>
                <w:b/>
                <w:color w:val="auto"/>
                <w:szCs w:val="22"/>
              </w:rPr>
            </w:pPr>
            <w:r w:rsidRPr="004213AE">
              <w:rPr>
                <w:b/>
                <w:color w:val="auto"/>
                <w:szCs w:val="22"/>
              </w:rPr>
              <w:t>No effect</w:t>
            </w:r>
          </w:p>
        </w:tc>
        <w:tc>
          <w:tcPr>
            <w:tcW w:w="659" w:type="pct"/>
            <w:tcBorders>
              <w:top w:val="single" w:sz="4" w:space="0" w:color="808080" w:themeColor="background1" w:themeShade="80"/>
              <w:bottom w:val="single" w:sz="4" w:space="0" w:color="808080" w:themeColor="background1" w:themeShade="80"/>
            </w:tcBorders>
            <w:shd w:val="clear" w:color="auto" w:fill="E5E5E5" w:themeFill="accent1" w:themeFillTint="33"/>
            <w:vAlign w:val="center"/>
          </w:tcPr>
          <w:p w14:paraId="390E16A0" w14:textId="77777777" w:rsidR="00A95B66" w:rsidRPr="00202E68" w:rsidRDefault="00A95B66" w:rsidP="007A2942">
            <w:pPr>
              <w:widowControl/>
              <w:autoSpaceDE/>
              <w:autoSpaceDN/>
              <w:adjustRightInd/>
              <w:spacing w:line="240" w:lineRule="auto"/>
              <w:jc w:val="center"/>
              <w:rPr>
                <w:b/>
                <w:color w:val="auto"/>
                <w:szCs w:val="22"/>
              </w:rPr>
            </w:pPr>
            <w:r w:rsidRPr="004213AE">
              <w:rPr>
                <w:b/>
                <w:color w:val="auto"/>
                <w:szCs w:val="22"/>
              </w:rPr>
              <w:t>Positive</w:t>
            </w:r>
          </w:p>
        </w:tc>
      </w:tr>
    </w:tbl>
    <w:p w14:paraId="08F89C03" w14:textId="77777777" w:rsidR="00BB69D1" w:rsidRPr="00124E7F" w:rsidRDefault="00BB69D1">
      <w:pPr>
        <w:widowControl/>
        <w:autoSpaceDE/>
        <w:autoSpaceDN/>
        <w:adjustRightInd/>
        <w:spacing w:line="240" w:lineRule="auto"/>
      </w:pPr>
    </w:p>
    <w:p w14:paraId="4485DC75" w14:textId="77777777" w:rsidR="003C6C2C" w:rsidRPr="00124E7F" w:rsidRDefault="003C6C2C" w:rsidP="00D21857">
      <w:pPr>
        <w:pStyle w:val="Caption"/>
        <w:keepNext/>
        <w:spacing w:after="120"/>
        <w:rPr>
          <w:sz w:val="22"/>
          <w:szCs w:val="22"/>
        </w:rPr>
      </w:pPr>
      <w:r w:rsidRPr="00124E7F">
        <w:rPr>
          <w:sz w:val="22"/>
          <w:szCs w:val="22"/>
        </w:rPr>
        <w:t>Key to potential magnitude of impact</w:t>
      </w:r>
    </w:p>
    <w:tbl>
      <w:tblPr>
        <w:tblStyle w:val="TableGrid"/>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4A0" w:firstRow="1" w:lastRow="0" w:firstColumn="1" w:lastColumn="0" w:noHBand="0" w:noVBand="1"/>
        <w:tblCaption w:val="Key to potential magnitude of impact"/>
        <w:tblDescription w:val="This is a key to the impacts of Table 1, explained above. For example, a “+” in a cell indicates that a policy option is likely to have a positive impact on the given stakeholder for the given time-span considered. In some cases, it is difficult to conclude on the direction and/or magnitude of the impact. This is signified by a question mark. Hence, the signs “?+” and “?-“ should be interpreted as limited or possible, respectively, positive and negative effects. A solitary question mark indicates an ambiguous impact. A “0” indicates nil or negligible impacts.   Finally, where we have been able to quantify impacts, this is identified in the grey cells. "/>
      </w:tblPr>
      <w:tblGrid>
        <w:gridCol w:w="1020"/>
        <w:gridCol w:w="5837"/>
        <w:gridCol w:w="1294"/>
        <w:gridCol w:w="6099"/>
      </w:tblGrid>
      <w:tr w:rsidR="004213AE" w:rsidRPr="00124E7F" w14:paraId="582AE0E4" w14:textId="77777777" w:rsidTr="00202E68">
        <w:trPr>
          <w:tblHeader/>
        </w:trPr>
        <w:tc>
          <w:tcPr>
            <w:tcW w:w="358" w:type="pct"/>
            <w:tcBorders>
              <w:top w:val="single" w:sz="4" w:space="0" w:color="999999"/>
              <w:left w:val="single" w:sz="4" w:space="0" w:color="999999"/>
              <w:bottom w:val="single" w:sz="4" w:space="0" w:color="999999"/>
              <w:right w:val="single" w:sz="4" w:space="0" w:color="999999"/>
            </w:tcBorders>
            <w:shd w:val="clear" w:color="auto" w:fill="F0F0F0" w:themeFill="accent4"/>
          </w:tcPr>
          <w:p w14:paraId="5E674546" w14:textId="77777777" w:rsidR="0045000B" w:rsidRPr="00124E7F" w:rsidRDefault="003C6C2C">
            <w:pPr>
              <w:widowControl/>
              <w:autoSpaceDE/>
              <w:autoSpaceDN/>
              <w:adjustRightInd/>
              <w:spacing w:line="240" w:lineRule="auto"/>
              <w:rPr>
                <w:b/>
                <w:bCs/>
              </w:rPr>
            </w:pPr>
            <w:r w:rsidRPr="00124E7F">
              <w:rPr>
                <w:b/>
                <w:bCs/>
              </w:rPr>
              <w:t>Sign</w:t>
            </w:r>
          </w:p>
        </w:tc>
        <w:tc>
          <w:tcPr>
            <w:tcW w:w="2048" w:type="pct"/>
            <w:tcBorders>
              <w:top w:val="single" w:sz="4" w:space="0" w:color="999999"/>
              <w:left w:val="single" w:sz="4" w:space="0" w:color="999999"/>
              <w:bottom w:val="single" w:sz="4" w:space="0" w:color="999999"/>
              <w:right w:val="single" w:sz="4" w:space="0" w:color="999999"/>
            </w:tcBorders>
            <w:shd w:val="clear" w:color="auto" w:fill="F0F0F0" w:themeFill="accent4"/>
          </w:tcPr>
          <w:p w14:paraId="3AD9874A" w14:textId="77777777" w:rsidR="003C6C2C" w:rsidRPr="00124E7F" w:rsidRDefault="003C6C2C">
            <w:pPr>
              <w:widowControl/>
              <w:autoSpaceDE/>
              <w:autoSpaceDN/>
              <w:adjustRightInd/>
              <w:spacing w:line="240" w:lineRule="auto"/>
            </w:pPr>
            <w:r w:rsidRPr="00124E7F">
              <w:rPr>
                <w:b/>
                <w:bCs/>
              </w:rPr>
              <w:t>Key to potential magnitude of impact</w:t>
            </w:r>
          </w:p>
        </w:tc>
        <w:tc>
          <w:tcPr>
            <w:tcW w:w="454" w:type="pct"/>
            <w:tcBorders>
              <w:top w:val="single" w:sz="4" w:space="0" w:color="999999"/>
              <w:left w:val="single" w:sz="4" w:space="0" w:color="999999"/>
              <w:bottom w:val="single" w:sz="4" w:space="0" w:color="999999"/>
              <w:right w:val="single" w:sz="4" w:space="0" w:color="999999"/>
            </w:tcBorders>
            <w:shd w:val="clear" w:color="auto" w:fill="F0F0F0" w:themeFill="accent4"/>
          </w:tcPr>
          <w:p w14:paraId="4627FB33" w14:textId="77777777" w:rsidR="003C6C2C" w:rsidRPr="00124E7F" w:rsidRDefault="003C6C2C">
            <w:pPr>
              <w:widowControl/>
              <w:autoSpaceDE/>
              <w:autoSpaceDN/>
              <w:adjustRightInd/>
              <w:spacing w:line="240" w:lineRule="auto"/>
            </w:pPr>
            <w:r w:rsidRPr="00124E7F">
              <w:rPr>
                <w:b/>
                <w:bCs/>
              </w:rPr>
              <w:t>Sign</w:t>
            </w:r>
          </w:p>
        </w:tc>
        <w:tc>
          <w:tcPr>
            <w:tcW w:w="2140" w:type="pct"/>
            <w:tcBorders>
              <w:top w:val="single" w:sz="4" w:space="0" w:color="999999"/>
              <w:left w:val="single" w:sz="4" w:space="0" w:color="999999"/>
              <w:bottom w:val="single" w:sz="4" w:space="0" w:color="999999"/>
              <w:right w:val="single" w:sz="4" w:space="0" w:color="999999"/>
            </w:tcBorders>
            <w:shd w:val="clear" w:color="auto" w:fill="F0F0F0" w:themeFill="accent4"/>
          </w:tcPr>
          <w:p w14:paraId="06DC9ACA" w14:textId="77777777" w:rsidR="003C6C2C" w:rsidRPr="00124E7F" w:rsidRDefault="003C6C2C">
            <w:pPr>
              <w:widowControl/>
              <w:autoSpaceDE/>
              <w:autoSpaceDN/>
              <w:adjustRightInd/>
              <w:spacing w:line="240" w:lineRule="auto"/>
            </w:pPr>
            <w:r w:rsidRPr="00124E7F">
              <w:rPr>
                <w:b/>
                <w:bCs/>
              </w:rPr>
              <w:t>Key to potential magnitude of impact</w:t>
            </w:r>
          </w:p>
        </w:tc>
      </w:tr>
      <w:tr w:rsidR="004213AE" w:rsidRPr="00124E7F" w14:paraId="640BF831" w14:textId="77777777" w:rsidTr="00A466B3">
        <w:tc>
          <w:tcPr>
            <w:tcW w:w="358" w:type="pct"/>
            <w:tcBorders>
              <w:top w:val="single" w:sz="4" w:space="0" w:color="999999"/>
            </w:tcBorders>
            <w:shd w:val="clear" w:color="auto" w:fill="auto"/>
          </w:tcPr>
          <w:p w14:paraId="00027CCC" w14:textId="77777777" w:rsidR="003C6C2C" w:rsidRPr="00124E7F" w:rsidRDefault="003C6C2C" w:rsidP="003C6C2C">
            <w:pPr>
              <w:widowControl/>
              <w:autoSpaceDE/>
              <w:autoSpaceDN/>
              <w:adjustRightInd/>
              <w:spacing w:line="240" w:lineRule="auto"/>
            </w:pPr>
            <w:r w:rsidRPr="00124E7F">
              <w:t>+</w:t>
            </w:r>
          </w:p>
        </w:tc>
        <w:tc>
          <w:tcPr>
            <w:tcW w:w="2048" w:type="pct"/>
            <w:tcBorders>
              <w:top w:val="single" w:sz="4" w:space="0" w:color="999999"/>
            </w:tcBorders>
            <w:shd w:val="clear" w:color="auto" w:fill="auto"/>
          </w:tcPr>
          <w:p w14:paraId="7A7A5C26" w14:textId="77777777" w:rsidR="003C6C2C" w:rsidRPr="00124E7F" w:rsidRDefault="003C6C2C" w:rsidP="003C6C2C">
            <w:pPr>
              <w:widowControl/>
              <w:autoSpaceDE/>
              <w:autoSpaceDN/>
              <w:adjustRightInd/>
              <w:spacing w:line="240" w:lineRule="auto"/>
            </w:pPr>
            <w:r w:rsidRPr="00124E7F">
              <w:t>Positive effect</w:t>
            </w:r>
          </w:p>
        </w:tc>
        <w:tc>
          <w:tcPr>
            <w:tcW w:w="454" w:type="pct"/>
            <w:tcBorders>
              <w:top w:val="single" w:sz="4" w:space="0" w:color="999999"/>
            </w:tcBorders>
            <w:shd w:val="clear" w:color="auto" w:fill="auto"/>
          </w:tcPr>
          <w:p w14:paraId="432E06EE" w14:textId="77777777" w:rsidR="003C6C2C" w:rsidRPr="00124E7F" w:rsidRDefault="003C6C2C" w:rsidP="003C6C2C">
            <w:pPr>
              <w:widowControl/>
              <w:autoSpaceDE/>
              <w:autoSpaceDN/>
              <w:adjustRightInd/>
              <w:spacing w:line="240" w:lineRule="auto"/>
            </w:pPr>
            <w:r w:rsidRPr="00124E7F">
              <w:t>?</w:t>
            </w:r>
          </w:p>
        </w:tc>
        <w:tc>
          <w:tcPr>
            <w:tcW w:w="2140" w:type="pct"/>
            <w:tcBorders>
              <w:top w:val="single" w:sz="4" w:space="0" w:color="999999"/>
            </w:tcBorders>
            <w:shd w:val="clear" w:color="auto" w:fill="auto"/>
          </w:tcPr>
          <w:p w14:paraId="57CCBA17" w14:textId="77777777" w:rsidR="003C6C2C" w:rsidRPr="00124E7F" w:rsidRDefault="003C6C2C" w:rsidP="003C6C2C">
            <w:pPr>
              <w:widowControl/>
              <w:autoSpaceDE/>
              <w:autoSpaceDN/>
              <w:adjustRightInd/>
              <w:spacing w:line="240" w:lineRule="auto"/>
            </w:pPr>
            <w:r w:rsidRPr="00124E7F">
              <w:t>Ambiguous effect</w:t>
            </w:r>
          </w:p>
        </w:tc>
      </w:tr>
      <w:tr w:rsidR="004213AE" w:rsidRPr="00124E7F" w14:paraId="0E1E11D5" w14:textId="77777777" w:rsidTr="00A466B3">
        <w:tc>
          <w:tcPr>
            <w:tcW w:w="358" w:type="pct"/>
            <w:shd w:val="clear" w:color="auto" w:fill="auto"/>
          </w:tcPr>
          <w:p w14:paraId="3A3D68F6" w14:textId="77777777" w:rsidR="003C6C2C" w:rsidRPr="00124E7F" w:rsidRDefault="003C6C2C" w:rsidP="003C6C2C">
            <w:pPr>
              <w:widowControl/>
              <w:autoSpaceDE/>
              <w:autoSpaceDN/>
              <w:adjustRightInd/>
              <w:spacing w:line="240" w:lineRule="auto"/>
            </w:pPr>
            <w:r w:rsidRPr="00124E7F">
              <w:t>?+</w:t>
            </w:r>
          </w:p>
        </w:tc>
        <w:tc>
          <w:tcPr>
            <w:tcW w:w="2048" w:type="pct"/>
            <w:shd w:val="clear" w:color="auto" w:fill="auto"/>
          </w:tcPr>
          <w:p w14:paraId="60F07431" w14:textId="77777777" w:rsidR="003C6C2C" w:rsidRPr="00124E7F" w:rsidRDefault="003C6C2C" w:rsidP="003C6C2C">
            <w:pPr>
              <w:widowControl/>
              <w:autoSpaceDE/>
              <w:autoSpaceDN/>
              <w:adjustRightInd/>
              <w:spacing w:line="240" w:lineRule="auto"/>
            </w:pPr>
            <w:r w:rsidRPr="00124E7F">
              <w:t>Possible/Limited positive effect</w:t>
            </w:r>
          </w:p>
        </w:tc>
        <w:tc>
          <w:tcPr>
            <w:tcW w:w="454" w:type="pct"/>
            <w:shd w:val="clear" w:color="auto" w:fill="auto"/>
          </w:tcPr>
          <w:p w14:paraId="03A658F1" w14:textId="77777777" w:rsidR="003C6C2C" w:rsidRPr="00124E7F" w:rsidRDefault="003C6C2C" w:rsidP="003C6C2C">
            <w:pPr>
              <w:widowControl/>
              <w:autoSpaceDE/>
              <w:autoSpaceDN/>
              <w:adjustRightInd/>
              <w:spacing w:line="240" w:lineRule="auto"/>
            </w:pPr>
            <w:r w:rsidRPr="00124E7F">
              <w:t>-</w:t>
            </w:r>
          </w:p>
        </w:tc>
        <w:tc>
          <w:tcPr>
            <w:tcW w:w="2140" w:type="pct"/>
            <w:shd w:val="clear" w:color="auto" w:fill="auto"/>
          </w:tcPr>
          <w:p w14:paraId="1FAEC090" w14:textId="77777777" w:rsidR="003C6C2C" w:rsidRPr="00124E7F" w:rsidRDefault="003C6C2C" w:rsidP="003C6C2C">
            <w:pPr>
              <w:widowControl/>
              <w:autoSpaceDE/>
              <w:autoSpaceDN/>
              <w:adjustRightInd/>
              <w:spacing w:line="240" w:lineRule="auto"/>
            </w:pPr>
            <w:r w:rsidRPr="00124E7F">
              <w:t>Negative effect</w:t>
            </w:r>
          </w:p>
        </w:tc>
      </w:tr>
      <w:tr w:rsidR="004213AE" w:rsidRPr="00124E7F" w14:paraId="77B48879" w14:textId="77777777" w:rsidTr="00A466B3">
        <w:tc>
          <w:tcPr>
            <w:tcW w:w="358" w:type="pct"/>
            <w:shd w:val="clear" w:color="auto" w:fill="auto"/>
          </w:tcPr>
          <w:p w14:paraId="329ED0BA" w14:textId="77777777" w:rsidR="003C6C2C" w:rsidRPr="00124E7F" w:rsidRDefault="003C6C2C" w:rsidP="003C6C2C">
            <w:pPr>
              <w:widowControl/>
              <w:autoSpaceDE/>
              <w:autoSpaceDN/>
              <w:adjustRightInd/>
              <w:spacing w:line="240" w:lineRule="auto"/>
            </w:pPr>
            <w:r w:rsidRPr="00124E7F">
              <w:t>0</w:t>
            </w:r>
          </w:p>
        </w:tc>
        <w:tc>
          <w:tcPr>
            <w:tcW w:w="2048" w:type="pct"/>
            <w:shd w:val="clear" w:color="auto" w:fill="auto"/>
          </w:tcPr>
          <w:p w14:paraId="11BA39D4" w14:textId="77777777" w:rsidR="003C6C2C" w:rsidRPr="00124E7F" w:rsidRDefault="003C6C2C" w:rsidP="003C6C2C">
            <w:pPr>
              <w:widowControl/>
              <w:autoSpaceDE/>
              <w:autoSpaceDN/>
              <w:adjustRightInd/>
              <w:spacing w:line="240" w:lineRule="auto"/>
            </w:pPr>
            <w:r w:rsidRPr="00124E7F">
              <w:t>No effect, or negligible effect</w:t>
            </w:r>
          </w:p>
        </w:tc>
        <w:tc>
          <w:tcPr>
            <w:tcW w:w="454" w:type="pct"/>
            <w:shd w:val="clear" w:color="auto" w:fill="auto"/>
          </w:tcPr>
          <w:p w14:paraId="30492DB8" w14:textId="77777777" w:rsidR="003C6C2C" w:rsidRPr="00124E7F" w:rsidRDefault="003C6C2C" w:rsidP="003C6C2C">
            <w:pPr>
              <w:widowControl/>
              <w:autoSpaceDE/>
              <w:autoSpaceDN/>
              <w:adjustRightInd/>
              <w:spacing w:line="240" w:lineRule="auto"/>
            </w:pPr>
            <w:r w:rsidRPr="00124E7F">
              <w:t>?-</w:t>
            </w:r>
          </w:p>
        </w:tc>
        <w:tc>
          <w:tcPr>
            <w:tcW w:w="2140" w:type="pct"/>
            <w:shd w:val="clear" w:color="auto" w:fill="auto"/>
          </w:tcPr>
          <w:p w14:paraId="026BAC10" w14:textId="77777777" w:rsidR="003C6C2C" w:rsidRPr="00124E7F" w:rsidRDefault="003C6C2C" w:rsidP="003C6C2C">
            <w:pPr>
              <w:widowControl/>
              <w:autoSpaceDE/>
              <w:autoSpaceDN/>
              <w:adjustRightInd/>
              <w:spacing w:line="240" w:lineRule="auto"/>
            </w:pPr>
            <w:r w:rsidRPr="00124E7F">
              <w:t>Possible/Limited negative effect</w:t>
            </w:r>
          </w:p>
        </w:tc>
      </w:tr>
    </w:tbl>
    <w:p w14:paraId="63E47FAB" w14:textId="77777777" w:rsidR="000D3A0A" w:rsidRPr="00124E7F" w:rsidRDefault="000D3A0A" w:rsidP="000D3A0A">
      <w:pPr>
        <w:pStyle w:val="BodyText"/>
      </w:pPr>
    </w:p>
    <w:p w14:paraId="5002C1AD" w14:textId="77777777" w:rsidR="005C33BF" w:rsidRPr="00124E7F" w:rsidRDefault="000E7D0D" w:rsidP="007B0604">
      <w:pPr>
        <w:pStyle w:val="EYBodytextwithparaspace"/>
        <w:sectPr w:rsidR="005C33BF" w:rsidRPr="00124E7F" w:rsidSect="005C33BF">
          <w:pgSz w:w="16834" w:h="11909" w:orient="landscape" w:code="9"/>
          <w:pgMar w:top="1440" w:right="1440" w:bottom="1440" w:left="1134" w:header="720" w:footer="425" w:gutter="0"/>
          <w:pgNumType w:fmt="lowerRoman" w:chapStyle="1"/>
          <w:cols w:space="720"/>
          <w:docGrid w:linePitch="360"/>
        </w:sectPr>
      </w:pPr>
      <w:r w:rsidRPr="00124E7F">
        <w:t xml:space="preserve">While the impacts to different </w:t>
      </w:r>
      <w:r w:rsidR="00E91FFA" w:rsidRPr="00124E7F">
        <w:t xml:space="preserve">stakeholder has been identified by </w:t>
      </w:r>
      <w:r w:rsidR="00E16FFE" w:rsidRPr="00124E7F">
        <w:t>‘</w:t>
      </w:r>
      <w:r w:rsidR="00E91FFA" w:rsidRPr="00124E7F">
        <w:t>exception</w:t>
      </w:r>
      <w:r w:rsidR="00E16FFE" w:rsidRPr="00124E7F">
        <w:t>’, due to our scope and limited data availability, we have not identified winners and losers at an overall ‘option’ level.</w:t>
      </w:r>
    </w:p>
    <w:p w14:paraId="14CCDBAC" w14:textId="77777777" w:rsidR="005A53AE" w:rsidRPr="00124E7F" w:rsidRDefault="00362C35" w:rsidP="007B0604">
      <w:pPr>
        <w:pStyle w:val="EYHeading2"/>
        <w:numPr>
          <w:ilvl w:val="0"/>
          <w:numId w:val="0"/>
        </w:numPr>
        <w:ind w:left="851" w:hanging="851"/>
      </w:pPr>
      <w:bookmarkStart w:id="34" w:name="_Toc469644727"/>
      <w:r w:rsidRPr="00124E7F">
        <w:t>Comparing the new fair dealing exception with the fair use exception</w:t>
      </w:r>
      <w:bookmarkEnd w:id="34"/>
      <w:r w:rsidRPr="00124E7F">
        <w:t xml:space="preserve"> </w:t>
      </w:r>
    </w:p>
    <w:p w14:paraId="12141673" w14:textId="77777777" w:rsidR="002724AA" w:rsidRPr="00124E7F" w:rsidRDefault="002724AA" w:rsidP="007B0604">
      <w:pPr>
        <w:pStyle w:val="EYBodytextwithparaspace"/>
      </w:pPr>
      <w:r w:rsidRPr="00124E7F">
        <w:t>Given the specified purposes of the new fair dealing exception match the illustrative purposes of the fair use exception, it is assumed that the impacts outlined in</w:t>
      </w:r>
      <w:r w:rsidR="00DE543E" w:rsidRPr="00124E7F">
        <w:t xml:space="preserve"> </w:t>
      </w:r>
      <w:r w:rsidR="00DE543E" w:rsidRPr="00124E7F">
        <w:fldChar w:fldCharType="begin"/>
      </w:r>
      <w:r w:rsidR="00DE543E" w:rsidRPr="00124E7F">
        <w:instrText xml:space="preserve"> REF _Ref467501625 \h </w:instrText>
      </w:r>
      <w:r w:rsidR="00DE543E" w:rsidRPr="00124E7F">
        <w:fldChar w:fldCharType="separate"/>
      </w:r>
      <w:r w:rsidR="0075700D" w:rsidRPr="00124E7F">
        <w:t xml:space="preserve">Table </w:t>
      </w:r>
      <w:r w:rsidR="0075700D">
        <w:rPr>
          <w:noProof/>
        </w:rPr>
        <w:t>1</w:t>
      </w:r>
      <w:r w:rsidR="00DE543E" w:rsidRPr="00124E7F">
        <w:fldChar w:fldCharType="end"/>
      </w:r>
      <w:r w:rsidR="00DE543E" w:rsidRPr="00124E7F">
        <w:t xml:space="preserve"> </w:t>
      </w:r>
      <w:r w:rsidRPr="00124E7F">
        <w:t>would also apply, at a minimum, to the fair use exception. To explore the additional impacts associated with the fair use exception, both the fair use exception and the new fair dealing exception were assessed from the perspective of certainty and flexibility.</w:t>
      </w:r>
    </w:p>
    <w:p w14:paraId="27ADFFC3" w14:textId="77777777" w:rsidR="002724AA" w:rsidRPr="00124E7F" w:rsidRDefault="002724AA" w:rsidP="007B0604">
      <w:pPr>
        <w:pStyle w:val="EYHeading3"/>
        <w:numPr>
          <w:ilvl w:val="0"/>
          <w:numId w:val="0"/>
        </w:numPr>
        <w:ind w:left="851" w:hanging="851"/>
      </w:pPr>
      <w:r w:rsidRPr="00124E7F">
        <w:t xml:space="preserve">Certainty </w:t>
      </w:r>
    </w:p>
    <w:p w14:paraId="5939A857" w14:textId="77777777" w:rsidR="002724AA" w:rsidRPr="00124E7F" w:rsidRDefault="002724AA" w:rsidP="007B0604">
      <w:pPr>
        <w:pStyle w:val="EYHeading4"/>
        <w:numPr>
          <w:ilvl w:val="0"/>
          <w:numId w:val="0"/>
        </w:numPr>
        <w:ind w:left="851" w:hanging="851"/>
      </w:pPr>
      <w:r w:rsidRPr="00124E7F">
        <w:t xml:space="preserve">Fair use exception </w:t>
      </w:r>
    </w:p>
    <w:p w14:paraId="13FBFCE8" w14:textId="77777777" w:rsidR="002724AA" w:rsidRPr="00124E7F" w:rsidRDefault="002724AA" w:rsidP="007B0604">
      <w:pPr>
        <w:pStyle w:val="EYBodytextwithparaspace"/>
      </w:pPr>
      <w:r w:rsidRPr="00124E7F">
        <w:t xml:space="preserve">It is likely that implementation of the fair use exception (like any major reform to an established legislative framework) would lead to increased uncertainty for key stakeholders in the short term. This could lead to increased monitoring and enforcement costs, and a reduction or stagnation in the creation of copyright material and follow-on innovation based on copyright material. The magnitude of these impacts would be dependent on how the exception was implemented, particularly in relation to the quality of guidance material provided to </w:t>
      </w:r>
      <w:r w:rsidR="009C6310" w:rsidRPr="00124E7F">
        <w:t>right</w:t>
      </w:r>
      <w:r w:rsidR="005D236A" w:rsidRPr="00124E7F">
        <w:t>s</w:t>
      </w:r>
      <w:r w:rsidR="009C6310" w:rsidRPr="00124E7F">
        <w:t xml:space="preserve"> holders</w:t>
      </w:r>
      <w:r w:rsidRPr="00124E7F">
        <w:t xml:space="preserve"> and users on the application of fair use. </w:t>
      </w:r>
    </w:p>
    <w:p w14:paraId="452207F4" w14:textId="77777777" w:rsidR="002724AA" w:rsidRPr="00124E7F" w:rsidRDefault="002724AA" w:rsidP="007B0604">
      <w:pPr>
        <w:pStyle w:val="EYBodytextwithparaspace"/>
      </w:pPr>
      <w:r w:rsidRPr="00124E7F">
        <w:t xml:space="preserve">Beyond these short-term impacts, it is unlikely that the fair use exception, by its inherent nature, would </w:t>
      </w:r>
      <w:r w:rsidR="002214BA" w:rsidRPr="00124E7F">
        <w:t xml:space="preserve">materially </w:t>
      </w:r>
      <w:r w:rsidRPr="00124E7F">
        <w:t>reduce</w:t>
      </w:r>
      <w:r w:rsidR="002214BA" w:rsidRPr="00124E7F">
        <w:t xml:space="preserve"> </w:t>
      </w:r>
      <w:r w:rsidRPr="00124E7F">
        <w:t xml:space="preserve">certainty for </w:t>
      </w:r>
      <w:r w:rsidR="009C6310" w:rsidRPr="00124E7F">
        <w:t>right</w:t>
      </w:r>
      <w:r w:rsidR="005D236A" w:rsidRPr="00124E7F">
        <w:t>s</w:t>
      </w:r>
      <w:r w:rsidR="009C6310" w:rsidRPr="00124E7F">
        <w:t xml:space="preserve"> holders</w:t>
      </w:r>
      <w:r w:rsidRPr="00124E7F">
        <w:t xml:space="preserve"> and users compared to the status quo. This judgment is based on the observations that: (1) the status quo is relatively uncertain; (2) fair use, as a concept, is likely to be relatively predictable; and (3) the available evidence does not suggest that the relationship between fair use and increased enforcement costs is as strong as commonly assumed. </w:t>
      </w:r>
    </w:p>
    <w:p w14:paraId="4597F3E8" w14:textId="77777777" w:rsidR="002724AA" w:rsidRPr="00124E7F" w:rsidRDefault="002724AA" w:rsidP="007B0604">
      <w:pPr>
        <w:pStyle w:val="EYHeading4"/>
        <w:numPr>
          <w:ilvl w:val="0"/>
          <w:numId w:val="0"/>
        </w:numPr>
        <w:ind w:left="851" w:hanging="851"/>
      </w:pPr>
      <w:r w:rsidRPr="00124E7F">
        <w:t xml:space="preserve">New fair dealing exception </w:t>
      </w:r>
    </w:p>
    <w:p w14:paraId="7174E412" w14:textId="77777777" w:rsidR="002724AA" w:rsidRPr="00124E7F" w:rsidRDefault="002724AA" w:rsidP="007B0604">
      <w:pPr>
        <w:pStyle w:val="EYBodytextwithparaspace"/>
      </w:pPr>
      <w:r w:rsidRPr="00124E7F">
        <w:t>It is unclear from the available evidence that the new fair dealing exception would be more or less certain for stakeholders than the fair use exception. A more prescriptive approach may, however, become less effective in a rapidly changing digital environment. This is evidenced by the arguably complex and outdated provisions of the Copyright Act, discussed in more detail in Section 3.</w:t>
      </w:r>
    </w:p>
    <w:p w14:paraId="2C5E69BF" w14:textId="77777777" w:rsidR="002724AA" w:rsidRPr="00124E7F" w:rsidRDefault="002724AA" w:rsidP="007B0604">
      <w:pPr>
        <w:pStyle w:val="EYHeading3"/>
        <w:numPr>
          <w:ilvl w:val="0"/>
          <w:numId w:val="0"/>
        </w:numPr>
        <w:ind w:left="851" w:hanging="851"/>
      </w:pPr>
      <w:r w:rsidRPr="00124E7F">
        <w:t>Flexibility</w:t>
      </w:r>
    </w:p>
    <w:p w14:paraId="3D0B8ABF" w14:textId="77777777" w:rsidR="002724AA" w:rsidRPr="00124E7F" w:rsidRDefault="002724AA" w:rsidP="007B0604">
      <w:pPr>
        <w:pStyle w:val="EYHeading4"/>
        <w:numPr>
          <w:ilvl w:val="0"/>
          <w:numId w:val="0"/>
        </w:numPr>
        <w:ind w:left="851" w:hanging="851"/>
      </w:pPr>
      <w:r w:rsidRPr="00124E7F">
        <w:t xml:space="preserve">Fair use exception </w:t>
      </w:r>
    </w:p>
    <w:p w14:paraId="7ED68A5D" w14:textId="77777777" w:rsidR="002724AA" w:rsidRPr="00124E7F" w:rsidRDefault="002724AA" w:rsidP="007B0604">
      <w:pPr>
        <w:pStyle w:val="EYBodytextwithparaspace"/>
      </w:pPr>
      <w:r w:rsidRPr="00124E7F">
        <w:t xml:space="preserve">The fair use exception would be more flexible than the status quo. While it is acknowledged that the empirical evidence on the relationship between copyright flexibility and innovation is both limited and inconclusive, it is reasonable to expect that the increased flexibility associated with the fair use exception would stimulate more innovation (and, in turn, economic growth) than the status quo. This is because the flexibility of the fair use exception would enable: </w:t>
      </w:r>
    </w:p>
    <w:p w14:paraId="07870ED8" w14:textId="77777777" w:rsidR="002724AA" w:rsidRPr="00124E7F" w:rsidRDefault="002724AA" w:rsidP="00634BB4">
      <w:pPr>
        <w:pStyle w:val="EYBulletedText1"/>
      </w:pPr>
      <w:r w:rsidRPr="00124E7F">
        <w:t xml:space="preserve">Individuals and </w:t>
      </w:r>
      <w:proofErr w:type="spellStart"/>
      <w:r w:rsidRPr="00124E7F">
        <w:t>organisations</w:t>
      </w:r>
      <w:proofErr w:type="spellEnd"/>
      <w:r w:rsidRPr="00124E7F">
        <w:t xml:space="preserve"> to respond more quickly to changes in technology and consumer </w:t>
      </w:r>
      <w:proofErr w:type="spellStart"/>
      <w:r w:rsidRPr="00124E7F">
        <w:t>behaviour</w:t>
      </w:r>
      <w:proofErr w:type="spellEnd"/>
      <w:r w:rsidRPr="00124E7F">
        <w:t>, providing greater scope for experi</w:t>
      </w:r>
      <w:r w:rsidR="00634BB4" w:rsidRPr="00124E7F">
        <w:t xml:space="preserve">mentation and </w:t>
      </w:r>
      <w:proofErr w:type="spellStart"/>
      <w:r w:rsidR="00634BB4" w:rsidRPr="00124E7F">
        <w:t>commercialisation</w:t>
      </w:r>
      <w:proofErr w:type="spellEnd"/>
    </w:p>
    <w:p w14:paraId="63512E16" w14:textId="77777777" w:rsidR="002724AA" w:rsidRPr="00124E7F" w:rsidRDefault="002724AA" w:rsidP="00634BB4">
      <w:pPr>
        <w:pStyle w:val="EYBulletedText1"/>
      </w:pPr>
      <w:r w:rsidRPr="00124E7F">
        <w:t xml:space="preserve">Greater third party uses of copyright material, some of which, like cloud computing services, are likely to be key drivers of productive and dynamic efficiency. </w:t>
      </w:r>
    </w:p>
    <w:p w14:paraId="3C61F5FB" w14:textId="77777777" w:rsidR="002724AA" w:rsidRPr="00124E7F" w:rsidRDefault="002724AA" w:rsidP="007B0604">
      <w:pPr>
        <w:pStyle w:val="EYHeading4"/>
        <w:numPr>
          <w:ilvl w:val="0"/>
          <w:numId w:val="0"/>
        </w:numPr>
        <w:ind w:left="851" w:hanging="851"/>
      </w:pPr>
      <w:r w:rsidRPr="00124E7F">
        <w:t xml:space="preserve">New fair dealing exception </w:t>
      </w:r>
    </w:p>
    <w:p w14:paraId="15267EEB" w14:textId="77777777" w:rsidR="00DE543E" w:rsidRPr="00124E7F" w:rsidRDefault="002724AA" w:rsidP="007B0604">
      <w:pPr>
        <w:pStyle w:val="EYBodytextwithparaspace"/>
      </w:pPr>
      <w:r w:rsidRPr="00124E7F">
        <w:t>Given that the new fair dealing exception would be more prescriptive than the fair use exception, it is expected that the former would be less flexible than the latter, and thus would have a smaller impact on innovation and economic growth. The new fair dealing exception, however, would be more flexible than the status quo.</w:t>
      </w:r>
    </w:p>
    <w:p w14:paraId="00DFC3F5" w14:textId="77777777" w:rsidR="002578CF" w:rsidRPr="00124E7F" w:rsidRDefault="002724AA" w:rsidP="000061D4">
      <w:pPr>
        <w:pStyle w:val="EYBodytextwithparaspace"/>
      </w:pPr>
      <w:r w:rsidRPr="00124E7F">
        <w:t xml:space="preserve"> </w:t>
      </w:r>
    </w:p>
    <w:p w14:paraId="236D4587" w14:textId="77777777" w:rsidR="002578CF" w:rsidRPr="00124E7F" w:rsidRDefault="002578CF">
      <w:pPr>
        <w:widowControl/>
        <w:autoSpaceDE/>
        <w:autoSpaceDN/>
        <w:adjustRightInd/>
        <w:spacing w:line="240" w:lineRule="auto"/>
        <w:sectPr w:rsidR="002578CF" w:rsidRPr="00124E7F" w:rsidSect="000D3A0A">
          <w:footerReference w:type="default" r:id="rId62"/>
          <w:pgSz w:w="11909" w:h="16834" w:code="9"/>
          <w:pgMar w:top="1440" w:right="1440" w:bottom="1134" w:left="1440" w:header="720" w:footer="425" w:gutter="0"/>
          <w:pgNumType w:fmt="lowerRoman" w:chapStyle="1"/>
          <w:cols w:space="720"/>
          <w:docGrid w:linePitch="360"/>
        </w:sectPr>
      </w:pPr>
    </w:p>
    <w:p w14:paraId="32111660" w14:textId="77777777" w:rsidR="00B264BF" w:rsidRPr="00202E68" w:rsidRDefault="00B264BF" w:rsidP="00B264BF">
      <w:pPr>
        <w:pStyle w:val="EYContents"/>
        <w:rPr>
          <w:color w:val="auto"/>
        </w:rPr>
      </w:pPr>
      <w:bookmarkStart w:id="35" w:name="_Toc447063751"/>
      <w:r w:rsidRPr="00202E68">
        <w:rPr>
          <w:color w:val="auto"/>
        </w:rPr>
        <w:t xml:space="preserve">Table of </w:t>
      </w:r>
      <w:r w:rsidR="00A21B51" w:rsidRPr="00202E68">
        <w:rPr>
          <w:color w:val="auto"/>
        </w:rPr>
        <w:t>c</w:t>
      </w:r>
      <w:r w:rsidRPr="00202E68">
        <w:rPr>
          <w:color w:val="auto"/>
        </w:rPr>
        <w:t>ontents</w:t>
      </w:r>
      <w:bookmarkEnd w:id="35"/>
    </w:p>
    <w:p w14:paraId="5494270B" w14:textId="77777777" w:rsidR="005F7DA9" w:rsidRDefault="00536578">
      <w:pPr>
        <w:pStyle w:val="TOC1"/>
        <w:tabs>
          <w:tab w:val="right" w:leader="dot" w:pos="9019"/>
        </w:tabs>
        <w:rPr>
          <w:rFonts w:asciiTheme="minorHAnsi" w:eastAsiaTheme="minorEastAsia" w:hAnsiTheme="minorHAnsi" w:cstheme="minorBidi"/>
          <w:bCs w:val="0"/>
          <w:noProof/>
          <w:szCs w:val="22"/>
          <w:lang w:val="en-AU" w:eastAsia="en-AU"/>
        </w:rPr>
      </w:pPr>
      <w:r w:rsidRPr="004213AE">
        <w:fldChar w:fldCharType="begin"/>
      </w:r>
      <w:r w:rsidRPr="00124E7F">
        <w:instrText xml:space="preserve"> TOC \h \z \t "EY Appendix,1,EY Heading 1,1,EY Heading 2,2" </w:instrText>
      </w:r>
      <w:r w:rsidRPr="004213AE">
        <w:fldChar w:fldCharType="separate"/>
      </w:r>
      <w:hyperlink w:anchor="_Toc469644720" w:history="1">
        <w:r w:rsidR="005F7DA9" w:rsidRPr="00540163">
          <w:rPr>
            <w:rStyle w:val="Hyperlink"/>
            <w:noProof/>
          </w:rPr>
          <w:t>Notice</w:t>
        </w:r>
        <w:r w:rsidR="005F7DA9">
          <w:rPr>
            <w:noProof/>
            <w:webHidden/>
          </w:rPr>
          <w:tab/>
        </w:r>
        <w:r w:rsidR="005F7DA9">
          <w:rPr>
            <w:noProof/>
            <w:webHidden/>
          </w:rPr>
          <w:fldChar w:fldCharType="begin"/>
        </w:r>
        <w:r w:rsidR="005F7DA9">
          <w:rPr>
            <w:noProof/>
            <w:webHidden/>
          </w:rPr>
          <w:instrText xml:space="preserve"> PAGEREF _Toc469644720 \h </w:instrText>
        </w:r>
        <w:r w:rsidR="005F7DA9">
          <w:rPr>
            <w:noProof/>
            <w:webHidden/>
          </w:rPr>
        </w:r>
        <w:r w:rsidR="005F7DA9">
          <w:rPr>
            <w:noProof/>
            <w:webHidden/>
          </w:rPr>
          <w:fldChar w:fldCharType="separate"/>
        </w:r>
        <w:r w:rsidR="0075700D">
          <w:rPr>
            <w:noProof/>
            <w:webHidden/>
          </w:rPr>
          <w:t>i</w:t>
        </w:r>
        <w:r w:rsidR="005F7DA9">
          <w:rPr>
            <w:noProof/>
            <w:webHidden/>
          </w:rPr>
          <w:fldChar w:fldCharType="end"/>
        </w:r>
      </w:hyperlink>
    </w:p>
    <w:p w14:paraId="52AAC219" w14:textId="77777777" w:rsidR="005F7DA9" w:rsidRDefault="0075700D">
      <w:pPr>
        <w:pStyle w:val="TOC1"/>
        <w:tabs>
          <w:tab w:val="right" w:leader="dot" w:pos="9019"/>
        </w:tabs>
        <w:rPr>
          <w:rFonts w:asciiTheme="minorHAnsi" w:eastAsiaTheme="minorEastAsia" w:hAnsiTheme="minorHAnsi" w:cstheme="minorBidi"/>
          <w:bCs w:val="0"/>
          <w:noProof/>
          <w:szCs w:val="22"/>
          <w:lang w:val="en-AU" w:eastAsia="en-AU"/>
        </w:rPr>
      </w:pPr>
      <w:hyperlink w:anchor="_Toc469644721" w:history="1">
        <w:r w:rsidR="005F7DA9" w:rsidRPr="00540163">
          <w:rPr>
            <w:rStyle w:val="Hyperlink"/>
            <w:noProof/>
          </w:rPr>
          <w:t>Glossary of key terms</w:t>
        </w:r>
        <w:r w:rsidR="005F7DA9">
          <w:rPr>
            <w:noProof/>
            <w:webHidden/>
          </w:rPr>
          <w:tab/>
        </w:r>
        <w:r w:rsidR="005F7DA9">
          <w:rPr>
            <w:noProof/>
            <w:webHidden/>
          </w:rPr>
          <w:fldChar w:fldCharType="begin"/>
        </w:r>
        <w:r w:rsidR="005F7DA9">
          <w:rPr>
            <w:noProof/>
            <w:webHidden/>
          </w:rPr>
          <w:instrText xml:space="preserve"> PAGEREF _Toc469644721 \h </w:instrText>
        </w:r>
        <w:r w:rsidR="005F7DA9">
          <w:rPr>
            <w:noProof/>
            <w:webHidden/>
          </w:rPr>
        </w:r>
        <w:r w:rsidR="005F7DA9">
          <w:rPr>
            <w:noProof/>
            <w:webHidden/>
          </w:rPr>
          <w:fldChar w:fldCharType="separate"/>
        </w:r>
        <w:r>
          <w:rPr>
            <w:noProof/>
            <w:webHidden/>
          </w:rPr>
          <w:t>iii</w:t>
        </w:r>
        <w:r w:rsidR="005F7DA9">
          <w:rPr>
            <w:noProof/>
            <w:webHidden/>
          </w:rPr>
          <w:fldChar w:fldCharType="end"/>
        </w:r>
      </w:hyperlink>
    </w:p>
    <w:p w14:paraId="7BE52D38" w14:textId="77777777" w:rsidR="005F7DA9" w:rsidRDefault="0075700D">
      <w:pPr>
        <w:pStyle w:val="TOC1"/>
        <w:tabs>
          <w:tab w:val="right" w:leader="dot" w:pos="9019"/>
        </w:tabs>
        <w:rPr>
          <w:rFonts w:asciiTheme="minorHAnsi" w:eastAsiaTheme="minorEastAsia" w:hAnsiTheme="minorHAnsi" w:cstheme="minorBidi"/>
          <w:bCs w:val="0"/>
          <w:noProof/>
          <w:szCs w:val="22"/>
          <w:lang w:val="en-AU" w:eastAsia="en-AU"/>
        </w:rPr>
      </w:pPr>
      <w:hyperlink w:anchor="_Toc469644722" w:history="1">
        <w:r w:rsidR="005F7DA9" w:rsidRPr="00540163">
          <w:rPr>
            <w:rStyle w:val="Hyperlink"/>
            <w:noProof/>
          </w:rPr>
          <w:t>Executive summary</w:t>
        </w:r>
        <w:r w:rsidR="005F7DA9">
          <w:rPr>
            <w:noProof/>
            <w:webHidden/>
          </w:rPr>
          <w:tab/>
        </w:r>
        <w:r w:rsidR="005F7DA9">
          <w:rPr>
            <w:noProof/>
            <w:webHidden/>
          </w:rPr>
          <w:fldChar w:fldCharType="begin"/>
        </w:r>
        <w:r w:rsidR="005F7DA9">
          <w:rPr>
            <w:noProof/>
            <w:webHidden/>
          </w:rPr>
          <w:instrText xml:space="preserve"> PAGEREF _Toc469644722 \h </w:instrText>
        </w:r>
        <w:r w:rsidR="005F7DA9">
          <w:rPr>
            <w:noProof/>
            <w:webHidden/>
          </w:rPr>
        </w:r>
        <w:r w:rsidR="005F7DA9">
          <w:rPr>
            <w:noProof/>
            <w:webHidden/>
          </w:rPr>
          <w:fldChar w:fldCharType="separate"/>
        </w:r>
        <w:r>
          <w:rPr>
            <w:noProof/>
            <w:webHidden/>
          </w:rPr>
          <w:t>vi</w:t>
        </w:r>
        <w:r w:rsidR="005F7DA9">
          <w:rPr>
            <w:noProof/>
            <w:webHidden/>
          </w:rPr>
          <w:fldChar w:fldCharType="end"/>
        </w:r>
      </w:hyperlink>
    </w:p>
    <w:p w14:paraId="2204AC04" w14:textId="77777777" w:rsidR="005F7DA9" w:rsidRDefault="0075700D">
      <w:pPr>
        <w:pStyle w:val="TOC2"/>
        <w:rPr>
          <w:rFonts w:asciiTheme="minorHAnsi" w:eastAsiaTheme="minorEastAsia" w:hAnsiTheme="minorHAnsi" w:cstheme="minorBidi"/>
          <w:bCs w:val="0"/>
          <w:noProof/>
          <w:szCs w:val="22"/>
          <w:lang w:val="en-AU" w:eastAsia="en-AU"/>
        </w:rPr>
      </w:pPr>
      <w:hyperlink w:anchor="_Toc469644723" w:history="1">
        <w:r w:rsidR="005F7DA9" w:rsidRPr="00540163">
          <w:rPr>
            <w:rStyle w:val="Hyperlink"/>
            <w:noProof/>
          </w:rPr>
          <w:t>Background</w:t>
        </w:r>
        <w:r w:rsidR="005F7DA9">
          <w:rPr>
            <w:noProof/>
            <w:webHidden/>
          </w:rPr>
          <w:tab/>
        </w:r>
        <w:r w:rsidR="005F7DA9">
          <w:rPr>
            <w:noProof/>
            <w:webHidden/>
          </w:rPr>
          <w:fldChar w:fldCharType="begin"/>
        </w:r>
        <w:r w:rsidR="005F7DA9">
          <w:rPr>
            <w:noProof/>
            <w:webHidden/>
          </w:rPr>
          <w:instrText xml:space="preserve"> PAGEREF _Toc469644723 \h </w:instrText>
        </w:r>
        <w:r w:rsidR="005F7DA9">
          <w:rPr>
            <w:noProof/>
            <w:webHidden/>
          </w:rPr>
        </w:r>
        <w:r w:rsidR="005F7DA9">
          <w:rPr>
            <w:noProof/>
            <w:webHidden/>
          </w:rPr>
          <w:fldChar w:fldCharType="separate"/>
        </w:r>
        <w:r>
          <w:rPr>
            <w:noProof/>
            <w:webHidden/>
          </w:rPr>
          <w:t>vi</w:t>
        </w:r>
        <w:r w:rsidR="005F7DA9">
          <w:rPr>
            <w:noProof/>
            <w:webHidden/>
          </w:rPr>
          <w:fldChar w:fldCharType="end"/>
        </w:r>
      </w:hyperlink>
    </w:p>
    <w:p w14:paraId="2847D3DF" w14:textId="77777777" w:rsidR="005F7DA9" w:rsidRDefault="0075700D">
      <w:pPr>
        <w:pStyle w:val="TOC2"/>
        <w:rPr>
          <w:rFonts w:asciiTheme="minorHAnsi" w:eastAsiaTheme="minorEastAsia" w:hAnsiTheme="minorHAnsi" w:cstheme="minorBidi"/>
          <w:bCs w:val="0"/>
          <w:noProof/>
          <w:szCs w:val="22"/>
          <w:lang w:val="en-AU" w:eastAsia="en-AU"/>
        </w:rPr>
      </w:pPr>
      <w:hyperlink w:anchor="_Toc469644724" w:history="1">
        <w:r w:rsidR="005F7DA9" w:rsidRPr="00540163">
          <w:rPr>
            <w:rStyle w:val="Hyperlink"/>
            <w:noProof/>
          </w:rPr>
          <w:t>Project scope</w:t>
        </w:r>
        <w:r w:rsidR="005F7DA9">
          <w:rPr>
            <w:noProof/>
            <w:webHidden/>
          </w:rPr>
          <w:tab/>
        </w:r>
        <w:r w:rsidR="005F7DA9">
          <w:rPr>
            <w:noProof/>
            <w:webHidden/>
          </w:rPr>
          <w:fldChar w:fldCharType="begin"/>
        </w:r>
        <w:r w:rsidR="005F7DA9">
          <w:rPr>
            <w:noProof/>
            <w:webHidden/>
          </w:rPr>
          <w:instrText xml:space="preserve"> PAGEREF _Toc469644724 \h </w:instrText>
        </w:r>
        <w:r w:rsidR="005F7DA9">
          <w:rPr>
            <w:noProof/>
            <w:webHidden/>
          </w:rPr>
        </w:r>
        <w:r w:rsidR="005F7DA9">
          <w:rPr>
            <w:noProof/>
            <w:webHidden/>
          </w:rPr>
          <w:fldChar w:fldCharType="separate"/>
        </w:r>
        <w:r>
          <w:rPr>
            <w:noProof/>
            <w:webHidden/>
          </w:rPr>
          <w:t>vii</w:t>
        </w:r>
        <w:r w:rsidR="005F7DA9">
          <w:rPr>
            <w:noProof/>
            <w:webHidden/>
          </w:rPr>
          <w:fldChar w:fldCharType="end"/>
        </w:r>
      </w:hyperlink>
    </w:p>
    <w:p w14:paraId="6697D140" w14:textId="77777777" w:rsidR="005F7DA9" w:rsidRDefault="0075700D">
      <w:pPr>
        <w:pStyle w:val="TOC2"/>
        <w:rPr>
          <w:rFonts w:asciiTheme="minorHAnsi" w:eastAsiaTheme="minorEastAsia" w:hAnsiTheme="minorHAnsi" w:cstheme="minorBidi"/>
          <w:bCs w:val="0"/>
          <w:noProof/>
          <w:szCs w:val="22"/>
          <w:lang w:val="en-AU" w:eastAsia="en-AU"/>
        </w:rPr>
      </w:pPr>
      <w:hyperlink w:anchor="_Toc469644725" w:history="1">
        <w:r w:rsidR="005F7DA9" w:rsidRPr="00540163">
          <w:rPr>
            <w:rStyle w:val="Hyperlink"/>
            <w:noProof/>
          </w:rPr>
          <w:t>Structure of the report</w:t>
        </w:r>
        <w:r w:rsidR="005F7DA9">
          <w:rPr>
            <w:noProof/>
            <w:webHidden/>
          </w:rPr>
          <w:tab/>
        </w:r>
        <w:r w:rsidR="005F7DA9">
          <w:rPr>
            <w:noProof/>
            <w:webHidden/>
          </w:rPr>
          <w:fldChar w:fldCharType="begin"/>
        </w:r>
        <w:r w:rsidR="005F7DA9">
          <w:rPr>
            <w:noProof/>
            <w:webHidden/>
          </w:rPr>
          <w:instrText xml:space="preserve"> PAGEREF _Toc469644725 \h </w:instrText>
        </w:r>
        <w:r w:rsidR="005F7DA9">
          <w:rPr>
            <w:noProof/>
            <w:webHidden/>
          </w:rPr>
        </w:r>
        <w:r w:rsidR="005F7DA9">
          <w:rPr>
            <w:noProof/>
            <w:webHidden/>
          </w:rPr>
          <w:fldChar w:fldCharType="separate"/>
        </w:r>
        <w:r>
          <w:rPr>
            <w:noProof/>
            <w:webHidden/>
          </w:rPr>
          <w:t>viii</w:t>
        </w:r>
        <w:r w:rsidR="005F7DA9">
          <w:rPr>
            <w:noProof/>
            <w:webHidden/>
          </w:rPr>
          <w:fldChar w:fldCharType="end"/>
        </w:r>
      </w:hyperlink>
    </w:p>
    <w:p w14:paraId="694369C7" w14:textId="77777777" w:rsidR="005F7DA9" w:rsidRDefault="0075700D">
      <w:pPr>
        <w:pStyle w:val="TOC2"/>
        <w:rPr>
          <w:rFonts w:asciiTheme="minorHAnsi" w:eastAsiaTheme="minorEastAsia" w:hAnsiTheme="minorHAnsi" w:cstheme="minorBidi"/>
          <w:bCs w:val="0"/>
          <w:noProof/>
          <w:szCs w:val="22"/>
          <w:lang w:val="en-AU" w:eastAsia="en-AU"/>
        </w:rPr>
      </w:pPr>
      <w:hyperlink w:anchor="_Toc469644726" w:history="1">
        <w:r w:rsidR="005F7DA9" w:rsidRPr="00540163">
          <w:rPr>
            <w:rStyle w:val="Hyperlink"/>
            <w:noProof/>
          </w:rPr>
          <w:t>Key findings</w:t>
        </w:r>
        <w:r w:rsidR="005F7DA9">
          <w:rPr>
            <w:noProof/>
            <w:webHidden/>
          </w:rPr>
          <w:tab/>
        </w:r>
        <w:r w:rsidR="005F7DA9">
          <w:rPr>
            <w:noProof/>
            <w:webHidden/>
          </w:rPr>
          <w:fldChar w:fldCharType="begin"/>
        </w:r>
        <w:r w:rsidR="005F7DA9">
          <w:rPr>
            <w:noProof/>
            <w:webHidden/>
          </w:rPr>
          <w:instrText xml:space="preserve"> PAGEREF _Toc469644726 \h </w:instrText>
        </w:r>
        <w:r w:rsidR="005F7DA9">
          <w:rPr>
            <w:noProof/>
            <w:webHidden/>
          </w:rPr>
        </w:r>
        <w:r w:rsidR="005F7DA9">
          <w:rPr>
            <w:noProof/>
            <w:webHidden/>
          </w:rPr>
          <w:fldChar w:fldCharType="separate"/>
        </w:r>
        <w:r>
          <w:rPr>
            <w:noProof/>
            <w:webHidden/>
          </w:rPr>
          <w:t>x</w:t>
        </w:r>
        <w:r w:rsidR="005F7DA9">
          <w:rPr>
            <w:noProof/>
            <w:webHidden/>
          </w:rPr>
          <w:fldChar w:fldCharType="end"/>
        </w:r>
      </w:hyperlink>
    </w:p>
    <w:p w14:paraId="5A3DD5DA" w14:textId="77777777" w:rsidR="005F7DA9" w:rsidRDefault="0075700D">
      <w:pPr>
        <w:pStyle w:val="TOC2"/>
        <w:rPr>
          <w:rFonts w:asciiTheme="minorHAnsi" w:eastAsiaTheme="minorEastAsia" w:hAnsiTheme="minorHAnsi" w:cstheme="minorBidi"/>
          <w:bCs w:val="0"/>
          <w:noProof/>
          <w:szCs w:val="22"/>
          <w:lang w:val="en-AU" w:eastAsia="en-AU"/>
        </w:rPr>
      </w:pPr>
      <w:hyperlink w:anchor="_Toc469644727" w:history="1">
        <w:r w:rsidR="005F7DA9" w:rsidRPr="00540163">
          <w:rPr>
            <w:rStyle w:val="Hyperlink"/>
            <w:noProof/>
          </w:rPr>
          <w:t>Comparing the new fair dealing exception with the fair use exception</w:t>
        </w:r>
        <w:r w:rsidR="005F7DA9">
          <w:rPr>
            <w:noProof/>
            <w:webHidden/>
          </w:rPr>
          <w:tab/>
        </w:r>
        <w:r w:rsidR="005F7DA9">
          <w:rPr>
            <w:noProof/>
            <w:webHidden/>
          </w:rPr>
          <w:fldChar w:fldCharType="begin"/>
        </w:r>
        <w:r w:rsidR="005F7DA9">
          <w:rPr>
            <w:noProof/>
            <w:webHidden/>
          </w:rPr>
          <w:instrText xml:space="preserve"> PAGEREF _Toc469644727 \h </w:instrText>
        </w:r>
        <w:r w:rsidR="005F7DA9">
          <w:rPr>
            <w:noProof/>
            <w:webHidden/>
          </w:rPr>
        </w:r>
        <w:r w:rsidR="005F7DA9">
          <w:rPr>
            <w:noProof/>
            <w:webHidden/>
          </w:rPr>
          <w:fldChar w:fldCharType="separate"/>
        </w:r>
        <w:r>
          <w:rPr>
            <w:noProof/>
            <w:webHidden/>
          </w:rPr>
          <w:t>xiii</w:t>
        </w:r>
        <w:r w:rsidR="005F7DA9">
          <w:rPr>
            <w:noProof/>
            <w:webHidden/>
          </w:rPr>
          <w:fldChar w:fldCharType="end"/>
        </w:r>
      </w:hyperlink>
    </w:p>
    <w:p w14:paraId="1141EEE1" w14:textId="77777777" w:rsidR="005F7DA9" w:rsidRDefault="0075700D">
      <w:pPr>
        <w:pStyle w:val="TOC1"/>
        <w:tabs>
          <w:tab w:val="left" w:pos="480"/>
          <w:tab w:val="right" w:leader="dot" w:pos="9019"/>
        </w:tabs>
        <w:rPr>
          <w:rFonts w:asciiTheme="minorHAnsi" w:eastAsiaTheme="minorEastAsia" w:hAnsiTheme="minorHAnsi" w:cstheme="minorBidi"/>
          <w:bCs w:val="0"/>
          <w:noProof/>
          <w:szCs w:val="22"/>
          <w:lang w:val="en-AU" w:eastAsia="en-AU"/>
        </w:rPr>
      </w:pPr>
      <w:hyperlink w:anchor="_Toc469644728" w:history="1">
        <w:r w:rsidR="005F7DA9" w:rsidRPr="00540163">
          <w:rPr>
            <w:rStyle w:val="Hyperlink"/>
            <w:noProof/>
          </w:rPr>
          <w:t>1.</w:t>
        </w:r>
        <w:r w:rsidR="005F7DA9">
          <w:rPr>
            <w:rFonts w:asciiTheme="minorHAnsi" w:eastAsiaTheme="minorEastAsia" w:hAnsiTheme="minorHAnsi" w:cstheme="minorBidi"/>
            <w:bCs w:val="0"/>
            <w:noProof/>
            <w:szCs w:val="22"/>
            <w:lang w:val="en-AU" w:eastAsia="en-AU"/>
          </w:rPr>
          <w:tab/>
        </w:r>
        <w:r w:rsidR="005F7DA9" w:rsidRPr="00540163">
          <w:rPr>
            <w:rStyle w:val="Hyperlink"/>
            <w:noProof/>
          </w:rPr>
          <w:t>Introduction</w:t>
        </w:r>
        <w:r w:rsidR="005F7DA9">
          <w:rPr>
            <w:noProof/>
            <w:webHidden/>
          </w:rPr>
          <w:tab/>
        </w:r>
        <w:r w:rsidR="005F7DA9">
          <w:rPr>
            <w:noProof/>
            <w:webHidden/>
          </w:rPr>
          <w:fldChar w:fldCharType="begin"/>
        </w:r>
        <w:r w:rsidR="005F7DA9">
          <w:rPr>
            <w:noProof/>
            <w:webHidden/>
          </w:rPr>
          <w:instrText xml:space="preserve"> PAGEREF _Toc469644728 \h </w:instrText>
        </w:r>
        <w:r w:rsidR="005F7DA9">
          <w:rPr>
            <w:noProof/>
            <w:webHidden/>
          </w:rPr>
        </w:r>
        <w:r w:rsidR="005F7DA9">
          <w:rPr>
            <w:noProof/>
            <w:webHidden/>
          </w:rPr>
          <w:fldChar w:fldCharType="separate"/>
        </w:r>
        <w:r>
          <w:rPr>
            <w:noProof/>
            <w:webHidden/>
          </w:rPr>
          <w:t>1</w:t>
        </w:r>
        <w:r w:rsidR="005F7DA9">
          <w:rPr>
            <w:noProof/>
            <w:webHidden/>
          </w:rPr>
          <w:fldChar w:fldCharType="end"/>
        </w:r>
      </w:hyperlink>
    </w:p>
    <w:p w14:paraId="2975E9AF" w14:textId="77777777" w:rsidR="005F7DA9" w:rsidRDefault="0075700D">
      <w:pPr>
        <w:pStyle w:val="TOC2"/>
        <w:rPr>
          <w:rFonts w:asciiTheme="minorHAnsi" w:eastAsiaTheme="minorEastAsia" w:hAnsiTheme="minorHAnsi" w:cstheme="minorBidi"/>
          <w:bCs w:val="0"/>
          <w:noProof/>
          <w:szCs w:val="22"/>
          <w:lang w:val="en-AU" w:eastAsia="en-AU"/>
        </w:rPr>
      </w:pPr>
      <w:hyperlink w:anchor="_Toc469644729" w:history="1">
        <w:r w:rsidR="005F7DA9" w:rsidRPr="00540163">
          <w:rPr>
            <w:rStyle w:val="Hyperlink"/>
            <w:noProof/>
          </w:rPr>
          <w:t>1.1</w:t>
        </w:r>
        <w:r w:rsidR="005F7DA9">
          <w:rPr>
            <w:rFonts w:asciiTheme="minorHAnsi" w:eastAsiaTheme="minorEastAsia" w:hAnsiTheme="minorHAnsi" w:cstheme="minorBidi"/>
            <w:bCs w:val="0"/>
            <w:noProof/>
            <w:szCs w:val="22"/>
            <w:lang w:val="en-AU" w:eastAsia="en-AU"/>
          </w:rPr>
          <w:tab/>
        </w:r>
        <w:r w:rsidR="005F7DA9" w:rsidRPr="00540163">
          <w:rPr>
            <w:rStyle w:val="Hyperlink"/>
            <w:noProof/>
          </w:rPr>
          <w:t>Background</w:t>
        </w:r>
        <w:r w:rsidR="005F7DA9">
          <w:rPr>
            <w:noProof/>
            <w:webHidden/>
          </w:rPr>
          <w:tab/>
        </w:r>
        <w:r w:rsidR="005F7DA9">
          <w:rPr>
            <w:noProof/>
            <w:webHidden/>
          </w:rPr>
          <w:fldChar w:fldCharType="begin"/>
        </w:r>
        <w:r w:rsidR="005F7DA9">
          <w:rPr>
            <w:noProof/>
            <w:webHidden/>
          </w:rPr>
          <w:instrText xml:space="preserve"> PAGEREF _Toc469644729 \h </w:instrText>
        </w:r>
        <w:r w:rsidR="005F7DA9">
          <w:rPr>
            <w:noProof/>
            <w:webHidden/>
          </w:rPr>
        </w:r>
        <w:r w:rsidR="005F7DA9">
          <w:rPr>
            <w:noProof/>
            <w:webHidden/>
          </w:rPr>
          <w:fldChar w:fldCharType="separate"/>
        </w:r>
        <w:r>
          <w:rPr>
            <w:noProof/>
            <w:webHidden/>
          </w:rPr>
          <w:t>1</w:t>
        </w:r>
        <w:r w:rsidR="005F7DA9">
          <w:rPr>
            <w:noProof/>
            <w:webHidden/>
          </w:rPr>
          <w:fldChar w:fldCharType="end"/>
        </w:r>
      </w:hyperlink>
    </w:p>
    <w:p w14:paraId="2B929E0A" w14:textId="77777777" w:rsidR="005F7DA9" w:rsidRDefault="0075700D">
      <w:pPr>
        <w:pStyle w:val="TOC2"/>
        <w:rPr>
          <w:rFonts w:asciiTheme="minorHAnsi" w:eastAsiaTheme="minorEastAsia" w:hAnsiTheme="minorHAnsi" w:cstheme="minorBidi"/>
          <w:bCs w:val="0"/>
          <w:noProof/>
          <w:szCs w:val="22"/>
          <w:lang w:val="en-AU" w:eastAsia="en-AU"/>
        </w:rPr>
      </w:pPr>
      <w:hyperlink w:anchor="_Toc469644730" w:history="1">
        <w:r w:rsidR="005F7DA9" w:rsidRPr="00540163">
          <w:rPr>
            <w:rStyle w:val="Hyperlink"/>
            <w:noProof/>
          </w:rPr>
          <w:t>1.2</w:t>
        </w:r>
        <w:r w:rsidR="005F7DA9">
          <w:rPr>
            <w:rFonts w:asciiTheme="minorHAnsi" w:eastAsiaTheme="minorEastAsia" w:hAnsiTheme="minorHAnsi" w:cstheme="minorBidi"/>
            <w:bCs w:val="0"/>
            <w:noProof/>
            <w:szCs w:val="22"/>
            <w:lang w:val="en-AU" w:eastAsia="en-AU"/>
          </w:rPr>
          <w:tab/>
        </w:r>
        <w:r w:rsidR="005F7DA9" w:rsidRPr="00540163">
          <w:rPr>
            <w:rStyle w:val="Hyperlink"/>
            <w:noProof/>
          </w:rPr>
          <w:t>Project scope</w:t>
        </w:r>
        <w:r w:rsidR="005F7DA9">
          <w:rPr>
            <w:noProof/>
            <w:webHidden/>
          </w:rPr>
          <w:tab/>
        </w:r>
        <w:r w:rsidR="005F7DA9">
          <w:rPr>
            <w:noProof/>
            <w:webHidden/>
          </w:rPr>
          <w:fldChar w:fldCharType="begin"/>
        </w:r>
        <w:r w:rsidR="005F7DA9">
          <w:rPr>
            <w:noProof/>
            <w:webHidden/>
          </w:rPr>
          <w:instrText xml:space="preserve"> PAGEREF _Toc469644730 \h </w:instrText>
        </w:r>
        <w:r w:rsidR="005F7DA9">
          <w:rPr>
            <w:noProof/>
            <w:webHidden/>
          </w:rPr>
        </w:r>
        <w:r w:rsidR="005F7DA9">
          <w:rPr>
            <w:noProof/>
            <w:webHidden/>
          </w:rPr>
          <w:fldChar w:fldCharType="separate"/>
        </w:r>
        <w:r>
          <w:rPr>
            <w:noProof/>
            <w:webHidden/>
          </w:rPr>
          <w:t>3</w:t>
        </w:r>
        <w:r w:rsidR="005F7DA9">
          <w:rPr>
            <w:noProof/>
            <w:webHidden/>
          </w:rPr>
          <w:fldChar w:fldCharType="end"/>
        </w:r>
      </w:hyperlink>
    </w:p>
    <w:p w14:paraId="32C5B9B4" w14:textId="77777777" w:rsidR="005F7DA9" w:rsidRDefault="0075700D">
      <w:pPr>
        <w:pStyle w:val="TOC2"/>
        <w:rPr>
          <w:rFonts w:asciiTheme="minorHAnsi" w:eastAsiaTheme="minorEastAsia" w:hAnsiTheme="minorHAnsi" w:cstheme="minorBidi"/>
          <w:bCs w:val="0"/>
          <w:noProof/>
          <w:szCs w:val="22"/>
          <w:lang w:val="en-AU" w:eastAsia="en-AU"/>
        </w:rPr>
      </w:pPr>
      <w:hyperlink w:anchor="_Toc469644731" w:history="1">
        <w:r w:rsidR="005F7DA9" w:rsidRPr="00540163">
          <w:rPr>
            <w:rStyle w:val="Hyperlink"/>
            <w:noProof/>
          </w:rPr>
          <w:t>1.3</w:t>
        </w:r>
        <w:r w:rsidR="005F7DA9">
          <w:rPr>
            <w:rFonts w:asciiTheme="minorHAnsi" w:eastAsiaTheme="minorEastAsia" w:hAnsiTheme="minorHAnsi" w:cstheme="minorBidi"/>
            <w:bCs w:val="0"/>
            <w:noProof/>
            <w:szCs w:val="22"/>
            <w:lang w:val="en-AU" w:eastAsia="en-AU"/>
          </w:rPr>
          <w:tab/>
        </w:r>
        <w:r w:rsidR="005F7DA9" w:rsidRPr="00540163">
          <w:rPr>
            <w:rStyle w:val="Hyperlink"/>
            <w:noProof/>
          </w:rPr>
          <w:t>Report structure</w:t>
        </w:r>
        <w:r w:rsidR="005F7DA9">
          <w:rPr>
            <w:noProof/>
            <w:webHidden/>
          </w:rPr>
          <w:tab/>
        </w:r>
        <w:r w:rsidR="005F7DA9">
          <w:rPr>
            <w:noProof/>
            <w:webHidden/>
          </w:rPr>
          <w:fldChar w:fldCharType="begin"/>
        </w:r>
        <w:r w:rsidR="005F7DA9">
          <w:rPr>
            <w:noProof/>
            <w:webHidden/>
          </w:rPr>
          <w:instrText xml:space="preserve"> PAGEREF _Toc469644731 \h </w:instrText>
        </w:r>
        <w:r w:rsidR="005F7DA9">
          <w:rPr>
            <w:noProof/>
            <w:webHidden/>
          </w:rPr>
        </w:r>
        <w:r w:rsidR="005F7DA9">
          <w:rPr>
            <w:noProof/>
            <w:webHidden/>
          </w:rPr>
          <w:fldChar w:fldCharType="separate"/>
        </w:r>
        <w:r>
          <w:rPr>
            <w:noProof/>
            <w:webHidden/>
          </w:rPr>
          <w:t>4</w:t>
        </w:r>
        <w:r w:rsidR="005F7DA9">
          <w:rPr>
            <w:noProof/>
            <w:webHidden/>
          </w:rPr>
          <w:fldChar w:fldCharType="end"/>
        </w:r>
      </w:hyperlink>
    </w:p>
    <w:p w14:paraId="66720096" w14:textId="77777777" w:rsidR="005F7DA9" w:rsidRDefault="0075700D">
      <w:pPr>
        <w:pStyle w:val="TOC1"/>
        <w:tabs>
          <w:tab w:val="left" w:pos="480"/>
          <w:tab w:val="right" w:leader="dot" w:pos="9019"/>
        </w:tabs>
        <w:rPr>
          <w:rFonts w:asciiTheme="minorHAnsi" w:eastAsiaTheme="minorEastAsia" w:hAnsiTheme="minorHAnsi" w:cstheme="minorBidi"/>
          <w:bCs w:val="0"/>
          <w:noProof/>
          <w:szCs w:val="22"/>
          <w:lang w:val="en-AU" w:eastAsia="en-AU"/>
        </w:rPr>
      </w:pPr>
      <w:hyperlink w:anchor="_Toc469644732" w:history="1">
        <w:r w:rsidR="005F7DA9" w:rsidRPr="00540163">
          <w:rPr>
            <w:rStyle w:val="Hyperlink"/>
            <w:noProof/>
          </w:rPr>
          <w:t>2.</w:t>
        </w:r>
        <w:r w:rsidR="005F7DA9">
          <w:rPr>
            <w:rFonts w:asciiTheme="minorHAnsi" w:eastAsiaTheme="minorEastAsia" w:hAnsiTheme="minorHAnsi" w:cstheme="minorBidi"/>
            <w:bCs w:val="0"/>
            <w:noProof/>
            <w:szCs w:val="22"/>
            <w:lang w:val="en-AU" w:eastAsia="en-AU"/>
          </w:rPr>
          <w:tab/>
        </w:r>
        <w:r w:rsidR="005F7DA9" w:rsidRPr="00540163">
          <w:rPr>
            <w:rStyle w:val="Hyperlink"/>
            <w:noProof/>
          </w:rPr>
          <w:t>Approach to analysis</w:t>
        </w:r>
        <w:r w:rsidR="005F7DA9">
          <w:rPr>
            <w:noProof/>
            <w:webHidden/>
          </w:rPr>
          <w:tab/>
        </w:r>
        <w:r w:rsidR="005F7DA9">
          <w:rPr>
            <w:noProof/>
            <w:webHidden/>
          </w:rPr>
          <w:fldChar w:fldCharType="begin"/>
        </w:r>
        <w:r w:rsidR="005F7DA9">
          <w:rPr>
            <w:noProof/>
            <w:webHidden/>
          </w:rPr>
          <w:instrText xml:space="preserve"> PAGEREF _Toc469644732 \h </w:instrText>
        </w:r>
        <w:r w:rsidR="005F7DA9">
          <w:rPr>
            <w:noProof/>
            <w:webHidden/>
          </w:rPr>
        </w:r>
        <w:r w:rsidR="005F7DA9">
          <w:rPr>
            <w:noProof/>
            <w:webHidden/>
          </w:rPr>
          <w:fldChar w:fldCharType="separate"/>
        </w:r>
        <w:r>
          <w:rPr>
            <w:noProof/>
            <w:webHidden/>
          </w:rPr>
          <w:t>5</w:t>
        </w:r>
        <w:r w:rsidR="005F7DA9">
          <w:rPr>
            <w:noProof/>
            <w:webHidden/>
          </w:rPr>
          <w:fldChar w:fldCharType="end"/>
        </w:r>
      </w:hyperlink>
    </w:p>
    <w:p w14:paraId="3E8D5E4C" w14:textId="77777777" w:rsidR="005F7DA9" w:rsidRDefault="0075700D">
      <w:pPr>
        <w:pStyle w:val="TOC2"/>
        <w:rPr>
          <w:rFonts w:asciiTheme="minorHAnsi" w:eastAsiaTheme="minorEastAsia" w:hAnsiTheme="minorHAnsi" w:cstheme="minorBidi"/>
          <w:bCs w:val="0"/>
          <w:noProof/>
          <w:szCs w:val="22"/>
          <w:lang w:val="en-AU" w:eastAsia="en-AU"/>
        </w:rPr>
      </w:pPr>
      <w:hyperlink w:anchor="_Toc469644733" w:history="1">
        <w:r w:rsidR="005F7DA9" w:rsidRPr="00540163">
          <w:rPr>
            <w:rStyle w:val="Hyperlink"/>
            <w:noProof/>
          </w:rPr>
          <w:t>2.1</w:t>
        </w:r>
        <w:r w:rsidR="005F7DA9">
          <w:rPr>
            <w:rFonts w:asciiTheme="minorHAnsi" w:eastAsiaTheme="minorEastAsia" w:hAnsiTheme="minorHAnsi" w:cstheme="minorBidi"/>
            <w:bCs w:val="0"/>
            <w:noProof/>
            <w:szCs w:val="22"/>
            <w:lang w:val="en-AU" w:eastAsia="en-AU"/>
          </w:rPr>
          <w:tab/>
        </w:r>
        <w:r w:rsidR="005F7DA9" w:rsidRPr="00540163">
          <w:rPr>
            <w:rStyle w:val="Hyperlink"/>
            <w:noProof/>
          </w:rPr>
          <w:t>Conceptual framework for evaluating costs and benefits</w:t>
        </w:r>
        <w:r w:rsidR="005F7DA9">
          <w:rPr>
            <w:noProof/>
            <w:webHidden/>
          </w:rPr>
          <w:tab/>
        </w:r>
        <w:r w:rsidR="005F7DA9">
          <w:rPr>
            <w:noProof/>
            <w:webHidden/>
          </w:rPr>
          <w:fldChar w:fldCharType="begin"/>
        </w:r>
        <w:r w:rsidR="005F7DA9">
          <w:rPr>
            <w:noProof/>
            <w:webHidden/>
          </w:rPr>
          <w:instrText xml:space="preserve"> PAGEREF _Toc469644733 \h </w:instrText>
        </w:r>
        <w:r w:rsidR="005F7DA9">
          <w:rPr>
            <w:noProof/>
            <w:webHidden/>
          </w:rPr>
        </w:r>
        <w:r w:rsidR="005F7DA9">
          <w:rPr>
            <w:noProof/>
            <w:webHidden/>
          </w:rPr>
          <w:fldChar w:fldCharType="separate"/>
        </w:r>
        <w:r>
          <w:rPr>
            <w:noProof/>
            <w:webHidden/>
          </w:rPr>
          <w:t>5</w:t>
        </w:r>
        <w:r w:rsidR="005F7DA9">
          <w:rPr>
            <w:noProof/>
            <w:webHidden/>
          </w:rPr>
          <w:fldChar w:fldCharType="end"/>
        </w:r>
      </w:hyperlink>
    </w:p>
    <w:p w14:paraId="5067615A" w14:textId="77777777" w:rsidR="005F7DA9" w:rsidRDefault="0075700D">
      <w:pPr>
        <w:pStyle w:val="TOC2"/>
        <w:rPr>
          <w:rFonts w:asciiTheme="minorHAnsi" w:eastAsiaTheme="minorEastAsia" w:hAnsiTheme="minorHAnsi" w:cstheme="minorBidi"/>
          <w:bCs w:val="0"/>
          <w:noProof/>
          <w:szCs w:val="22"/>
          <w:lang w:val="en-AU" w:eastAsia="en-AU"/>
        </w:rPr>
      </w:pPr>
      <w:hyperlink w:anchor="_Toc469644734" w:history="1">
        <w:r w:rsidR="005F7DA9" w:rsidRPr="00540163">
          <w:rPr>
            <w:rStyle w:val="Hyperlink"/>
            <w:noProof/>
          </w:rPr>
          <w:t>2.2</w:t>
        </w:r>
        <w:r w:rsidR="005F7DA9">
          <w:rPr>
            <w:rFonts w:asciiTheme="minorHAnsi" w:eastAsiaTheme="minorEastAsia" w:hAnsiTheme="minorHAnsi" w:cstheme="minorBidi"/>
            <w:bCs w:val="0"/>
            <w:noProof/>
            <w:szCs w:val="22"/>
            <w:lang w:val="en-AU" w:eastAsia="en-AU"/>
          </w:rPr>
          <w:tab/>
        </w:r>
        <w:r w:rsidR="005F7DA9" w:rsidRPr="00540163">
          <w:rPr>
            <w:rStyle w:val="Hyperlink"/>
            <w:noProof/>
          </w:rPr>
          <w:t>Stakeholder consultations</w:t>
        </w:r>
        <w:r w:rsidR="005F7DA9">
          <w:rPr>
            <w:noProof/>
            <w:webHidden/>
          </w:rPr>
          <w:tab/>
        </w:r>
        <w:r w:rsidR="005F7DA9">
          <w:rPr>
            <w:noProof/>
            <w:webHidden/>
          </w:rPr>
          <w:fldChar w:fldCharType="begin"/>
        </w:r>
        <w:r w:rsidR="005F7DA9">
          <w:rPr>
            <w:noProof/>
            <w:webHidden/>
          </w:rPr>
          <w:instrText xml:space="preserve"> PAGEREF _Toc469644734 \h </w:instrText>
        </w:r>
        <w:r w:rsidR="005F7DA9">
          <w:rPr>
            <w:noProof/>
            <w:webHidden/>
          </w:rPr>
        </w:r>
        <w:r w:rsidR="005F7DA9">
          <w:rPr>
            <w:noProof/>
            <w:webHidden/>
          </w:rPr>
          <w:fldChar w:fldCharType="separate"/>
        </w:r>
        <w:r>
          <w:rPr>
            <w:noProof/>
            <w:webHidden/>
          </w:rPr>
          <w:t>9</w:t>
        </w:r>
        <w:r w:rsidR="005F7DA9">
          <w:rPr>
            <w:noProof/>
            <w:webHidden/>
          </w:rPr>
          <w:fldChar w:fldCharType="end"/>
        </w:r>
      </w:hyperlink>
    </w:p>
    <w:p w14:paraId="290E8812" w14:textId="77777777" w:rsidR="005F7DA9" w:rsidRDefault="0075700D">
      <w:pPr>
        <w:pStyle w:val="TOC2"/>
        <w:rPr>
          <w:rFonts w:asciiTheme="minorHAnsi" w:eastAsiaTheme="minorEastAsia" w:hAnsiTheme="minorHAnsi" w:cstheme="minorBidi"/>
          <w:bCs w:val="0"/>
          <w:noProof/>
          <w:szCs w:val="22"/>
          <w:lang w:val="en-AU" w:eastAsia="en-AU"/>
        </w:rPr>
      </w:pPr>
      <w:hyperlink w:anchor="_Toc469644735" w:history="1">
        <w:r w:rsidR="005F7DA9" w:rsidRPr="00540163">
          <w:rPr>
            <w:rStyle w:val="Hyperlink"/>
            <w:noProof/>
          </w:rPr>
          <w:t>2.3</w:t>
        </w:r>
        <w:r w:rsidR="005F7DA9">
          <w:rPr>
            <w:rFonts w:asciiTheme="minorHAnsi" w:eastAsiaTheme="minorEastAsia" w:hAnsiTheme="minorHAnsi" w:cstheme="minorBidi"/>
            <w:bCs w:val="0"/>
            <w:noProof/>
            <w:szCs w:val="22"/>
            <w:lang w:val="en-AU" w:eastAsia="en-AU"/>
          </w:rPr>
          <w:tab/>
        </w:r>
        <w:r w:rsidR="005F7DA9" w:rsidRPr="00540163">
          <w:rPr>
            <w:rStyle w:val="Hyperlink"/>
            <w:noProof/>
          </w:rPr>
          <w:t>Key assumptions</w:t>
        </w:r>
        <w:r w:rsidR="005F7DA9">
          <w:rPr>
            <w:noProof/>
            <w:webHidden/>
          </w:rPr>
          <w:tab/>
        </w:r>
        <w:r w:rsidR="005F7DA9">
          <w:rPr>
            <w:noProof/>
            <w:webHidden/>
          </w:rPr>
          <w:fldChar w:fldCharType="begin"/>
        </w:r>
        <w:r w:rsidR="005F7DA9">
          <w:rPr>
            <w:noProof/>
            <w:webHidden/>
          </w:rPr>
          <w:instrText xml:space="preserve"> PAGEREF _Toc469644735 \h </w:instrText>
        </w:r>
        <w:r w:rsidR="005F7DA9">
          <w:rPr>
            <w:noProof/>
            <w:webHidden/>
          </w:rPr>
        </w:r>
        <w:r w:rsidR="005F7DA9">
          <w:rPr>
            <w:noProof/>
            <w:webHidden/>
          </w:rPr>
          <w:fldChar w:fldCharType="separate"/>
        </w:r>
        <w:r>
          <w:rPr>
            <w:noProof/>
            <w:webHidden/>
          </w:rPr>
          <w:t>10</w:t>
        </w:r>
        <w:r w:rsidR="005F7DA9">
          <w:rPr>
            <w:noProof/>
            <w:webHidden/>
          </w:rPr>
          <w:fldChar w:fldCharType="end"/>
        </w:r>
      </w:hyperlink>
    </w:p>
    <w:p w14:paraId="2D86F43B" w14:textId="77777777" w:rsidR="005F7DA9" w:rsidRDefault="0075700D">
      <w:pPr>
        <w:pStyle w:val="TOC1"/>
        <w:tabs>
          <w:tab w:val="left" w:pos="480"/>
          <w:tab w:val="right" w:leader="dot" w:pos="9019"/>
        </w:tabs>
        <w:rPr>
          <w:rFonts w:asciiTheme="minorHAnsi" w:eastAsiaTheme="minorEastAsia" w:hAnsiTheme="minorHAnsi" w:cstheme="minorBidi"/>
          <w:bCs w:val="0"/>
          <w:noProof/>
          <w:szCs w:val="22"/>
          <w:lang w:val="en-AU" w:eastAsia="en-AU"/>
        </w:rPr>
      </w:pPr>
      <w:hyperlink w:anchor="_Toc469644736" w:history="1">
        <w:r w:rsidR="005F7DA9" w:rsidRPr="00540163">
          <w:rPr>
            <w:rStyle w:val="Hyperlink"/>
            <w:noProof/>
          </w:rPr>
          <w:t>3.</w:t>
        </w:r>
        <w:r w:rsidR="005F7DA9">
          <w:rPr>
            <w:rFonts w:asciiTheme="minorHAnsi" w:eastAsiaTheme="minorEastAsia" w:hAnsiTheme="minorHAnsi" w:cstheme="minorBidi"/>
            <w:bCs w:val="0"/>
            <w:noProof/>
            <w:szCs w:val="22"/>
            <w:lang w:val="en-AU" w:eastAsia="en-AU"/>
          </w:rPr>
          <w:tab/>
        </w:r>
        <w:r w:rsidR="005F7DA9" w:rsidRPr="00540163">
          <w:rPr>
            <w:rStyle w:val="Hyperlink"/>
            <w:noProof/>
          </w:rPr>
          <w:t>Impact of fair dealing exceptions</w:t>
        </w:r>
        <w:r w:rsidR="005F7DA9">
          <w:rPr>
            <w:noProof/>
            <w:webHidden/>
          </w:rPr>
          <w:tab/>
        </w:r>
        <w:r w:rsidR="005F7DA9">
          <w:rPr>
            <w:noProof/>
            <w:webHidden/>
          </w:rPr>
          <w:fldChar w:fldCharType="begin"/>
        </w:r>
        <w:r w:rsidR="005F7DA9">
          <w:rPr>
            <w:noProof/>
            <w:webHidden/>
          </w:rPr>
          <w:instrText xml:space="preserve"> PAGEREF _Toc469644736 \h </w:instrText>
        </w:r>
        <w:r w:rsidR="005F7DA9">
          <w:rPr>
            <w:noProof/>
            <w:webHidden/>
          </w:rPr>
        </w:r>
        <w:r w:rsidR="005F7DA9">
          <w:rPr>
            <w:noProof/>
            <w:webHidden/>
          </w:rPr>
          <w:fldChar w:fldCharType="separate"/>
        </w:r>
        <w:r>
          <w:rPr>
            <w:noProof/>
            <w:webHidden/>
          </w:rPr>
          <w:t>12</w:t>
        </w:r>
        <w:r w:rsidR="005F7DA9">
          <w:rPr>
            <w:noProof/>
            <w:webHidden/>
          </w:rPr>
          <w:fldChar w:fldCharType="end"/>
        </w:r>
      </w:hyperlink>
    </w:p>
    <w:p w14:paraId="2D543F2C" w14:textId="77777777" w:rsidR="005F7DA9" w:rsidRDefault="0075700D">
      <w:pPr>
        <w:pStyle w:val="TOC2"/>
        <w:rPr>
          <w:rFonts w:asciiTheme="minorHAnsi" w:eastAsiaTheme="minorEastAsia" w:hAnsiTheme="minorHAnsi" w:cstheme="minorBidi"/>
          <w:bCs w:val="0"/>
          <w:noProof/>
          <w:szCs w:val="22"/>
          <w:lang w:val="en-AU" w:eastAsia="en-AU"/>
        </w:rPr>
      </w:pPr>
      <w:hyperlink w:anchor="_Toc469644737" w:history="1">
        <w:r w:rsidR="005F7DA9" w:rsidRPr="00540163">
          <w:rPr>
            <w:rStyle w:val="Hyperlink"/>
            <w:noProof/>
          </w:rPr>
          <w:t>3.1</w:t>
        </w:r>
        <w:r w:rsidR="005F7DA9">
          <w:rPr>
            <w:rFonts w:asciiTheme="minorHAnsi" w:eastAsiaTheme="minorEastAsia" w:hAnsiTheme="minorHAnsi" w:cstheme="minorBidi"/>
            <w:bCs w:val="0"/>
            <w:noProof/>
            <w:szCs w:val="22"/>
            <w:lang w:val="en-AU" w:eastAsia="en-AU"/>
          </w:rPr>
          <w:tab/>
        </w:r>
        <w:r w:rsidR="005F7DA9" w:rsidRPr="00540163">
          <w:rPr>
            <w:rStyle w:val="Hyperlink"/>
            <w:noProof/>
          </w:rPr>
          <w:t>Quotation</w:t>
        </w:r>
        <w:r w:rsidR="005F7DA9">
          <w:rPr>
            <w:noProof/>
            <w:webHidden/>
          </w:rPr>
          <w:tab/>
        </w:r>
        <w:r w:rsidR="005F7DA9">
          <w:rPr>
            <w:noProof/>
            <w:webHidden/>
          </w:rPr>
          <w:fldChar w:fldCharType="begin"/>
        </w:r>
        <w:r w:rsidR="005F7DA9">
          <w:rPr>
            <w:noProof/>
            <w:webHidden/>
          </w:rPr>
          <w:instrText xml:space="preserve"> PAGEREF _Toc469644737 \h </w:instrText>
        </w:r>
        <w:r w:rsidR="005F7DA9">
          <w:rPr>
            <w:noProof/>
            <w:webHidden/>
          </w:rPr>
        </w:r>
        <w:r w:rsidR="005F7DA9">
          <w:rPr>
            <w:noProof/>
            <w:webHidden/>
          </w:rPr>
          <w:fldChar w:fldCharType="separate"/>
        </w:r>
        <w:r>
          <w:rPr>
            <w:noProof/>
            <w:webHidden/>
          </w:rPr>
          <w:t>12</w:t>
        </w:r>
        <w:r w:rsidR="005F7DA9">
          <w:rPr>
            <w:noProof/>
            <w:webHidden/>
          </w:rPr>
          <w:fldChar w:fldCharType="end"/>
        </w:r>
      </w:hyperlink>
    </w:p>
    <w:p w14:paraId="14083641" w14:textId="77777777" w:rsidR="005F7DA9" w:rsidRDefault="0075700D">
      <w:pPr>
        <w:pStyle w:val="TOC2"/>
        <w:rPr>
          <w:rFonts w:asciiTheme="minorHAnsi" w:eastAsiaTheme="minorEastAsia" w:hAnsiTheme="minorHAnsi" w:cstheme="minorBidi"/>
          <w:bCs w:val="0"/>
          <w:noProof/>
          <w:szCs w:val="22"/>
          <w:lang w:val="en-AU" w:eastAsia="en-AU"/>
        </w:rPr>
      </w:pPr>
      <w:hyperlink w:anchor="_Toc469644738" w:history="1">
        <w:r w:rsidR="005F7DA9" w:rsidRPr="00540163">
          <w:rPr>
            <w:rStyle w:val="Hyperlink"/>
            <w:noProof/>
          </w:rPr>
          <w:t>3.2</w:t>
        </w:r>
        <w:r w:rsidR="005F7DA9">
          <w:rPr>
            <w:rFonts w:asciiTheme="minorHAnsi" w:eastAsiaTheme="minorEastAsia" w:hAnsiTheme="minorHAnsi" w:cstheme="minorBidi"/>
            <w:bCs w:val="0"/>
            <w:noProof/>
            <w:szCs w:val="22"/>
            <w:lang w:val="en-AU" w:eastAsia="en-AU"/>
          </w:rPr>
          <w:tab/>
        </w:r>
        <w:r w:rsidR="005F7DA9" w:rsidRPr="00540163">
          <w:rPr>
            <w:rStyle w:val="Hyperlink"/>
            <w:noProof/>
          </w:rPr>
          <w:t>Non-commercial private use</w:t>
        </w:r>
        <w:r w:rsidR="005F7DA9">
          <w:rPr>
            <w:noProof/>
            <w:webHidden/>
          </w:rPr>
          <w:tab/>
        </w:r>
        <w:r w:rsidR="005F7DA9">
          <w:rPr>
            <w:noProof/>
            <w:webHidden/>
          </w:rPr>
          <w:fldChar w:fldCharType="begin"/>
        </w:r>
        <w:r w:rsidR="005F7DA9">
          <w:rPr>
            <w:noProof/>
            <w:webHidden/>
          </w:rPr>
          <w:instrText xml:space="preserve"> PAGEREF _Toc469644738 \h </w:instrText>
        </w:r>
        <w:r w:rsidR="005F7DA9">
          <w:rPr>
            <w:noProof/>
            <w:webHidden/>
          </w:rPr>
        </w:r>
        <w:r w:rsidR="005F7DA9">
          <w:rPr>
            <w:noProof/>
            <w:webHidden/>
          </w:rPr>
          <w:fldChar w:fldCharType="separate"/>
        </w:r>
        <w:r>
          <w:rPr>
            <w:noProof/>
            <w:webHidden/>
          </w:rPr>
          <w:t>22</w:t>
        </w:r>
        <w:r w:rsidR="005F7DA9">
          <w:rPr>
            <w:noProof/>
            <w:webHidden/>
          </w:rPr>
          <w:fldChar w:fldCharType="end"/>
        </w:r>
      </w:hyperlink>
    </w:p>
    <w:p w14:paraId="1A162917" w14:textId="77777777" w:rsidR="005F7DA9" w:rsidRDefault="0075700D">
      <w:pPr>
        <w:pStyle w:val="TOC2"/>
        <w:rPr>
          <w:rFonts w:asciiTheme="minorHAnsi" w:eastAsiaTheme="minorEastAsia" w:hAnsiTheme="minorHAnsi" w:cstheme="minorBidi"/>
          <w:bCs w:val="0"/>
          <w:noProof/>
          <w:szCs w:val="22"/>
          <w:lang w:val="en-AU" w:eastAsia="en-AU"/>
        </w:rPr>
      </w:pPr>
      <w:hyperlink w:anchor="_Toc469644739" w:history="1">
        <w:r w:rsidR="005F7DA9" w:rsidRPr="00540163">
          <w:rPr>
            <w:rStyle w:val="Hyperlink"/>
            <w:noProof/>
          </w:rPr>
          <w:t>3.3</w:t>
        </w:r>
        <w:r w:rsidR="005F7DA9">
          <w:rPr>
            <w:rFonts w:asciiTheme="minorHAnsi" w:eastAsiaTheme="minorEastAsia" w:hAnsiTheme="minorHAnsi" w:cstheme="minorBidi"/>
            <w:bCs w:val="0"/>
            <w:noProof/>
            <w:szCs w:val="22"/>
            <w:lang w:val="en-AU" w:eastAsia="en-AU"/>
          </w:rPr>
          <w:tab/>
        </w:r>
        <w:r w:rsidR="005F7DA9" w:rsidRPr="00540163">
          <w:rPr>
            <w:rStyle w:val="Hyperlink"/>
            <w:noProof/>
          </w:rPr>
          <w:t>Incidental or technical use</w:t>
        </w:r>
        <w:r w:rsidR="005F7DA9">
          <w:rPr>
            <w:noProof/>
            <w:webHidden/>
          </w:rPr>
          <w:tab/>
        </w:r>
        <w:r w:rsidR="005F7DA9">
          <w:rPr>
            <w:noProof/>
            <w:webHidden/>
          </w:rPr>
          <w:fldChar w:fldCharType="begin"/>
        </w:r>
        <w:r w:rsidR="005F7DA9">
          <w:rPr>
            <w:noProof/>
            <w:webHidden/>
          </w:rPr>
          <w:instrText xml:space="preserve"> PAGEREF _Toc469644739 \h </w:instrText>
        </w:r>
        <w:r w:rsidR="005F7DA9">
          <w:rPr>
            <w:noProof/>
            <w:webHidden/>
          </w:rPr>
        </w:r>
        <w:r w:rsidR="005F7DA9">
          <w:rPr>
            <w:noProof/>
            <w:webHidden/>
          </w:rPr>
          <w:fldChar w:fldCharType="separate"/>
        </w:r>
        <w:r>
          <w:rPr>
            <w:noProof/>
            <w:webHidden/>
          </w:rPr>
          <w:t>30</w:t>
        </w:r>
        <w:r w:rsidR="005F7DA9">
          <w:rPr>
            <w:noProof/>
            <w:webHidden/>
          </w:rPr>
          <w:fldChar w:fldCharType="end"/>
        </w:r>
      </w:hyperlink>
    </w:p>
    <w:p w14:paraId="5F332A26" w14:textId="77777777" w:rsidR="005F7DA9" w:rsidRDefault="0075700D">
      <w:pPr>
        <w:pStyle w:val="TOC2"/>
        <w:rPr>
          <w:rFonts w:asciiTheme="minorHAnsi" w:eastAsiaTheme="minorEastAsia" w:hAnsiTheme="minorHAnsi" w:cstheme="minorBidi"/>
          <w:bCs w:val="0"/>
          <w:noProof/>
          <w:szCs w:val="22"/>
          <w:lang w:val="en-AU" w:eastAsia="en-AU"/>
        </w:rPr>
      </w:pPr>
      <w:hyperlink w:anchor="_Toc469644740" w:history="1">
        <w:r w:rsidR="005F7DA9" w:rsidRPr="00540163">
          <w:rPr>
            <w:rStyle w:val="Hyperlink"/>
            <w:noProof/>
          </w:rPr>
          <w:t>3.4</w:t>
        </w:r>
        <w:r w:rsidR="005F7DA9">
          <w:rPr>
            <w:rFonts w:asciiTheme="minorHAnsi" w:eastAsiaTheme="minorEastAsia" w:hAnsiTheme="minorHAnsi" w:cstheme="minorBidi"/>
            <w:bCs w:val="0"/>
            <w:noProof/>
            <w:szCs w:val="22"/>
            <w:lang w:val="en-AU" w:eastAsia="en-AU"/>
          </w:rPr>
          <w:tab/>
        </w:r>
        <w:r w:rsidR="005F7DA9" w:rsidRPr="00540163">
          <w:rPr>
            <w:rStyle w:val="Hyperlink"/>
            <w:noProof/>
          </w:rPr>
          <w:t>Data and text mining</w:t>
        </w:r>
        <w:r w:rsidR="005F7DA9">
          <w:rPr>
            <w:noProof/>
            <w:webHidden/>
          </w:rPr>
          <w:tab/>
        </w:r>
        <w:r w:rsidR="005F7DA9">
          <w:rPr>
            <w:noProof/>
            <w:webHidden/>
          </w:rPr>
          <w:fldChar w:fldCharType="begin"/>
        </w:r>
        <w:r w:rsidR="005F7DA9">
          <w:rPr>
            <w:noProof/>
            <w:webHidden/>
          </w:rPr>
          <w:instrText xml:space="preserve"> PAGEREF _Toc469644740 \h </w:instrText>
        </w:r>
        <w:r w:rsidR="005F7DA9">
          <w:rPr>
            <w:noProof/>
            <w:webHidden/>
          </w:rPr>
        </w:r>
        <w:r w:rsidR="005F7DA9">
          <w:rPr>
            <w:noProof/>
            <w:webHidden/>
          </w:rPr>
          <w:fldChar w:fldCharType="separate"/>
        </w:r>
        <w:r>
          <w:rPr>
            <w:noProof/>
            <w:webHidden/>
          </w:rPr>
          <w:t>39</w:t>
        </w:r>
        <w:r w:rsidR="005F7DA9">
          <w:rPr>
            <w:noProof/>
            <w:webHidden/>
          </w:rPr>
          <w:fldChar w:fldCharType="end"/>
        </w:r>
      </w:hyperlink>
    </w:p>
    <w:p w14:paraId="48E4E8FE" w14:textId="77777777" w:rsidR="005F7DA9" w:rsidRDefault="0075700D">
      <w:pPr>
        <w:pStyle w:val="TOC2"/>
        <w:rPr>
          <w:rFonts w:asciiTheme="minorHAnsi" w:eastAsiaTheme="minorEastAsia" w:hAnsiTheme="minorHAnsi" w:cstheme="minorBidi"/>
          <w:bCs w:val="0"/>
          <w:noProof/>
          <w:szCs w:val="22"/>
          <w:lang w:val="en-AU" w:eastAsia="en-AU"/>
        </w:rPr>
      </w:pPr>
      <w:hyperlink w:anchor="_Toc469644741" w:history="1">
        <w:r w:rsidR="005F7DA9" w:rsidRPr="00540163">
          <w:rPr>
            <w:rStyle w:val="Hyperlink"/>
            <w:noProof/>
          </w:rPr>
          <w:t>3.5</w:t>
        </w:r>
        <w:r w:rsidR="005F7DA9">
          <w:rPr>
            <w:rFonts w:asciiTheme="minorHAnsi" w:eastAsiaTheme="minorEastAsia" w:hAnsiTheme="minorHAnsi" w:cstheme="minorBidi"/>
            <w:bCs w:val="0"/>
            <w:noProof/>
            <w:szCs w:val="22"/>
            <w:lang w:val="en-AU" w:eastAsia="en-AU"/>
          </w:rPr>
          <w:tab/>
        </w:r>
        <w:r w:rsidR="005F7DA9" w:rsidRPr="00540163">
          <w:rPr>
            <w:rStyle w:val="Hyperlink"/>
            <w:noProof/>
          </w:rPr>
          <w:t>Education</w:t>
        </w:r>
        <w:r w:rsidR="005F7DA9">
          <w:rPr>
            <w:noProof/>
            <w:webHidden/>
          </w:rPr>
          <w:tab/>
        </w:r>
        <w:r w:rsidR="005F7DA9">
          <w:rPr>
            <w:noProof/>
            <w:webHidden/>
          </w:rPr>
          <w:fldChar w:fldCharType="begin"/>
        </w:r>
        <w:r w:rsidR="005F7DA9">
          <w:rPr>
            <w:noProof/>
            <w:webHidden/>
          </w:rPr>
          <w:instrText xml:space="preserve"> PAGEREF _Toc469644741 \h </w:instrText>
        </w:r>
        <w:r w:rsidR="005F7DA9">
          <w:rPr>
            <w:noProof/>
            <w:webHidden/>
          </w:rPr>
        </w:r>
        <w:r w:rsidR="005F7DA9">
          <w:rPr>
            <w:noProof/>
            <w:webHidden/>
          </w:rPr>
          <w:fldChar w:fldCharType="separate"/>
        </w:r>
        <w:r>
          <w:rPr>
            <w:noProof/>
            <w:webHidden/>
          </w:rPr>
          <w:t>50</w:t>
        </w:r>
        <w:r w:rsidR="005F7DA9">
          <w:rPr>
            <w:noProof/>
            <w:webHidden/>
          </w:rPr>
          <w:fldChar w:fldCharType="end"/>
        </w:r>
      </w:hyperlink>
    </w:p>
    <w:p w14:paraId="10CB356A" w14:textId="77777777" w:rsidR="005F7DA9" w:rsidRDefault="0075700D">
      <w:pPr>
        <w:pStyle w:val="TOC2"/>
        <w:rPr>
          <w:rFonts w:asciiTheme="minorHAnsi" w:eastAsiaTheme="minorEastAsia" w:hAnsiTheme="minorHAnsi" w:cstheme="minorBidi"/>
          <w:bCs w:val="0"/>
          <w:noProof/>
          <w:szCs w:val="22"/>
          <w:lang w:val="en-AU" w:eastAsia="en-AU"/>
        </w:rPr>
      </w:pPr>
      <w:hyperlink w:anchor="_Toc469644742" w:history="1">
        <w:r w:rsidR="005F7DA9" w:rsidRPr="00540163">
          <w:rPr>
            <w:rStyle w:val="Hyperlink"/>
            <w:noProof/>
          </w:rPr>
          <w:t>3.6</w:t>
        </w:r>
        <w:r w:rsidR="005F7DA9">
          <w:rPr>
            <w:rFonts w:asciiTheme="minorHAnsi" w:eastAsiaTheme="minorEastAsia" w:hAnsiTheme="minorHAnsi" w:cstheme="minorBidi"/>
            <w:bCs w:val="0"/>
            <w:noProof/>
            <w:szCs w:val="22"/>
            <w:lang w:val="en-AU" w:eastAsia="en-AU"/>
          </w:rPr>
          <w:tab/>
        </w:r>
        <w:r w:rsidR="005F7DA9" w:rsidRPr="00540163">
          <w:rPr>
            <w:rStyle w:val="Hyperlink"/>
            <w:noProof/>
          </w:rPr>
          <w:t>Libraries and archives</w:t>
        </w:r>
        <w:r w:rsidR="005F7DA9">
          <w:rPr>
            <w:noProof/>
            <w:webHidden/>
          </w:rPr>
          <w:tab/>
        </w:r>
        <w:r w:rsidR="005F7DA9">
          <w:rPr>
            <w:noProof/>
            <w:webHidden/>
          </w:rPr>
          <w:fldChar w:fldCharType="begin"/>
        </w:r>
        <w:r w:rsidR="005F7DA9">
          <w:rPr>
            <w:noProof/>
            <w:webHidden/>
          </w:rPr>
          <w:instrText xml:space="preserve"> PAGEREF _Toc469644742 \h </w:instrText>
        </w:r>
        <w:r w:rsidR="005F7DA9">
          <w:rPr>
            <w:noProof/>
            <w:webHidden/>
          </w:rPr>
        </w:r>
        <w:r w:rsidR="005F7DA9">
          <w:rPr>
            <w:noProof/>
            <w:webHidden/>
          </w:rPr>
          <w:fldChar w:fldCharType="separate"/>
        </w:r>
        <w:r>
          <w:rPr>
            <w:noProof/>
            <w:webHidden/>
          </w:rPr>
          <w:t>69</w:t>
        </w:r>
        <w:r w:rsidR="005F7DA9">
          <w:rPr>
            <w:noProof/>
            <w:webHidden/>
          </w:rPr>
          <w:fldChar w:fldCharType="end"/>
        </w:r>
      </w:hyperlink>
    </w:p>
    <w:p w14:paraId="5ECCCE84" w14:textId="77777777" w:rsidR="005F7DA9" w:rsidRDefault="0075700D">
      <w:pPr>
        <w:pStyle w:val="TOC2"/>
        <w:rPr>
          <w:rFonts w:asciiTheme="minorHAnsi" w:eastAsiaTheme="minorEastAsia" w:hAnsiTheme="minorHAnsi" w:cstheme="minorBidi"/>
          <w:bCs w:val="0"/>
          <w:noProof/>
          <w:szCs w:val="22"/>
          <w:lang w:val="en-AU" w:eastAsia="en-AU"/>
        </w:rPr>
      </w:pPr>
      <w:hyperlink w:anchor="_Toc469644745" w:history="1">
        <w:r w:rsidR="005F7DA9" w:rsidRPr="00540163">
          <w:rPr>
            <w:rStyle w:val="Hyperlink"/>
            <w:noProof/>
          </w:rPr>
          <w:t>3.7</w:t>
        </w:r>
        <w:r w:rsidR="005F7DA9">
          <w:rPr>
            <w:rFonts w:asciiTheme="minorHAnsi" w:eastAsiaTheme="minorEastAsia" w:hAnsiTheme="minorHAnsi" w:cstheme="minorBidi"/>
            <w:bCs w:val="0"/>
            <w:noProof/>
            <w:szCs w:val="22"/>
            <w:lang w:val="en-AU" w:eastAsia="en-AU"/>
          </w:rPr>
          <w:tab/>
        </w:r>
        <w:r w:rsidR="005F7DA9" w:rsidRPr="00540163">
          <w:rPr>
            <w:rStyle w:val="Hyperlink"/>
            <w:noProof/>
          </w:rPr>
          <w:t>Orphan works</w:t>
        </w:r>
        <w:r w:rsidR="005F7DA9">
          <w:rPr>
            <w:noProof/>
            <w:webHidden/>
          </w:rPr>
          <w:tab/>
        </w:r>
        <w:r w:rsidR="005F7DA9">
          <w:rPr>
            <w:noProof/>
            <w:webHidden/>
          </w:rPr>
          <w:fldChar w:fldCharType="begin"/>
        </w:r>
        <w:r w:rsidR="005F7DA9">
          <w:rPr>
            <w:noProof/>
            <w:webHidden/>
          </w:rPr>
          <w:instrText xml:space="preserve"> PAGEREF _Toc469644745 \h </w:instrText>
        </w:r>
        <w:r w:rsidR="005F7DA9">
          <w:rPr>
            <w:noProof/>
            <w:webHidden/>
          </w:rPr>
        </w:r>
        <w:r w:rsidR="005F7DA9">
          <w:rPr>
            <w:noProof/>
            <w:webHidden/>
          </w:rPr>
          <w:fldChar w:fldCharType="separate"/>
        </w:r>
        <w:r>
          <w:rPr>
            <w:noProof/>
            <w:webHidden/>
          </w:rPr>
          <w:t>70</w:t>
        </w:r>
        <w:r w:rsidR="005F7DA9">
          <w:rPr>
            <w:noProof/>
            <w:webHidden/>
          </w:rPr>
          <w:fldChar w:fldCharType="end"/>
        </w:r>
      </w:hyperlink>
    </w:p>
    <w:p w14:paraId="721B81D4" w14:textId="77777777" w:rsidR="005F7DA9" w:rsidRDefault="0075700D">
      <w:pPr>
        <w:pStyle w:val="TOC1"/>
        <w:tabs>
          <w:tab w:val="left" w:pos="480"/>
          <w:tab w:val="right" w:leader="dot" w:pos="9019"/>
        </w:tabs>
        <w:rPr>
          <w:rFonts w:asciiTheme="minorHAnsi" w:eastAsiaTheme="minorEastAsia" w:hAnsiTheme="minorHAnsi" w:cstheme="minorBidi"/>
          <w:bCs w:val="0"/>
          <w:noProof/>
          <w:szCs w:val="22"/>
          <w:lang w:val="en-AU" w:eastAsia="en-AU"/>
        </w:rPr>
      </w:pPr>
      <w:hyperlink w:anchor="_Toc469644746" w:history="1">
        <w:r w:rsidR="005F7DA9" w:rsidRPr="00540163">
          <w:rPr>
            <w:rStyle w:val="Hyperlink"/>
            <w:noProof/>
          </w:rPr>
          <w:t>4.</w:t>
        </w:r>
        <w:r w:rsidR="005F7DA9">
          <w:rPr>
            <w:rFonts w:asciiTheme="minorHAnsi" w:eastAsiaTheme="minorEastAsia" w:hAnsiTheme="minorHAnsi" w:cstheme="minorBidi"/>
            <w:bCs w:val="0"/>
            <w:noProof/>
            <w:szCs w:val="22"/>
            <w:lang w:val="en-AU" w:eastAsia="en-AU"/>
          </w:rPr>
          <w:tab/>
        </w:r>
        <w:r w:rsidR="005F7DA9" w:rsidRPr="00540163">
          <w:rPr>
            <w:rStyle w:val="Hyperlink"/>
            <w:noProof/>
          </w:rPr>
          <w:t>Fair dealing and fair use compared</w:t>
        </w:r>
        <w:r w:rsidR="005F7DA9">
          <w:rPr>
            <w:noProof/>
            <w:webHidden/>
          </w:rPr>
          <w:tab/>
        </w:r>
        <w:r w:rsidR="005F7DA9">
          <w:rPr>
            <w:noProof/>
            <w:webHidden/>
          </w:rPr>
          <w:fldChar w:fldCharType="begin"/>
        </w:r>
        <w:r w:rsidR="005F7DA9">
          <w:rPr>
            <w:noProof/>
            <w:webHidden/>
          </w:rPr>
          <w:instrText xml:space="preserve"> PAGEREF _Toc469644746 \h </w:instrText>
        </w:r>
        <w:r w:rsidR="005F7DA9">
          <w:rPr>
            <w:noProof/>
            <w:webHidden/>
          </w:rPr>
        </w:r>
        <w:r w:rsidR="005F7DA9">
          <w:rPr>
            <w:noProof/>
            <w:webHidden/>
          </w:rPr>
          <w:fldChar w:fldCharType="separate"/>
        </w:r>
        <w:r>
          <w:rPr>
            <w:noProof/>
            <w:webHidden/>
          </w:rPr>
          <w:t>81</w:t>
        </w:r>
        <w:r w:rsidR="005F7DA9">
          <w:rPr>
            <w:noProof/>
            <w:webHidden/>
          </w:rPr>
          <w:fldChar w:fldCharType="end"/>
        </w:r>
      </w:hyperlink>
    </w:p>
    <w:p w14:paraId="2450A717" w14:textId="77777777" w:rsidR="005F7DA9" w:rsidRDefault="0075700D">
      <w:pPr>
        <w:pStyle w:val="TOC2"/>
        <w:rPr>
          <w:rFonts w:asciiTheme="minorHAnsi" w:eastAsiaTheme="minorEastAsia" w:hAnsiTheme="minorHAnsi" w:cstheme="minorBidi"/>
          <w:bCs w:val="0"/>
          <w:noProof/>
          <w:szCs w:val="22"/>
          <w:lang w:val="en-AU" w:eastAsia="en-AU"/>
        </w:rPr>
      </w:pPr>
      <w:hyperlink w:anchor="_Toc469644747" w:history="1">
        <w:r w:rsidR="005F7DA9" w:rsidRPr="00540163">
          <w:rPr>
            <w:rStyle w:val="Hyperlink"/>
            <w:noProof/>
          </w:rPr>
          <w:t>4.1</w:t>
        </w:r>
        <w:r w:rsidR="005F7DA9">
          <w:rPr>
            <w:rFonts w:asciiTheme="minorHAnsi" w:eastAsiaTheme="minorEastAsia" w:hAnsiTheme="minorHAnsi" w:cstheme="minorBidi"/>
            <w:bCs w:val="0"/>
            <w:noProof/>
            <w:szCs w:val="22"/>
            <w:lang w:val="en-AU" w:eastAsia="en-AU"/>
          </w:rPr>
          <w:tab/>
        </w:r>
        <w:r w:rsidR="005F7DA9" w:rsidRPr="00540163">
          <w:rPr>
            <w:rStyle w:val="Hyperlink"/>
            <w:noProof/>
          </w:rPr>
          <w:t>Certainty</w:t>
        </w:r>
        <w:r w:rsidR="005F7DA9">
          <w:rPr>
            <w:noProof/>
            <w:webHidden/>
          </w:rPr>
          <w:tab/>
        </w:r>
        <w:r w:rsidR="005F7DA9">
          <w:rPr>
            <w:noProof/>
            <w:webHidden/>
          </w:rPr>
          <w:fldChar w:fldCharType="begin"/>
        </w:r>
        <w:r w:rsidR="005F7DA9">
          <w:rPr>
            <w:noProof/>
            <w:webHidden/>
          </w:rPr>
          <w:instrText xml:space="preserve"> PAGEREF _Toc469644747 \h </w:instrText>
        </w:r>
        <w:r w:rsidR="005F7DA9">
          <w:rPr>
            <w:noProof/>
            <w:webHidden/>
          </w:rPr>
        </w:r>
        <w:r w:rsidR="005F7DA9">
          <w:rPr>
            <w:noProof/>
            <w:webHidden/>
          </w:rPr>
          <w:fldChar w:fldCharType="separate"/>
        </w:r>
        <w:r>
          <w:rPr>
            <w:noProof/>
            <w:webHidden/>
          </w:rPr>
          <w:t>81</w:t>
        </w:r>
        <w:r w:rsidR="005F7DA9">
          <w:rPr>
            <w:noProof/>
            <w:webHidden/>
          </w:rPr>
          <w:fldChar w:fldCharType="end"/>
        </w:r>
      </w:hyperlink>
    </w:p>
    <w:p w14:paraId="4526E79C" w14:textId="77777777" w:rsidR="005F7DA9" w:rsidRDefault="0075700D">
      <w:pPr>
        <w:pStyle w:val="TOC2"/>
        <w:rPr>
          <w:rFonts w:asciiTheme="minorHAnsi" w:eastAsiaTheme="minorEastAsia" w:hAnsiTheme="minorHAnsi" w:cstheme="minorBidi"/>
          <w:bCs w:val="0"/>
          <w:noProof/>
          <w:szCs w:val="22"/>
          <w:lang w:val="en-AU" w:eastAsia="en-AU"/>
        </w:rPr>
      </w:pPr>
      <w:hyperlink w:anchor="_Toc469644748" w:history="1">
        <w:r w:rsidR="005F7DA9" w:rsidRPr="00540163">
          <w:rPr>
            <w:rStyle w:val="Hyperlink"/>
            <w:noProof/>
          </w:rPr>
          <w:t>4.2</w:t>
        </w:r>
        <w:r w:rsidR="005F7DA9">
          <w:rPr>
            <w:rFonts w:asciiTheme="minorHAnsi" w:eastAsiaTheme="minorEastAsia" w:hAnsiTheme="minorHAnsi" w:cstheme="minorBidi"/>
            <w:bCs w:val="0"/>
            <w:noProof/>
            <w:szCs w:val="22"/>
            <w:lang w:val="en-AU" w:eastAsia="en-AU"/>
          </w:rPr>
          <w:tab/>
        </w:r>
        <w:r w:rsidR="005F7DA9" w:rsidRPr="00540163">
          <w:rPr>
            <w:rStyle w:val="Hyperlink"/>
            <w:noProof/>
          </w:rPr>
          <w:t>Flexibility</w:t>
        </w:r>
        <w:r w:rsidR="005F7DA9">
          <w:rPr>
            <w:noProof/>
            <w:webHidden/>
          </w:rPr>
          <w:tab/>
        </w:r>
        <w:r w:rsidR="005F7DA9">
          <w:rPr>
            <w:noProof/>
            <w:webHidden/>
          </w:rPr>
          <w:fldChar w:fldCharType="begin"/>
        </w:r>
        <w:r w:rsidR="005F7DA9">
          <w:rPr>
            <w:noProof/>
            <w:webHidden/>
          </w:rPr>
          <w:instrText xml:space="preserve"> PAGEREF _Toc469644748 \h </w:instrText>
        </w:r>
        <w:r w:rsidR="005F7DA9">
          <w:rPr>
            <w:noProof/>
            <w:webHidden/>
          </w:rPr>
        </w:r>
        <w:r w:rsidR="005F7DA9">
          <w:rPr>
            <w:noProof/>
            <w:webHidden/>
          </w:rPr>
          <w:fldChar w:fldCharType="separate"/>
        </w:r>
        <w:r>
          <w:rPr>
            <w:noProof/>
            <w:webHidden/>
          </w:rPr>
          <w:t>94</w:t>
        </w:r>
        <w:r w:rsidR="005F7DA9">
          <w:rPr>
            <w:noProof/>
            <w:webHidden/>
          </w:rPr>
          <w:fldChar w:fldCharType="end"/>
        </w:r>
      </w:hyperlink>
    </w:p>
    <w:p w14:paraId="009025BD" w14:textId="77777777" w:rsidR="005F7DA9" w:rsidRDefault="0075700D">
      <w:pPr>
        <w:pStyle w:val="TOC1"/>
        <w:tabs>
          <w:tab w:val="left" w:pos="1440"/>
          <w:tab w:val="right" w:leader="dot" w:pos="9019"/>
        </w:tabs>
        <w:rPr>
          <w:rFonts w:asciiTheme="minorHAnsi" w:eastAsiaTheme="minorEastAsia" w:hAnsiTheme="minorHAnsi" w:cstheme="minorBidi"/>
          <w:bCs w:val="0"/>
          <w:noProof/>
          <w:szCs w:val="22"/>
          <w:lang w:val="en-AU" w:eastAsia="en-AU"/>
        </w:rPr>
      </w:pPr>
      <w:hyperlink w:anchor="_Toc469644749" w:history="1">
        <w:r w:rsidR="005F7DA9" w:rsidRPr="00540163">
          <w:rPr>
            <w:rStyle w:val="Hyperlink"/>
            <w:noProof/>
          </w:rPr>
          <w:t>Appendix A</w:t>
        </w:r>
        <w:r w:rsidR="005F7DA9">
          <w:rPr>
            <w:rFonts w:asciiTheme="minorHAnsi" w:eastAsiaTheme="minorEastAsia" w:hAnsiTheme="minorHAnsi" w:cstheme="minorBidi"/>
            <w:bCs w:val="0"/>
            <w:noProof/>
            <w:szCs w:val="22"/>
            <w:lang w:val="en-AU" w:eastAsia="en-AU"/>
          </w:rPr>
          <w:tab/>
        </w:r>
        <w:r w:rsidR="005F7DA9" w:rsidRPr="00540163">
          <w:rPr>
            <w:rStyle w:val="Hyperlink"/>
            <w:noProof/>
          </w:rPr>
          <w:t>Stakeholder Consultation Plan</w:t>
        </w:r>
        <w:r w:rsidR="005F7DA9">
          <w:rPr>
            <w:noProof/>
            <w:webHidden/>
          </w:rPr>
          <w:tab/>
        </w:r>
        <w:r w:rsidR="005F7DA9">
          <w:rPr>
            <w:noProof/>
            <w:webHidden/>
          </w:rPr>
          <w:fldChar w:fldCharType="begin"/>
        </w:r>
        <w:r w:rsidR="005F7DA9">
          <w:rPr>
            <w:noProof/>
            <w:webHidden/>
          </w:rPr>
          <w:instrText xml:space="preserve"> PAGEREF _Toc469644749 \h </w:instrText>
        </w:r>
        <w:r w:rsidR="005F7DA9">
          <w:rPr>
            <w:noProof/>
            <w:webHidden/>
          </w:rPr>
        </w:r>
        <w:r w:rsidR="005F7DA9">
          <w:rPr>
            <w:noProof/>
            <w:webHidden/>
          </w:rPr>
          <w:fldChar w:fldCharType="separate"/>
        </w:r>
        <w:r>
          <w:rPr>
            <w:noProof/>
            <w:webHidden/>
          </w:rPr>
          <w:t>99</w:t>
        </w:r>
        <w:r w:rsidR="005F7DA9">
          <w:rPr>
            <w:noProof/>
            <w:webHidden/>
          </w:rPr>
          <w:fldChar w:fldCharType="end"/>
        </w:r>
      </w:hyperlink>
    </w:p>
    <w:p w14:paraId="0C6DBE19" w14:textId="77777777" w:rsidR="00E45917" w:rsidRPr="004213AE" w:rsidRDefault="00536578" w:rsidP="00E45917">
      <w:pPr>
        <w:rPr>
          <w:lang w:val="en-US"/>
        </w:rPr>
      </w:pPr>
      <w:r w:rsidRPr="004213AE">
        <w:rPr>
          <w:lang w:val="en-US"/>
        </w:rPr>
        <w:fldChar w:fldCharType="end"/>
      </w:r>
    </w:p>
    <w:p w14:paraId="692287D7" w14:textId="77777777" w:rsidR="00E45917" w:rsidRPr="004213AE" w:rsidRDefault="00E45917" w:rsidP="00E45917">
      <w:pPr>
        <w:rPr>
          <w:lang w:val="en-US"/>
        </w:rPr>
      </w:pPr>
    </w:p>
    <w:p w14:paraId="6CC23D3C" w14:textId="77777777" w:rsidR="00645A32" w:rsidRPr="00202E68" w:rsidRDefault="00645A32" w:rsidP="00CE0CD5">
      <w:pPr>
        <w:pStyle w:val="EYContentsContinued"/>
        <w:tabs>
          <w:tab w:val="right" w:leader="dot" w:pos="9000"/>
        </w:tabs>
        <w:rPr>
          <w:color w:val="auto"/>
        </w:rPr>
        <w:sectPr w:rsidR="00645A32" w:rsidRPr="00202E68" w:rsidSect="00645A32">
          <w:pgSz w:w="11909" w:h="16834" w:code="9"/>
          <w:pgMar w:top="1440" w:right="1440" w:bottom="1440" w:left="1440" w:header="720" w:footer="567" w:gutter="0"/>
          <w:pgNumType w:fmt="lowerRoman"/>
          <w:cols w:space="720"/>
          <w:docGrid w:linePitch="360"/>
        </w:sectPr>
      </w:pPr>
    </w:p>
    <w:p w14:paraId="72B429D8" w14:textId="77777777" w:rsidR="00B264BF" w:rsidRPr="00202E68" w:rsidRDefault="00EF460E" w:rsidP="00961B30">
      <w:pPr>
        <w:pStyle w:val="EYHeading1"/>
        <w:rPr>
          <w:color w:val="auto"/>
        </w:rPr>
      </w:pPr>
      <w:bookmarkStart w:id="36" w:name="_Toc451769101"/>
      <w:bookmarkStart w:id="37" w:name="_Toc467768887"/>
      <w:bookmarkStart w:id="38" w:name="_Toc467768942"/>
      <w:bookmarkStart w:id="39" w:name="_Toc467769075"/>
      <w:bookmarkStart w:id="40" w:name="_Toc469644728"/>
      <w:r w:rsidRPr="00202E68">
        <w:rPr>
          <w:color w:val="auto"/>
        </w:rPr>
        <w:t>Introduction</w:t>
      </w:r>
      <w:bookmarkEnd w:id="36"/>
      <w:bookmarkEnd w:id="37"/>
      <w:bookmarkEnd w:id="38"/>
      <w:bookmarkEnd w:id="39"/>
      <w:bookmarkEnd w:id="40"/>
    </w:p>
    <w:p w14:paraId="04B637D6" w14:textId="77777777" w:rsidR="00B264BF" w:rsidRPr="004213AE" w:rsidRDefault="00EF460E" w:rsidP="00BC668D">
      <w:pPr>
        <w:pStyle w:val="EYHeading2"/>
        <w:tabs>
          <w:tab w:val="clear" w:pos="0"/>
        </w:tabs>
      </w:pPr>
      <w:bookmarkStart w:id="41" w:name="_Toc451769102"/>
      <w:bookmarkStart w:id="42" w:name="_Toc467768601"/>
      <w:bookmarkStart w:id="43" w:name="_Toc467768653"/>
      <w:bookmarkStart w:id="44" w:name="_Toc467768943"/>
      <w:bookmarkStart w:id="45" w:name="_Toc467769076"/>
      <w:bookmarkStart w:id="46" w:name="_Toc469644729"/>
      <w:r w:rsidRPr="004213AE">
        <w:t>Background</w:t>
      </w:r>
      <w:bookmarkEnd w:id="41"/>
      <w:bookmarkEnd w:id="42"/>
      <w:bookmarkEnd w:id="43"/>
      <w:bookmarkEnd w:id="44"/>
      <w:bookmarkEnd w:id="45"/>
      <w:bookmarkEnd w:id="46"/>
    </w:p>
    <w:p w14:paraId="5D88C3AA" w14:textId="77777777" w:rsidR="00E6684B" w:rsidRPr="004213AE" w:rsidRDefault="00E6684B" w:rsidP="008510F7">
      <w:pPr>
        <w:pStyle w:val="EYHeading3"/>
      </w:pPr>
      <w:bookmarkStart w:id="47" w:name="_Toc212886786"/>
      <w:r w:rsidRPr="004213AE">
        <w:t>The economics of copyright</w:t>
      </w:r>
      <w:r w:rsidR="003735DA" w:rsidRPr="004213AE">
        <w:t xml:space="preserve"> exceptions</w:t>
      </w:r>
    </w:p>
    <w:p w14:paraId="62C73011" w14:textId="15CD9F67" w:rsidR="00C8766B" w:rsidRPr="004213AE" w:rsidRDefault="007C2110" w:rsidP="007B0604">
      <w:pPr>
        <w:pStyle w:val="EYBodytextwithparaspace"/>
      </w:pPr>
      <w:r w:rsidRPr="00124E7F">
        <w:t xml:space="preserve">The most conventional economic rationale for copyright is that it provides incentives for the creation and dissemination of original copyright works. As with other types of intellectual property, copyright is seen to rectify market failure due to the possible free-riding on investment of intellectual effort. </w:t>
      </w:r>
      <w:r w:rsidR="00E6684B" w:rsidRPr="00124E7F">
        <w:t>It does so by granting exclusive right</w:t>
      </w:r>
      <w:r w:rsidR="00422CD6" w:rsidRPr="00124E7F">
        <w:t>s</w:t>
      </w:r>
      <w:r w:rsidR="00E6684B" w:rsidRPr="00124E7F">
        <w:t xml:space="preserve"> for certain uses of original work to its creator</w:t>
      </w:r>
      <w:r w:rsidR="00422CD6" w:rsidRPr="00124E7F">
        <w:t>s</w:t>
      </w:r>
      <w:r w:rsidR="00E6684B" w:rsidRPr="00124E7F">
        <w:t xml:space="preserve">. </w:t>
      </w:r>
      <w:r w:rsidRPr="00124E7F">
        <w:t xml:space="preserve">In Australia, the </w:t>
      </w:r>
      <w:r w:rsidRPr="00202E68">
        <w:rPr>
          <w:i/>
        </w:rPr>
        <w:t>Copyright Act 1968</w:t>
      </w:r>
      <w:r w:rsidRPr="004213AE">
        <w:t xml:space="preserve"> (Copyright Act henceforth) confers a number of exclusive rights to cr</w:t>
      </w:r>
      <w:r w:rsidR="00422CD6" w:rsidRPr="00124E7F">
        <w:t>eators</w:t>
      </w:r>
      <w:r w:rsidRPr="00124E7F">
        <w:t xml:space="preserve"> including the right to reproduce, publish, perform, communicate, adapt and </w:t>
      </w:r>
      <w:r w:rsidR="003735DA" w:rsidRPr="00124E7F">
        <w:t xml:space="preserve">rent </w:t>
      </w:r>
      <w:r w:rsidR="002D7D89" w:rsidRPr="00124E7F">
        <w:t>copyright material</w:t>
      </w:r>
      <w:r w:rsidR="00C8766B" w:rsidRPr="00124E7F">
        <w:t xml:space="preserve">. </w:t>
      </w:r>
      <w:r w:rsidRPr="00124E7F">
        <w:t xml:space="preserve">However, </w:t>
      </w:r>
      <w:r w:rsidR="00E6684B" w:rsidRPr="00124E7F">
        <w:t>copyright has always been based on a notion of balance. That is, balance between the incentives to invest in creative effort and the general interest of Australians to access</w:t>
      </w:r>
      <w:r w:rsidR="00C8766B" w:rsidRPr="00124E7F">
        <w:t>, use and interact with content in the advancement of wider social and economic objectives.</w:t>
      </w:r>
      <w:r w:rsidR="009F0332" w:rsidRPr="00202E68">
        <w:rPr>
          <w:vertAlign w:val="superscript"/>
        </w:rPr>
        <w:footnoteReference w:id="5"/>
      </w:r>
      <w:r w:rsidR="00C8766B" w:rsidRPr="004213AE">
        <w:t xml:space="preserve"> </w:t>
      </w:r>
    </w:p>
    <w:p w14:paraId="0E8BD7D1" w14:textId="77777777" w:rsidR="00A71AD9" w:rsidRPr="00124E7F" w:rsidRDefault="00C8766B" w:rsidP="007B0604">
      <w:pPr>
        <w:pStyle w:val="EYBodytextwithparaspace"/>
      </w:pPr>
      <w:r w:rsidRPr="00124E7F">
        <w:t>One way in which the copyright balance has been achieved is by granting co</w:t>
      </w:r>
      <w:r w:rsidR="00FE2174" w:rsidRPr="00124E7F">
        <w:t>pyright for a limited term</w:t>
      </w:r>
      <w:r w:rsidR="00E95514" w:rsidRPr="00124E7F">
        <w:t xml:space="preserve"> that </w:t>
      </w:r>
      <w:r w:rsidR="00225C42" w:rsidRPr="00124E7F">
        <w:t>varies</w:t>
      </w:r>
      <w:r w:rsidR="00FE2174" w:rsidRPr="00124E7F">
        <w:t xml:space="preserve"> </w:t>
      </w:r>
      <w:r w:rsidRPr="00124E7F">
        <w:t>according to the nature of the copyright material and whether it is published. A further limitation of copyright is that it protects the expression of the protected ideas, but not the underlying ideas themselves. In additio</w:t>
      </w:r>
      <w:r w:rsidR="000E6F4B" w:rsidRPr="00124E7F">
        <w:t xml:space="preserve">n, the Copyright Act provides over 50 </w:t>
      </w:r>
      <w:r w:rsidRPr="00124E7F">
        <w:t>exceptions</w:t>
      </w:r>
      <w:r w:rsidR="00E95514" w:rsidRPr="00124E7F">
        <w:t xml:space="preserve"> </w:t>
      </w:r>
      <w:r w:rsidRPr="00124E7F">
        <w:t>to the general rules regar</w:t>
      </w:r>
      <w:r w:rsidR="00626DBE" w:rsidRPr="00124E7F">
        <w:t xml:space="preserve">ding </w:t>
      </w:r>
      <w:r w:rsidR="00E95514" w:rsidRPr="00124E7F">
        <w:t>copyright</w:t>
      </w:r>
      <w:r w:rsidR="00626DBE" w:rsidRPr="00124E7F">
        <w:t xml:space="preserve"> </w:t>
      </w:r>
      <w:r w:rsidR="00E95514" w:rsidRPr="00124E7F">
        <w:t>infringement</w:t>
      </w:r>
      <w:r w:rsidR="00626DBE" w:rsidRPr="00124E7F">
        <w:t>.</w:t>
      </w:r>
      <w:r w:rsidR="009F0332" w:rsidRPr="00202E68">
        <w:rPr>
          <w:vertAlign w:val="superscript"/>
        </w:rPr>
        <w:footnoteReference w:id="6"/>
      </w:r>
      <w:r w:rsidR="00626DBE" w:rsidRPr="004213AE">
        <w:t xml:space="preserve"> </w:t>
      </w:r>
      <w:r w:rsidR="003735DA" w:rsidRPr="004213AE">
        <w:t xml:space="preserve">In Australia, exceptions may be </w:t>
      </w:r>
      <w:proofErr w:type="spellStart"/>
      <w:r w:rsidR="003735DA" w:rsidRPr="004213AE">
        <w:t>categorised</w:t>
      </w:r>
      <w:proofErr w:type="spellEnd"/>
      <w:r w:rsidR="003735DA" w:rsidRPr="004213AE">
        <w:t xml:space="preserve"> into </w:t>
      </w:r>
      <w:r w:rsidR="00441C55" w:rsidRPr="00124E7F">
        <w:t xml:space="preserve">three </w:t>
      </w:r>
      <w:r w:rsidR="0031185A" w:rsidRPr="00124E7F">
        <w:t>key groupings</w:t>
      </w:r>
      <w:r w:rsidR="00225C42" w:rsidRPr="00124E7F">
        <w:t>:</w:t>
      </w:r>
      <w:r w:rsidR="00441C55" w:rsidRPr="00124E7F">
        <w:t xml:space="preserve"> </w:t>
      </w:r>
    </w:p>
    <w:p w14:paraId="25E32606" w14:textId="77777777" w:rsidR="00A71AD9" w:rsidRPr="00124E7F" w:rsidRDefault="00A71AD9" w:rsidP="00634BB4">
      <w:pPr>
        <w:pStyle w:val="EYBulletedText1"/>
      </w:pPr>
      <w:r w:rsidRPr="00124E7F">
        <w:t>F</w:t>
      </w:r>
      <w:r w:rsidR="00441C55" w:rsidRPr="00124E7F">
        <w:t>air dealing exceptions</w:t>
      </w:r>
      <w:r w:rsidR="00DF7A5D" w:rsidRPr="00124E7F">
        <w:t xml:space="preserve"> for enumerated purposes</w:t>
      </w:r>
      <w:r w:rsidR="00225C42" w:rsidRPr="00124E7F">
        <w:t xml:space="preserve"> </w:t>
      </w:r>
      <w:r w:rsidR="00441C55" w:rsidRPr="00124E7F">
        <w:t>(i.e.</w:t>
      </w:r>
      <w:r w:rsidR="00225C42" w:rsidRPr="00124E7F">
        <w:t xml:space="preserve"> research/study; criticism/review; parody/</w:t>
      </w:r>
      <w:r w:rsidR="00441C55" w:rsidRPr="00124E7F">
        <w:t>satire; reporting news; legal practitioners; and professional advice</w:t>
      </w:r>
      <w:r w:rsidRPr="00124E7F">
        <w:t>)</w:t>
      </w:r>
    </w:p>
    <w:p w14:paraId="16367765" w14:textId="77777777" w:rsidR="00A71AD9" w:rsidRPr="00124E7F" w:rsidRDefault="009978DD" w:rsidP="00634BB4">
      <w:pPr>
        <w:pStyle w:val="EYBulletedText1"/>
      </w:pPr>
      <w:r w:rsidRPr="00124E7F">
        <w:t xml:space="preserve">Statutory </w:t>
      </w:r>
      <w:r w:rsidR="008D7BC8" w:rsidRPr="00124E7F">
        <w:t>licenses</w:t>
      </w:r>
      <w:r w:rsidR="00225C42" w:rsidRPr="00124E7F">
        <w:t xml:space="preserve"> (whereby certain uses of copyright material are allowed in return </w:t>
      </w:r>
      <w:r w:rsidR="005D236A" w:rsidRPr="00124E7F">
        <w:t>for</w:t>
      </w:r>
      <w:r w:rsidR="00E95514" w:rsidRPr="00124E7F">
        <w:t xml:space="preserve"> fees</w:t>
      </w:r>
      <w:r w:rsidR="00225C42" w:rsidRPr="00124E7F">
        <w:t xml:space="preserve"> to the owner or collecting society)</w:t>
      </w:r>
    </w:p>
    <w:p w14:paraId="428F0E8B" w14:textId="77777777" w:rsidR="00441C55" w:rsidRPr="00124E7F" w:rsidRDefault="00A71AD9" w:rsidP="00634BB4">
      <w:pPr>
        <w:pStyle w:val="EYBulletedText1"/>
      </w:pPr>
      <w:r w:rsidRPr="00124E7F">
        <w:t>O</w:t>
      </w:r>
      <w:r w:rsidR="00441C55" w:rsidRPr="00124E7F">
        <w:t>ther exceptions</w:t>
      </w:r>
      <w:r w:rsidR="00225C42" w:rsidRPr="00124E7F">
        <w:t xml:space="preserve"> (e.g. format </w:t>
      </w:r>
      <w:r w:rsidR="009259F6" w:rsidRPr="00124E7F">
        <w:t>and time shifting</w:t>
      </w:r>
      <w:r w:rsidR="00225C42" w:rsidRPr="00124E7F">
        <w:t xml:space="preserve">). </w:t>
      </w:r>
    </w:p>
    <w:p w14:paraId="052DD4D3" w14:textId="77777777" w:rsidR="005961B5" w:rsidRPr="00124E7F" w:rsidRDefault="00626DBE" w:rsidP="007B0604">
      <w:pPr>
        <w:pStyle w:val="EYBodytextwithparaspace"/>
      </w:pPr>
      <w:r w:rsidRPr="00124E7F">
        <w:t>Broadly speaking, the objective of exceptions is to increase access to creative works where this might be unduly constrained by copyright. Within this broad objective however</w:t>
      </w:r>
      <w:r w:rsidR="00FE2174" w:rsidRPr="00124E7F">
        <w:t xml:space="preserve">, </w:t>
      </w:r>
      <w:r w:rsidR="003735DA" w:rsidRPr="00124E7F">
        <w:t>exceptions perform a number of different roles including</w:t>
      </w:r>
      <w:r w:rsidR="005961B5" w:rsidRPr="00124E7F">
        <w:t xml:space="preserve"> to:</w:t>
      </w:r>
    </w:p>
    <w:p w14:paraId="4A4A4C76" w14:textId="77777777" w:rsidR="005961B5" w:rsidRPr="00124E7F" w:rsidRDefault="005961B5" w:rsidP="00634BB4">
      <w:pPr>
        <w:pStyle w:val="EYBulletedText1"/>
      </w:pPr>
      <w:r w:rsidRPr="00124E7F">
        <w:t>A</w:t>
      </w:r>
      <w:r w:rsidR="00FE2174" w:rsidRPr="00124E7F">
        <w:t>ddress market dysfunction (e.g. overcome the problem of missing markets fo</w:t>
      </w:r>
      <w:r w:rsidRPr="00124E7F">
        <w:t>r certain uses)</w:t>
      </w:r>
    </w:p>
    <w:p w14:paraId="1F643258" w14:textId="77777777" w:rsidR="005961B5" w:rsidRPr="00124E7F" w:rsidRDefault="005961B5" w:rsidP="00634BB4">
      <w:pPr>
        <w:pStyle w:val="EYBulletedText1"/>
      </w:pPr>
      <w:r w:rsidRPr="00124E7F">
        <w:t>P</w:t>
      </w:r>
      <w:r w:rsidR="00FE2174" w:rsidRPr="00124E7F">
        <w:t>romote fundamental freedoms and social values (e.g. freedoms of expression and</w:t>
      </w:r>
      <w:r w:rsidRPr="00124E7F">
        <w:t xml:space="preserve"> access to information)</w:t>
      </w:r>
    </w:p>
    <w:p w14:paraId="61EC2DE3" w14:textId="77777777" w:rsidR="0008216E" w:rsidRPr="00124E7F" w:rsidRDefault="005961B5" w:rsidP="00634BB4">
      <w:pPr>
        <w:pStyle w:val="EYBulletedText1"/>
      </w:pPr>
      <w:r w:rsidRPr="00124E7F">
        <w:t>P</w:t>
      </w:r>
      <w:r w:rsidR="00FE2174" w:rsidRPr="00124E7F">
        <w:t xml:space="preserve">romote public </w:t>
      </w:r>
      <w:r w:rsidR="003735DA" w:rsidRPr="00124E7F">
        <w:t>interest</w:t>
      </w:r>
      <w:r w:rsidR="00FE2174" w:rsidRPr="00124E7F">
        <w:t xml:space="preserve"> (e.g. </w:t>
      </w:r>
      <w:r w:rsidR="003735DA" w:rsidRPr="00124E7F">
        <w:t>support access to creative works to persons with disabilities).</w:t>
      </w:r>
      <w:r w:rsidR="00225C42" w:rsidRPr="00124E7F">
        <w:rPr>
          <w:vertAlign w:val="superscript"/>
        </w:rPr>
        <w:footnoteReference w:id="7"/>
      </w:r>
      <w:r w:rsidR="003735DA" w:rsidRPr="00124E7F">
        <w:rPr>
          <w:vertAlign w:val="superscript"/>
        </w:rPr>
        <w:t xml:space="preserve"> </w:t>
      </w:r>
    </w:p>
    <w:p w14:paraId="3CA94817" w14:textId="77777777" w:rsidR="007C2110" w:rsidRPr="00124E7F" w:rsidRDefault="009E4FAF" w:rsidP="00967E9A">
      <w:pPr>
        <w:pStyle w:val="EYHeading3"/>
      </w:pPr>
      <w:r w:rsidRPr="00124E7F">
        <w:t>T</w:t>
      </w:r>
      <w:r w:rsidR="00225C42" w:rsidRPr="00124E7F">
        <w:t>rends in copyright reform</w:t>
      </w:r>
    </w:p>
    <w:p w14:paraId="453F600A" w14:textId="32421198" w:rsidR="00E5513A" w:rsidRPr="00124E7F" w:rsidRDefault="00281A30" w:rsidP="007B0604">
      <w:pPr>
        <w:pStyle w:val="EYBodytextwithparaspace"/>
      </w:pPr>
      <w:r w:rsidRPr="00124E7F">
        <w:t xml:space="preserve">The appropriate role and scope of copyright exceptions has been an ongoing matter of debate </w:t>
      </w:r>
      <w:r w:rsidR="00DA740D" w:rsidRPr="00124E7F">
        <w:t>both intern</w:t>
      </w:r>
      <w:r w:rsidR="00802F3F" w:rsidRPr="00124E7F">
        <w:t xml:space="preserve">ationally and in Australia, </w:t>
      </w:r>
      <w:r w:rsidR="002536FF" w:rsidRPr="00124E7F">
        <w:t xml:space="preserve">and </w:t>
      </w:r>
      <w:r w:rsidR="00802F3F" w:rsidRPr="00124E7F">
        <w:t xml:space="preserve">even more so </w:t>
      </w:r>
      <w:r w:rsidR="0028789A" w:rsidRPr="00124E7F">
        <w:t>in the digital era.</w:t>
      </w:r>
      <w:r w:rsidR="0031185A" w:rsidRPr="00124E7F">
        <w:t xml:space="preserve"> </w:t>
      </w:r>
      <w:r w:rsidR="002536FF" w:rsidRPr="00124E7F">
        <w:t>It is clear that t</w:t>
      </w:r>
      <w:r w:rsidR="00184D86" w:rsidRPr="00124E7F">
        <w:t>he advent of digital technology has brought about new opportunities and challenges for both copyright owners and users</w:t>
      </w:r>
      <w:r w:rsidR="003552F7" w:rsidRPr="00124E7F">
        <w:t>.</w:t>
      </w:r>
      <w:r w:rsidR="0031185A" w:rsidRPr="00124E7F">
        <w:t xml:space="preserve"> </w:t>
      </w:r>
      <w:r w:rsidR="002536FF" w:rsidRPr="00124E7F">
        <w:t xml:space="preserve">What is </w:t>
      </w:r>
      <w:r w:rsidR="0031185A" w:rsidRPr="00124E7F">
        <w:t>less</w:t>
      </w:r>
      <w:r w:rsidR="002536FF" w:rsidRPr="00124E7F">
        <w:t xml:space="preserve"> clear is how this is affecting the </w:t>
      </w:r>
      <w:r w:rsidR="009259F6" w:rsidRPr="00124E7F">
        <w:t xml:space="preserve">optimal </w:t>
      </w:r>
      <w:r w:rsidR="003552F7" w:rsidRPr="00124E7F">
        <w:t>level of copyright protection.</w:t>
      </w:r>
      <w:r w:rsidR="0031185A" w:rsidRPr="00124E7F">
        <w:t xml:space="preserve"> </w:t>
      </w:r>
      <w:r w:rsidR="002536FF" w:rsidRPr="00124E7F">
        <w:t xml:space="preserve">Some </w:t>
      </w:r>
      <w:r w:rsidR="00DF7A5D" w:rsidRPr="00124E7F">
        <w:t>commentators</w:t>
      </w:r>
      <w:r w:rsidR="002536FF" w:rsidRPr="00124E7F">
        <w:t xml:space="preserve"> have suggested that ‘the relative weight of costs and benefits will change with changing market conditions so that the desirable level of copyright protection is likely to vary over time’</w:t>
      </w:r>
      <w:r w:rsidR="004213AE">
        <w:rPr>
          <w:sz w:val="18"/>
          <w:szCs w:val="18"/>
          <w:vertAlign w:val="superscript"/>
        </w:rPr>
        <w:t>.</w:t>
      </w:r>
      <w:r w:rsidR="002536FF" w:rsidRPr="004213AE">
        <w:rPr>
          <w:sz w:val="18"/>
          <w:szCs w:val="18"/>
          <w:vertAlign w:val="superscript"/>
        </w:rPr>
        <w:footnoteReference w:id="8"/>
      </w:r>
      <w:r w:rsidR="0031185A" w:rsidRPr="00124E7F">
        <w:t xml:space="preserve"> </w:t>
      </w:r>
      <w:r w:rsidR="002536FF" w:rsidRPr="00124E7F">
        <w:t xml:space="preserve">This has </w:t>
      </w:r>
      <w:r w:rsidR="003552F7" w:rsidRPr="00124E7F">
        <w:t xml:space="preserve">prompted </w:t>
      </w:r>
      <w:r w:rsidR="00DF7A5D" w:rsidRPr="00124E7F">
        <w:t>a number of</w:t>
      </w:r>
      <w:r w:rsidR="003552F7" w:rsidRPr="00124E7F">
        <w:t xml:space="preserve"> countries to seek greater flexibility in their copyright laws. </w:t>
      </w:r>
      <w:r w:rsidR="00DF7A5D" w:rsidRPr="00124E7F">
        <w:t xml:space="preserve">In particular, attention has been gradually shifting away </w:t>
      </w:r>
      <w:r w:rsidR="0031185A" w:rsidRPr="00124E7F">
        <w:t xml:space="preserve">from </w:t>
      </w:r>
      <w:r w:rsidR="00DF7A5D" w:rsidRPr="00124E7F">
        <w:t xml:space="preserve">purely </w:t>
      </w:r>
      <w:r w:rsidR="0031185A" w:rsidRPr="00124E7F">
        <w:t>close-</w:t>
      </w:r>
      <w:r w:rsidR="00E5513A" w:rsidRPr="00124E7F">
        <w:t>ended copyright exceptions</w:t>
      </w:r>
      <w:r w:rsidR="0031185A" w:rsidRPr="00124E7F">
        <w:t xml:space="preserve"> that are based on a prescriptive list of purposes</w:t>
      </w:r>
      <w:r w:rsidR="00E5513A" w:rsidRPr="00124E7F">
        <w:t xml:space="preserve"> (fair dealing)</w:t>
      </w:r>
      <w:r w:rsidR="0031185A" w:rsidRPr="00124E7F">
        <w:t>;</w:t>
      </w:r>
      <w:r w:rsidR="00E5513A" w:rsidRPr="00124E7F">
        <w:t xml:space="preserve"> </w:t>
      </w:r>
      <w:r w:rsidR="006C7D6A" w:rsidRPr="00124E7F">
        <w:t>towards</w:t>
      </w:r>
      <w:r w:rsidR="00E5513A" w:rsidRPr="00124E7F">
        <w:t xml:space="preserve"> system</w:t>
      </w:r>
      <w:r w:rsidR="006C7D6A" w:rsidRPr="00124E7F">
        <w:t>s</w:t>
      </w:r>
      <w:r w:rsidR="00E5513A" w:rsidRPr="00124E7F">
        <w:t xml:space="preserve"> </w:t>
      </w:r>
      <w:r w:rsidR="00DF7A5D" w:rsidRPr="00124E7F">
        <w:t xml:space="preserve">incorporating elements of the US-style open-ended exceptions, in which </w:t>
      </w:r>
      <w:r w:rsidR="0031185A" w:rsidRPr="00124E7F">
        <w:t xml:space="preserve">the merits of an exception are judged </w:t>
      </w:r>
      <w:r w:rsidR="00D810F9" w:rsidRPr="00124E7F">
        <w:t xml:space="preserve">case by case on the basis </w:t>
      </w:r>
      <w:r w:rsidR="0031185A" w:rsidRPr="00124E7F">
        <w:t xml:space="preserve">of fairness standards </w:t>
      </w:r>
      <w:r w:rsidR="00E5513A" w:rsidRPr="00124E7F">
        <w:t xml:space="preserve">(fair use). </w:t>
      </w:r>
    </w:p>
    <w:p w14:paraId="2B5436A0" w14:textId="2BA9BBB4" w:rsidR="00A82B70" w:rsidRPr="00124E7F" w:rsidRDefault="005B36B6" w:rsidP="007B0604">
      <w:pPr>
        <w:pStyle w:val="EYBodytextwithparaspace"/>
      </w:pPr>
      <w:r w:rsidRPr="00124E7F">
        <w:t>Internationally, the recent</w:t>
      </w:r>
      <w:r w:rsidR="00A82B70" w:rsidRPr="00124E7F">
        <w:t xml:space="preserve"> Har</w:t>
      </w:r>
      <w:r w:rsidR="0031185A" w:rsidRPr="00124E7F">
        <w:t>greaves Review</w:t>
      </w:r>
      <w:r w:rsidR="00A82B70" w:rsidRPr="00124E7F">
        <w:t xml:space="preserve"> ‘was specifically asked to investigate the benefits of fair use and how these might be achieved in the UK’</w:t>
      </w:r>
      <w:r w:rsidR="00124E7F">
        <w:t>.</w:t>
      </w:r>
      <w:r w:rsidR="00C54ABB" w:rsidRPr="00124E7F">
        <w:rPr>
          <w:vertAlign w:val="superscript"/>
        </w:rPr>
        <w:footnoteReference w:id="9"/>
      </w:r>
      <w:r w:rsidR="00A82B70" w:rsidRPr="00124E7F">
        <w:t xml:space="preserve"> </w:t>
      </w:r>
      <w:r w:rsidR="004D04B7" w:rsidRPr="00124E7F">
        <w:t>While the review rejected adoption of fair use as tec</w:t>
      </w:r>
      <w:r w:rsidR="00C73B26" w:rsidRPr="00124E7F">
        <w:t>hnically too difficult in the European Union’s</w:t>
      </w:r>
      <w:r w:rsidR="004D04B7" w:rsidRPr="00124E7F">
        <w:t xml:space="preserve"> legal context, recommendations were made </w:t>
      </w:r>
      <w:r w:rsidR="009259F6" w:rsidRPr="00124E7F">
        <w:t xml:space="preserve">for changes to </w:t>
      </w:r>
      <w:r w:rsidR="00235C3A" w:rsidRPr="00124E7F">
        <w:t>the existing</w:t>
      </w:r>
      <w:r w:rsidR="009259F6" w:rsidRPr="00124E7F">
        <w:t xml:space="preserve"> fair dealing </w:t>
      </w:r>
      <w:r w:rsidR="00235C3A" w:rsidRPr="00124E7F">
        <w:t xml:space="preserve">system </w:t>
      </w:r>
      <w:r w:rsidR="009259F6" w:rsidRPr="00124E7F">
        <w:t>‘with the aim of securing specific benefits of flexibility comparable with those afforded by fair use’</w:t>
      </w:r>
      <w:r w:rsidR="004D04B7" w:rsidRPr="00124E7F">
        <w:t>.</w:t>
      </w:r>
      <w:r w:rsidR="004D04B7" w:rsidRPr="00124E7F">
        <w:rPr>
          <w:vertAlign w:val="superscript"/>
        </w:rPr>
        <w:footnoteReference w:id="10"/>
      </w:r>
      <w:r w:rsidR="004D04B7" w:rsidRPr="00124E7F">
        <w:t xml:space="preserve"> </w:t>
      </w:r>
      <w:r w:rsidRPr="00124E7F">
        <w:t xml:space="preserve">A raft of new exceptions was introduced following the review including for text and data mining; quotation; parody; and education and teaching. </w:t>
      </w:r>
      <w:r w:rsidR="004D04B7" w:rsidRPr="00124E7F">
        <w:t xml:space="preserve">Other governments have undertaken similar reviews </w:t>
      </w:r>
      <w:r w:rsidR="00F945EC" w:rsidRPr="00124E7F">
        <w:t>which</w:t>
      </w:r>
      <w:r w:rsidR="004D04B7" w:rsidRPr="00124E7F">
        <w:t xml:space="preserve"> have resulted </w:t>
      </w:r>
      <w:r w:rsidR="00B27A82" w:rsidRPr="00124E7F">
        <w:t xml:space="preserve">either </w:t>
      </w:r>
      <w:r w:rsidR="004D04B7" w:rsidRPr="00124E7F">
        <w:t>in the adoption of fair use in those coun</w:t>
      </w:r>
      <w:r w:rsidR="00F945EC" w:rsidRPr="00124E7F">
        <w:t xml:space="preserve">tries (e.g. Ireland, Israel, South Korea and the Philippines) or the adoption of </w:t>
      </w:r>
      <w:r w:rsidR="006C7D6A" w:rsidRPr="00124E7F">
        <w:t xml:space="preserve">fair use type multi factor tests within more traditional fair dealing systems (e.g. Canada and Singapore). </w:t>
      </w:r>
    </w:p>
    <w:p w14:paraId="58C06D8B" w14:textId="7A16126F" w:rsidR="00B27A82" w:rsidRPr="00124E7F" w:rsidRDefault="00B27A82" w:rsidP="007B0604">
      <w:pPr>
        <w:pStyle w:val="EYBodytextwithparaspace"/>
      </w:pPr>
      <w:r w:rsidRPr="00124E7F">
        <w:t>In Australia, the case for</w:t>
      </w:r>
      <w:r w:rsidR="00DF7A5D" w:rsidRPr="00124E7F">
        <w:t xml:space="preserve"> fair use has been prosecuted by a number of reviews, starting with the Copyright Law Review Committee’s (CLRC) Simplification Review in 1996. The </w:t>
      </w:r>
      <w:r w:rsidR="009E4FAF" w:rsidRPr="00124E7F">
        <w:t xml:space="preserve">CLRC ‘recommended the consolidation of the fair dealing provisions into a single section and the expansion of </w:t>
      </w:r>
      <w:r w:rsidR="00532F2B" w:rsidRPr="00124E7F">
        <w:t xml:space="preserve">fair </w:t>
      </w:r>
      <w:r w:rsidR="00422CD6" w:rsidRPr="00124E7F">
        <w:t>dealing to an open-ended model</w:t>
      </w:r>
      <w:r w:rsidR="00532F2B" w:rsidRPr="00124E7F">
        <w:t xml:space="preserve"> tha</w:t>
      </w:r>
      <w:r w:rsidR="00422CD6" w:rsidRPr="00124E7F">
        <w:t xml:space="preserve">t would not be confined to the </w:t>
      </w:r>
      <w:r w:rsidR="00532F2B" w:rsidRPr="00124E7F">
        <w:t>closed-list of fair dealing purposes’</w:t>
      </w:r>
      <w:r w:rsidR="00124E7F">
        <w:t>.</w:t>
      </w:r>
      <w:r w:rsidR="00532F2B" w:rsidRPr="00124E7F">
        <w:rPr>
          <w:vertAlign w:val="superscript"/>
        </w:rPr>
        <w:footnoteReference w:id="11"/>
      </w:r>
      <w:r w:rsidR="00532F2B" w:rsidRPr="00124E7F">
        <w:t xml:space="preserve"> In 2000,</w:t>
      </w:r>
      <w:r w:rsidR="000114D9" w:rsidRPr="00124E7F">
        <w:t xml:space="preserve"> </w:t>
      </w:r>
      <w:r w:rsidR="00532F2B" w:rsidRPr="00124E7F">
        <w:t>the Intellectual Property and Competition Review Committee considered the CLRC’s recommendation and determined that it did ‘not believe</w:t>
      </w:r>
      <w:r w:rsidR="000114D9" w:rsidRPr="00124E7F">
        <w:t xml:space="preserve"> there is a case for removing the elements of the current Copyright Act, which define certain types of conduct as coming within the definition of fair dealing’</w:t>
      </w:r>
      <w:r w:rsidR="00124E7F">
        <w:t>.</w:t>
      </w:r>
      <w:r w:rsidR="000114D9" w:rsidRPr="00124E7F">
        <w:rPr>
          <w:vertAlign w:val="superscript"/>
        </w:rPr>
        <w:footnoteReference w:id="12"/>
      </w:r>
      <w:r w:rsidR="000114D9" w:rsidRPr="00124E7F">
        <w:t xml:space="preserve"> </w:t>
      </w:r>
      <w:r w:rsidR="00422CD6" w:rsidRPr="00124E7F">
        <w:t>Finally i</w:t>
      </w:r>
      <w:r w:rsidR="00A342DA" w:rsidRPr="00124E7F">
        <w:t>n 2005</w:t>
      </w:r>
      <w:r w:rsidR="000114D9" w:rsidRPr="00124E7F">
        <w:t xml:space="preserve">, the </w:t>
      </w:r>
      <w:r w:rsidR="00422CD6" w:rsidRPr="00124E7F">
        <w:t>AGD’s</w:t>
      </w:r>
      <w:r w:rsidR="000114D9" w:rsidRPr="00124E7F">
        <w:t xml:space="preserve"> Fair Use Review Committee </w:t>
      </w:r>
      <w:r w:rsidR="00C73B26" w:rsidRPr="00124E7F">
        <w:t>was tasked with considering</w:t>
      </w:r>
      <w:r w:rsidR="000114D9" w:rsidRPr="00124E7F">
        <w:t xml:space="preserve"> preceding reviews. While a final report was not issued, a number of reforms followed the review, including time and format shifting and fair dealing for parody and satire.</w:t>
      </w:r>
      <w:r w:rsidR="000114D9" w:rsidRPr="00124E7F">
        <w:rPr>
          <w:vertAlign w:val="superscript"/>
        </w:rPr>
        <w:footnoteReference w:id="13"/>
      </w:r>
      <w:r w:rsidR="000114D9" w:rsidRPr="00124E7F">
        <w:rPr>
          <w:vertAlign w:val="superscript"/>
        </w:rPr>
        <w:t xml:space="preserve"> </w:t>
      </w:r>
    </w:p>
    <w:bookmarkEnd w:id="47"/>
    <w:p w14:paraId="69374A08" w14:textId="77777777" w:rsidR="005A5B03" w:rsidRPr="00124E7F" w:rsidRDefault="00B27A82" w:rsidP="00D3010E">
      <w:pPr>
        <w:pStyle w:val="EYHeading3"/>
      </w:pPr>
      <w:r w:rsidRPr="00124E7F">
        <w:t>The ALRC review</w:t>
      </w:r>
    </w:p>
    <w:p w14:paraId="091FFB43" w14:textId="77777777" w:rsidR="00B27A82" w:rsidRPr="00124E7F" w:rsidRDefault="000114D9" w:rsidP="007B0604">
      <w:pPr>
        <w:pStyle w:val="EYBodytextwithparaspace"/>
      </w:pPr>
      <w:r w:rsidRPr="00124E7F">
        <w:t>The debate was recently brought to a head wit</w:t>
      </w:r>
      <w:r w:rsidR="002D2F06" w:rsidRPr="00124E7F">
        <w:t>h the commissioning of the Australian Law Reform Commission (ALRC) to undertake an inquiry into Copyright and the Digital Economy. The terms of reference required the ALRC to consider (amongst other things) whether existing exceptions are appropriate and whether further exceptions should:</w:t>
      </w:r>
    </w:p>
    <w:p w14:paraId="2AF6F176" w14:textId="77777777" w:rsidR="002D2F06" w:rsidRPr="00124E7F" w:rsidRDefault="002D2F06" w:rsidP="00634BB4">
      <w:pPr>
        <w:pStyle w:val="EYBulletedText1"/>
      </w:pPr>
      <w:proofErr w:type="spellStart"/>
      <w:r w:rsidRPr="00124E7F">
        <w:t>Recognise</w:t>
      </w:r>
      <w:proofErr w:type="spellEnd"/>
      <w:r w:rsidRPr="00124E7F">
        <w:t xml:space="preserve"> fair use of copyright material</w:t>
      </w:r>
    </w:p>
    <w:p w14:paraId="5E9A1794" w14:textId="77777777" w:rsidR="002D2F06" w:rsidRPr="00124E7F" w:rsidRDefault="002D2F06" w:rsidP="00634BB4">
      <w:pPr>
        <w:pStyle w:val="EYBulletedText1"/>
      </w:pPr>
      <w:r w:rsidRPr="00124E7F">
        <w:t>Allow transformative, innovative and collaborative use of copyright materials to create and deliver new products and services of public benefit</w:t>
      </w:r>
    </w:p>
    <w:p w14:paraId="58876F31" w14:textId="77777777" w:rsidR="002D2F06" w:rsidRPr="00124E7F" w:rsidRDefault="002D2F06" w:rsidP="00634BB4">
      <w:pPr>
        <w:pStyle w:val="EYBulletedText1"/>
      </w:pPr>
      <w:r w:rsidRPr="00124E7F">
        <w:t>Allow appropriate access, use, interaction and production of copyright material online for social, private or domestic purposes.</w:t>
      </w:r>
      <w:r w:rsidRPr="00124E7F">
        <w:rPr>
          <w:vertAlign w:val="superscript"/>
        </w:rPr>
        <w:footnoteReference w:id="14"/>
      </w:r>
    </w:p>
    <w:p w14:paraId="5EC19041" w14:textId="77777777" w:rsidR="00A342DA" w:rsidRPr="00124E7F" w:rsidRDefault="002D2F06" w:rsidP="00D3010E">
      <w:pPr>
        <w:pStyle w:val="EYBodytextwithparaspace"/>
      </w:pPr>
      <w:r w:rsidRPr="00124E7F">
        <w:t xml:space="preserve">The ALRC proposed an Issues Paper in August 2012 and a Discussion Paper in June 2013. The Final Report of the ALRC was delivered to the </w:t>
      </w:r>
      <w:r w:rsidR="00A342DA" w:rsidRPr="00124E7F">
        <w:t xml:space="preserve">Government on 29 November 2013. A total of 30 recommendations were made by the ALRC. </w:t>
      </w:r>
    </w:p>
    <w:p w14:paraId="42C7E534" w14:textId="77777777" w:rsidR="00B264BF" w:rsidRPr="00124E7F" w:rsidRDefault="00C73B26" w:rsidP="00BC668D">
      <w:pPr>
        <w:pStyle w:val="EYHeading2"/>
        <w:tabs>
          <w:tab w:val="clear" w:pos="0"/>
        </w:tabs>
      </w:pPr>
      <w:bookmarkStart w:id="48" w:name="_Toc451769103"/>
      <w:bookmarkStart w:id="49" w:name="_Toc467768602"/>
      <w:bookmarkStart w:id="50" w:name="_Toc467768654"/>
      <w:bookmarkStart w:id="51" w:name="_Toc467768944"/>
      <w:bookmarkStart w:id="52" w:name="_Toc467769077"/>
      <w:bookmarkStart w:id="53" w:name="_Toc469644730"/>
      <w:r w:rsidRPr="00124E7F">
        <w:t>Project scope</w:t>
      </w:r>
      <w:bookmarkEnd w:id="48"/>
      <w:bookmarkEnd w:id="49"/>
      <w:bookmarkEnd w:id="50"/>
      <w:bookmarkEnd w:id="51"/>
      <w:bookmarkEnd w:id="52"/>
      <w:bookmarkEnd w:id="53"/>
    </w:p>
    <w:p w14:paraId="09B0E2B2" w14:textId="77777777" w:rsidR="00A342DA" w:rsidRPr="00124E7F" w:rsidRDefault="00A342DA" w:rsidP="00D3010E">
      <w:pPr>
        <w:pStyle w:val="EYBodytextwithparaspace"/>
      </w:pPr>
      <w:r w:rsidRPr="00124E7F">
        <w:t xml:space="preserve">The </w:t>
      </w:r>
      <w:r w:rsidR="005E6303" w:rsidRPr="00124E7F">
        <w:t>Department of Communications and the Arts</w:t>
      </w:r>
      <w:r w:rsidRPr="00124E7F">
        <w:t xml:space="preserve"> has commissioned Ernst and Young (EY) to undertake cost benefit analyses of a number of the ALRC’s recommendations. The focus of the cost benefit analyses will be on the following ALRC recommendations:</w:t>
      </w:r>
    </w:p>
    <w:p w14:paraId="61F5823B" w14:textId="77777777" w:rsidR="00A342DA" w:rsidRPr="00124E7F" w:rsidRDefault="00A342DA" w:rsidP="00634BB4">
      <w:pPr>
        <w:pStyle w:val="EYBulletedText1"/>
      </w:pPr>
      <w:r w:rsidRPr="00124E7F">
        <w:rPr>
          <w:b/>
        </w:rPr>
        <w:t>Recommendations 4 and 5</w:t>
      </w:r>
      <w:r w:rsidRPr="00124E7F">
        <w:t xml:space="preserve"> - Seek to remove the ‘fair dealing’ exception from the Copyright Act and replace it with a ‘fair use’ exception.</w:t>
      </w:r>
    </w:p>
    <w:p w14:paraId="2291FAC9" w14:textId="77777777" w:rsidR="00A342DA" w:rsidRPr="00124E7F" w:rsidRDefault="00A342DA" w:rsidP="00634BB4">
      <w:pPr>
        <w:pStyle w:val="EYBulletedText1"/>
      </w:pPr>
      <w:r w:rsidRPr="00124E7F">
        <w:rPr>
          <w:b/>
        </w:rPr>
        <w:t>Recommendation 6</w:t>
      </w:r>
      <w:r w:rsidRPr="00124E7F">
        <w:t xml:space="preserve"> –In the event that recommendations 4 and 5 are not adopted, seeks to broaden the current fair dealing exceptions of the Copyright Act to include the following six  prescribed purposes: </w:t>
      </w:r>
    </w:p>
    <w:p w14:paraId="554EB355" w14:textId="77777777" w:rsidR="00A342DA" w:rsidRPr="00124E7F" w:rsidRDefault="00A342DA" w:rsidP="009B36A0">
      <w:pPr>
        <w:pStyle w:val="EYBulletedText2"/>
      </w:pPr>
      <w:r w:rsidRPr="00124E7F">
        <w:t>Quotation</w:t>
      </w:r>
    </w:p>
    <w:p w14:paraId="47429434" w14:textId="77777777" w:rsidR="00A342DA" w:rsidRPr="00124E7F" w:rsidRDefault="00A342DA" w:rsidP="009B36A0">
      <w:pPr>
        <w:pStyle w:val="EYBulletedText2"/>
      </w:pPr>
      <w:r w:rsidRPr="00124E7F">
        <w:t>Non-commercial private use</w:t>
      </w:r>
    </w:p>
    <w:p w14:paraId="603C5DF0" w14:textId="77777777" w:rsidR="00A342DA" w:rsidRPr="00124E7F" w:rsidRDefault="00A342DA" w:rsidP="009B36A0">
      <w:pPr>
        <w:pStyle w:val="EYBulletedText2"/>
      </w:pPr>
      <w:r w:rsidRPr="00124E7F">
        <w:t>Incidental or technical use</w:t>
      </w:r>
    </w:p>
    <w:p w14:paraId="06ECB23B" w14:textId="77777777" w:rsidR="00A342DA" w:rsidRPr="00124E7F" w:rsidRDefault="00A342DA" w:rsidP="009B36A0">
      <w:pPr>
        <w:pStyle w:val="EYBulletedText2"/>
      </w:pPr>
      <w:r w:rsidRPr="00124E7F">
        <w:t>Libraries and archives</w:t>
      </w:r>
    </w:p>
    <w:p w14:paraId="417E4671" w14:textId="77777777" w:rsidR="00A342DA" w:rsidRPr="00124E7F" w:rsidRDefault="00A342DA" w:rsidP="009B36A0">
      <w:pPr>
        <w:pStyle w:val="EYBulletedText2"/>
      </w:pPr>
      <w:r w:rsidRPr="00124E7F">
        <w:t>Education</w:t>
      </w:r>
    </w:p>
    <w:p w14:paraId="2461420E" w14:textId="77777777" w:rsidR="00A342DA" w:rsidRPr="00124E7F" w:rsidRDefault="00A342DA" w:rsidP="009B36A0">
      <w:pPr>
        <w:pStyle w:val="EYBulletedText2"/>
      </w:pPr>
      <w:r w:rsidRPr="00124E7F">
        <w:t xml:space="preserve">Access for people with disability. </w:t>
      </w:r>
    </w:p>
    <w:p w14:paraId="422FE73B" w14:textId="77777777" w:rsidR="00A342DA" w:rsidRPr="00124E7F" w:rsidRDefault="00A342DA" w:rsidP="007B0604">
      <w:pPr>
        <w:pStyle w:val="EYBodytextwithparaspace"/>
      </w:pPr>
      <w:r w:rsidRPr="00124E7F">
        <w:t xml:space="preserve">The ALRC’s recommendations with </w:t>
      </w:r>
      <w:r w:rsidR="00450096" w:rsidRPr="00124E7F">
        <w:t xml:space="preserve">relation to </w:t>
      </w:r>
      <w:r w:rsidR="009978DD" w:rsidRPr="00124E7F">
        <w:t xml:space="preserve">statutory </w:t>
      </w:r>
      <w:r w:rsidR="008D7BC8" w:rsidRPr="00124E7F">
        <w:t>licenses</w:t>
      </w:r>
      <w:r w:rsidR="00450096" w:rsidRPr="00124E7F">
        <w:t xml:space="preserve"> </w:t>
      </w:r>
      <w:r w:rsidRPr="00124E7F">
        <w:t xml:space="preserve">and orphan works will also be assessed in the context of the above recommendations. </w:t>
      </w:r>
    </w:p>
    <w:p w14:paraId="42C69B99" w14:textId="77777777" w:rsidR="00497B3E" w:rsidRPr="00124E7F" w:rsidRDefault="00497B3E" w:rsidP="007B0604">
      <w:pPr>
        <w:pStyle w:val="EYBodytextwithparaspace"/>
      </w:pPr>
      <w:r w:rsidRPr="00124E7F">
        <w:t xml:space="preserve">The Report has been constructed based on information current as of 30 March 2016 (being the date of completion of the analysis), and which has been provided by the Department and other stakeholders. Since this date, material events may have occurred since completion which is not reflected in the report. This Report may be relied upon by the Department for the purpose of understanding the impacts of amending the </w:t>
      </w:r>
      <w:r w:rsidRPr="00124E7F">
        <w:rPr>
          <w:i/>
        </w:rPr>
        <w:t>Copyright Act 1968</w:t>
      </w:r>
      <w:r w:rsidRPr="00124E7F">
        <w:t xml:space="preserve"> to implement a number of the recommendations of the ALRC Report into Copyright and the Digital Economy (“the Purpose”). It should not be relied upon for any other purpose. Other persons accessing this report should do so for their general information only as Ernst &amp; Young (“EY”) has only acted for, and advised the Department, and has not acted for or advised anyone else in respect of the contents of this report. EY disclaims all liability to any party for all costs, loss, damage and liability that the third party may suffer or incur arising from or relating to or in any way connected with the provision of the deliverables to the third party without our prior written consent. Any decisions taken by the Department are not within the scope of our duty of care and in making such decisions you should take into account the limitations of the scope of our work and other factors, of which you should be aware of from sources other than our work.</w:t>
      </w:r>
    </w:p>
    <w:p w14:paraId="584C1C44" w14:textId="77777777" w:rsidR="00497B3E" w:rsidRPr="00124E7F" w:rsidRDefault="00497B3E" w:rsidP="007B0604">
      <w:pPr>
        <w:pStyle w:val="EYBodytextwithparaspace"/>
      </w:pPr>
      <w:r w:rsidRPr="00124E7F">
        <w:t>EY has prepared this independent analysis and has relied on information provided by the Department and other stakeholders. We do not imply, and it should not be construed that we have performed audit or due diligence procedures on any of the information provided to us.  We have not independently verified, or accept any responsibility or liability for independently verifying, any such information nor do we make any representation as to the accuracy or completeness of the information. We accept no liability for any loss or damage, which may result from your reliance on any research, analyses or information so supplied.</w:t>
      </w:r>
    </w:p>
    <w:p w14:paraId="7AE534D1" w14:textId="77777777" w:rsidR="00864988" w:rsidRPr="00124E7F" w:rsidRDefault="00864988" w:rsidP="00BC668D">
      <w:pPr>
        <w:pStyle w:val="EYHeading2"/>
        <w:tabs>
          <w:tab w:val="clear" w:pos="0"/>
        </w:tabs>
      </w:pPr>
      <w:bookmarkStart w:id="54" w:name="_Toc451769104"/>
      <w:bookmarkStart w:id="55" w:name="_Toc467768603"/>
      <w:bookmarkStart w:id="56" w:name="_Toc467768655"/>
      <w:bookmarkStart w:id="57" w:name="_Toc467768945"/>
      <w:bookmarkStart w:id="58" w:name="_Toc467769078"/>
      <w:bookmarkStart w:id="59" w:name="_Toc469644731"/>
      <w:r w:rsidRPr="00124E7F">
        <w:t>Report structure</w:t>
      </w:r>
      <w:bookmarkEnd w:id="54"/>
      <w:bookmarkEnd w:id="55"/>
      <w:bookmarkEnd w:id="56"/>
      <w:bookmarkEnd w:id="57"/>
      <w:bookmarkEnd w:id="58"/>
      <w:bookmarkEnd w:id="59"/>
    </w:p>
    <w:p w14:paraId="46282724" w14:textId="77777777" w:rsidR="00864988" w:rsidRPr="00124E7F" w:rsidRDefault="00CE6053" w:rsidP="00D3010E">
      <w:pPr>
        <w:pStyle w:val="EYBodytextwithparaspace"/>
      </w:pPr>
      <w:r w:rsidRPr="00124E7F">
        <w:t>The remainder of the report is set out as follows:</w:t>
      </w:r>
    </w:p>
    <w:p w14:paraId="0D727B9B" w14:textId="77777777" w:rsidR="00CE6053" w:rsidRPr="00124E7F" w:rsidRDefault="00966BBC" w:rsidP="00634BB4">
      <w:pPr>
        <w:pStyle w:val="EYBulletedText1"/>
      </w:pPr>
      <w:r w:rsidRPr="00124E7F">
        <w:t xml:space="preserve">Section 2 outlines our approach to the analysis, with particular attention to the conceptual approach adopted for evaluating the costs and benefits of </w:t>
      </w:r>
      <w:r w:rsidR="006F1A39" w:rsidRPr="00124E7F">
        <w:t>each recommendation</w:t>
      </w:r>
      <w:r w:rsidRPr="00124E7F">
        <w:t>; approach to stakeholder consultations; and key assumptions made in undertaking the analysis.</w:t>
      </w:r>
    </w:p>
    <w:p w14:paraId="7BFC8F85" w14:textId="77777777" w:rsidR="0099000A" w:rsidRPr="00124E7F" w:rsidRDefault="009F0332" w:rsidP="00634BB4">
      <w:pPr>
        <w:pStyle w:val="EYBulletedText1"/>
      </w:pPr>
      <w:r w:rsidRPr="00124E7F">
        <w:t>Section 3</w:t>
      </w:r>
      <w:r w:rsidR="0099000A" w:rsidRPr="00124E7F">
        <w:t xml:space="preserve"> follows with an individual assessment of each proposed fair dealing exception</w:t>
      </w:r>
      <w:r w:rsidRPr="00124E7F">
        <w:t xml:space="preserve"> as well as orphan works</w:t>
      </w:r>
      <w:r w:rsidR="0099000A" w:rsidRPr="00124E7F">
        <w:t xml:space="preserve">. The costs and benefits of each exception will differ due to the different nature of works and uses associated with each exception, and the different </w:t>
      </w:r>
      <w:r w:rsidR="005D236A" w:rsidRPr="00124E7F">
        <w:t>licens</w:t>
      </w:r>
      <w:r w:rsidR="007D4AFF" w:rsidRPr="00124E7F">
        <w:t>ing</w:t>
      </w:r>
      <w:r w:rsidR="0099000A" w:rsidRPr="00124E7F">
        <w:t xml:space="preserve"> and legal landscapes within which each exception </w:t>
      </w:r>
      <w:r w:rsidR="006F0FC1" w:rsidRPr="00124E7F">
        <w:t xml:space="preserve">operates. </w:t>
      </w:r>
    </w:p>
    <w:p w14:paraId="231AD396" w14:textId="77777777" w:rsidR="00725467" w:rsidRPr="00124E7F" w:rsidRDefault="00725467" w:rsidP="00634BB4">
      <w:pPr>
        <w:pStyle w:val="EYBulletedText1"/>
      </w:pPr>
      <w:r w:rsidRPr="00124E7F">
        <w:t xml:space="preserve">Finally, Section 4 compares the costs and benefits of a fair use system relative to a fair dealing system of exceptions from two perspectives, certainty and flexibility. </w:t>
      </w:r>
    </w:p>
    <w:p w14:paraId="5733D51E" w14:textId="77777777" w:rsidR="004365D3" w:rsidRPr="00124E7F" w:rsidRDefault="004365D3" w:rsidP="00815807">
      <w:pPr>
        <w:pStyle w:val="AABullet1"/>
        <w:spacing w:line="276" w:lineRule="auto"/>
        <w:sectPr w:rsidR="004365D3" w:rsidRPr="00124E7F" w:rsidSect="00D3010E">
          <w:pgSz w:w="11909" w:h="16834" w:code="9"/>
          <w:pgMar w:top="1440" w:right="1440" w:bottom="1440" w:left="1440" w:header="720" w:footer="567" w:gutter="0"/>
          <w:pgNumType w:start="1"/>
          <w:cols w:space="720"/>
          <w:docGrid w:linePitch="360"/>
        </w:sectPr>
      </w:pPr>
    </w:p>
    <w:p w14:paraId="7A83BF81" w14:textId="77777777" w:rsidR="00857004" w:rsidRPr="00202E68" w:rsidRDefault="00857004" w:rsidP="00536578">
      <w:pPr>
        <w:pStyle w:val="EYHeading1"/>
        <w:rPr>
          <w:color w:val="auto"/>
        </w:rPr>
      </w:pPr>
      <w:bookmarkStart w:id="60" w:name="_Toc451769105"/>
      <w:bookmarkStart w:id="61" w:name="_Toc467768604"/>
      <w:bookmarkStart w:id="62" w:name="_Toc467768656"/>
      <w:bookmarkStart w:id="63" w:name="_Toc467768946"/>
      <w:bookmarkStart w:id="64" w:name="_Toc469644732"/>
      <w:r w:rsidRPr="00202E68">
        <w:rPr>
          <w:color w:val="auto"/>
        </w:rPr>
        <w:t>Approach to analysis</w:t>
      </w:r>
      <w:bookmarkEnd w:id="60"/>
      <w:bookmarkEnd w:id="61"/>
      <w:bookmarkEnd w:id="62"/>
      <w:bookmarkEnd w:id="63"/>
      <w:bookmarkEnd w:id="64"/>
    </w:p>
    <w:p w14:paraId="2B56AF60" w14:textId="77777777" w:rsidR="00857004" w:rsidRPr="004213AE" w:rsidRDefault="00857004" w:rsidP="00202E68">
      <w:pPr>
        <w:pStyle w:val="EYHeading2"/>
      </w:pPr>
      <w:bookmarkStart w:id="65" w:name="_Toc451769106"/>
      <w:bookmarkStart w:id="66" w:name="_Toc467768605"/>
      <w:bookmarkStart w:id="67" w:name="_Toc467768657"/>
      <w:bookmarkStart w:id="68" w:name="_Toc467768947"/>
      <w:bookmarkStart w:id="69" w:name="_Toc467769079"/>
      <w:bookmarkStart w:id="70" w:name="_Toc469644733"/>
      <w:r w:rsidRPr="00E4018C">
        <w:t>Conceptual</w:t>
      </w:r>
      <w:r w:rsidRPr="004213AE">
        <w:t xml:space="preserve"> framework for evaluating costs and benefits</w:t>
      </w:r>
      <w:bookmarkEnd w:id="65"/>
      <w:bookmarkEnd w:id="66"/>
      <w:bookmarkEnd w:id="67"/>
      <w:bookmarkEnd w:id="68"/>
      <w:bookmarkEnd w:id="69"/>
      <w:bookmarkEnd w:id="70"/>
    </w:p>
    <w:p w14:paraId="3792C4ED" w14:textId="77777777" w:rsidR="0062676F" w:rsidRPr="00124E7F" w:rsidRDefault="00011C88" w:rsidP="00D3010E">
      <w:pPr>
        <w:pStyle w:val="EYBodytextwithparaspace"/>
      </w:pPr>
      <w:bookmarkStart w:id="71" w:name="_Ref430846638"/>
      <w:r w:rsidRPr="004213AE">
        <w:t xml:space="preserve">To evaluate the impacts of the ALRC’s proposed changes to copyright policy it is necessary to develop and use a consistent framework that </w:t>
      </w:r>
      <w:proofErr w:type="spellStart"/>
      <w:r w:rsidRPr="004213AE">
        <w:t>recognises</w:t>
      </w:r>
      <w:proofErr w:type="spellEnd"/>
      <w:r w:rsidRPr="004213AE">
        <w:t xml:space="preserve"> the benefits and costs imposed by copyright.</w:t>
      </w:r>
      <w:r w:rsidR="007257C8" w:rsidRPr="004213AE">
        <w:t xml:space="preserve"> A vast amount of economic </w:t>
      </w:r>
      <w:r w:rsidR="00C60A48" w:rsidRPr="004213AE">
        <w:t>theory</w:t>
      </w:r>
      <w:r w:rsidR="007257C8" w:rsidRPr="004213AE">
        <w:t xml:space="preserve"> exists on this topic, helpfully disentangling</w:t>
      </w:r>
      <w:r w:rsidRPr="004213AE">
        <w:t xml:space="preserve"> the various impacts of copyright.</w:t>
      </w:r>
      <w:r w:rsidR="00640501" w:rsidRPr="00124E7F">
        <w:rPr>
          <w:vertAlign w:val="superscript"/>
        </w:rPr>
        <w:footnoteReference w:id="15"/>
      </w:r>
      <w:r w:rsidR="007257C8" w:rsidRPr="00124E7F">
        <w:rPr>
          <w:vertAlign w:val="superscript"/>
        </w:rPr>
        <w:t xml:space="preserve"> </w:t>
      </w:r>
      <w:r w:rsidRPr="00124E7F">
        <w:t xml:space="preserve">As exceptions may be thought as a weakening of copyright, the literature may </w:t>
      </w:r>
      <w:r w:rsidR="007257C8" w:rsidRPr="00124E7F">
        <w:t>also</w:t>
      </w:r>
      <w:r w:rsidRPr="00124E7F">
        <w:t xml:space="preserve"> </w:t>
      </w:r>
      <w:r w:rsidR="002A12FB" w:rsidRPr="00124E7F">
        <w:t xml:space="preserve">be </w:t>
      </w:r>
      <w:r w:rsidRPr="00124E7F">
        <w:t xml:space="preserve">used </w:t>
      </w:r>
      <w:r w:rsidR="007257C8" w:rsidRPr="00124E7F">
        <w:t xml:space="preserve">as a basis </w:t>
      </w:r>
      <w:r w:rsidRPr="00124E7F">
        <w:t xml:space="preserve">to assess the various impacts of copyright exceptions. Our summary of the key costs and benefits of copyright exceptions is provided in </w:t>
      </w:r>
      <w:r w:rsidR="00072344" w:rsidRPr="00124E7F">
        <w:fldChar w:fldCharType="begin"/>
      </w:r>
      <w:r w:rsidR="00072344" w:rsidRPr="00124E7F">
        <w:instrText xml:space="preserve"> REF _Ref445910681 \h </w:instrText>
      </w:r>
      <w:r w:rsidR="008C0A7F" w:rsidRPr="00124E7F">
        <w:instrText xml:space="preserve"> \* MERGEFORMAT </w:instrText>
      </w:r>
      <w:r w:rsidR="00072344" w:rsidRPr="00124E7F">
        <w:fldChar w:fldCharType="separate"/>
      </w:r>
      <w:r w:rsidR="0075700D" w:rsidRPr="00124E7F">
        <w:t xml:space="preserve">Figure </w:t>
      </w:r>
      <w:r w:rsidR="0075700D">
        <w:rPr>
          <w:noProof/>
        </w:rPr>
        <w:t>2</w:t>
      </w:r>
      <w:r w:rsidR="00072344" w:rsidRPr="00124E7F">
        <w:fldChar w:fldCharType="end"/>
      </w:r>
      <w:r w:rsidRPr="00124E7F">
        <w:t xml:space="preserve">. </w:t>
      </w:r>
    </w:p>
    <w:p w14:paraId="149983C7" w14:textId="77777777" w:rsidR="00815807" w:rsidRDefault="00D371EF" w:rsidP="0062676F">
      <w:pPr>
        <w:pStyle w:val="Caption"/>
        <w:keepNext/>
        <w:spacing w:before="120"/>
      </w:pPr>
      <w:bookmarkStart w:id="72" w:name="_Ref445910681"/>
      <w:r w:rsidRPr="00124E7F">
        <w:t xml:space="preserve">Figure </w:t>
      </w:r>
      <w:r w:rsidRPr="004213AE">
        <w:fldChar w:fldCharType="begin"/>
      </w:r>
      <w:r w:rsidRPr="00124E7F">
        <w:instrText xml:space="preserve"> SEQ Figure \* ARABIC </w:instrText>
      </w:r>
      <w:r w:rsidRPr="004213AE">
        <w:fldChar w:fldCharType="separate"/>
      </w:r>
      <w:r w:rsidR="0075700D">
        <w:rPr>
          <w:noProof/>
        </w:rPr>
        <w:t>2</w:t>
      </w:r>
      <w:r w:rsidRPr="004213AE">
        <w:fldChar w:fldCharType="end"/>
      </w:r>
      <w:bookmarkEnd w:id="71"/>
      <w:bookmarkEnd w:id="72"/>
      <w:r w:rsidR="00F07D6B" w:rsidRPr="004213AE">
        <w:t>:</w:t>
      </w:r>
      <w:r w:rsidRPr="004213AE">
        <w:t xml:space="preserve"> Conceptual framework </w:t>
      </w:r>
      <w:r w:rsidR="002A12FB" w:rsidRPr="004213AE">
        <w:t>for</w:t>
      </w:r>
      <w:r w:rsidRPr="004213AE">
        <w:t xml:space="preserve"> costs and benefits</w:t>
      </w:r>
      <w:r w:rsidR="002A12FB" w:rsidRPr="004213AE">
        <w:t xml:space="preserve"> of exceptions</w:t>
      </w:r>
    </w:p>
    <w:p w14:paraId="60612E4D" w14:textId="77777777" w:rsidR="004213AE" w:rsidRPr="004213AE" w:rsidRDefault="004213AE" w:rsidP="00202E68">
      <w:r>
        <w:rPr>
          <w:noProof/>
          <w:lang w:eastAsia="zh-TW" w:bidi="hi-IN"/>
        </w:rPr>
        <w:drawing>
          <wp:inline distT="0" distB="0" distL="0" distR="0" wp14:anchorId="4B565A02" wp14:editId="4AC7DB7D">
            <wp:extent cx="4104000" cy="3001665"/>
            <wp:effectExtent l="0" t="0" r="0" b="8255"/>
            <wp:docPr id="3" name="Picture 3" descr="This is a diagram adapted from Handke C (2010), The Economies of Copyright and Digitisation, SABIP. The diagram summarises the key costs and benefits of copyright exceptions, differentiating between short run and long run costs, which are fully described in the main text of the document. " title="Figure 2: Conceptual framework for costs and benefits of exce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04000" cy="3001665"/>
                    </a:xfrm>
                    <a:prstGeom prst="rect">
                      <a:avLst/>
                    </a:prstGeom>
                    <a:noFill/>
                  </pic:spPr>
                </pic:pic>
              </a:graphicData>
            </a:graphic>
          </wp:inline>
        </w:drawing>
      </w:r>
    </w:p>
    <w:p w14:paraId="50A95EF7" w14:textId="77777777" w:rsidR="00D371EF" w:rsidRPr="004213AE" w:rsidRDefault="00FC5A3F" w:rsidP="00D3010E">
      <w:pPr>
        <w:pStyle w:val="EYSource"/>
        <w:rPr>
          <w:sz w:val="20"/>
          <w:szCs w:val="20"/>
        </w:rPr>
      </w:pPr>
      <w:r w:rsidRPr="004213AE">
        <w:rPr>
          <w:sz w:val="20"/>
          <w:szCs w:val="20"/>
        </w:rPr>
        <w:t xml:space="preserve">Source: Adapted from </w:t>
      </w:r>
      <w:proofErr w:type="spellStart"/>
      <w:r w:rsidRPr="004213AE">
        <w:rPr>
          <w:sz w:val="20"/>
          <w:szCs w:val="20"/>
        </w:rPr>
        <w:t>Handke</w:t>
      </w:r>
      <w:proofErr w:type="spellEnd"/>
      <w:r w:rsidRPr="004213AE">
        <w:rPr>
          <w:sz w:val="20"/>
          <w:szCs w:val="20"/>
        </w:rPr>
        <w:t xml:space="preserve"> C (2010), The Economics of Copyright and </w:t>
      </w:r>
      <w:proofErr w:type="spellStart"/>
      <w:r w:rsidRPr="004213AE">
        <w:rPr>
          <w:sz w:val="20"/>
          <w:szCs w:val="20"/>
        </w:rPr>
        <w:t>Digitisation</w:t>
      </w:r>
      <w:proofErr w:type="spellEnd"/>
      <w:r w:rsidRPr="004213AE">
        <w:rPr>
          <w:sz w:val="20"/>
          <w:szCs w:val="20"/>
        </w:rPr>
        <w:t xml:space="preserve">, SABIP. </w:t>
      </w:r>
    </w:p>
    <w:p w14:paraId="0CAD02E6" w14:textId="77777777" w:rsidR="00D3010E" w:rsidRPr="00124E7F" w:rsidRDefault="00D3010E" w:rsidP="00D3010E">
      <w:pPr>
        <w:rPr>
          <w:lang w:val="en-US"/>
        </w:rPr>
      </w:pPr>
    </w:p>
    <w:p w14:paraId="6454EADF" w14:textId="77777777" w:rsidR="00404CE7" w:rsidRPr="00124E7F" w:rsidRDefault="00011C88" w:rsidP="00D3010E">
      <w:pPr>
        <w:pStyle w:val="EYBodytextwithparaspace"/>
      </w:pPr>
      <w:r w:rsidRPr="00124E7F">
        <w:t>The figure makes a distinction between short run and long run impacts. In the short run, copyright trades off the interests of right</w:t>
      </w:r>
      <w:r w:rsidR="006B2E08" w:rsidRPr="00124E7F">
        <w:t>s</w:t>
      </w:r>
      <w:r w:rsidRPr="00124E7F">
        <w:t xml:space="preserve"> holders (i.e. </w:t>
      </w:r>
      <w:proofErr w:type="spellStart"/>
      <w:r w:rsidRPr="00124E7F">
        <w:t>maximising</w:t>
      </w:r>
      <w:proofErr w:type="spellEnd"/>
      <w:r w:rsidRPr="00124E7F">
        <w:t xml:space="preserve"> income) against the interests of users (</w:t>
      </w:r>
      <w:proofErr w:type="spellStart"/>
      <w:r w:rsidRPr="00124E7F">
        <w:t>maximising</w:t>
      </w:r>
      <w:proofErr w:type="spellEnd"/>
      <w:r w:rsidRPr="00124E7F">
        <w:t xml:space="preserve"> access to the existing stock of creative works).</w:t>
      </w:r>
      <w:r w:rsidR="00404CE7" w:rsidRPr="00124E7F">
        <w:t xml:space="preserve"> </w:t>
      </w:r>
    </w:p>
    <w:p w14:paraId="28C36B7E" w14:textId="77777777" w:rsidR="00011C88" w:rsidRPr="00124E7F" w:rsidRDefault="00011C88" w:rsidP="00D3010E">
      <w:pPr>
        <w:pStyle w:val="EYBodytextwithparaspace"/>
      </w:pPr>
      <w:r w:rsidRPr="00124E7F">
        <w:t xml:space="preserve">Prices charged by copyright owners generate access costs to users. To the extent that exceptions reduce access costs for users, </w:t>
      </w:r>
      <w:r w:rsidR="0017354F" w:rsidRPr="00124E7F">
        <w:t xml:space="preserve">this would be expected to lead to enhanced use of copyright works by users, and </w:t>
      </w:r>
      <w:r w:rsidRPr="00124E7F">
        <w:t>revenu</w:t>
      </w:r>
      <w:r w:rsidR="00E46246" w:rsidRPr="00124E7F">
        <w:t xml:space="preserve">e losses for copyright holders. </w:t>
      </w:r>
      <w:r w:rsidRPr="00124E7F">
        <w:t xml:space="preserve">In this </w:t>
      </w:r>
      <w:r w:rsidR="00404CE7" w:rsidRPr="00124E7F">
        <w:t>way</w:t>
      </w:r>
      <w:r w:rsidRPr="00124E7F">
        <w:t>, it would not appear possible to simultaneously improve the situation for right</w:t>
      </w:r>
      <w:r w:rsidR="006B2E08" w:rsidRPr="00124E7F">
        <w:t>s</w:t>
      </w:r>
      <w:r w:rsidRPr="00124E7F">
        <w:t xml:space="preserve"> holders and users in the short run. The copyright system also involves short-run </w:t>
      </w:r>
      <w:r w:rsidR="00575D11" w:rsidRPr="00124E7F">
        <w:t>administration</w:t>
      </w:r>
      <w:r w:rsidRPr="00124E7F">
        <w:t xml:space="preserve"> and transaction costs (e.g. search costs, bargaining, monitoring and enforcement costs), which would typically be expected to fall for both right</w:t>
      </w:r>
      <w:r w:rsidR="006B2E08" w:rsidRPr="00124E7F">
        <w:t>s</w:t>
      </w:r>
      <w:r w:rsidRPr="00124E7F">
        <w:t xml:space="preserve"> holders and users with the introduction of an exception. </w:t>
      </w:r>
    </w:p>
    <w:p w14:paraId="6BFF8BA0" w14:textId="77777777" w:rsidR="003C6C2C" w:rsidRPr="00124E7F" w:rsidRDefault="00011C88" w:rsidP="00D3010E">
      <w:pPr>
        <w:pStyle w:val="EYBodytextwithparaspace"/>
      </w:pPr>
      <w:r w:rsidRPr="00124E7F">
        <w:t>The long run impacts are the most pertinent. In particular if, under an exception for particular uses, right</w:t>
      </w:r>
      <w:r w:rsidR="006B2E08" w:rsidRPr="00124E7F">
        <w:t>s</w:t>
      </w:r>
      <w:r w:rsidRPr="00124E7F">
        <w:t xml:space="preserve"> holders find it harder to recoup the costs of creation, they may have fewer incentives to create and diffuse new works. </w:t>
      </w:r>
      <w:r w:rsidR="003C6C2C" w:rsidRPr="00124E7F">
        <w:t>However, very few empirical studies have been done on the impact of changes of copyright policy on the incentives to create new creative works.</w:t>
      </w:r>
      <w:r w:rsidR="003C6C2C" w:rsidRPr="00124E7F">
        <w:rPr>
          <w:vertAlign w:val="superscript"/>
        </w:rPr>
        <w:footnoteReference w:id="16"/>
      </w:r>
      <w:r w:rsidR="003C6C2C" w:rsidRPr="00124E7F">
        <w:rPr>
          <w:vertAlign w:val="superscript"/>
        </w:rPr>
        <w:t xml:space="preserve"> </w:t>
      </w:r>
      <w:r w:rsidR="003C6C2C" w:rsidRPr="00124E7F">
        <w:t>This, it has been argued, ‘constitutes probably the most fundamental gap in the entire [copyright] literature’.</w:t>
      </w:r>
      <w:r w:rsidR="003C6C2C" w:rsidRPr="00124E7F">
        <w:rPr>
          <w:vertAlign w:val="superscript"/>
        </w:rPr>
        <w:footnoteReference w:id="17"/>
      </w:r>
      <w:r w:rsidR="003C6C2C" w:rsidRPr="00124E7F">
        <w:t xml:space="preserve"> </w:t>
      </w:r>
    </w:p>
    <w:p w14:paraId="459C6492" w14:textId="77777777" w:rsidR="003032A4" w:rsidRPr="00124E7F" w:rsidRDefault="00011C88" w:rsidP="00F07D6B">
      <w:pPr>
        <w:pStyle w:val="EYBodytextwithparaspace"/>
        <w:spacing w:after="160"/>
      </w:pPr>
      <w:r w:rsidRPr="00124E7F">
        <w:rPr>
          <w:rStyle w:val="AAnormalChar"/>
        </w:rPr>
        <w:t>Conversely, to the extent that transaction costs fall with the introduction of an exception, this may</w:t>
      </w:r>
      <w:r w:rsidRPr="00124E7F">
        <w:t xml:space="preserve"> be seen as a mechanism to enable investment in certain</w:t>
      </w:r>
      <w:r w:rsidR="0017354F" w:rsidRPr="00124E7F">
        <w:t xml:space="preserve"> new</w:t>
      </w:r>
      <w:r w:rsidRPr="00124E7F">
        <w:t xml:space="preserve"> uses of a work</w:t>
      </w:r>
      <w:r w:rsidR="00A25976" w:rsidRPr="00124E7F">
        <w:t>,</w:t>
      </w:r>
      <w:r w:rsidRPr="00124E7F">
        <w:t xml:space="preserve"> which may otherwise have been inhibited, with concomitant longer term social and economic benefits. This shows that exceptions are likely to be beneficial when transaction costs for particular uses are high and the expected impact of right</w:t>
      </w:r>
      <w:r w:rsidR="006B2E08" w:rsidRPr="00124E7F">
        <w:t>s</w:t>
      </w:r>
      <w:r w:rsidRPr="00124E7F">
        <w:t xml:space="preserve"> holders’ income is low</w:t>
      </w:r>
      <w:r w:rsidR="005D236A" w:rsidRPr="00124E7F">
        <w:t xml:space="preserve"> </w:t>
      </w:r>
      <w:r w:rsidR="003032A4" w:rsidRPr="00124E7F">
        <w:t>(e.g. format and time shifting of legitimately acquired copyright content)</w:t>
      </w:r>
      <w:r w:rsidRPr="00124E7F">
        <w:t xml:space="preserve">. It is important, however, </w:t>
      </w:r>
      <w:r w:rsidR="00EB6A2E" w:rsidRPr="00124E7F">
        <w:t xml:space="preserve">to remember </w:t>
      </w:r>
      <w:r w:rsidRPr="00124E7F">
        <w:t>that when uses are valuable, market mechanisms may form in order to overcome high transaction costs</w:t>
      </w:r>
      <w:r w:rsidR="003032A4" w:rsidRPr="00124E7F">
        <w:t xml:space="preserve"> (e.g. license access for making multiple copies or </w:t>
      </w:r>
      <w:r w:rsidR="005D236A" w:rsidRPr="00124E7F">
        <w:t>licens</w:t>
      </w:r>
      <w:r w:rsidR="003032A4" w:rsidRPr="00124E7F">
        <w:t>e access for the use of the same content over multiple devices).</w:t>
      </w:r>
    </w:p>
    <w:p w14:paraId="1BCB212A" w14:textId="77777777" w:rsidR="00A82065" w:rsidRPr="00124E7F" w:rsidRDefault="00C9702D" w:rsidP="00F07D6B">
      <w:pPr>
        <w:pStyle w:val="EYBodytextwithparaspace"/>
        <w:spacing w:after="160"/>
      </w:pPr>
      <w:r w:rsidRPr="00124E7F">
        <w:t xml:space="preserve">Given the diverse nature of the exceptions and the markets within which they exist, not every cost and benefit </w:t>
      </w:r>
      <w:r w:rsidR="00011C88" w:rsidRPr="00124E7F">
        <w:t xml:space="preserve">has been explicitly </w:t>
      </w:r>
      <w:r w:rsidR="00913D57" w:rsidRPr="00124E7F">
        <w:t>discussed</w:t>
      </w:r>
      <w:r w:rsidR="00011C88" w:rsidRPr="00124E7F">
        <w:t xml:space="preserve"> for </w:t>
      </w:r>
      <w:r w:rsidRPr="00124E7F">
        <w:t>every exception under scope</w:t>
      </w:r>
      <w:r w:rsidR="00011C88" w:rsidRPr="00124E7F">
        <w:t>.</w:t>
      </w:r>
      <w:r w:rsidRPr="00124E7F">
        <w:t xml:space="preserve"> </w:t>
      </w:r>
      <w:r w:rsidR="00011C88" w:rsidRPr="00124E7F">
        <w:t xml:space="preserve">Instead, in our assessment of </w:t>
      </w:r>
      <w:r w:rsidR="00A41ECB" w:rsidRPr="00124E7F">
        <w:t>recommendation</w:t>
      </w:r>
      <w:r w:rsidR="00A25976" w:rsidRPr="00124E7F">
        <w:t>s</w:t>
      </w:r>
      <w:r w:rsidR="00011C88" w:rsidRPr="00124E7F">
        <w:t>, we have focused on those cost and benefits we believe to be the most pertinent. Similarly, due to the scale of impacts and available data, certain im</w:t>
      </w:r>
      <w:r w:rsidR="00575D11" w:rsidRPr="00124E7F">
        <w:t>pacts such as enforcement costs</w:t>
      </w:r>
      <w:r w:rsidR="00011C88" w:rsidRPr="00124E7F">
        <w:t xml:space="preserve"> have been assessed at the ‘option’ </w:t>
      </w:r>
      <w:r w:rsidR="00866225" w:rsidRPr="00124E7F">
        <w:t>(e.g. fair dealing</w:t>
      </w:r>
      <w:r w:rsidR="00E46246" w:rsidRPr="00124E7F">
        <w:t>/fair use</w:t>
      </w:r>
      <w:r w:rsidR="00866225" w:rsidRPr="00124E7F">
        <w:t xml:space="preserve">) </w:t>
      </w:r>
      <w:r w:rsidR="00011C88" w:rsidRPr="00124E7F">
        <w:t>level rather than the ‘exception’ level</w:t>
      </w:r>
      <w:r w:rsidR="00866225" w:rsidRPr="00124E7F">
        <w:t xml:space="preserve"> (e.g. quotation</w:t>
      </w:r>
      <w:r w:rsidR="00E46246" w:rsidRPr="00124E7F">
        <w:t>/education</w:t>
      </w:r>
      <w:r w:rsidR="00866225" w:rsidRPr="00124E7F">
        <w:t>)</w:t>
      </w:r>
      <w:r w:rsidR="00011C88" w:rsidRPr="00124E7F">
        <w:t xml:space="preserve">. </w:t>
      </w:r>
    </w:p>
    <w:p w14:paraId="5AC3FFDA" w14:textId="77777777" w:rsidR="00267625" w:rsidRPr="00124E7F" w:rsidRDefault="00866225" w:rsidP="00F07D6B">
      <w:pPr>
        <w:pStyle w:val="EYBodytextwithparaspace"/>
        <w:spacing w:after="160"/>
        <w:rPr>
          <w:szCs w:val="20"/>
        </w:rPr>
      </w:pPr>
      <w:r w:rsidRPr="00124E7F">
        <w:t xml:space="preserve">For each new fair dealing exception, </w:t>
      </w:r>
      <w:r w:rsidR="00913D57" w:rsidRPr="00124E7F">
        <w:t xml:space="preserve">Section 3 </w:t>
      </w:r>
      <w:proofErr w:type="spellStart"/>
      <w:r w:rsidR="00913D57" w:rsidRPr="00124E7F">
        <w:t>summarises</w:t>
      </w:r>
      <w:proofErr w:type="spellEnd"/>
      <w:r w:rsidR="00913D57" w:rsidRPr="00124E7F">
        <w:t xml:space="preserve"> </w:t>
      </w:r>
      <w:r w:rsidRPr="00124E7F">
        <w:t>t</w:t>
      </w:r>
      <w:r w:rsidR="00011C88" w:rsidRPr="00124E7F">
        <w:t xml:space="preserve">he </w:t>
      </w:r>
      <w:r w:rsidR="00EB6A2E" w:rsidRPr="00124E7F">
        <w:t>expected</w:t>
      </w:r>
      <w:r w:rsidR="00011C88" w:rsidRPr="00124E7F">
        <w:t xml:space="preserve"> impacts </w:t>
      </w:r>
      <w:r w:rsidR="00EB6A2E" w:rsidRPr="00124E7F">
        <w:t>in annotated tables to provide a consistent representation of the costs and benefits.</w:t>
      </w:r>
    </w:p>
    <w:p w14:paraId="2C3B45DB" w14:textId="77777777" w:rsidR="0062676F" w:rsidRPr="00124E7F" w:rsidRDefault="00267625" w:rsidP="00F07D6B">
      <w:pPr>
        <w:pStyle w:val="EYBodytextwithparaspace"/>
        <w:spacing w:after="160"/>
      </w:pPr>
      <w:r w:rsidRPr="00124E7F">
        <w:fldChar w:fldCharType="begin"/>
      </w:r>
      <w:r w:rsidRPr="00124E7F">
        <w:instrText xml:space="preserve"> REF _Ref449636522 \h </w:instrText>
      </w:r>
      <w:r w:rsidR="00633989" w:rsidRPr="00124E7F">
        <w:instrText xml:space="preserve"> \* MERGEFORMAT </w:instrText>
      </w:r>
      <w:r w:rsidRPr="00124E7F">
        <w:fldChar w:fldCharType="separate"/>
      </w:r>
      <w:r w:rsidR="0075700D" w:rsidRPr="00124E7F">
        <w:t xml:space="preserve">Table </w:t>
      </w:r>
      <w:r w:rsidR="0075700D">
        <w:rPr>
          <w:noProof/>
        </w:rPr>
        <w:t>2</w:t>
      </w:r>
      <w:r w:rsidRPr="00124E7F">
        <w:fldChar w:fldCharType="end"/>
      </w:r>
      <w:r w:rsidRPr="00124E7F">
        <w:t xml:space="preserve"> </w:t>
      </w:r>
      <w:r w:rsidR="00EB6A2E" w:rsidRPr="00124E7F">
        <w:t xml:space="preserve">provides the template used to complete the </w:t>
      </w:r>
      <w:r w:rsidR="00A25976" w:rsidRPr="00124E7F">
        <w:t>CBA</w:t>
      </w:r>
      <w:r w:rsidR="00EB6A2E" w:rsidRPr="00124E7F">
        <w:t xml:space="preserve"> in </w:t>
      </w:r>
      <w:r w:rsidR="00866225" w:rsidRPr="00124E7F">
        <w:t>Section 3</w:t>
      </w:r>
      <w:r w:rsidR="0017354F" w:rsidRPr="00124E7F">
        <w:t>.</w:t>
      </w:r>
      <w:r w:rsidR="00A3671D" w:rsidRPr="00124E7F">
        <w:t xml:space="preserve"> A key for interpreting the rating is provided overleaf. </w:t>
      </w:r>
    </w:p>
    <w:p w14:paraId="78F3BF77" w14:textId="77777777" w:rsidR="00B1160D" w:rsidRPr="00124E7F" w:rsidRDefault="00B1160D" w:rsidP="00F07D6B">
      <w:pPr>
        <w:pStyle w:val="Caption"/>
        <w:spacing w:after="40"/>
      </w:pPr>
      <w:bookmarkStart w:id="73" w:name="_Ref430871543"/>
      <w:bookmarkStart w:id="74" w:name="_Ref449636522"/>
      <w:r w:rsidRPr="00124E7F">
        <w:t xml:space="preserve">Table </w:t>
      </w:r>
      <w:r w:rsidRPr="00124E7F">
        <w:fldChar w:fldCharType="begin"/>
      </w:r>
      <w:r w:rsidRPr="00124E7F">
        <w:instrText xml:space="preserve"> SEQ Table \* ARABIC </w:instrText>
      </w:r>
      <w:r w:rsidRPr="00124E7F">
        <w:fldChar w:fldCharType="separate"/>
      </w:r>
      <w:r w:rsidR="0075700D">
        <w:rPr>
          <w:noProof/>
        </w:rPr>
        <w:t>2</w:t>
      </w:r>
      <w:r w:rsidRPr="00124E7F">
        <w:fldChar w:fldCharType="end"/>
      </w:r>
      <w:bookmarkEnd w:id="73"/>
      <w:bookmarkEnd w:id="74"/>
      <w:r w:rsidR="00F07D6B" w:rsidRPr="00124E7F">
        <w:t>:</w:t>
      </w:r>
      <w:r w:rsidRPr="00124E7F">
        <w:t xml:space="preserve"> Template for presenting the costs and benefits of each recommendation</w:t>
      </w:r>
    </w:p>
    <w:tbl>
      <w:tblPr>
        <w:tblStyle w:val="LightShading-Accent3"/>
        <w:tblW w:w="5000" w:type="pct"/>
        <w:tblBorders>
          <w:top w:val="none" w:sz="0" w:space="0" w:color="auto"/>
          <w:bottom w:val="none" w:sz="0" w:space="0" w:color="auto"/>
          <w:insideH w:val="single" w:sz="4" w:space="0" w:color="808080" w:themeColor="background1" w:themeShade="80"/>
        </w:tblBorders>
        <w:tblLook w:val="0420" w:firstRow="1" w:lastRow="0" w:firstColumn="0" w:lastColumn="0" w:noHBand="0" w:noVBand="1"/>
        <w:tblCaption w:val="Table 2: Template for presenting the costs and benefits of each recommendation"/>
        <w:tblDescription w:val="Table 2 provides the template that will be used to summarise the costs and benefits identified in Section 3 of the report. Each new fair dealing exception will be evaluated against the status quo and impacts are evaluated in the short term and the long term. Each row of the table identifies the relevant stakeholders impacted, and includes a description of the impact as well as an indication of the magnitude of the impact. The table summarises costs and benefits by impact type (i.e. monopoly rents/access costs; incentives to create new works; administration costs/transaction costs; incentives to invest in new uses of works; enhanced use of existing works; economic and societal benefits; and the net expected impact). "/>
      </w:tblPr>
      <w:tblGrid>
        <w:gridCol w:w="1652"/>
        <w:gridCol w:w="1416"/>
        <w:gridCol w:w="1190"/>
        <w:gridCol w:w="2216"/>
        <w:gridCol w:w="1688"/>
        <w:gridCol w:w="867"/>
      </w:tblGrid>
      <w:tr w:rsidR="004213AE" w:rsidRPr="00124E7F" w14:paraId="5A93B0EE" w14:textId="77777777" w:rsidTr="00D11ADA">
        <w:trPr>
          <w:cnfStyle w:val="100000000000" w:firstRow="1" w:lastRow="0" w:firstColumn="0" w:lastColumn="0" w:oddVBand="0" w:evenVBand="0" w:oddHBand="0" w:evenHBand="0" w:firstRowFirstColumn="0" w:firstRowLastColumn="0" w:lastRowFirstColumn="0" w:lastRowLastColumn="0"/>
          <w:trHeight w:val="340"/>
          <w:tblHeader/>
        </w:trPr>
        <w:tc>
          <w:tcPr>
            <w:tcW w:w="915" w:type="pct"/>
            <w:shd w:val="clear" w:color="auto" w:fill="F0F0F0" w:themeFill="accent4"/>
            <w:vAlign w:val="center"/>
            <w:hideMark/>
          </w:tcPr>
          <w:p w14:paraId="3A05416D" w14:textId="77777777" w:rsidR="004B6547" w:rsidRPr="00124E7F" w:rsidRDefault="004B6547" w:rsidP="00BB6498">
            <w:pPr>
              <w:widowControl/>
              <w:autoSpaceDE/>
              <w:autoSpaceDN/>
              <w:adjustRightInd/>
              <w:spacing w:line="240" w:lineRule="auto"/>
              <w:jc w:val="center"/>
              <w:rPr>
                <w:color w:val="auto"/>
              </w:rPr>
            </w:pPr>
            <w:r w:rsidRPr="00124E7F">
              <w:rPr>
                <w:color w:val="auto"/>
              </w:rPr>
              <w:t>Impact type</w:t>
            </w:r>
          </w:p>
        </w:tc>
        <w:tc>
          <w:tcPr>
            <w:tcW w:w="784" w:type="pct"/>
            <w:shd w:val="clear" w:color="auto" w:fill="F0F0F0" w:themeFill="accent4"/>
            <w:vAlign w:val="center"/>
            <w:hideMark/>
          </w:tcPr>
          <w:p w14:paraId="76ABBC8D" w14:textId="77777777" w:rsidR="004B6547" w:rsidRPr="00124E7F" w:rsidRDefault="004B6547" w:rsidP="00BB6498">
            <w:pPr>
              <w:widowControl/>
              <w:autoSpaceDE/>
              <w:autoSpaceDN/>
              <w:adjustRightInd/>
              <w:spacing w:line="240" w:lineRule="auto"/>
              <w:jc w:val="center"/>
              <w:rPr>
                <w:color w:val="auto"/>
              </w:rPr>
            </w:pPr>
            <w:r w:rsidRPr="00124E7F">
              <w:rPr>
                <w:color w:val="auto"/>
              </w:rPr>
              <w:t>Stakeholder Group</w:t>
            </w:r>
          </w:p>
        </w:tc>
        <w:tc>
          <w:tcPr>
            <w:tcW w:w="659" w:type="pct"/>
            <w:shd w:val="clear" w:color="auto" w:fill="F0F0F0" w:themeFill="accent4"/>
            <w:vAlign w:val="center"/>
            <w:hideMark/>
          </w:tcPr>
          <w:p w14:paraId="356D51C7" w14:textId="77777777" w:rsidR="004B6547" w:rsidRPr="00124E7F" w:rsidRDefault="004B6547" w:rsidP="00BB6498">
            <w:pPr>
              <w:widowControl/>
              <w:autoSpaceDE/>
              <w:autoSpaceDN/>
              <w:adjustRightInd/>
              <w:spacing w:line="240" w:lineRule="auto"/>
              <w:jc w:val="center"/>
              <w:rPr>
                <w:color w:val="auto"/>
              </w:rPr>
            </w:pPr>
            <w:r w:rsidRPr="00124E7F">
              <w:rPr>
                <w:color w:val="auto"/>
              </w:rPr>
              <w:t>Short or long-run</w:t>
            </w:r>
          </w:p>
        </w:tc>
        <w:tc>
          <w:tcPr>
            <w:tcW w:w="1227" w:type="pct"/>
            <w:shd w:val="clear" w:color="auto" w:fill="F0F0F0" w:themeFill="accent4"/>
            <w:vAlign w:val="center"/>
            <w:hideMark/>
          </w:tcPr>
          <w:p w14:paraId="3DE71024" w14:textId="77777777" w:rsidR="004B6547" w:rsidRPr="00124E7F" w:rsidRDefault="004B6547" w:rsidP="00BB6498">
            <w:pPr>
              <w:widowControl/>
              <w:autoSpaceDE/>
              <w:autoSpaceDN/>
              <w:adjustRightInd/>
              <w:spacing w:line="240" w:lineRule="auto"/>
              <w:jc w:val="center"/>
              <w:rPr>
                <w:color w:val="auto"/>
              </w:rPr>
            </w:pPr>
            <w:r w:rsidRPr="00124E7F">
              <w:rPr>
                <w:color w:val="auto"/>
              </w:rPr>
              <w:t>Description of impact</w:t>
            </w:r>
          </w:p>
        </w:tc>
        <w:tc>
          <w:tcPr>
            <w:tcW w:w="935" w:type="pct"/>
            <w:shd w:val="clear" w:color="auto" w:fill="F0F0F0" w:themeFill="accent4"/>
          </w:tcPr>
          <w:p w14:paraId="64630E8A" w14:textId="77777777" w:rsidR="004B6547" w:rsidRPr="00124E7F" w:rsidRDefault="004B6547" w:rsidP="004B6547">
            <w:pPr>
              <w:widowControl/>
              <w:autoSpaceDE/>
              <w:autoSpaceDN/>
              <w:adjustRightInd/>
              <w:spacing w:line="240" w:lineRule="auto"/>
              <w:jc w:val="center"/>
              <w:rPr>
                <w:color w:val="auto"/>
              </w:rPr>
            </w:pPr>
            <w:r w:rsidRPr="00124E7F">
              <w:rPr>
                <w:color w:val="auto"/>
              </w:rPr>
              <w:t>Magnitude of impact’</w:t>
            </w:r>
          </w:p>
        </w:tc>
        <w:tc>
          <w:tcPr>
            <w:tcW w:w="480" w:type="pct"/>
            <w:shd w:val="clear" w:color="auto" w:fill="F0F0F0" w:themeFill="accent4"/>
            <w:vAlign w:val="center"/>
          </w:tcPr>
          <w:p w14:paraId="4731BFB0" w14:textId="77777777" w:rsidR="004B6547" w:rsidRPr="00124E7F" w:rsidRDefault="004B6547" w:rsidP="00BB6498">
            <w:pPr>
              <w:widowControl/>
              <w:autoSpaceDE/>
              <w:autoSpaceDN/>
              <w:adjustRightInd/>
              <w:spacing w:line="240" w:lineRule="auto"/>
              <w:jc w:val="center"/>
              <w:rPr>
                <w:color w:val="auto"/>
              </w:rPr>
            </w:pPr>
            <w:r w:rsidRPr="00124E7F">
              <w:rPr>
                <w:color w:val="auto"/>
              </w:rPr>
              <w:t>Rating</w:t>
            </w:r>
          </w:p>
        </w:tc>
      </w:tr>
      <w:tr w:rsidR="004213AE" w:rsidRPr="00124E7F" w14:paraId="5F7614C6" w14:textId="77777777" w:rsidTr="00D11ADA">
        <w:trPr>
          <w:cnfStyle w:val="000000100000" w:firstRow="0" w:lastRow="0" w:firstColumn="0" w:lastColumn="0" w:oddVBand="0" w:evenVBand="0" w:oddHBand="1" w:evenHBand="0" w:firstRowFirstColumn="0" w:firstRowLastColumn="0" w:lastRowFirstColumn="0" w:lastRowLastColumn="0"/>
          <w:trHeight w:val="782"/>
        </w:trPr>
        <w:tc>
          <w:tcPr>
            <w:tcW w:w="915" w:type="pct"/>
            <w:shd w:val="clear" w:color="auto" w:fill="FFFFFF" w:themeFill="background1"/>
            <w:vAlign w:val="center"/>
          </w:tcPr>
          <w:p w14:paraId="6EF78D2C" w14:textId="77777777" w:rsidR="004B6547" w:rsidRPr="00124E7F" w:rsidRDefault="004B6547" w:rsidP="00BB6498">
            <w:pPr>
              <w:widowControl/>
              <w:autoSpaceDE/>
              <w:autoSpaceDN/>
              <w:adjustRightInd/>
              <w:spacing w:line="240" w:lineRule="auto"/>
              <w:jc w:val="center"/>
              <w:rPr>
                <w:color w:val="auto"/>
              </w:rPr>
            </w:pPr>
            <w:r w:rsidRPr="00124E7F">
              <w:rPr>
                <w:color w:val="auto"/>
              </w:rPr>
              <w:t>Monopoly rents/</w:t>
            </w:r>
          </w:p>
          <w:p w14:paraId="29EFD4B6" w14:textId="77777777" w:rsidR="004B6547" w:rsidRPr="00124E7F" w:rsidRDefault="004B6547" w:rsidP="00BB6498">
            <w:pPr>
              <w:widowControl/>
              <w:autoSpaceDE/>
              <w:autoSpaceDN/>
              <w:adjustRightInd/>
              <w:spacing w:line="240" w:lineRule="auto"/>
              <w:jc w:val="center"/>
              <w:rPr>
                <w:color w:val="auto"/>
              </w:rPr>
            </w:pPr>
            <w:r w:rsidRPr="00124E7F">
              <w:rPr>
                <w:color w:val="auto"/>
              </w:rPr>
              <w:t>Access costs</w:t>
            </w:r>
          </w:p>
        </w:tc>
        <w:tc>
          <w:tcPr>
            <w:tcW w:w="784" w:type="pct"/>
            <w:shd w:val="clear" w:color="auto" w:fill="FFFFFF" w:themeFill="background1"/>
            <w:vAlign w:val="center"/>
          </w:tcPr>
          <w:p w14:paraId="70C00A2E" w14:textId="77777777" w:rsidR="004B6547" w:rsidRPr="00124E7F" w:rsidRDefault="004B6547" w:rsidP="00BB6498">
            <w:pPr>
              <w:widowControl/>
              <w:autoSpaceDE/>
              <w:autoSpaceDN/>
              <w:adjustRightInd/>
              <w:spacing w:line="240" w:lineRule="auto"/>
              <w:jc w:val="center"/>
              <w:rPr>
                <w:color w:val="auto"/>
              </w:rPr>
            </w:pPr>
            <w:r w:rsidRPr="00124E7F">
              <w:rPr>
                <w:color w:val="auto"/>
              </w:rPr>
              <w:t>Rights holders</w:t>
            </w:r>
          </w:p>
          <w:p w14:paraId="12536C2B" w14:textId="77777777" w:rsidR="004B6547" w:rsidRPr="00124E7F" w:rsidRDefault="004B6547" w:rsidP="00BB6498">
            <w:pPr>
              <w:widowControl/>
              <w:autoSpaceDE/>
              <w:autoSpaceDN/>
              <w:adjustRightInd/>
              <w:spacing w:line="240" w:lineRule="auto"/>
              <w:jc w:val="center"/>
              <w:rPr>
                <w:color w:val="auto"/>
              </w:rPr>
            </w:pPr>
            <w:r w:rsidRPr="00124E7F">
              <w:rPr>
                <w:color w:val="auto"/>
              </w:rPr>
              <w:t>Users</w:t>
            </w:r>
          </w:p>
        </w:tc>
        <w:tc>
          <w:tcPr>
            <w:tcW w:w="659" w:type="pct"/>
            <w:shd w:val="clear" w:color="auto" w:fill="FFFFFF" w:themeFill="background1"/>
            <w:vAlign w:val="center"/>
          </w:tcPr>
          <w:p w14:paraId="25695F00" w14:textId="77777777" w:rsidR="004B6547" w:rsidRPr="00124E7F" w:rsidRDefault="004B6547" w:rsidP="00BB6498">
            <w:pPr>
              <w:spacing w:line="240" w:lineRule="auto"/>
              <w:jc w:val="center"/>
              <w:rPr>
                <w:color w:val="auto"/>
              </w:rPr>
            </w:pPr>
            <w:r w:rsidRPr="00124E7F">
              <w:rPr>
                <w:color w:val="auto"/>
              </w:rPr>
              <w:t>Short run</w:t>
            </w:r>
          </w:p>
        </w:tc>
        <w:tc>
          <w:tcPr>
            <w:tcW w:w="1227" w:type="pct"/>
            <w:shd w:val="clear" w:color="auto" w:fill="FFFFFF" w:themeFill="background1"/>
            <w:vAlign w:val="center"/>
          </w:tcPr>
          <w:p w14:paraId="566E5160" w14:textId="77777777" w:rsidR="004B6547" w:rsidRPr="00124E7F" w:rsidRDefault="004B6547" w:rsidP="00BB6498">
            <w:pPr>
              <w:spacing w:line="240" w:lineRule="auto"/>
              <w:jc w:val="center"/>
              <w:rPr>
                <w:color w:val="auto"/>
              </w:rPr>
            </w:pPr>
            <w:r w:rsidRPr="00124E7F">
              <w:rPr>
                <w:color w:val="auto"/>
              </w:rPr>
              <w:t>Can it be quantified?</w:t>
            </w:r>
          </w:p>
        </w:tc>
        <w:tc>
          <w:tcPr>
            <w:tcW w:w="935" w:type="pct"/>
            <w:shd w:val="clear" w:color="auto" w:fill="FFFFFF" w:themeFill="background1"/>
          </w:tcPr>
          <w:p w14:paraId="6134A990" w14:textId="77777777" w:rsidR="004B6547" w:rsidRPr="00202E68" w:rsidRDefault="004B6547" w:rsidP="00BB6498">
            <w:pPr>
              <w:widowControl/>
              <w:autoSpaceDE/>
              <w:autoSpaceDN/>
              <w:adjustRightInd/>
              <w:spacing w:line="240" w:lineRule="auto"/>
              <w:jc w:val="center"/>
              <w:rPr>
                <w:color w:val="auto"/>
              </w:rPr>
            </w:pPr>
          </w:p>
        </w:tc>
        <w:tc>
          <w:tcPr>
            <w:tcW w:w="480" w:type="pct"/>
            <w:shd w:val="clear" w:color="auto" w:fill="FFFFFF" w:themeFill="background1"/>
            <w:vAlign w:val="center"/>
          </w:tcPr>
          <w:p w14:paraId="3C59E369" w14:textId="77777777" w:rsidR="004B6547" w:rsidRPr="004213AE" w:rsidRDefault="004B6547" w:rsidP="00BB6498">
            <w:pPr>
              <w:widowControl/>
              <w:autoSpaceDE/>
              <w:autoSpaceDN/>
              <w:adjustRightInd/>
              <w:spacing w:line="240" w:lineRule="auto"/>
              <w:jc w:val="center"/>
              <w:rPr>
                <w:color w:val="auto"/>
              </w:rPr>
            </w:pPr>
            <w:r w:rsidRPr="004213AE">
              <w:rPr>
                <w:color w:val="auto"/>
              </w:rPr>
              <w:t>-/+</w:t>
            </w:r>
          </w:p>
        </w:tc>
      </w:tr>
      <w:tr w:rsidR="004213AE" w:rsidRPr="00124E7F" w14:paraId="750501D2" w14:textId="77777777" w:rsidTr="00D11ADA">
        <w:trPr>
          <w:trHeight w:val="782"/>
        </w:trPr>
        <w:tc>
          <w:tcPr>
            <w:tcW w:w="915" w:type="pct"/>
            <w:shd w:val="clear" w:color="auto" w:fill="auto"/>
            <w:vAlign w:val="center"/>
          </w:tcPr>
          <w:p w14:paraId="5007E3C5" w14:textId="77777777" w:rsidR="004B6547" w:rsidRPr="00124E7F" w:rsidRDefault="004B6547" w:rsidP="00BB6498">
            <w:pPr>
              <w:widowControl/>
              <w:autoSpaceDE/>
              <w:autoSpaceDN/>
              <w:adjustRightInd/>
              <w:spacing w:line="240" w:lineRule="auto"/>
              <w:jc w:val="center"/>
              <w:rPr>
                <w:color w:val="auto"/>
              </w:rPr>
            </w:pPr>
            <w:r w:rsidRPr="00124E7F">
              <w:rPr>
                <w:color w:val="auto"/>
              </w:rPr>
              <w:t>Incentives to create new works</w:t>
            </w:r>
          </w:p>
        </w:tc>
        <w:tc>
          <w:tcPr>
            <w:tcW w:w="784" w:type="pct"/>
            <w:shd w:val="clear" w:color="auto" w:fill="auto"/>
            <w:vAlign w:val="center"/>
          </w:tcPr>
          <w:p w14:paraId="59B9CF5C" w14:textId="77777777" w:rsidR="004B6547" w:rsidRPr="00124E7F" w:rsidRDefault="004B6547" w:rsidP="00BB6498">
            <w:pPr>
              <w:widowControl/>
              <w:autoSpaceDE/>
              <w:autoSpaceDN/>
              <w:adjustRightInd/>
              <w:spacing w:line="240" w:lineRule="auto"/>
              <w:jc w:val="center"/>
              <w:rPr>
                <w:color w:val="auto"/>
              </w:rPr>
            </w:pPr>
            <w:r w:rsidRPr="00124E7F">
              <w:rPr>
                <w:color w:val="auto"/>
              </w:rPr>
              <w:t>Rights holders</w:t>
            </w:r>
          </w:p>
        </w:tc>
        <w:tc>
          <w:tcPr>
            <w:tcW w:w="659" w:type="pct"/>
            <w:shd w:val="clear" w:color="auto" w:fill="auto"/>
            <w:vAlign w:val="center"/>
          </w:tcPr>
          <w:p w14:paraId="4854F19C" w14:textId="77777777" w:rsidR="004B6547" w:rsidRPr="00124E7F" w:rsidRDefault="004B6547" w:rsidP="00BB6498">
            <w:pPr>
              <w:spacing w:line="240" w:lineRule="auto"/>
              <w:jc w:val="center"/>
              <w:rPr>
                <w:color w:val="auto"/>
              </w:rPr>
            </w:pPr>
            <w:r w:rsidRPr="00124E7F">
              <w:rPr>
                <w:color w:val="auto"/>
              </w:rPr>
              <w:t>Long Run</w:t>
            </w:r>
          </w:p>
        </w:tc>
        <w:tc>
          <w:tcPr>
            <w:tcW w:w="1227" w:type="pct"/>
            <w:shd w:val="clear" w:color="auto" w:fill="auto"/>
            <w:vAlign w:val="center"/>
          </w:tcPr>
          <w:p w14:paraId="7DC5CACE" w14:textId="77777777" w:rsidR="004B6547" w:rsidRPr="00124E7F" w:rsidRDefault="004B6547" w:rsidP="00BB6498">
            <w:pPr>
              <w:spacing w:line="240" w:lineRule="auto"/>
              <w:jc w:val="center"/>
              <w:rPr>
                <w:color w:val="auto"/>
              </w:rPr>
            </w:pPr>
            <w:r w:rsidRPr="00124E7F">
              <w:rPr>
                <w:color w:val="auto"/>
              </w:rPr>
              <w:t>Can it be quantified?</w:t>
            </w:r>
          </w:p>
        </w:tc>
        <w:tc>
          <w:tcPr>
            <w:tcW w:w="935" w:type="pct"/>
          </w:tcPr>
          <w:p w14:paraId="28023893" w14:textId="77777777" w:rsidR="004B6547" w:rsidRPr="00202E68" w:rsidRDefault="004B6547" w:rsidP="00BB6498">
            <w:pPr>
              <w:widowControl/>
              <w:autoSpaceDE/>
              <w:autoSpaceDN/>
              <w:adjustRightInd/>
              <w:spacing w:line="240" w:lineRule="auto"/>
              <w:jc w:val="center"/>
              <w:rPr>
                <w:color w:val="auto"/>
              </w:rPr>
            </w:pPr>
          </w:p>
        </w:tc>
        <w:tc>
          <w:tcPr>
            <w:tcW w:w="480" w:type="pct"/>
            <w:shd w:val="clear" w:color="auto" w:fill="auto"/>
            <w:vAlign w:val="center"/>
          </w:tcPr>
          <w:p w14:paraId="78411D11" w14:textId="77777777" w:rsidR="004B6547" w:rsidRPr="004213AE" w:rsidRDefault="004B6547" w:rsidP="00BB6498">
            <w:pPr>
              <w:widowControl/>
              <w:autoSpaceDE/>
              <w:autoSpaceDN/>
              <w:adjustRightInd/>
              <w:spacing w:line="240" w:lineRule="auto"/>
              <w:jc w:val="center"/>
              <w:rPr>
                <w:color w:val="auto"/>
              </w:rPr>
            </w:pPr>
          </w:p>
        </w:tc>
      </w:tr>
      <w:tr w:rsidR="004213AE" w:rsidRPr="00124E7F" w14:paraId="387DDF32" w14:textId="77777777" w:rsidTr="00202E68">
        <w:trPr>
          <w:cnfStyle w:val="000000100000" w:firstRow="0" w:lastRow="0" w:firstColumn="0" w:lastColumn="0" w:oddVBand="0" w:evenVBand="0" w:oddHBand="1" w:evenHBand="0" w:firstRowFirstColumn="0" w:firstRowLastColumn="0" w:lastRowFirstColumn="0" w:lastRowLastColumn="0"/>
          <w:trHeight w:val="1046"/>
        </w:trPr>
        <w:tc>
          <w:tcPr>
            <w:tcW w:w="915" w:type="pct"/>
            <w:shd w:val="clear" w:color="auto" w:fill="auto"/>
            <w:vAlign w:val="center"/>
          </w:tcPr>
          <w:p w14:paraId="5C23BDD0" w14:textId="77777777" w:rsidR="004B6547" w:rsidRPr="00124E7F" w:rsidRDefault="004B6547" w:rsidP="00BB6498">
            <w:pPr>
              <w:widowControl/>
              <w:autoSpaceDE/>
              <w:autoSpaceDN/>
              <w:adjustRightInd/>
              <w:spacing w:line="240" w:lineRule="auto"/>
              <w:jc w:val="center"/>
              <w:rPr>
                <w:color w:val="auto"/>
              </w:rPr>
            </w:pPr>
            <w:r w:rsidRPr="00124E7F">
              <w:rPr>
                <w:color w:val="auto"/>
              </w:rPr>
              <w:t>Administration costs/ transaction costs</w:t>
            </w:r>
          </w:p>
        </w:tc>
        <w:tc>
          <w:tcPr>
            <w:tcW w:w="784" w:type="pct"/>
            <w:shd w:val="clear" w:color="auto" w:fill="auto"/>
            <w:vAlign w:val="center"/>
          </w:tcPr>
          <w:p w14:paraId="6235BD63" w14:textId="77777777" w:rsidR="004B6547" w:rsidRPr="00124E7F" w:rsidRDefault="004B6547" w:rsidP="00BB6498">
            <w:pPr>
              <w:widowControl/>
              <w:autoSpaceDE/>
              <w:autoSpaceDN/>
              <w:adjustRightInd/>
              <w:spacing w:line="240" w:lineRule="auto"/>
              <w:jc w:val="center"/>
              <w:rPr>
                <w:color w:val="auto"/>
              </w:rPr>
            </w:pPr>
            <w:r w:rsidRPr="00124E7F">
              <w:rPr>
                <w:color w:val="auto"/>
              </w:rPr>
              <w:t>Rights holders</w:t>
            </w:r>
          </w:p>
          <w:p w14:paraId="42AF5D3A" w14:textId="77777777" w:rsidR="004B6547" w:rsidRPr="00124E7F" w:rsidRDefault="004B6547" w:rsidP="00BB6498">
            <w:pPr>
              <w:widowControl/>
              <w:autoSpaceDE/>
              <w:autoSpaceDN/>
              <w:adjustRightInd/>
              <w:spacing w:line="240" w:lineRule="auto"/>
              <w:jc w:val="center"/>
              <w:rPr>
                <w:color w:val="auto"/>
              </w:rPr>
            </w:pPr>
            <w:r w:rsidRPr="00124E7F">
              <w:rPr>
                <w:color w:val="auto"/>
              </w:rPr>
              <w:t>Users</w:t>
            </w:r>
          </w:p>
        </w:tc>
        <w:tc>
          <w:tcPr>
            <w:tcW w:w="659" w:type="pct"/>
            <w:shd w:val="clear" w:color="auto" w:fill="auto"/>
            <w:vAlign w:val="center"/>
          </w:tcPr>
          <w:p w14:paraId="5C9840E0" w14:textId="77777777" w:rsidR="004B6547" w:rsidRPr="00124E7F" w:rsidRDefault="004B6547" w:rsidP="00BB6498">
            <w:pPr>
              <w:spacing w:line="240" w:lineRule="auto"/>
              <w:jc w:val="center"/>
              <w:rPr>
                <w:color w:val="auto"/>
              </w:rPr>
            </w:pPr>
            <w:r w:rsidRPr="00124E7F">
              <w:rPr>
                <w:color w:val="auto"/>
              </w:rPr>
              <w:t>Short run</w:t>
            </w:r>
          </w:p>
        </w:tc>
        <w:tc>
          <w:tcPr>
            <w:tcW w:w="1227" w:type="pct"/>
            <w:shd w:val="clear" w:color="auto" w:fill="auto"/>
            <w:vAlign w:val="center"/>
          </w:tcPr>
          <w:p w14:paraId="57FDC42A" w14:textId="77777777" w:rsidR="004B6547" w:rsidRPr="00124E7F" w:rsidRDefault="004B6547" w:rsidP="00C740D3">
            <w:pPr>
              <w:spacing w:line="240" w:lineRule="auto"/>
              <w:jc w:val="center"/>
              <w:rPr>
                <w:color w:val="auto"/>
              </w:rPr>
            </w:pPr>
            <w:r w:rsidRPr="00124E7F">
              <w:rPr>
                <w:color w:val="auto"/>
              </w:rPr>
              <w:t>Can it be quantified?</w:t>
            </w:r>
          </w:p>
        </w:tc>
        <w:tc>
          <w:tcPr>
            <w:tcW w:w="935" w:type="pct"/>
            <w:shd w:val="clear" w:color="auto" w:fill="auto"/>
          </w:tcPr>
          <w:p w14:paraId="3D5B6396" w14:textId="77777777" w:rsidR="004B6547" w:rsidRPr="00202E68" w:rsidRDefault="004B6547" w:rsidP="00BB6498">
            <w:pPr>
              <w:widowControl/>
              <w:autoSpaceDE/>
              <w:autoSpaceDN/>
              <w:adjustRightInd/>
              <w:spacing w:line="240" w:lineRule="auto"/>
              <w:jc w:val="center"/>
              <w:rPr>
                <w:color w:val="auto"/>
              </w:rPr>
            </w:pPr>
          </w:p>
        </w:tc>
        <w:tc>
          <w:tcPr>
            <w:tcW w:w="480" w:type="pct"/>
            <w:shd w:val="clear" w:color="auto" w:fill="auto"/>
            <w:vAlign w:val="center"/>
          </w:tcPr>
          <w:p w14:paraId="760853A5" w14:textId="77777777" w:rsidR="004B6547" w:rsidRPr="004213AE" w:rsidRDefault="004B6547" w:rsidP="00BB6498">
            <w:pPr>
              <w:widowControl/>
              <w:autoSpaceDE/>
              <w:autoSpaceDN/>
              <w:adjustRightInd/>
              <w:spacing w:line="240" w:lineRule="auto"/>
              <w:jc w:val="center"/>
              <w:rPr>
                <w:color w:val="auto"/>
              </w:rPr>
            </w:pPr>
            <w:r w:rsidRPr="004213AE">
              <w:rPr>
                <w:color w:val="auto"/>
              </w:rPr>
              <w:t>?-</w:t>
            </w:r>
          </w:p>
        </w:tc>
      </w:tr>
      <w:tr w:rsidR="004213AE" w:rsidRPr="00124E7F" w14:paraId="2FBE2077" w14:textId="77777777" w:rsidTr="00D11ADA">
        <w:trPr>
          <w:trHeight w:val="782"/>
        </w:trPr>
        <w:tc>
          <w:tcPr>
            <w:tcW w:w="915" w:type="pct"/>
            <w:shd w:val="clear" w:color="auto" w:fill="auto"/>
            <w:vAlign w:val="center"/>
          </w:tcPr>
          <w:p w14:paraId="4FE85D8D" w14:textId="77777777" w:rsidR="004B6547" w:rsidRPr="00124E7F" w:rsidRDefault="004B6547" w:rsidP="00BB6498">
            <w:pPr>
              <w:widowControl/>
              <w:autoSpaceDE/>
              <w:autoSpaceDN/>
              <w:adjustRightInd/>
              <w:spacing w:line="240" w:lineRule="auto"/>
              <w:jc w:val="center"/>
              <w:rPr>
                <w:color w:val="auto"/>
              </w:rPr>
            </w:pPr>
            <w:r w:rsidRPr="00124E7F">
              <w:rPr>
                <w:color w:val="auto"/>
              </w:rPr>
              <w:t>Incentives to invest in new uses of works</w:t>
            </w:r>
          </w:p>
        </w:tc>
        <w:tc>
          <w:tcPr>
            <w:tcW w:w="784" w:type="pct"/>
            <w:shd w:val="clear" w:color="auto" w:fill="auto"/>
            <w:vAlign w:val="center"/>
          </w:tcPr>
          <w:p w14:paraId="2059C2A4" w14:textId="77777777" w:rsidR="004B6547" w:rsidRPr="00124E7F" w:rsidRDefault="004B6547" w:rsidP="00BB6498">
            <w:pPr>
              <w:widowControl/>
              <w:autoSpaceDE/>
              <w:autoSpaceDN/>
              <w:adjustRightInd/>
              <w:spacing w:line="240" w:lineRule="auto"/>
              <w:jc w:val="center"/>
              <w:rPr>
                <w:color w:val="auto"/>
              </w:rPr>
            </w:pPr>
            <w:r w:rsidRPr="00124E7F">
              <w:rPr>
                <w:color w:val="auto"/>
              </w:rPr>
              <w:t>Users</w:t>
            </w:r>
          </w:p>
        </w:tc>
        <w:tc>
          <w:tcPr>
            <w:tcW w:w="659" w:type="pct"/>
            <w:shd w:val="clear" w:color="auto" w:fill="auto"/>
            <w:vAlign w:val="center"/>
          </w:tcPr>
          <w:p w14:paraId="2E8CCDF1" w14:textId="77777777" w:rsidR="004B6547" w:rsidRPr="00124E7F" w:rsidRDefault="004B6547" w:rsidP="00BB6498">
            <w:pPr>
              <w:spacing w:line="240" w:lineRule="auto"/>
              <w:jc w:val="center"/>
              <w:rPr>
                <w:color w:val="auto"/>
              </w:rPr>
            </w:pPr>
            <w:r w:rsidRPr="00124E7F">
              <w:rPr>
                <w:color w:val="auto"/>
              </w:rPr>
              <w:t>Lon run</w:t>
            </w:r>
          </w:p>
        </w:tc>
        <w:tc>
          <w:tcPr>
            <w:tcW w:w="1227" w:type="pct"/>
            <w:shd w:val="clear" w:color="auto" w:fill="auto"/>
            <w:vAlign w:val="center"/>
          </w:tcPr>
          <w:p w14:paraId="6AC57183" w14:textId="77777777" w:rsidR="004B6547" w:rsidRPr="00124E7F" w:rsidRDefault="004B6547" w:rsidP="00BB6498">
            <w:pPr>
              <w:spacing w:line="240" w:lineRule="auto"/>
              <w:jc w:val="center"/>
              <w:rPr>
                <w:color w:val="auto"/>
              </w:rPr>
            </w:pPr>
            <w:r w:rsidRPr="00124E7F">
              <w:rPr>
                <w:color w:val="auto"/>
              </w:rPr>
              <w:t>Can it be quantified?</w:t>
            </w:r>
          </w:p>
        </w:tc>
        <w:tc>
          <w:tcPr>
            <w:tcW w:w="935" w:type="pct"/>
          </w:tcPr>
          <w:p w14:paraId="33A09C10" w14:textId="77777777" w:rsidR="004B6547" w:rsidRPr="00202E68" w:rsidRDefault="004B6547" w:rsidP="00BB6498">
            <w:pPr>
              <w:widowControl/>
              <w:autoSpaceDE/>
              <w:autoSpaceDN/>
              <w:adjustRightInd/>
              <w:spacing w:line="240" w:lineRule="auto"/>
              <w:jc w:val="center"/>
              <w:rPr>
                <w:color w:val="auto"/>
              </w:rPr>
            </w:pPr>
          </w:p>
        </w:tc>
        <w:tc>
          <w:tcPr>
            <w:tcW w:w="480" w:type="pct"/>
            <w:shd w:val="clear" w:color="auto" w:fill="auto"/>
            <w:vAlign w:val="center"/>
          </w:tcPr>
          <w:p w14:paraId="338FD3D3" w14:textId="77777777" w:rsidR="004B6547" w:rsidRPr="004213AE" w:rsidRDefault="004B6547" w:rsidP="00BB6498">
            <w:pPr>
              <w:widowControl/>
              <w:autoSpaceDE/>
              <w:autoSpaceDN/>
              <w:adjustRightInd/>
              <w:spacing w:line="240" w:lineRule="auto"/>
              <w:jc w:val="center"/>
              <w:rPr>
                <w:color w:val="auto"/>
              </w:rPr>
            </w:pPr>
            <w:r w:rsidRPr="004213AE">
              <w:rPr>
                <w:color w:val="auto"/>
              </w:rPr>
              <w:t>0</w:t>
            </w:r>
          </w:p>
        </w:tc>
      </w:tr>
      <w:tr w:rsidR="004213AE" w:rsidRPr="00124E7F" w14:paraId="2D0F4C9D" w14:textId="77777777" w:rsidTr="00202E68">
        <w:trPr>
          <w:cnfStyle w:val="000000100000" w:firstRow="0" w:lastRow="0" w:firstColumn="0" w:lastColumn="0" w:oddVBand="0" w:evenVBand="0" w:oddHBand="1" w:evenHBand="0" w:firstRowFirstColumn="0" w:firstRowLastColumn="0" w:lastRowFirstColumn="0" w:lastRowLastColumn="0"/>
          <w:trHeight w:val="782"/>
        </w:trPr>
        <w:tc>
          <w:tcPr>
            <w:tcW w:w="915" w:type="pct"/>
            <w:shd w:val="clear" w:color="auto" w:fill="auto"/>
            <w:vAlign w:val="center"/>
          </w:tcPr>
          <w:p w14:paraId="2BF054C4" w14:textId="77777777" w:rsidR="004B6547" w:rsidRPr="00124E7F" w:rsidRDefault="004B6547" w:rsidP="00682F51">
            <w:pPr>
              <w:widowControl/>
              <w:autoSpaceDE/>
              <w:autoSpaceDN/>
              <w:adjustRightInd/>
              <w:spacing w:line="240" w:lineRule="auto"/>
              <w:jc w:val="center"/>
              <w:rPr>
                <w:color w:val="auto"/>
              </w:rPr>
            </w:pPr>
            <w:r w:rsidRPr="00124E7F">
              <w:rPr>
                <w:color w:val="auto"/>
              </w:rPr>
              <w:t>Enhanced use of existing works</w:t>
            </w:r>
          </w:p>
        </w:tc>
        <w:tc>
          <w:tcPr>
            <w:tcW w:w="784" w:type="pct"/>
            <w:shd w:val="clear" w:color="auto" w:fill="auto"/>
            <w:vAlign w:val="center"/>
          </w:tcPr>
          <w:p w14:paraId="3DF0AD62" w14:textId="77777777" w:rsidR="004B6547" w:rsidRPr="00124E7F" w:rsidRDefault="004B6547" w:rsidP="00682F51">
            <w:pPr>
              <w:widowControl/>
              <w:autoSpaceDE/>
              <w:autoSpaceDN/>
              <w:adjustRightInd/>
              <w:spacing w:line="240" w:lineRule="auto"/>
              <w:jc w:val="center"/>
              <w:rPr>
                <w:color w:val="auto"/>
              </w:rPr>
            </w:pPr>
            <w:r w:rsidRPr="00124E7F">
              <w:rPr>
                <w:color w:val="auto"/>
              </w:rPr>
              <w:t>Users</w:t>
            </w:r>
          </w:p>
        </w:tc>
        <w:tc>
          <w:tcPr>
            <w:tcW w:w="659" w:type="pct"/>
            <w:shd w:val="clear" w:color="auto" w:fill="auto"/>
            <w:vAlign w:val="center"/>
          </w:tcPr>
          <w:p w14:paraId="55385BB2" w14:textId="77777777" w:rsidR="004B6547" w:rsidRPr="00124E7F" w:rsidRDefault="004B6547" w:rsidP="00682F51">
            <w:pPr>
              <w:spacing w:line="240" w:lineRule="auto"/>
              <w:jc w:val="center"/>
              <w:rPr>
                <w:color w:val="auto"/>
              </w:rPr>
            </w:pPr>
            <w:r w:rsidRPr="00124E7F">
              <w:rPr>
                <w:color w:val="auto"/>
              </w:rPr>
              <w:t>Short run</w:t>
            </w:r>
          </w:p>
        </w:tc>
        <w:tc>
          <w:tcPr>
            <w:tcW w:w="1227" w:type="pct"/>
            <w:shd w:val="clear" w:color="auto" w:fill="auto"/>
            <w:vAlign w:val="center"/>
          </w:tcPr>
          <w:p w14:paraId="6E22A65C" w14:textId="77777777" w:rsidR="004B6547" w:rsidRPr="00124E7F" w:rsidRDefault="004B6547" w:rsidP="00FC67CC">
            <w:pPr>
              <w:spacing w:line="240" w:lineRule="auto"/>
              <w:jc w:val="center"/>
              <w:rPr>
                <w:color w:val="auto"/>
              </w:rPr>
            </w:pPr>
            <w:r w:rsidRPr="00124E7F">
              <w:rPr>
                <w:color w:val="auto"/>
              </w:rPr>
              <w:t>Can it be quantified?</w:t>
            </w:r>
          </w:p>
        </w:tc>
        <w:tc>
          <w:tcPr>
            <w:tcW w:w="935" w:type="pct"/>
            <w:shd w:val="clear" w:color="auto" w:fill="auto"/>
          </w:tcPr>
          <w:p w14:paraId="42550A70" w14:textId="77777777" w:rsidR="004B6547" w:rsidRPr="00202E68" w:rsidRDefault="004B6547" w:rsidP="00BB6498">
            <w:pPr>
              <w:widowControl/>
              <w:autoSpaceDE/>
              <w:autoSpaceDN/>
              <w:adjustRightInd/>
              <w:spacing w:line="240" w:lineRule="auto"/>
              <w:jc w:val="center"/>
              <w:rPr>
                <w:color w:val="auto"/>
              </w:rPr>
            </w:pPr>
          </w:p>
        </w:tc>
        <w:tc>
          <w:tcPr>
            <w:tcW w:w="480" w:type="pct"/>
            <w:shd w:val="clear" w:color="auto" w:fill="auto"/>
            <w:vAlign w:val="center"/>
          </w:tcPr>
          <w:p w14:paraId="537E3DA2" w14:textId="77777777" w:rsidR="004B6547" w:rsidRPr="004213AE" w:rsidRDefault="004B6547" w:rsidP="00BB6498">
            <w:pPr>
              <w:widowControl/>
              <w:autoSpaceDE/>
              <w:autoSpaceDN/>
              <w:adjustRightInd/>
              <w:spacing w:line="240" w:lineRule="auto"/>
              <w:jc w:val="center"/>
              <w:rPr>
                <w:color w:val="auto"/>
              </w:rPr>
            </w:pPr>
          </w:p>
        </w:tc>
      </w:tr>
      <w:tr w:rsidR="004213AE" w:rsidRPr="00124E7F" w14:paraId="64D22FED" w14:textId="77777777" w:rsidTr="00D11ADA">
        <w:trPr>
          <w:trHeight w:val="782"/>
        </w:trPr>
        <w:tc>
          <w:tcPr>
            <w:tcW w:w="915" w:type="pct"/>
            <w:shd w:val="clear" w:color="auto" w:fill="auto"/>
            <w:vAlign w:val="center"/>
          </w:tcPr>
          <w:p w14:paraId="3EFAF7EE" w14:textId="77777777" w:rsidR="004B6547" w:rsidRPr="00124E7F" w:rsidRDefault="004B6547" w:rsidP="00BB6498">
            <w:pPr>
              <w:widowControl/>
              <w:autoSpaceDE/>
              <w:autoSpaceDN/>
              <w:adjustRightInd/>
              <w:spacing w:line="240" w:lineRule="auto"/>
              <w:jc w:val="center"/>
              <w:rPr>
                <w:color w:val="auto"/>
              </w:rPr>
            </w:pPr>
            <w:r w:rsidRPr="00124E7F">
              <w:rPr>
                <w:color w:val="auto"/>
              </w:rPr>
              <w:t>Economic and societal benefits</w:t>
            </w:r>
          </w:p>
        </w:tc>
        <w:tc>
          <w:tcPr>
            <w:tcW w:w="784" w:type="pct"/>
            <w:shd w:val="clear" w:color="auto" w:fill="auto"/>
            <w:vAlign w:val="center"/>
          </w:tcPr>
          <w:p w14:paraId="3D063795" w14:textId="77777777" w:rsidR="004B6547" w:rsidRPr="00124E7F" w:rsidRDefault="004B6547" w:rsidP="00BB6498">
            <w:pPr>
              <w:widowControl/>
              <w:autoSpaceDE/>
              <w:autoSpaceDN/>
              <w:adjustRightInd/>
              <w:spacing w:line="240" w:lineRule="auto"/>
              <w:jc w:val="center"/>
              <w:rPr>
                <w:color w:val="auto"/>
              </w:rPr>
            </w:pPr>
            <w:r w:rsidRPr="00124E7F">
              <w:rPr>
                <w:color w:val="auto"/>
              </w:rPr>
              <w:t>Economy/ Society</w:t>
            </w:r>
          </w:p>
        </w:tc>
        <w:tc>
          <w:tcPr>
            <w:tcW w:w="659" w:type="pct"/>
            <w:shd w:val="clear" w:color="auto" w:fill="auto"/>
            <w:vAlign w:val="center"/>
          </w:tcPr>
          <w:p w14:paraId="328F2BF7" w14:textId="77777777" w:rsidR="004B6547" w:rsidRPr="00124E7F" w:rsidRDefault="004B6547" w:rsidP="00BB6498">
            <w:pPr>
              <w:spacing w:line="240" w:lineRule="auto"/>
              <w:jc w:val="center"/>
              <w:rPr>
                <w:color w:val="auto"/>
              </w:rPr>
            </w:pPr>
            <w:r w:rsidRPr="00124E7F">
              <w:rPr>
                <w:color w:val="auto"/>
              </w:rPr>
              <w:t>Both</w:t>
            </w:r>
          </w:p>
        </w:tc>
        <w:tc>
          <w:tcPr>
            <w:tcW w:w="1227" w:type="pct"/>
            <w:shd w:val="clear" w:color="auto" w:fill="auto"/>
            <w:vAlign w:val="center"/>
          </w:tcPr>
          <w:p w14:paraId="39967E98" w14:textId="77777777" w:rsidR="004B6547" w:rsidRPr="00124E7F" w:rsidRDefault="004B6547" w:rsidP="00BB6498">
            <w:pPr>
              <w:spacing w:line="240" w:lineRule="auto"/>
              <w:jc w:val="center"/>
              <w:rPr>
                <w:color w:val="auto"/>
              </w:rPr>
            </w:pPr>
            <w:r w:rsidRPr="00124E7F">
              <w:rPr>
                <w:color w:val="auto"/>
              </w:rPr>
              <w:t>Can it be quantified?</w:t>
            </w:r>
          </w:p>
        </w:tc>
        <w:tc>
          <w:tcPr>
            <w:tcW w:w="935" w:type="pct"/>
          </w:tcPr>
          <w:p w14:paraId="5D835B38" w14:textId="77777777" w:rsidR="004B6547" w:rsidRPr="00202E68" w:rsidRDefault="004B6547" w:rsidP="00BB6498">
            <w:pPr>
              <w:widowControl/>
              <w:autoSpaceDE/>
              <w:autoSpaceDN/>
              <w:adjustRightInd/>
              <w:spacing w:line="240" w:lineRule="auto"/>
              <w:jc w:val="center"/>
              <w:rPr>
                <w:color w:val="auto"/>
              </w:rPr>
            </w:pPr>
          </w:p>
        </w:tc>
        <w:tc>
          <w:tcPr>
            <w:tcW w:w="480" w:type="pct"/>
            <w:shd w:val="clear" w:color="auto" w:fill="auto"/>
            <w:vAlign w:val="center"/>
          </w:tcPr>
          <w:p w14:paraId="134F508F" w14:textId="77777777" w:rsidR="004B6547" w:rsidRPr="004213AE" w:rsidRDefault="004B6547" w:rsidP="00BB6498">
            <w:pPr>
              <w:widowControl/>
              <w:autoSpaceDE/>
              <w:autoSpaceDN/>
              <w:adjustRightInd/>
              <w:spacing w:line="240" w:lineRule="auto"/>
              <w:jc w:val="center"/>
              <w:rPr>
                <w:color w:val="auto"/>
              </w:rPr>
            </w:pPr>
          </w:p>
        </w:tc>
      </w:tr>
      <w:tr w:rsidR="004213AE" w:rsidRPr="00124E7F" w14:paraId="51563341" w14:textId="77777777" w:rsidTr="00D11ADA">
        <w:trPr>
          <w:cnfStyle w:val="000000100000" w:firstRow="0" w:lastRow="0" w:firstColumn="0" w:lastColumn="0" w:oddVBand="0" w:evenVBand="0" w:oddHBand="1" w:evenHBand="0" w:firstRowFirstColumn="0" w:firstRowLastColumn="0" w:lastRowFirstColumn="0" w:lastRowLastColumn="0"/>
          <w:trHeight w:val="340"/>
        </w:trPr>
        <w:tc>
          <w:tcPr>
            <w:tcW w:w="915" w:type="pct"/>
            <w:tcBorders>
              <w:top w:val="single" w:sz="4" w:space="0" w:color="808080" w:themeColor="background1" w:themeShade="80"/>
              <w:bottom w:val="single" w:sz="4" w:space="0" w:color="808080" w:themeColor="background1" w:themeShade="80"/>
            </w:tcBorders>
            <w:shd w:val="clear" w:color="auto" w:fill="E5E5E5" w:themeFill="accent1" w:themeFillTint="33"/>
            <w:vAlign w:val="center"/>
            <w:hideMark/>
          </w:tcPr>
          <w:p w14:paraId="6E8576DA" w14:textId="77777777" w:rsidR="004B6547" w:rsidRPr="00124E7F" w:rsidRDefault="004B6547" w:rsidP="00BB6498">
            <w:pPr>
              <w:widowControl/>
              <w:autoSpaceDE/>
              <w:autoSpaceDN/>
              <w:adjustRightInd/>
              <w:spacing w:line="240" w:lineRule="auto"/>
              <w:jc w:val="center"/>
              <w:rPr>
                <w:b/>
                <w:color w:val="auto"/>
              </w:rPr>
            </w:pPr>
            <w:r w:rsidRPr="00124E7F">
              <w:rPr>
                <w:b/>
                <w:color w:val="auto"/>
              </w:rPr>
              <w:t>Net expected impact</w:t>
            </w:r>
          </w:p>
        </w:tc>
        <w:tc>
          <w:tcPr>
            <w:tcW w:w="784" w:type="pct"/>
            <w:tcBorders>
              <w:top w:val="single" w:sz="4" w:space="0" w:color="808080" w:themeColor="background1" w:themeShade="80"/>
              <w:bottom w:val="single" w:sz="4" w:space="0" w:color="808080" w:themeColor="background1" w:themeShade="80"/>
            </w:tcBorders>
            <w:shd w:val="clear" w:color="auto" w:fill="E5E5E5" w:themeFill="accent1" w:themeFillTint="33"/>
            <w:vAlign w:val="center"/>
          </w:tcPr>
          <w:p w14:paraId="112D8EA5" w14:textId="77777777" w:rsidR="004B6547" w:rsidRPr="00124E7F" w:rsidRDefault="004B6547" w:rsidP="00BB6498">
            <w:pPr>
              <w:widowControl/>
              <w:autoSpaceDE/>
              <w:autoSpaceDN/>
              <w:adjustRightInd/>
              <w:spacing w:line="240" w:lineRule="auto"/>
              <w:jc w:val="center"/>
              <w:rPr>
                <w:b/>
                <w:color w:val="auto"/>
              </w:rPr>
            </w:pPr>
          </w:p>
        </w:tc>
        <w:tc>
          <w:tcPr>
            <w:tcW w:w="659" w:type="pct"/>
            <w:tcBorders>
              <w:top w:val="single" w:sz="4" w:space="0" w:color="808080" w:themeColor="background1" w:themeShade="80"/>
              <w:bottom w:val="single" w:sz="4" w:space="0" w:color="808080" w:themeColor="background1" w:themeShade="80"/>
            </w:tcBorders>
            <w:shd w:val="clear" w:color="auto" w:fill="E5E5E5" w:themeFill="accent1" w:themeFillTint="33"/>
            <w:vAlign w:val="center"/>
          </w:tcPr>
          <w:p w14:paraId="1BC616C0" w14:textId="77777777" w:rsidR="004B6547" w:rsidRPr="00124E7F" w:rsidRDefault="004B6547" w:rsidP="00BB6498">
            <w:pPr>
              <w:spacing w:line="240" w:lineRule="auto"/>
              <w:jc w:val="center"/>
              <w:rPr>
                <w:b/>
                <w:color w:val="auto"/>
              </w:rPr>
            </w:pPr>
          </w:p>
        </w:tc>
        <w:tc>
          <w:tcPr>
            <w:tcW w:w="1227" w:type="pct"/>
            <w:tcBorders>
              <w:top w:val="single" w:sz="4" w:space="0" w:color="808080" w:themeColor="background1" w:themeShade="80"/>
              <w:bottom w:val="single" w:sz="4" w:space="0" w:color="808080" w:themeColor="background1" w:themeShade="80"/>
            </w:tcBorders>
            <w:shd w:val="clear" w:color="auto" w:fill="E5E5E5" w:themeFill="accent1" w:themeFillTint="33"/>
            <w:vAlign w:val="center"/>
          </w:tcPr>
          <w:p w14:paraId="1963902E" w14:textId="77777777" w:rsidR="004B6547" w:rsidRPr="00124E7F" w:rsidRDefault="004B6547" w:rsidP="00BB6498">
            <w:pPr>
              <w:widowControl/>
              <w:autoSpaceDE/>
              <w:autoSpaceDN/>
              <w:adjustRightInd/>
              <w:spacing w:line="240" w:lineRule="auto"/>
              <w:rPr>
                <w:b/>
                <w:color w:val="auto"/>
              </w:rPr>
            </w:pPr>
          </w:p>
        </w:tc>
        <w:tc>
          <w:tcPr>
            <w:tcW w:w="935" w:type="pct"/>
            <w:tcBorders>
              <w:top w:val="single" w:sz="4" w:space="0" w:color="808080" w:themeColor="background1" w:themeShade="80"/>
              <w:bottom w:val="single" w:sz="4" w:space="0" w:color="808080" w:themeColor="background1" w:themeShade="80"/>
            </w:tcBorders>
            <w:shd w:val="clear" w:color="auto" w:fill="E5E5E5" w:themeFill="accent1" w:themeFillTint="33"/>
          </w:tcPr>
          <w:p w14:paraId="1B9EF2AE" w14:textId="77777777" w:rsidR="004B6547" w:rsidRPr="00202E68" w:rsidRDefault="004B6547" w:rsidP="00BB6498">
            <w:pPr>
              <w:widowControl/>
              <w:autoSpaceDE/>
              <w:autoSpaceDN/>
              <w:adjustRightInd/>
              <w:spacing w:line="240" w:lineRule="auto"/>
              <w:jc w:val="center"/>
              <w:rPr>
                <w:b/>
                <w:color w:val="auto"/>
              </w:rPr>
            </w:pPr>
          </w:p>
        </w:tc>
        <w:tc>
          <w:tcPr>
            <w:tcW w:w="480" w:type="pct"/>
            <w:tcBorders>
              <w:top w:val="single" w:sz="4" w:space="0" w:color="808080" w:themeColor="background1" w:themeShade="80"/>
              <w:bottom w:val="single" w:sz="4" w:space="0" w:color="808080" w:themeColor="background1" w:themeShade="80"/>
            </w:tcBorders>
            <w:shd w:val="clear" w:color="auto" w:fill="E5E5E5" w:themeFill="accent1" w:themeFillTint="33"/>
            <w:vAlign w:val="center"/>
          </w:tcPr>
          <w:p w14:paraId="3BD0B901" w14:textId="77777777" w:rsidR="004B6547" w:rsidRPr="004213AE" w:rsidRDefault="004B6547" w:rsidP="00BB6498">
            <w:pPr>
              <w:widowControl/>
              <w:autoSpaceDE/>
              <w:autoSpaceDN/>
              <w:adjustRightInd/>
              <w:spacing w:line="240" w:lineRule="auto"/>
              <w:jc w:val="center"/>
              <w:rPr>
                <w:b/>
                <w:color w:val="auto"/>
              </w:rPr>
            </w:pPr>
          </w:p>
        </w:tc>
      </w:tr>
    </w:tbl>
    <w:p w14:paraId="72F920EC" w14:textId="77777777" w:rsidR="00D36FAA" w:rsidRPr="00124E7F" w:rsidRDefault="00D36FAA" w:rsidP="00202E68">
      <w:pPr>
        <w:pStyle w:val="EYSource"/>
        <w:spacing w:after="240"/>
        <w:rPr>
          <w:sz w:val="20"/>
          <w:szCs w:val="20"/>
        </w:rPr>
      </w:pPr>
      <w:r w:rsidRPr="00124E7F">
        <w:rPr>
          <w:sz w:val="20"/>
          <w:szCs w:val="20"/>
        </w:rPr>
        <w:t>Source: EY</w:t>
      </w:r>
    </w:p>
    <w:p w14:paraId="3A88C06B" w14:textId="77777777" w:rsidR="00815807" w:rsidRPr="00124E7F" w:rsidRDefault="00815807" w:rsidP="00E46186">
      <w:pPr>
        <w:pStyle w:val="Caption"/>
        <w:keepNext/>
        <w:spacing w:after="120"/>
      </w:pPr>
      <w:r w:rsidRPr="00124E7F">
        <w:t>Key to potential magnitude of impact</w:t>
      </w:r>
    </w:p>
    <w:tbl>
      <w:tblPr>
        <w:tblStyle w:val="TableGrid"/>
        <w:tblW w:w="5000" w:type="pct"/>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Caption w:val="Key to  potential magnitude of impact"/>
        <w:tblDescription w:val="This provides a key to the ratings identified in Table 2. For example, a “+” in a cell indicates that a policy option is likely to have a positive impact on the given stakeholder for the given time-span considered. In some cases, it is difficult to conclude on the direction and/or magnitude of the impact. This is signified by a question mark. Hence, the signs “?+” and “?-“ should be interpreted as limited or possible, respectively, positive and negative effects. A solitary question mark indicates an ambiguous impact. A “0” indicates nil or negligible impacts.   Finally, where we have been able to quantify impacts, this is identified in the grey cells. "/>
      </w:tblPr>
      <w:tblGrid>
        <w:gridCol w:w="671"/>
        <w:gridCol w:w="3843"/>
        <w:gridCol w:w="672"/>
        <w:gridCol w:w="3843"/>
      </w:tblGrid>
      <w:tr w:rsidR="004213AE" w:rsidRPr="00124E7F" w14:paraId="6C31064A" w14:textId="77777777" w:rsidTr="00202E68">
        <w:trPr>
          <w:tblHeader/>
        </w:trPr>
        <w:tc>
          <w:tcPr>
            <w:tcW w:w="372" w:type="pct"/>
            <w:shd w:val="clear" w:color="auto" w:fill="F0F0F0" w:themeFill="accent4"/>
          </w:tcPr>
          <w:p w14:paraId="2B4AAA6E" w14:textId="77777777" w:rsidR="003C6C2C" w:rsidRPr="00124E7F" w:rsidRDefault="003C6C2C" w:rsidP="003C6C2C">
            <w:pPr>
              <w:widowControl/>
              <w:autoSpaceDE/>
              <w:autoSpaceDN/>
              <w:adjustRightInd/>
              <w:spacing w:line="240" w:lineRule="auto"/>
            </w:pPr>
            <w:r w:rsidRPr="00124E7F">
              <w:rPr>
                <w:b/>
                <w:bCs/>
              </w:rPr>
              <w:t>Sign</w:t>
            </w:r>
          </w:p>
        </w:tc>
        <w:tc>
          <w:tcPr>
            <w:tcW w:w="2128" w:type="pct"/>
            <w:shd w:val="clear" w:color="auto" w:fill="F0F0F0" w:themeFill="accent4"/>
          </w:tcPr>
          <w:p w14:paraId="6A790477" w14:textId="77777777" w:rsidR="003C6C2C" w:rsidRPr="00124E7F" w:rsidRDefault="003C6C2C" w:rsidP="003C6C2C">
            <w:pPr>
              <w:widowControl/>
              <w:autoSpaceDE/>
              <w:autoSpaceDN/>
              <w:adjustRightInd/>
              <w:spacing w:line="240" w:lineRule="auto"/>
            </w:pPr>
            <w:r w:rsidRPr="00124E7F">
              <w:rPr>
                <w:b/>
                <w:bCs/>
              </w:rPr>
              <w:t>Key to potential magnitude of impact</w:t>
            </w:r>
          </w:p>
        </w:tc>
        <w:tc>
          <w:tcPr>
            <w:tcW w:w="372" w:type="pct"/>
            <w:shd w:val="clear" w:color="auto" w:fill="F0F0F0" w:themeFill="accent4"/>
          </w:tcPr>
          <w:p w14:paraId="3FAD4683" w14:textId="77777777" w:rsidR="003C6C2C" w:rsidRPr="00124E7F" w:rsidRDefault="003C6C2C" w:rsidP="003C6C2C">
            <w:pPr>
              <w:widowControl/>
              <w:autoSpaceDE/>
              <w:autoSpaceDN/>
              <w:adjustRightInd/>
              <w:spacing w:line="240" w:lineRule="auto"/>
            </w:pPr>
            <w:r w:rsidRPr="00124E7F">
              <w:rPr>
                <w:b/>
                <w:bCs/>
              </w:rPr>
              <w:t>Sign</w:t>
            </w:r>
          </w:p>
        </w:tc>
        <w:tc>
          <w:tcPr>
            <w:tcW w:w="2128" w:type="pct"/>
            <w:shd w:val="clear" w:color="auto" w:fill="F0F0F0" w:themeFill="accent4"/>
          </w:tcPr>
          <w:p w14:paraId="7576DE09" w14:textId="77777777" w:rsidR="003C6C2C" w:rsidRPr="00124E7F" w:rsidRDefault="003C6C2C" w:rsidP="003C6C2C">
            <w:pPr>
              <w:widowControl/>
              <w:autoSpaceDE/>
              <w:autoSpaceDN/>
              <w:adjustRightInd/>
              <w:spacing w:line="240" w:lineRule="auto"/>
            </w:pPr>
            <w:r w:rsidRPr="00124E7F">
              <w:rPr>
                <w:b/>
                <w:bCs/>
              </w:rPr>
              <w:t>Key to potential magnitude of impact</w:t>
            </w:r>
          </w:p>
        </w:tc>
      </w:tr>
      <w:tr w:rsidR="004213AE" w:rsidRPr="00124E7F" w14:paraId="2C7B1B74" w14:textId="77777777" w:rsidTr="00F07D6B">
        <w:tc>
          <w:tcPr>
            <w:tcW w:w="372" w:type="pct"/>
          </w:tcPr>
          <w:p w14:paraId="2FCB2B03" w14:textId="77777777" w:rsidR="003C6C2C" w:rsidRPr="00124E7F" w:rsidRDefault="003C6C2C" w:rsidP="003C6C2C">
            <w:pPr>
              <w:widowControl/>
              <w:autoSpaceDE/>
              <w:autoSpaceDN/>
              <w:adjustRightInd/>
              <w:spacing w:line="240" w:lineRule="auto"/>
            </w:pPr>
            <w:r w:rsidRPr="00124E7F">
              <w:t>+</w:t>
            </w:r>
          </w:p>
        </w:tc>
        <w:tc>
          <w:tcPr>
            <w:tcW w:w="2128" w:type="pct"/>
          </w:tcPr>
          <w:p w14:paraId="203DDBBF" w14:textId="77777777" w:rsidR="003C6C2C" w:rsidRPr="00124E7F" w:rsidRDefault="003C6C2C" w:rsidP="003C6C2C">
            <w:pPr>
              <w:widowControl/>
              <w:autoSpaceDE/>
              <w:autoSpaceDN/>
              <w:adjustRightInd/>
              <w:spacing w:line="240" w:lineRule="auto"/>
            </w:pPr>
            <w:r w:rsidRPr="00124E7F">
              <w:t>Positive effect</w:t>
            </w:r>
          </w:p>
        </w:tc>
        <w:tc>
          <w:tcPr>
            <w:tcW w:w="372" w:type="pct"/>
          </w:tcPr>
          <w:p w14:paraId="0023F712" w14:textId="77777777" w:rsidR="003C6C2C" w:rsidRPr="00124E7F" w:rsidRDefault="003C6C2C" w:rsidP="003C6C2C">
            <w:pPr>
              <w:widowControl/>
              <w:autoSpaceDE/>
              <w:autoSpaceDN/>
              <w:adjustRightInd/>
              <w:spacing w:line="240" w:lineRule="auto"/>
            </w:pPr>
            <w:r w:rsidRPr="00124E7F">
              <w:t>?</w:t>
            </w:r>
          </w:p>
        </w:tc>
        <w:tc>
          <w:tcPr>
            <w:tcW w:w="2128" w:type="pct"/>
          </w:tcPr>
          <w:p w14:paraId="7ECA285B" w14:textId="77777777" w:rsidR="003C6C2C" w:rsidRPr="00124E7F" w:rsidRDefault="003C6C2C" w:rsidP="003C6C2C">
            <w:pPr>
              <w:widowControl/>
              <w:autoSpaceDE/>
              <w:autoSpaceDN/>
              <w:adjustRightInd/>
              <w:spacing w:line="240" w:lineRule="auto"/>
            </w:pPr>
            <w:r w:rsidRPr="00124E7F">
              <w:t>Ambiguous effect</w:t>
            </w:r>
          </w:p>
        </w:tc>
      </w:tr>
      <w:tr w:rsidR="004213AE" w:rsidRPr="00124E7F" w14:paraId="360A979F" w14:textId="77777777" w:rsidTr="00F07D6B">
        <w:tc>
          <w:tcPr>
            <w:tcW w:w="372" w:type="pct"/>
            <w:tcBorders>
              <w:bottom w:val="single" w:sz="4" w:space="0" w:color="808080" w:themeColor="background1" w:themeShade="80"/>
            </w:tcBorders>
          </w:tcPr>
          <w:p w14:paraId="09D904B0" w14:textId="77777777" w:rsidR="003C6C2C" w:rsidRPr="00124E7F" w:rsidRDefault="003C6C2C" w:rsidP="003C6C2C">
            <w:pPr>
              <w:widowControl/>
              <w:autoSpaceDE/>
              <w:autoSpaceDN/>
              <w:adjustRightInd/>
              <w:spacing w:line="240" w:lineRule="auto"/>
            </w:pPr>
            <w:r w:rsidRPr="00124E7F">
              <w:t>?+</w:t>
            </w:r>
          </w:p>
        </w:tc>
        <w:tc>
          <w:tcPr>
            <w:tcW w:w="2128" w:type="pct"/>
            <w:tcBorders>
              <w:bottom w:val="single" w:sz="4" w:space="0" w:color="808080" w:themeColor="background1" w:themeShade="80"/>
            </w:tcBorders>
          </w:tcPr>
          <w:p w14:paraId="65959BB8" w14:textId="77777777" w:rsidR="003C6C2C" w:rsidRPr="00124E7F" w:rsidRDefault="003C6C2C" w:rsidP="003C6C2C">
            <w:pPr>
              <w:widowControl/>
              <w:autoSpaceDE/>
              <w:autoSpaceDN/>
              <w:adjustRightInd/>
              <w:spacing w:line="240" w:lineRule="auto"/>
            </w:pPr>
            <w:r w:rsidRPr="00124E7F">
              <w:t>Possible/Limited positive effect</w:t>
            </w:r>
          </w:p>
        </w:tc>
        <w:tc>
          <w:tcPr>
            <w:tcW w:w="372" w:type="pct"/>
            <w:tcBorders>
              <w:bottom w:val="single" w:sz="4" w:space="0" w:color="808080" w:themeColor="background1" w:themeShade="80"/>
            </w:tcBorders>
          </w:tcPr>
          <w:p w14:paraId="3783BC22" w14:textId="77777777" w:rsidR="003C6C2C" w:rsidRPr="00124E7F" w:rsidRDefault="003C6C2C" w:rsidP="003C6C2C">
            <w:pPr>
              <w:widowControl/>
              <w:autoSpaceDE/>
              <w:autoSpaceDN/>
              <w:adjustRightInd/>
              <w:spacing w:line="240" w:lineRule="auto"/>
            </w:pPr>
            <w:r w:rsidRPr="00124E7F">
              <w:t>-</w:t>
            </w:r>
          </w:p>
        </w:tc>
        <w:tc>
          <w:tcPr>
            <w:tcW w:w="2128" w:type="pct"/>
            <w:tcBorders>
              <w:bottom w:val="single" w:sz="4" w:space="0" w:color="808080" w:themeColor="background1" w:themeShade="80"/>
            </w:tcBorders>
          </w:tcPr>
          <w:p w14:paraId="53D53978" w14:textId="77777777" w:rsidR="003C6C2C" w:rsidRPr="00124E7F" w:rsidRDefault="003C6C2C" w:rsidP="003C6C2C">
            <w:pPr>
              <w:widowControl/>
              <w:autoSpaceDE/>
              <w:autoSpaceDN/>
              <w:adjustRightInd/>
              <w:spacing w:line="240" w:lineRule="auto"/>
            </w:pPr>
            <w:r w:rsidRPr="00124E7F">
              <w:t>Negative effect</w:t>
            </w:r>
          </w:p>
        </w:tc>
      </w:tr>
      <w:tr w:rsidR="004213AE" w:rsidRPr="00124E7F" w14:paraId="2F87A14D" w14:textId="77777777" w:rsidTr="00F07D6B">
        <w:tc>
          <w:tcPr>
            <w:tcW w:w="372" w:type="pct"/>
            <w:tcBorders>
              <w:top w:val="single" w:sz="4" w:space="0" w:color="808080" w:themeColor="background1" w:themeShade="80"/>
              <w:bottom w:val="single" w:sz="4" w:space="0" w:color="808080" w:themeColor="background1" w:themeShade="80"/>
            </w:tcBorders>
          </w:tcPr>
          <w:p w14:paraId="4F677F3C" w14:textId="77777777" w:rsidR="003C6C2C" w:rsidRPr="00124E7F" w:rsidRDefault="003C6C2C" w:rsidP="003C6C2C">
            <w:pPr>
              <w:widowControl/>
              <w:autoSpaceDE/>
              <w:autoSpaceDN/>
              <w:adjustRightInd/>
              <w:spacing w:line="240" w:lineRule="auto"/>
            </w:pPr>
            <w:r w:rsidRPr="00124E7F">
              <w:t>0</w:t>
            </w:r>
          </w:p>
        </w:tc>
        <w:tc>
          <w:tcPr>
            <w:tcW w:w="2128" w:type="pct"/>
            <w:tcBorders>
              <w:top w:val="single" w:sz="4" w:space="0" w:color="808080" w:themeColor="background1" w:themeShade="80"/>
              <w:bottom w:val="single" w:sz="4" w:space="0" w:color="808080" w:themeColor="background1" w:themeShade="80"/>
            </w:tcBorders>
          </w:tcPr>
          <w:p w14:paraId="5088FDC8" w14:textId="77777777" w:rsidR="003C6C2C" w:rsidRPr="00124E7F" w:rsidRDefault="003C6C2C" w:rsidP="003C6C2C">
            <w:pPr>
              <w:widowControl/>
              <w:autoSpaceDE/>
              <w:autoSpaceDN/>
              <w:adjustRightInd/>
              <w:spacing w:line="240" w:lineRule="auto"/>
            </w:pPr>
            <w:r w:rsidRPr="00124E7F">
              <w:t>No effect, or negligible effect</w:t>
            </w:r>
          </w:p>
        </w:tc>
        <w:tc>
          <w:tcPr>
            <w:tcW w:w="372" w:type="pct"/>
            <w:tcBorders>
              <w:top w:val="single" w:sz="4" w:space="0" w:color="808080" w:themeColor="background1" w:themeShade="80"/>
              <w:bottom w:val="single" w:sz="4" w:space="0" w:color="808080" w:themeColor="background1" w:themeShade="80"/>
            </w:tcBorders>
          </w:tcPr>
          <w:p w14:paraId="327CCB75" w14:textId="77777777" w:rsidR="003C6C2C" w:rsidRPr="00124E7F" w:rsidRDefault="003C6C2C" w:rsidP="003C6C2C">
            <w:pPr>
              <w:widowControl/>
              <w:autoSpaceDE/>
              <w:autoSpaceDN/>
              <w:adjustRightInd/>
              <w:spacing w:line="240" w:lineRule="auto"/>
            </w:pPr>
            <w:r w:rsidRPr="00124E7F">
              <w:t>?-</w:t>
            </w:r>
          </w:p>
        </w:tc>
        <w:tc>
          <w:tcPr>
            <w:tcW w:w="2128" w:type="pct"/>
            <w:tcBorders>
              <w:top w:val="single" w:sz="4" w:space="0" w:color="808080" w:themeColor="background1" w:themeShade="80"/>
              <w:bottom w:val="single" w:sz="4" w:space="0" w:color="808080" w:themeColor="background1" w:themeShade="80"/>
            </w:tcBorders>
          </w:tcPr>
          <w:p w14:paraId="78960D42" w14:textId="77777777" w:rsidR="003C6C2C" w:rsidRPr="00124E7F" w:rsidRDefault="003C6C2C" w:rsidP="003C6C2C">
            <w:pPr>
              <w:widowControl/>
              <w:autoSpaceDE/>
              <w:autoSpaceDN/>
              <w:adjustRightInd/>
              <w:spacing w:line="240" w:lineRule="auto"/>
            </w:pPr>
            <w:r w:rsidRPr="00124E7F">
              <w:t>Possible/Limited negative effect</w:t>
            </w:r>
          </w:p>
        </w:tc>
      </w:tr>
    </w:tbl>
    <w:p w14:paraId="0143D86D" w14:textId="77777777" w:rsidR="00543EAC" w:rsidRPr="00124E7F" w:rsidRDefault="00543EAC" w:rsidP="0017354F">
      <w:pPr>
        <w:pStyle w:val="AAnormal"/>
      </w:pPr>
    </w:p>
    <w:p w14:paraId="22D26BB9" w14:textId="77777777" w:rsidR="0017354F" w:rsidRPr="00124E7F" w:rsidRDefault="00A82065" w:rsidP="00C85A33">
      <w:pPr>
        <w:pStyle w:val="EYBodytextwithparaspace"/>
      </w:pPr>
      <w:r w:rsidRPr="00124E7F">
        <w:t xml:space="preserve">Each </w:t>
      </w:r>
      <w:r w:rsidR="00866225" w:rsidRPr="00124E7F">
        <w:t xml:space="preserve">new </w:t>
      </w:r>
      <w:r w:rsidR="00184E2F" w:rsidRPr="00124E7F">
        <w:t xml:space="preserve">fair dealing </w:t>
      </w:r>
      <w:r w:rsidR="00866225" w:rsidRPr="00124E7F">
        <w:t>exception</w:t>
      </w:r>
      <w:r w:rsidRPr="00124E7F">
        <w:t xml:space="preserve"> is evaluated against the status quo and impacts are evaluated in the short term and the long term. </w:t>
      </w:r>
      <w:r w:rsidR="00EB6A2E" w:rsidRPr="00124E7F">
        <w:t xml:space="preserve">Each row </w:t>
      </w:r>
      <w:r w:rsidR="00A25976" w:rsidRPr="00124E7F">
        <w:t xml:space="preserve">of the table </w:t>
      </w:r>
      <w:r w:rsidR="00EB6A2E" w:rsidRPr="00124E7F">
        <w:t>identifies the relevant stakeholder</w:t>
      </w:r>
      <w:r w:rsidR="00EB3F74" w:rsidRPr="00124E7F">
        <w:t>s</w:t>
      </w:r>
      <w:r w:rsidR="00EB6A2E" w:rsidRPr="00124E7F">
        <w:t xml:space="preserve"> impacted, and includes a description of the impact </w:t>
      </w:r>
      <w:r w:rsidR="00EB3F74" w:rsidRPr="00124E7F">
        <w:t xml:space="preserve">as well as an indication of the magnitude of the impact. </w:t>
      </w:r>
      <w:r w:rsidRPr="00124E7F">
        <w:t xml:space="preserve">For example, a “+” in </w:t>
      </w:r>
      <w:r w:rsidR="00A25976" w:rsidRPr="00124E7F">
        <w:t xml:space="preserve">a </w:t>
      </w:r>
      <w:r w:rsidRPr="00124E7F">
        <w:t>cell indicates that a policy option is likely to have a positive impact on the given stakeholder for the given time-span co</w:t>
      </w:r>
      <w:r w:rsidR="0062676F" w:rsidRPr="00124E7F">
        <w:t xml:space="preserve">nsidered. </w:t>
      </w:r>
      <w:r w:rsidRPr="00124E7F">
        <w:t>In some cases, it is difficult to conclude on the direction and/or magnitude of the impact. This is signified by a question mark. Hence, the signs “</w:t>
      </w:r>
      <w:proofErr w:type="gramStart"/>
      <w:r w:rsidRPr="00124E7F">
        <w:t>?+</w:t>
      </w:r>
      <w:proofErr w:type="gramEnd"/>
      <w:r w:rsidRPr="00124E7F">
        <w:t xml:space="preserve">” and “?-“ should be interpreted as limited or possible, respectively, </w:t>
      </w:r>
      <w:r w:rsidR="0062676F" w:rsidRPr="00124E7F">
        <w:t xml:space="preserve">positive and negative effects. </w:t>
      </w:r>
      <w:r w:rsidRPr="00124E7F">
        <w:t>A solitary question mark indicates an ambi</w:t>
      </w:r>
      <w:r w:rsidR="0062676F" w:rsidRPr="00124E7F">
        <w:t xml:space="preserve">guous impact. </w:t>
      </w:r>
      <w:r w:rsidRPr="00124E7F">
        <w:t xml:space="preserve">A “0” indicates </w:t>
      </w:r>
      <w:r w:rsidR="0062676F" w:rsidRPr="00124E7F">
        <w:t>nil or negligible impacts</w:t>
      </w:r>
      <w:r w:rsidR="00E71A2A" w:rsidRPr="00124E7F">
        <w:t>.</w:t>
      </w:r>
      <w:r w:rsidR="0062676F" w:rsidRPr="00124E7F">
        <w:rPr>
          <w:vertAlign w:val="superscript"/>
        </w:rPr>
        <w:footnoteReference w:id="18"/>
      </w:r>
      <w:r w:rsidR="0062676F" w:rsidRPr="00124E7F">
        <w:rPr>
          <w:vertAlign w:val="superscript"/>
        </w:rPr>
        <w:t xml:space="preserve"> </w:t>
      </w:r>
      <w:r w:rsidR="0017354F" w:rsidRPr="00124E7F">
        <w:t xml:space="preserve"> Finally, where we have been able to quantify impacts, this is identified in the grey cells.</w:t>
      </w:r>
    </w:p>
    <w:p w14:paraId="7D7B4C6E" w14:textId="77777777" w:rsidR="00913D57" w:rsidRPr="004213AE" w:rsidRDefault="00913D57" w:rsidP="00C85A33">
      <w:pPr>
        <w:pStyle w:val="EYBodytextwithparaspace"/>
      </w:pPr>
      <w:r w:rsidRPr="00124E7F">
        <w:t xml:space="preserve">Section 4 looks at the difference between the </w:t>
      </w:r>
      <w:r w:rsidR="0017354F" w:rsidRPr="00124E7F">
        <w:t>s</w:t>
      </w:r>
      <w:r w:rsidRPr="00124E7F">
        <w:t xml:space="preserve">tatus </w:t>
      </w:r>
      <w:r w:rsidR="0017354F" w:rsidRPr="00124E7F">
        <w:t>q</w:t>
      </w:r>
      <w:r w:rsidRPr="00124E7F">
        <w:t xml:space="preserve">uo, </w:t>
      </w:r>
      <w:r w:rsidR="0017354F" w:rsidRPr="00124E7F">
        <w:t>n</w:t>
      </w:r>
      <w:r w:rsidRPr="00124E7F">
        <w:t xml:space="preserve">ew </w:t>
      </w:r>
      <w:r w:rsidR="0017354F" w:rsidRPr="00124E7F">
        <w:t>f</w:t>
      </w:r>
      <w:r w:rsidRPr="00124E7F">
        <w:t xml:space="preserve">air </w:t>
      </w:r>
      <w:r w:rsidR="0017354F" w:rsidRPr="00124E7F">
        <w:t>d</w:t>
      </w:r>
      <w:r w:rsidRPr="00124E7F">
        <w:t xml:space="preserve">ealing and </w:t>
      </w:r>
      <w:r w:rsidR="0017354F" w:rsidRPr="00124E7F">
        <w:t>f</w:t>
      </w:r>
      <w:r w:rsidRPr="00124E7F">
        <w:t xml:space="preserve">air </w:t>
      </w:r>
      <w:r w:rsidR="0017354F" w:rsidRPr="00124E7F">
        <w:t>u</w:t>
      </w:r>
      <w:r w:rsidRPr="00124E7F">
        <w:t>se from the perspective of certainty versus flexibility and how this drives differences in the costs and benefits</w:t>
      </w:r>
      <w:r w:rsidR="008665DC" w:rsidRPr="00124E7F">
        <w:t xml:space="preserve"> of each option (e.g. innovation and enforcement). </w:t>
      </w:r>
      <w:r w:rsidR="007242AD" w:rsidRPr="00202E68">
        <w:t xml:space="preserve"> </w:t>
      </w:r>
    </w:p>
    <w:p w14:paraId="7E301473" w14:textId="77777777" w:rsidR="00653807" w:rsidRPr="00124E7F" w:rsidRDefault="00011C88" w:rsidP="006C5865">
      <w:pPr>
        <w:pStyle w:val="EYBodytextwithparaspace"/>
      </w:pPr>
      <w:r w:rsidRPr="004213AE">
        <w:t>It is commonly observed that the availability and accessibility of data for the purposes of copyright research is problematic.</w:t>
      </w:r>
      <w:r w:rsidRPr="00124E7F">
        <w:rPr>
          <w:vertAlign w:val="superscript"/>
        </w:rPr>
        <w:footnoteReference w:id="19"/>
      </w:r>
      <w:r w:rsidRPr="00124E7F">
        <w:rPr>
          <w:vertAlign w:val="superscript"/>
        </w:rPr>
        <w:t xml:space="preserve"> </w:t>
      </w:r>
      <w:r w:rsidR="00653807" w:rsidRPr="00124E7F">
        <w:t xml:space="preserve">The Hargreaves review </w:t>
      </w:r>
      <w:r w:rsidR="0047140C" w:rsidRPr="00124E7F">
        <w:t>points to three key obstacles:</w:t>
      </w:r>
      <w:r w:rsidR="00653807" w:rsidRPr="00124E7F">
        <w:t xml:space="preserve"> </w:t>
      </w:r>
    </w:p>
    <w:p w14:paraId="158D8B5F" w14:textId="77777777" w:rsidR="00A3671D" w:rsidRPr="00124E7F" w:rsidRDefault="00653807" w:rsidP="006C5865">
      <w:pPr>
        <w:pStyle w:val="EYIndent1"/>
        <w:rPr>
          <w:i/>
        </w:rPr>
      </w:pPr>
      <w:r w:rsidRPr="00124E7F">
        <w:rPr>
          <w:i/>
        </w:rPr>
        <w:t xml:space="preserve">First, copyright use is not well documented and traceable. Secondly, evidence relating to policy questions involving new technologies (e.g. computer programs, digital communication and biosciences) </w:t>
      </w:r>
      <w:r w:rsidR="008C6D26" w:rsidRPr="00124E7F">
        <w:rPr>
          <w:i/>
        </w:rPr>
        <w:t>is</w:t>
      </w:r>
      <w:r w:rsidRPr="00124E7F">
        <w:rPr>
          <w:i/>
        </w:rPr>
        <w:t xml:space="preserve"> problematic, as the characteristics of these markets are not well understood or measured. Third, much of the data needed to develop empirical evidence on copyright is privately held and, when it enters the public domain as ‘evidence’, cannot be independently v</w:t>
      </w:r>
      <w:r w:rsidR="0047140C" w:rsidRPr="00124E7F">
        <w:rPr>
          <w:i/>
        </w:rPr>
        <w:t>erified.</w:t>
      </w:r>
      <w:r w:rsidR="0047140C" w:rsidRPr="00124E7F">
        <w:rPr>
          <w:i/>
          <w:vertAlign w:val="superscript"/>
        </w:rPr>
        <w:footnoteReference w:id="20"/>
      </w:r>
    </w:p>
    <w:p w14:paraId="72287E45" w14:textId="77777777" w:rsidR="0047140C" w:rsidRPr="00124E7F" w:rsidRDefault="00653807" w:rsidP="006C5865">
      <w:pPr>
        <w:pStyle w:val="EYBodytextwithparaspace"/>
      </w:pPr>
      <w:r w:rsidRPr="00124E7F">
        <w:t xml:space="preserve">These have </w:t>
      </w:r>
      <w:r w:rsidR="00011C88" w:rsidRPr="00124E7F">
        <w:t xml:space="preserve">been </w:t>
      </w:r>
      <w:r w:rsidRPr="00124E7F">
        <w:t xml:space="preserve">the </w:t>
      </w:r>
      <w:r w:rsidR="00011C88" w:rsidRPr="00124E7F">
        <w:t>leading factor</w:t>
      </w:r>
      <w:r w:rsidRPr="00124E7F">
        <w:t>s</w:t>
      </w:r>
      <w:r w:rsidR="00011C88" w:rsidRPr="00124E7F">
        <w:t xml:space="preserve"> in determining the extent to which quantification of the costs and benefits identified has been possible. A second factor was the scope of the research, which </w:t>
      </w:r>
      <w:r w:rsidR="00A301AC" w:rsidRPr="00124E7F">
        <w:t xml:space="preserve">did not extend to primary research. </w:t>
      </w:r>
    </w:p>
    <w:p w14:paraId="16811734" w14:textId="77777777" w:rsidR="00DA567A" w:rsidRPr="00124E7F" w:rsidRDefault="00A04BCD" w:rsidP="006C5865">
      <w:pPr>
        <w:pStyle w:val="EYBodytextwithparaspace"/>
      </w:pPr>
      <w:r w:rsidRPr="00124E7F">
        <w:t xml:space="preserve">A lack of relevant and defensible data has impeded our ability to undertake a traditional CBA, with </w:t>
      </w:r>
      <w:proofErr w:type="spellStart"/>
      <w:r w:rsidRPr="00124E7F">
        <w:t>monetisation</w:t>
      </w:r>
      <w:proofErr w:type="spellEnd"/>
      <w:r w:rsidRPr="00124E7F">
        <w:t xml:space="preserve"> of costs and benefits. Instead, we have undertaken a qualitative Multi Criteria Analysis (MCA) of the costs and benefits, using quantitati</w:t>
      </w:r>
      <w:r w:rsidR="00DA567A" w:rsidRPr="00124E7F">
        <w:t>ve information where available.</w:t>
      </w:r>
    </w:p>
    <w:p w14:paraId="7163DC5C" w14:textId="77777777" w:rsidR="00536578" w:rsidRPr="00124E7F" w:rsidRDefault="00536578">
      <w:pPr>
        <w:widowControl/>
        <w:autoSpaceDE/>
        <w:autoSpaceDN/>
        <w:adjustRightInd/>
        <w:spacing w:line="240" w:lineRule="auto"/>
        <w:rPr>
          <w:b/>
          <w:sz w:val="28"/>
          <w:szCs w:val="24"/>
          <w:lang w:val="en-US"/>
        </w:rPr>
      </w:pPr>
      <w:bookmarkStart w:id="75" w:name="_Toc451769107"/>
      <w:bookmarkStart w:id="76" w:name="_Toc467768888"/>
      <w:bookmarkStart w:id="77" w:name="_Toc467768948"/>
      <w:r w:rsidRPr="00124E7F">
        <w:br w:type="page"/>
      </w:r>
    </w:p>
    <w:p w14:paraId="1F09B7A6" w14:textId="77777777" w:rsidR="00857004" w:rsidRPr="00124E7F" w:rsidRDefault="00857004" w:rsidP="00536578">
      <w:pPr>
        <w:pStyle w:val="EYHeading2"/>
      </w:pPr>
      <w:bookmarkStart w:id="78" w:name="_Toc469644734"/>
      <w:r w:rsidRPr="00124E7F">
        <w:t>Stakeholder consultations</w:t>
      </w:r>
      <w:bookmarkEnd w:id="75"/>
      <w:bookmarkEnd w:id="76"/>
      <w:bookmarkEnd w:id="77"/>
      <w:bookmarkEnd w:id="78"/>
    </w:p>
    <w:p w14:paraId="52D72974" w14:textId="77777777" w:rsidR="001F6DE7" w:rsidRPr="00124E7F" w:rsidRDefault="00B531F2" w:rsidP="006C5865">
      <w:pPr>
        <w:pStyle w:val="EYBodytextwithparaspace"/>
      </w:pPr>
      <w:proofErr w:type="spellStart"/>
      <w:r w:rsidRPr="00124E7F">
        <w:t>Recognising</w:t>
      </w:r>
      <w:proofErr w:type="spellEnd"/>
      <w:r w:rsidRPr="00124E7F">
        <w:t xml:space="preserve"> the significant consultation undertaken by the ALRC in the course of its review, EY undertook </w:t>
      </w:r>
      <w:r w:rsidR="00A94150" w:rsidRPr="00124E7F">
        <w:t xml:space="preserve">a more limited consultation exercise aimed at drawing out evidence on the costs and benefits of the recommendations under scope. Appendix A provides a list of </w:t>
      </w:r>
      <w:r w:rsidR="008665DC" w:rsidRPr="00124E7F">
        <w:t xml:space="preserve">the 25 </w:t>
      </w:r>
      <w:r w:rsidR="00A94150" w:rsidRPr="00124E7F">
        <w:t xml:space="preserve">stakeholders </w:t>
      </w:r>
      <w:r w:rsidR="00B054A5" w:rsidRPr="00124E7F">
        <w:t xml:space="preserve">nominated by the Department </w:t>
      </w:r>
      <w:r w:rsidR="002214BA" w:rsidRPr="00124E7F">
        <w:t xml:space="preserve">that we consulted with </w:t>
      </w:r>
      <w:r w:rsidR="00A94150" w:rsidRPr="00124E7F">
        <w:t>over the period</w:t>
      </w:r>
      <w:r w:rsidR="008665DC" w:rsidRPr="00124E7F">
        <w:t xml:space="preserve"> February 1</w:t>
      </w:r>
      <w:r w:rsidR="008665DC" w:rsidRPr="00124E7F">
        <w:rPr>
          <w:vertAlign w:val="superscript"/>
        </w:rPr>
        <w:t>st</w:t>
      </w:r>
      <w:r w:rsidR="008665DC" w:rsidRPr="00124E7F">
        <w:t xml:space="preserve"> to 19</w:t>
      </w:r>
      <w:r w:rsidR="008665DC" w:rsidRPr="00124E7F">
        <w:rPr>
          <w:vertAlign w:val="superscript"/>
        </w:rPr>
        <w:t>th</w:t>
      </w:r>
      <w:r w:rsidR="00A94150" w:rsidRPr="00124E7F">
        <w:t>.</w:t>
      </w:r>
      <w:r w:rsidR="00A45FB4" w:rsidRPr="00124E7F">
        <w:t xml:space="preserve"> </w:t>
      </w:r>
      <w:r w:rsidR="001F6DE7" w:rsidRPr="00124E7F">
        <w:t xml:space="preserve">The consultations were undertaken with a view to choosing representative samples from each stakeholder group as shown by </w:t>
      </w:r>
      <w:r w:rsidR="001F6DE7" w:rsidRPr="00124E7F">
        <w:fldChar w:fldCharType="begin"/>
      </w:r>
      <w:r w:rsidR="001F6DE7" w:rsidRPr="00124E7F">
        <w:instrText xml:space="preserve"> REF _Ref430939855 \h </w:instrText>
      </w:r>
      <w:r w:rsidR="008C0A7F" w:rsidRPr="00124E7F">
        <w:instrText xml:space="preserve"> \* MERGEFORMAT </w:instrText>
      </w:r>
      <w:r w:rsidR="001F6DE7" w:rsidRPr="00124E7F">
        <w:fldChar w:fldCharType="separate"/>
      </w:r>
      <w:r w:rsidR="0075700D" w:rsidRPr="00124E7F">
        <w:t xml:space="preserve">Figure </w:t>
      </w:r>
      <w:r w:rsidR="0075700D">
        <w:rPr>
          <w:noProof/>
        </w:rPr>
        <w:t>3</w:t>
      </w:r>
      <w:r w:rsidR="001F6DE7" w:rsidRPr="00124E7F">
        <w:fldChar w:fldCharType="end"/>
      </w:r>
      <w:r w:rsidR="001F6DE7" w:rsidRPr="00124E7F">
        <w:t xml:space="preserve">. The figure provides a high level illustration of a typical copyright value chain. </w:t>
      </w:r>
    </w:p>
    <w:p w14:paraId="235E324A" w14:textId="77777777" w:rsidR="00E46186" w:rsidRPr="00124E7F" w:rsidRDefault="001F6DE7" w:rsidP="006C5865">
      <w:pPr>
        <w:pStyle w:val="EYBodytextwithparaspace"/>
      </w:pPr>
      <w:r w:rsidRPr="00124E7F">
        <w:t>New creative works originate from content creators such as composers, artists, sculptors and architects.</w:t>
      </w:r>
      <w:r w:rsidR="0057328D" w:rsidRPr="00124E7F">
        <w:t xml:space="preserve"> </w:t>
      </w:r>
      <w:r w:rsidRPr="00124E7F">
        <w:t xml:space="preserve">Frequently </w:t>
      </w:r>
      <w:r w:rsidR="00477B57" w:rsidRPr="00124E7F">
        <w:t>creative</w:t>
      </w:r>
      <w:r w:rsidRPr="00124E7F">
        <w:t xml:space="preserve"> content </w:t>
      </w:r>
      <w:r w:rsidR="00CF5886" w:rsidRPr="00124E7F">
        <w:t>may also be</w:t>
      </w:r>
      <w:r w:rsidR="00A55F17" w:rsidRPr="00124E7F">
        <w:t xml:space="preserve"> </w:t>
      </w:r>
      <w:r w:rsidRPr="00124E7F">
        <w:t>commissioned by</w:t>
      </w:r>
      <w:r w:rsidR="00477B57" w:rsidRPr="00124E7F">
        <w:t xml:space="preserve"> and taken to market by</w:t>
      </w:r>
      <w:r w:rsidRPr="00124E7F">
        <w:t xml:space="preserve"> content developers such as publishers or record companies who will hol</w:t>
      </w:r>
      <w:r w:rsidR="00477B57" w:rsidRPr="00124E7F">
        <w:t xml:space="preserve">d the rights </w:t>
      </w:r>
      <w:r w:rsidR="00CF5886" w:rsidRPr="00124E7F">
        <w:t>for that</w:t>
      </w:r>
      <w:r w:rsidR="00477B57" w:rsidRPr="00124E7F">
        <w:t xml:space="preserve"> copyright content. Content intermediaries (e.g. broadcasters and telecommunications providers) and consumers incur access costs for the use of these materials, unless an explicit exception is provided in the Copyright Act for that use.</w:t>
      </w:r>
      <w:r w:rsidR="0057328D" w:rsidRPr="00124E7F">
        <w:t xml:space="preserve"> </w:t>
      </w:r>
    </w:p>
    <w:p w14:paraId="6FBC10FB" w14:textId="77777777" w:rsidR="00E46186" w:rsidRPr="00124E7F" w:rsidRDefault="0047140C" w:rsidP="006C5865">
      <w:pPr>
        <w:pStyle w:val="EYBodytextwithparaspace"/>
      </w:pPr>
      <w:r w:rsidRPr="00124E7F">
        <w:fldChar w:fldCharType="begin"/>
      </w:r>
      <w:r w:rsidRPr="00124E7F">
        <w:instrText xml:space="preserve"> REF _Ref430939855 \h </w:instrText>
      </w:r>
      <w:r w:rsidR="00633989" w:rsidRPr="00124E7F">
        <w:instrText xml:space="preserve"> \* MERGEFORMAT </w:instrText>
      </w:r>
      <w:r w:rsidRPr="00124E7F">
        <w:fldChar w:fldCharType="separate"/>
      </w:r>
      <w:r w:rsidR="0075700D" w:rsidRPr="00124E7F">
        <w:t xml:space="preserve">Figure </w:t>
      </w:r>
      <w:r w:rsidR="0075700D">
        <w:rPr>
          <w:noProof/>
        </w:rPr>
        <w:t>3</w:t>
      </w:r>
      <w:r w:rsidRPr="00124E7F">
        <w:fldChar w:fldCharType="end"/>
      </w:r>
      <w:r w:rsidRPr="00124E7F">
        <w:t xml:space="preserve"> </w:t>
      </w:r>
      <w:r w:rsidR="00477B57" w:rsidRPr="00124E7F">
        <w:t>distinguishes between primary consumption</w:t>
      </w:r>
      <w:r w:rsidR="00A55F17" w:rsidRPr="00124E7F">
        <w:t xml:space="preserve"> (e.g. individuals and businesses)</w:t>
      </w:r>
      <w:r w:rsidR="00477B57" w:rsidRPr="00124E7F">
        <w:t xml:space="preserve"> and secondary </w:t>
      </w:r>
      <w:r w:rsidR="00A55F17" w:rsidRPr="00124E7F">
        <w:t>consumption (e.g. public institutions and education providers).</w:t>
      </w:r>
      <w:r w:rsidR="00CF5886" w:rsidRPr="00124E7F">
        <w:t xml:space="preserve"> </w:t>
      </w:r>
      <w:r w:rsidR="00A55F17" w:rsidRPr="00124E7F">
        <w:t xml:space="preserve">Whereas compulsory statutory </w:t>
      </w:r>
      <w:r w:rsidR="005D236A" w:rsidRPr="00124E7F">
        <w:t>licens</w:t>
      </w:r>
      <w:r w:rsidR="007D4AFF" w:rsidRPr="00124E7F">
        <w:t>ing</w:t>
      </w:r>
      <w:r w:rsidR="00A55F17" w:rsidRPr="00124E7F">
        <w:t xml:space="preserve"> arrangements are in place for public and education institutions, primary consumers rely on vo</w:t>
      </w:r>
      <w:r w:rsidR="00BE4778" w:rsidRPr="00124E7F">
        <w:t xml:space="preserve">luntary </w:t>
      </w:r>
      <w:r w:rsidR="005D236A" w:rsidRPr="00124E7F">
        <w:t>licens</w:t>
      </w:r>
      <w:r w:rsidR="007D4AFF" w:rsidRPr="00124E7F">
        <w:t>ing</w:t>
      </w:r>
      <w:r w:rsidR="00BE4778" w:rsidRPr="00124E7F">
        <w:t xml:space="preserve"> arrangements for the use of copyright. </w:t>
      </w:r>
      <w:proofErr w:type="spellStart"/>
      <w:r w:rsidR="00BE4778" w:rsidRPr="00124E7F">
        <w:t>Screenrights</w:t>
      </w:r>
      <w:proofErr w:type="spellEnd"/>
      <w:r w:rsidR="00BE4778" w:rsidRPr="00124E7F">
        <w:t xml:space="preserve"> and the Copyright Agency are the declared Collecting Societies for Part VA (</w:t>
      </w:r>
      <w:r w:rsidR="00A65EA3" w:rsidRPr="00124E7F">
        <w:t xml:space="preserve">educational </w:t>
      </w:r>
      <w:r w:rsidR="009978DD" w:rsidRPr="00124E7F">
        <w:t xml:space="preserve">statutory </w:t>
      </w:r>
      <w:r w:rsidR="008D7BC8" w:rsidRPr="00124E7F">
        <w:t>licenses</w:t>
      </w:r>
      <w:r w:rsidR="00CF5886" w:rsidRPr="00124E7F">
        <w:t xml:space="preserve"> for </w:t>
      </w:r>
      <w:r w:rsidR="00BE4778" w:rsidRPr="00124E7F">
        <w:t>radio and television broadcasts) and Part VB (</w:t>
      </w:r>
      <w:r w:rsidR="00A65EA3" w:rsidRPr="00124E7F">
        <w:t xml:space="preserve">educational </w:t>
      </w:r>
      <w:r w:rsidR="009978DD" w:rsidRPr="00124E7F">
        <w:t xml:space="preserve">statutory </w:t>
      </w:r>
      <w:r w:rsidR="008D7BC8" w:rsidRPr="00124E7F">
        <w:t>licenses</w:t>
      </w:r>
      <w:r w:rsidR="00CF5886" w:rsidRPr="00124E7F">
        <w:t xml:space="preserve"> for </w:t>
      </w:r>
      <w:r w:rsidR="00BE4778" w:rsidRPr="00124E7F">
        <w:t xml:space="preserve">print and artistic works) of </w:t>
      </w:r>
      <w:r w:rsidR="00CF5886" w:rsidRPr="00124E7F">
        <w:t>the</w:t>
      </w:r>
      <w:r w:rsidR="00BE4778" w:rsidRPr="00124E7F">
        <w:t xml:space="preserve"> Copyright</w:t>
      </w:r>
      <w:r w:rsidR="00137CD5" w:rsidRPr="00124E7F">
        <w:t> </w:t>
      </w:r>
      <w:r w:rsidR="00BE4778" w:rsidRPr="00124E7F">
        <w:t>Act. Right</w:t>
      </w:r>
      <w:r w:rsidR="006B2E08" w:rsidRPr="00124E7F">
        <w:t>s</w:t>
      </w:r>
      <w:r w:rsidR="00BE4778" w:rsidRPr="00124E7F">
        <w:t xml:space="preserve"> holders are unable to opt out of the </w:t>
      </w:r>
      <w:r w:rsidR="009978DD" w:rsidRPr="00124E7F">
        <w:t xml:space="preserve">statutory </w:t>
      </w:r>
      <w:r w:rsidR="008D7BC8" w:rsidRPr="00124E7F">
        <w:t>licenses</w:t>
      </w:r>
      <w:r w:rsidR="00BE4778" w:rsidRPr="00124E7F">
        <w:t xml:space="preserve">. </w:t>
      </w:r>
    </w:p>
    <w:p w14:paraId="1CE44DB2" w14:textId="77777777" w:rsidR="006C5865" w:rsidRPr="00124E7F" w:rsidRDefault="00390B05" w:rsidP="00E0096C">
      <w:pPr>
        <w:pStyle w:val="EYBodytextwithparaspace"/>
      </w:pPr>
      <w:r w:rsidRPr="00124E7F">
        <w:t xml:space="preserve">While an understanding of the copyright value chain is essential to understand the incentive mechanisms by which a change in copyright policy may impact on different groups, the landscape is often not as straight forward as the above discussion suggests. </w:t>
      </w:r>
      <w:r w:rsidR="00B1119A" w:rsidRPr="00124E7F">
        <w:t xml:space="preserve">For example, Telstra </w:t>
      </w:r>
      <w:r w:rsidR="008665DC" w:rsidRPr="00124E7F">
        <w:t>considers itself</w:t>
      </w:r>
      <w:r w:rsidR="00B1119A" w:rsidRPr="00124E7F">
        <w:t xml:space="preserve"> </w:t>
      </w:r>
      <w:r w:rsidR="00A172DF" w:rsidRPr="00124E7F">
        <w:t xml:space="preserve">‘a rights holder, licensor, </w:t>
      </w:r>
      <w:r w:rsidR="005D236A" w:rsidRPr="00124E7F">
        <w:t>licens</w:t>
      </w:r>
      <w:r w:rsidR="007D4AFF" w:rsidRPr="00124E7F">
        <w:t>e</w:t>
      </w:r>
      <w:r w:rsidR="00A172DF" w:rsidRPr="00124E7F">
        <w:t>e, user and intermediary of copyright works and our customers are enthusiastic consumers of digital content’</w:t>
      </w:r>
      <w:r w:rsidR="00B1119A" w:rsidRPr="00124E7F">
        <w:t>.</w:t>
      </w:r>
      <w:r w:rsidR="00A172DF" w:rsidRPr="00124E7F">
        <w:rPr>
          <w:rStyle w:val="FootnoteReference"/>
          <w:position w:val="0"/>
          <w:sz w:val="20"/>
          <w:szCs w:val="24"/>
        </w:rPr>
        <w:footnoteReference w:id="21"/>
      </w:r>
      <w:r w:rsidR="00B1119A" w:rsidRPr="00124E7F">
        <w:t xml:space="preserve"> In the same vein, follow-up creators are also users of copyright works, who will both</w:t>
      </w:r>
      <w:r w:rsidR="000C28D7" w:rsidRPr="00124E7F">
        <w:t xml:space="preserve"> be</w:t>
      </w:r>
      <w:r w:rsidR="00B1119A" w:rsidRPr="00124E7F">
        <w:t xml:space="preserve"> advantaged and disadvantaged by the introduction of exceptions fo</w:t>
      </w:r>
      <w:r w:rsidR="006C5865" w:rsidRPr="00124E7F">
        <w:t>r particular uses of copyright.</w:t>
      </w:r>
    </w:p>
    <w:p w14:paraId="7D855757" w14:textId="77777777" w:rsidR="00E46186" w:rsidRPr="00124E7F" w:rsidRDefault="00E46186" w:rsidP="006C5865">
      <w:pPr>
        <w:pStyle w:val="EYBodytextwithparaspace"/>
      </w:pPr>
      <w:r w:rsidRPr="00124E7F">
        <w:t xml:space="preserve">Views expressed during consultations diverged significantly. For example, there is disagreement about the extent to which the status quo is limiting innovation/investment (e.g. </w:t>
      </w:r>
      <w:r w:rsidR="0047140C" w:rsidRPr="00124E7F">
        <w:t xml:space="preserve">Massive Open Online Courses [MOOCs] </w:t>
      </w:r>
      <w:r w:rsidRPr="00124E7F">
        <w:t>are used as both a case-study for demonstrating flexibility and inflexibility in the current arrangements). In some cases, this inconsistency has constrained our ability to clearly define the status quo.</w:t>
      </w:r>
      <w:r w:rsidR="008C6D26" w:rsidRPr="00124E7F">
        <w:t xml:space="preserve"> </w:t>
      </w:r>
      <w:r w:rsidR="0047140C" w:rsidRPr="00124E7F">
        <w:t xml:space="preserve">This is exacerbated by the nascent nature of some markets and technologies under scope, which means there is a lack of </w:t>
      </w:r>
      <w:r w:rsidR="00C37ECD" w:rsidRPr="00124E7F">
        <w:t>publicly</w:t>
      </w:r>
      <w:r w:rsidR="0047140C" w:rsidRPr="00124E7F">
        <w:t xml:space="preserve"> available information on the topic. For example, we still do not have a clear picture of data and text mining practices in Australia. </w:t>
      </w:r>
      <w:r w:rsidRPr="00124E7F">
        <w:t xml:space="preserve">A </w:t>
      </w:r>
      <w:r w:rsidR="0047140C" w:rsidRPr="00124E7F">
        <w:t xml:space="preserve">third </w:t>
      </w:r>
      <w:r w:rsidRPr="00124E7F">
        <w:t xml:space="preserve">related challenge </w:t>
      </w:r>
      <w:r w:rsidR="006768E9" w:rsidRPr="00124E7F">
        <w:t xml:space="preserve">is separating what is legislated in law and what is applied in practice. </w:t>
      </w:r>
      <w:r w:rsidRPr="00124E7F">
        <w:t xml:space="preserve">In undertaking </w:t>
      </w:r>
      <w:r w:rsidR="00137CD5" w:rsidRPr="00124E7F">
        <w:t>a CBA</w:t>
      </w:r>
      <w:r w:rsidR="008C6D26" w:rsidRPr="00124E7F">
        <w:t xml:space="preserve"> </w:t>
      </w:r>
      <w:r w:rsidR="006768E9" w:rsidRPr="00124E7F">
        <w:t xml:space="preserve">we would have a preference for the latter. </w:t>
      </w:r>
    </w:p>
    <w:p w14:paraId="7F748EDA" w14:textId="77777777" w:rsidR="007242AD" w:rsidRDefault="007242AD" w:rsidP="007242AD">
      <w:pPr>
        <w:pStyle w:val="Caption"/>
        <w:keepNext/>
      </w:pPr>
      <w:bookmarkStart w:id="79" w:name="_Ref430939855"/>
      <w:r w:rsidRPr="00124E7F">
        <w:t xml:space="preserve">Figure </w:t>
      </w:r>
      <w:r w:rsidRPr="00124E7F">
        <w:fldChar w:fldCharType="begin"/>
      </w:r>
      <w:r w:rsidRPr="00124E7F">
        <w:instrText xml:space="preserve"> SEQ Figure \* ARABIC </w:instrText>
      </w:r>
      <w:r w:rsidRPr="00124E7F">
        <w:fldChar w:fldCharType="separate"/>
      </w:r>
      <w:r w:rsidR="0075700D">
        <w:rPr>
          <w:noProof/>
        </w:rPr>
        <w:t>3</w:t>
      </w:r>
      <w:r w:rsidRPr="00124E7F">
        <w:fldChar w:fldCharType="end"/>
      </w:r>
      <w:bookmarkEnd w:id="79"/>
      <w:r w:rsidR="001A4F6A" w:rsidRPr="00124E7F">
        <w:t>:</w:t>
      </w:r>
      <w:r w:rsidRPr="00124E7F">
        <w:t xml:space="preserve"> Copyright value chain</w:t>
      </w:r>
    </w:p>
    <w:p w14:paraId="359930EA" w14:textId="77777777" w:rsidR="00124E7F" w:rsidRPr="00124E7F" w:rsidRDefault="00124E7F" w:rsidP="00202E68">
      <w:r>
        <w:rPr>
          <w:noProof/>
          <w:lang w:eastAsia="zh-TW" w:bidi="hi-IN"/>
        </w:rPr>
        <w:drawing>
          <wp:inline distT="0" distB="0" distL="0" distR="0" wp14:anchorId="3968F657" wp14:editId="0ABF4379">
            <wp:extent cx="5760000" cy="3426132"/>
            <wp:effectExtent l="0" t="0" r="0" b="3175"/>
            <wp:docPr id="305" name="Picture 305" descr="The figure is a diagrammatic summary of the copyright value chain as described in the main text provided above. " title="Figure 3: Copyright value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000" cy="3426132"/>
                    </a:xfrm>
                    <a:prstGeom prst="rect">
                      <a:avLst/>
                    </a:prstGeom>
                    <a:noFill/>
                  </pic:spPr>
                </pic:pic>
              </a:graphicData>
            </a:graphic>
          </wp:inline>
        </w:drawing>
      </w:r>
    </w:p>
    <w:p w14:paraId="150B13E3" w14:textId="77777777" w:rsidR="007242AD" w:rsidRPr="00124E7F" w:rsidRDefault="007242AD" w:rsidP="00124E7F">
      <w:pPr>
        <w:pStyle w:val="EYSource"/>
        <w:rPr>
          <w:sz w:val="20"/>
          <w:szCs w:val="20"/>
        </w:rPr>
      </w:pPr>
      <w:r w:rsidRPr="00124E7F">
        <w:rPr>
          <w:sz w:val="20"/>
          <w:szCs w:val="20"/>
        </w:rPr>
        <w:t xml:space="preserve">Source: Adapted from PwC, An economic analysis of copyright, secondary copyright and collective </w:t>
      </w:r>
      <w:r w:rsidR="005D236A" w:rsidRPr="00124E7F">
        <w:rPr>
          <w:sz w:val="20"/>
          <w:szCs w:val="20"/>
        </w:rPr>
        <w:t>licens</w:t>
      </w:r>
      <w:r w:rsidR="007D4AFF" w:rsidRPr="00124E7F">
        <w:rPr>
          <w:sz w:val="20"/>
          <w:szCs w:val="20"/>
        </w:rPr>
        <w:t>ing</w:t>
      </w:r>
      <w:r w:rsidRPr="00124E7F">
        <w:rPr>
          <w:sz w:val="20"/>
          <w:szCs w:val="20"/>
        </w:rPr>
        <w:t>, March 2011.</w:t>
      </w:r>
    </w:p>
    <w:p w14:paraId="6506AFDF" w14:textId="77777777" w:rsidR="00F07D6B" w:rsidRPr="00124E7F" w:rsidRDefault="00F07D6B" w:rsidP="00F07D6B">
      <w:pPr>
        <w:rPr>
          <w:sz w:val="20"/>
        </w:rPr>
      </w:pPr>
      <w:bookmarkStart w:id="80" w:name="_Toc451769108"/>
    </w:p>
    <w:p w14:paraId="4C95F7FF" w14:textId="77777777" w:rsidR="00857004" w:rsidRPr="00124E7F" w:rsidRDefault="00857004" w:rsidP="00536578">
      <w:pPr>
        <w:pStyle w:val="EYHeading2"/>
      </w:pPr>
      <w:bookmarkStart w:id="81" w:name="_Toc467768889"/>
      <w:bookmarkStart w:id="82" w:name="_Toc467768949"/>
      <w:bookmarkStart w:id="83" w:name="_Toc469644735"/>
      <w:r w:rsidRPr="00124E7F">
        <w:t>Key assumptions</w:t>
      </w:r>
      <w:bookmarkEnd w:id="80"/>
      <w:bookmarkEnd w:id="81"/>
      <w:bookmarkEnd w:id="82"/>
      <w:bookmarkEnd w:id="83"/>
    </w:p>
    <w:p w14:paraId="3057C063" w14:textId="77777777" w:rsidR="00137CD5" w:rsidRPr="00124E7F" w:rsidRDefault="006768E9" w:rsidP="006C5865">
      <w:pPr>
        <w:pStyle w:val="EYBodytextwithparaspace"/>
      </w:pPr>
      <w:r w:rsidRPr="00124E7F">
        <w:t>In undertaking the CBA we have had to make a number of assumptions. These were progressively developed throughout the course of the project and have been agreed to by the Department of Communications and Arts.</w:t>
      </w:r>
      <w:r w:rsidR="00137CD5" w:rsidRPr="00124E7F">
        <w:t xml:space="preserve"> It is important to note that the following assumptions represent our understanding of the ALRC’s recommendations from an economic perspective. We do not purport to provide any legal advice. </w:t>
      </w:r>
    </w:p>
    <w:p w14:paraId="317C6C22" w14:textId="77777777" w:rsidR="006768E9" w:rsidRPr="00124E7F" w:rsidRDefault="006768E9" w:rsidP="006C5865">
      <w:pPr>
        <w:pStyle w:val="EYBodytextwithparaspace"/>
      </w:pPr>
      <w:r w:rsidRPr="00124E7F">
        <w:t>Our key assumptions are as follows:</w:t>
      </w:r>
    </w:p>
    <w:p w14:paraId="0D4D29D9" w14:textId="77777777" w:rsidR="000811A8" w:rsidRPr="00124E7F" w:rsidRDefault="004808B0" w:rsidP="00634BB4">
      <w:pPr>
        <w:pStyle w:val="EYBulletedText1"/>
      </w:pPr>
      <w:r w:rsidRPr="00124E7F">
        <w:t>Uses under the existing fair dealing exceptions</w:t>
      </w:r>
      <w:r w:rsidR="000811A8" w:rsidRPr="00124E7F">
        <w:t xml:space="preserve"> (e.g. research or study)</w:t>
      </w:r>
      <w:r w:rsidRPr="00124E7F">
        <w:t xml:space="preserve"> would co</w:t>
      </w:r>
      <w:r w:rsidR="00B5219B" w:rsidRPr="00124E7F">
        <w:t xml:space="preserve">ntinue to be </w:t>
      </w:r>
      <w:r w:rsidR="000811A8" w:rsidRPr="00124E7F">
        <w:t xml:space="preserve">fair under the proposed new fair dealing and fair use system of exceptions. </w:t>
      </w:r>
    </w:p>
    <w:p w14:paraId="644B26F9" w14:textId="77777777" w:rsidR="000C28D7" w:rsidRPr="00124E7F" w:rsidRDefault="00A172DF" w:rsidP="00634BB4">
      <w:pPr>
        <w:pStyle w:val="EYBulletedText1"/>
      </w:pPr>
      <w:r w:rsidRPr="00124E7F">
        <w:t xml:space="preserve">The proposed fairness factors </w:t>
      </w:r>
      <w:r w:rsidR="00456B8A" w:rsidRPr="00124E7F">
        <w:t xml:space="preserve">codify existing case law and are </w:t>
      </w:r>
      <w:r w:rsidR="00B5219B" w:rsidRPr="00124E7F">
        <w:t>similar to</w:t>
      </w:r>
      <w:r w:rsidR="00456B8A" w:rsidRPr="00124E7F">
        <w:t xml:space="preserve"> the f</w:t>
      </w:r>
      <w:r w:rsidR="000811A8" w:rsidRPr="00124E7F">
        <w:t xml:space="preserve">actors currently used under the existing </w:t>
      </w:r>
      <w:r w:rsidR="00456B8A" w:rsidRPr="00124E7F">
        <w:t>research or study</w:t>
      </w:r>
      <w:r w:rsidR="000811A8" w:rsidRPr="00124E7F">
        <w:t xml:space="preserve"> exception</w:t>
      </w:r>
      <w:r w:rsidR="00456B8A" w:rsidRPr="00124E7F">
        <w:t xml:space="preserve">. </w:t>
      </w:r>
      <w:r w:rsidR="00B5219B" w:rsidRPr="00124E7F">
        <w:t xml:space="preserve">As a result, there is </w:t>
      </w:r>
      <w:r w:rsidR="000811A8" w:rsidRPr="00124E7F">
        <w:t>negligible</w:t>
      </w:r>
      <w:r w:rsidR="00B5219B" w:rsidRPr="00124E7F">
        <w:t xml:space="preserve"> impact.</w:t>
      </w:r>
    </w:p>
    <w:p w14:paraId="322300B0" w14:textId="77777777" w:rsidR="000F7834" w:rsidRPr="00124E7F" w:rsidRDefault="000F7834" w:rsidP="00634BB4">
      <w:pPr>
        <w:pStyle w:val="EYBulletedText1"/>
      </w:pPr>
      <w:r w:rsidRPr="00124E7F">
        <w:t>Recommendation</w:t>
      </w:r>
      <w:r w:rsidR="00450096" w:rsidRPr="00124E7F">
        <w:t>s</w:t>
      </w:r>
      <w:r w:rsidRPr="00124E7F">
        <w:t xml:space="preserve"> on </w:t>
      </w:r>
      <w:r w:rsidR="009978DD" w:rsidRPr="00124E7F">
        <w:t xml:space="preserve">statutory </w:t>
      </w:r>
      <w:r w:rsidR="008D7BC8" w:rsidRPr="00124E7F">
        <w:t>licenses</w:t>
      </w:r>
      <w:r w:rsidRPr="00124E7F">
        <w:t xml:space="preserve"> would be in place for the purposes of assessing the costs and benefits of </w:t>
      </w:r>
      <w:r w:rsidR="00450096" w:rsidRPr="00124E7F">
        <w:t>the new fair dealing exception on education.</w:t>
      </w:r>
    </w:p>
    <w:p w14:paraId="03DE3ECD" w14:textId="2884AFEA" w:rsidR="00E67B19" w:rsidRPr="00124E7F" w:rsidRDefault="00450096" w:rsidP="00634BB4">
      <w:pPr>
        <w:pStyle w:val="EYBulletedText1"/>
      </w:pPr>
      <w:r w:rsidRPr="00124E7F">
        <w:t>Recommendation 8-2 (</w:t>
      </w:r>
      <w:r w:rsidR="009978DD" w:rsidRPr="00124E7F">
        <w:t xml:space="preserve">statutory </w:t>
      </w:r>
      <w:r w:rsidR="008D7BC8" w:rsidRPr="00124E7F">
        <w:t>licenses</w:t>
      </w:r>
      <w:r w:rsidR="004A3243" w:rsidRPr="00124E7F">
        <w:t xml:space="preserve"> – alternative licenses</w:t>
      </w:r>
      <w:r w:rsidRPr="00124E7F">
        <w:t xml:space="preserve">) clarifies </w:t>
      </w:r>
      <w:r w:rsidR="00E67B19" w:rsidRPr="00124E7F">
        <w:t>existing law</w:t>
      </w:r>
      <w:r w:rsidRPr="00124E7F">
        <w:t xml:space="preserve">. </w:t>
      </w:r>
      <w:r w:rsidR="00E67B19" w:rsidRPr="00124E7F">
        <w:t xml:space="preserve">As stated by the ALRC, ‘arguably, the </w:t>
      </w:r>
      <w:r w:rsidR="009978DD" w:rsidRPr="00124E7F">
        <w:t xml:space="preserve">statutory </w:t>
      </w:r>
      <w:r w:rsidR="008D7BC8" w:rsidRPr="00124E7F">
        <w:t>licenses</w:t>
      </w:r>
      <w:r w:rsidR="00E67B19" w:rsidRPr="00124E7F">
        <w:t xml:space="preserve"> are already, as a matter of law, “voluntary for users”</w:t>
      </w:r>
      <w:r w:rsidR="004A3243" w:rsidRPr="00124E7F">
        <w:t>‘.</w:t>
      </w:r>
      <w:r w:rsidR="00E67B19" w:rsidRPr="00124E7F">
        <w:rPr>
          <w:vertAlign w:val="superscript"/>
        </w:rPr>
        <w:footnoteReference w:id="22"/>
      </w:r>
    </w:p>
    <w:p w14:paraId="001BF04E" w14:textId="77777777" w:rsidR="00450096" w:rsidRPr="00124E7F" w:rsidRDefault="00450096" w:rsidP="00634BB4">
      <w:pPr>
        <w:pStyle w:val="EYBulletedText1"/>
      </w:pPr>
      <w:r w:rsidRPr="00124E7F">
        <w:t>Recommendation 8-3 (</w:t>
      </w:r>
      <w:r w:rsidR="009978DD" w:rsidRPr="00124E7F">
        <w:t xml:space="preserve">statutory </w:t>
      </w:r>
      <w:r w:rsidR="008D7BC8" w:rsidRPr="00124E7F">
        <w:t>licenses</w:t>
      </w:r>
      <w:r w:rsidR="004A3243" w:rsidRPr="00124E7F">
        <w:t xml:space="preserve"> – government</w:t>
      </w:r>
      <w:r w:rsidRPr="00124E7F">
        <w:t xml:space="preserve">) </w:t>
      </w:r>
      <w:r w:rsidR="00E67B19" w:rsidRPr="00124E7F">
        <w:t>is out of scope for the purposes of our analysis</w:t>
      </w:r>
    </w:p>
    <w:p w14:paraId="4ADE8BCB" w14:textId="77777777" w:rsidR="000811A8" w:rsidRPr="00124E7F" w:rsidRDefault="000811A8" w:rsidP="00634BB4">
      <w:pPr>
        <w:pStyle w:val="EYBulletedText1"/>
      </w:pPr>
      <w:r w:rsidRPr="00124E7F">
        <w:t>Recommendation 8-4 (</w:t>
      </w:r>
      <w:r w:rsidR="009978DD" w:rsidRPr="00124E7F">
        <w:t xml:space="preserve">statutory </w:t>
      </w:r>
      <w:r w:rsidR="008D7BC8" w:rsidRPr="00124E7F">
        <w:t>licenses</w:t>
      </w:r>
      <w:r w:rsidRPr="00124E7F">
        <w:t xml:space="preserve">) </w:t>
      </w:r>
      <w:r w:rsidR="004A3243" w:rsidRPr="00124E7F">
        <w:t xml:space="preserve">would </w:t>
      </w:r>
      <w:r w:rsidRPr="00124E7F">
        <w:t xml:space="preserve">already </w:t>
      </w:r>
      <w:r w:rsidR="004A3243" w:rsidRPr="00124E7F">
        <w:t xml:space="preserve">be </w:t>
      </w:r>
      <w:r w:rsidRPr="00124E7F">
        <w:t>in place</w:t>
      </w:r>
      <w:r w:rsidR="004A3243" w:rsidRPr="00124E7F">
        <w:t xml:space="preserve"> for the purposes of our analysis</w:t>
      </w:r>
      <w:r w:rsidR="0049114F" w:rsidRPr="00124E7F">
        <w:t xml:space="preserve"> [</w:t>
      </w:r>
      <w:r w:rsidRPr="00124E7F">
        <w:t xml:space="preserve">i.e. included in in the </w:t>
      </w:r>
      <w:r w:rsidRPr="00124E7F">
        <w:rPr>
          <w:szCs w:val="18"/>
        </w:rPr>
        <w:t>Exposure Draft – Copyright Amendment (Disability Access and Other Measures) Bill 2016</w:t>
      </w:r>
      <w:r w:rsidR="0049114F" w:rsidRPr="00124E7F">
        <w:rPr>
          <w:szCs w:val="18"/>
        </w:rPr>
        <w:t>]</w:t>
      </w:r>
    </w:p>
    <w:p w14:paraId="56A5D213" w14:textId="77777777" w:rsidR="0049114F" w:rsidRPr="00124E7F" w:rsidRDefault="00B5219B" w:rsidP="00634BB4">
      <w:pPr>
        <w:pStyle w:val="EYBulletedText1"/>
      </w:pPr>
      <w:r w:rsidRPr="00124E7F">
        <w:t>Recommendation 12-2</w:t>
      </w:r>
      <w:r w:rsidR="0049114F" w:rsidRPr="00124E7F">
        <w:t xml:space="preserve"> (libraries &amp; archives)</w:t>
      </w:r>
      <w:r w:rsidRPr="00124E7F">
        <w:t xml:space="preserve"> </w:t>
      </w:r>
      <w:r w:rsidR="004A3243" w:rsidRPr="00124E7F">
        <w:t>would already be in place for the purposes of our analysis</w:t>
      </w:r>
      <w:r w:rsidR="004A3243" w:rsidRPr="00124E7F" w:rsidDel="004A3243">
        <w:t xml:space="preserve"> </w:t>
      </w:r>
      <w:r w:rsidR="0049114F" w:rsidRPr="00124E7F">
        <w:t xml:space="preserve">[i.e. included in in the </w:t>
      </w:r>
      <w:r w:rsidR="0049114F" w:rsidRPr="00124E7F">
        <w:rPr>
          <w:szCs w:val="18"/>
        </w:rPr>
        <w:t>Exposure Draft – Copyright Amendment (Disability Access and Other Measures) Bill 2016]</w:t>
      </w:r>
    </w:p>
    <w:p w14:paraId="3278F746" w14:textId="77777777" w:rsidR="00137CD5" w:rsidRPr="00124E7F" w:rsidRDefault="00137CD5" w:rsidP="00634BB4">
      <w:pPr>
        <w:pStyle w:val="EYBulletedText1"/>
      </w:pPr>
      <w:r w:rsidRPr="00124E7F">
        <w:t xml:space="preserve">Recommendation 16-1 (access for people with disability) </w:t>
      </w:r>
      <w:r w:rsidR="004A3243" w:rsidRPr="00124E7F">
        <w:t xml:space="preserve">would already be in place for the purposes of our analysis </w:t>
      </w:r>
      <w:r w:rsidRPr="00124E7F">
        <w:t xml:space="preserve">[i.e. included in in the </w:t>
      </w:r>
      <w:r w:rsidRPr="00124E7F">
        <w:rPr>
          <w:szCs w:val="18"/>
        </w:rPr>
        <w:t>Exposure Draft – Copyright Amendment (Disability Access and Other Measures)</w:t>
      </w:r>
      <w:r w:rsidR="004A3243" w:rsidRPr="00124E7F">
        <w:rPr>
          <w:szCs w:val="18"/>
        </w:rPr>
        <w:t xml:space="preserve"> Bill 2016]</w:t>
      </w:r>
    </w:p>
    <w:p w14:paraId="65B30022" w14:textId="77777777" w:rsidR="00CD2FF6" w:rsidRPr="00124E7F" w:rsidRDefault="00A44AEF" w:rsidP="00634BB4">
      <w:pPr>
        <w:pStyle w:val="EYBulletedText1"/>
      </w:pPr>
      <w:r w:rsidRPr="00124E7F">
        <w:t>The n</w:t>
      </w:r>
      <w:r w:rsidR="00CD2FF6" w:rsidRPr="00124E7F">
        <w:t xml:space="preserve">ew fair dealing exceptions would be </w:t>
      </w:r>
      <w:r w:rsidRPr="00124E7F">
        <w:t xml:space="preserve">broader, </w:t>
      </w:r>
      <w:r w:rsidR="00CD2FF6" w:rsidRPr="00124E7F">
        <w:t xml:space="preserve">more flexible and technology neutral compared to existing prescriptive exceptions. </w:t>
      </w:r>
      <w:r w:rsidRPr="00124E7F">
        <w:t xml:space="preserve">Where fair use has illustrative purposes that mirror new fair dealing exceptions, </w:t>
      </w:r>
      <w:r w:rsidR="006C464A" w:rsidRPr="00124E7F">
        <w:t>many of the impacts would be expected to be the same</w:t>
      </w:r>
      <w:r w:rsidRPr="00124E7F">
        <w:t xml:space="preserve">. </w:t>
      </w:r>
      <w:r w:rsidR="00CD2FF6" w:rsidRPr="00124E7F">
        <w:t xml:space="preserve">As quoted by the ALRC, </w:t>
      </w:r>
    </w:p>
    <w:p w14:paraId="1F19120A" w14:textId="77777777" w:rsidR="00CD2FF6" w:rsidRPr="00124E7F" w:rsidRDefault="00CD2FF6" w:rsidP="004F2DDB">
      <w:pPr>
        <w:pStyle w:val="AABullet1"/>
        <w:numPr>
          <w:ilvl w:val="0"/>
          <w:numId w:val="0"/>
        </w:numPr>
        <w:spacing w:line="276" w:lineRule="auto"/>
        <w:ind w:left="426"/>
        <w:rPr>
          <w:i/>
          <w:szCs w:val="22"/>
        </w:rPr>
      </w:pPr>
      <w:r w:rsidRPr="00124E7F">
        <w:rPr>
          <w:i/>
          <w:szCs w:val="22"/>
        </w:rPr>
        <w:t>Many of the benefits of fair use would also apply to a confined fair dealing exception. They are both flexible standards, rather than prescriptive rules. They both call for an assessment of the fairness of particular uses of copyright material. In assessing fairness, they both require the same important questions of any given un</w:t>
      </w:r>
      <w:r w:rsidR="005D236A" w:rsidRPr="00124E7F">
        <w:rPr>
          <w:i/>
          <w:szCs w:val="22"/>
        </w:rPr>
        <w:t>licens</w:t>
      </w:r>
      <w:r w:rsidR="007D4AFF" w:rsidRPr="00124E7F">
        <w:rPr>
          <w:i/>
          <w:szCs w:val="22"/>
        </w:rPr>
        <w:t>e</w:t>
      </w:r>
      <w:r w:rsidRPr="00124E7F">
        <w:rPr>
          <w:i/>
          <w:szCs w:val="22"/>
        </w:rPr>
        <w:t>d use, when deciding whether it infringes copyright.</w:t>
      </w:r>
      <w:r w:rsidR="00A44AEF" w:rsidRPr="00124E7F">
        <w:rPr>
          <w:szCs w:val="22"/>
          <w:vertAlign w:val="superscript"/>
        </w:rPr>
        <w:footnoteReference w:id="23"/>
      </w:r>
    </w:p>
    <w:p w14:paraId="1FD5BC83" w14:textId="77777777" w:rsidR="00CD2FF6" w:rsidRPr="00124E7F" w:rsidRDefault="00A44AEF" w:rsidP="007242AD">
      <w:pPr>
        <w:pStyle w:val="AABullet1"/>
        <w:numPr>
          <w:ilvl w:val="0"/>
          <w:numId w:val="0"/>
        </w:numPr>
        <w:spacing w:after="240" w:line="276" w:lineRule="auto"/>
        <w:ind w:left="425"/>
        <w:rPr>
          <w:i/>
          <w:szCs w:val="22"/>
        </w:rPr>
      </w:pPr>
      <w:r w:rsidRPr="00124E7F">
        <w:rPr>
          <w:i/>
          <w:szCs w:val="22"/>
        </w:rPr>
        <w:t>An exception for fair dealing for non-commercial private use, for example, would not need to be amended to account for the fact that consumers now use tablets and store purchase copies of copyright material in personal digital lockers in the clouds.</w:t>
      </w:r>
      <w:r w:rsidRPr="00124E7F">
        <w:rPr>
          <w:szCs w:val="22"/>
          <w:vertAlign w:val="superscript"/>
        </w:rPr>
        <w:footnoteReference w:id="24"/>
      </w:r>
    </w:p>
    <w:p w14:paraId="65ADADE0" w14:textId="77777777" w:rsidR="003E317F" w:rsidRPr="00202E68" w:rsidRDefault="003E317F" w:rsidP="00536578">
      <w:pPr>
        <w:pStyle w:val="EYHeading1"/>
        <w:rPr>
          <w:color w:val="auto"/>
        </w:rPr>
      </w:pPr>
      <w:bookmarkStart w:id="84" w:name="_Toc451769109"/>
      <w:bookmarkStart w:id="85" w:name="_Toc467768606"/>
      <w:bookmarkStart w:id="86" w:name="_Toc467768658"/>
      <w:bookmarkStart w:id="87" w:name="_Toc467768950"/>
      <w:bookmarkStart w:id="88" w:name="_Toc469644736"/>
      <w:r w:rsidRPr="00202E68">
        <w:rPr>
          <w:color w:val="auto"/>
        </w:rPr>
        <w:t>Impact of fair dealing exception</w:t>
      </w:r>
      <w:r w:rsidR="00A30052" w:rsidRPr="00202E68">
        <w:rPr>
          <w:color w:val="auto"/>
        </w:rPr>
        <w:t>s</w:t>
      </w:r>
      <w:bookmarkEnd w:id="84"/>
      <w:bookmarkEnd w:id="85"/>
      <w:bookmarkEnd w:id="86"/>
      <w:bookmarkEnd w:id="87"/>
      <w:bookmarkEnd w:id="88"/>
      <w:r w:rsidRPr="00202E68">
        <w:rPr>
          <w:color w:val="auto"/>
        </w:rPr>
        <w:t xml:space="preserve"> </w:t>
      </w:r>
    </w:p>
    <w:p w14:paraId="52F464BB" w14:textId="77777777" w:rsidR="00B264BF" w:rsidRPr="004213AE" w:rsidRDefault="003E317F" w:rsidP="0014359B">
      <w:pPr>
        <w:pStyle w:val="EYHeading2"/>
        <w:tabs>
          <w:tab w:val="clear" w:pos="0"/>
        </w:tabs>
      </w:pPr>
      <w:bookmarkStart w:id="89" w:name="_Toc451769110"/>
      <w:bookmarkStart w:id="90" w:name="_Toc467768607"/>
      <w:bookmarkStart w:id="91" w:name="_Toc467768659"/>
      <w:bookmarkStart w:id="92" w:name="_Toc467768951"/>
      <w:bookmarkStart w:id="93" w:name="_Toc467769080"/>
      <w:bookmarkStart w:id="94" w:name="_Toc469644737"/>
      <w:r w:rsidRPr="004213AE">
        <w:t>Quotation</w:t>
      </w:r>
      <w:bookmarkEnd w:id="89"/>
      <w:bookmarkEnd w:id="90"/>
      <w:bookmarkEnd w:id="91"/>
      <w:bookmarkEnd w:id="92"/>
      <w:bookmarkEnd w:id="93"/>
      <w:bookmarkEnd w:id="94"/>
    </w:p>
    <w:p w14:paraId="04C94B87" w14:textId="77777777" w:rsidR="009D0330" w:rsidRPr="00124E7F" w:rsidRDefault="00FB15C9" w:rsidP="006C5865">
      <w:pPr>
        <w:pStyle w:val="EYHeading3"/>
      </w:pPr>
      <w:r w:rsidRPr="00124E7F">
        <w:t>What is quotation</w:t>
      </w:r>
    </w:p>
    <w:p w14:paraId="39633B9B" w14:textId="77777777" w:rsidR="00FB15C9" w:rsidRPr="00124E7F" w:rsidRDefault="009D0330" w:rsidP="006C5865">
      <w:pPr>
        <w:pStyle w:val="EYBodytextwithparaspace"/>
      </w:pPr>
      <w:r w:rsidRPr="00124E7F">
        <w:t>Quotation is not defined by the Copyright Act. For this reason, the ALRC has referred to international copyright law to describe quotation as the ‘taking of some part of a greater whole – a group of words from a text or a speech, a musical passage or visual image taken from a piece of music or a work of art – where the taking is done by someone other than the creator of the work’</w:t>
      </w:r>
      <w:r w:rsidR="002D4075" w:rsidRPr="00124E7F">
        <w:t>.</w:t>
      </w:r>
      <w:r w:rsidRPr="00124E7F">
        <w:rPr>
          <w:vertAlign w:val="superscript"/>
        </w:rPr>
        <w:footnoteReference w:id="25"/>
      </w:r>
    </w:p>
    <w:p w14:paraId="2EF280AD" w14:textId="77777777" w:rsidR="009D0330" w:rsidRPr="00124E7F" w:rsidRDefault="00FB15C9" w:rsidP="006C5865">
      <w:pPr>
        <w:pStyle w:val="EYBodytextwithparaspace"/>
      </w:pPr>
      <w:r w:rsidRPr="00124E7F">
        <w:t>I</w:t>
      </w:r>
      <w:r w:rsidR="009D0330" w:rsidRPr="00124E7F">
        <w:t>nternational case law has resulted in a number of useful parameters that may be placed around the use of the term. For example, in Germany, where a quotation exception is in place, courts have stated that (amongst other things):</w:t>
      </w:r>
    </w:p>
    <w:p w14:paraId="283F3EBF" w14:textId="77777777" w:rsidR="00FB15C9" w:rsidRPr="00124E7F" w:rsidRDefault="009D0330" w:rsidP="0014223B">
      <w:pPr>
        <w:pStyle w:val="EYIndent1"/>
        <w:spacing w:before="120" w:after="120"/>
        <w:rPr>
          <w:i/>
        </w:rPr>
      </w:pPr>
      <w:r w:rsidRPr="00124E7F">
        <w:rPr>
          <w:i/>
        </w:rPr>
        <w:t>The quotation must further the discourse of the quoting work; it must be there to make a point. This in turn indicates that the quoting work must have its own intellectual structure and integrity, into which the quotation can be placed.</w:t>
      </w:r>
      <w:r w:rsidRPr="00124E7F">
        <w:rPr>
          <w:i/>
          <w:vertAlign w:val="superscript"/>
        </w:rPr>
        <w:footnoteReference w:id="26"/>
      </w:r>
    </w:p>
    <w:p w14:paraId="1D56ED52" w14:textId="77777777" w:rsidR="00FB15C9" w:rsidRPr="00124E7F" w:rsidRDefault="009D0330" w:rsidP="006C5865">
      <w:pPr>
        <w:pStyle w:val="EYBodytextwithparaspace"/>
      </w:pPr>
      <w:r w:rsidRPr="00124E7F">
        <w:t xml:space="preserve">Interpreted in the context of the above, quotation can be seen as belonging to the so-called ‘transformative uses’ of </w:t>
      </w:r>
      <w:r w:rsidR="00FB15C9" w:rsidRPr="00124E7F">
        <w:t xml:space="preserve">copyright material. </w:t>
      </w:r>
      <w:r w:rsidR="008B7A01" w:rsidRPr="00124E7F">
        <w:t>That is, when</w:t>
      </w:r>
      <w:r w:rsidR="00FB15C9" w:rsidRPr="00124E7F">
        <w:t xml:space="preserve"> people use quotes or extracts from copyright work (e.g. books, films, music) as inputs into their own works (e.g. academic texts, biographies, documentaries, blogs and social media). </w:t>
      </w:r>
    </w:p>
    <w:p w14:paraId="2ADB24A7" w14:textId="77777777" w:rsidR="00A07F76" w:rsidRPr="00124E7F" w:rsidRDefault="00A07F76" w:rsidP="006C5865">
      <w:pPr>
        <w:pStyle w:val="EYHeading3"/>
      </w:pPr>
      <w:r w:rsidRPr="00124E7F">
        <w:t>Current law</w:t>
      </w:r>
    </w:p>
    <w:p w14:paraId="3419E78C" w14:textId="77777777" w:rsidR="00D65268" w:rsidRPr="00124E7F" w:rsidRDefault="00BC72F2" w:rsidP="006C5865">
      <w:pPr>
        <w:pStyle w:val="EYBodytextwithparaspace"/>
      </w:pPr>
      <w:r w:rsidRPr="00124E7F">
        <w:t>In Australia, whether a person requires permission to use quotes and extracts depends on whether or not a ‘substantial part’ of a work is used in one of the ways exclusively re</w:t>
      </w:r>
      <w:r w:rsidR="00D65268" w:rsidRPr="00124E7F">
        <w:t xml:space="preserve">served for </w:t>
      </w:r>
      <w:r w:rsidR="00DC017F" w:rsidRPr="00124E7F">
        <w:t>right</w:t>
      </w:r>
      <w:r w:rsidR="006B2E08" w:rsidRPr="00124E7F">
        <w:t>s</w:t>
      </w:r>
      <w:r w:rsidR="00DC017F" w:rsidRPr="00124E7F">
        <w:t xml:space="preserve"> holder</w:t>
      </w:r>
      <w:r w:rsidR="00C546DD" w:rsidRPr="00124E7F">
        <w:t>s</w:t>
      </w:r>
      <w:r w:rsidR="00D65268" w:rsidRPr="00124E7F">
        <w:t xml:space="preserve">. </w:t>
      </w:r>
      <w:r w:rsidR="0082602E" w:rsidRPr="00124E7F">
        <w:t>I</w:t>
      </w:r>
      <w:r w:rsidR="00D65268" w:rsidRPr="00124E7F">
        <w:t>n determining whether the part taken is substantial</w:t>
      </w:r>
      <w:r w:rsidR="0082602E" w:rsidRPr="00124E7F">
        <w:t>,</w:t>
      </w:r>
      <w:r w:rsidR="00D65268" w:rsidRPr="00124E7F">
        <w:t xml:space="preserve"> the quality of the part has been held to be more important than the quantity.</w:t>
      </w:r>
      <w:r w:rsidR="00293271" w:rsidRPr="00124E7F">
        <w:t xml:space="preserve"> </w:t>
      </w:r>
      <w:r w:rsidR="0082602E" w:rsidRPr="00124E7F">
        <w:t xml:space="preserve">For example, in the case of EMI Songs Australia Pty Ltd v Larrikin Music Publishing Pty Ltd. Judge Emmett J stated that </w:t>
      </w:r>
      <w:r w:rsidR="00293271" w:rsidRPr="00124E7F">
        <w:t>“</w:t>
      </w:r>
      <w:r w:rsidR="0082602E" w:rsidRPr="00124E7F">
        <w:t xml:space="preserve">whether </w:t>
      </w:r>
      <w:r w:rsidR="00293271" w:rsidRPr="00124E7F">
        <w:t xml:space="preserve">he [an </w:t>
      </w:r>
      <w:r w:rsidR="0082602E" w:rsidRPr="00124E7F">
        <w:t>alleged infringer</w:t>
      </w:r>
      <w:r w:rsidR="00293271" w:rsidRPr="00124E7F">
        <w:t>]</w:t>
      </w:r>
      <w:r w:rsidR="0082602E" w:rsidRPr="00124E7F">
        <w:t xml:space="preserve"> has copied a substantial part depends much more on the quality than on the quantity of what has been taken</w:t>
      </w:r>
      <w:r w:rsidR="00293271" w:rsidRPr="00124E7F">
        <w:t>”</w:t>
      </w:r>
      <w:r w:rsidR="00E71A2A" w:rsidRPr="00124E7F">
        <w:t>.</w:t>
      </w:r>
      <w:r w:rsidR="0082602E" w:rsidRPr="00124E7F">
        <w:rPr>
          <w:vertAlign w:val="superscript"/>
        </w:rPr>
        <w:footnoteReference w:id="27"/>
      </w:r>
      <w:r w:rsidR="0082602E" w:rsidRPr="00124E7F">
        <w:t xml:space="preserve"> According to guidance provided by the Australian Copyright Council</w:t>
      </w:r>
      <w:r w:rsidR="00FB15C9" w:rsidRPr="00124E7F">
        <w:t xml:space="preserve">, </w:t>
      </w:r>
      <w:r w:rsidR="00D65268" w:rsidRPr="00124E7F">
        <w:t>‘</w:t>
      </w:r>
      <w:r w:rsidR="00DC017F" w:rsidRPr="00124E7F">
        <w:t>a part may be considered “substantial”</w:t>
      </w:r>
      <w:r w:rsidR="00D65268" w:rsidRPr="00124E7F">
        <w:t xml:space="preserve"> if </w:t>
      </w:r>
      <w:r w:rsidR="00C546DD" w:rsidRPr="00124E7F">
        <w:t xml:space="preserve">it </w:t>
      </w:r>
      <w:r w:rsidR="00D65268" w:rsidRPr="00124E7F">
        <w:t>is an important, essential or distinctive part’.</w:t>
      </w:r>
      <w:r w:rsidR="00FB15C9" w:rsidRPr="00124E7F">
        <w:rPr>
          <w:vertAlign w:val="superscript"/>
        </w:rPr>
        <w:footnoteReference w:id="28"/>
      </w:r>
    </w:p>
    <w:p w14:paraId="60D4A745" w14:textId="77777777" w:rsidR="00DC017F" w:rsidRPr="00124E7F" w:rsidRDefault="00FB15C9" w:rsidP="006C5865">
      <w:pPr>
        <w:pStyle w:val="EYBodytextwithparaspace"/>
      </w:pPr>
      <w:r w:rsidRPr="00124E7F">
        <w:t xml:space="preserve">If a substantial part of copyright content is quoted or extracted, infringement will generally occur unless the use is covered incidentally by </w:t>
      </w:r>
      <w:r w:rsidR="00C546DD" w:rsidRPr="00124E7F">
        <w:t xml:space="preserve">one of the </w:t>
      </w:r>
      <w:r w:rsidRPr="00124E7F">
        <w:t xml:space="preserve">current fair dealing exceptions for research or study; criticism or review; parody or satire; reporting and news; and legal practitioners and advice. </w:t>
      </w:r>
      <w:r w:rsidR="00D65268" w:rsidRPr="00124E7F">
        <w:t xml:space="preserve">However, even if a particular use falls under one of </w:t>
      </w:r>
      <w:r w:rsidR="008B7A01" w:rsidRPr="00124E7F">
        <w:t>the</w:t>
      </w:r>
      <w:r w:rsidR="00D65268" w:rsidRPr="00124E7F">
        <w:t xml:space="preserve"> fair dealing exceptions, the use must also be deemed to be ‘fair’. </w:t>
      </w:r>
    </w:p>
    <w:p w14:paraId="5921F1DC" w14:textId="77777777" w:rsidR="00FB15C9" w:rsidRPr="00124E7F" w:rsidRDefault="00D65268" w:rsidP="006C5865">
      <w:pPr>
        <w:pStyle w:val="EYBodytextwithparaspace"/>
      </w:pPr>
      <w:r w:rsidRPr="00124E7F">
        <w:t xml:space="preserve">The fairness inquiry </w:t>
      </w:r>
      <w:r w:rsidR="00DC017F" w:rsidRPr="00124E7F">
        <w:t>will differ</w:t>
      </w:r>
      <w:r w:rsidRPr="00124E7F">
        <w:t xml:space="preserve"> </w:t>
      </w:r>
      <w:r w:rsidR="00DC017F" w:rsidRPr="00124E7F">
        <w:t>case by case.</w:t>
      </w:r>
      <w:r w:rsidRPr="00124E7F">
        <w:t xml:space="preserve"> </w:t>
      </w:r>
      <w:r w:rsidR="00DC017F" w:rsidRPr="00124E7F">
        <w:t>H</w:t>
      </w:r>
      <w:r w:rsidRPr="00124E7F">
        <w:t>owever, it generally needs to be answered in consideration of factors su</w:t>
      </w:r>
      <w:r w:rsidR="00DC017F" w:rsidRPr="00124E7F">
        <w:t xml:space="preserve">ch as </w:t>
      </w:r>
      <w:r w:rsidR="00FB15C9" w:rsidRPr="00124E7F">
        <w:t>‘whether the source work is published or otherwise available to the public, the context of the taking, and the interference with the copyright owners’ financial interests’</w:t>
      </w:r>
      <w:r w:rsidR="002D4075" w:rsidRPr="00124E7F">
        <w:t>.</w:t>
      </w:r>
      <w:r w:rsidR="00FB15C9" w:rsidRPr="00124E7F">
        <w:rPr>
          <w:vertAlign w:val="superscript"/>
        </w:rPr>
        <w:footnoteReference w:id="29"/>
      </w:r>
      <w:r w:rsidR="00FB15C9" w:rsidRPr="00124E7F">
        <w:t xml:space="preserve"> Research and study has a specific list of five factors</w:t>
      </w:r>
      <w:r w:rsidR="008B7A01" w:rsidRPr="00124E7F">
        <w:t xml:space="preserve"> to guide the fairness inquiry – i.e.</w:t>
      </w:r>
      <w:r w:rsidR="00DC017F" w:rsidRPr="00124E7F">
        <w:t xml:space="preserve"> </w:t>
      </w:r>
      <w:r w:rsidR="00FB15C9" w:rsidRPr="00124E7F">
        <w:t xml:space="preserve">the purpose and character of a dealing; the nature of the work; possibility of obtaining the work; potential market impact; and amount and substantiality. </w:t>
      </w:r>
    </w:p>
    <w:p w14:paraId="06485F11" w14:textId="77777777" w:rsidR="00FB15C9" w:rsidRPr="00124E7F" w:rsidRDefault="009A00B2" w:rsidP="00536578">
      <w:pPr>
        <w:pStyle w:val="EYHeading3"/>
      </w:pPr>
      <w:r w:rsidRPr="00124E7F">
        <w:t>The problem</w:t>
      </w:r>
    </w:p>
    <w:p w14:paraId="2173AFFF" w14:textId="77777777" w:rsidR="003B3FB5" w:rsidRPr="00124E7F" w:rsidRDefault="003A4AF3" w:rsidP="006C5865">
      <w:pPr>
        <w:pStyle w:val="EYBodytextwithparaspace"/>
      </w:pPr>
      <w:r w:rsidRPr="00124E7F">
        <w:t>The ALRC found current arrangements to be insufficiently flexibl</w:t>
      </w:r>
      <w:r w:rsidR="00293271" w:rsidRPr="00124E7F">
        <w:t>e</w:t>
      </w:r>
      <w:r w:rsidR="008C6D26" w:rsidRPr="00124E7F">
        <w:t xml:space="preserve"> to support copyright users. </w:t>
      </w:r>
      <w:r w:rsidRPr="00124E7F">
        <w:t xml:space="preserve">arguing that </w:t>
      </w:r>
      <w:r w:rsidR="003B3FB5" w:rsidRPr="00124E7F">
        <w:t>‘</w:t>
      </w:r>
      <w:r w:rsidRPr="00124E7F">
        <w:t xml:space="preserve">there are many examples of uses that </w:t>
      </w:r>
      <w:r w:rsidR="003B3FB5" w:rsidRPr="00124E7F">
        <w:t>may be considered fair but are not covered by existing exceptions, and the substantiality principle is insufficient to protect these uses’</w:t>
      </w:r>
      <w:r w:rsidR="002D4075" w:rsidRPr="00124E7F">
        <w:t>.</w:t>
      </w:r>
      <w:r w:rsidR="003B3FB5" w:rsidRPr="00124E7F">
        <w:rPr>
          <w:vertAlign w:val="superscript"/>
        </w:rPr>
        <w:footnoteReference w:id="30"/>
      </w:r>
    </w:p>
    <w:p w14:paraId="6E33928A" w14:textId="77777777" w:rsidR="003B3FB5" w:rsidRPr="00124E7F" w:rsidRDefault="002D6A95" w:rsidP="006C5865">
      <w:pPr>
        <w:pStyle w:val="EYBodytextwithparaspace"/>
      </w:pPr>
      <w:r w:rsidRPr="00124E7F">
        <w:fldChar w:fldCharType="begin"/>
      </w:r>
      <w:r w:rsidRPr="00124E7F">
        <w:instrText xml:space="preserve"> REF _Ref467509889 \h </w:instrText>
      </w:r>
      <w:r w:rsidR="0045000B" w:rsidRPr="00124E7F">
        <w:instrText xml:space="preserve"> \* MERGEFORMAT </w:instrText>
      </w:r>
      <w:r w:rsidRPr="00124E7F">
        <w:fldChar w:fldCharType="separate"/>
      </w:r>
      <w:r w:rsidR="0075700D" w:rsidRPr="00124E7F">
        <w:t xml:space="preserve">Box </w:t>
      </w:r>
      <w:r w:rsidR="0075700D">
        <w:rPr>
          <w:noProof/>
        </w:rPr>
        <w:t>2</w:t>
      </w:r>
      <w:r w:rsidRPr="00124E7F">
        <w:fldChar w:fldCharType="end"/>
      </w:r>
      <w:r w:rsidRPr="00124E7F">
        <w:t xml:space="preserve"> </w:t>
      </w:r>
      <w:r w:rsidR="003B3FB5" w:rsidRPr="00124E7F">
        <w:t xml:space="preserve">provides a number of examples of quotation not currently covered by fair dealing exceptions where submissions to the ALRC have highlighted potential gaps. According to the ALRC, this is largely the result of a ‘lack of foresight’ in the </w:t>
      </w:r>
      <w:r w:rsidR="006C464A" w:rsidRPr="00124E7F">
        <w:t>drafting of existing provisions. For example:</w:t>
      </w:r>
    </w:p>
    <w:p w14:paraId="4B89AE38" w14:textId="77777777" w:rsidR="003B3FB5" w:rsidRPr="00124E7F" w:rsidRDefault="006C464A" w:rsidP="006C5865">
      <w:pPr>
        <w:pStyle w:val="EYIndent1"/>
        <w:rPr>
          <w:i/>
        </w:rPr>
      </w:pPr>
      <w:r w:rsidRPr="00124E7F">
        <w:rPr>
          <w:i/>
        </w:rPr>
        <w:t>T</w:t>
      </w:r>
      <w:r w:rsidR="003B3FB5" w:rsidRPr="00124E7F">
        <w:rPr>
          <w:i/>
        </w:rPr>
        <w:t>he reason quotation from a book cannot be used in the course of reviewing film is that the relevant fair dealing exception only applies where the criticism or review is of that work or another work, and ‘work’ specifically does not include a ‘cinematograph film’.</w:t>
      </w:r>
      <w:r w:rsidR="003B3FB5" w:rsidRPr="00124E7F">
        <w:rPr>
          <w:i/>
          <w:vertAlign w:val="superscript"/>
        </w:rPr>
        <w:footnoteReference w:id="31"/>
      </w:r>
    </w:p>
    <w:p w14:paraId="7BED7E5F" w14:textId="77777777" w:rsidR="003B3FB5" w:rsidRPr="00124E7F" w:rsidRDefault="003B3FB5" w:rsidP="006C5865">
      <w:pPr>
        <w:pStyle w:val="EYBodytextwithparaspace"/>
      </w:pPr>
      <w:r w:rsidRPr="00124E7F">
        <w:t>A second problem raised by the ALRC, i</w:t>
      </w:r>
      <w:r w:rsidR="009C6310" w:rsidRPr="00124E7F">
        <w:t>s the ‘purpose-based’ or ‘close</w:t>
      </w:r>
      <w:r w:rsidRPr="00124E7F">
        <w:t xml:space="preserve"> ended’ nature of the existing provisions. </w:t>
      </w:r>
      <w:r w:rsidR="006C464A" w:rsidRPr="00124E7F">
        <w:t>For example:</w:t>
      </w:r>
    </w:p>
    <w:p w14:paraId="6115EF28" w14:textId="77777777" w:rsidR="002C267F" w:rsidRPr="00124E7F" w:rsidRDefault="006C464A" w:rsidP="002C267F">
      <w:pPr>
        <w:pStyle w:val="EYIndent1"/>
        <w:rPr>
          <w:i/>
        </w:rPr>
      </w:pPr>
      <w:r w:rsidRPr="00124E7F">
        <w:rPr>
          <w:i/>
        </w:rPr>
        <w:t>I</w:t>
      </w:r>
      <w:r w:rsidR="003B3FB5" w:rsidRPr="00124E7F">
        <w:rPr>
          <w:i/>
        </w:rPr>
        <w:t xml:space="preserve">n many cases, quotations will not be directly for ‘criticism or review’ or ‘research or study’, but for other purposes, such as academic publication, that </w:t>
      </w:r>
      <w:r w:rsidR="002D4075" w:rsidRPr="00124E7F">
        <w:rPr>
          <w:i/>
        </w:rPr>
        <w:t>serve important public interests</w:t>
      </w:r>
      <w:r w:rsidR="003B3FB5" w:rsidRPr="00124E7F">
        <w:rPr>
          <w:i/>
        </w:rPr>
        <w:t>.</w:t>
      </w:r>
      <w:r w:rsidR="003B3FB5" w:rsidRPr="00124E7F">
        <w:rPr>
          <w:i/>
          <w:vertAlign w:val="superscript"/>
        </w:rPr>
        <w:footnoteReference w:id="32"/>
      </w:r>
    </w:p>
    <w:p w14:paraId="2184BA0F" w14:textId="77777777" w:rsidR="003B3FB5" w:rsidRPr="00124E7F" w:rsidRDefault="00E90421" w:rsidP="00E90421">
      <w:pPr>
        <w:pStyle w:val="Caption"/>
        <w:pBdr>
          <w:top w:val="single" w:sz="4" w:space="1" w:color="808080" w:themeColor="background1" w:themeShade="80"/>
        </w:pBdr>
      </w:pPr>
      <w:bookmarkStart w:id="95" w:name="_Ref467501700"/>
      <w:bookmarkStart w:id="96" w:name="_Ref467509889"/>
      <w:r w:rsidRPr="00124E7F">
        <w:t xml:space="preserve">Box </w:t>
      </w:r>
      <w:r w:rsidRPr="00124E7F">
        <w:fldChar w:fldCharType="begin"/>
      </w:r>
      <w:r w:rsidRPr="00124E7F">
        <w:instrText xml:space="preserve"> SEQ Box \* ARABIC </w:instrText>
      </w:r>
      <w:r w:rsidRPr="00124E7F">
        <w:fldChar w:fldCharType="separate"/>
      </w:r>
      <w:r w:rsidR="0075700D">
        <w:rPr>
          <w:noProof/>
        </w:rPr>
        <w:t>2</w:t>
      </w:r>
      <w:r w:rsidRPr="00124E7F">
        <w:fldChar w:fldCharType="end"/>
      </w:r>
      <w:bookmarkEnd w:id="95"/>
      <w:bookmarkEnd w:id="96"/>
      <w:r w:rsidR="00D3336D" w:rsidRPr="00124E7F">
        <w:t>: Examples of quotation not covered by fair dealing exceptions</w:t>
      </w:r>
    </w:p>
    <w:p w14:paraId="7BE293D5" w14:textId="77777777" w:rsidR="00B1160D" w:rsidRPr="00124E7F" w:rsidRDefault="00B1160D" w:rsidP="002C267F">
      <w:pPr>
        <w:pStyle w:val="EYBulletedText1"/>
        <w:spacing w:after="120" w:line="240" w:lineRule="auto"/>
      </w:pPr>
      <w:r w:rsidRPr="00124E7F">
        <w:t>Use of images in a presentation or seminar to illustrate a point being made</w:t>
      </w:r>
    </w:p>
    <w:p w14:paraId="3E4E5009" w14:textId="77777777" w:rsidR="00B1160D" w:rsidRPr="00124E7F" w:rsidRDefault="00B1160D" w:rsidP="002C267F">
      <w:pPr>
        <w:pStyle w:val="EYBulletedText1"/>
        <w:spacing w:after="120" w:line="240" w:lineRule="auto"/>
      </w:pPr>
      <w:r w:rsidRPr="00124E7F">
        <w:t>Use of short quotations in academic publications</w:t>
      </w:r>
    </w:p>
    <w:p w14:paraId="5D613445" w14:textId="77777777" w:rsidR="00B1160D" w:rsidRPr="00124E7F" w:rsidRDefault="00B1160D" w:rsidP="002C267F">
      <w:pPr>
        <w:pStyle w:val="EYBulletedText1"/>
        <w:spacing w:after="120" w:line="240" w:lineRule="auto"/>
      </w:pPr>
      <w:r w:rsidRPr="00124E7F">
        <w:t>Reproduction of an extract from a book in the course of reviewing a film of that book</w:t>
      </w:r>
    </w:p>
    <w:p w14:paraId="751F3473" w14:textId="77777777" w:rsidR="00B1160D" w:rsidRPr="00124E7F" w:rsidRDefault="00B1160D" w:rsidP="002C267F">
      <w:pPr>
        <w:pStyle w:val="EYBulletedText1"/>
        <w:spacing w:after="120" w:line="240" w:lineRule="auto"/>
      </w:pPr>
      <w:r w:rsidRPr="00124E7F">
        <w:t>Reproduction of an extract from a play in the course of reviewing a performance of a play</w:t>
      </w:r>
    </w:p>
    <w:p w14:paraId="492C0382" w14:textId="77777777" w:rsidR="00B1160D" w:rsidRPr="00124E7F" w:rsidRDefault="00B1160D" w:rsidP="002C267F">
      <w:pPr>
        <w:pStyle w:val="EYBulletedText1"/>
        <w:spacing w:after="120" w:line="240" w:lineRule="auto"/>
      </w:pPr>
      <w:r w:rsidRPr="00124E7F">
        <w:t>Use of quotations or thumbnails in exhibition catalogues or publicity material for museums and galleries</w:t>
      </w:r>
    </w:p>
    <w:p w14:paraId="388F6313" w14:textId="77777777" w:rsidR="00B1160D" w:rsidRPr="00124E7F" w:rsidRDefault="00B1160D" w:rsidP="002C267F">
      <w:pPr>
        <w:pStyle w:val="EYBulletedText1"/>
        <w:spacing w:after="120" w:line="240" w:lineRule="auto"/>
      </w:pPr>
      <w:r w:rsidRPr="00124E7F">
        <w:t>Use of quotations as epigrams at the beginning of novels; and</w:t>
      </w:r>
    </w:p>
    <w:p w14:paraId="6FD8A95D" w14:textId="77777777" w:rsidR="00DE543E" w:rsidRPr="00124E7F" w:rsidRDefault="00B1160D" w:rsidP="002C267F">
      <w:pPr>
        <w:pStyle w:val="EYBulletedText1"/>
        <w:pBdr>
          <w:bottom w:val="single" w:sz="4" w:space="1" w:color="808080" w:themeColor="background1" w:themeShade="80"/>
        </w:pBdr>
        <w:spacing w:after="120" w:line="240" w:lineRule="auto"/>
      </w:pPr>
      <w:r w:rsidRPr="00124E7F">
        <w:t xml:space="preserve">Use of quotations in a range of artistic practices such as ‘sampling’, ‘mashups’ and ‘remixes’. </w:t>
      </w:r>
    </w:p>
    <w:p w14:paraId="65E65057" w14:textId="77777777" w:rsidR="003B3FB5" w:rsidRPr="00124E7F" w:rsidRDefault="003B3FB5" w:rsidP="006C5865">
      <w:pPr>
        <w:pStyle w:val="EYSource"/>
        <w:rPr>
          <w:sz w:val="20"/>
          <w:szCs w:val="20"/>
        </w:rPr>
      </w:pPr>
      <w:r w:rsidRPr="00124E7F">
        <w:rPr>
          <w:sz w:val="20"/>
          <w:szCs w:val="20"/>
        </w:rPr>
        <w:t>Source: Australian Government (2013), Copyright in the digital economy: final report, p.211.</w:t>
      </w:r>
    </w:p>
    <w:p w14:paraId="4FA507AD" w14:textId="77777777" w:rsidR="00DE543E" w:rsidRPr="00124E7F" w:rsidRDefault="00DE543E" w:rsidP="00DE543E">
      <w:pPr>
        <w:rPr>
          <w:lang w:val="en-US"/>
        </w:rPr>
      </w:pPr>
    </w:p>
    <w:p w14:paraId="09244B2C" w14:textId="77777777" w:rsidR="00910320" w:rsidRPr="00124E7F" w:rsidRDefault="003B3FB5" w:rsidP="006C5865">
      <w:pPr>
        <w:pStyle w:val="EYHeading3"/>
      </w:pPr>
      <w:r w:rsidRPr="00124E7F">
        <w:t>The policy options</w:t>
      </w:r>
    </w:p>
    <w:p w14:paraId="506489DC" w14:textId="77777777" w:rsidR="00910320" w:rsidRPr="00124E7F" w:rsidRDefault="00D4396F" w:rsidP="00F72E3A">
      <w:pPr>
        <w:pStyle w:val="EYNumber"/>
        <w:spacing w:line="276" w:lineRule="auto"/>
      </w:pPr>
      <w:r w:rsidRPr="00124E7F">
        <w:rPr>
          <w:b/>
        </w:rPr>
        <w:t>Status quo</w:t>
      </w:r>
      <w:r w:rsidR="00910320" w:rsidRPr="00124E7F">
        <w:rPr>
          <w:b/>
        </w:rPr>
        <w:t xml:space="preserve"> – Do nothing</w:t>
      </w:r>
      <w:r w:rsidR="00910320" w:rsidRPr="00124E7F">
        <w:t xml:space="preserve">. The use of quotations and extracts from a copyright work </w:t>
      </w:r>
      <w:r w:rsidR="008B7A01" w:rsidRPr="00124E7F">
        <w:t xml:space="preserve">is </w:t>
      </w:r>
      <w:r w:rsidR="00910320" w:rsidRPr="00124E7F">
        <w:t>permissible if it does not constitute a ‘substantial part’ of that work. Copyright exceptions permitting use of ‘substantial’ quotes and extracts remain limited to use for research or study; criticism or review; parody or satire; reporting and news; and legal practitioners and advice</w:t>
      </w:r>
      <w:r w:rsidR="0019135A" w:rsidRPr="00124E7F">
        <w:t>.</w:t>
      </w:r>
    </w:p>
    <w:p w14:paraId="3C09A393" w14:textId="77777777" w:rsidR="00910320" w:rsidRPr="00124E7F" w:rsidRDefault="00D4396F" w:rsidP="00F72E3A">
      <w:pPr>
        <w:pStyle w:val="EYNumber"/>
        <w:spacing w:line="276" w:lineRule="auto"/>
      </w:pPr>
      <w:r w:rsidRPr="00124E7F">
        <w:rPr>
          <w:b/>
        </w:rPr>
        <w:t>New fair dealing</w:t>
      </w:r>
      <w:r w:rsidR="00910320" w:rsidRPr="00124E7F">
        <w:rPr>
          <w:b/>
        </w:rPr>
        <w:t xml:space="preserve"> – Introduction of an exception permitting fair dealing with any extract or quotations</w:t>
      </w:r>
      <w:r w:rsidR="00910320" w:rsidRPr="00124E7F">
        <w:t>, where what is fair is judged according to four factors:</w:t>
      </w:r>
    </w:p>
    <w:p w14:paraId="58D51265" w14:textId="77777777" w:rsidR="00910320" w:rsidRPr="00124E7F" w:rsidRDefault="00910320" w:rsidP="00F72E3A">
      <w:pPr>
        <w:pStyle w:val="EYLetter"/>
        <w:spacing w:line="276" w:lineRule="auto"/>
      </w:pPr>
      <w:r w:rsidRPr="00124E7F">
        <w:t>The pu</w:t>
      </w:r>
      <w:r w:rsidR="00786E35" w:rsidRPr="00124E7F">
        <w:t>rpose and character of the use.</w:t>
      </w:r>
    </w:p>
    <w:p w14:paraId="012F9E49" w14:textId="77777777" w:rsidR="00910320" w:rsidRPr="00124E7F" w:rsidRDefault="00910320" w:rsidP="00F72E3A">
      <w:pPr>
        <w:pStyle w:val="EYLetter"/>
        <w:spacing w:line="276" w:lineRule="auto"/>
      </w:pPr>
      <w:r w:rsidRPr="00124E7F">
        <w:t xml:space="preserve">The nature of the copyright material used. </w:t>
      </w:r>
    </w:p>
    <w:p w14:paraId="1AD81816" w14:textId="77777777" w:rsidR="00B60C34" w:rsidRPr="00124E7F" w:rsidRDefault="00910320" w:rsidP="00F72E3A">
      <w:pPr>
        <w:pStyle w:val="EYLetter"/>
        <w:spacing w:line="276" w:lineRule="auto"/>
      </w:pPr>
      <w:r w:rsidRPr="00124E7F">
        <w:t xml:space="preserve">The amount and substantiality of the part used. </w:t>
      </w:r>
    </w:p>
    <w:p w14:paraId="54CC7809" w14:textId="185042F9" w:rsidR="002C267F" w:rsidRPr="00124E7F" w:rsidRDefault="00910320" w:rsidP="00202E68">
      <w:pPr>
        <w:pStyle w:val="EYLetter"/>
        <w:spacing w:after="240" w:line="276" w:lineRule="auto"/>
      </w:pPr>
      <w:r w:rsidRPr="00124E7F">
        <w:t xml:space="preserve">Effect of the use upon the market. </w:t>
      </w:r>
    </w:p>
    <w:p w14:paraId="4325C7F6" w14:textId="77777777" w:rsidR="00B60C34" w:rsidRPr="00124E7F" w:rsidRDefault="003E317F" w:rsidP="001D5569">
      <w:pPr>
        <w:pStyle w:val="EYHeading3"/>
      </w:pPr>
      <w:r w:rsidRPr="00124E7F">
        <w:t>Impact analysis</w:t>
      </w:r>
    </w:p>
    <w:p w14:paraId="1B750847" w14:textId="77777777" w:rsidR="00304D2B" w:rsidRPr="00202E68" w:rsidRDefault="00283529" w:rsidP="00304D2B">
      <w:pPr>
        <w:pStyle w:val="EYHeading4"/>
        <w:rPr>
          <w:b w:val="0"/>
        </w:rPr>
      </w:pPr>
      <w:r w:rsidRPr="00124E7F">
        <w:t>Summary</w:t>
      </w:r>
    </w:p>
    <w:p w14:paraId="73CB5273" w14:textId="77777777" w:rsidR="001A4F6A" w:rsidRPr="00202E68" w:rsidRDefault="001A4F6A" w:rsidP="00304D2B">
      <w:pPr>
        <w:pStyle w:val="EYBodytextwithparaspace"/>
        <w:spacing w:before="240" w:line="276" w:lineRule="auto"/>
        <w:rPr>
          <w:rFonts w:eastAsiaTheme="minorHAnsi" w:cstheme="minorBidi"/>
          <w:b/>
        </w:rPr>
      </w:pPr>
      <w:r w:rsidRPr="004213AE">
        <w:rPr>
          <w:rFonts w:eastAsiaTheme="minorHAnsi" w:cstheme="minorBidi"/>
          <w:b/>
        </w:rPr>
        <w:t>A fair dealing exception for quotation is associated with a small positive net benefit of around $1.5 million per annum, due to reduced transaction costs. Reduced transaction costs would be expected to increase the flexibility with which works are disseminated to the public and the value of those works to the consumer. Any downsides to rights holders are expected to be minimal, especially where use of quotations and extracts is transformative.</w:t>
      </w:r>
      <w:r w:rsidRPr="00202E68">
        <w:rPr>
          <w:rFonts w:eastAsiaTheme="minorHAnsi" w:cstheme="minorBidi"/>
          <w:b/>
        </w:rPr>
        <w:t xml:space="preserve"> </w:t>
      </w:r>
    </w:p>
    <w:p w14:paraId="5A26EAA1" w14:textId="77777777" w:rsidR="00283529" w:rsidRPr="00124E7F" w:rsidRDefault="00283529" w:rsidP="00374194">
      <w:pPr>
        <w:pStyle w:val="EYBodytextwithparaspace"/>
        <w:numPr>
          <w:ilvl w:val="0"/>
          <w:numId w:val="0"/>
        </w:numPr>
      </w:pPr>
      <w:r w:rsidRPr="004213AE">
        <w:t>The analysis estimates a saving of $1.</w:t>
      </w:r>
      <w:r w:rsidR="00601009" w:rsidRPr="004213AE">
        <w:t>6</w:t>
      </w:r>
      <w:r w:rsidRPr="004213AE">
        <w:t xml:space="preserve"> million per annum in transaction costs associated with the clearance of 7,000 less extracts for use in academic publicat</w:t>
      </w:r>
      <w:r w:rsidRPr="00124E7F">
        <w:t xml:space="preserve">ions. This is a conservative figure, as we have not been able to quantify the impact on transaction costs for non-academic and non-literary works. </w:t>
      </w:r>
    </w:p>
    <w:p w14:paraId="22040F36" w14:textId="77777777" w:rsidR="00283529" w:rsidRPr="00124E7F" w:rsidRDefault="00283529" w:rsidP="00786E35">
      <w:pPr>
        <w:pStyle w:val="EYBodytextwithparaspace"/>
      </w:pPr>
      <w:r w:rsidRPr="00124E7F">
        <w:t xml:space="preserve">Reducing transaction costs would be expected to increase the flexibility with which works are disseminated to the public. Consumers would also be expected to benefit from works with higher informative value, as the most relevant extract would be used where currently, due to high transaction costs or a lack of permission, it may not be used, or an inferior used in its place. </w:t>
      </w:r>
    </w:p>
    <w:p w14:paraId="10C8539A" w14:textId="77777777" w:rsidR="00283529" w:rsidRPr="00124E7F" w:rsidRDefault="00283529" w:rsidP="00786E35">
      <w:pPr>
        <w:pStyle w:val="EYBodytextwithparaspace"/>
      </w:pPr>
      <w:r w:rsidRPr="00124E7F">
        <w:t xml:space="preserve">The analysis estimates a transfer from individual copyright owners to </w:t>
      </w:r>
      <w:r w:rsidR="005D236A" w:rsidRPr="00124E7F">
        <w:t>licens</w:t>
      </w:r>
      <w:r w:rsidR="007D4AFF" w:rsidRPr="00124E7F">
        <w:t>e</w:t>
      </w:r>
      <w:r w:rsidRPr="00124E7F">
        <w:t xml:space="preserve">es of $123,000 per annum associated with 7,000 less extracts in academic publications requiring clearance. Given existing provisions in the Copyright Act as well as the fair dealing nature of the proposed exception, we expect costs to </w:t>
      </w:r>
      <w:proofErr w:type="spellStart"/>
      <w:r w:rsidRPr="00124E7F">
        <w:t>right</w:t>
      </w:r>
      <w:r w:rsidR="006B2E08" w:rsidRPr="00124E7F">
        <w:t>s</w:t>
      </w:r>
      <w:r w:rsidRPr="00124E7F">
        <w:t>holders</w:t>
      </w:r>
      <w:proofErr w:type="spellEnd"/>
      <w:r w:rsidRPr="00124E7F">
        <w:t xml:space="preserve"> in non-literary</w:t>
      </w:r>
      <w:r w:rsidR="006C464A" w:rsidRPr="00124E7F">
        <w:t xml:space="preserve"> and non-academic</w:t>
      </w:r>
      <w:r w:rsidRPr="00124E7F">
        <w:t xml:space="preserve"> works to be of a similar scale. </w:t>
      </w:r>
    </w:p>
    <w:p w14:paraId="703BEB45" w14:textId="77777777" w:rsidR="000635CC" w:rsidRPr="00124E7F" w:rsidRDefault="000635CC">
      <w:pPr>
        <w:widowControl/>
        <w:autoSpaceDE/>
        <w:autoSpaceDN/>
        <w:adjustRightInd/>
        <w:spacing w:line="240" w:lineRule="auto"/>
        <w:rPr>
          <w:kern w:val="12"/>
          <w:szCs w:val="24"/>
          <w:lang w:val="en-US"/>
        </w:rPr>
      </w:pPr>
      <w:r w:rsidRPr="00124E7F">
        <w:br w:type="page"/>
      </w:r>
    </w:p>
    <w:p w14:paraId="45BDBC56" w14:textId="77777777" w:rsidR="002E294A" w:rsidRPr="00124E7F" w:rsidRDefault="00283529" w:rsidP="00786E35">
      <w:pPr>
        <w:pStyle w:val="EYBodytextwithparaspace"/>
      </w:pPr>
      <w:r w:rsidRPr="00124E7F">
        <w:t xml:space="preserve">Similarly, the primary market for copyright owners would remain relatively unaffected from </w:t>
      </w:r>
      <w:r w:rsidR="00D4396F" w:rsidRPr="00124E7F">
        <w:t>the proposed exception</w:t>
      </w:r>
      <w:r w:rsidRPr="00124E7F">
        <w:t xml:space="preserve">. </w:t>
      </w:r>
      <w:r w:rsidR="00266598" w:rsidRPr="00124E7F">
        <w:t>A</w:t>
      </w:r>
      <w:r w:rsidRPr="00124E7F">
        <w:t xml:space="preserve"> quotation exception would not permit free access to original works. </w:t>
      </w:r>
      <w:r w:rsidR="00D4396F" w:rsidRPr="00124E7F">
        <w:t>Moreover, o</w:t>
      </w:r>
      <w:r w:rsidRPr="00124E7F">
        <w:t xml:space="preserve">nce lawfully acquired, quotes or extracts of original works in new works are more likely to be transformative, and thereby less likely to interfere with the market for original works. </w:t>
      </w:r>
      <w:r w:rsidR="00D4396F" w:rsidRPr="00124E7F">
        <w:t>On the contrary, t</w:t>
      </w:r>
      <w:r w:rsidRPr="00124E7F">
        <w:t xml:space="preserve">here is evidence from the music industry that increased exposure of some works </w:t>
      </w:r>
      <w:r w:rsidR="006C464A" w:rsidRPr="00124E7F">
        <w:t>can</w:t>
      </w:r>
      <w:r w:rsidRPr="00124E7F">
        <w:t xml:space="preserve"> increase sales of those works</w:t>
      </w:r>
      <w:r w:rsidR="002E294A" w:rsidRPr="00124E7F">
        <w:t>. This is particularly true for lesser known artists, increasing the contestability of the market.</w:t>
      </w:r>
    </w:p>
    <w:p w14:paraId="1AEF1C44" w14:textId="77777777" w:rsidR="00283529" w:rsidRPr="00124E7F" w:rsidRDefault="00283529" w:rsidP="00786E35">
      <w:pPr>
        <w:pStyle w:val="EYBodytextwithparaspace"/>
      </w:pPr>
      <w:r w:rsidRPr="00124E7F">
        <w:t>Given that both the primary and secondary markets for right</w:t>
      </w:r>
      <w:r w:rsidR="006B2E08" w:rsidRPr="00124E7F">
        <w:t>s</w:t>
      </w:r>
      <w:r w:rsidRPr="00124E7F">
        <w:t xml:space="preserve"> holders would be relatively unaffected by a quotation exception, any</w:t>
      </w:r>
      <w:r w:rsidR="002E294A" w:rsidRPr="00124E7F">
        <w:t xml:space="preserve"> negative</w:t>
      </w:r>
      <w:r w:rsidRPr="00124E7F">
        <w:t xml:space="preserve"> impacts on incentives to create new works </w:t>
      </w:r>
      <w:r w:rsidR="00C9702D" w:rsidRPr="00124E7F">
        <w:t>are likely to</w:t>
      </w:r>
      <w:r w:rsidRPr="00124E7F">
        <w:t xml:space="preserve"> be </w:t>
      </w:r>
      <w:r w:rsidR="002E294A" w:rsidRPr="00124E7F">
        <w:t>marginal</w:t>
      </w:r>
      <w:r w:rsidRPr="00124E7F">
        <w:t>.</w:t>
      </w:r>
      <w:r w:rsidR="002E294A" w:rsidRPr="00124E7F">
        <w:t xml:space="preserve"> </w:t>
      </w:r>
      <w:r w:rsidRPr="00124E7F">
        <w:t>This is particularly the case as follow-up creators are also users of copyright works</w:t>
      </w:r>
      <w:r w:rsidR="00D4396F" w:rsidRPr="00124E7F">
        <w:t xml:space="preserve"> and,</w:t>
      </w:r>
      <w:r w:rsidRPr="00124E7F">
        <w:t xml:space="preserve"> while an exception may decrease </w:t>
      </w:r>
      <w:r w:rsidR="005D236A" w:rsidRPr="00124E7F">
        <w:t>licens</w:t>
      </w:r>
      <w:r w:rsidR="007D4AFF" w:rsidRPr="00124E7F">
        <w:t>ing</w:t>
      </w:r>
      <w:r w:rsidRPr="00124E7F">
        <w:t xml:space="preserve"> revenues from supplying creative works</w:t>
      </w:r>
      <w:r w:rsidR="002E294A" w:rsidRPr="00124E7F">
        <w:t>,</w:t>
      </w:r>
      <w:r w:rsidRPr="00124E7F">
        <w:t xml:space="preserve"> it should also decrease the costs of supplying them.</w:t>
      </w:r>
      <w:r w:rsidR="002E294A" w:rsidRPr="00124E7F">
        <w:t xml:space="preserve"> Moreover, to the extent that an exception increases contestability in the market, this may provide incentives for new entrants into the market, and an increase in the overall supply of works. </w:t>
      </w:r>
    </w:p>
    <w:p w14:paraId="621C1B31" w14:textId="77777777" w:rsidR="00283529" w:rsidRPr="00124E7F" w:rsidRDefault="00283529" w:rsidP="00786E35">
      <w:pPr>
        <w:pStyle w:val="EYBodytextwithparaspace"/>
      </w:pPr>
      <w:r w:rsidRPr="00124E7F">
        <w:t xml:space="preserve">However, fair dealing is a flexible concept, and its limits will be ultimately determined by the courts. For this reason we cannot rule out the prospect of more significant losses for some copyright owners. Of particular concern, are the impacts on certain business models - specifically in relation to audio-visual works and sound recordings – as raised in the </w:t>
      </w:r>
      <w:proofErr w:type="gramStart"/>
      <w:r w:rsidRPr="00124E7F">
        <w:t>submissions.</w:t>
      </w:r>
      <w:proofErr w:type="gramEnd"/>
      <w:r w:rsidRPr="00124E7F">
        <w:t xml:space="preserve"> </w:t>
      </w:r>
    </w:p>
    <w:p w14:paraId="6B4C135F" w14:textId="77777777" w:rsidR="008B03A0" w:rsidRPr="00124E7F" w:rsidRDefault="00283529" w:rsidP="00F72E3A">
      <w:pPr>
        <w:pStyle w:val="EYBodytextwithparaspace"/>
      </w:pPr>
      <w:r w:rsidRPr="00124E7F">
        <w:t xml:space="preserve">Overall, Option </w:t>
      </w:r>
      <w:r w:rsidR="00601009" w:rsidRPr="00124E7F">
        <w:t xml:space="preserve">2 </w:t>
      </w:r>
      <w:r w:rsidRPr="00124E7F">
        <w:t>would give an estimated net benefit of around $1.</w:t>
      </w:r>
      <w:r w:rsidR="00601009" w:rsidRPr="00124E7F">
        <w:t>5</w:t>
      </w:r>
      <w:r w:rsidRPr="00124E7F">
        <w:t> million per annum, due to reduced transaction costs.</w:t>
      </w:r>
    </w:p>
    <w:p w14:paraId="609004EB" w14:textId="77777777" w:rsidR="00B1160D" w:rsidRPr="00124E7F" w:rsidRDefault="00B1160D" w:rsidP="00B1160D">
      <w:pPr>
        <w:pStyle w:val="Caption"/>
      </w:pPr>
      <w:r w:rsidRPr="00124E7F">
        <w:t xml:space="preserve">Table </w:t>
      </w:r>
      <w:r w:rsidRPr="00124E7F">
        <w:fldChar w:fldCharType="begin"/>
      </w:r>
      <w:r w:rsidRPr="00124E7F">
        <w:instrText xml:space="preserve"> SEQ Table \* ARABIC </w:instrText>
      </w:r>
      <w:r w:rsidRPr="00124E7F">
        <w:fldChar w:fldCharType="separate"/>
      </w:r>
      <w:r w:rsidR="0075700D">
        <w:rPr>
          <w:noProof/>
        </w:rPr>
        <w:t>3</w:t>
      </w:r>
      <w:r w:rsidRPr="00124E7F">
        <w:fldChar w:fldCharType="end"/>
      </w:r>
      <w:r w:rsidRPr="00124E7F">
        <w:t xml:space="preserve">: Summary of costs and benefits of fair dealing exception for quotation </w:t>
      </w:r>
    </w:p>
    <w:tbl>
      <w:tblPr>
        <w:tblStyle w:val="LightShading-Accent3"/>
        <w:tblW w:w="5348" w:type="pct"/>
        <w:tblBorders>
          <w:top w:val="none" w:sz="0" w:space="0" w:color="auto"/>
          <w:bottom w:val="none" w:sz="0" w:space="0" w:color="auto"/>
          <w:insideH w:val="single" w:sz="4" w:space="0" w:color="808080" w:themeColor="background1" w:themeShade="80"/>
        </w:tblBorders>
        <w:tblLook w:val="0420" w:firstRow="1" w:lastRow="0" w:firstColumn="0" w:lastColumn="0" w:noHBand="0" w:noVBand="1"/>
        <w:tblCaption w:val="Table 3: Summary of costs and benefits of a fair dealing exception for quotation (relative to status quo)"/>
        <w:tblDescription w:val="The table provides a summary of the costs and benefits of a fair dealing exception for quotation relative to the status quo, as described in the main text provided above. "/>
      </w:tblPr>
      <w:tblGrid>
        <w:gridCol w:w="1651"/>
        <w:gridCol w:w="1416"/>
        <w:gridCol w:w="780"/>
        <w:gridCol w:w="2488"/>
        <w:gridCol w:w="2215"/>
        <w:gridCol w:w="1107"/>
      </w:tblGrid>
      <w:tr w:rsidR="004213AE" w:rsidRPr="00124E7F" w14:paraId="691DF505" w14:textId="77777777" w:rsidTr="00FA1AA9">
        <w:trPr>
          <w:cnfStyle w:val="100000000000" w:firstRow="1" w:lastRow="0" w:firstColumn="0" w:lastColumn="0" w:oddVBand="0" w:evenVBand="0" w:oddHBand="0" w:evenHBand="0" w:firstRowFirstColumn="0" w:firstRowLastColumn="0" w:lastRowFirstColumn="0" w:lastRowLastColumn="0"/>
          <w:trHeight w:val="397"/>
          <w:tblHeader/>
        </w:trPr>
        <w:tc>
          <w:tcPr>
            <w:tcW w:w="855" w:type="pct"/>
            <w:shd w:val="clear" w:color="auto" w:fill="F0F0F0" w:themeFill="accent4"/>
            <w:vAlign w:val="center"/>
            <w:hideMark/>
          </w:tcPr>
          <w:p w14:paraId="10198A4F" w14:textId="77777777" w:rsidR="00FA1AA9" w:rsidRPr="00124E7F" w:rsidRDefault="00FA1AA9" w:rsidP="002C267F">
            <w:pPr>
              <w:autoSpaceDE/>
              <w:autoSpaceDN/>
              <w:adjustRightInd/>
              <w:spacing w:line="240" w:lineRule="auto"/>
              <w:jc w:val="center"/>
              <w:rPr>
                <w:color w:val="auto"/>
              </w:rPr>
            </w:pPr>
            <w:r w:rsidRPr="00124E7F">
              <w:rPr>
                <w:color w:val="auto"/>
              </w:rPr>
              <w:t>Impact type</w:t>
            </w:r>
          </w:p>
        </w:tc>
        <w:tc>
          <w:tcPr>
            <w:tcW w:w="733" w:type="pct"/>
            <w:shd w:val="clear" w:color="auto" w:fill="F0F0F0" w:themeFill="accent4"/>
            <w:vAlign w:val="center"/>
            <w:hideMark/>
          </w:tcPr>
          <w:p w14:paraId="3EDBB17F" w14:textId="77777777" w:rsidR="00FA1AA9" w:rsidRPr="00124E7F" w:rsidRDefault="00FA1AA9" w:rsidP="002C267F">
            <w:pPr>
              <w:autoSpaceDE/>
              <w:autoSpaceDN/>
              <w:adjustRightInd/>
              <w:spacing w:line="240" w:lineRule="auto"/>
              <w:jc w:val="center"/>
              <w:rPr>
                <w:color w:val="auto"/>
              </w:rPr>
            </w:pPr>
            <w:r w:rsidRPr="00124E7F">
              <w:rPr>
                <w:color w:val="auto"/>
              </w:rPr>
              <w:t>Stakeholder Group</w:t>
            </w:r>
          </w:p>
        </w:tc>
        <w:tc>
          <w:tcPr>
            <w:tcW w:w="404" w:type="pct"/>
            <w:shd w:val="clear" w:color="auto" w:fill="F0F0F0" w:themeFill="accent4"/>
            <w:vAlign w:val="center"/>
            <w:hideMark/>
          </w:tcPr>
          <w:p w14:paraId="0D3522D7" w14:textId="77777777" w:rsidR="00FA1AA9" w:rsidRPr="00124E7F" w:rsidRDefault="00FA1AA9" w:rsidP="002C267F">
            <w:pPr>
              <w:autoSpaceDE/>
              <w:autoSpaceDN/>
              <w:adjustRightInd/>
              <w:spacing w:line="240" w:lineRule="auto"/>
              <w:jc w:val="center"/>
              <w:rPr>
                <w:color w:val="auto"/>
              </w:rPr>
            </w:pPr>
            <w:r w:rsidRPr="00124E7F">
              <w:rPr>
                <w:color w:val="auto"/>
              </w:rPr>
              <w:t>Short or long-run</w:t>
            </w:r>
          </w:p>
        </w:tc>
        <w:tc>
          <w:tcPr>
            <w:tcW w:w="1288" w:type="pct"/>
            <w:shd w:val="clear" w:color="auto" w:fill="F0F0F0" w:themeFill="accent4"/>
            <w:vAlign w:val="center"/>
            <w:hideMark/>
          </w:tcPr>
          <w:p w14:paraId="4A865371" w14:textId="77777777" w:rsidR="00FA1AA9" w:rsidRPr="00124E7F" w:rsidRDefault="00FA1AA9" w:rsidP="002C267F">
            <w:pPr>
              <w:autoSpaceDE/>
              <w:autoSpaceDN/>
              <w:adjustRightInd/>
              <w:spacing w:line="240" w:lineRule="auto"/>
              <w:jc w:val="center"/>
              <w:rPr>
                <w:color w:val="auto"/>
              </w:rPr>
            </w:pPr>
            <w:r w:rsidRPr="00124E7F">
              <w:rPr>
                <w:color w:val="auto"/>
              </w:rPr>
              <w:t>Description of impact</w:t>
            </w:r>
          </w:p>
        </w:tc>
        <w:tc>
          <w:tcPr>
            <w:tcW w:w="1147" w:type="pct"/>
            <w:shd w:val="clear" w:color="auto" w:fill="F0F0F0" w:themeFill="accent4"/>
            <w:vAlign w:val="center"/>
          </w:tcPr>
          <w:p w14:paraId="1E3BFEE1" w14:textId="77777777" w:rsidR="00FA1AA9" w:rsidRPr="00124E7F" w:rsidRDefault="00D11ADA" w:rsidP="00D11ADA">
            <w:pPr>
              <w:autoSpaceDE/>
              <w:autoSpaceDN/>
              <w:adjustRightInd/>
              <w:spacing w:line="240" w:lineRule="auto"/>
              <w:jc w:val="center"/>
              <w:rPr>
                <w:color w:val="auto"/>
                <w:highlight w:val="yellow"/>
              </w:rPr>
            </w:pPr>
            <w:r w:rsidRPr="00124E7F">
              <w:rPr>
                <w:color w:val="auto"/>
              </w:rPr>
              <w:t>M</w:t>
            </w:r>
            <w:r w:rsidR="009206DD" w:rsidRPr="00124E7F">
              <w:rPr>
                <w:color w:val="auto"/>
              </w:rPr>
              <w:t>agnitude of impact</w:t>
            </w:r>
          </w:p>
        </w:tc>
        <w:tc>
          <w:tcPr>
            <w:tcW w:w="573" w:type="pct"/>
            <w:shd w:val="clear" w:color="auto" w:fill="F0F0F0" w:themeFill="accent4"/>
            <w:vAlign w:val="center"/>
          </w:tcPr>
          <w:p w14:paraId="7EADB5A2" w14:textId="77777777" w:rsidR="00FA1AA9" w:rsidRPr="00124E7F" w:rsidRDefault="00FA1AA9" w:rsidP="002C267F">
            <w:pPr>
              <w:autoSpaceDE/>
              <w:autoSpaceDN/>
              <w:adjustRightInd/>
              <w:spacing w:line="240" w:lineRule="auto"/>
              <w:jc w:val="center"/>
              <w:rPr>
                <w:color w:val="auto"/>
              </w:rPr>
            </w:pPr>
            <w:r w:rsidRPr="00124E7F">
              <w:rPr>
                <w:color w:val="auto"/>
              </w:rPr>
              <w:t>Rating</w:t>
            </w:r>
          </w:p>
        </w:tc>
      </w:tr>
      <w:tr w:rsidR="004213AE" w:rsidRPr="00124E7F" w14:paraId="04D35F93" w14:textId="77777777" w:rsidTr="001A33C0">
        <w:trPr>
          <w:cnfStyle w:val="000000100000" w:firstRow="0" w:lastRow="0" w:firstColumn="0" w:lastColumn="0" w:oddVBand="0" w:evenVBand="0" w:oddHBand="1" w:evenHBand="0" w:firstRowFirstColumn="0" w:firstRowLastColumn="0" w:lastRowFirstColumn="0" w:lastRowLastColumn="0"/>
          <w:trHeight w:val="1717"/>
        </w:trPr>
        <w:tc>
          <w:tcPr>
            <w:tcW w:w="855" w:type="pct"/>
            <w:tcBorders>
              <w:bottom w:val="single" w:sz="4" w:space="0" w:color="808080" w:themeColor="background1" w:themeShade="80"/>
            </w:tcBorders>
            <w:shd w:val="clear" w:color="auto" w:fill="FFFFFF" w:themeFill="background1"/>
            <w:vAlign w:val="center"/>
          </w:tcPr>
          <w:p w14:paraId="3D4DB3AF" w14:textId="77777777" w:rsidR="00FA1AA9" w:rsidRPr="00124E7F" w:rsidRDefault="00FA1AA9" w:rsidP="002C267F">
            <w:pPr>
              <w:autoSpaceDE/>
              <w:autoSpaceDN/>
              <w:adjustRightInd/>
              <w:spacing w:line="240" w:lineRule="auto"/>
              <w:jc w:val="center"/>
              <w:rPr>
                <w:color w:val="auto"/>
              </w:rPr>
            </w:pPr>
            <w:r w:rsidRPr="00124E7F">
              <w:rPr>
                <w:color w:val="auto"/>
              </w:rPr>
              <w:t>Monopoly rents/</w:t>
            </w:r>
          </w:p>
          <w:p w14:paraId="68F30582" w14:textId="77777777" w:rsidR="00FA1AA9" w:rsidRPr="00124E7F" w:rsidRDefault="00FA1AA9" w:rsidP="002C267F">
            <w:pPr>
              <w:autoSpaceDE/>
              <w:autoSpaceDN/>
              <w:adjustRightInd/>
              <w:spacing w:line="240" w:lineRule="auto"/>
              <w:jc w:val="center"/>
              <w:rPr>
                <w:color w:val="auto"/>
              </w:rPr>
            </w:pPr>
            <w:r w:rsidRPr="00124E7F">
              <w:rPr>
                <w:color w:val="auto"/>
              </w:rPr>
              <w:t>Access costs</w:t>
            </w:r>
          </w:p>
        </w:tc>
        <w:tc>
          <w:tcPr>
            <w:tcW w:w="733" w:type="pct"/>
            <w:tcBorders>
              <w:bottom w:val="single" w:sz="4" w:space="0" w:color="808080" w:themeColor="background1" w:themeShade="80"/>
            </w:tcBorders>
            <w:shd w:val="clear" w:color="auto" w:fill="FFFFFF" w:themeFill="background1"/>
            <w:vAlign w:val="center"/>
          </w:tcPr>
          <w:p w14:paraId="4E272A43" w14:textId="77777777" w:rsidR="00FA1AA9" w:rsidRPr="00124E7F" w:rsidRDefault="00FA1AA9" w:rsidP="002C267F">
            <w:pPr>
              <w:autoSpaceDE/>
              <w:autoSpaceDN/>
              <w:adjustRightInd/>
              <w:spacing w:line="240" w:lineRule="auto"/>
              <w:jc w:val="center"/>
              <w:rPr>
                <w:color w:val="auto"/>
              </w:rPr>
            </w:pPr>
            <w:r w:rsidRPr="00124E7F">
              <w:rPr>
                <w:color w:val="auto"/>
              </w:rPr>
              <w:t>Rights holders</w:t>
            </w:r>
          </w:p>
          <w:p w14:paraId="4F8D249B" w14:textId="77777777" w:rsidR="00FA1AA9" w:rsidRPr="00124E7F" w:rsidRDefault="00FA1AA9" w:rsidP="002C267F">
            <w:pPr>
              <w:autoSpaceDE/>
              <w:autoSpaceDN/>
              <w:adjustRightInd/>
              <w:spacing w:line="240" w:lineRule="auto"/>
              <w:jc w:val="center"/>
              <w:rPr>
                <w:color w:val="auto"/>
              </w:rPr>
            </w:pPr>
            <w:r w:rsidRPr="00124E7F">
              <w:rPr>
                <w:color w:val="auto"/>
              </w:rPr>
              <w:t>Users</w:t>
            </w:r>
          </w:p>
        </w:tc>
        <w:tc>
          <w:tcPr>
            <w:tcW w:w="404" w:type="pct"/>
            <w:tcBorders>
              <w:bottom w:val="single" w:sz="4" w:space="0" w:color="808080" w:themeColor="background1" w:themeShade="80"/>
            </w:tcBorders>
            <w:shd w:val="clear" w:color="auto" w:fill="FFFFFF" w:themeFill="background1"/>
            <w:vAlign w:val="center"/>
          </w:tcPr>
          <w:p w14:paraId="74C22719" w14:textId="77777777" w:rsidR="00FA1AA9" w:rsidRPr="00124E7F" w:rsidRDefault="00FA1AA9" w:rsidP="002C267F">
            <w:pPr>
              <w:spacing w:line="240" w:lineRule="auto"/>
              <w:jc w:val="center"/>
              <w:rPr>
                <w:color w:val="auto"/>
              </w:rPr>
            </w:pPr>
            <w:r w:rsidRPr="00124E7F">
              <w:rPr>
                <w:color w:val="auto"/>
              </w:rPr>
              <w:t>Short run</w:t>
            </w:r>
          </w:p>
        </w:tc>
        <w:tc>
          <w:tcPr>
            <w:tcW w:w="1288" w:type="pct"/>
            <w:tcBorders>
              <w:bottom w:val="single" w:sz="4" w:space="0" w:color="808080" w:themeColor="background1" w:themeShade="80"/>
            </w:tcBorders>
            <w:shd w:val="clear" w:color="auto" w:fill="FFFFFF" w:themeFill="background1"/>
            <w:vAlign w:val="center"/>
          </w:tcPr>
          <w:p w14:paraId="5762CD49" w14:textId="77777777" w:rsidR="00FA1AA9" w:rsidRPr="00124E7F" w:rsidRDefault="00FA1AA9" w:rsidP="002C267F">
            <w:pPr>
              <w:autoSpaceDE/>
              <w:autoSpaceDN/>
              <w:adjustRightInd/>
              <w:spacing w:line="240" w:lineRule="auto"/>
              <w:jc w:val="center"/>
              <w:rPr>
                <w:color w:val="auto"/>
              </w:rPr>
            </w:pPr>
            <w:r w:rsidRPr="00124E7F">
              <w:rPr>
                <w:color w:val="auto"/>
              </w:rPr>
              <w:t>Option 2 would be expected to lead to a limited transfer from rights holders to licensees.</w:t>
            </w:r>
          </w:p>
        </w:tc>
        <w:tc>
          <w:tcPr>
            <w:tcW w:w="1147" w:type="pct"/>
            <w:tcBorders>
              <w:bottom w:val="single" w:sz="4" w:space="0" w:color="808080" w:themeColor="background1" w:themeShade="80"/>
            </w:tcBorders>
            <w:shd w:val="clear" w:color="auto" w:fill="FFFFFF" w:themeFill="background1"/>
            <w:vAlign w:val="center"/>
          </w:tcPr>
          <w:p w14:paraId="046A563F" w14:textId="77777777" w:rsidR="00FA1AA9" w:rsidRPr="00202E68" w:rsidRDefault="00FA1AA9" w:rsidP="00FA1AA9">
            <w:pPr>
              <w:autoSpaceDE/>
              <w:autoSpaceDN/>
              <w:adjustRightInd/>
              <w:spacing w:line="240" w:lineRule="auto"/>
              <w:jc w:val="center"/>
              <w:rPr>
                <w:color w:val="auto"/>
              </w:rPr>
            </w:pPr>
            <w:r w:rsidRPr="00124E7F">
              <w:rPr>
                <w:color w:val="auto"/>
              </w:rPr>
              <w:t>Estimated transfers from publishers to academics of $123,000 p.a. in the context of reduced permissions for academic publications.</w:t>
            </w:r>
          </w:p>
        </w:tc>
        <w:tc>
          <w:tcPr>
            <w:tcW w:w="573" w:type="pct"/>
            <w:tcBorders>
              <w:bottom w:val="single" w:sz="4" w:space="0" w:color="808080" w:themeColor="background1" w:themeShade="80"/>
            </w:tcBorders>
            <w:shd w:val="clear" w:color="auto" w:fill="FFFFFF" w:themeFill="background1"/>
            <w:vAlign w:val="center"/>
          </w:tcPr>
          <w:p w14:paraId="7E7B5180" w14:textId="77777777" w:rsidR="00FA1AA9" w:rsidRPr="004213AE" w:rsidRDefault="00FA1AA9" w:rsidP="002C267F">
            <w:pPr>
              <w:autoSpaceDE/>
              <w:autoSpaceDN/>
              <w:adjustRightInd/>
              <w:spacing w:line="240" w:lineRule="auto"/>
              <w:jc w:val="center"/>
              <w:rPr>
                <w:color w:val="auto"/>
              </w:rPr>
            </w:pPr>
            <w:r w:rsidRPr="004213AE">
              <w:rPr>
                <w:color w:val="auto"/>
              </w:rPr>
              <w:t>?-/</w:t>
            </w:r>
          </w:p>
          <w:p w14:paraId="5BF2988E" w14:textId="77777777" w:rsidR="00FA1AA9" w:rsidRPr="00124E7F" w:rsidRDefault="00FA1AA9" w:rsidP="002C267F">
            <w:pPr>
              <w:autoSpaceDE/>
              <w:autoSpaceDN/>
              <w:adjustRightInd/>
              <w:spacing w:line="240" w:lineRule="auto"/>
              <w:jc w:val="center"/>
              <w:rPr>
                <w:color w:val="auto"/>
              </w:rPr>
            </w:pPr>
            <w:r w:rsidRPr="00124E7F">
              <w:rPr>
                <w:color w:val="auto"/>
              </w:rPr>
              <w:t>?+</w:t>
            </w:r>
          </w:p>
        </w:tc>
      </w:tr>
      <w:tr w:rsidR="004213AE" w:rsidRPr="00124E7F" w14:paraId="1CAAF3EF" w14:textId="77777777" w:rsidTr="009206DD">
        <w:trPr>
          <w:trHeight w:val="2366"/>
        </w:trPr>
        <w:tc>
          <w:tcPr>
            <w:tcW w:w="855" w:type="pct"/>
            <w:tcBorders>
              <w:top w:val="single" w:sz="4" w:space="0" w:color="808080" w:themeColor="background1" w:themeShade="80"/>
              <w:bottom w:val="single" w:sz="4" w:space="0" w:color="808080" w:themeColor="background1" w:themeShade="80"/>
            </w:tcBorders>
            <w:shd w:val="clear" w:color="auto" w:fill="auto"/>
            <w:vAlign w:val="center"/>
          </w:tcPr>
          <w:p w14:paraId="3C0631AA" w14:textId="77777777" w:rsidR="00FA1AA9" w:rsidRPr="00124E7F" w:rsidRDefault="00FA1AA9" w:rsidP="002C267F">
            <w:pPr>
              <w:autoSpaceDE/>
              <w:autoSpaceDN/>
              <w:adjustRightInd/>
              <w:spacing w:line="240" w:lineRule="auto"/>
              <w:jc w:val="center"/>
              <w:rPr>
                <w:color w:val="auto"/>
              </w:rPr>
            </w:pPr>
            <w:r w:rsidRPr="00124E7F">
              <w:rPr>
                <w:color w:val="auto"/>
              </w:rPr>
              <w:t>Incentives to create new works</w:t>
            </w:r>
          </w:p>
        </w:tc>
        <w:tc>
          <w:tcPr>
            <w:tcW w:w="733" w:type="pct"/>
            <w:tcBorders>
              <w:top w:val="single" w:sz="4" w:space="0" w:color="808080" w:themeColor="background1" w:themeShade="80"/>
              <w:bottom w:val="single" w:sz="4" w:space="0" w:color="808080" w:themeColor="background1" w:themeShade="80"/>
            </w:tcBorders>
            <w:shd w:val="clear" w:color="auto" w:fill="auto"/>
            <w:vAlign w:val="center"/>
          </w:tcPr>
          <w:p w14:paraId="54AC277D" w14:textId="77777777" w:rsidR="00FA1AA9" w:rsidRPr="00124E7F" w:rsidRDefault="00FA1AA9" w:rsidP="002C267F">
            <w:pPr>
              <w:autoSpaceDE/>
              <w:autoSpaceDN/>
              <w:adjustRightInd/>
              <w:spacing w:line="240" w:lineRule="auto"/>
              <w:jc w:val="center"/>
              <w:rPr>
                <w:color w:val="auto"/>
              </w:rPr>
            </w:pPr>
            <w:r w:rsidRPr="00124E7F">
              <w:rPr>
                <w:color w:val="auto"/>
              </w:rPr>
              <w:t>Rights holders</w:t>
            </w:r>
          </w:p>
        </w:tc>
        <w:tc>
          <w:tcPr>
            <w:tcW w:w="404" w:type="pct"/>
            <w:tcBorders>
              <w:top w:val="single" w:sz="4" w:space="0" w:color="808080" w:themeColor="background1" w:themeShade="80"/>
              <w:bottom w:val="single" w:sz="4" w:space="0" w:color="808080" w:themeColor="background1" w:themeShade="80"/>
            </w:tcBorders>
            <w:shd w:val="clear" w:color="auto" w:fill="auto"/>
            <w:vAlign w:val="center"/>
          </w:tcPr>
          <w:p w14:paraId="6B73D35B" w14:textId="77777777" w:rsidR="00FA1AA9" w:rsidRPr="00124E7F" w:rsidRDefault="00FA1AA9" w:rsidP="002C267F">
            <w:pPr>
              <w:spacing w:line="240" w:lineRule="auto"/>
              <w:jc w:val="center"/>
              <w:rPr>
                <w:color w:val="auto"/>
              </w:rPr>
            </w:pPr>
            <w:r w:rsidRPr="00124E7F">
              <w:rPr>
                <w:color w:val="auto"/>
              </w:rPr>
              <w:t>Long Run</w:t>
            </w:r>
          </w:p>
        </w:tc>
        <w:tc>
          <w:tcPr>
            <w:tcW w:w="1288" w:type="pct"/>
            <w:tcBorders>
              <w:top w:val="single" w:sz="4" w:space="0" w:color="808080" w:themeColor="background1" w:themeShade="80"/>
              <w:bottom w:val="single" w:sz="4" w:space="0" w:color="808080" w:themeColor="background1" w:themeShade="80"/>
            </w:tcBorders>
            <w:shd w:val="clear" w:color="auto" w:fill="auto"/>
            <w:vAlign w:val="center"/>
          </w:tcPr>
          <w:p w14:paraId="558027F1" w14:textId="77777777" w:rsidR="00FA1AA9" w:rsidRPr="00124E7F" w:rsidRDefault="00FA1AA9" w:rsidP="002C267F">
            <w:pPr>
              <w:autoSpaceDE/>
              <w:autoSpaceDN/>
              <w:adjustRightInd/>
              <w:spacing w:line="240" w:lineRule="auto"/>
              <w:jc w:val="center"/>
              <w:rPr>
                <w:color w:val="auto"/>
              </w:rPr>
            </w:pPr>
            <w:r w:rsidRPr="00124E7F">
              <w:rPr>
                <w:color w:val="auto"/>
              </w:rPr>
              <w:t>The primary market for copyright owners would remain relatively unaffected by Option 2. If anything, the impact would likely be positive. Empirical evidence from the music industry suggests that increased exposure of some works can increase the sales of those works.</w:t>
            </w:r>
          </w:p>
        </w:tc>
        <w:tc>
          <w:tcPr>
            <w:tcW w:w="1147" w:type="pct"/>
            <w:tcBorders>
              <w:top w:val="single" w:sz="4" w:space="0" w:color="808080" w:themeColor="background1" w:themeShade="80"/>
              <w:bottom w:val="single" w:sz="4" w:space="0" w:color="808080" w:themeColor="background1" w:themeShade="80"/>
            </w:tcBorders>
            <w:vAlign w:val="center"/>
          </w:tcPr>
          <w:p w14:paraId="30893952" w14:textId="77777777" w:rsidR="00FA1AA9" w:rsidRPr="00202E68" w:rsidRDefault="00FA1AA9" w:rsidP="009206DD">
            <w:pPr>
              <w:autoSpaceDE/>
              <w:autoSpaceDN/>
              <w:adjustRightInd/>
              <w:spacing w:line="240" w:lineRule="auto"/>
              <w:jc w:val="center"/>
              <w:rPr>
                <w:color w:val="auto"/>
              </w:rPr>
            </w:pPr>
            <w:r w:rsidRPr="00124E7F">
              <w:rPr>
                <w:color w:val="auto"/>
              </w:rPr>
              <w:t>-</w:t>
            </w:r>
          </w:p>
        </w:tc>
        <w:tc>
          <w:tcPr>
            <w:tcW w:w="573" w:type="pct"/>
            <w:tcBorders>
              <w:top w:val="single" w:sz="4" w:space="0" w:color="808080" w:themeColor="background1" w:themeShade="80"/>
              <w:bottom w:val="single" w:sz="4" w:space="0" w:color="808080" w:themeColor="background1" w:themeShade="80"/>
            </w:tcBorders>
            <w:shd w:val="clear" w:color="auto" w:fill="auto"/>
            <w:vAlign w:val="center"/>
          </w:tcPr>
          <w:p w14:paraId="1B68C06E" w14:textId="77777777" w:rsidR="00FA1AA9" w:rsidRPr="004213AE" w:rsidRDefault="00FA1AA9" w:rsidP="002C267F">
            <w:pPr>
              <w:autoSpaceDE/>
              <w:autoSpaceDN/>
              <w:adjustRightInd/>
              <w:spacing w:line="240" w:lineRule="auto"/>
              <w:jc w:val="center"/>
              <w:rPr>
                <w:color w:val="auto"/>
              </w:rPr>
            </w:pPr>
            <w:r w:rsidRPr="004213AE">
              <w:rPr>
                <w:color w:val="auto"/>
              </w:rPr>
              <w:t>?+</w:t>
            </w:r>
          </w:p>
        </w:tc>
      </w:tr>
      <w:tr w:rsidR="004213AE" w:rsidRPr="00124E7F" w14:paraId="36BA2E08" w14:textId="77777777" w:rsidTr="001A33C0">
        <w:trPr>
          <w:cnfStyle w:val="000000100000" w:firstRow="0" w:lastRow="0" w:firstColumn="0" w:lastColumn="0" w:oddVBand="0" w:evenVBand="0" w:oddHBand="1" w:evenHBand="0" w:firstRowFirstColumn="0" w:firstRowLastColumn="0" w:lastRowFirstColumn="0" w:lastRowLastColumn="0"/>
          <w:trHeight w:val="1981"/>
        </w:trPr>
        <w:tc>
          <w:tcPr>
            <w:tcW w:w="855" w:type="pct"/>
            <w:tcBorders>
              <w:top w:val="single" w:sz="4" w:space="0" w:color="808080" w:themeColor="background1" w:themeShade="80"/>
            </w:tcBorders>
            <w:shd w:val="clear" w:color="auto" w:fill="auto"/>
            <w:vAlign w:val="center"/>
          </w:tcPr>
          <w:p w14:paraId="655CE599" w14:textId="77777777" w:rsidR="00FA1AA9" w:rsidRPr="00124E7F" w:rsidRDefault="00FA1AA9" w:rsidP="002C267F">
            <w:pPr>
              <w:autoSpaceDE/>
              <w:autoSpaceDN/>
              <w:adjustRightInd/>
              <w:spacing w:line="240" w:lineRule="auto"/>
              <w:jc w:val="center"/>
              <w:rPr>
                <w:color w:val="auto"/>
              </w:rPr>
            </w:pPr>
            <w:r w:rsidRPr="00124E7F">
              <w:rPr>
                <w:color w:val="auto"/>
              </w:rPr>
              <w:t>Administration costs/ transaction costs</w:t>
            </w:r>
          </w:p>
        </w:tc>
        <w:tc>
          <w:tcPr>
            <w:tcW w:w="733" w:type="pct"/>
            <w:tcBorders>
              <w:top w:val="single" w:sz="4" w:space="0" w:color="808080" w:themeColor="background1" w:themeShade="80"/>
            </w:tcBorders>
            <w:shd w:val="clear" w:color="auto" w:fill="auto"/>
            <w:vAlign w:val="center"/>
          </w:tcPr>
          <w:p w14:paraId="37E10D40" w14:textId="77777777" w:rsidR="00FA1AA9" w:rsidRPr="00124E7F" w:rsidRDefault="00FA1AA9" w:rsidP="002C267F">
            <w:pPr>
              <w:autoSpaceDE/>
              <w:autoSpaceDN/>
              <w:adjustRightInd/>
              <w:spacing w:line="240" w:lineRule="auto"/>
              <w:jc w:val="center"/>
              <w:rPr>
                <w:color w:val="auto"/>
              </w:rPr>
            </w:pPr>
            <w:r w:rsidRPr="00124E7F">
              <w:rPr>
                <w:color w:val="auto"/>
              </w:rPr>
              <w:t>Rights holders</w:t>
            </w:r>
          </w:p>
          <w:p w14:paraId="4FC634F4" w14:textId="77777777" w:rsidR="00FA1AA9" w:rsidRPr="00124E7F" w:rsidRDefault="00FA1AA9" w:rsidP="002C267F">
            <w:pPr>
              <w:autoSpaceDE/>
              <w:autoSpaceDN/>
              <w:adjustRightInd/>
              <w:spacing w:line="240" w:lineRule="auto"/>
              <w:jc w:val="center"/>
              <w:rPr>
                <w:color w:val="auto"/>
              </w:rPr>
            </w:pPr>
            <w:r w:rsidRPr="00124E7F">
              <w:rPr>
                <w:color w:val="auto"/>
              </w:rPr>
              <w:t>Users</w:t>
            </w:r>
          </w:p>
        </w:tc>
        <w:tc>
          <w:tcPr>
            <w:tcW w:w="404" w:type="pct"/>
            <w:tcBorders>
              <w:top w:val="single" w:sz="4" w:space="0" w:color="808080" w:themeColor="background1" w:themeShade="80"/>
            </w:tcBorders>
            <w:shd w:val="clear" w:color="auto" w:fill="auto"/>
            <w:vAlign w:val="center"/>
          </w:tcPr>
          <w:p w14:paraId="01EA5347" w14:textId="77777777" w:rsidR="00FA1AA9" w:rsidRPr="00124E7F" w:rsidRDefault="00FA1AA9" w:rsidP="002C267F">
            <w:pPr>
              <w:spacing w:line="240" w:lineRule="auto"/>
              <w:jc w:val="center"/>
              <w:rPr>
                <w:color w:val="auto"/>
              </w:rPr>
            </w:pPr>
            <w:r w:rsidRPr="00124E7F">
              <w:rPr>
                <w:color w:val="auto"/>
              </w:rPr>
              <w:t>Short run</w:t>
            </w:r>
          </w:p>
        </w:tc>
        <w:tc>
          <w:tcPr>
            <w:tcW w:w="1288" w:type="pct"/>
            <w:tcBorders>
              <w:top w:val="single" w:sz="4" w:space="0" w:color="808080" w:themeColor="background1" w:themeShade="80"/>
            </w:tcBorders>
            <w:shd w:val="clear" w:color="auto" w:fill="auto"/>
            <w:vAlign w:val="center"/>
          </w:tcPr>
          <w:p w14:paraId="15898E15" w14:textId="77777777" w:rsidR="00FA1AA9" w:rsidRPr="00124E7F" w:rsidRDefault="00FA1AA9" w:rsidP="002C267F">
            <w:pPr>
              <w:autoSpaceDE/>
              <w:autoSpaceDN/>
              <w:adjustRightInd/>
              <w:spacing w:line="240" w:lineRule="auto"/>
              <w:jc w:val="center"/>
              <w:rPr>
                <w:color w:val="auto"/>
              </w:rPr>
            </w:pPr>
            <w:r w:rsidRPr="00124E7F">
              <w:rPr>
                <w:color w:val="auto"/>
              </w:rPr>
              <w:t>Option 2 would be expected to lead to positive but limited transaction savings.</w:t>
            </w:r>
          </w:p>
        </w:tc>
        <w:tc>
          <w:tcPr>
            <w:tcW w:w="1147" w:type="pct"/>
            <w:tcBorders>
              <w:top w:val="single" w:sz="4" w:space="0" w:color="808080" w:themeColor="background1" w:themeShade="80"/>
            </w:tcBorders>
            <w:shd w:val="clear" w:color="auto" w:fill="auto"/>
            <w:vAlign w:val="center"/>
          </w:tcPr>
          <w:p w14:paraId="591C7374" w14:textId="77777777" w:rsidR="00FA1AA9" w:rsidRPr="00202E68" w:rsidRDefault="00FA1AA9" w:rsidP="00FA1AA9">
            <w:pPr>
              <w:autoSpaceDE/>
              <w:autoSpaceDN/>
              <w:adjustRightInd/>
              <w:spacing w:line="240" w:lineRule="auto"/>
              <w:jc w:val="center"/>
              <w:rPr>
                <w:color w:val="auto"/>
              </w:rPr>
            </w:pPr>
            <w:r w:rsidRPr="00124E7F">
              <w:rPr>
                <w:color w:val="auto"/>
              </w:rPr>
              <w:t>Estimated savings of $1.6 million p.a. to publishers and academics from lower transaction costs related to clearances of short extracts in academic publications.</w:t>
            </w:r>
          </w:p>
        </w:tc>
        <w:tc>
          <w:tcPr>
            <w:tcW w:w="573" w:type="pct"/>
            <w:tcBorders>
              <w:top w:val="single" w:sz="4" w:space="0" w:color="808080" w:themeColor="background1" w:themeShade="80"/>
            </w:tcBorders>
            <w:shd w:val="clear" w:color="auto" w:fill="auto"/>
            <w:vAlign w:val="center"/>
          </w:tcPr>
          <w:p w14:paraId="3385FFFC" w14:textId="77777777" w:rsidR="00FA1AA9" w:rsidRPr="004213AE" w:rsidRDefault="00FA1AA9" w:rsidP="002C267F">
            <w:pPr>
              <w:autoSpaceDE/>
              <w:autoSpaceDN/>
              <w:adjustRightInd/>
              <w:spacing w:line="240" w:lineRule="auto"/>
              <w:jc w:val="center"/>
              <w:rPr>
                <w:color w:val="auto"/>
              </w:rPr>
            </w:pPr>
            <w:r w:rsidRPr="004213AE">
              <w:rPr>
                <w:color w:val="auto"/>
              </w:rPr>
              <w:t>?+</w:t>
            </w:r>
          </w:p>
        </w:tc>
      </w:tr>
      <w:tr w:rsidR="004213AE" w:rsidRPr="00124E7F" w14:paraId="64253817" w14:textId="77777777" w:rsidTr="009206DD">
        <w:trPr>
          <w:trHeight w:val="2630"/>
        </w:trPr>
        <w:tc>
          <w:tcPr>
            <w:tcW w:w="855" w:type="pct"/>
            <w:shd w:val="clear" w:color="auto" w:fill="auto"/>
            <w:vAlign w:val="center"/>
          </w:tcPr>
          <w:p w14:paraId="1F84A753" w14:textId="77777777" w:rsidR="00FA1AA9" w:rsidRPr="00124E7F" w:rsidRDefault="00FA1AA9" w:rsidP="002C267F">
            <w:pPr>
              <w:autoSpaceDE/>
              <w:autoSpaceDN/>
              <w:adjustRightInd/>
              <w:spacing w:line="240" w:lineRule="auto"/>
              <w:jc w:val="center"/>
              <w:rPr>
                <w:color w:val="auto"/>
              </w:rPr>
            </w:pPr>
            <w:r w:rsidRPr="00124E7F">
              <w:rPr>
                <w:color w:val="auto"/>
              </w:rPr>
              <w:t>Incentives to invest in new uses of works</w:t>
            </w:r>
          </w:p>
        </w:tc>
        <w:tc>
          <w:tcPr>
            <w:tcW w:w="733" w:type="pct"/>
            <w:shd w:val="clear" w:color="auto" w:fill="auto"/>
            <w:vAlign w:val="center"/>
          </w:tcPr>
          <w:p w14:paraId="3F13DA64" w14:textId="77777777" w:rsidR="00FA1AA9" w:rsidRPr="00124E7F" w:rsidRDefault="00FA1AA9" w:rsidP="002C267F">
            <w:pPr>
              <w:autoSpaceDE/>
              <w:autoSpaceDN/>
              <w:adjustRightInd/>
              <w:spacing w:line="240" w:lineRule="auto"/>
              <w:jc w:val="center"/>
              <w:rPr>
                <w:color w:val="auto"/>
              </w:rPr>
            </w:pPr>
            <w:r w:rsidRPr="00124E7F">
              <w:rPr>
                <w:color w:val="auto"/>
              </w:rPr>
              <w:t>Users</w:t>
            </w:r>
          </w:p>
        </w:tc>
        <w:tc>
          <w:tcPr>
            <w:tcW w:w="404" w:type="pct"/>
            <w:shd w:val="clear" w:color="auto" w:fill="auto"/>
            <w:vAlign w:val="center"/>
          </w:tcPr>
          <w:p w14:paraId="77AE13DA" w14:textId="77777777" w:rsidR="00FA1AA9" w:rsidRPr="00124E7F" w:rsidRDefault="00FA1AA9" w:rsidP="002C267F">
            <w:pPr>
              <w:spacing w:line="240" w:lineRule="auto"/>
              <w:jc w:val="center"/>
              <w:rPr>
                <w:color w:val="auto"/>
              </w:rPr>
            </w:pPr>
            <w:r w:rsidRPr="00124E7F">
              <w:rPr>
                <w:color w:val="auto"/>
              </w:rPr>
              <w:t>Long run</w:t>
            </w:r>
          </w:p>
        </w:tc>
        <w:tc>
          <w:tcPr>
            <w:tcW w:w="1288" w:type="pct"/>
            <w:shd w:val="clear" w:color="auto" w:fill="auto"/>
            <w:vAlign w:val="center"/>
          </w:tcPr>
          <w:p w14:paraId="6C3C971E" w14:textId="77777777" w:rsidR="00FA1AA9" w:rsidRPr="00124E7F" w:rsidRDefault="00FA1AA9" w:rsidP="002C267F">
            <w:pPr>
              <w:autoSpaceDE/>
              <w:autoSpaceDN/>
              <w:adjustRightInd/>
              <w:spacing w:line="240" w:lineRule="auto"/>
              <w:jc w:val="center"/>
              <w:rPr>
                <w:color w:val="auto"/>
              </w:rPr>
            </w:pPr>
            <w:r w:rsidRPr="00124E7F">
              <w:rPr>
                <w:color w:val="auto"/>
              </w:rPr>
              <w:t>Any negative impacts on the incentives of rights holders from Option 2 are likely to be negligible. Follow-up creators are also users of copyright works. To the extent that the exception increases contestability in the market, this may provide incentives for new market entrants.</w:t>
            </w:r>
          </w:p>
        </w:tc>
        <w:tc>
          <w:tcPr>
            <w:tcW w:w="1147" w:type="pct"/>
            <w:vAlign w:val="center"/>
          </w:tcPr>
          <w:p w14:paraId="6B7E3CBA" w14:textId="77777777" w:rsidR="00FA1AA9" w:rsidRPr="00202E68" w:rsidRDefault="00FA1AA9" w:rsidP="009206DD">
            <w:pPr>
              <w:autoSpaceDE/>
              <w:autoSpaceDN/>
              <w:adjustRightInd/>
              <w:spacing w:line="240" w:lineRule="auto"/>
              <w:jc w:val="center"/>
              <w:rPr>
                <w:color w:val="auto"/>
              </w:rPr>
            </w:pPr>
            <w:r w:rsidRPr="00124E7F">
              <w:rPr>
                <w:color w:val="auto"/>
              </w:rPr>
              <w:t>-</w:t>
            </w:r>
          </w:p>
        </w:tc>
        <w:tc>
          <w:tcPr>
            <w:tcW w:w="573" w:type="pct"/>
            <w:shd w:val="clear" w:color="auto" w:fill="auto"/>
            <w:vAlign w:val="center"/>
          </w:tcPr>
          <w:p w14:paraId="64EC9BE3" w14:textId="77777777" w:rsidR="00FA1AA9" w:rsidRPr="004213AE" w:rsidRDefault="00FA1AA9" w:rsidP="002C267F">
            <w:pPr>
              <w:autoSpaceDE/>
              <w:autoSpaceDN/>
              <w:adjustRightInd/>
              <w:spacing w:line="240" w:lineRule="auto"/>
              <w:jc w:val="center"/>
              <w:rPr>
                <w:color w:val="auto"/>
              </w:rPr>
            </w:pPr>
            <w:r w:rsidRPr="004213AE">
              <w:rPr>
                <w:color w:val="auto"/>
              </w:rPr>
              <w:t>?+</w:t>
            </w:r>
          </w:p>
        </w:tc>
      </w:tr>
      <w:tr w:rsidR="004213AE" w:rsidRPr="00124E7F" w14:paraId="5C4D69FB" w14:textId="77777777" w:rsidTr="009206DD">
        <w:trPr>
          <w:cnfStyle w:val="000000100000" w:firstRow="0" w:lastRow="0" w:firstColumn="0" w:lastColumn="0" w:oddVBand="0" w:evenVBand="0" w:oddHBand="1" w:evenHBand="0" w:firstRowFirstColumn="0" w:firstRowLastColumn="0" w:lastRowFirstColumn="0" w:lastRowLastColumn="0"/>
          <w:trHeight w:val="1584"/>
        </w:trPr>
        <w:tc>
          <w:tcPr>
            <w:tcW w:w="855" w:type="pct"/>
            <w:tcBorders>
              <w:top w:val="single" w:sz="4" w:space="0" w:color="808080" w:themeColor="background1" w:themeShade="80"/>
              <w:bottom w:val="single" w:sz="4" w:space="0" w:color="808080" w:themeColor="background1" w:themeShade="80"/>
            </w:tcBorders>
            <w:shd w:val="clear" w:color="auto" w:fill="auto"/>
            <w:vAlign w:val="center"/>
          </w:tcPr>
          <w:p w14:paraId="02E5C864" w14:textId="77777777" w:rsidR="00FA1AA9" w:rsidRPr="00124E7F" w:rsidRDefault="00FA1AA9" w:rsidP="002C267F">
            <w:pPr>
              <w:autoSpaceDE/>
              <w:autoSpaceDN/>
              <w:adjustRightInd/>
              <w:spacing w:line="240" w:lineRule="auto"/>
              <w:jc w:val="center"/>
              <w:rPr>
                <w:color w:val="auto"/>
              </w:rPr>
            </w:pPr>
            <w:r w:rsidRPr="00124E7F">
              <w:rPr>
                <w:color w:val="auto"/>
              </w:rPr>
              <w:t>Enhanced use of existing works</w:t>
            </w:r>
          </w:p>
        </w:tc>
        <w:tc>
          <w:tcPr>
            <w:tcW w:w="733" w:type="pct"/>
            <w:tcBorders>
              <w:top w:val="single" w:sz="4" w:space="0" w:color="808080" w:themeColor="background1" w:themeShade="80"/>
              <w:bottom w:val="single" w:sz="4" w:space="0" w:color="808080" w:themeColor="background1" w:themeShade="80"/>
            </w:tcBorders>
            <w:shd w:val="clear" w:color="auto" w:fill="auto"/>
            <w:vAlign w:val="center"/>
          </w:tcPr>
          <w:p w14:paraId="4445455F" w14:textId="77777777" w:rsidR="00FA1AA9" w:rsidRPr="00124E7F" w:rsidRDefault="00FA1AA9" w:rsidP="002C267F">
            <w:pPr>
              <w:autoSpaceDE/>
              <w:autoSpaceDN/>
              <w:adjustRightInd/>
              <w:spacing w:line="240" w:lineRule="auto"/>
              <w:jc w:val="center"/>
              <w:rPr>
                <w:color w:val="auto"/>
              </w:rPr>
            </w:pPr>
            <w:r w:rsidRPr="00124E7F">
              <w:rPr>
                <w:color w:val="auto"/>
              </w:rPr>
              <w:t>Users</w:t>
            </w:r>
          </w:p>
        </w:tc>
        <w:tc>
          <w:tcPr>
            <w:tcW w:w="404" w:type="pct"/>
            <w:tcBorders>
              <w:top w:val="single" w:sz="4" w:space="0" w:color="808080" w:themeColor="background1" w:themeShade="80"/>
              <w:bottom w:val="single" w:sz="4" w:space="0" w:color="808080" w:themeColor="background1" w:themeShade="80"/>
            </w:tcBorders>
            <w:shd w:val="clear" w:color="auto" w:fill="auto"/>
            <w:vAlign w:val="center"/>
          </w:tcPr>
          <w:p w14:paraId="30832B53" w14:textId="77777777" w:rsidR="00FA1AA9" w:rsidRPr="00124E7F" w:rsidRDefault="00FA1AA9" w:rsidP="002C267F">
            <w:pPr>
              <w:spacing w:line="240" w:lineRule="auto"/>
              <w:jc w:val="center"/>
              <w:rPr>
                <w:color w:val="auto"/>
              </w:rPr>
            </w:pPr>
            <w:r w:rsidRPr="00124E7F">
              <w:rPr>
                <w:color w:val="auto"/>
              </w:rPr>
              <w:t>Short run</w:t>
            </w:r>
          </w:p>
        </w:tc>
        <w:tc>
          <w:tcPr>
            <w:tcW w:w="1288" w:type="pct"/>
            <w:tcBorders>
              <w:top w:val="single" w:sz="4" w:space="0" w:color="808080" w:themeColor="background1" w:themeShade="80"/>
            </w:tcBorders>
            <w:shd w:val="clear" w:color="auto" w:fill="auto"/>
            <w:vAlign w:val="center"/>
          </w:tcPr>
          <w:p w14:paraId="3321E984" w14:textId="77777777" w:rsidR="00FA1AA9" w:rsidRPr="00124E7F" w:rsidRDefault="00FA1AA9" w:rsidP="002C267F">
            <w:pPr>
              <w:autoSpaceDE/>
              <w:autoSpaceDN/>
              <w:adjustRightInd/>
              <w:spacing w:line="240" w:lineRule="auto"/>
              <w:jc w:val="center"/>
              <w:rPr>
                <w:color w:val="auto"/>
              </w:rPr>
            </w:pPr>
            <w:r w:rsidRPr="00124E7F">
              <w:rPr>
                <w:color w:val="auto"/>
              </w:rPr>
              <w:t>Reduced transaction costs would be expected to increase the flexibility with which works are disseminated to the public and the value of those works to the consumer</w:t>
            </w:r>
          </w:p>
        </w:tc>
        <w:tc>
          <w:tcPr>
            <w:tcW w:w="1147" w:type="pct"/>
            <w:tcBorders>
              <w:top w:val="single" w:sz="4" w:space="0" w:color="808080" w:themeColor="background1" w:themeShade="80"/>
            </w:tcBorders>
            <w:shd w:val="clear" w:color="auto" w:fill="auto"/>
            <w:vAlign w:val="center"/>
          </w:tcPr>
          <w:p w14:paraId="3708490A" w14:textId="77777777" w:rsidR="00FA1AA9" w:rsidRPr="00202E68" w:rsidRDefault="009206DD" w:rsidP="009206DD">
            <w:pPr>
              <w:autoSpaceDE/>
              <w:autoSpaceDN/>
              <w:adjustRightInd/>
              <w:spacing w:line="240" w:lineRule="auto"/>
              <w:jc w:val="center"/>
              <w:rPr>
                <w:color w:val="auto"/>
              </w:rPr>
            </w:pPr>
            <w:r w:rsidRPr="00124E7F">
              <w:rPr>
                <w:color w:val="auto"/>
              </w:rPr>
              <w:t>-</w:t>
            </w:r>
          </w:p>
        </w:tc>
        <w:tc>
          <w:tcPr>
            <w:tcW w:w="573" w:type="pct"/>
            <w:tcBorders>
              <w:top w:val="single" w:sz="4" w:space="0" w:color="808080" w:themeColor="background1" w:themeShade="80"/>
              <w:bottom w:val="single" w:sz="4" w:space="0" w:color="808080" w:themeColor="background1" w:themeShade="80"/>
            </w:tcBorders>
            <w:shd w:val="clear" w:color="auto" w:fill="auto"/>
            <w:vAlign w:val="center"/>
          </w:tcPr>
          <w:p w14:paraId="53E6E78A" w14:textId="77777777" w:rsidR="00FA1AA9" w:rsidRPr="004213AE" w:rsidRDefault="00FA1AA9" w:rsidP="002C267F">
            <w:pPr>
              <w:autoSpaceDE/>
              <w:autoSpaceDN/>
              <w:adjustRightInd/>
              <w:spacing w:line="240" w:lineRule="auto"/>
              <w:jc w:val="center"/>
              <w:rPr>
                <w:color w:val="auto"/>
              </w:rPr>
            </w:pPr>
            <w:r w:rsidRPr="004213AE">
              <w:rPr>
                <w:color w:val="auto"/>
              </w:rPr>
              <w:t>?+</w:t>
            </w:r>
          </w:p>
        </w:tc>
      </w:tr>
      <w:tr w:rsidR="004213AE" w:rsidRPr="00124E7F" w14:paraId="00EC6410" w14:textId="77777777" w:rsidTr="009206DD">
        <w:trPr>
          <w:trHeight w:val="794"/>
        </w:trPr>
        <w:tc>
          <w:tcPr>
            <w:tcW w:w="855" w:type="pct"/>
            <w:shd w:val="clear" w:color="auto" w:fill="auto"/>
            <w:vAlign w:val="center"/>
          </w:tcPr>
          <w:p w14:paraId="20E79BA6" w14:textId="77777777" w:rsidR="00FA1AA9" w:rsidRPr="00124E7F" w:rsidRDefault="00FA1AA9" w:rsidP="002C267F">
            <w:pPr>
              <w:autoSpaceDE/>
              <w:autoSpaceDN/>
              <w:adjustRightInd/>
              <w:spacing w:line="240" w:lineRule="auto"/>
              <w:jc w:val="center"/>
              <w:rPr>
                <w:color w:val="auto"/>
              </w:rPr>
            </w:pPr>
            <w:r w:rsidRPr="00124E7F">
              <w:rPr>
                <w:color w:val="auto"/>
              </w:rPr>
              <w:t>Economic and societal benefits</w:t>
            </w:r>
          </w:p>
        </w:tc>
        <w:tc>
          <w:tcPr>
            <w:tcW w:w="733" w:type="pct"/>
            <w:shd w:val="clear" w:color="auto" w:fill="auto"/>
            <w:vAlign w:val="center"/>
          </w:tcPr>
          <w:p w14:paraId="704B047F" w14:textId="77777777" w:rsidR="00FA1AA9" w:rsidRPr="00124E7F" w:rsidRDefault="00FA1AA9" w:rsidP="002C267F">
            <w:pPr>
              <w:autoSpaceDE/>
              <w:autoSpaceDN/>
              <w:adjustRightInd/>
              <w:spacing w:line="240" w:lineRule="auto"/>
              <w:jc w:val="center"/>
              <w:rPr>
                <w:color w:val="auto"/>
              </w:rPr>
            </w:pPr>
            <w:r w:rsidRPr="00124E7F">
              <w:rPr>
                <w:color w:val="auto"/>
              </w:rPr>
              <w:t>Economy/ Society</w:t>
            </w:r>
          </w:p>
        </w:tc>
        <w:tc>
          <w:tcPr>
            <w:tcW w:w="404" w:type="pct"/>
            <w:shd w:val="clear" w:color="auto" w:fill="auto"/>
            <w:vAlign w:val="center"/>
          </w:tcPr>
          <w:p w14:paraId="08F86A23" w14:textId="77777777" w:rsidR="00FA1AA9" w:rsidRPr="00124E7F" w:rsidRDefault="00FA1AA9" w:rsidP="002C267F">
            <w:pPr>
              <w:spacing w:line="240" w:lineRule="auto"/>
              <w:jc w:val="center"/>
              <w:rPr>
                <w:color w:val="auto"/>
              </w:rPr>
            </w:pPr>
            <w:r w:rsidRPr="00124E7F">
              <w:rPr>
                <w:color w:val="auto"/>
              </w:rPr>
              <w:t>Both</w:t>
            </w:r>
          </w:p>
        </w:tc>
        <w:tc>
          <w:tcPr>
            <w:tcW w:w="1288" w:type="pct"/>
            <w:shd w:val="clear" w:color="auto" w:fill="auto"/>
            <w:vAlign w:val="center"/>
          </w:tcPr>
          <w:p w14:paraId="3D0C66B4" w14:textId="77777777" w:rsidR="00FA1AA9" w:rsidRPr="00124E7F" w:rsidRDefault="00FA1AA9" w:rsidP="002C267F">
            <w:pPr>
              <w:autoSpaceDE/>
              <w:autoSpaceDN/>
              <w:adjustRightInd/>
              <w:spacing w:line="240" w:lineRule="auto"/>
              <w:jc w:val="center"/>
              <w:rPr>
                <w:color w:val="auto"/>
              </w:rPr>
            </w:pPr>
            <w:r w:rsidRPr="00124E7F">
              <w:rPr>
                <w:color w:val="auto"/>
              </w:rPr>
              <w:t>-</w:t>
            </w:r>
          </w:p>
        </w:tc>
        <w:tc>
          <w:tcPr>
            <w:tcW w:w="1147" w:type="pct"/>
            <w:vAlign w:val="center"/>
          </w:tcPr>
          <w:p w14:paraId="1FCCE4C1" w14:textId="77777777" w:rsidR="00FA1AA9" w:rsidRPr="00202E68" w:rsidRDefault="00FA1AA9" w:rsidP="009206DD">
            <w:pPr>
              <w:autoSpaceDE/>
              <w:autoSpaceDN/>
              <w:adjustRightInd/>
              <w:spacing w:line="240" w:lineRule="auto"/>
              <w:jc w:val="center"/>
              <w:rPr>
                <w:color w:val="auto"/>
              </w:rPr>
            </w:pPr>
            <w:r w:rsidRPr="00124E7F">
              <w:rPr>
                <w:color w:val="auto"/>
              </w:rPr>
              <w:t>-</w:t>
            </w:r>
          </w:p>
        </w:tc>
        <w:tc>
          <w:tcPr>
            <w:tcW w:w="573" w:type="pct"/>
            <w:shd w:val="clear" w:color="auto" w:fill="auto"/>
            <w:vAlign w:val="center"/>
          </w:tcPr>
          <w:p w14:paraId="12708008" w14:textId="77777777" w:rsidR="00FA1AA9" w:rsidRPr="004213AE" w:rsidRDefault="00FA1AA9" w:rsidP="002C267F">
            <w:pPr>
              <w:autoSpaceDE/>
              <w:autoSpaceDN/>
              <w:adjustRightInd/>
              <w:spacing w:line="240" w:lineRule="auto"/>
              <w:jc w:val="center"/>
              <w:rPr>
                <w:color w:val="auto"/>
              </w:rPr>
            </w:pPr>
            <w:r w:rsidRPr="004213AE">
              <w:rPr>
                <w:color w:val="auto"/>
              </w:rPr>
              <w:t>0</w:t>
            </w:r>
          </w:p>
        </w:tc>
      </w:tr>
      <w:tr w:rsidR="004213AE" w:rsidRPr="00124E7F" w14:paraId="267973E8" w14:textId="77777777" w:rsidTr="00FA1AA9">
        <w:trPr>
          <w:cnfStyle w:val="000000100000" w:firstRow="0" w:lastRow="0" w:firstColumn="0" w:lastColumn="0" w:oddVBand="0" w:evenVBand="0" w:oddHBand="1" w:evenHBand="0" w:firstRowFirstColumn="0" w:firstRowLastColumn="0" w:lastRowFirstColumn="0" w:lastRowLastColumn="0"/>
          <w:trHeight w:val="397"/>
        </w:trPr>
        <w:tc>
          <w:tcPr>
            <w:tcW w:w="855" w:type="pct"/>
            <w:tcBorders>
              <w:top w:val="single" w:sz="4" w:space="0" w:color="808080" w:themeColor="background1" w:themeShade="80"/>
              <w:bottom w:val="single" w:sz="4" w:space="0" w:color="808080" w:themeColor="background1" w:themeShade="80"/>
            </w:tcBorders>
            <w:shd w:val="clear" w:color="auto" w:fill="E5E5E5" w:themeFill="accent1" w:themeFillTint="33"/>
            <w:vAlign w:val="center"/>
            <w:hideMark/>
          </w:tcPr>
          <w:p w14:paraId="07C77349" w14:textId="77777777" w:rsidR="00FA1AA9" w:rsidRPr="00124E7F" w:rsidRDefault="00FA1AA9" w:rsidP="002C267F">
            <w:pPr>
              <w:autoSpaceDE/>
              <w:autoSpaceDN/>
              <w:adjustRightInd/>
              <w:spacing w:line="240" w:lineRule="auto"/>
              <w:jc w:val="center"/>
              <w:rPr>
                <w:b/>
                <w:color w:val="auto"/>
              </w:rPr>
            </w:pPr>
            <w:r w:rsidRPr="00124E7F">
              <w:rPr>
                <w:b/>
                <w:color w:val="auto"/>
              </w:rPr>
              <w:t>Net expected impact</w:t>
            </w:r>
          </w:p>
        </w:tc>
        <w:tc>
          <w:tcPr>
            <w:tcW w:w="733" w:type="pct"/>
            <w:tcBorders>
              <w:top w:val="single" w:sz="4" w:space="0" w:color="808080" w:themeColor="background1" w:themeShade="80"/>
              <w:bottom w:val="single" w:sz="4" w:space="0" w:color="808080" w:themeColor="background1" w:themeShade="80"/>
            </w:tcBorders>
            <w:shd w:val="clear" w:color="auto" w:fill="E5E5E5" w:themeFill="accent1" w:themeFillTint="33"/>
            <w:vAlign w:val="center"/>
          </w:tcPr>
          <w:p w14:paraId="099E7737" w14:textId="77777777" w:rsidR="00FA1AA9" w:rsidRPr="00124E7F" w:rsidRDefault="00FA1AA9" w:rsidP="002C267F">
            <w:pPr>
              <w:autoSpaceDE/>
              <w:autoSpaceDN/>
              <w:adjustRightInd/>
              <w:spacing w:line="240" w:lineRule="auto"/>
              <w:jc w:val="center"/>
              <w:rPr>
                <w:b/>
                <w:color w:val="auto"/>
              </w:rPr>
            </w:pPr>
            <w:r w:rsidRPr="00124E7F">
              <w:rPr>
                <w:b/>
                <w:color w:val="auto"/>
              </w:rPr>
              <w:t>-</w:t>
            </w:r>
          </w:p>
        </w:tc>
        <w:tc>
          <w:tcPr>
            <w:tcW w:w="404" w:type="pct"/>
            <w:tcBorders>
              <w:top w:val="single" w:sz="4" w:space="0" w:color="808080" w:themeColor="background1" w:themeShade="80"/>
              <w:bottom w:val="single" w:sz="4" w:space="0" w:color="808080" w:themeColor="background1" w:themeShade="80"/>
            </w:tcBorders>
            <w:shd w:val="clear" w:color="auto" w:fill="E5E5E5" w:themeFill="accent1" w:themeFillTint="33"/>
            <w:vAlign w:val="center"/>
          </w:tcPr>
          <w:p w14:paraId="1F5020BB" w14:textId="77777777" w:rsidR="00FA1AA9" w:rsidRPr="00124E7F" w:rsidRDefault="00FA1AA9" w:rsidP="002C267F">
            <w:pPr>
              <w:spacing w:line="240" w:lineRule="auto"/>
              <w:jc w:val="center"/>
              <w:rPr>
                <w:b/>
                <w:color w:val="auto"/>
              </w:rPr>
            </w:pPr>
            <w:r w:rsidRPr="00124E7F">
              <w:rPr>
                <w:b/>
                <w:color w:val="auto"/>
              </w:rPr>
              <w:t>-</w:t>
            </w:r>
          </w:p>
        </w:tc>
        <w:tc>
          <w:tcPr>
            <w:tcW w:w="1288" w:type="pct"/>
            <w:tcBorders>
              <w:top w:val="single" w:sz="4" w:space="0" w:color="808080" w:themeColor="background1" w:themeShade="80"/>
              <w:bottom w:val="single" w:sz="4" w:space="0" w:color="808080" w:themeColor="background1" w:themeShade="80"/>
            </w:tcBorders>
            <w:shd w:val="clear" w:color="auto" w:fill="E5E5E5" w:themeFill="accent1" w:themeFillTint="33"/>
            <w:vAlign w:val="center"/>
          </w:tcPr>
          <w:p w14:paraId="60047A6A" w14:textId="77777777" w:rsidR="00FA1AA9" w:rsidRPr="00124E7F" w:rsidRDefault="00FA1AA9" w:rsidP="002C267F">
            <w:pPr>
              <w:autoSpaceDE/>
              <w:autoSpaceDN/>
              <w:adjustRightInd/>
              <w:spacing w:line="240" w:lineRule="auto"/>
              <w:jc w:val="center"/>
              <w:rPr>
                <w:b/>
                <w:color w:val="auto"/>
              </w:rPr>
            </w:pPr>
            <w:r w:rsidRPr="00124E7F">
              <w:rPr>
                <w:b/>
                <w:color w:val="auto"/>
              </w:rPr>
              <w:t>Positive, not strong</w:t>
            </w:r>
          </w:p>
        </w:tc>
        <w:tc>
          <w:tcPr>
            <w:tcW w:w="1147" w:type="pct"/>
            <w:tcBorders>
              <w:top w:val="single" w:sz="4" w:space="0" w:color="808080" w:themeColor="background1" w:themeShade="80"/>
              <w:bottom w:val="single" w:sz="4" w:space="0" w:color="808080" w:themeColor="background1" w:themeShade="80"/>
            </w:tcBorders>
            <w:shd w:val="clear" w:color="auto" w:fill="E5E5E5" w:themeFill="accent1" w:themeFillTint="33"/>
          </w:tcPr>
          <w:p w14:paraId="26D919DA" w14:textId="77777777" w:rsidR="00FA1AA9" w:rsidRPr="00202E68" w:rsidRDefault="00FA1AA9" w:rsidP="002C267F">
            <w:pPr>
              <w:autoSpaceDE/>
              <w:autoSpaceDN/>
              <w:adjustRightInd/>
              <w:spacing w:line="240" w:lineRule="auto"/>
              <w:jc w:val="center"/>
              <w:rPr>
                <w:b/>
                <w:color w:val="auto"/>
              </w:rPr>
            </w:pPr>
          </w:p>
        </w:tc>
        <w:tc>
          <w:tcPr>
            <w:tcW w:w="573" w:type="pct"/>
            <w:tcBorders>
              <w:top w:val="single" w:sz="4" w:space="0" w:color="808080" w:themeColor="background1" w:themeShade="80"/>
              <w:bottom w:val="single" w:sz="4" w:space="0" w:color="808080" w:themeColor="background1" w:themeShade="80"/>
            </w:tcBorders>
            <w:shd w:val="clear" w:color="auto" w:fill="E5E5E5" w:themeFill="accent1" w:themeFillTint="33"/>
            <w:vAlign w:val="center"/>
          </w:tcPr>
          <w:p w14:paraId="71C17A30" w14:textId="77777777" w:rsidR="00FA1AA9" w:rsidRPr="004213AE" w:rsidRDefault="00FA1AA9" w:rsidP="002C267F">
            <w:pPr>
              <w:autoSpaceDE/>
              <w:autoSpaceDN/>
              <w:adjustRightInd/>
              <w:spacing w:line="240" w:lineRule="auto"/>
              <w:jc w:val="center"/>
              <w:rPr>
                <w:b/>
                <w:color w:val="auto"/>
              </w:rPr>
            </w:pPr>
            <w:r w:rsidRPr="004213AE">
              <w:rPr>
                <w:b/>
                <w:color w:val="auto"/>
              </w:rPr>
              <w:t>?+</w:t>
            </w:r>
          </w:p>
        </w:tc>
      </w:tr>
    </w:tbl>
    <w:p w14:paraId="1C60577C" w14:textId="77777777" w:rsidR="00FA1AA9" w:rsidRPr="00124E7F" w:rsidRDefault="00FA1AA9" w:rsidP="00FA1AA9"/>
    <w:p w14:paraId="3708FF79" w14:textId="77777777" w:rsidR="00FA1AA9" w:rsidRPr="00124E7F" w:rsidRDefault="00FA1AA9">
      <w:pPr>
        <w:widowControl/>
        <w:autoSpaceDE/>
        <w:autoSpaceDN/>
        <w:adjustRightInd/>
        <w:spacing w:line="240" w:lineRule="auto"/>
        <w:rPr>
          <w:b/>
          <w:szCs w:val="24"/>
          <w:lang w:val="en-US"/>
        </w:rPr>
      </w:pPr>
      <w:r w:rsidRPr="00124E7F">
        <w:br w:type="page"/>
      </w:r>
    </w:p>
    <w:p w14:paraId="6F3D8D1C" w14:textId="77777777" w:rsidR="00804049" w:rsidRPr="00124E7F" w:rsidRDefault="00804049" w:rsidP="007A51B0">
      <w:pPr>
        <w:pStyle w:val="EYHeading4"/>
      </w:pPr>
      <w:r w:rsidRPr="00124E7F">
        <w:t xml:space="preserve">Benefits to copyright holders and users arising from reduced </w:t>
      </w:r>
      <w:r w:rsidR="005A15BF" w:rsidRPr="00124E7F">
        <w:t>administration</w:t>
      </w:r>
      <w:r w:rsidRPr="00124E7F">
        <w:t xml:space="preserve"> costs</w:t>
      </w:r>
    </w:p>
    <w:p w14:paraId="275B684E" w14:textId="77777777" w:rsidR="00776BF4" w:rsidRPr="00124E7F" w:rsidRDefault="002037FD" w:rsidP="00786E35">
      <w:pPr>
        <w:pStyle w:val="EYBodytextwithparaspace"/>
      </w:pPr>
      <w:r w:rsidRPr="00124E7F">
        <w:t xml:space="preserve">Absent an exception or similar provision, use of </w:t>
      </w:r>
      <w:r w:rsidR="00C546DD" w:rsidRPr="00124E7F">
        <w:t>a copyright work</w:t>
      </w:r>
      <w:r w:rsidRPr="00124E7F">
        <w:t xml:space="preserve"> for quotation</w:t>
      </w:r>
      <w:r w:rsidR="006871D3" w:rsidRPr="00124E7F">
        <w:t xml:space="preserve"> </w:t>
      </w:r>
      <w:r w:rsidR="00D4396F" w:rsidRPr="00124E7F">
        <w:t xml:space="preserve">may </w:t>
      </w:r>
      <w:r w:rsidR="00C546DD" w:rsidRPr="00124E7F">
        <w:t>require permission from the creator of the quoted work</w:t>
      </w:r>
      <w:r w:rsidRPr="00124E7F">
        <w:t>.</w:t>
      </w:r>
      <w:r w:rsidR="006871D3" w:rsidRPr="00124E7F">
        <w:t xml:space="preserve"> </w:t>
      </w:r>
      <w:r w:rsidR="00C546DD" w:rsidRPr="00124E7F">
        <w:t>S</w:t>
      </w:r>
      <w:r w:rsidR="006871D3" w:rsidRPr="00124E7F">
        <w:t>ince the nature of each use is likely to be different (</w:t>
      </w:r>
      <w:r w:rsidR="00C546DD" w:rsidRPr="00124E7F">
        <w:t>e.g.</w:t>
      </w:r>
      <w:r w:rsidR="006871D3" w:rsidRPr="00124E7F">
        <w:t xml:space="preserve"> depending on the extent of use, the purpose of the work and intended audience), it is unlikely that a standard set of contract terms would suffice to cover all possible uses of </w:t>
      </w:r>
      <w:r w:rsidR="00C546DD" w:rsidRPr="00124E7F">
        <w:t>quotation</w:t>
      </w:r>
      <w:r w:rsidR="006871D3" w:rsidRPr="00124E7F">
        <w:t>.</w:t>
      </w:r>
      <w:r w:rsidR="006871D3" w:rsidRPr="00124E7F">
        <w:rPr>
          <w:vertAlign w:val="superscript"/>
        </w:rPr>
        <w:footnoteReference w:id="33"/>
      </w:r>
      <w:r w:rsidR="002D4075" w:rsidRPr="00124E7F">
        <w:t xml:space="preserve"> </w:t>
      </w:r>
      <w:r w:rsidR="006871D3" w:rsidRPr="00124E7F">
        <w:t xml:space="preserve">Rather, absent exceptions, bi-lateral negotiations would likely </w:t>
      </w:r>
      <w:r w:rsidR="00B65683" w:rsidRPr="00124E7F">
        <w:t>ensue b</w:t>
      </w:r>
      <w:r w:rsidR="006871D3" w:rsidRPr="00124E7F">
        <w:t>etween right</w:t>
      </w:r>
      <w:r w:rsidR="006B2E08" w:rsidRPr="00124E7F">
        <w:t>s</w:t>
      </w:r>
      <w:r w:rsidR="006871D3" w:rsidRPr="00124E7F">
        <w:t xml:space="preserve"> holder</w:t>
      </w:r>
      <w:r w:rsidR="00B65683" w:rsidRPr="00124E7F">
        <w:t>s</w:t>
      </w:r>
      <w:r w:rsidR="006871D3" w:rsidRPr="00124E7F">
        <w:t xml:space="preserve"> and user</w:t>
      </w:r>
      <w:r w:rsidR="00B65683" w:rsidRPr="00124E7F">
        <w:t>s</w:t>
      </w:r>
      <w:r w:rsidR="006871D3" w:rsidRPr="00124E7F">
        <w:t xml:space="preserve"> in order to account for the specific circumstances of </w:t>
      </w:r>
      <w:r w:rsidR="00B65683" w:rsidRPr="00124E7F">
        <w:t>each</w:t>
      </w:r>
      <w:r w:rsidR="006871D3" w:rsidRPr="00124E7F">
        <w:t xml:space="preserve"> transaction.</w:t>
      </w:r>
      <w:r w:rsidR="006871D3" w:rsidRPr="00124E7F">
        <w:rPr>
          <w:vertAlign w:val="superscript"/>
        </w:rPr>
        <w:footnoteReference w:id="34"/>
      </w:r>
      <w:r w:rsidR="002D4075" w:rsidRPr="00124E7F">
        <w:rPr>
          <w:vertAlign w:val="superscript"/>
        </w:rPr>
        <w:t xml:space="preserve"> </w:t>
      </w:r>
      <w:r w:rsidR="006871D3" w:rsidRPr="00124E7F">
        <w:t>For this reason, transaction costs are expected to be high compared to the often low ‘value-in-use</w:t>
      </w:r>
      <w:r w:rsidR="00B65683" w:rsidRPr="00124E7F">
        <w:t>’</w:t>
      </w:r>
      <w:r w:rsidR="006871D3" w:rsidRPr="00124E7F">
        <w:t xml:space="preserve"> of a </w:t>
      </w:r>
      <w:r w:rsidR="00C546DD" w:rsidRPr="00124E7F">
        <w:t>quote or extract</w:t>
      </w:r>
      <w:r w:rsidR="006871D3" w:rsidRPr="00124E7F">
        <w:t>.</w:t>
      </w:r>
      <w:r w:rsidR="006871D3" w:rsidRPr="00124E7F">
        <w:rPr>
          <w:vertAlign w:val="superscript"/>
        </w:rPr>
        <w:footnoteReference w:id="35"/>
      </w:r>
      <w:r w:rsidR="006871D3" w:rsidRPr="00124E7F">
        <w:t xml:space="preserve"> </w:t>
      </w:r>
      <w:r w:rsidR="00B65683" w:rsidRPr="00124E7F">
        <w:t>And, w</w:t>
      </w:r>
      <w:r w:rsidR="006871D3" w:rsidRPr="00124E7F">
        <w:t xml:space="preserve">hile it is </w:t>
      </w:r>
      <w:proofErr w:type="spellStart"/>
      <w:r w:rsidR="006871D3" w:rsidRPr="00124E7F">
        <w:t>recognised</w:t>
      </w:r>
      <w:proofErr w:type="spellEnd"/>
      <w:r w:rsidR="006871D3" w:rsidRPr="00124E7F">
        <w:t xml:space="preserve"> that improvements in digital technology have automated </w:t>
      </w:r>
      <w:r w:rsidR="00C546DD" w:rsidRPr="00124E7F">
        <w:t xml:space="preserve">many </w:t>
      </w:r>
      <w:r w:rsidR="006871D3" w:rsidRPr="00124E7F">
        <w:t>clearance process</w:t>
      </w:r>
      <w:r w:rsidR="00C546DD" w:rsidRPr="00124E7F">
        <w:t>es</w:t>
      </w:r>
      <w:r w:rsidR="006871D3" w:rsidRPr="00124E7F">
        <w:t xml:space="preserve"> and reduced transaction costs, it is also </w:t>
      </w:r>
      <w:proofErr w:type="spellStart"/>
      <w:r w:rsidR="006871D3" w:rsidRPr="00124E7F">
        <w:t>recognised</w:t>
      </w:r>
      <w:proofErr w:type="spellEnd"/>
      <w:r w:rsidR="006871D3" w:rsidRPr="00124E7F">
        <w:t xml:space="preserve"> that there are gaps.</w:t>
      </w:r>
      <w:r w:rsidR="00916F7B" w:rsidRPr="00124E7F">
        <w:t xml:space="preserve"> </w:t>
      </w:r>
      <w:r w:rsidR="006871D3" w:rsidRPr="00124E7F">
        <w:t>Therefore, to the extent that use of copyri</w:t>
      </w:r>
      <w:r w:rsidR="00C546DD" w:rsidRPr="00124E7F">
        <w:t xml:space="preserve">ght content for quotes </w:t>
      </w:r>
      <w:r w:rsidR="006871D3" w:rsidRPr="00124E7F">
        <w:t>curren</w:t>
      </w:r>
      <w:r w:rsidR="00C546DD" w:rsidRPr="00124E7F">
        <w:t xml:space="preserve">tly requires permission, </w:t>
      </w:r>
      <w:r w:rsidR="00D4396F" w:rsidRPr="00124E7F">
        <w:t>the proposed new fair dealing exception</w:t>
      </w:r>
      <w:r w:rsidR="006871D3" w:rsidRPr="00124E7F">
        <w:t xml:space="preserve"> would be expected to lead to savings in transaction costs for both right</w:t>
      </w:r>
      <w:r w:rsidR="006B2E08" w:rsidRPr="00124E7F">
        <w:t>s</w:t>
      </w:r>
      <w:r w:rsidR="006871D3" w:rsidRPr="00124E7F">
        <w:t xml:space="preserve"> holders and </w:t>
      </w:r>
      <w:r w:rsidR="002A12FB" w:rsidRPr="00124E7F">
        <w:t>users</w:t>
      </w:r>
      <w:r w:rsidR="006871D3" w:rsidRPr="00124E7F">
        <w:t xml:space="preserve">. </w:t>
      </w:r>
    </w:p>
    <w:p w14:paraId="78BD38FF" w14:textId="77777777" w:rsidR="00C4664E" w:rsidRPr="00124E7F" w:rsidRDefault="00C4664E" w:rsidP="005F191D">
      <w:pPr>
        <w:pStyle w:val="EYHeading4"/>
      </w:pPr>
      <w:r w:rsidRPr="00124E7F">
        <w:t>Number of uses</w:t>
      </w:r>
    </w:p>
    <w:p w14:paraId="0E40857A" w14:textId="77777777" w:rsidR="00A47035" w:rsidRPr="00124E7F" w:rsidRDefault="00916F7B" w:rsidP="00B1160D">
      <w:pPr>
        <w:pStyle w:val="EYBodytextwithparaspace"/>
        <w:spacing w:after="200"/>
      </w:pPr>
      <w:r w:rsidRPr="00124E7F">
        <w:t xml:space="preserve">To estimate the total </w:t>
      </w:r>
      <w:r w:rsidR="006C464A" w:rsidRPr="00124E7F">
        <w:t xml:space="preserve">transaction </w:t>
      </w:r>
      <w:r w:rsidRPr="00124E7F">
        <w:t>savings to right</w:t>
      </w:r>
      <w:r w:rsidR="006B2E08" w:rsidRPr="00124E7F">
        <w:t>s</w:t>
      </w:r>
      <w:r w:rsidRPr="00124E7F">
        <w:t xml:space="preserve"> holders and users, estimates are required of how many uses are currently made and how many permissions are sought.</w:t>
      </w:r>
      <w:r w:rsidR="00776BF4" w:rsidRPr="00124E7F">
        <w:t xml:space="preserve"> </w:t>
      </w:r>
      <w:r w:rsidRPr="00124E7F">
        <w:t>Obtain</w:t>
      </w:r>
      <w:r w:rsidR="00776BF4" w:rsidRPr="00124E7F">
        <w:t>ing such estimates is difficult. A very high estimate could include the 68 per cent of internet users in Australia who use social networking sites such as Facebook, LinkedIn and Instagram.</w:t>
      </w:r>
      <w:r w:rsidR="00776BF4" w:rsidRPr="00124E7F">
        <w:rPr>
          <w:vertAlign w:val="superscript"/>
        </w:rPr>
        <w:footnoteReference w:id="36"/>
      </w:r>
      <w:r w:rsidR="00776BF4" w:rsidRPr="00124E7F">
        <w:t xml:space="preserve"> Many of these internet users will use small quotes or extracts from other people’s</w:t>
      </w:r>
      <w:r w:rsidR="00A47035" w:rsidRPr="00124E7F">
        <w:t xml:space="preserve"> work in generating their own content on these sites. However, most will do so without asking for permission (whether lawfully or unlawfully) and, for this reason, this group of people is not appropriate for our estimates. </w:t>
      </w:r>
    </w:p>
    <w:p w14:paraId="5C4D5017" w14:textId="77777777" w:rsidR="005D0A07" w:rsidRPr="00124E7F" w:rsidRDefault="00776BF4" w:rsidP="00B1160D">
      <w:pPr>
        <w:pStyle w:val="EYBodytextwithparaspace"/>
        <w:spacing w:after="200"/>
      </w:pPr>
      <w:r w:rsidRPr="00124E7F">
        <w:t xml:space="preserve">The group most likely to seek permission for </w:t>
      </w:r>
      <w:r w:rsidR="005D0A07" w:rsidRPr="00124E7F">
        <w:t>quoting</w:t>
      </w:r>
      <w:r w:rsidRPr="00124E7F">
        <w:t xml:space="preserve"> copyright content </w:t>
      </w:r>
      <w:r w:rsidR="00624A17" w:rsidRPr="00124E7F">
        <w:t>is</w:t>
      </w:r>
      <w:r w:rsidR="005D0A07" w:rsidRPr="00124E7F">
        <w:t xml:space="preserve"> authors</w:t>
      </w:r>
      <w:r w:rsidR="0017650D" w:rsidRPr="00124E7F">
        <w:t>/publishers</w:t>
      </w:r>
      <w:r w:rsidR="00A47035" w:rsidRPr="00124E7F">
        <w:t xml:space="preserve"> and</w:t>
      </w:r>
      <w:r w:rsidR="00624A17" w:rsidRPr="00124E7F">
        <w:t>, of this group, academics and other scholars.</w:t>
      </w:r>
      <w:r w:rsidR="005D0A07" w:rsidRPr="00124E7F">
        <w:t xml:space="preserve"> </w:t>
      </w:r>
      <w:r w:rsidR="00624A17" w:rsidRPr="00124E7F">
        <w:t xml:space="preserve">A </w:t>
      </w:r>
      <w:r w:rsidR="00080F6A" w:rsidRPr="00124E7F">
        <w:t xml:space="preserve">recent </w:t>
      </w:r>
      <w:r w:rsidR="00624A17" w:rsidRPr="00124E7F">
        <w:t>report on the state of Australian university research showed that more than 430,000</w:t>
      </w:r>
      <w:r w:rsidR="00A47035" w:rsidRPr="00124E7F">
        <w:t xml:space="preserve"> books, book </w:t>
      </w:r>
      <w:r w:rsidR="007C18F2" w:rsidRPr="00124E7F">
        <w:t>chapters</w:t>
      </w:r>
      <w:r w:rsidR="00624A17" w:rsidRPr="00124E7F">
        <w:t xml:space="preserve">, journal articles and conference papers were </w:t>
      </w:r>
      <w:r w:rsidR="00080F6A" w:rsidRPr="00124E7F">
        <w:t xml:space="preserve">produced between 2008 and 2013, an average of </w:t>
      </w:r>
      <w:r w:rsidR="007B3DAF" w:rsidRPr="00124E7F">
        <w:t xml:space="preserve">around </w:t>
      </w:r>
      <w:r w:rsidR="00080F6A" w:rsidRPr="00124E7F">
        <w:t xml:space="preserve">70,000 </w:t>
      </w:r>
      <w:r w:rsidR="007C18F2" w:rsidRPr="00124E7F">
        <w:t>new</w:t>
      </w:r>
      <w:r w:rsidR="00080F6A" w:rsidRPr="00124E7F">
        <w:t xml:space="preserve"> pieces of content per year.</w:t>
      </w:r>
      <w:r w:rsidR="00080F6A" w:rsidRPr="00124E7F">
        <w:rPr>
          <w:vertAlign w:val="superscript"/>
        </w:rPr>
        <w:footnoteReference w:id="37"/>
      </w:r>
      <w:r w:rsidR="00080F6A" w:rsidRPr="00124E7F">
        <w:rPr>
          <w:vertAlign w:val="superscript"/>
        </w:rPr>
        <w:t xml:space="preserve"> </w:t>
      </w:r>
      <w:r w:rsidR="007C18F2" w:rsidRPr="00124E7F">
        <w:t>This is a useful starting point for estimating the savings in transaction costs</w:t>
      </w:r>
      <w:r w:rsidR="00A47035" w:rsidRPr="00124E7F">
        <w:t xml:space="preserve"> from introducing an </w:t>
      </w:r>
      <w:r w:rsidR="007C18F2" w:rsidRPr="00124E7F">
        <w:t>exception for quotation.</w:t>
      </w:r>
      <w:r w:rsidR="005D0A07" w:rsidRPr="00124E7F">
        <w:t xml:space="preserve"> </w:t>
      </w:r>
      <w:r w:rsidR="007C18F2" w:rsidRPr="00124E7F">
        <w:t>However, it is likely to underestimate the total number of uses, as it does not include non-academic works or non-literary works.</w:t>
      </w:r>
      <w:r w:rsidR="005D0A07" w:rsidRPr="00124E7F">
        <w:t xml:space="preserve"> </w:t>
      </w:r>
    </w:p>
    <w:p w14:paraId="1D067A18" w14:textId="77777777" w:rsidR="00766487" w:rsidRPr="00124E7F" w:rsidRDefault="00C42AE7" w:rsidP="00B1160D">
      <w:pPr>
        <w:pStyle w:val="EYBodytextwithparaspace"/>
        <w:spacing w:after="180"/>
      </w:pPr>
      <w:r w:rsidRPr="00124E7F">
        <w:t>In addition to the number of works impacted, estimates are required of the number of quotations per work that require clearance.</w:t>
      </w:r>
      <w:r w:rsidR="005D0A07" w:rsidRPr="00124E7F">
        <w:t xml:space="preserve"> </w:t>
      </w:r>
      <w:r w:rsidRPr="00124E7F">
        <w:t xml:space="preserve">In the absence of reliable data, we </w:t>
      </w:r>
      <w:r w:rsidR="0017650D" w:rsidRPr="00124E7F">
        <w:t>borrow</w:t>
      </w:r>
      <w:r w:rsidRPr="00124E7F">
        <w:t xml:space="preserve"> the </w:t>
      </w:r>
      <w:r w:rsidR="007B3DAF" w:rsidRPr="00124E7F">
        <w:t xml:space="preserve">crucial but untested </w:t>
      </w:r>
      <w:r w:rsidRPr="00124E7F">
        <w:t xml:space="preserve">approach </w:t>
      </w:r>
      <w:r w:rsidR="0017650D" w:rsidRPr="00124E7F">
        <w:t>used</w:t>
      </w:r>
      <w:r w:rsidRPr="00124E7F">
        <w:t xml:space="preserve"> by the UK Intellectual Property Office in its own impact assessment of fair dealing for quotation, and assume that 10 per cent of the 70,000 titles identified above will use one extract that requires clearance, resulting </w:t>
      </w:r>
      <w:r w:rsidR="00A47035" w:rsidRPr="00124E7F">
        <w:t xml:space="preserve">in </w:t>
      </w:r>
      <w:r w:rsidRPr="00124E7F">
        <w:t>7,000 permissions sought.</w:t>
      </w:r>
      <w:r w:rsidRPr="00124E7F">
        <w:rPr>
          <w:vertAlign w:val="superscript"/>
        </w:rPr>
        <w:footnoteReference w:id="38"/>
      </w:r>
      <w:r w:rsidRPr="00124E7F">
        <w:rPr>
          <w:vertAlign w:val="superscript"/>
        </w:rPr>
        <w:t xml:space="preserve"> </w:t>
      </w:r>
      <w:r w:rsidR="006C464A" w:rsidRPr="00124E7F">
        <w:t>T</w:t>
      </w:r>
      <w:r w:rsidR="00565E38" w:rsidRPr="00124E7F">
        <w:t xml:space="preserve">his figure should be viewed as a </w:t>
      </w:r>
      <w:r w:rsidR="00693691" w:rsidRPr="00124E7F">
        <w:t xml:space="preserve">very </w:t>
      </w:r>
      <w:r w:rsidR="00565E38" w:rsidRPr="00124E7F">
        <w:t xml:space="preserve">conservative estimate, given that there is a high likelihood of academic </w:t>
      </w:r>
      <w:r w:rsidR="00A47035" w:rsidRPr="00124E7F">
        <w:t>publications</w:t>
      </w:r>
      <w:r w:rsidR="00565E38" w:rsidRPr="00124E7F">
        <w:t xml:space="preserve"> us</w:t>
      </w:r>
      <w:r w:rsidR="00826B8A" w:rsidRPr="00124E7F">
        <w:t xml:space="preserve">ing </w:t>
      </w:r>
      <w:r w:rsidR="00A47035" w:rsidRPr="00124E7F">
        <w:t>more than one quotation or extract per work</w:t>
      </w:r>
      <w:r w:rsidR="00826B8A" w:rsidRPr="00124E7F">
        <w:t xml:space="preserve">. </w:t>
      </w:r>
      <w:r w:rsidR="00766487" w:rsidRPr="00124E7F">
        <w:t>Conversely, many publishers adhere to permissions guidelines that permit the use of ‘insubstantial’ par</w:t>
      </w:r>
      <w:r w:rsidR="005D0A07" w:rsidRPr="00124E7F">
        <w:t xml:space="preserve">ts without explicit permission. </w:t>
      </w:r>
      <w:r w:rsidR="0017650D" w:rsidRPr="00124E7F">
        <w:t>T</w:t>
      </w:r>
      <w:r w:rsidR="00766487" w:rsidRPr="00124E7F">
        <w:t xml:space="preserve">his is </w:t>
      </w:r>
      <w:proofErr w:type="spellStart"/>
      <w:r w:rsidR="00766487" w:rsidRPr="00124E7F">
        <w:t>recognised</w:t>
      </w:r>
      <w:proofErr w:type="spellEnd"/>
      <w:r w:rsidR="00766487" w:rsidRPr="00124E7F">
        <w:t xml:space="preserve"> in the practices of over 60 publishers worldwide that are signatories to the STM Permissions Guidelines.</w:t>
      </w:r>
      <w:r w:rsidR="00766487" w:rsidRPr="00124E7F">
        <w:rPr>
          <w:vertAlign w:val="superscript"/>
        </w:rPr>
        <w:footnoteReference w:id="39"/>
      </w:r>
      <w:r w:rsidR="00766487" w:rsidRPr="00124E7F">
        <w:t xml:space="preserve"> The guidelines encourage the use of small portions of material from published </w:t>
      </w:r>
      <w:r w:rsidR="00826B8A" w:rsidRPr="00124E7F">
        <w:t>journal</w:t>
      </w:r>
      <w:r w:rsidR="00766487" w:rsidRPr="00124E7F">
        <w:t xml:space="preserve"> articles by academics in subsequent publications. </w:t>
      </w:r>
      <w:r w:rsidR="007B3DAF" w:rsidRPr="00124E7F">
        <w:t>For example, while policies vary a lot between publishers</w:t>
      </w:r>
      <w:r w:rsidR="00766487" w:rsidRPr="00124E7F">
        <w:t>, use of a maximum of two figures from a journal article and single text extracts of less than 100 words is generally encouraged without explicit permission needed.</w:t>
      </w:r>
      <w:r w:rsidR="00766487" w:rsidRPr="00124E7F">
        <w:rPr>
          <w:vertAlign w:val="superscript"/>
        </w:rPr>
        <w:footnoteReference w:id="40"/>
      </w:r>
      <w:r w:rsidR="005D0A07" w:rsidRPr="00124E7F">
        <w:t xml:space="preserve"> </w:t>
      </w:r>
      <w:r w:rsidR="00766487" w:rsidRPr="00124E7F">
        <w:t xml:space="preserve">For this reason, </w:t>
      </w:r>
      <w:r w:rsidR="00A47035" w:rsidRPr="00124E7F">
        <w:t xml:space="preserve">the </w:t>
      </w:r>
      <w:r w:rsidR="00766487" w:rsidRPr="00124E7F">
        <w:t xml:space="preserve">use of a conservative estimate is </w:t>
      </w:r>
      <w:r w:rsidR="005D0A07" w:rsidRPr="00124E7F">
        <w:t>appropriate</w:t>
      </w:r>
      <w:r w:rsidR="00766487" w:rsidRPr="00124E7F">
        <w:t>.</w:t>
      </w:r>
    </w:p>
    <w:p w14:paraId="1C86A83D" w14:textId="77777777" w:rsidR="00C4664E" w:rsidRPr="00124E7F" w:rsidRDefault="00C4664E" w:rsidP="005F191D">
      <w:pPr>
        <w:pStyle w:val="EYHeading4"/>
      </w:pPr>
      <w:r w:rsidRPr="00124E7F">
        <w:t>Costs of clearing permission</w:t>
      </w:r>
    </w:p>
    <w:p w14:paraId="74F0E481" w14:textId="77777777" w:rsidR="00C146FF" w:rsidRPr="00124E7F" w:rsidRDefault="001F3202" w:rsidP="00B1160D">
      <w:pPr>
        <w:pStyle w:val="EYBodytextwithparaspace"/>
        <w:spacing w:after="180"/>
      </w:pPr>
      <w:r w:rsidRPr="00124E7F">
        <w:t>Both right</w:t>
      </w:r>
      <w:r w:rsidR="006B2E08" w:rsidRPr="00124E7F">
        <w:t>s</w:t>
      </w:r>
      <w:r w:rsidRPr="00124E7F">
        <w:t xml:space="preserve"> holders (</w:t>
      </w:r>
      <w:r w:rsidR="00D856ED" w:rsidRPr="00124E7F">
        <w:t xml:space="preserve">either the </w:t>
      </w:r>
      <w:r w:rsidRPr="00124E7F">
        <w:t xml:space="preserve">author </w:t>
      </w:r>
      <w:r w:rsidR="00D856ED" w:rsidRPr="00124E7F">
        <w:t xml:space="preserve">or </w:t>
      </w:r>
      <w:r w:rsidRPr="00124E7F">
        <w:t xml:space="preserve">publisher) and users will incur time in the process of obtaining permissions for </w:t>
      </w:r>
      <w:r w:rsidR="00C24726" w:rsidRPr="00124E7F">
        <w:t xml:space="preserve">the </w:t>
      </w:r>
      <w:r w:rsidR="003B7730" w:rsidRPr="00124E7F">
        <w:t>7</w:t>
      </w:r>
      <w:r w:rsidRPr="00124E7F">
        <w:t xml:space="preserve">,000 extracts. </w:t>
      </w:r>
      <w:r w:rsidR="00C24726" w:rsidRPr="00124E7F">
        <w:t>To estimate the transaction costs, we use the findings of a PwC report</w:t>
      </w:r>
      <w:r w:rsidR="003B7730" w:rsidRPr="00124E7F">
        <w:t xml:space="preserve">, which </w:t>
      </w:r>
      <w:r w:rsidR="0017650D" w:rsidRPr="00124E7F">
        <w:t>estimate</w:t>
      </w:r>
      <w:r w:rsidR="00D856ED" w:rsidRPr="00124E7F">
        <w:t>s</w:t>
      </w:r>
      <w:r w:rsidR="003B7730" w:rsidRPr="00124E7F">
        <w:t xml:space="preserve"> the time taken to clear </w:t>
      </w:r>
      <w:r w:rsidR="00C24726" w:rsidRPr="00124E7F">
        <w:t xml:space="preserve">permissions under an </w:t>
      </w:r>
      <w:proofErr w:type="spellStart"/>
      <w:r w:rsidR="00C24726" w:rsidRPr="00124E7F">
        <w:t>atomised</w:t>
      </w:r>
      <w:proofErr w:type="spellEnd"/>
      <w:r w:rsidR="00C24726" w:rsidRPr="00124E7F">
        <w:t xml:space="preserve"> higher education </w:t>
      </w:r>
      <w:r w:rsidR="005D236A" w:rsidRPr="00124E7F">
        <w:t>licens</w:t>
      </w:r>
      <w:r w:rsidR="007D4AFF" w:rsidRPr="00124E7F">
        <w:t>ing</w:t>
      </w:r>
      <w:r w:rsidR="00C24726" w:rsidRPr="00124E7F">
        <w:t xml:space="preserve"> system.</w:t>
      </w:r>
      <w:r w:rsidR="00C24726" w:rsidRPr="00124E7F">
        <w:rPr>
          <w:vertAlign w:val="superscript"/>
        </w:rPr>
        <w:footnoteReference w:id="41"/>
      </w:r>
      <w:r w:rsidR="00C24726" w:rsidRPr="00124E7F">
        <w:rPr>
          <w:vertAlign w:val="superscript"/>
        </w:rPr>
        <w:t xml:space="preserve"> </w:t>
      </w:r>
      <w:r w:rsidR="0017650D" w:rsidRPr="00124E7F">
        <w:t>The report</w:t>
      </w:r>
      <w:r w:rsidR="00C24726" w:rsidRPr="00124E7F">
        <w:t xml:space="preserve"> found that the average time spent by users on rights clearance was five hours and included </w:t>
      </w:r>
      <w:r w:rsidR="009C6310" w:rsidRPr="00124E7F">
        <w:t>searching for the right</w:t>
      </w:r>
      <w:r w:rsidR="006B2E08" w:rsidRPr="00124E7F">
        <w:t>s</w:t>
      </w:r>
      <w:r w:rsidR="009C6310" w:rsidRPr="00124E7F">
        <w:t xml:space="preserve"> holder,</w:t>
      </w:r>
      <w:r w:rsidR="00C24726" w:rsidRPr="00124E7F">
        <w:t xml:space="preserve"> making</w:t>
      </w:r>
      <w:r w:rsidR="009C6310" w:rsidRPr="00124E7F">
        <w:t xml:space="preserve"> contact with the right</w:t>
      </w:r>
      <w:r w:rsidR="006B2E08" w:rsidRPr="00124E7F">
        <w:t>s</w:t>
      </w:r>
      <w:r w:rsidR="009C6310" w:rsidRPr="00124E7F">
        <w:t xml:space="preserve"> holder,</w:t>
      </w:r>
      <w:r w:rsidR="00C24726" w:rsidRPr="00124E7F">
        <w:t xml:space="preserve"> </w:t>
      </w:r>
      <w:r w:rsidR="0017650D" w:rsidRPr="00124E7F">
        <w:t>negotiating</w:t>
      </w:r>
      <w:r w:rsidR="009C6310" w:rsidRPr="00124E7F">
        <w:t xml:space="preserve"> with the right</w:t>
      </w:r>
      <w:r w:rsidR="006B2E08" w:rsidRPr="00124E7F">
        <w:t>s</w:t>
      </w:r>
      <w:r w:rsidR="009C6310" w:rsidRPr="00124E7F">
        <w:t xml:space="preserve"> holder,</w:t>
      </w:r>
      <w:r w:rsidR="00C24726" w:rsidRPr="00124E7F">
        <w:t xml:space="preserve"> and administration required to undertake payment. The average time spent by right</w:t>
      </w:r>
      <w:r w:rsidR="006B2E08" w:rsidRPr="00124E7F">
        <w:t>s</w:t>
      </w:r>
      <w:r w:rsidR="00C24726" w:rsidRPr="00124E7F">
        <w:t xml:space="preserve"> holders was estimated at four and a half hours and included negotiating with the user; invoicing the user; </w:t>
      </w:r>
      <w:r w:rsidR="0017650D" w:rsidRPr="00124E7F">
        <w:t xml:space="preserve">and </w:t>
      </w:r>
      <w:r w:rsidR="00C24726" w:rsidRPr="00124E7F">
        <w:t xml:space="preserve">receiving and processing payments. In total, the time taken to clear permissions is estimated at 9.5 hours. </w:t>
      </w:r>
      <w:r w:rsidR="00C146FF" w:rsidRPr="00124E7F">
        <w:t xml:space="preserve">However, </w:t>
      </w:r>
      <w:r w:rsidR="0017650D" w:rsidRPr="00124E7F">
        <w:t>this</w:t>
      </w:r>
      <w:r w:rsidR="00C146FF" w:rsidRPr="00124E7F">
        <w:t xml:space="preserve"> estimate is likely to be inflated as a number of automated platforms such as </w:t>
      </w:r>
      <w:r w:rsidR="0072326B" w:rsidRPr="00124E7F">
        <w:t xml:space="preserve">the Copyright Agency Rights Portal (Australian-based) and </w:t>
      </w:r>
      <w:proofErr w:type="spellStart"/>
      <w:r w:rsidR="0072326B" w:rsidRPr="00124E7F">
        <w:t>RightsLink</w:t>
      </w:r>
      <w:proofErr w:type="spellEnd"/>
      <w:r w:rsidR="0072326B" w:rsidRPr="00124E7F">
        <w:t xml:space="preserve"> (US-based)</w:t>
      </w:r>
      <w:r w:rsidR="009C6310" w:rsidRPr="00124E7F">
        <w:t xml:space="preserve"> are known to facilitate the clearance of permissions in a fraction of the time</w:t>
      </w:r>
      <w:r w:rsidR="00C146FF" w:rsidRPr="00124E7F">
        <w:t xml:space="preserve">. According to </w:t>
      </w:r>
      <w:r w:rsidR="006C464A" w:rsidRPr="00124E7F">
        <w:t>publisher Wiley:</w:t>
      </w:r>
    </w:p>
    <w:p w14:paraId="587B197B" w14:textId="77777777" w:rsidR="006C464A" w:rsidRPr="00124E7F" w:rsidRDefault="006C464A" w:rsidP="00B1160D">
      <w:pPr>
        <w:spacing w:line="276" w:lineRule="auto"/>
        <w:ind w:left="284"/>
        <w:rPr>
          <w:szCs w:val="22"/>
        </w:rPr>
      </w:pPr>
      <w:r w:rsidRPr="00124E7F">
        <w:rPr>
          <w:i/>
          <w:iCs/>
          <w:szCs w:val="22"/>
          <w:lang w:val="en-US"/>
        </w:rPr>
        <w:t>This service [</w:t>
      </w:r>
      <w:proofErr w:type="spellStart"/>
      <w:r w:rsidRPr="00124E7F">
        <w:rPr>
          <w:i/>
          <w:iCs/>
          <w:szCs w:val="22"/>
          <w:lang w:val="en-US"/>
        </w:rPr>
        <w:t>RightsLink</w:t>
      </w:r>
      <w:proofErr w:type="spellEnd"/>
      <w:r w:rsidRPr="00124E7F">
        <w:rPr>
          <w:i/>
          <w:iCs/>
          <w:szCs w:val="22"/>
          <w:lang w:val="en-US"/>
        </w:rPr>
        <w:t xml:space="preserve">] is owned and operated by the Copyright Clearance Centre and is accessible directly from a participating publishers’ content on their web site. The majority of Wiley content includes a ‘request permission’ link online. This enables users to quickly and easily clear permissions for a range of different purposes online, download their </w:t>
      </w:r>
      <w:r w:rsidR="005D236A" w:rsidRPr="00124E7F">
        <w:rPr>
          <w:i/>
          <w:iCs/>
          <w:szCs w:val="22"/>
          <w:lang w:val="en-US"/>
        </w:rPr>
        <w:t>licens</w:t>
      </w:r>
      <w:r w:rsidR="007D4AFF" w:rsidRPr="00124E7F">
        <w:rPr>
          <w:i/>
          <w:iCs/>
          <w:szCs w:val="22"/>
          <w:lang w:val="en-US"/>
        </w:rPr>
        <w:t>e</w:t>
      </w:r>
      <w:r w:rsidRPr="00124E7F">
        <w:rPr>
          <w:i/>
          <w:iCs/>
          <w:szCs w:val="22"/>
          <w:lang w:val="en-US"/>
        </w:rPr>
        <w:t xml:space="preserve"> and (where applicable) pay the required fee through an automated system. This process can take as little as 5 minutes but especially for some commercial reuses where further clarification of usage is required the c</w:t>
      </w:r>
      <w:r w:rsidR="0097562E" w:rsidRPr="00124E7F">
        <w:rPr>
          <w:i/>
          <w:iCs/>
          <w:szCs w:val="22"/>
          <w:lang w:val="en-US"/>
        </w:rPr>
        <w:t xml:space="preserve">omplete process may take up to </w:t>
      </w:r>
      <w:r w:rsidRPr="00124E7F">
        <w:rPr>
          <w:i/>
          <w:iCs/>
          <w:szCs w:val="22"/>
          <w:lang w:val="en-US"/>
        </w:rPr>
        <w:t>15 working days. Many academic permission requests are automatically granted free of charge. </w:t>
      </w:r>
    </w:p>
    <w:p w14:paraId="058D5DD4" w14:textId="77777777" w:rsidR="002D6A95" w:rsidRPr="00124E7F" w:rsidRDefault="002D6A95" w:rsidP="002D6A95"/>
    <w:p w14:paraId="1B552ED6" w14:textId="77777777" w:rsidR="00FC765B" w:rsidRPr="00124E7F" w:rsidRDefault="00E867EF" w:rsidP="00786E35">
      <w:pPr>
        <w:pStyle w:val="EYBodytextwithparaspace"/>
      </w:pPr>
      <w:r w:rsidRPr="00124E7F">
        <w:t xml:space="preserve">To account for this, we assume that </w:t>
      </w:r>
      <w:r w:rsidR="00601009" w:rsidRPr="00124E7F">
        <w:t>3</w:t>
      </w:r>
      <w:r w:rsidRPr="00124E7F">
        <w:t xml:space="preserve">0 per cent of clearances are undertaken through </w:t>
      </w:r>
      <w:r w:rsidR="00117478" w:rsidRPr="00124E7F">
        <w:t xml:space="preserve">automated </w:t>
      </w:r>
      <w:r w:rsidRPr="00124E7F">
        <w:t xml:space="preserve">platforms such as </w:t>
      </w:r>
      <w:proofErr w:type="spellStart"/>
      <w:r w:rsidRPr="00124E7F">
        <w:t>RightsLink</w:t>
      </w:r>
      <w:proofErr w:type="spellEnd"/>
      <w:r w:rsidRPr="00124E7F">
        <w:t xml:space="preserve"> and </w:t>
      </w:r>
      <w:r w:rsidR="00601009" w:rsidRPr="00124E7F">
        <w:t>7</w:t>
      </w:r>
      <w:r w:rsidRPr="00124E7F">
        <w:t xml:space="preserve">0 per cent are undertaken manually. </w:t>
      </w:r>
      <w:r w:rsidR="0010673D" w:rsidRPr="00124E7F">
        <w:t xml:space="preserve">We use hourly costs from the 2014 Survey of Employee Earnings and Hours for administrative and support services, inflated by the Wage Price Index. </w:t>
      </w:r>
      <w:r w:rsidR="005B7D52" w:rsidRPr="00124E7F">
        <w:t>Based on the above, we calculate t</w:t>
      </w:r>
      <w:r w:rsidR="003B7730" w:rsidRPr="00124E7F">
        <w:t>ransaction savings of around $1.</w:t>
      </w:r>
      <w:r w:rsidR="00601009" w:rsidRPr="00124E7F">
        <w:t>6</w:t>
      </w:r>
      <w:r w:rsidR="00FC765B" w:rsidRPr="00124E7F">
        <w:t> million per annum.</w:t>
      </w:r>
    </w:p>
    <w:p w14:paraId="2DF290A6" w14:textId="77777777" w:rsidR="00447378" w:rsidRPr="00124E7F" w:rsidRDefault="00447378" w:rsidP="007A51B0">
      <w:pPr>
        <w:pStyle w:val="EYHeading4"/>
      </w:pPr>
      <w:r w:rsidRPr="00124E7F">
        <w:t>Enhanced use of existing copyright works</w:t>
      </w:r>
    </w:p>
    <w:p w14:paraId="4DA40007" w14:textId="77777777" w:rsidR="00FC765B" w:rsidRPr="00124E7F" w:rsidRDefault="00D856ED" w:rsidP="00786E35">
      <w:pPr>
        <w:pStyle w:val="EYBodytextwithparaspace"/>
      </w:pPr>
      <w:r w:rsidRPr="00124E7F">
        <w:t>A fall in transaction costs in the context of academic works is unlikely to lead to an increase in use of protected works</w:t>
      </w:r>
      <w:r w:rsidR="0083722F" w:rsidRPr="00124E7F">
        <w:t xml:space="preserve"> by academics</w:t>
      </w:r>
      <w:r w:rsidRPr="00124E7F">
        <w:t>.</w:t>
      </w:r>
      <w:r w:rsidR="00DA7B7D" w:rsidRPr="00124E7F">
        <w:t xml:space="preserve"> </w:t>
      </w:r>
      <w:r w:rsidR="00685AA8" w:rsidRPr="00124E7F">
        <w:t xml:space="preserve">However, </w:t>
      </w:r>
      <w:r w:rsidRPr="00124E7F">
        <w:t xml:space="preserve">it may result in an increase in the flexibility with which these academic works are disseminated to third parties and </w:t>
      </w:r>
      <w:r w:rsidR="00DA7B7D" w:rsidRPr="00124E7F">
        <w:t xml:space="preserve">the public. </w:t>
      </w:r>
    </w:p>
    <w:p w14:paraId="27A1F093" w14:textId="77777777" w:rsidR="0083722F" w:rsidRPr="00124E7F" w:rsidRDefault="00D856ED" w:rsidP="00786E35">
      <w:pPr>
        <w:pStyle w:val="EYBodytextwithparaspace"/>
      </w:pPr>
      <w:r w:rsidRPr="00124E7F">
        <w:t>One example provided by Universities Australia</w:t>
      </w:r>
      <w:r w:rsidR="00DA7B7D" w:rsidRPr="00124E7F">
        <w:t xml:space="preserve"> is the case of student theses</w:t>
      </w:r>
      <w:r w:rsidR="00FC765B" w:rsidRPr="00124E7F">
        <w:t>.</w:t>
      </w:r>
      <w:r w:rsidR="00DA7B7D" w:rsidRPr="00124E7F">
        <w:rPr>
          <w:vertAlign w:val="superscript"/>
        </w:rPr>
        <w:footnoteReference w:id="42"/>
      </w:r>
      <w:r w:rsidR="002D4075" w:rsidRPr="00124E7F">
        <w:t xml:space="preserve"> </w:t>
      </w:r>
      <w:r w:rsidR="00685AA8" w:rsidRPr="00124E7F">
        <w:t xml:space="preserve">Upon completion of their higher degree, universities require students to publish their </w:t>
      </w:r>
      <w:r w:rsidR="00DA7B7D" w:rsidRPr="00124E7F">
        <w:t xml:space="preserve">thesis on an online repository. </w:t>
      </w:r>
      <w:r w:rsidR="00685AA8" w:rsidRPr="00124E7F">
        <w:t xml:space="preserve">Students have several other </w:t>
      </w:r>
      <w:r w:rsidR="0037776B" w:rsidRPr="00124E7F">
        <w:t xml:space="preserve">publishing </w:t>
      </w:r>
      <w:r w:rsidR="00685AA8" w:rsidRPr="00124E7F">
        <w:t>options, for example, publishing their thesis as a book or journal articles with a commerci</w:t>
      </w:r>
      <w:r w:rsidR="00DA7B7D" w:rsidRPr="00124E7F">
        <w:t xml:space="preserve">al publisher or self-publishing. </w:t>
      </w:r>
      <w:r w:rsidR="00685AA8" w:rsidRPr="00124E7F">
        <w:t xml:space="preserve">Whatever the option chosen, </w:t>
      </w:r>
      <w:r w:rsidR="00DA7B7D" w:rsidRPr="00124E7F">
        <w:t xml:space="preserve">students are not able to rely on the fair dealing exception for research and study to reproduce quotes and extracts in published material. To avoid the risk of infringement, universities generally require their students to obtain permission </w:t>
      </w:r>
      <w:r w:rsidR="0097562E" w:rsidRPr="00124E7F">
        <w:t>for u</w:t>
      </w:r>
      <w:r w:rsidR="0097562E" w:rsidRPr="00124E7F">
        <w:rPr>
          <w:rStyle w:val="EYBodytextwithparaspaceChar"/>
        </w:rPr>
        <w:t>se of third party content.</w:t>
      </w:r>
      <w:r w:rsidR="00DA7B7D" w:rsidRPr="00124E7F">
        <w:rPr>
          <w:rStyle w:val="EYBodytextwithparaspaceChar"/>
          <w:vertAlign w:val="superscript"/>
        </w:rPr>
        <w:footnoteReference w:id="43"/>
      </w:r>
      <w:r w:rsidR="002D4075" w:rsidRPr="00124E7F">
        <w:rPr>
          <w:rStyle w:val="EYBodytextwithparaspaceChar"/>
          <w:vertAlign w:val="superscript"/>
        </w:rPr>
        <w:t xml:space="preserve"> </w:t>
      </w:r>
      <w:r w:rsidR="00DA7B7D" w:rsidRPr="00124E7F">
        <w:rPr>
          <w:rStyle w:val="EYBodytextwithparaspaceChar"/>
        </w:rPr>
        <w:t>In many cases, the required permissions are too costly or not possible</w:t>
      </w:r>
      <w:r w:rsidR="0037776B" w:rsidRPr="00124E7F">
        <w:t xml:space="preserve"> to obtain</w:t>
      </w:r>
      <w:r w:rsidR="00DA7B7D" w:rsidRPr="00124E7F">
        <w:t xml:space="preserve"> and students are </w:t>
      </w:r>
      <w:r w:rsidR="00A97477" w:rsidRPr="00124E7F">
        <w:t xml:space="preserve">either </w:t>
      </w:r>
      <w:r w:rsidR="00DA7B7D" w:rsidRPr="00124E7F">
        <w:t>forced to remove the content from their work</w:t>
      </w:r>
      <w:r w:rsidR="00A97477" w:rsidRPr="00124E7F">
        <w:t xml:space="preserve"> or replace it </w:t>
      </w:r>
      <w:r w:rsidR="00A97477" w:rsidRPr="00124E7F">
        <w:rPr>
          <w:rStyle w:val="EYBodytextwithparaspaceChar"/>
        </w:rPr>
        <w:t>with an inferior substitute</w:t>
      </w:r>
      <w:r w:rsidR="00DA7B7D" w:rsidRPr="00124E7F">
        <w:rPr>
          <w:rStyle w:val="EYBodytextwithparaspaceChar"/>
        </w:rPr>
        <w:t>. The result, as put by Universities Australia, is ‘that the integrity of the</w:t>
      </w:r>
      <w:r w:rsidR="00DA7B7D" w:rsidRPr="00124E7F">
        <w:t xml:space="preserve"> thesis is compromised, and the academic community is denied the opportunity to engage fully with the work’</w:t>
      </w:r>
      <w:r w:rsidR="00F5652B" w:rsidRPr="00124E7F">
        <w:t>.</w:t>
      </w:r>
      <w:r w:rsidR="00DA7B7D" w:rsidRPr="00124E7F">
        <w:rPr>
          <w:vertAlign w:val="superscript"/>
        </w:rPr>
        <w:footnoteReference w:id="44"/>
      </w:r>
      <w:r w:rsidR="002D4075" w:rsidRPr="00124E7F">
        <w:t xml:space="preserve"> </w:t>
      </w:r>
      <w:r w:rsidR="00FC765B" w:rsidRPr="00124E7F">
        <w:t xml:space="preserve">By permitting use of extracts in academic publications where not currently possible – either due to </w:t>
      </w:r>
      <w:r w:rsidR="00082577" w:rsidRPr="00124E7F">
        <w:t>high transaction costs</w:t>
      </w:r>
      <w:r w:rsidR="00FC765B" w:rsidRPr="00124E7F">
        <w:t xml:space="preserve"> or because the copyright owner could not be located – a fair dealing </w:t>
      </w:r>
      <w:r w:rsidR="0083722F" w:rsidRPr="00124E7F">
        <w:t xml:space="preserve">exception may increase the ease with which content is currently disseminated by academics; and enhance the value of these works to consumers. </w:t>
      </w:r>
    </w:p>
    <w:p w14:paraId="0A96FDB0" w14:textId="77777777" w:rsidR="00947AB0" w:rsidRPr="00124E7F" w:rsidRDefault="00FC765B" w:rsidP="00786E35">
      <w:pPr>
        <w:pStyle w:val="EYBodytextwithparaspace"/>
      </w:pPr>
      <w:r w:rsidRPr="00124E7F">
        <w:t xml:space="preserve">More broadly, </w:t>
      </w:r>
      <w:r w:rsidR="00A77706" w:rsidRPr="00124E7F">
        <w:t>by codifying fairness principles that already exist in common law,</w:t>
      </w:r>
      <w:r w:rsidR="00324360" w:rsidRPr="00124E7F">
        <w:t xml:space="preserve"> </w:t>
      </w:r>
      <w:r w:rsidR="0083722F" w:rsidRPr="00124E7F">
        <w:t>the new fair dealing exception</w:t>
      </w:r>
      <w:r w:rsidR="00324360" w:rsidRPr="00124E7F">
        <w:t xml:space="preserve"> is not expected to </w:t>
      </w:r>
      <w:r w:rsidR="00324360" w:rsidRPr="00124E7F">
        <w:rPr>
          <w:i/>
        </w:rPr>
        <w:t>significantly</w:t>
      </w:r>
      <w:r w:rsidR="00324360" w:rsidRPr="00124E7F">
        <w:t xml:space="preserve"> increase certainty with respect to the treatment of quotation in the Copyright Act. However, neither </w:t>
      </w:r>
      <w:r w:rsidR="001A0A4D" w:rsidRPr="00124E7F">
        <w:t>would it be expected to</w:t>
      </w:r>
      <w:r w:rsidR="00324360" w:rsidRPr="00124E7F">
        <w:t xml:space="preserve"> </w:t>
      </w:r>
      <w:r w:rsidR="0037776B" w:rsidRPr="00124E7F">
        <w:t xml:space="preserve">increase uncertainty. </w:t>
      </w:r>
      <w:r w:rsidR="00F75640" w:rsidRPr="00124E7F">
        <w:t>Depending on the sector approached, there appears to be some</w:t>
      </w:r>
      <w:r w:rsidR="0037776B" w:rsidRPr="00124E7F">
        <w:t xml:space="preserve"> existing</w:t>
      </w:r>
      <w:r w:rsidR="00F75640" w:rsidRPr="00124E7F">
        <w:t xml:space="preserve"> uncertainty with respect to what currently constitutes a quote or extract and when use without permission is accepted.</w:t>
      </w:r>
      <w:r w:rsidR="001A0A4D" w:rsidRPr="00124E7F">
        <w:t xml:space="preserve"> </w:t>
      </w:r>
      <w:r w:rsidR="00947AB0" w:rsidRPr="00124E7F">
        <w:t>T</w:t>
      </w:r>
      <w:r w:rsidR="00F75640" w:rsidRPr="00124E7F">
        <w:t>he Australian Copyright Council pr</w:t>
      </w:r>
      <w:r w:rsidR="001A0A4D" w:rsidRPr="00124E7F">
        <w:t>ovided us with a</w:t>
      </w:r>
      <w:r w:rsidR="00F75640" w:rsidRPr="00124E7F">
        <w:t xml:space="preserve"> </w:t>
      </w:r>
      <w:r w:rsidR="00947AB0" w:rsidRPr="00124E7F">
        <w:t xml:space="preserve">2015 </w:t>
      </w:r>
      <w:r w:rsidR="00F75640" w:rsidRPr="00124E7F">
        <w:t xml:space="preserve">snapshot of </w:t>
      </w:r>
      <w:r w:rsidR="001A0A4D" w:rsidRPr="00124E7F">
        <w:t>website traffic</w:t>
      </w:r>
      <w:r w:rsidR="00F75640" w:rsidRPr="00124E7F">
        <w:t xml:space="preserve">, </w:t>
      </w:r>
      <w:r w:rsidR="001A0A4D" w:rsidRPr="00124E7F">
        <w:t>which showed</w:t>
      </w:r>
      <w:r w:rsidR="00F75640" w:rsidRPr="00124E7F">
        <w:t xml:space="preserve"> that information sheets on the subject of ‘quotes and extracts’ were in the top 20 most</w:t>
      </w:r>
      <w:r w:rsidR="001A0A4D" w:rsidRPr="00124E7F">
        <w:t xml:space="preserve"> downloaded</w:t>
      </w:r>
      <w:r w:rsidR="00F75640" w:rsidRPr="00124E7F">
        <w:t>.</w:t>
      </w:r>
      <w:r w:rsidR="001A0A4D" w:rsidRPr="00124E7F">
        <w:rPr>
          <w:vertAlign w:val="superscript"/>
        </w:rPr>
        <w:footnoteReference w:id="45"/>
      </w:r>
      <w:r w:rsidR="001A0A4D" w:rsidRPr="00124E7F">
        <w:t xml:space="preserve"> </w:t>
      </w:r>
      <w:r w:rsidR="00947AB0" w:rsidRPr="00124E7F">
        <w:t xml:space="preserve">Similarly, analysis undertaken by the Copyright Agency showed that of </w:t>
      </w:r>
      <w:r w:rsidR="001A0A4D" w:rsidRPr="00124E7F">
        <w:t xml:space="preserve">353 </w:t>
      </w:r>
      <w:r w:rsidR="0037776B" w:rsidRPr="00124E7F">
        <w:t>intellectual property related Federal court c</w:t>
      </w:r>
      <w:r w:rsidR="001A0A4D" w:rsidRPr="00124E7F">
        <w:t>ases between 1 July 2006 and 30 June 2012, 94 (27%) were tagged ‘copyright’. Of these copyright cases, ‘substantial part’ was provided as the main copyright issue for 16 (17%) of these cases.</w:t>
      </w:r>
      <w:r w:rsidR="001A0A4D" w:rsidRPr="00124E7F">
        <w:rPr>
          <w:vertAlign w:val="superscript"/>
        </w:rPr>
        <w:footnoteReference w:id="46"/>
      </w:r>
      <w:r w:rsidR="0037776B" w:rsidRPr="00124E7F">
        <w:t xml:space="preserve"> </w:t>
      </w:r>
    </w:p>
    <w:p w14:paraId="5D8F0AF3" w14:textId="77777777" w:rsidR="00CB0961" w:rsidRPr="00124E7F" w:rsidRDefault="00B60C34" w:rsidP="007A51B0">
      <w:pPr>
        <w:pStyle w:val="EYHeading4"/>
      </w:pPr>
      <w:r w:rsidRPr="00124E7F">
        <w:t xml:space="preserve">Costs and benefits from foregone </w:t>
      </w:r>
      <w:r w:rsidR="003372EB" w:rsidRPr="00124E7F">
        <w:t>revenue</w:t>
      </w:r>
    </w:p>
    <w:p w14:paraId="53A3E717" w14:textId="77777777" w:rsidR="009F455A" w:rsidRPr="00124E7F" w:rsidRDefault="004B440E" w:rsidP="00786E35">
      <w:pPr>
        <w:pStyle w:val="EYBodytextwithparaspace"/>
      </w:pPr>
      <w:r w:rsidRPr="00124E7F">
        <w:t xml:space="preserve">To the extent that uses of quotations and </w:t>
      </w:r>
      <w:r w:rsidR="004C53D7" w:rsidRPr="00124E7F">
        <w:t>extracts</w:t>
      </w:r>
      <w:r w:rsidRPr="00124E7F">
        <w:t xml:space="preserve"> that are currently paid for are found to be fair under the proposed exception, </w:t>
      </w:r>
      <w:r w:rsidR="0083722F" w:rsidRPr="00124E7F">
        <w:t>the new fair dealing exception</w:t>
      </w:r>
      <w:r w:rsidR="00D17A96" w:rsidRPr="00124E7F">
        <w:t xml:space="preserve"> </w:t>
      </w:r>
      <w:r w:rsidR="00EE5E5C" w:rsidRPr="00124E7F">
        <w:t>would</w:t>
      </w:r>
      <w:r w:rsidR="00D17A96" w:rsidRPr="00124E7F">
        <w:t xml:space="preserve"> lead to a transfer from rig</w:t>
      </w:r>
      <w:r w:rsidR="005B7D52" w:rsidRPr="00124E7F">
        <w:t>ht</w:t>
      </w:r>
      <w:r w:rsidR="006B2E08" w:rsidRPr="00124E7F">
        <w:t>s</w:t>
      </w:r>
      <w:r w:rsidR="005B7D52" w:rsidRPr="00124E7F">
        <w:t xml:space="preserve"> holders to </w:t>
      </w:r>
      <w:r w:rsidR="005D236A" w:rsidRPr="00124E7F">
        <w:t>licens</w:t>
      </w:r>
      <w:r w:rsidR="007D4AFF" w:rsidRPr="00124E7F">
        <w:t>e</w:t>
      </w:r>
      <w:r w:rsidR="005B7D52" w:rsidRPr="00124E7F">
        <w:t>es.</w:t>
      </w:r>
      <w:r w:rsidR="009F455A" w:rsidRPr="00124E7F">
        <w:t xml:space="preserve"> </w:t>
      </w:r>
      <w:r w:rsidR="005B7D52" w:rsidRPr="00124E7F">
        <w:t xml:space="preserve">The following looks at the impact </w:t>
      </w:r>
      <w:r w:rsidR="009F455A" w:rsidRPr="00124E7F">
        <w:t>of a fair dealing exception in the context of text quotations and non-text extracts separately.</w:t>
      </w:r>
    </w:p>
    <w:p w14:paraId="51E53CE3" w14:textId="77777777" w:rsidR="005B7D52" w:rsidRPr="00124E7F" w:rsidRDefault="009F455A" w:rsidP="005F191D">
      <w:pPr>
        <w:pStyle w:val="EYHeading4"/>
      </w:pPr>
      <w:r w:rsidRPr="00124E7F">
        <w:t>Text quotations</w:t>
      </w:r>
      <w:r w:rsidR="005B7D52" w:rsidRPr="00124E7F">
        <w:t xml:space="preserve"> </w:t>
      </w:r>
    </w:p>
    <w:p w14:paraId="625DC101" w14:textId="77777777" w:rsidR="005D41B7" w:rsidRPr="00124E7F" w:rsidRDefault="00117478" w:rsidP="00786E35">
      <w:pPr>
        <w:pStyle w:val="EYBodytextwithparaspace"/>
      </w:pPr>
      <w:r w:rsidRPr="00124E7F">
        <w:t xml:space="preserve">We use the example of the 7,000 clearances, </w:t>
      </w:r>
      <w:r w:rsidR="00A134BB" w:rsidRPr="00124E7F">
        <w:t xml:space="preserve">to estimate the </w:t>
      </w:r>
      <w:r w:rsidR="0037776B" w:rsidRPr="00124E7F">
        <w:t xml:space="preserve">potential </w:t>
      </w:r>
      <w:r w:rsidR="00A134BB" w:rsidRPr="00124E7F">
        <w:t>transfer from right</w:t>
      </w:r>
      <w:r w:rsidR="006B2E08" w:rsidRPr="00124E7F">
        <w:t>s</w:t>
      </w:r>
      <w:r w:rsidR="00A134BB" w:rsidRPr="00124E7F">
        <w:t xml:space="preserve"> holders to </w:t>
      </w:r>
      <w:r w:rsidR="005D236A" w:rsidRPr="00124E7F">
        <w:t>licens</w:t>
      </w:r>
      <w:r w:rsidR="007D4AFF" w:rsidRPr="00124E7F">
        <w:t>e</w:t>
      </w:r>
      <w:r w:rsidR="00A134BB" w:rsidRPr="00124E7F">
        <w:t>es</w:t>
      </w:r>
      <w:r w:rsidR="00826B8A" w:rsidRPr="00124E7F">
        <w:t xml:space="preserve"> in the context of academic publications</w:t>
      </w:r>
      <w:r w:rsidR="00A134BB" w:rsidRPr="00124E7F">
        <w:t>.</w:t>
      </w:r>
      <w:r w:rsidRPr="00124E7F">
        <w:t xml:space="preserve"> Again, this is a conservative estimate as it does not include non-academic literary works.</w:t>
      </w:r>
      <w:r w:rsidR="00826B8A" w:rsidRPr="00124E7F">
        <w:t xml:space="preserve"> </w:t>
      </w:r>
      <w:r w:rsidR="00A134BB" w:rsidRPr="00124E7F">
        <w:t xml:space="preserve">Guidance by the Australian Society of Authors recommends a fee of $350 </w:t>
      </w:r>
      <w:r w:rsidR="005D41B7" w:rsidRPr="00124E7F">
        <w:t>per</w:t>
      </w:r>
      <w:r w:rsidR="00A134BB" w:rsidRPr="00124E7F">
        <w:t> annum per 1000 words of published materials in digital form.</w:t>
      </w:r>
      <w:r w:rsidR="00A134BB" w:rsidRPr="00124E7F">
        <w:rPr>
          <w:vertAlign w:val="superscript"/>
        </w:rPr>
        <w:footnoteReference w:id="47"/>
      </w:r>
      <w:r w:rsidR="008A349D" w:rsidRPr="00124E7F">
        <w:t xml:space="preserve"> Assuming an average quotation of 100 words, we estimate</w:t>
      </w:r>
      <w:r w:rsidR="003B7730" w:rsidRPr="00124E7F">
        <w:t xml:space="preserve"> an</w:t>
      </w:r>
      <w:r w:rsidR="008A349D" w:rsidRPr="00124E7F">
        <w:t xml:space="preserve"> average fee per quotation of $35.</w:t>
      </w:r>
      <w:r w:rsidR="00826B8A" w:rsidRPr="00124E7F">
        <w:t xml:space="preserve"> </w:t>
      </w:r>
    </w:p>
    <w:p w14:paraId="41C23CD2" w14:textId="77777777" w:rsidR="00117478" w:rsidRPr="00124E7F" w:rsidRDefault="0037776B" w:rsidP="00786E35">
      <w:pPr>
        <w:pStyle w:val="EYBodytextwithparaspace"/>
      </w:pPr>
      <w:r w:rsidRPr="00124E7F">
        <w:t>However, a</w:t>
      </w:r>
      <w:r w:rsidR="00826B8A" w:rsidRPr="00124E7F">
        <w:t>s discussed in the previous section</w:t>
      </w:r>
      <w:r w:rsidR="008A349D" w:rsidRPr="00124E7F">
        <w:t>,</w:t>
      </w:r>
      <w:r w:rsidR="00117478" w:rsidRPr="00124E7F">
        <w:t xml:space="preserve"> </w:t>
      </w:r>
      <w:r w:rsidR="008A349D" w:rsidRPr="00124E7F">
        <w:t xml:space="preserve">many publishers permit the use of short quotations and extracts </w:t>
      </w:r>
      <w:r w:rsidR="00117478" w:rsidRPr="00124E7F">
        <w:t>without explicit permission or, where permission is required, free of charge</w:t>
      </w:r>
      <w:r w:rsidR="008A349D" w:rsidRPr="00124E7F">
        <w:t>.</w:t>
      </w:r>
      <w:r w:rsidRPr="00124E7F">
        <w:t xml:space="preserve"> Such an approach is in the interests of both parties, g</w:t>
      </w:r>
      <w:r w:rsidR="00117478" w:rsidRPr="00124E7F">
        <w:t>iven the high transaction costs associated with obtaining permission for short extracts and the relatively low value in-use of these extracts</w:t>
      </w:r>
      <w:r w:rsidRPr="00124E7F">
        <w:t>.</w:t>
      </w:r>
      <w:r w:rsidR="00117478" w:rsidRPr="00124E7F">
        <w:t xml:space="preserve"> </w:t>
      </w:r>
    </w:p>
    <w:p w14:paraId="53A42EFC" w14:textId="77777777" w:rsidR="00826B8A" w:rsidRPr="00124E7F" w:rsidRDefault="002D6E87" w:rsidP="00786E35">
      <w:pPr>
        <w:pStyle w:val="EYBodytextwithparaspace"/>
      </w:pPr>
      <w:r w:rsidRPr="00124E7F">
        <w:t>Common practices in the industry</w:t>
      </w:r>
      <w:r w:rsidR="0097562E" w:rsidRPr="00124E7F">
        <w:t xml:space="preserve"> suggest</w:t>
      </w:r>
      <w:r w:rsidR="00826B8A" w:rsidRPr="00124E7F">
        <w:t xml:space="preserve"> that a </w:t>
      </w:r>
      <w:r w:rsidR="005D236A" w:rsidRPr="00124E7F">
        <w:t>licens</w:t>
      </w:r>
      <w:r w:rsidR="007D4AFF" w:rsidRPr="00124E7F">
        <w:t>ing</w:t>
      </w:r>
      <w:r w:rsidR="00826B8A" w:rsidRPr="00124E7F">
        <w:t xml:space="preserve"> fee of $0 is more likely to be charged for the use of a 100 word extract rather than the estimated fee of $35. </w:t>
      </w:r>
      <w:r w:rsidR="001F50E7" w:rsidRPr="00124E7F">
        <w:t>Using these values as</w:t>
      </w:r>
      <w:r w:rsidR="00826B8A" w:rsidRPr="00124E7F">
        <w:t xml:space="preserve"> upper and lower limits, </w:t>
      </w:r>
      <w:r w:rsidR="001F50E7" w:rsidRPr="00124E7F">
        <w:t xml:space="preserve">and </w:t>
      </w:r>
      <w:r w:rsidR="00117478" w:rsidRPr="00124E7F">
        <w:t>multiplying by the 7,0</w:t>
      </w:r>
      <w:r w:rsidR="00826B8A" w:rsidRPr="00124E7F">
        <w:t>00 clearances</w:t>
      </w:r>
      <w:r w:rsidR="001F50E7" w:rsidRPr="00124E7F">
        <w:t>,</w:t>
      </w:r>
      <w:r w:rsidR="00826B8A" w:rsidRPr="00124E7F">
        <w:t xml:space="preserve"> gives a transfer of $</w:t>
      </w:r>
      <w:r w:rsidR="003B7730" w:rsidRPr="00124E7F">
        <w:t>123,000</w:t>
      </w:r>
      <w:r w:rsidR="00826B8A" w:rsidRPr="00124E7F">
        <w:t xml:space="preserve"> per annum</w:t>
      </w:r>
      <w:r w:rsidR="001F50E7" w:rsidRPr="00124E7F">
        <w:t xml:space="preserve"> on average</w:t>
      </w:r>
      <w:r w:rsidR="00E40DEB" w:rsidRPr="00124E7F">
        <w:t xml:space="preserve">. </w:t>
      </w:r>
    </w:p>
    <w:p w14:paraId="5CAB6C8F" w14:textId="77777777" w:rsidR="008A349D" w:rsidRPr="00124E7F" w:rsidRDefault="001F50E7" w:rsidP="005F191D">
      <w:pPr>
        <w:pStyle w:val="EYHeading4"/>
      </w:pPr>
      <w:r w:rsidRPr="00124E7F">
        <w:t>Non-text extracts</w:t>
      </w:r>
    </w:p>
    <w:p w14:paraId="3770A32F" w14:textId="77777777" w:rsidR="00AB7B4F" w:rsidRPr="00124E7F" w:rsidRDefault="00117478" w:rsidP="00786E35">
      <w:pPr>
        <w:pStyle w:val="EYBodytextwithparaspace"/>
      </w:pPr>
      <w:r w:rsidRPr="00124E7F">
        <w:t>U</w:t>
      </w:r>
      <w:r w:rsidR="009C0C3F" w:rsidRPr="00124E7F">
        <w:t xml:space="preserve">se of copyright content for quotes and extracts is </w:t>
      </w:r>
      <w:r w:rsidR="0060156B" w:rsidRPr="00124E7F">
        <w:t xml:space="preserve">already </w:t>
      </w:r>
      <w:r w:rsidR="009C0C3F" w:rsidRPr="00124E7F">
        <w:t xml:space="preserve">permitted to a great extent under the current arrangements. </w:t>
      </w:r>
      <w:r w:rsidR="00E40DEB" w:rsidRPr="00124E7F">
        <w:t>As discussed in Section 3.1.2 c</w:t>
      </w:r>
      <w:r w:rsidR="009C0C3F" w:rsidRPr="00124E7F">
        <w:t>opyright exceptions permitting use of extracts are in place for research or study; criticism or review; parody or satire; and news or reporting. Quotations and extracts for other uses are also permissible as long as they do not constitute a ‘substantial part’ of that work.</w:t>
      </w:r>
      <w:r w:rsidR="0036016F" w:rsidRPr="00124E7F">
        <w:t xml:space="preserve"> </w:t>
      </w:r>
    </w:p>
    <w:p w14:paraId="773117DD" w14:textId="77777777" w:rsidR="007F51AE" w:rsidRPr="00124E7F" w:rsidRDefault="00825891" w:rsidP="00786E35">
      <w:pPr>
        <w:pStyle w:val="EYBodytextwithparaspace"/>
      </w:pPr>
      <w:r w:rsidRPr="00124E7F">
        <w:t>Where permission is required, a number of market mechanisms are currently in place to facilitate the use of quotations and extracts, including a n</w:t>
      </w:r>
      <w:r w:rsidR="0060156B" w:rsidRPr="00124E7F">
        <w:t>u</w:t>
      </w:r>
      <w:r w:rsidR="001F50E7" w:rsidRPr="00124E7F">
        <w:t xml:space="preserve">mber of </w:t>
      </w:r>
      <w:r w:rsidR="005D236A" w:rsidRPr="00124E7F">
        <w:t>licens</w:t>
      </w:r>
      <w:r w:rsidR="007D4AFF" w:rsidRPr="00124E7F">
        <w:t>ing</w:t>
      </w:r>
      <w:r w:rsidR="001F50E7" w:rsidRPr="00124E7F">
        <w:t xml:space="preserve"> arrangements. </w:t>
      </w:r>
      <w:r w:rsidR="0045437F" w:rsidRPr="00124E7F">
        <w:t>A</w:t>
      </w:r>
      <w:r w:rsidRPr="00124E7F">
        <w:t xml:space="preserve">ccording to Free TV Australia, </w:t>
      </w:r>
      <w:r w:rsidR="0045437F" w:rsidRPr="00124E7F">
        <w:t xml:space="preserve">for example, </w:t>
      </w:r>
      <w:r w:rsidRPr="00124E7F">
        <w:t xml:space="preserve">the majority of </w:t>
      </w:r>
      <w:r w:rsidR="005D236A" w:rsidRPr="00124E7F">
        <w:t>licens</w:t>
      </w:r>
      <w:r w:rsidR="007D4AFF" w:rsidRPr="00124E7F">
        <w:t>e</w:t>
      </w:r>
      <w:r w:rsidRPr="00124E7F">
        <w:t>d content between television stations consist</w:t>
      </w:r>
      <w:r w:rsidR="005D236A" w:rsidRPr="00124E7F">
        <w:t>s</w:t>
      </w:r>
      <w:r w:rsidRPr="00124E7F">
        <w:t xml:space="preserve"> of short extracts of footage that is less than 60 seconds. </w:t>
      </w:r>
      <w:r w:rsidR="0045437F" w:rsidRPr="00124E7F">
        <w:t xml:space="preserve">While Free TV Australia was not able to provide </w:t>
      </w:r>
      <w:r w:rsidR="00306897" w:rsidRPr="00124E7F">
        <w:t xml:space="preserve">any further </w:t>
      </w:r>
      <w:r w:rsidR="0045437F" w:rsidRPr="00124E7F">
        <w:t xml:space="preserve">data, this is consistent with </w:t>
      </w:r>
      <w:r w:rsidR="00164B61" w:rsidRPr="00124E7F">
        <w:t xml:space="preserve">other </w:t>
      </w:r>
      <w:r w:rsidR="0045437F" w:rsidRPr="00124E7F">
        <w:t xml:space="preserve">international </w:t>
      </w:r>
      <w:r w:rsidR="00164B61" w:rsidRPr="00124E7F">
        <w:t>evidence</w:t>
      </w:r>
      <w:r w:rsidR="0045437F" w:rsidRPr="00124E7F">
        <w:t xml:space="preserve">. In its submission to </w:t>
      </w:r>
      <w:r w:rsidR="00164B61" w:rsidRPr="00124E7F">
        <w:t>the Hargreaves Review</w:t>
      </w:r>
      <w:r w:rsidR="0045437F" w:rsidRPr="00124E7F">
        <w:t xml:space="preserve">, </w:t>
      </w:r>
      <w:r w:rsidR="00164B61" w:rsidRPr="00124E7F">
        <w:t xml:space="preserve">for example, </w:t>
      </w:r>
      <w:r w:rsidR="003B7730" w:rsidRPr="00124E7F">
        <w:t>a UK commercial broadcaster(Independent Television Network)</w:t>
      </w:r>
      <w:r w:rsidR="00164B61" w:rsidRPr="00124E7F">
        <w:t xml:space="preserve"> provided evidence showing that, in 2011, ‘42 per cent of </w:t>
      </w:r>
      <w:r w:rsidR="005D236A" w:rsidRPr="00124E7F">
        <w:t>licens</w:t>
      </w:r>
      <w:r w:rsidR="007D4AFF" w:rsidRPr="00124E7F">
        <w:t>e</w:t>
      </w:r>
      <w:r w:rsidR="0037776B" w:rsidRPr="00124E7F">
        <w:t>s were for clips under 60 </w:t>
      </w:r>
      <w:r w:rsidR="00164B61" w:rsidRPr="00124E7F">
        <w:t>seconds long, with a further 45 per cent of clips between one and four minutes in duration’.</w:t>
      </w:r>
      <w:r w:rsidR="00164B61" w:rsidRPr="00124E7F">
        <w:rPr>
          <w:vertAlign w:val="superscript"/>
        </w:rPr>
        <w:footnoteReference w:id="48"/>
      </w:r>
    </w:p>
    <w:p w14:paraId="316D78AA" w14:textId="77777777" w:rsidR="00AB7B4F" w:rsidRPr="00124E7F" w:rsidRDefault="00AB7B4F" w:rsidP="00786E35">
      <w:pPr>
        <w:pStyle w:val="EYBodytextwithparaspace"/>
      </w:pPr>
      <w:r w:rsidRPr="00124E7F">
        <w:t xml:space="preserve">There is also an established market </w:t>
      </w:r>
      <w:r w:rsidR="00825891" w:rsidRPr="00124E7F">
        <w:t xml:space="preserve">for </w:t>
      </w:r>
      <w:r w:rsidR="005D236A" w:rsidRPr="00124E7F">
        <w:t>licens</w:t>
      </w:r>
      <w:r w:rsidR="007D4AFF" w:rsidRPr="00124E7F">
        <w:t>ing</w:t>
      </w:r>
      <w:r w:rsidR="00825891" w:rsidRPr="00124E7F">
        <w:t xml:space="preserve"> transformative uses of musical works, including the </w:t>
      </w:r>
      <w:r w:rsidR="005D236A" w:rsidRPr="00124E7F">
        <w:t>licens</w:t>
      </w:r>
      <w:r w:rsidR="007D4AFF" w:rsidRPr="00124E7F">
        <w:t>ing</w:t>
      </w:r>
      <w:r w:rsidR="00825891" w:rsidRPr="00124E7F">
        <w:t xml:space="preserve"> of </w:t>
      </w:r>
      <w:r w:rsidR="0028722F" w:rsidRPr="00124E7F">
        <w:t>music samples and sound recordings</w:t>
      </w:r>
      <w:r w:rsidR="00825891" w:rsidRPr="00124E7F">
        <w:t>.</w:t>
      </w:r>
      <w:r w:rsidR="00825891" w:rsidRPr="00124E7F">
        <w:rPr>
          <w:vertAlign w:val="superscript"/>
        </w:rPr>
        <w:footnoteReference w:id="49"/>
      </w:r>
      <w:r w:rsidR="00825891" w:rsidRPr="00124E7F">
        <w:rPr>
          <w:vertAlign w:val="superscript"/>
        </w:rPr>
        <w:t xml:space="preserve"> </w:t>
      </w:r>
      <w:r w:rsidR="0028722F" w:rsidRPr="00124E7F">
        <w:t xml:space="preserve">To the extent required, derivative uses of music works such as sampling and mash-ups are </w:t>
      </w:r>
      <w:r w:rsidRPr="00124E7F">
        <w:t xml:space="preserve">currently </w:t>
      </w:r>
      <w:r w:rsidR="005D236A" w:rsidRPr="00124E7F">
        <w:t>licens</w:t>
      </w:r>
      <w:r w:rsidR="007D4AFF" w:rsidRPr="00124E7F">
        <w:t>e</w:t>
      </w:r>
      <w:r w:rsidR="0028722F" w:rsidRPr="00124E7F">
        <w:t>d from right</w:t>
      </w:r>
      <w:r w:rsidR="00C37ECD" w:rsidRPr="00124E7F">
        <w:t>s</w:t>
      </w:r>
      <w:r w:rsidR="0028722F" w:rsidRPr="00124E7F">
        <w:t xml:space="preserve"> holders</w:t>
      </w:r>
      <w:r w:rsidRPr="00124E7F">
        <w:t xml:space="preserve"> directly</w:t>
      </w:r>
      <w:r w:rsidR="0028722F" w:rsidRPr="00124E7F">
        <w:t xml:space="preserve">. This makes it difficult to determine total revenue from such uses. Nevertheless, </w:t>
      </w:r>
      <w:r w:rsidR="003B7730" w:rsidRPr="00124E7F">
        <w:t>APRA/AMCOS</w:t>
      </w:r>
      <w:r w:rsidR="007A0A0C" w:rsidRPr="00124E7F">
        <w:t xml:space="preserve"> provided us with data, which showed that in 2014-15</w:t>
      </w:r>
      <w:r w:rsidR="0037776B" w:rsidRPr="00124E7F">
        <w:t xml:space="preserve"> </w:t>
      </w:r>
      <w:r w:rsidR="008D5685" w:rsidRPr="00124E7F">
        <w:t>approximately 4.5 per cent of all dance works included a sample. These works represented 7.3 per cent of the total value of the dance music distribution in the same year</w:t>
      </w:r>
      <w:r w:rsidR="003612C8" w:rsidRPr="00124E7F">
        <w:t>.</w:t>
      </w:r>
      <w:r w:rsidR="0037776B" w:rsidRPr="00124E7F">
        <w:rPr>
          <w:vertAlign w:val="superscript"/>
        </w:rPr>
        <w:footnoteReference w:id="50"/>
      </w:r>
      <w:r w:rsidR="003612C8" w:rsidRPr="00124E7F">
        <w:rPr>
          <w:vertAlign w:val="superscript"/>
        </w:rPr>
        <w:t xml:space="preserve"> </w:t>
      </w:r>
      <w:r w:rsidR="003612C8" w:rsidRPr="00124E7F">
        <w:t xml:space="preserve">While this may seem like a small proportion of total </w:t>
      </w:r>
      <w:r w:rsidR="005D236A" w:rsidRPr="00124E7F">
        <w:t>licens</w:t>
      </w:r>
      <w:r w:rsidR="007D4AFF" w:rsidRPr="00124E7F">
        <w:t>ing</w:t>
      </w:r>
      <w:r w:rsidR="003612C8" w:rsidRPr="00124E7F">
        <w:t xml:space="preserve"> revenue, </w:t>
      </w:r>
      <w:r w:rsidR="009D0244" w:rsidRPr="00124E7F">
        <w:t xml:space="preserve">according to APRA/AMCOS, </w:t>
      </w:r>
      <w:r w:rsidR="003612C8" w:rsidRPr="00124E7F">
        <w:t xml:space="preserve">the use of samples in some genres (especially dance) </w:t>
      </w:r>
      <w:r w:rsidRPr="00124E7F">
        <w:t>is increasing</w:t>
      </w:r>
      <w:r w:rsidR="00812121" w:rsidRPr="00124E7F">
        <w:t xml:space="preserve">. </w:t>
      </w:r>
    </w:p>
    <w:p w14:paraId="4FBAE381" w14:textId="77777777" w:rsidR="00A134BB" w:rsidRPr="00124E7F" w:rsidRDefault="0060156B" w:rsidP="00786E35">
      <w:pPr>
        <w:pStyle w:val="EYBodytextwithparaspace"/>
      </w:pPr>
      <w:r w:rsidRPr="00124E7F">
        <w:t xml:space="preserve">Little in the way of evidence has been provided </w:t>
      </w:r>
      <w:r w:rsidR="003B7730" w:rsidRPr="00124E7F">
        <w:t>on</w:t>
      </w:r>
      <w:r w:rsidRPr="00124E7F">
        <w:t xml:space="preserve"> the impacts </w:t>
      </w:r>
      <w:r w:rsidR="0090052C" w:rsidRPr="00124E7F">
        <w:t xml:space="preserve">of </w:t>
      </w:r>
      <w:r w:rsidRPr="00124E7F">
        <w:t xml:space="preserve">a fair dealing exception for quotation on the </w:t>
      </w:r>
      <w:r w:rsidR="005D236A" w:rsidRPr="00124E7F">
        <w:t>licens</w:t>
      </w:r>
      <w:r w:rsidR="007D4AFF" w:rsidRPr="00124E7F">
        <w:t>ing</w:t>
      </w:r>
      <w:r w:rsidRPr="00124E7F">
        <w:t xml:space="preserve"> streams of these and other </w:t>
      </w:r>
      <w:r w:rsidR="001F50E7" w:rsidRPr="00124E7F">
        <w:t xml:space="preserve">non-literary </w:t>
      </w:r>
      <w:r w:rsidRPr="00124E7F">
        <w:t>markets.</w:t>
      </w:r>
      <w:r w:rsidR="00C718B1" w:rsidRPr="00124E7F">
        <w:t xml:space="preserve"> </w:t>
      </w:r>
      <w:r w:rsidR="00463D7B" w:rsidRPr="00124E7F">
        <w:t>However, any impact</w:t>
      </w:r>
      <w:r w:rsidR="00294184" w:rsidRPr="00124E7F">
        <w:t xml:space="preserve"> is</w:t>
      </w:r>
      <w:r w:rsidR="00463D7B" w:rsidRPr="00124E7F">
        <w:t xml:space="preserve"> </w:t>
      </w:r>
      <w:r w:rsidR="007A0A0C" w:rsidRPr="00124E7F">
        <w:t xml:space="preserve">likely to be limited due to the restriction of any exception to fair dealing. </w:t>
      </w:r>
      <w:r w:rsidR="005B6834" w:rsidRPr="00124E7F">
        <w:t>In particular, use of quota</w:t>
      </w:r>
      <w:r w:rsidR="003B7730" w:rsidRPr="00124E7F">
        <w:t xml:space="preserve">tions and extracts that compete </w:t>
      </w:r>
      <w:r w:rsidR="005B6834" w:rsidRPr="00124E7F">
        <w:t xml:space="preserve">with the original work quoted would weigh against fair </w:t>
      </w:r>
      <w:r w:rsidR="00C718B1" w:rsidRPr="00124E7F">
        <w:t>dealing</w:t>
      </w:r>
      <w:r w:rsidR="005B6834" w:rsidRPr="00124E7F">
        <w:t>.</w:t>
      </w:r>
      <w:r w:rsidR="00294184" w:rsidRPr="00124E7F">
        <w:rPr>
          <w:vertAlign w:val="superscript"/>
        </w:rPr>
        <w:footnoteReference w:id="51"/>
      </w:r>
      <w:r w:rsidR="005B6834" w:rsidRPr="00124E7F">
        <w:rPr>
          <w:vertAlign w:val="superscript"/>
        </w:rPr>
        <w:t xml:space="preserve"> </w:t>
      </w:r>
      <w:r w:rsidR="00AB22EE" w:rsidRPr="00124E7F">
        <w:t xml:space="preserve">For example, commercial TV broadcasters make their money from leveraging exclusivity. </w:t>
      </w:r>
      <w:r w:rsidR="00306897" w:rsidRPr="00124E7F">
        <w:t>U</w:t>
      </w:r>
      <w:r w:rsidR="00AB22EE" w:rsidRPr="00124E7F">
        <w:t>se of</w:t>
      </w:r>
      <w:r w:rsidR="00306897" w:rsidRPr="00124E7F">
        <w:t xml:space="preserve"> ‘extensive’ or ‘essential’ </w:t>
      </w:r>
      <w:r w:rsidR="00AB22EE" w:rsidRPr="00124E7F">
        <w:t xml:space="preserve">extracts from a </w:t>
      </w:r>
      <w:r w:rsidR="00DE2C26" w:rsidRPr="00124E7F">
        <w:t>TV</w:t>
      </w:r>
      <w:r w:rsidR="00AB22EE" w:rsidRPr="00124E7F">
        <w:t xml:space="preserve"> broadcast in another </w:t>
      </w:r>
      <w:r w:rsidR="00DE2C26" w:rsidRPr="00124E7F">
        <w:t>TV</w:t>
      </w:r>
      <w:r w:rsidR="00AB22EE" w:rsidRPr="00124E7F">
        <w:t xml:space="preserve"> broadcast or</w:t>
      </w:r>
      <w:r w:rsidR="006963D8" w:rsidRPr="00124E7F">
        <w:t xml:space="preserve"> placed</w:t>
      </w:r>
      <w:r w:rsidR="00AB22EE" w:rsidRPr="00124E7F">
        <w:t xml:space="preserve"> on a social network is unlikely to </w:t>
      </w:r>
      <w:r w:rsidR="00306897" w:rsidRPr="00124E7F">
        <w:t xml:space="preserve">be considered fair, as it would </w:t>
      </w:r>
      <w:r w:rsidR="00AB22EE" w:rsidRPr="00124E7F">
        <w:t xml:space="preserve">compete with the original broadcast. </w:t>
      </w:r>
      <w:r w:rsidR="00C718B1" w:rsidRPr="00124E7F">
        <w:t xml:space="preserve">The availability of </w:t>
      </w:r>
      <w:r w:rsidR="005D236A" w:rsidRPr="00124E7F">
        <w:t>licens</w:t>
      </w:r>
      <w:r w:rsidR="007D4AFF" w:rsidRPr="00124E7F">
        <w:t>e</w:t>
      </w:r>
      <w:r w:rsidR="00C718B1" w:rsidRPr="00124E7F">
        <w:t>s</w:t>
      </w:r>
      <w:r w:rsidR="008705D0" w:rsidRPr="00124E7F">
        <w:t xml:space="preserve"> and the commercial use of quotations would </w:t>
      </w:r>
      <w:r w:rsidR="00C718B1" w:rsidRPr="00124E7F">
        <w:t xml:space="preserve">also be relevant </w:t>
      </w:r>
      <w:r w:rsidR="008705D0" w:rsidRPr="00124E7F">
        <w:t xml:space="preserve">factors in </w:t>
      </w:r>
      <w:r w:rsidR="00C718B1" w:rsidRPr="00124E7F">
        <w:t xml:space="preserve">the fairness inquiry. This </w:t>
      </w:r>
      <w:r w:rsidR="007A0A0C" w:rsidRPr="00124E7F">
        <w:t xml:space="preserve">is evidenced by </w:t>
      </w:r>
      <w:r w:rsidR="00C718B1" w:rsidRPr="00124E7F">
        <w:t xml:space="preserve">a number of sampling cases in the US, where the </w:t>
      </w:r>
      <w:r w:rsidR="006963D8" w:rsidRPr="00124E7F">
        <w:t xml:space="preserve">commercial </w:t>
      </w:r>
      <w:r w:rsidR="00C718B1" w:rsidRPr="00124E7F">
        <w:t>use of music sample</w:t>
      </w:r>
      <w:r w:rsidR="0028722F" w:rsidRPr="00124E7F">
        <w:t>s</w:t>
      </w:r>
      <w:r w:rsidR="00C718B1" w:rsidRPr="00124E7F">
        <w:t xml:space="preserve"> or sound recording</w:t>
      </w:r>
      <w:r w:rsidR="0028722F" w:rsidRPr="00124E7F">
        <w:t>s</w:t>
      </w:r>
      <w:r w:rsidR="00C718B1" w:rsidRPr="00124E7F">
        <w:t xml:space="preserve"> without </w:t>
      </w:r>
      <w:r w:rsidR="008705D0" w:rsidRPr="00124E7F">
        <w:t>permission</w:t>
      </w:r>
      <w:r w:rsidR="00C718B1" w:rsidRPr="00124E7F">
        <w:t xml:space="preserve"> was found to constitute </w:t>
      </w:r>
      <w:r w:rsidR="00DE2C26" w:rsidRPr="00124E7F">
        <w:t>copyright infringement</w:t>
      </w:r>
      <w:r w:rsidR="00C718B1" w:rsidRPr="00124E7F">
        <w:t>.</w:t>
      </w:r>
      <w:r w:rsidR="0028722F" w:rsidRPr="00124E7F">
        <w:rPr>
          <w:vertAlign w:val="superscript"/>
        </w:rPr>
        <w:footnoteReference w:id="52"/>
      </w:r>
      <w:r w:rsidR="00C718B1" w:rsidRPr="00124E7F">
        <w:rPr>
          <w:vertAlign w:val="superscript"/>
        </w:rPr>
        <w:t xml:space="preserve"> </w:t>
      </w:r>
      <w:r w:rsidR="00C718B1" w:rsidRPr="00124E7F">
        <w:t xml:space="preserve">Given this, it would be difficult to argue that fair use has had a negative impact on the </w:t>
      </w:r>
      <w:r w:rsidR="001F50E7" w:rsidRPr="00124E7F">
        <w:t>US market for music sampling.</w:t>
      </w:r>
    </w:p>
    <w:p w14:paraId="4FB6AC38" w14:textId="77777777" w:rsidR="00AC56B1" w:rsidRPr="00124E7F" w:rsidRDefault="001F50E7" w:rsidP="00786E35">
      <w:pPr>
        <w:pStyle w:val="EYBodytextwithparaspace"/>
      </w:pPr>
      <w:r w:rsidRPr="00124E7F">
        <w:t xml:space="preserve">However, fair dealing is a flexible concept, and its limits </w:t>
      </w:r>
      <w:r w:rsidR="009D0244" w:rsidRPr="00124E7F">
        <w:t>will be</w:t>
      </w:r>
      <w:r w:rsidRPr="00124E7F">
        <w:t xml:space="preserve"> ultimately </w:t>
      </w:r>
      <w:r w:rsidR="009D0244" w:rsidRPr="00124E7F">
        <w:t>determined</w:t>
      </w:r>
      <w:r w:rsidRPr="00124E7F">
        <w:t xml:space="preserve"> by the courts. For this reason we cannot rule out some costs to right</w:t>
      </w:r>
      <w:r w:rsidR="006B2E08" w:rsidRPr="00124E7F">
        <w:t>s</w:t>
      </w:r>
      <w:r w:rsidRPr="00124E7F">
        <w:t xml:space="preserve"> holders as a result of introducing an exception on quotation. However, any such impact is likely to be muted due to two factors </w:t>
      </w:r>
      <w:r w:rsidR="009D0244" w:rsidRPr="00124E7F">
        <w:t>raised here.</w:t>
      </w:r>
      <w:r w:rsidR="00283156" w:rsidRPr="00124E7F">
        <w:t xml:space="preserve"> </w:t>
      </w:r>
      <w:r w:rsidRPr="00124E7F">
        <w:t xml:space="preserve">The first is the presence of existing provisions under the Copyright Act already permitting </w:t>
      </w:r>
      <w:r w:rsidR="00283156" w:rsidRPr="00124E7F">
        <w:t xml:space="preserve">the copying of ‘insubstantial parts’ of creative works. </w:t>
      </w:r>
      <w:r w:rsidRPr="00124E7F">
        <w:t xml:space="preserve">The second would be the restriction of a further exception under Option </w:t>
      </w:r>
      <w:r w:rsidR="00F614D2" w:rsidRPr="00124E7F">
        <w:t xml:space="preserve">2 </w:t>
      </w:r>
      <w:r w:rsidRPr="00124E7F">
        <w:t>to fair dealing – where the nature of the copyright material, the purpose it is used, the extent taken and the effect of the use on the original are relevant factors.</w:t>
      </w:r>
    </w:p>
    <w:p w14:paraId="2DF9D0D0" w14:textId="77777777" w:rsidR="00ED76F6" w:rsidRPr="00124E7F" w:rsidRDefault="008705D0" w:rsidP="001D3EC7">
      <w:pPr>
        <w:pStyle w:val="EYHeading4"/>
      </w:pPr>
      <w:r w:rsidRPr="00124E7F">
        <w:t>Incentives to supply new copyright works</w:t>
      </w:r>
    </w:p>
    <w:p w14:paraId="63CC87B0" w14:textId="77777777" w:rsidR="0007400F" w:rsidRPr="00124E7F" w:rsidRDefault="0007400F" w:rsidP="00786E35">
      <w:pPr>
        <w:pStyle w:val="EYBodytextwithparaspace"/>
      </w:pPr>
      <w:r w:rsidRPr="00124E7F">
        <w:rPr>
          <w:rStyle w:val="AAnormalChar"/>
        </w:rPr>
        <w:t xml:space="preserve">The primary market for copyright owners would remain relatively unaffected from a fair dealing exception for quotation. To the extent currently required, creators would still need to pay for access to original works. </w:t>
      </w:r>
      <w:r w:rsidR="003A1237" w:rsidRPr="00124E7F">
        <w:rPr>
          <w:rStyle w:val="AAnormalChar"/>
        </w:rPr>
        <w:t>That is</w:t>
      </w:r>
      <w:r w:rsidRPr="00124E7F">
        <w:rPr>
          <w:rStyle w:val="AAnormalChar"/>
        </w:rPr>
        <w:t>, a quotation exception would not permit free access to original works. Once lawfully acquired, quotes or extract</w:t>
      </w:r>
      <w:r w:rsidRPr="00124E7F">
        <w:rPr>
          <w:rStyle w:val="EYBodytextwithparaspaceChar"/>
        </w:rPr>
        <w:t>s</w:t>
      </w:r>
      <w:r w:rsidRPr="00124E7F">
        <w:rPr>
          <w:rStyle w:val="AAnormalChar"/>
        </w:rPr>
        <w:t xml:space="preserve"> of original works in new works are more likely to be transformative, and thereby less likely to interfere with the primary market for creators. For example, it is generally acknowledged that use of quotes in academic publications is necessary to place the new works in the context of the research or to comment on the quoted work itself, and</w:t>
      </w:r>
      <w:r w:rsidRPr="00124E7F">
        <w:t xml:space="preserve"> that there is negligible potential in such uses interfering with the market for original content.</w:t>
      </w:r>
      <w:r w:rsidRPr="00124E7F">
        <w:rPr>
          <w:vertAlign w:val="superscript"/>
        </w:rPr>
        <w:footnoteReference w:id="53"/>
      </w:r>
      <w:r w:rsidRPr="00124E7F">
        <w:t xml:space="preserve"> </w:t>
      </w:r>
    </w:p>
    <w:p w14:paraId="387E59C2" w14:textId="77777777" w:rsidR="0007400F" w:rsidRPr="00124E7F" w:rsidRDefault="0007400F" w:rsidP="00786E35">
      <w:pPr>
        <w:pStyle w:val="EYBodytextwithparaspace"/>
      </w:pPr>
      <w:r w:rsidRPr="00124E7F">
        <w:t>Rather than interfering with the market for original works, there is evidence from the music sector that increased exposure of some works may increase sales of those works. For example, a study by Michael Shuster found that within the bounds of Girl Talk’s All Day, un</w:t>
      </w:r>
      <w:r w:rsidR="007D4AFF" w:rsidRPr="00124E7F">
        <w:t>licen</w:t>
      </w:r>
      <w:r w:rsidR="005D236A" w:rsidRPr="00124E7F">
        <w:t>s</w:t>
      </w:r>
      <w:r w:rsidR="007D4AFF" w:rsidRPr="00124E7F">
        <w:t>e</w:t>
      </w:r>
      <w:r w:rsidRPr="00124E7F">
        <w:t>d sampling actually benefitted sales of the sampled songs (to a 92.5% degree of statistical significance).</w:t>
      </w:r>
      <w:r w:rsidRPr="00124E7F">
        <w:rPr>
          <w:vertAlign w:val="superscript"/>
        </w:rPr>
        <w:footnoteReference w:id="54"/>
      </w:r>
      <w:r w:rsidR="002D4075" w:rsidRPr="00124E7F">
        <w:t xml:space="preserve"> </w:t>
      </w:r>
      <w:r w:rsidRPr="00124E7F">
        <w:t>This aligns with the results of a number of previous studies, which have found that ‘</w:t>
      </w:r>
      <w:proofErr w:type="spellStart"/>
      <w:r w:rsidRPr="00124E7F">
        <w:t>unauthorised</w:t>
      </w:r>
      <w:proofErr w:type="spellEnd"/>
      <w:r w:rsidRPr="00124E7F">
        <w:t>’ copying can boost sales for lesser known artists, who seem to gain more from exposure of their works than they lose due to substitution effects.</w:t>
      </w:r>
      <w:r w:rsidRPr="00124E7F">
        <w:rPr>
          <w:vertAlign w:val="superscript"/>
        </w:rPr>
        <w:footnoteReference w:id="55"/>
      </w:r>
      <w:r w:rsidRPr="00124E7F">
        <w:t xml:space="preserve"> To the extent that a fair dealing exception for quotation could increase contestability in the market, this may provide incentives for new entrants into the market. </w:t>
      </w:r>
    </w:p>
    <w:p w14:paraId="624633C0" w14:textId="77777777" w:rsidR="0014223B" w:rsidRPr="00124E7F" w:rsidRDefault="0007400F" w:rsidP="008B03A0">
      <w:pPr>
        <w:pStyle w:val="EYBodytextwithparaspace"/>
        <w:rPr>
          <w:rFonts w:ascii="EYInterstate Regular" w:hAnsi="EYInterstate Regular"/>
          <w:sz w:val="28"/>
        </w:rPr>
      </w:pPr>
      <w:r w:rsidRPr="00124E7F">
        <w:t>Given that both the primary and secondary markets for right</w:t>
      </w:r>
      <w:r w:rsidR="006B2E08" w:rsidRPr="00124E7F">
        <w:t>s</w:t>
      </w:r>
      <w:r w:rsidRPr="00124E7F">
        <w:t xml:space="preserve"> holders would be relatively unaffected by a quotation exception, any impacts on incentives to create new works </w:t>
      </w:r>
      <w:r w:rsidR="0097562E" w:rsidRPr="00124E7F">
        <w:t>are likely to</w:t>
      </w:r>
      <w:r w:rsidRPr="00124E7F">
        <w:t xml:space="preserve"> be marginal. This is particularly the case as follow-up creators are also users of copyright works. And, therefore, while an exception may decrease </w:t>
      </w:r>
      <w:r w:rsidR="005D236A" w:rsidRPr="00124E7F">
        <w:t>licens</w:t>
      </w:r>
      <w:r w:rsidR="007D4AFF" w:rsidRPr="00124E7F">
        <w:t>ing</w:t>
      </w:r>
      <w:r w:rsidRPr="00124E7F">
        <w:t xml:space="preserve"> revenues from supplying creative works; it should also decrease the costs of supplying them. </w:t>
      </w:r>
    </w:p>
    <w:p w14:paraId="3A3C4982" w14:textId="77777777" w:rsidR="002C267F" w:rsidRPr="00124E7F" w:rsidRDefault="002C267F">
      <w:pPr>
        <w:widowControl/>
        <w:autoSpaceDE/>
        <w:autoSpaceDN/>
        <w:adjustRightInd/>
        <w:spacing w:line="240" w:lineRule="auto"/>
        <w:rPr>
          <w:b/>
          <w:sz w:val="28"/>
          <w:szCs w:val="24"/>
          <w:lang w:val="en-US"/>
        </w:rPr>
      </w:pPr>
      <w:bookmarkStart w:id="97" w:name="_Toc451769111"/>
      <w:r w:rsidRPr="00124E7F">
        <w:rPr>
          <w:b/>
          <w:sz w:val="28"/>
          <w:szCs w:val="24"/>
          <w:lang w:val="en-US"/>
        </w:rPr>
        <w:br w:type="page"/>
      </w:r>
    </w:p>
    <w:p w14:paraId="35DCC443" w14:textId="77777777" w:rsidR="003E317F" w:rsidRPr="00124E7F" w:rsidRDefault="00804598" w:rsidP="004338BE">
      <w:pPr>
        <w:pStyle w:val="EYHeading2"/>
        <w:tabs>
          <w:tab w:val="clear" w:pos="0"/>
        </w:tabs>
      </w:pPr>
      <w:bookmarkStart w:id="98" w:name="_Toc467768608"/>
      <w:bookmarkStart w:id="99" w:name="_Toc467768660"/>
      <w:bookmarkStart w:id="100" w:name="_Toc467768952"/>
      <w:bookmarkStart w:id="101" w:name="_Toc467769081"/>
      <w:bookmarkStart w:id="102" w:name="_Toc469644738"/>
      <w:r w:rsidRPr="00124E7F">
        <w:t>Non-commercial private use</w:t>
      </w:r>
      <w:bookmarkEnd w:id="97"/>
      <w:bookmarkEnd w:id="98"/>
      <w:bookmarkEnd w:id="99"/>
      <w:bookmarkEnd w:id="100"/>
      <w:bookmarkEnd w:id="101"/>
      <w:bookmarkEnd w:id="102"/>
    </w:p>
    <w:p w14:paraId="7162157B" w14:textId="77777777" w:rsidR="00283529" w:rsidRPr="00124E7F" w:rsidRDefault="00283529" w:rsidP="0080497D">
      <w:pPr>
        <w:pStyle w:val="EYHeading3"/>
      </w:pPr>
      <w:r w:rsidRPr="00124E7F">
        <w:t>What is non-commercial private use?</w:t>
      </w:r>
    </w:p>
    <w:p w14:paraId="5ADEF30A" w14:textId="77777777" w:rsidR="00A664CD" w:rsidRPr="00124E7F" w:rsidRDefault="00EA156B" w:rsidP="00786E35">
      <w:pPr>
        <w:pStyle w:val="EYBodytextwithparaspace"/>
      </w:pPr>
      <w:r w:rsidRPr="00124E7F">
        <w:t xml:space="preserve">Non-commercial private copying is limited to the reproduction of copyright content for use solely in the private sphere. </w:t>
      </w:r>
      <w:r w:rsidR="00A664CD" w:rsidRPr="00124E7F">
        <w:t>Hence, i</w:t>
      </w:r>
      <w:r w:rsidR="00501F5C" w:rsidRPr="00124E7F">
        <w:t>t is assumed</w:t>
      </w:r>
      <w:r w:rsidR="00A664CD" w:rsidRPr="00124E7F">
        <w:t xml:space="preserve"> – as others have done in similar context – </w:t>
      </w:r>
      <w:r w:rsidR="00501F5C" w:rsidRPr="00124E7F">
        <w:t xml:space="preserve">that </w:t>
      </w:r>
      <w:r w:rsidRPr="00124E7F">
        <w:t>‘commercial use of reproductions, as well as communication to the public, distribution to the public, public performance or adaptation is by definition out of scope of private copying</w:t>
      </w:r>
      <w:r w:rsidR="0097562E" w:rsidRPr="00124E7F">
        <w:t>.</w:t>
      </w:r>
      <w:r w:rsidRPr="00124E7F">
        <w:t>’</w:t>
      </w:r>
      <w:r w:rsidRPr="00124E7F">
        <w:rPr>
          <w:vertAlign w:val="superscript"/>
        </w:rPr>
        <w:footnoteReference w:id="56"/>
      </w:r>
    </w:p>
    <w:p w14:paraId="361E9B14" w14:textId="77777777" w:rsidR="003002C6" w:rsidRPr="00124E7F" w:rsidRDefault="00546EA9" w:rsidP="00786E35">
      <w:pPr>
        <w:pStyle w:val="EYBodytextwithparaspace"/>
      </w:pPr>
      <w:r w:rsidRPr="00124E7F">
        <w:t xml:space="preserve">Private copying can </w:t>
      </w:r>
      <w:r w:rsidR="0005508D" w:rsidRPr="00124E7F">
        <w:t xml:space="preserve">take different forms depending on </w:t>
      </w:r>
      <w:r w:rsidR="00D86BB9" w:rsidRPr="00124E7F">
        <w:t xml:space="preserve">type of </w:t>
      </w:r>
      <w:r w:rsidR="0005508D" w:rsidRPr="00124E7F">
        <w:t>copyright content reproduced. This is important since the value of private copying varies according to what is copied (e.g. how close a substitute the copy is compared to the original).</w:t>
      </w:r>
      <w:r w:rsidR="0005508D" w:rsidRPr="00124E7F">
        <w:rPr>
          <w:vertAlign w:val="superscript"/>
        </w:rPr>
        <w:footnoteReference w:id="57"/>
      </w:r>
      <w:r w:rsidR="0005508D" w:rsidRPr="00124E7F">
        <w:rPr>
          <w:vertAlign w:val="superscript"/>
        </w:rPr>
        <w:t xml:space="preserve"> </w:t>
      </w:r>
      <w:r w:rsidR="0005508D" w:rsidRPr="00124E7F">
        <w:t xml:space="preserve">Transaction costs may also vary depending on the type of content. </w:t>
      </w:r>
      <w:r w:rsidR="00AF1A0A" w:rsidRPr="00124E7F">
        <w:t xml:space="preserve">For example, it may be in practice difficult </w:t>
      </w:r>
      <w:r w:rsidR="003002C6" w:rsidRPr="00124E7F">
        <w:t>to m</w:t>
      </w:r>
      <w:r w:rsidR="0005508D" w:rsidRPr="00124E7F">
        <w:t xml:space="preserve">ake sure that a </w:t>
      </w:r>
      <w:r w:rsidR="005D236A" w:rsidRPr="00124E7F">
        <w:t>licens</w:t>
      </w:r>
      <w:r w:rsidR="007D4AFF" w:rsidRPr="00124E7F">
        <w:t>e</w:t>
      </w:r>
      <w:r w:rsidR="0005508D" w:rsidRPr="00124E7F">
        <w:t>e adheres</w:t>
      </w:r>
      <w:r w:rsidR="003002C6" w:rsidRPr="00124E7F">
        <w:t xml:space="preserve"> to the terms of sale related to non-digital content (e.g. copies of physical books’ pages).</w:t>
      </w:r>
      <w:r w:rsidR="00A136A3" w:rsidRPr="00124E7F">
        <w:rPr>
          <w:vertAlign w:val="superscript"/>
        </w:rPr>
        <w:footnoteReference w:id="58"/>
      </w:r>
      <w:r w:rsidR="003002C6" w:rsidRPr="00124E7F">
        <w:t xml:space="preserve"> In comparison, </w:t>
      </w:r>
      <w:r w:rsidR="00AF1A0A" w:rsidRPr="00124E7F">
        <w:t xml:space="preserve">anti-circumvention technology </w:t>
      </w:r>
      <w:r w:rsidR="00065F49" w:rsidRPr="00124E7F">
        <w:t xml:space="preserve">protection </w:t>
      </w:r>
      <w:r w:rsidR="00AF1A0A" w:rsidRPr="00124E7F">
        <w:t>measures</w:t>
      </w:r>
      <w:r w:rsidR="00065F49" w:rsidRPr="00124E7F">
        <w:t xml:space="preserve"> (TPMs)</w:t>
      </w:r>
      <w:r w:rsidR="00AF1A0A" w:rsidRPr="00124E7F">
        <w:t xml:space="preserve"> have made </w:t>
      </w:r>
      <w:r w:rsidR="00A136A3" w:rsidRPr="00124E7F">
        <w:t xml:space="preserve">the </w:t>
      </w:r>
      <w:r w:rsidR="00AF1A0A" w:rsidRPr="00124E7F">
        <w:t xml:space="preserve">monitoring </w:t>
      </w:r>
      <w:r w:rsidR="00A136A3" w:rsidRPr="00124E7F">
        <w:t>of</w:t>
      </w:r>
      <w:r w:rsidR="009C6310" w:rsidRPr="00124E7F">
        <w:t>, and</w:t>
      </w:r>
      <w:r w:rsidR="00A136A3" w:rsidRPr="00124E7F">
        <w:t xml:space="preserve"> protection against, </w:t>
      </w:r>
      <w:r w:rsidR="003002C6" w:rsidRPr="00124E7F">
        <w:t>digital content copying activities less costly.</w:t>
      </w:r>
      <w:r w:rsidR="00A136A3" w:rsidRPr="00124E7F">
        <w:rPr>
          <w:vertAlign w:val="superscript"/>
        </w:rPr>
        <w:footnoteReference w:id="59"/>
      </w:r>
      <w:r w:rsidR="003002C6" w:rsidRPr="00124E7F">
        <w:rPr>
          <w:vertAlign w:val="superscript"/>
        </w:rPr>
        <w:t xml:space="preserve"> </w:t>
      </w:r>
    </w:p>
    <w:p w14:paraId="4F301CF1" w14:textId="77777777" w:rsidR="00A07F76" w:rsidRPr="00124E7F" w:rsidRDefault="00A07F76" w:rsidP="0080497D">
      <w:pPr>
        <w:pStyle w:val="EYHeading3"/>
      </w:pPr>
      <w:r w:rsidRPr="00124E7F">
        <w:t>Current law</w:t>
      </w:r>
    </w:p>
    <w:p w14:paraId="03D318C1" w14:textId="77777777" w:rsidR="00CE5770" w:rsidRPr="00124E7F" w:rsidRDefault="00CE5770" w:rsidP="00786E35">
      <w:pPr>
        <w:pStyle w:val="EYBodytextwithparaspace"/>
      </w:pPr>
      <w:r w:rsidRPr="00124E7F">
        <w:t>In Australia, private copying is addressed through three types of private use exceptions currently provided by the Copyright Act:</w:t>
      </w:r>
    </w:p>
    <w:p w14:paraId="5469575D" w14:textId="77777777" w:rsidR="00CE5770" w:rsidRPr="00124E7F" w:rsidRDefault="00CE5770" w:rsidP="00634BB4">
      <w:pPr>
        <w:pStyle w:val="EYBulletedText1"/>
      </w:pPr>
      <w:r w:rsidRPr="00124E7F">
        <w:rPr>
          <w:b/>
        </w:rPr>
        <w:t>Format shifting</w:t>
      </w:r>
      <w:r w:rsidRPr="00124E7F">
        <w:t>: Allows for the copying for private use of books, newspapers, periodicals, photographs and films on videotape (not DVDs or copies downloaded from the internet). The exception only applies if:</w:t>
      </w:r>
    </w:p>
    <w:p w14:paraId="68496DEA" w14:textId="77777777" w:rsidR="00CE5770" w:rsidRPr="00124E7F" w:rsidRDefault="00CE5770" w:rsidP="009B36A0">
      <w:pPr>
        <w:pStyle w:val="EYBulletedText2"/>
      </w:pPr>
      <w:r w:rsidRPr="00124E7F">
        <w:t>The owner of the original makes the copy and the original is not an infringing copy</w:t>
      </w:r>
    </w:p>
    <w:p w14:paraId="640A8FC2" w14:textId="77777777" w:rsidR="00CE5770" w:rsidRPr="00124E7F" w:rsidRDefault="00CE5770" w:rsidP="009B36A0">
      <w:pPr>
        <w:pStyle w:val="EYBulletedText2"/>
      </w:pPr>
      <w:r w:rsidRPr="00124E7F">
        <w:t>The copy must be made in a di</w:t>
      </w:r>
      <w:r w:rsidR="008E19C5" w:rsidRPr="00124E7F">
        <w:t>fferent format to the original</w:t>
      </w:r>
    </w:p>
    <w:p w14:paraId="0439F8F2" w14:textId="77777777" w:rsidR="00CE5770" w:rsidRPr="00124E7F" w:rsidRDefault="00CE5770" w:rsidP="009B36A0">
      <w:pPr>
        <w:pStyle w:val="EYBulletedText2"/>
      </w:pPr>
      <w:r w:rsidRPr="00124E7F">
        <w:t xml:space="preserve">Only one private use copy can be made into any one different format. </w:t>
      </w:r>
    </w:p>
    <w:p w14:paraId="3F100BDE" w14:textId="77777777" w:rsidR="00CE5770" w:rsidRPr="00124E7F" w:rsidRDefault="00CE5770" w:rsidP="00634BB4">
      <w:pPr>
        <w:pStyle w:val="EYBulletedText1"/>
        <w:rPr>
          <w:b/>
        </w:rPr>
      </w:pPr>
      <w:r w:rsidRPr="00124E7F">
        <w:rPr>
          <w:b/>
        </w:rPr>
        <w:t xml:space="preserve">Time shifting: </w:t>
      </w:r>
      <w:r w:rsidR="003002C6" w:rsidRPr="00124E7F">
        <w:t>Allows for the making of ‘a cinematograph film or sound recording of a broadcast solely for private use by watching or listening to the material broadcast at a time more convenient than the time when the broadcast is made’</w:t>
      </w:r>
      <w:r w:rsidR="002D4075" w:rsidRPr="00124E7F">
        <w:t>.</w:t>
      </w:r>
      <w:r w:rsidR="003002C6" w:rsidRPr="00124E7F">
        <w:rPr>
          <w:vertAlign w:val="superscript"/>
        </w:rPr>
        <w:footnoteReference w:id="60"/>
      </w:r>
      <w:r w:rsidRPr="00124E7F">
        <w:rPr>
          <w:vertAlign w:val="superscript"/>
        </w:rPr>
        <w:t xml:space="preserve"> </w:t>
      </w:r>
      <w:r w:rsidRPr="00124E7F">
        <w:t xml:space="preserve">The exception does not apply to content made available on the internet, unless the content copied is being streamed by a radio or TV </w:t>
      </w:r>
      <w:r w:rsidR="003B1F5E" w:rsidRPr="00124E7F">
        <w:t>broadcaster</w:t>
      </w:r>
      <w:r w:rsidRPr="00124E7F">
        <w:t xml:space="preserve">. </w:t>
      </w:r>
    </w:p>
    <w:p w14:paraId="65A42714" w14:textId="77777777" w:rsidR="00D86BB9" w:rsidRPr="00124E7F" w:rsidRDefault="00CE5770" w:rsidP="00634BB4">
      <w:pPr>
        <w:pStyle w:val="EYBulletedText1"/>
        <w:rPr>
          <w:b/>
        </w:rPr>
      </w:pPr>
      <w:r w:rsidRPr="00124E7F">
        <w:rPr>
          <w:b/>
        </w:rPr>
        <w:t xml:space="preserve">Space shifting: </w:t>
      </w:r>
      <w:r w:rsidRPr="00124E7F">
        <w:t>Allows the copying of sound recordings for private use to different media devices or media. The same restrictions apply as format shifting except that sound recordings can be copied multiple times into any format for private use with a device owned by the user.</w:t>
      </w:r>
      <w:bookmarkStart w:id="103" w:name="_Ref445814743"/>
      <w:r w:rsidR="002A307B" w:rsidRPr="00124E7F">
        <w:rPr>
          <w:b/>
        </w:rPr>
        <w:t xml:space="preserve"> </w:t>
      </w:r>
    </w:p>
    <w:p w14:paraId="657C0587" w14:textId="77777777" w:rsidR="00283529" w:rsidRPr="00124E7F" w:rsidRDefault="00283529" w:rsidP="0080497D">
      <w:pPr>
        <w:pStyle w:val="EYHeading3"/>
      </w:pPr>
      <w:r w:rsidRPr="00124E7F">
        <w:t xml:space="preserve">The problem </w:t>
      </w:r>
      <w:bookmarkEnd w:id="103"/>
    </w:p>
    <w:p w14:paraId="61ECEF06" w14:textId="77777777" w:rsidR="000A0041" w:rsidRPr="00124E7F" w:rsidRDefault="000D2E89" w:rsidP="007B0604">
      <w:pPr>
        <w:pStyle w:val="EYBodytextwithparaspace"/>
        <w:rPr>
          <w:rStyle w:val="AAnormalChar"/>
        </w:rPr>
      </w:pPr>
      <w:r w:rsidRPr="00124E7F">
        <w:t xml:space="preserve">The current exceptions are </w:t>
      </w:r>
      <w:proofErr w:type="spellStart"/>
      <w:r w:rsidRPr="00124E7F">
        <w:t>criticised</w:t>
      </w:r>
      <w:proofErr w:type="spellEnd"/>
      <w:r w:rsidR="000A0041" w:rsidRPr="00124E7F">
        <w:t xml:space="preserve"> by the ALRC</w:t>
      </w:r>
      <w:r w:rsidRPr="00124E7F">
        <w:t xml:space="preserve"> for their level of complexity and for being </w:t>
      </w:r>
      <w:r w:rsidRPr="00124E7F">
        <w:rPr>
          <w:rStyle w:val="AAnormalChar"/>
        </w:rPr>
        <w:t xml:space="preserve">outdated relative to current consumer practices and emerging technologies. </w:t>
      </w:r>
      <w:r w:rsidR="00687A68" w:rsidRPr="00124E7F">
        <w:rPr>
          <w:rStyle w:val="AAnormalChar"/>
        </w:rPr>
        <w:t>The Copyright Act currently provides for different treatments of the same types of private uses depending on the technology platform under consideration. The result has been widespread copyright infringement.</w:t>
      </w:r>
      <w:r w:rsidR="000A0041" w:rsidRPr="00124E7F">
        <w:rPr>
          <w:rStyle w:val="AAnormalChar"/>
        </w:rPr>
        <w:t xml:space="preserve"> </w:t>
      </w:r>
      <w:r w:rsidRPr="00124E7F">
        <w:rPr>
          <w:rStyle w:val="AAnormalChar"/>
        </w:rPr>
        <w:t xml:space="preserve">For example, the current format shifting exception on films </w:t>
      </w:r>
      <w:r w:rsidR="0087251C" w:rsidRPr="00124E7F">
        <w:rPr>
          <w:rStyle w:val="AAnormalChar"/>
        </w:rPr>
        <w:t xml:space="preserve">only </w:t>
      </w:r>
      <w:r w:rsidRPr="00124E7F">
        <w:rPr>
          <w:rStyle w:val="AAnormalChar"/>
        </w:rPr>
        <w:t xml:space="preserve">applies to copies made from films in analog </w:t>
      </w:r>
      <w:r w:rsidR="00D42D9D" w:rsidRPr="00124E7F">
        <w:rPr>
          <w:rStyle w:val="AAnormalChar"/>
        </w:rPr>
        <w:t>format</w:t>
      </w:r>
      <w:r w:rsidRPr="00124E7F">
        <w:rPr>
          <w:rStyle w:val="AAnormalChar"/>
        </w:rPr>
        <w:t>. This means that copies of legally acquired films on DVDs or from the internet cannot be made for non-</w:t>
      </w:r>
      <w:r w:rsidR="003B1F5E" w:rsidRPr="00124E7F">
        <w:rPr>
          <w:rStyle w:val="AAnormalChar"/>
        </w:rPr>
        <w:t xml:space="preserve">commercial private </w:t>
      </w:r>
      <w:r w:rsidRPr="00124E7F">
        <w:rPr>
          <w:rStyle w:val="AAnormalChar"/>
        </w:rPr>
        <w:t>use.</w:t>
      </w:r>
      <w:r w:rsidR="000D048C" w:rsidRPr="00124E7F">
        <w:rPr>
          <w:rStyle w:val="AAnormalChar"/>
        </w:rPr>
        <w:footnoteReference w:id="61"/>
      </w:r>
      <w:r w:rsidRPr="00124E7F">
        <w:rPr>
          <w:rStyle w:val="AAnormalChar"/>
        </w:rPr>
        <w:t xml:space="preserve"> </w:t>
      </w:r>
      <w:r w:rsidR="00D42D9D" w:rsidRPr="00124E7F">
        <w:rPr>
          <w:rStyle w:val="AAnormalChar"/>
        </w:rPr>
        <w:t xml:space="preserve">Further, the </w:t>
      </w:r>
      <w:r w:rsidR="004D02A8" w:rsidRPr="00124E7F">
        <w:rPr>
          <w:rStyle w:val="AAnormalChar"/>
        </w:rPr>
        <w:t>format</w:t>
      </w:r>
      <w:r w:rsidR="00D42D9D" w:rsidRPr="00124E7F">
        <w:rPr>
          <w:rStyle w:val="AAnormalChar"/>
        </w:rPr>
        <w:t xml:space="preserve"> shifting exception (specifically for books, newspapers and periodicals) only allows user to make one copy in each format. This raises the question of whether storing legally acquired copyright content in the cloud is permissible, given that this may require multiple copies to be made.</w:t>
      </w:r>
      <w:r w:rsidR="00D42D9D" w:rsidRPr="00124E7F">
        <w:rPr>
          <w:rStyle w:val="AAnormalChar"/>
          <w:vertAlign w:val="superscript"/>
        </w:rPr>
        <w:footnoteReference w:id="62"/>
      </w:r>
      <w:r w:rsidR="00D42D9D" w:rsidRPr="00124E7F">
        <w:rPr>
          <w:rStyle w:val="AAnormalChar"/>
        </w:rPr>
        <w:t xml:space="preserve"> </w:t>
      </w:r>
      <w:r w:rsidRPr="00124E7F">
        <w:rPr>
          <w:rStyle w:val="AAnormalChar"/>
        </w:rPr>
        <w:t xml:space="preserve">Similarly, the current time shifting exception is restricted to ‘broadcasts’, raising the question of whether a </w:t>
      </w:r>
      <w:r w:rsidR="003B1F5E" w:rsidRPr="00124E7F">
        <w:rPr>
          <w:rStyle w:val="AAnormalChar"/>
        </w:rPr>
        <w:t>cinematograph</w:t>
      </w:r>
      <w:r w:rsidRPr="00124E7F">
        <w:rPr>
          <w:rStyle w:val="AAnormalChar"/>
        </w:rPr>
        <w:t xml:space="preserve"> film or sound recording from the internet is covered by the exception.</w:t>
      </w:r>
      <w:r w:rsidR="000D048C" w:rsidRPr="00124E7F">
        <w:rPr>
          <w:rStyle w:val="AAnormalChar"/>
          <w:vertAlign w:val="superscript"/>
        </w:rPr>
        <w:footnoteReference w:id="63"/>
      </w:r>
      <w:r w:rsidRPr="00124E7F">
        <w:rPr>
          <w:rStyle w:val="AAnormalChar"/>
          <w:vertAlign w:val="superscript"/>
        </w:rPr>
        <w:t xml:space="preserve"> </w:t>
      </w:r>
    </w:p>
    <w:p w14:paraId="599A90FF" w14:textId="77777777" w:rsidR="000D2E89" w:rsidRPr="00124E7F" w:rsidRDefault="000D2E89" w:rsidP="0080497D">
      <w:pPr>
        <w:pStyle w:val="EYHeading3"/>
      </w:pPr>
      <w:r w:rsidRPr="00124E7F">
        <w:t>The proposed policy options</w:t>
      </w:r>
    </w:p>
    <w:p w14:paraId="19B95BFC" w14:textId="77777777" w:rsidR="000D2E89" w:rsidRPr="00124E7F" w:rsidRDefault="0087251C" w:rsidP="00C46978">
      <w:pPr>
        <w:pStyle w:val="EYNumber"/>
        <w:numPr>
          <w:ilvl w:val="0"/>
          <w:numId w:val="15"/>
        </w:numPr>
        <w:spacing w:line="276" w:lineRule="auto"/>
        <w:rPr>
          <w:b/>
        </w:rPr>
      </w:pPr>
      <w:r w:rsidRPr="00124E7F">
        <w:rPr>
          <w:b/>
        </w:rPr>
        <w:t>Status quo</w:t>
      </w:r>
      <w:r w:rsidR="000D2E89" w:rsidRPr="00124E7F">
        <w:rPr>
          <w:b/>
        </w:rPr>
        <w:t xml:space="preserve"> – Do nothing. </w:t>
      </w:r>
      <w:r w:rsidR="000D2E89" w:rsidRPr="00124E7F">
        <w:t xml:space="preserve">The private use of copyright content </w:t>
      </w:r>
      <w:r w:rsidR="00E81B57" w:rsidRPr="00124E7F">
        <w:t>would continue to be</w:t>
      </w:r>
      <w:r w:rsidR="000D2E89" w:rsidRPr="00124E7F">
        <w:t xml:space="preserve"> permissible in the context of</w:t>
      </w:r>
      <w:r w:rsidR="003D2CF2" w:rsidRPr="00124E7F">
        <w:t xml:space="preserve"> exceptions for format</w:t>
      </w:r>
      <w:r w:rsidR="00CE5770" w:rsidRPr="00124E7F">
        <w:t xml:space="preserve">, </w:t>
      </w:r>
      <w:r w:rsidR="003D2CF2" w:rsidRPr="00124E7F">
        <w:t xml:space="preserve">time </w:t>
      </w:r>
      <w:r w:rsidR="00CE5770" w:rsidRPr="00124E7F">
        <w:t>and space shifting</w:t>
      </w:r>
      <w:r w:rsidR="003D2CF2" w:rsidRPr="00124E7F">
        <w:t>.</w:t>
      </w:r>
    </w:p>
    <w:p w14:paraId="770A81C0" w14:textId="77777777" w:rsidR="00E81B57" w:rsidRPr="00124E7F" w:rsidRDefault="0087251C" w:rsidP="00F72E3A">
      <w:pPr>
        <w:pStyle w:val="EYNumber"/>
        <w:spacing w:line="276" w:lineRule="auto"/>
      </w:pPr>
      <w:r w:rsidRPr="00124E7F">
        <w:rPr>
          <w:b/>
        </w:rPr>
        <w:t>New fair dealing exception</w:t>
      </w:r>
      <w:r w:rsidR="000D2E89" w:rsidRPr="00124E7F">
        <w:rPr>
          <w:b/>
        </w:rPr>
        <w:t xml:space="preserve"> – </w:t>
      </w:r>
      <w:r w:rsidR="00CE5770" w:rsidRPr="00124E7F">
        <w:rPr>
          <w:b/>
        </w:rPr>
        <w:t xml:space="preserve">Current exceptions </w:t>
      </w:r>
      <w:r w:rsidR="00E81B57" w:rsidRPr="00124E7F">
        <w:rPr>
          <w:b/>
        </w:rPr>
        <w:t>would be</w:t>
      </w:r>
      <w:r w:rsidR="00A36EF9" w:rsidRPr="00124E7F">
        <w:rPr>
          <w:b/>
        </w:rPr>
        <w:t xml:space="preserve"> repealed and replaced with </w:t>
      </w:r>
      <w:r w:rsidR="00E81B57" w:rsidRPr="00124E7F">
        <w:rPr>
          <w:b/>
        </w:rPr>
        <w:t>a fair dealing</w:t>
      </w:r>
      <w:r w:rsidR="000D2E89" w:rsidRPr="00124E7F">
        <w:rPr>
          <w:b/>
        </w:rPr>
        <w:t xml:space="preserve"> exception allowing copying </w:t>
      </w:r>
      <w:r w:rsidR="00E81B57" w:rsidRPr="00124E7F">
        <w:rPr>
          <w:b/>
        </w:rPr>
        <w:t>for non-commercial private use</w:t>
      </w:r>
      <w:r w:rsidR="00E81B57" w:rsidRPr="00124E7F">
        <w:t xml:space="preserve">, where what is fair </w:t>
      </w:r>
      <w:r w:rsidR="00581DB4" w:rsidRPr="00124E7F">
        <w:t>would be</w:t>
      </w:r>
      <w:r w:rsidR="00E81B57" w:rsidRPr="00124E7F">
        <w:t xml:space="preserve"> </w:t>
      </w:r>
      <w:r w:rsidR="00581DB4" w:rsidRPr="00124E7F">
        <w:t>guided by the</w:t>
      </w:r>
      <w:r w:rsidR="00E81B57" w:rsidRPr="00124E7F">
        <w:t xml:space="preserve"> following </w:t>
      </w:r>
      <w:r w:rsidR="00581DB4" w:rsidRPr="00124E7F">
        <w:t xml:space="preserve">four </w:t>
      </w:r>
      <w:r w:rsidR="00E81B57" w:rsidRPr="00124E7F">
        <w:t>factors:</w:t>
      </w:r>
    </w:p>
    <w:p w14:paraId="69208D39" w14:textId="77777777" w:rsidR="00E81B57" w:rsidRPr="00124E7F" w:rsidRDefault="00E81B57" w:rsidP="00F72E3A">
      <w:pPr>
        <w:pStyle w:val="EYLetter"/>
        <w:spacing w:line="276" w:lineRule="auto"/>
      </w:pPr>
      <w:r w:rsidRPr="00124E7F">
        <w:t>Purpose and character of use</w:t>
      </w:r>
      <w:r w:rsidR="00A36EF9" w:rsidRPr="00124E7F">
        <w:t xml:space="preserve"> </w:t>
      </w:r>
    </w:p>
    <w:p w14:paraId="20D6A1E5" w14:textId="77777777" w:rsidR="00E81B57" w:rsidRPr="00124E7F" w:rsidRDefault="00E81B57" w:rsidP="00F72E3A">
      <w:pPr>
        <w:pStyle w:val="EYLetter"/>
        <w:spacing w:line="276" w:lineRule="auto"/>
      </w:pPr>
      <w:r w:rsidRPr="00124E7F">
        <w:t>Nature of the copyright material</w:t>
      </w:r>
    </w:p>
    <w:p w14:paraId="650D8E07" w14:textId="77777777" w:rsidR="00A36EF9" w:rsidRPr="00124E7F" w:rsidRDefault="00E81B57" w:rsidP="00F72E3A">
      <w:pPr>
        <w:pStyle w:val="EYLetter"/>
        <w:spacing w:line="276" w:lineRule="auto"/>
      </w:pPr>
      <w:r w:rsidRPr="00124E7F">
        <w:t>Amount and substantiality of part used</w:t>
      </w:r>
    </w:p>
    <w:p w14:paraId="540E9974" w14:textId="77777777" w:rsidR="00EA6B10" w:rsidRPr="00124E7F" w:rsidRDefault="00E81B57" w:rsidP="00EA6B10">
      <w:pPr>
        <w:pStyle w:val="EYLetter"/>
        <w:spacing w:line="276" w:lineRule="auto"/>
      </w:pPr>
      <w:r w:rsidRPr="00124E7F">
        <w:t>The effect of the use on the market</w:t>
      </w:r>
    </w:p>
    <w:p w14:paraId="4F21DB18" w14:textId="77777777" w:rsidR="00B717F0" w:rsidRPr="00124E7F" w:rsidRDefault="00B717F0" w:rsidP="0080497D">
      <w:pPr>
        <w:pStyle w:val="EYHeading3"/>
      </w:pPr>
      <w:r w:rsidRPr="00124E7F">
        <w:t>Assumptions</w:t>
      </w:r>
    </w:p>
    <w:p w14:paraId="60DF0D65" w14:textId="77777777" w:rsidR="00E81B57" w:rsidRPr="00124E7F" w:rsidRDefault="00E81B57" w:rsidP="0080497D">
      <w:pPr>
        <w:pStyle w:val="EYBodytextwithparaspace"/>
      </w:pPr>
      <w:r w:rsidRPr="00124E7F">
        <w:t xml:space="preserve">The following assumptions </w:t>
      </w:r>
      <w:r w:rsidR="00A36EF9" w:rsidRPr="00124E7F">
        <w:t>have been</w:t>
      </w:r>
      <w:r w:rsidRPr="00124E7F">
        <w:t xml:space="preserve"> made in undertaking the analysis:</w:t>
      </w:r>
    </w:p>
    <w:p w14:paraId="6811C82F" w14:textId="77777777" w:rsidR="00F255B0" w:rsidRPr="00124E7F" w:rsidRDefault="00F255B0" w:rsidP="00634BB4">
      <w:pPr>
        <w:pStyle w:val="EYBulletedText1"/>
      </w:pPr>
      <w:r w:rsidRPr="00124E7F">
        <w:t xml:space="preserve">A third party facilitator would not itself </w:t>
      </w:r>
      <w:r w:rsidR="003B1F5E" w:rsidRPr="00124E7F">
        <w:t>be considered</w:t>
      </w:r>
      <w:r w:rsidRPr="00124E7F">
        <w:t xml:space="preserve"> a private non-commercial </w:t>
      </w:r>
      <w:r w:rsidR="003B1F5E" w:rsidRPr="00124E7F">
        <w:t xml:space="preserve">user </w:t>
      </w:r>
      <w:r w:rsidRPr="00124E7F">
        <w:t>and so would not be covered by a fair dealing exception for non-commercial private use.</w:t>
      </w:r>
      <w:r w:rsidRPr="00124E7F">
        <w:rPr>
          <w:vertAlign w:val="superscript"/>
        </w:rPr>
        <w:footnoteReference w:id="64"/>
      </w:r>
    </w:p>
    <w:p w14:paraId="0D39B3E1" w14:textId="77777777" w:rsidR="00F255B0" w:rsidRPr="00124E7F" w:rsidRDefault="00F255B0" w:rsidP="00634BB4">
      <w:pPr>
        <w:pStyle w:val="EYBulletedText1"/>
      </w:pPr>
      <w:r w:rsidRPr="00124E7F">
        <w:t>Sharing content online with larger groups of people would not be considered a private use and would therefore not be permitted under an exception.</w:t>
      </w:r>
      <w:r w:rsidRPr="00124E7F">
        <w:rPr>
          <w:vertAlign w:val="superscript"/>
        </w:rPr>
        <w:footnoteReference w:id="65"/>
      </w:r>
    </w:p>
    <w:p w14:paraId="79B67B6D" w14:textId="77777777" w:rsidR="00F255B0" w:rsidRPr="00124E7F" w:rsidRDefault="00F255B0" w:rsidP="00634BB4">
      <w:pPr>
        <w:pStyle w:val="EYBulletedText1"/>
        <w:rPr>
          <w:b/>
        </w:rPr>
      </w:pPr>
      <w:r w:rsidRPr="00124E7F">
        <w:t>Whether the consumer purchased a permanent copy, or whether they were entitled to have access to the content for a limited period of time, would be relevant to any fairness enquiry.</w:t>
      </w:r>
      <w:r w:rsidRPr="00124E7F">
        <w:rPr>
          <w:rStyle w:val="FootnoteReference"/>
          <w:sz w:val="20"/>
        </w:rPr>
        <w:footnoteReference w:id="66"/>
      </w:r>
      <w:r w:rsidRPr="00124E7F">
        <w:t xml:space="preserve"> For example, the exception would not permit:</w:t>
      </w:r>
    </w:p>
    <w:p w14:paraId="68AA09BE" w14:textId="77777777" w:rsidR="00F255B0" w:rsidRPr="00124E7F" w:rsidRDefault="00F255B0" w:rsidP="009B36A0">
      <w:pPr>
        <w:pStyle w:val="EYBulletedText2"/>
      </w:pPr>
      <w:r w:rsidRPr="00124E7F">
        <w:t>The copying of illegally-acquired content or the distribution of copies.</w:t>
      </w:r>
      <w:r w:rsidRPr="00124E7F">
        <w:rPr>
          <w:vertAlign w:val="superscript"/>
        </w:rPr>
        <w:footnoteReference w:id="67"/>
      </w:r>
    </w:p>
    <w:p w14:paraId="5E44B5AF" w14:textId="77777777" w:rsidR="00F255B0" w:rsidRPr="00124E7F" w:rsidRDefault="00F255B0" w:rsidP="009B36A0">
      <w:pPr>
        <w:pStyle w:val="EYBulletedText2"/>
      </w:pPr>
      <w:r w:rsidRPr="00124E7F">
        <w:t>The copying of rented, borrowed or streamed content.</w:t>
      </w:r>
      <w:r w:rsidRPr="00124E7F">
        <w:rPr>
          <w:vertAlign w:val="superscript"/>
        </w:rPr>
        <w:footnoteReference w:id="68"/>
      </w:r>
    </w:p>
    <w:p w14:paraId="0CFAD77D" w14:textId="77777777" w:rsidR="00804598" w:rsidRPr="00124E7F" w:rsidRDefault="00804598" w:rsidP="0080497D">
      <w:pPr>
        <w:pStyle w:val="EYHeading3"/>
      </w:pPr>
      <w:r w:rsidRPr="00124E7F">
        <w:t xml:space="preserve">Impact analysis </w:t>
      </w:r>
    </w:p>
    <w:p w14:paraId="0E2992E1" w14:textId="77777777" w:rsidR="000E13A5" w:rsidRPr="00124E7F" w:rsidRDefault="005C58E9" w:rsidP="007A51B0">
      <w:pPr>
        <w:pStyle w:val="EYHeading4"/>
      </w:pPr>
      <w:r w:rsidRPr="00124E7F">
        <w:t>Summary</w:t>
      </w:r>
    </w:p>
    <w:p w14:paraId="6BF48B9D" w14:textId="5A25FF81" w:rsidR="001A4F6A" w:rsidRPr="00124E7F" w:rsidRDefault="001A4F6A" w:rsidP="00C36D57">
      <w:pPr>
        <w:pStyle w:val="EYBodytextwithparaspace"/>
        <w:spacing w:line="276" w:lineRule="auto"/>
        <w:rPr>
          <w:b/>
        </w:rPr>
      </w:pPr>
      <w:r w:rsidRPr="00124E7F">
        <w:rPr>
          <w:b/>
        </w:rPr>
        <w:t>A fair dealing exception for non</w:t>
      </w:r>
      <w:r w:rsidR="00F83736">
        <w:rPr>
          <w:b/>
        </w:rPr>
        <w:t>-</w:t>
      </w:r>
      <w:r w:rsidRPr="00124E7F">
        <w:rPr>
          <w:b/>
        </w:rPr>
        <w:t xml:space="preserve">commercial private use is associated with limited benefits from greater alignment between copyright law and current practices. While arguably complex and outdated, current private copying provisions are relatively permissive. Where there is some legal uncertainty, industry appears to accept current copying </w:t>
      </w:r>
      <w:proofErr w:type="spellStart"/>
      <w:r w:rsidRPr="00124E7F">
        <w:rPr>
          <w:b/>
        </w:rPr>
        <w:t>behaviours</w:t>
      </w:r>
      <w:proofErr w:type="spellEnd"/>
      <w:r w:rsidRPr="00124E7F">
        <w:rPr>
          <w:b/>
        </w:rPr>
        <w:t xml:space="preserve"> as reasonable. In other areas, market solutions are removing the need for an exception altogether.</w:t>
      </w:r>
    </w:p>
    <w:p w14:paraId="1F9D09FC" w14:textId="77777777" w:rsidR="00647EC8" w:rsidRPr="00124E7F" w:rsidRDefault="00647EC8" w:rsidP="009D2324">
      <w:pPr>
        <w:pStyle w:val="EYBodytextwithparaspace"/>
      </w:pPr>
      <w:r w:rsidRPr="00124E7F">
        <w:t xml:space="preserve">Although arguably complex and outdated, the current private copying provisions are relatively permissive. Where there is currently some legal uncertainty around copying activities for personal use – e.g. storing multiple copies of legally acquired copyright content on the cloud – industry appears to accept such copying as reasonable. Indeed, much of the copyright infringement currently taking place (in the context of legally acquired copyright </w:t>
      </w:r>
      <w:r w:rsidR="00741527" w:rsidRPr="00124E7F">
        <w:t>content</w:t>
      </w:r>
      <w:r w:rsidRPr="00124E7F">
        <w:t>) is considered common place and not enforced by right</w:t>
      </w:r>
      <w:r w:rsidR="006B2E08" w:rsidRPr="00124E7F">
        <w:t>s</w:t>
      </w:r>
      <w:r w:rsidRPr="00124E7F">
        <w:t xml:space="preserve"> holders. In other areas, market solutions are removing the need for an exception</w:t>
      </w:r>
      <w:r w:rsidR="008A4C3A" w:rsidRPr="00124E7F">
        <w:t xml:space="preserve"> altogether,</w:t>
      </w:r>
      <w:r w:rsidRPr="00124E7F">
        <w:t xml:space="preserve"> driving greater </w:t>
      </w:r>
      <w:r w:rsidR="00741527" w:rsidRPr="00124E7F">
        <w:t xml:space="preserve">consumer </w:t>
      </w:r>
      <w:r w:rsidRPr="00124E7F">
        <w:t xml:space="preserve">access and choice. Taken together, these factors suggest that while a positive economic benefit would be expected </w:t>
      </w:r>
      <w:r w:rsidR="005319BB" w:rsidRPr="00124E7F">
        <w:t>from an exception</w:t>
      </w:r>
      <w:r w:rsidRPr="00124E7F">
        <w:t>, the magnitude of this impact would be expected to be small. The greater impact on consumers is likely to come from the social benefits of gr</w:t>
      </w:r>
      <w:r w:rsidR="00741527" w:rsidRPr="00124E7F">
        <w:t>e</w:t>
      </w:r>
      <w:r w:rsidRPr="00124E7F">
        <w:t>ater alignment between copyright law and current practices.</w:t>
      </w:r>
    </w:p>
    <w:p w14:paraId="6694DD70" w14:textId="77777777" w:rsidR="00647EC8" w:rsidRPr="00124E7F" w:rsidRDefault="00647EC8" w:rsidP="0080497D">
      <w:pPr>
        <w:pStyle w:val="EYBodytextwithparaspace"/>
      </w:pPr>
      <w:r w:rsidRPr="00124E7F">
        <w:t>Equally, this means that the costs to right</w:t>
      </w:r>
      <w:r w:rsidR="006B2E08" w:rsidRPr="00124E7F">
        <w:t>s</w:t>
      </w:r>
      <w:r w:rsidRPr="00124E7F">
        <w:t xml:space="preserve"> holders from a broader exception would also be expected to be </w:t>
      </w:r>
      <w:r w:rsidR="003B1F5E" w:rsidRPr="00124E7F">
        <w:t>small</w:t>
      </w:r>
      <w:r w:rsidRPr="00124E7F">
        <w:t xml:space="preserve">. </w:t>
      </w:r>
      <w:r w:rsidR="00841ED9" w:rsidRPr="00124E7F">
        <w:t>For example, i</w:t>
      </w:r>
      <w:r w:rsidRPr="00124E7F">
        <w:t xml:space="preserve">t is unlikely that many people currently purchase two or more copies of the same copyright content, just because of the restrictions currently placed by the </w:t>
      </w:r>
      <w:r w:rsidR="00841ED9" w:rsidRPr="00124E7F">
        <w:t>Copyright </w:t>
      </w:r>
      <w:r w:rsidRPr="00124E7F">
        <w:t xml:space="preserve">Act on format and time shifting. </w:t>
      </w:r>
      <w:r w:rsidR="005319BB" w:rsidRPr="00124E7F">
        <w:t>For this reason</w:t>
      </w:r>
      <w:r w:rsidRPr="00124E7F">
        <w:t>, any impact on sales revenue would be considered marginal. Moreover, economic research</w:t>
      </w:r>
      <w:r w:rsidR="003B1F5E" w:rsidRPr="00124E7F">
        <w:t xml:space="preserve"> discussed in this section</w:t>
      </w:r>
      <w:r w:rsidRPr="00124E7F">
        <w:t xml:space="preserve"> suggests the value of private copying can be factored into the prices of content, which would </w:t>
      </w:r>
      <w:r w:rsidR="00741527" w:rsidRPr="00124E7F">
        <w:t xml:space="preserve">(in theory) </w:t>
      </w:r>
      <w:r w:rsidRPr="00124E7F">
        <w:t>leave right</w:t>
      </w:r>
      <w:r w:rsidR="006B2E08" w:rsidRPr="00124E7F">
        <w:t>s</w:t>
      </w:r>
      <w:r w:rsidRPr="00124E7F">
        <w:t xml:space="preserve"> holders no worse off compared to the status quo.</w:t>
      </w:r>
      <w:r w:rsidR="003B1F5E" w:rsidRPr="00124E7F">
        <w:rPr>
          <w:vertAlign w:val="superscript"/>
        </w:rPr>
        <w:footnoteReference w:id="69"/>
      </w:r>
      <w:r w:rsidRPr="00124E7F">
        <w:rPr>
          <w:vertAlign w:val="superscript"/>
        </w:rPr>
        <w:t xml:space="preserve"> </w:t>
      </w:r>
      <w:r w:rsidRPr="00124E7F">
        <w:t xml:space="preserve">Where a broader exception around private copying may lead to perverse </w:t>
      </w:r>
      <w:proofErr w:type="spellStart"/>
      <w:r w:rsidRPr="00124E7F">
        <w:t>behaviours</w:t>
      </w:r>
      <w:proofErr w:type="spellEnd"/>
      <w:r w:rsidRPr="00124E7F">
        <w:t xml:space="preserve"> with respect to piracy, this is considered to be a risk</w:t>
      </w:r>
      <w:r w:rsidR="00841ED9" w:rsidRPr="00124E7F">
        <w:t xml:space="preserve">. However, </w:t>
      </w:r>
      <w:r w:rsidR="009A0FF2" w:rsidRPr="00124E7F">
        <w:t>a number of studies have shown that the main drivers of piracy are accessibility and affordability (rather than copyright law), suggesting that any risk would be minimal.</w:t>
      </w:r>
    </w:p>
    <w:p w14:paraId="78000A2B" w14:textId="77777777" w:rsidR="002D3520" w:rsidRPr="00124E7F" w:rsidRDefault="002D3520">
      <w:pPr>
        <w:widowControl/>
        <w:autoSpaceDE/>
        <w:autoSpaceDN/>
        <w:adjustRightInd/>
        <w:spacing w:line="240" w:lineRule="auto"/>
        <w:rPr>
          <w:b/>
          <w:bCs/>
          <w:sz w:val="24"/>
          <w:szCs w:val="18"/>
        </w:rPr>
      </w:pPr>
      <w:r w:rsidRPr="00124E7F">
        <w:br w:type="page"/>
      </w:r>
    </w:p>
    <w:p w14:paraId="349316D2" w14:textId="77777777" w:rsidR="008B03A0" w:rsidRPr="00124E7F" w:rsidRDefault="009D2324" w:rsidP="009D2324">
      <w:pPr>
        <w:pStyle w:val="Caption"/>
      </w:pPr>
      <w:r w:rsidRPr="00124E7F">
        <w:t xml:space="preserve">Table </w:t>
      </w:r>
      <w:r w:rsidRPr="00124E7F">
        <w:fldChar w:fldCharType="begin"/>
      </w:r>
      <w:r w:rsidRPr="00124E7F">
        <w:instrText xml:space="preserve"> SEQ Table \* ARABIC </w:instrText>
      </w:r>
      <w:r w:rsidRPr="00124E7F">
        <w:fldChar w:fldCharType="separate"/>
      </w:r>
      <w:r w:rsidR="0075700D">
        <w:rPr>
          <w:noProof/>
        </w:rPr>
        <w:t>4</w:t>
      </w:r>
      <w:r w:rsidRPr="00124E7F">
        <w:fldChar w:fldCharType="end"/>
      </w:r>
      <w:r w:rsidRPr="00124E7F">
        <w:t>:  Summary of costs and benefits of fair dealing exception for non-commercial private use (relative to the status quo)</w:t>
      </w:r>
    </w:p>
    <w:tbl>
      <w:tblPr>
        <w:tblStyle w:val="LightShading-Accent3"/>
        <w:tblW w:w="0" w:type="auto"/>
        <w:tblBorders>
          <w:top w:val="none" w:sz="0" w:space="0" w:color="auto"/>
          <w:bottom w:val="none" w:sz="0" w:space="0" w:color="auto"/>
          <w:insideH w:val="single" w:sz="4" w:space="0" w:color="808080" w:themeColor="background1" w:themeShade="80"/>
        </w:tblBorders>
        <w:tblLayout w:type="fixed"/>
        <w:tblLook w:val="0420" w:firstRow="1" w:lastRow="0" w:firstColumn="0" w:lastColumn="0" w:noHBand="0" w:noVBand="1"/>
        <w:tblCaption w:val="Table 4:  Summary of costs and benefits of fair dealing exception for non-commercial private use (relative to the status quo)"/>
        <w:tblDescription w:val="The table provides a summary of the costs and benefits of a fair dealing exception for non-commercial private use relative to the status quo, as described in the main text provided above. "/>
      </w:tblPr>
      <w:tblGrid>
        <w:gridCol w:w="1795"/>
        <w:gridCol w:w="1478"/>
        <w:gridCol w:w="835"/>
        <w:gridCol w:w="2705"/>
        <w:gridCol w:w="1328"/>
        <w:gridCol w:w="888"/>
      </w:tblGrid>
      <w:tr w:rsidR="004213AE" w:rsidRPr="00124E7F" w14:paraId="77298FBC" w14:textId="77777777" w:rsidTr="00202E68">
        <w:trPr>
          <w:cnfStyle w:val="100000000000" w:firstRow="1" w:lastRow="0" w:firstColumn="0" w:lastColumn="0" w:oddVBand="0" w:evenVBand="0" w:oddHBand="0" w:evenHBand="0" w:firstRowFirstColumn="0" w:firstRowLastColumn="0" w:lastRowFirstColumn="0" w:lastRowLastColumn="0"/>
          <w:trHeight w:val="397"/>
          <w:tblHeader/>
        </w:trPr>
        <w:tc>
          <w:tcPr>
            <w:tcW w:w="1795" w:type="dxa"/>
            <w:shd w:val="clear" w:color="auto" w:fill="F0F0F0" w:themeFill="accent4"/>
            <w:vAlign w:val="center"/>
            <w:hideMark/>
          </w:tcPr>
          <w:p w14:paraId="09DF523B" w14:textId="77777777" w:rsidR="004B6547" w:rsidRPr="00124E7F" w:rsidRDefault="004B6547" w:rsidP="00202E68">
            <w:pPr>
              <w:widowControl/>
              <w:autoSpaceDE/>
              <w:autoSpaceDN/>
              <w:adjustRightInd/>
              <w:spacing w:before="120" w:after="120" w:line="240" w:lineRule="auto"/>
              <w:jc w:val="center"/>
              <w:rPr>
                <w:color w:val="auto"/>
              </w:rPr>
            </w:pPr>
            <w:r w:rsidRPr="00124E7F">
              <w:rPr>
                <w:color w:val="auto"/>
              </w:rPr>
              <w:t>Impact type</w:t>
            </w:r>
          </w:p>
        </w:tc>
        <w:tc>
          <w:tcPr>
            <w:tcW w:w="1478" w:type="dxa"/>
            <w:shd w:val="clear" w:color="auto" w:fill="F0F0F0" w:themeFill="accent4"/>
            <w:vAlign w:val="center"/>
            <w:hideMark/>
          </w:tcPr>
          <w:p w14:paraId="5762500A" w14:textId="77777777" w:rsidR="004B6547" w:rsidRPr="00124E7F" w:rsidRDefault="004B6547" w:rsidP="00202E68">
            <w:pPr>
              <w:widowControl/>
              <w:autoSpaceDE/>
              <w:autoSpaceDN/>
              <w:adjustRightInd/>
              <w:spacing w:before="120" w:after="120" w:line="240" w:lineRule="auto"/>
              <w:jc w:val="center"/>
              <w:rPr>
                <w:color w:val="auto"/>
              </w:rPr>
            </w:pPr>
            <w:r w:rsidRPr="00124E7F">
              <w:rPr>
                <w:color w:val="auto"/>
              </w:rPr>
              <w:t>Stakeholder Group</w:t>
            </w:r>
          </w:p>
        </w:tc>
        <w:tc>
          <w:tcPr>
            <w:tcW w:w="835" w:type="dxa"/>
            <w:shd w:val="clear" w:color="auto" w:fill="F0F0F0" w:themeFill="accent4"/>
            <w:vAlign w:val="center"/>
            <w:hideMark/>
          </w:tcPr>
          <w:p w14:paraId="71A568B8" w14:textId="77777777" w:rsidR="004B6547" w:rsidRPr="00124E7F" w:rsidRDefault="004B6547" w:rsidP="00202E68">
            <w:pPr>
              <w:widowControl/>
              <w:autoSpaceDE/>
              <w:autoSpaceDN/>
              <w:adjustRightInd/>
              <w:spacing w:before="120" w:after="120" w:line="240" w:lineRule="auto"/>
              <w:jc w:val="center"/>
              <w:rPr>
                <w:color w:val="auto"/>
              </w:rPr>
            </w:pPr>
            <w:r w:rsidRPr="00124E7F">
              <w:rPr>
                <w:color w:val="auto"/>
              </w:rPr>
              <w:t>Short or long-run</w:t>
            </w:r>
          </w:p>
        </w:tc>
        <w:tc>
          <w:tcPr>
            <w:tcW w:w="2705" w:type="dxa"/>
            <w:shd w:val="clear" w:color="auto" w:fill="F0F0F0" w:themeFill="accent4"/>
            <w:vAlign w:val="center"/>
            <w:hideMark/>
          </w:tcPr>
          <w:p w14:paraId="71AF59EB" w14:textId="77777777" w:rsidR="004B6547" w:rsidRPr="00124E7F" w:rsidRDefault="004B6547" w:rsidP="00202E68">
            <w:pPr>
              <w:widowControl/>
              <w:autoSpaceDE/>
              <w:autoSpaceDN/>
              <w:adjustRightInd/>
              <w:spacing w:before="120" w:after="120" w:line="240" w:lineRule="auto"/>
              <w:jc w:val="center"/>
              <w:rPr>
                <w:color w:val="auto"/>
              </w:rPr>
            </w:pPr>
            <w:r w:rsidRPr="00124E7F">
              <w:rPr>
                <w:color w:val="auto"/>
              </w:rPr>
              <w:t>Description of impact</w:t>
            </w:r>
          </w:p>
        </w:tc>
        <w:tc>
          <w:tcPr>
            <w:tcW w:w="1328" w:type="dxa"/>
            <w:shd w:val="clear" w:color="auto" w:fill="F0F0F0" w:themeFill="accent4"/>
            <w:vAlign w:val="center"/>
          </w:tcPr>
          <w:p w14:paraId="6F198EF8" w14:textId="77777777" w:rsidR="004B6547" w:rsidRPr="00124E7F" w:rsidRDefault="00D11ADA" w:rsidP="00202E68">
            <w:pPr>
              <w:widowControl/>
              <w:autoSpaceDE/>
              <w:autoSpaceDN/>
              <w:adjustRightInd/>
              <w:spacing w:before="120" w:after="120" w:line="240" w:lineRule="auto"/>
              <w:jc w:val="center"/>
              <w:rPr>
                <w:color w:val="auto"/>
              </w:rPr>
            </w:pPr>
            <w:r w:rsidRPr="00124E7F">
              <w:rPr>
                <w:color w:val="auto"/>
              </w:rPr>
              <w:t>M</w:t>
            </w:r>
            <w:r w:rsidR="009206DD" w:rsidRPr="00124E7F">
              <w:rPr>
                <w:color w:val="auto"/>
              </w:rPr>
              <w:t>agnitude of impact</w:t>
            </w:r>
          </w:p>
        </w:tc>
        <w:tc>
          <w:tcPr>
            <w:tcW w:w="888" w:type="dxa"/>
            <w:shd w:val="clear" w:color="auto" w:fill="F0F0F0" w:themeFill="accent4"/>
            <w:vAlign w:val="center"/>
          </w:tcPr>
          <w:p w14:paraId="428EB103" w14:textId="77777777" w:rsidR="004B6547" w:rsidRPr="00124E7F" w:rsidRDefault="004B6547" w:rsidP="00202E68">
            <w:pPr>
              <w:widowControl/>
              <w:autoSpaceDE/>
              <w:autoSpaceDN/>
              <w:adjustRightInd/>
              <w:spacing w:before="120" w:after="120" w:line="240" w:lineRule="auto"/>
              <w:jc w:val="center"/>
              <w:rPr>
                <w:color w:val="auto"/>
              </w:rPr>
            </w:pPr>
            <w:r w:rsidRPr="00124E7F">
              <w:rPr>
                <w:color w:val="auto"/>
              </w:rPr>
              <w:t>Rating</w:t>
            </w:r>
          </w:p>
        </w:tc>
      </w:tr>
      <w:tr w:rsidR="004213AE" w:rsidRPr="00124E7F" w14:paraId="6CFA5AE1" w14:textId="77777777" w:rsidTr="00202E68">
        <w:trPr>
          <w:cnfStyle w:val="000000100000" w:firstRow="0" w:lastRow="0" w:firstColumn="0" w:lastColumn="0" w:oddVBand="0" w:evenVBand="0" w:oddHBand="1" w:evenHBand="0" w:firstRowFirstColumn="0" w:firstRowLastColumn="0" w:lastRowFirstColumn="0" w:lastRowLastColumn="0"/>
          <w:trHeight w:val="2102"/>
        </w:trPr>
        <w:tc>
          <w:tcPr>
            <w:tcW w:w="1795" w:type="dxa"/>
            <w:shd w:val="clear" w:color="auto" w:fill="FFFFFF" w:themeFill="background1"/>
            <w:vAlign w:val="center"/>
          </w:tcPr>
          <w:p w14:paraId="107C22B9" w14:textId="77777777" w:rsidR="00D11ADA" w:rsidRPr="00124E7F" w:rsidRDefault="00D11ADA" w:rsidP="00202E68">
            <w:pPr>
              <w:widowControl/>
              <w:autoSpaceDE/>
              <w:autoSpaceDN/>
              <w:adjustRightInd/>
              <w:spacing w:before="120" w:after="120" w:line="240" w:lineRule="auto"/>
              <w:jc w:val="center"/>
              <w:rPr>
                <w:color w:val="auto"/>
              </w:rPr>
            </w:pPr>
            <w:r w:rsidRPr="00124E7F">
              <w:rPr>
                <w:color w:val="auto"/>
              </w:rPr>
              <w:t>Monopoly rents/</w:t>
            </w:r>
          </w:p>
          <w:p w14:paraId="054CDDC4" w14:textId="77777777" w:rsidR="00D11ADA" w:rsidRPr="00124E7F" w:rsidRDefault="00D11ADA" w:rsidP="00202E68">
            <w:pPr>
              <w:widowControl/>
              <w:autoSpaceDE/>
              <w:autoSpaceDN/>
              <w:adjustRightInd/>
              <w:spacing w:before="120" w:after="120" w:line="240" w:lineRule="auto"/>
              <w:jc w:val="center"/>
              <w:rPr>
                <w:color w:val="auto"/>
              </w:rPr>
            </w:pPr>
            <w:r w:rsidRPr="00124E7F">
              <w:rPr>
                <w:color w:val="auto"/>
              </w:rPr>
              <w:t>Access costs</w:t>
            </w:r>
          </w:p>
        </w:tc>
        <w:tc>
          <w:tcPr>
            <w:tcW w:w="1478" w:type="dxa"/>
            <w:shd w:val="clear" w:color="auto" w:fill="FFFFFF" w:themeFill="background1"/>
            <w:vAlign w:val="center"/>
          </w:tcPr>
          <w:p w14:paraId="70E45169" w14:textId="77777777" w:rsidR="00D11ADA" w:rsidRPr="00124E7F" w:rsidRDefault="00D11ADA" w:rsidP="00202E68">
            <w:pPr>
              <w:widowControl/>
              <w:autoSpaceDE/>
              <w:autoSpaceDN/>
              <w:adjustRightInd/>
              <w:spacing w:before="120" w:after="120" w:line="240" w:lineRule="auto"/>
              <w:jc w:val="center"/>
              <w:rPr>
                <w:color w:val="auto"/>
              </w:rPr>
            </w:pPr>
            <w:r w:rsidRPr="00124E7F">
              <w:rPr>
                <w:color w:val="auto"/>
              </w:rPr>
              <w:t>Rights holders</w:t>
            </w:r>
          </w:p>
          <w:p w14:paraId="0214259B" w14:textId="77777777" w:rsidR="00D11ADA" w:rsidRPr="00124E7F" w:rsidRDefault="00D11ADA" w:rsidP="00202E68">
            <w:pPr>
              <w:widowControl/>
              <w:autoSpaceDE/>
              <w:autoSpaceDN/>
              <w:adjustRightInd/>
              <w:spacing w:before="120" w:after="120" w:line="240" w:lineRule="auto"/>
              <w:jc w:val="center"/>
              <w:rPr>
                <w:color w:val="auto"/>
              </w:rPr>
            </w:pPr>
            <w:r w:rsidRPr="00124E7F">
              <w:rPr>
                <w:color w:val="auto"/>
              </w:rPr>
              <w:t>Users</w:t>
            </w:r>
          </w:p>
        </w:tc>
        <w:tc>
          <w:tcPr>
            <w:tcW w:w="835" w:type="dxa"/>
            <w:shd w:val="clear" w:color="auto" w:fill="FFFFFF" w:themeFill="background1"/>
            <w:vAlign w:val="center"/>
          </w:tcPr>
          <w:p w14:paraId="59F3538B" w14:textId="77777777" w:rsidR="00D11ADA" w:rsidRPr="00124E7F" w:rsidRDefault="00D11ADA" w:rsidP="00202E68">
            <w:pPr>
              <w:spacing w:before="120" w:after="120" w:line="240" w:lineRule="auto"/>
              <w:jc w:val="center"/>
              <w:rPr>
                <w:color w:val="auto"/>
              </w:rPr>
            </w:pPr>
            <w:r w:rsidRPr="00124E7F">
              <w:rPr>
                <w:color w:val="auto"/>
              </w:rPr>
              <w:t>Short run</w:t>
            </w:r>
          </w:p>
        </w:tc>
        <w:tc>
          <w:tcPr>
            <w:tcW w:w="2705" w:type="dxa"/>
            <w:shd w:val="clear" w:color="auto" w:fill="FFFFFF" w:themeFill="background1"/>
            <w:vAlign w:val="center"/>
          </w:tcPr>
          <w:p w14:paraId="66D8EA17" w14:textId="77777777" w:rsidR="00D11ADA" w:rsidRPr="00124E7F" w:rsidRDefault="00D11ADA" w:rsidP="00202E68">
            <w:pPr>
              <w:widowControl/>
              <w:autoSpaceDE/>
              <w:autoSpaceDN/>
              <w:adjustRightInd/>
              <w:spacing w:before="120" w:after="120" w:line="240" w:lineRule="auto"/>
              <w:jc w:val="center"/>
              <w:rPr>
                <w:color w:val="auto"/>
              </w:rPr>
            </w:pPr>
            <w:r w:rsidRPr="00124E7F">
              <w:rPr>
                <w:color w:val="auto"/>
              </w:rPr>
              <w:t>Consumer behaviour is unlikely to change greatly following the introduction of an exception. Given this and evidence around ‘pricing-in’, it is expected that the costs to rights holders due to lost sales would be minimal to nil.</w:t>
            </w:r>
          </w:p>
        </w:tc>
        <w:tc>
          <w:tcPr>
            <w:tcW w:w="1328" w:type="dxa"/>
            <w:shd w:val="clear" w:color="auto" w:fill="FFFFFF" w:themeFill="background1"/>
            <w:vAlign w:val="center"/>
          </w:tcPr>
          <w:p w14:paraId="2A996918" w14:textId="77777777" w:rsidR="00D11ADA" w:rsidRPr="00202E68" w:rsidRDefault="00D11ADA" w:rsidP="00202E68">
            <w:pPr>
              <w:widowControl/>
              <w:autoSpaceDE/>
              <w:autoSpaceDN/>
              <w:adjustRightInd/>
              <w:spacing w:before="120" w:after="120" w:line="240" w:lineRule="auto"/>
              <w:jc w:val="center"/>
              <w:rPr>
                <w:color w:val="auto"/>
              </w:rPr>
            </w:pPr>
            <w:r w:rsidRPr="00124E7F">
              <w:rPr>
                <w:color w:val="auto"/>
              </w:rPr>
              <w:t>-</w:t>
            </w:r>
          </w:p>
        </w:tc>
        <w:tc>
          <w:tcPr>
            <w:tcW w:w="888" w:type="dxa"/>
            <w:shd w:val="clear" w:color="auto" w:fill="FFFFFF" w:themeFill="background1"/>
            <w:vAlign w:val="center"/>
          </w:tcPr>
          <w:p w14:paraId="5A619768" w14:textId="77777777" w:rsidR="00D11ADA" w:rsidRPr="004213AE" w:rsidRDefault="00D11ADA" w:rsidP="00202E68">
            <w:pPr>
              <w:widowControl/>
              <w:autoSpaceDE/>
              <w:autoSpaceDN/>
              <w:adjustRightInd/>
              <w:spacing w:before="120" w:after="120" w:line="240" w:lineRule="auto"/>
              <w:jc w:val="center"/>
              <w:rPr>
                <w:color w:val="auto"/>
              </w:rPr>
            </w:pPr>
            <w:r w:rsidRPr="004213AE">
              <w:rPr>
                <w:color w:val="auto"/>
              </w:rPr>
              <w:t>0</w:t>
            </w:r>
          </w:p>
        </w:tc>
      </w:tr>
      <w:tr w:rsidR="004213AE" w:rsidRPr="00124E7F" w14:paraId="3D47D513" w14:textId="77777777" w:rsidTr="00202E68">
        <w:trPr>
          <w:trHeight w:val="1310"/>
        </w:trPr>
        <w:tc>
          <w:tcPr>
            <w:tcW w:w="1795" w:type="dxa"/>
            <w:shd w:val="clear" w:color="auto" w:fill="auto"/>
            <w:vAlign w:val="center"/>
          </w:tcPr>
          <w:p w14:paraId="5B7D4B5E" w14:textId="77777777" w:rsidR="00D11ADA" w:rsidRPr="00124E7F" w:rsidRDefault="00D11ADA" w:rsidP="00202E68">
            <w:pPr>
              <w:widowControl/>
              <w:autoSpaceDE/>
              <w:autoSpaceDN/>
              <w:adjustRightInd/>
              <w:spacing w:before="120" w:after="120" w:line="240" w:lineRule="auto"/>
              <w:jc w:val="center"/>
              <w:rPr>
                <w:color w:val="auto"/>
              </w:rPr>
            </w:pPr>
            <w:r w:rsidRPr="00124E7F">
              <w:rPr>
                <w:color w:val="auto"/>
              </w:rPr>
              <w:t>Incentives to create new works</w:t>
            </w:r>
          </w:p>
        </w:tc>
        <w:tc>
          <w:tcPr>
            <w:tcW w:w="1478" w:type="dxa"/>
            <w:shd w:val="clear" w:color="auto" w:fill="auto"/>
            <w:vAlign w:val="center"/>
          </w:tcPr>
          <w:p w14:paraId="70C1490F" w14:textId="77777777" w:rsidR="00D11ADA" w:rsidRPr="00124E7F" w:rsidRDefault="00D11ADA" w:rsidP="00202E68">
            <w:pPr>
              <w:widowControl/>
              <w:autoSpaceDE/>
              <w:autoSpaceDN/>
              <w:adjustRightInd/>
              <w:spacing w:before="120" w:after="120" w:line="240" w:lineRule="auto"/>
              <w:jc w:val="center"/>
              <w:rPr>
                <w:color w:val="auto"/>
              </w:rPr>
            </w:pPr>
            <w:r w:rsidRPr="00124E7F">
              <w:rPr>
                <w:color w:val="auto"/>
              </w:rPr>
              <w:t>Rights holders</w:t>
            </w:r>
          </w:p>
        </w:tc>
        <w:tc>
          <w:tcPr>
            <w:tcW w:w="835" w:type="dxa"/>
            <w:shd w:val="clear" w:color="auto" w:fill="auto"/>
            <w:vAlign w:val="center"/>
          </w:tcPr>
          <w:p w14:paraId="421CC494" w14:textId="77777777" w:rsidR="00D11ADA" w:rsidRPr="00124E7F" w:rsidRDefault="00D11ADA" w:rsidP="00202E68">
            <w:pPr>
              <w:spacing w:before="120" w:after="120" w:line="240" w:lineRule="auto"/>
              <w:jc w:val="center"/>
              <w:rPr>
                <w:color w:val="auto"/>
              </w:rPr>
            </w:pPr>
            <w:r w:rsidRPr="00124E7F">
              <w:rPr>
                <w:color w:val="auto"/>
              </w:rPr>
              <w:t>Long Run</w:t>
            </w:r>
          </w:p>
        </w:tc>
        <w:tc>
          <w:tcPr>
            <w:tcW w:w="2705" w:type="dxa"/>
            <w:shd w:val="clear" w:color="auto" w:fill="auto"/>
            <w:vAlign w:val="center"/>
          </w:tcPr>
          <w:p w14:paraId="64AE2C9E" w14:textId="77777777" w:rsidR="00D11ADA" w:rsidRPr="00124E7F" w:rsidRDefault="00D11ADA" w:rsidP="00202E68">
            <w:pPr>
              <w:widowControl/>
              <w:autoSpaceDE/>
              <w:autoSpaceDN/>
              <w:adjustRightInd/>
              <w:spacing w:before="120" w:after="120" w:line="240" w:lineRule="auto"/>
              <w:jc w:val="center"/>
              <w:rPr>
                <w:color w:val="auto"/>
              </w:rPr>
            </w:pPr>
            <w:r w:rsidRPr="00124E7F">
              <w:rPr>
                <w:color w:val="auto"/>
              </w:rPr>
              <w:t>Given the discussion on foregone sales income, we would expect negligible impacts on incentives to supply new copyright works.</w:t>
            </w:r>
          </w:p>
        </w:tc>
        <w:tc>
          <w:tcPr>
            <w:tcW w:w="1328" w:type="dxa"/>
            <w:shd w:val="clear" w:color="auto" w:fill="auto"/>
            <w:vAlign w:val="center"/>
          </w:tcPr>
          <w:p w14:paraId="08F294D9" w14:textId="77777777" w:rsidR="00D11ADA" w:rsidRPr="00202E68" w:rsidRDefault="00D11ADA" w:rsidP="00202E68">
            <w:pPr>
              <w:widowControl/>
              <w:autoSpaceDE/>
              <w:autoSpaceDN/>
              <w:adjustRightInd/>
              <w:spacing w:before="120" w:after="120" w:line="240" w:lineRule="auto"/>
              <w:jc w:val="center"/>
              <w:rPr>
                <w:color w:val="auto"/>
              </w:rPr>
            </w:pPr>
            <w:r w:rsidRPr="00124E7F">
              <w:rPr>
                <w:color w:val="auto"/>
              </w:rPr>
              <w:t>-</w:t>
            </w:r>
          </w:p>
        </w:tc>
        <w:tc>
          <w:tcPr>
            <w:tcW w:w="888" w:type="dxa"/>
            <w:shd w:val="clear" w:color="auto" w:fill="auto"/>
            <w:vAlign w:val="center"/>
          </w:tcPr>
          <w:p w14:paraId="5D450E70" w14:textId="77777777" w:rsidR="00D11ADA" w:rsidRPr="004213AE" w:rsidRDefault="00D11ADA" w:rsidP="00202E68">
            <w:pPr>
              <w:widowControl/>
              <w:autoSpaceDE/>
              <w:autoSpaceDN/>
              <w:adjustRightInd/>
              <w:spacing w:before="120" w:after="120" w:line="240" w:lineRule="auto"/>
              <w:jc w:val="center"/>
              <w:rPr>
                <w:color w:val="auto"/>
              </w:rPr>
            </w:pPr>
            <w:r w:rsidRPr="004213AE">
              <w:rPr>
                <w:color w:val="auto"/>
              </w:rPr>
              <w:t>0</w:t>
            </w:r>
          </w:p>
        </w:tc>
      </w:tr>
      <w:tr w:rsidR="004213AE" w:rsidRPr="00124E7F" w14:paraId="3E08BA4D" w14:textId="77777777" w:rsidTr="00202E68">
        <w:trPr>
          <w:cnfStyle w:val="000000100000" w:firstRow="0" w:lastRow="0" w:firstColumn="0" w:lastColumn="0" w:oddVBand="0" w:evenVBand="0" w:oddHBand="1" w:evenHBand="0" w:firstRowFirstColumn="0" w:firstRowLastColumn="0" w:lastRowFirstColumn="0" w:lastRowLastColumn="0"/>
          <w:trHeight w:val="1046"/>
        </w:trPr>
        <w:tc>
          <w:tcPr>
            <w:tcW w:w="1795" w:type="dxa"/>
            <w:shd w:val="clear" w:color="auto" w:fill="auto"/>
            <w:vAlign w:val="center"/>
          </w:tcPr>
          <w:p w14:paraId="07C61372" w14:textId="77777777" w:rsidR="00D11ADA" w:rsidRPr="00124E7F" w:rsidRDefault="00D11ADA" w:rsidP="00202E68">
            <w:pPr>
              <w:widowControl/>
              <w:autoSpaceDE/>
              <w:autoSpaceDN/>
              <w:adjustRightInd/>
              <w:spacing w:before="120" w:after="120" w:line="240" w:lineRule="auto"/>
              <w:jc w:val="center"/>
              <w:rPr>
                <w:color w:val="auto"/>
              </w:rPr>
            </w:pPr>
            <w:r w:rsidRPr="00124E7F">
              <w:rPr>
                <w:color w:val="auto"/>
              </w:rPr>
              <w:t>Administration costs/ transaction costs</w:t>
            </w:r>
          </w:p>
        </w:tc>
        <w:tc>
          <w:tcPr>
            <w:tcW w:w="1478" w:type="dxa"/>
            <w:shd w:val="clear" w:color="auto" w:fill="auto"/>
            <w:vAlign w:val="center"/>
          </w:tcPr>
          <w:p w14:paraId="54E4B236" w14:textId="77777777" w:rsidR="00D11ADA" w:rsidRPr="00124E7F" w:rsidRDefault="00D11ADA" w:rsidP="00202E68">
            <w:pPr>
              <w:widowControl/>
              <w:autoSpaceDE/>
              <w:autoSpaceDN/>
              <w:adjustRightInd/>
              <w:spacing w:before="120" w:after="120" w:line="240" w:lineRule="auto"/>
              <w:jc w:val="center"/>
              <w:rPr>
                <w:color w:val="auto"/>
              </w:rPr>
            </w:pPr>
            <w:r w:rsidRPr="00124E7F">
              <w:rPr>
                <w:color w:val="auto"/>
              </w:rPr>
              <w:t>Rights holders</w:t>
            </w:r>
          </w:p>
          <w:p w14:paraId="6495AB7D" w14:textId="77777777" w:rsidR="00D11ADA" w:rsidRPr="00124E7F" w:rsidRDefault="00D11ADA" w:rsidP="00202E68">
            <w:pPr>
              <w:widowControl/>
              <w:autoSpaceDE/>
              <w:autoSpaceDN/>
              <w:adjustRightInd/>
              <w:spacing w:before="120" w:after="120" w:line="240" w:lineRule="auto"/>
              <w:jc w:val="center"/>
              <w:rPr>
                <w:color w:val="auto"/>
              </w:rPr>
            </w:pPr>
            <w:r w:rsidRPr="00124E7F">
              <w:rPr>
                <w:color w:val="auto"/>
              </w:rPr>
              <w:t>Users</w:t>
            </w:r>
          </w:p>
        </w:tc>
        <w:tc>
          <w:tcPr>
            <w:tcW w:w="835" w:type="dxa"/>
            <w:shd w:val="clear" w:color="auto" w:fill="auto"/>
            <w:vAlign w:val="center"/>
          </w:tcPr>
          <w:p w14:paraId="5CE0CD80" w14:textId="77777777" w:rsidR="00D11ADA" w:rsidRPr="00124E7F" w:rsidRDefault="00D11ADA" w:rsidP="00202E68">
            <w:pPr>
              <w:spacing w:before="120" w:after="120" w:line="240" w:lineRule="auto"/>
              <w:jc w:val="center"/>
              <w:rPr>
                <w:color w:val="auto"/>
              </w:rPr>
            </w:pPr>
            <w:r w:rsidRPr="00124E7F">
              <w:rPr>
                <w:color w:val="auto"/>
              </w:rPr>
              <w:t>Short run</w:t>
            </w:r>
          </w:p>
        </w:tc>
        <w:tc>
          <w:tcPr>
            <w:tcW w:w="2705" w:type="dxa"/>
            <w:shd w:val="clear" w:color="auto" w:fill="auto"/>
            <w:vAlign w:val="center"/>
          </w:tcPr>
          <w:p w14:paraId="37388157" w14:textId="77777777" w:rsidR="00D11ADA" w:rsidRPr="00124E7F" w:rsidRDefault="00D11ADA" w:rsidP="00202E68">
            <w:pPr>
              <w:widowControl/>
              <w:autoSpaceDE/>
              <w:autoSpaceDN/>
              <w:adjustRightInd/>
              <w:spacing w:before="120" w:after="120" w:line="240" w:lineRule="auto"/>
              <w:jc w:val="center"/>
              <w:rPr>
                <w:color w:val="auto"/>
              </w:rPr>
            </w:pPr>
            <w:r w:rsidRPr="00124E7F">
              <w:rPr>
                <w:color w:val="auto"/>
              </w:rPr>
              <w:t>-</w:t>
            </w:r>
          </w:p>
        </w:tc>
        <w:tc>
          <w:tcPr>
            <w:tcW w:w="1328" w:type="dxa"/>
            <w:shd w:val="clear" w:color="auto" w:fill="auto"/>
            <w:vAlign w:val="center"/>
          </w:tcPr>
          <w:p w14:paraId="0DC6B848" w14:textId="77777777" w:rsidR="00D11ADA" w:rsidRPr="00202E68" w:rsidRDefault="00D11ADA" w:rsidP="00202E68">
            <w:pPr>
              <w:widowControl/>
              <w:autoSpaceDE/>
              <w:autoSpaceDN/>
              <w:adjustRightInd/>
              <w:spacing w:before="120" w:after="120" w:line="240" w:lineRule="auto"/>
              <w:jc w:val="center"/>
              <w:rPr>
                <w:color w:val="auto"/>
              </w:rPr>
            </w:pPr>
            <w:r w:rsidRPr="004213AE">
              <w:t>-</w:t>
            </w:r>
          </w:p>
        </w:tc>
        <w:tc>
          <w:tcPr>
            <w:tcW w:w="888" w:type="dxa"/>
            <w:shd w:val="clear" w:color="auto" w:fill="auto"/>
            <w:vAlign w:val="center"/>
          </w:tcPr>
          <w:p w14:paraId="1B98552F" w14:textId="77777777" w:rsidR="00D11ADA" w:rsidRPr="004213AE" w:rsidRDefault="00D11ADA" w:rsidP="00202E68">
            <w:pPr>
              <w:widowControl/>
              <w:autoSpaceDE/>
              <w:autoSpaceDN/>
              <w:adjustRightInd/>
              <w:spacing w:before="120" w:after="120" w:line="240" w:lineRule="auto"/>
              <w:jc w:val="center"/>
              <w:rPr>
                <w:color w:val="auto"/>
              </w:rPr>
            </w:pPr>
            <w:r w:rsidRPr="004213AE">
              <w:rPr>
                <w:color w:val="auto"/>
              </w:rPr>
              <w:t>0</w:t>
            </w:r>
          </w:p>
        </w:tc>
      </w:tr>
      <w:tr w:rsidR="004213AE" w:rsidRPr="00124E7F" w14:paraId="21153539" w14:textId="77777777" w:rsidTr="00202E68">
        <w:trPr>
          <w:trHeight w:val="1981"/>
        </w:trPr>
        <w:tc>
          <w:tcPr>
            <w:tcW w:w="1795" w:type="dxa"/>
            <w:shd w:val="clear" w:color="auto" w:fill="auto"/>
            <w:vAlign w:val="center"/>
          </w:tcPr>
          <w:p w14:paraId="6FDFE7B9" w14:textId="77777777" w:rsidR="00D11ADA" w:rsidRPr="00124E7F" w:rsidRDefault="00D11ADA" w:rsidP="00202E68">
            <w:pPr>
              <w:widowControl/>
              <w:autoSpaceDE/>
              <w:autoSpaceDN/>
              <w:adjustRightInd/>
              <w:spacing w:before="120" w:after="120" w:line="240" w:lineRule="auto"/>
              <w:jc w:val="center"/>
              <w:rPr>
                <w:color w:val="auto"/>
              </w:rPr>
            </w:pPr>
            <w:r w:rsidRPr="00124E7F">
              <w:rPr>
                <w:color w:val="auto"/>
              </w:rPr>
              <w:t>Incentives to invest in new user of works</w:t>
            </w:r>
          </w:p>
        </w:tc>
        <w:tc>
          <w:tcPr>
            <w:tcW w:w="1478" w:type="dxa"/>
            <w:shd w:val="clear" w:color="auto" w:fill="auto"/>
            <w:vAlign w:val="center"/>
          </w:tcPr>
          <w:p w14:paraId="7BC9968B" w14:textId="77777777" w:rsidR="00D11ADA" w:rsidRPr="00124E7F" w:rsidRDefault="00D11ADA" w:rsidP="00202E68">
            <w:pPr>
              <w:widowControl/>
              <w:autoSpaceDE/>
              <w:autoSpaceDN/>
              <w:adjustRightInd/>
              <w:spacing w:before="120" w:after="120" w:line="240" w:lineRule="auto"/>
              <w:jc w:val="center"/>
              <w:rPr>
                <w:color w:val="auto"/>
              </w:rPr>
            </w:pPr>
            <w:r w:rsidRPr="00124E7F">
              <w:rPr>
                <w:color w:val="auto"/>
              </w:rPr>
              <w:t>Users</w:t>
            </w:r>
          </w:p>
        </w:tc>
        <w:tc>
          <w:tcPr>
            <w:tcW w:w="835" w:type="dxa"/>
            <w:shd w:val="clear" w:color="auto" w:fill="auto"/>
            <w:vAlign w:val="center"/>
          </w:tcPr>
          <w:p w14:paraId="7FA159E3" w14:textId="77777777" w:rsidR="00D11ADA" w:rsidRPr="00124E7F" w:rsidRDefault="00D11ADA" w:rsidP="00202E68">
            <w:pPr>
              <w:spacing w:before="120" w:after="120" w:line="240" w:lineRule="auto"/>
              <w:jc w:val="center"/>
              <w:rPr>
                <w:color w:val="auto"/>
              </w:rPr>
            </w:pPr>
            <w:r w:rsidRPr="00124E7F">
              <w:rPr>
                <w:color w:val="auto"/>
              </w:rPr>
              <w:t>Long run</w:t>
            </w:r>
          </w:p>
        </w:tc>
        <w:tc>
          <w:tcPr>
            <w:tcW w:w="2705" w:type="dxa"/>
            <w:shd w:val="clear" w:color="auto" w:fill="auto"/>
            <w:vAlign w:val="center"/>
          </w:tcPr>
          <w:p w14:paraId="6C02625B" w14:textId="77777777" w:rsidR="00D11ADA" w:rsidRPr="00124E7F" w:rsidRDefault="00D11ADA" w:rsidP="00202E68">
            <w:pPr>
              <w:widowControl/>
              <w:autoSpaceDE/>
              <w:autoSpaceDN/>
              <w:adjustRightInd/>
              <w:spacing w:before="120" w:after="120" w:line="240" w:lineRule="auto"/>
              <w:jc w:val="center"/>
              <w:rPr>
                <w:color w:val="auto"/>
              </w:rPr>
            </w:pPr>
            <w:r w:rsidRPr="00124E7F">
              <w:rPr>
                <w:color w:val="auto"/>
              </w:rPr>
              <w:t>Given the limited impact on consumers, any downstream impact on innovation in copying devices/services by technology would be expected to be negligible.</w:t>
            </w:r>
          </w:p>
        </w:tc>
        <w:tc>
          <w:tcPr>
            <w:tcW w:w="1328" w:type="dxa"/>
            <w:shd w:val="clear" w:color="auto" w:fill="auto"/>
            <w:vAlign w:val="center"/>
          </w:tcPr>
          <w:p w14:paraId="328437DE" w14:textId="77777777" w:rsidR="00D11ADA" w:rsidRPr="00202E68" w:rsidRDefault="00D11ADA" w:rsidP="00202E68">
            <w:pPr>
              <w:widowControl/>
              <w:autoSpaceDE/>
              <w:autoSpaceDN/>
              <w:adjustRightInd/>
              <w:spacing w:before="120" w:after="120" w:line="240" w:lineRule="auto"/>
              <w:jc w:val="center"/>
              <w:rPr>
                <w:color w:val="auto"/>
              </w:rPr>
            </w:pPr>
            <w:r w:rsidRPr="00124E7F">
              <w:rPr>
                <w:color w:val="auto"/>
              </w:rPr>
              <w:t>-</w:t>
            </w:r>
          </w:p>
        </w:tc>
        <w:tc>
          <w:tcPr>
            <w:tcW w:w="888" w:type="dxa"/>
            <w:shd w:val="clear" w:color="auto" w:fill="auto"/>
            <w:vAlign w:val="center"/>
          </w:tcPr>
          <w:p w14:paraId="15600E67" w14:textId="77777777" w:rsidR="00D11ADA" w:rsidRPr="004213AE" w:rsidRDefault="00D11ADA" w:rsidP="00202E68">
            <w:pPr>
              <w:widowControl/>
              <w:autoSpaceDE/>
              <w:autoSpaceDN/>
              <w:adjustRightInd/>
              <w:spacing w:before="120" w:after="120" w:line="240" w:lineRule="auto"/>
              <w:jc w:val="center"/>
              <w:rPr>
                <w:color w:val="auto"/>
              </w:rPr>
            </w:pPr>
            <w:r w:rsidRPr="004213AE">
              <w:rPr>
                <w:color w:val="auto"/>
              </w:rPr>
              <w:t>0</w:t>
            </w:r>
          </w:p>
        </w:tc>
      </w:tr>
      <w:tr w:rsidR="004213AE" w:rsidRPr="00124E7F" w14:paraId="5EBF49D4" w14:textId="77777777" w:rsidTr="00202E68">
        <w:trPr>
          <w:cnfStyle w:val="000000100000" w:firstRow="0" w:lastRow="0" w:firstColumn="0" w:lastColumn="0" w:oddVBand="0" w:evenVBand="0" w:oddHBand="1" w:evenHBand="0" w:firstRowFirstColumn="0" w:firstRowLastColumn="0" w:lastRowFirstColumn="0" w:lastRowLastColumn="0"/>
          <w:trHeight w:val="2112"/>
        </w:trPr>
        <w:tc>
          <w:tcPr>
            <w:tcW w:w="1795" w:type="dxa"/>
            <w:tcBorders>
              <w:top w:val="single" w:sz="4" w:space="0" w:color="808080" w:themeColor="background1" w:themeShade="80"/>
              <w:bottom w:val="single" w:sz="4" w:space="0" w:color="808080" w:themeColor="background1" w:themeShade="80"/>
            </w:tcBorders>
            <w:shd w:val="clear" w:color="auto" w:fill="auto"/>
            <w:vAlign w:val="center"/>
          </w:tcPr>
          <w:p w14:paraId="45A7A133" w14:textId="77777777" w:rsidR="00D11ADA" w:rsidRPr="00124E7F" w:rsidRDefault="00D11ADA" w:rsidP="00202E68">
            <w:pPr>
              <w:widowControl/>
              <w:autoSpaceDE/>
              <w:autoSpaceDN/>
              <w:adjustRightInd/>
              <w:spacing w:before="120" w:after="120" w:line="240" w:lineRule="auto"/>
              <w:jc w:val="center"/>
              <w:rPr>
                <w:color w:val="auto"/>
              </w:rPr>
            </w:pPr>
            <w:r w:rsidRPr="00124E7F">
              <w:rPr>
                <w:color w:val="auto"/>
              </w:rPr>
              <w:t>Enhanced use of existing works</w:t>
            </w:r>
          </w:p>
        </w:tc>
        <w:tc>
          <w:tcPr>
            <w:tcW w:w="1478" w:type="dxa"/>
            <w:tcBorders>
              <w:top w:val="single" w:sz="4" w:space="0" w:color="808080" w:themeColor="background1" w:themeShade="80"/>
              <w:bottom w:val="single" w:sz="4" w:space="0" w:color="808080" w:themeColor="background1" w:themeShade="80"/>
            </w:tcBorders>
            <w:shd w:val="clear" w:color="auto" w:fill="auto"/>
            <w:vAlign w:val="center"/>
          </w:tcPr>
          <w:p w14:paraId="4AE00508" w14:textId="77777777" w:rsidR="00D11ADA" w:rsidRPr="00124E7F" w:rsidRDefault="00D11ADA" w:rsidP="00202E68">
            <w:pPr>
              <w:widowControl/>
              <w:autoSpaceDE/>
              <w:autoSpaceDN/>
              <w:adjustRightInd/>
              <w:spacing w:before="120" w:after="120" w:line="240" w:lineRule="auto"/>
              <w:jc w:val="center"/>
              <w:rPr>
                <w:color w:val="auto"/>
              </w:rPr>
            </w:pPr>
            <w:r w:rsidRPr="00124E7F">
              <w:rPr>
                <w:color w:val="auto"/>
              </w:rPr>
              <w:t>Users</w:t>
            </w:r>
          </w:p>
        </w:tc>
        <w:tc>
          <w:tcPr>
            <w:tcW w:w="835" w:type="dxa"/>
            <w:tcBorders>
              <w:top w:val="single" w:sz="4" w:space="0" w:color="808080" w:themeColor="background1" w:themeShade="80"/>
              <w:bottom w:val="single" w:sz="4" w:space="0" w:color="808080" w:themeColor="background1" w:themeShade="80"/>
            </w:tcBorders>
            <w:shd w:val="clear" w:color="auto" w:fill="auto"/>
            <w:vAlign w:val="center"/>
          </w:tcPr>
          <w:p w14:paraId="0F2DE624" w14:textId="77777777" w:rsidR="00D11ADA" w:rsidRPr="00124E7F" w:rsidRDefault="00D11ADA" w:rsidP="00202E68">
            <w:pPr>
              <w:spacing w:before="120" w:after="120" w:line="240" w:lineRule="auto"/>
              <w:jc w:val="center"/>
              <w:rPr>
                <w:color w:val="auto"/>
              </w:rPr>
            </w:pPr>
            <w:r w:rsidRPr="00124E7F">
              <w:rPr>
                <w:color w:val="auto"/>
              </w:rPr>
              <w:t>Short run</w:t>
            </w:r>
          </w:p>
        </w:tc>
        <w:tc>
          <w:tcPr>
            <w:tcW w:w="2705" w:type="dxa"/>
            <w:tcBorders>
              <w:top w:val="single" w:sz="4" w:space="0" w:color="808080" w:themeColor="background1" w:themeShade="80"/>
            </w:tcBorders>
            <w:shd w:val="clear" w:color="auto" w:fill="auto"/>
            <w:vAlign w:val="center"/>
          </w:tcPr>
          <w:p w14:paraId="6EE2AB92" w14:textId="77777777" w:rsidR="00D11ADA" w:rsidRPr="00124E7F" w:rsidRDefault="00D11ADA" w:rsidP="00202E68">
            <w:pPr>
              <w:widowControl/>
              <w:autoSpaceDE/>
              <w:autoSpaceDN/>
              <w:adjustRightInd/>
              <w:spacing w:before="120" w:after="120" w:line="240" w:lineRule="auto"/>
              <w:jc w:val="center"/>
              <w:rPr>
                <w:color w:val="auto"/>
              </w:rPr>
            </w:pPr>
            <w:r w:rsidRPr="00124E7F">
              <w:rPr>
                <w:color w:val="auto"/>
              </w:rPr>
              <w:t>Given existing exceptions and consumer practices around private copying of copyright content, it is expected that the proposed exception would deliver a small net benefit to consumers.</w:t>
            </w:r>
          </w:p>
        </w:tc>
        <w:tc>
          <w:tcPr>
            <w:tcW w:w="1328" w:type="dxa"/>
            <w:tcBorders>
              <w:top w:val="single" w:sz="4" w:space="0" w:color="808080" w:themeColor="background1" w:themeShade="80"/>
            </w:tcBorders>
            <w:shd w:val="clear" w:color="auto" w:fill="auto"/>
            <w:vAlign w:val="center"/>
          </w:tcPr>
          <w:p w14:paraId="08DCFE99" w14:textId="77777777" w:rsidR="00D11ADA" w:rsidRPr="00202E68" w:rsidRDefault="00D11ADA" w:rsidP="00202E68">
            <w:pPr>
              <w:widowControl/>
              <w:autoSpaceDE/>
              <w:autoSpaceDN/>
              <w:adjustRightInd/>
              <w:spacing w:before="120" w:after="120" w:line="240" w:lineRule="auto"/>
              <w:jc w:val="center"/>
              <w:rPr>
                <w:color w:val="auto"/>
              </w:rPr>
            </w:pPr>
            <w:r w:rsidRPr="00124E7F">
              <w:rPr>
                <w:color w:val="auto"/>
              </w:rPr>
              <w:t>-</w:t>
            </w:r>
          </w:p>
        </w:tc>
        <w:tc>
          <w:tcPr>
            <w:tcW w:w="888" w:type="dxa"/>
            <w:tcBorders>
              <w:top w:val="single" w:sz="4" w:space="0" w:color="808080" w:themeColor="background1" w:themeShade="80"/>
              <w:bottom w:val="single" w:sz="4" w:space="0" w:color="808080" w:themeColor="background1" w:themeShade="80"/>
            </w:tcBorders>
            <w:shd w:val="clear" w:color="auto" w:fill="auto"/>
            <w:vAlign w:val="center"/>
          </w:tcPr>
          <w:p w14:paraId="211FDF1E" w14:textId="77777777" w:rsidR="00D11ADA" w:rsidRPr="004213AE" w:rsidRDefault="00D11ADA" w:rsidP="00202E68">
            <w:pPr>
              <w:widowControl/>
              <w:autoSpaceDE/>
              <w:autoSpaceDN/>
              <w:adjustRightInd/>
              <w:spacing w:before="120" w:after="120" w:line="240" w:lineRule="auto"/>
              <w:jc w:val="center"/>
              <w:rPr>
                <w:color w:val="auto"/>
              </w:rPr>
            </w:pPr>
            <w:r w:rsidRPr="004213AE">
              <w:rPr>
                <w:color w:val="auto"/>
              </w:rPr>
              <w:t>?+</w:t>
            </w:r>
          </w:p>
        </w:tc>
      </w:tr>
      <w:tr w:rsidR="004213AE" w:rsidRPr="00124E7F" w14:paraId="4A114507" w14:textId="77777777" w:rsidTr="00202E68">
        <w:trPr>
          <w:trHeight w:val="1634"/>
        </w:trPr>
        <w:tc>
          <w:tcPr>
            <w:tcW w:w="1795" w:type="dxa"/>
            <w:shd w:val="clear" w:color="auto" w:fill="auto"/>
            <w:vAlign w:val="center"/>
          </w:tcPr>
          <w:p w14:paraId="6B80323D" w14:textId="77777777" w:rsidR="00D11ADA" w:rsidRPr="00124E7F" w:rsidRDefault="00D11ADA" w:rsidP="00202E68">
            <w:pPr>
              <w:widowControl/>
              <w:autoSpaceDE/>
              <w:autoSpaceDN/>
              <w:adjustRightInd/>
              <w:spacing w:before="120" w:after="120" w:line="240" w:lineRule="auto"/>
              <w:jc w:val="center"/>
              <w:rPr>
                <w:color w:val="auto"/>
              </w:rPr>
            </w:pPr>
            <w:r w:rsidRPr="00124E7F">
              <w:rPr>
                <w:color w:val="auto"/>
              </w:rPr>
              <w:t>Economic and societal benefits</w:t>
            </w:r>
          </w:p>
        </w:tc>
        <w:tc>
          <w:tcPr>
            <w:tcW w:w="1478" w:type="dxa"/>
            <w:shd w:val="clear" w:color="auto" w:fill="auto"/>
            <w:vAlign w:val="center"/>
          </w:tcPr>
          <w:p w14:paraId="30144167" w14:textId="77777777" w:rsidR="00D11ADA" w:rsidRPr="00124E7F" w:rsidRDefault="00D11ADA" w:rsidP="00202E68">
            <w:pPr>
              <w:widowControl/>
              <w:autoSpaceDE/>
              <w:autoSpaceDN/>
              <w:adjustRightInd/>
              <w:spacing w:before="120" w:after="120" w:line="240" w:lineRule="auto"/>
              <w:jc w:val="center"/>
              <w:rPr>
                <w:color w:val="auto"/>
              </w:rPr>
            </w:pPr>
            <w:r w:rsidRPr="00124E7F">
              <w:rPr>
                <w:color w:val="auto"/>
              </w:rPr>
              <w:t>Economy/ Society</w:t>
            </w:r>
          </w:p>
        </w:tc>
        <w:tc>
          <w:tcPr>
            <w:tcW w:w="835" w:type="dxa"/>
            <w:shd w:val="clear" w:color="auto" w:fill="auto"/>
            <w:vAlign w:val="center"/>
          </w:tcPr>
          <w:p w14:paraId="141DCDFC" w14:textId="77777777" w:rsidR="00D11ADA" w:rsidRPr="00124E7F" w:rsidRDefault="00D11ADA" w:rsidP="00202E68">
            <w:pPr>
              <w:spacing w:before="120" w:after="120" w:line="240" w:lineRule="auto"/>
              <w:jc w:val="center"/>
              <w:rPr>
                <w:color w:val="auto"/>
              </w:rPr>
            </w:pPr>
            <w:r w:rsidRPr="00124E7F">
              <w:rPr>
                <w:color w:val="auto"/>
              </w:rPr>
              <w:t>Both</w:t>
            </w:r>
          </w:p>
        </w:tc>
        <w:tc>
          <w:tcPr>
            <w:tcW w:w="2705" w:type="dxa"/>
            <w:shd w:val="clear" w:color="auto" w:fill="auto"/>
            <w:vAlign w:val="center"/>
          </w:tcPr>
          <w:p w14:paraId="5673ED8D" w14:textId="77777777" w:rsidR="00D11ADA" w:rsidRPr="00124E7F" w:rsidRDefault="00D11ADA" w:rsidP="00202E68">
            <w:pPr>
              <w:pStyle w:val="AA-Normal"/>
              <w:spacing w:before="120" w:line="240" w:lineRule="auto"/>
              <w:jc w:val="center"/>
              <w:rPr>
                <w:color w:val="auto"/>
              </w:rPr>
            </w:pPr>
            <w:r w:rsidRPr="00124E7F">
              <w:rPr>
                <w:color w:val="auto"/>
              </w:rPr>
              <w:t>The adoption of a technology-neutral exception on private use is expected to provide social benefits by aligning copyright law with existing social norms.</w:t>
            </w:r>
          </w:p>
        </w:tc>
        <w:tc>
          <w:tcPr>
            <w:tcW w:w="1328" w:type="dxa"/>
            <w:shd w:val="clear" w:color="auto" w:fill="auto"/>
            <w:vAlign w:val="center"/>
          </w:tcPr>
          <w:p w14:paraId="386D0C1F" w14:textId="77777777" w:rsidR="00D11ADA" w:rsidRPr="00202E68" w:rsidRDefault="00D11ADA" w:rsidP="00202E68">
            <w:pPr>
              <w:widowControl/>
              <w:autoSpaceDE/>
              <w:autoSpaceDN/>
              <w:adjustRightInd/>
              <w:spacing w:before="120" w:after="120" w:line="240" w:lineRule="auto"/>
              <w:jc w:val="center"/>
              <w:rPr>
                <w:color w:val="auto"/>
              </w:rPr>
            </w:pPr>
            <w:r w:rsidRPr="00124E7F">
              <w:rPr>
                <w:color w:val="auto"/>
              </w:rPr>
              <w:t>-</w:t>
            </w:r>
          </w:p>
        </w:tc>
        <w:tc>
          <w:tcPr>
            <w:tcW w:w="888" w:type="dxa"/>
            <w:shd w:val="clear" w:color="auto" w:fill="auto"/>
            <w:vAlign w:val="center"/>
          </w:tcPr>
          <w:p w14:paraId="4A76C931" w14:textId="77777777" w:rsidR="00D11ADA" w:rsidRPr="004213AE" w:rsidRDefault="00D11ADA" w:rsidP="00202E68">
            <w:pPr>
              <w:widowControl/>
              <w:autoSpaceDE/>
              <w:autoSpaceDN/>
              <w:adjustRightInd/>
              <w:spacing w:before="120" w:after="120" w:line="240" w:lineRule="auto"/>
              <w:jc w:val="center"/>
              <w:rPr>
                <w:color w:val="auto"/>
              </w:rPr>
            </w:pPr>
            <w:r w:rsidRPr="004213AE">
              <w:rPr>
                <w:color w:val="auto"/>
              </w:rPr>
              <w:t>?+</w:t>
            </w:r>
          </w:p>
        </w:tc>
      </w:tr>
      <w:tr w:rsidR="00730D0C" w:rsidRPr="00124E7F" w14:paraId="0D3E5FFD" w14:textId="77777777" w:rsidTr="00F83736">
        <w:trPr>
          <w:cnfStyle w:val="000000100000" w:firstRow="0" w:lastRow="0" w:firstColumn="0" w:lastColumn="0" w:oddVBand="0" w:evenVBand="0" w:oddHBand="1" w:evenHBand="0" w:firstRowFirstColumn="0" w:firstRowLastColumn="0" w:lastRowFirstColumn="0" w:lastRowLastColumn="0"/>
          <w:trHeight w:val="397"/>
        </w:trPr>
        <w:tc>
          <w:tcPr>
            <w:tcW w:w="1795" w:type="dxa"/>
            <w:tcBorders>
              <w:top w:val="single" w:sz="4" w:space="0" w:color="808080" w:themeColor="background1" w:themeShade="80"/>
              <w:bottom w:val="single" w:sz="4" w:space="0" w:color="808080" w:themeColor="background1" w:themeShade="80"/>
            </w:tcBorders>
            <w:shd w:val="clear" w:color="auto" w:fill="E5E5E5" w:themeFill="accent1" w:themeFillTint="33"/>
            <w:vAlign w:val="center"/>
            <w:hideMark/>
          </w:tcPr>
          <w:p w14:paraId="1391EA6C" w14:textId="77777777" w:rsidR="004B6547" w:rsidRPr="00124E7F" w:rsidRDefault="004B6547" w:rsidP="00202E68">
            <w:pPr>
              <w:widowControl/>
              <w:autoSpaceDE/>
              <w:autoSpaceDN/>
              <w:adjustRightInd/>
              <w:spacing w:before="120" w:after="120" w:line="240" w:lineRule="auto"/>
              <w:jc w:val="center"/>
              <w:rPr>
                <w:b/>
                <w:color w:val="auto"/>
              </w:rPr>
            </w:pPr>
            <w:r w:rsidRPr="00124E7F">
              <w:rPr>
                <w:b/>
                <w:color w:val="auto"/>
              </w:rPr>
              <w:t>Net expected impact</w:t>
            </w:r>
          </w:p>
        </w:tc>
        <w:tc>
          <w:tcPr>
            <w:tcW w:w="1478" w:type="dxa"/>
            <w:tcBorders>
              <w:top w:val="single" w:sz="4" w:space="0" w:color="808080" w:themeColor="background1" w:themeShade="80"/>
              <w:bottom w:val="single" w:sz="4" w:space="0" w:color="808080" w:themeColor="background1" w:themeShade="80"/>
            </w:tcBorders>
            <w:shd w:val="clear" w:color="auto" w:fill="E5E5E5" w:themeFill="accent1" w:themeFillTint="33"/>
            <w:vAlign w:val="center"/>
          </w:tcPr>
          <w:p w14:paraId="5FDAF2A5" w14:textId="77777777" w:rsidR="004B6547" w:rsidRPr="00124E7F" w:rsidRDefault="004B6547" w:rsidP="00202E68">
            <w:pPr>
              <w:widowControl/>
              <w:autoSpaceDE/>
              <w:autoSpaceDN/>
              <w:adjustRightInd/>
              <w:spacing w:before="120" w:after="120" w:line="240" w:lineRule="auto"/>
              <w:jc w:val="center"/>
              <w:rPr>
                <w:b/>
                <w:color w:val="auto"/>
              </w:rPr>
            </w:pPr>
            <w:r w:rsidRPr="00124E7F">
              <w:rPr>
                <w:b/>
                <w:color w:val="auto"/>
              </w:rPr>
              <w:t>-</w:t>
            </w:r>
          </w:p>
        </w:tc>
        <w:tc>
          <w:tcPr>
            <w:tcW w:w="835" w:type="dxa"/>
            <w:tcBorders>
              <w:top w:val="single" w:sz="4" w:space="0" w:color="808080" w:themeColor="background1" w:themeShade="80"/>
              <w:bottom w:val="single" w:sz="4" w:space="0" w:color="808080" w:themeColor="background1" w:themeShade="80"/>
            </w:tcBorders>
            <w:shd w:val="clear" w:color="auto" w:fill="E5E5E5" w:themeFill="accent1" w:themeFillTint="33"/>
            <w:vAlign w:val="center"/>
          </w:tcPr>
          <w:p w14:paraId="6D9B93BB" w14:textId="77777777" w:rsidR="004B6547" w:rsidRPr="00124E7F" w:rsidRDefault="004B6547" w:rsidP="00202E68">
            <w:pPr>
              <w:spacing w:before="120" w:after="120" w:line="240" w:lineRule="auto"/>
              <w:jc w:val="center"/>
              <w:rPr>
                <w:b/>
                <w:color w:val="auto"/>
              </w:rPr>
            </w:pPr>
            <w:r w:rsidRPr="00124E7F">
              <w:rPr>
                <w:b/>
                <w:color w:val="auto"/>
              </w:rPr>
              <w:t>-</w:t>
            </w:r>
          </w:p>
        </w:tc>
        <w:tc>
          <w:tcPr>
            <w:tcW w:w="2705" w:type="dxa"/>
            <w:tcBorders>
              <w:top w:val="single" w:sz="4" w:space="0" w:color="808080" w:themeColor="background1" w:themeShade="80"/>
              <w:bottom w:val="single" w:sz="4" w:space="0" w:color="808080" w:themeColor="background1" w:themeShade="80"/>
            </w:tcBorders>
            <w:shd w:val="clear" w:color="auto" w:fill="E5E5E5" w:themeFill="accent1" w:themeFillTint="33"/>
            <w:vAlign w:val="center"/>
          </w:tcPr>
          <w:p w14:paraId="047F6D71" w14:textId="77777777" w:rsidR="004B6547" w:rsidRPr="00124E7F" w:rsidRDefault="004B6547" w:rsidP="00202E68">
            <w:pPr>
              <w:widowControl/>
              <w:autoSpaceDE/>
              <w:autoSpaceDN/>
              <w:adjustRightInd/>
              <w:spacing w:before="120" w:after="120" w:line="240" w:lineRule="auto"/>
              <w:jc w:val="center"/>
              <w:rPr>
                <w:b/>
                <w:color w:val="auto"/>
              </w:rPr>
            </w:pPr>
            <w:r w:rsidRPr="00124E7F">
              <w:rPr>
                <w:b/>
                <w:color w:val="auto"/>
              </w:rPr>
              <w:t>Positive, not strong</w:t>
            </w:r>
          </w:p>
        </w:tc>
        <w:tc>
          <w:tcPr>
            <w:tcW w:w="1328" w:type="dxa"/>
            <w:tcBorders>
              <w:top w:val="single" w:sz="4" w:space="0" w:color="808080" w:themeColor="background1" w:themeShade="80"/>
              <w:bottom w:val="single" w:sz="4" w:space="0" w:color="808080" w:themeColor="background1" w:themeShade="80"/>
            </w:tcBorders>
            <w:shd w:val="clear" w:color="auto" w:fill="E5E5E5" w:themeFill="accent1" w:themeFillTint="33"/>
          </w:tcPr>
          <w:p w14:paraId="279628F2" w14:textId="77777777" w:rsidR="004B6547" w:rsidRPr="00202E68" w:rsidRDefault="004B6547" w:rsidP="00202E68">
            <w:pPr>
              <w:widowControl/>
              <w:autoSpaceDE/>
              <w:autoSpaceDN/>
              <w:adjustRightInd/>
              <w:spacing w:before="120" w:after="120" w:line="240" w:lineRule="auto"/>
              <w:jc w:val="center"/>
              <w:rPr>
                <w:b/>
                <w:color w:val="auto"/>
              </w:rPr>
            </w:pPr>
          </w:p>
        </w:tc>
        <w:tc>
          <w:tcPr>
            <w:tcW w:w="888" w:type="dxa"/>
            <w:tcBorders>
              <w:top w:val="single" w:sz="4" w:space="0" w:color="808080" w:themeColor="background1" w:themeShade="80"/>
              <w:bottom w:val="single" w:sz="4" w:space="0" w:color="808080" w:themeColor="background1" w:themeShade="80"/>
            </w:tcBorders>
            <w:shd w:val="clear" w:color="auto" w:fill="E5E5E5" w:themeFill="accent1" w:themeFillTint="33"/>
            <w:vAlign w:val="center"/>
          </w:tcPr>
          <w:p w14:paraId="46AD9BCA" w14:textId="77777777" w:rsidR="004B6547" w:rsidRPr="004213AE" w:rsidRDefault="004B6547" w:rsidP="00202E68">
            <w:pPr>
              <w:widowControl/>
              <w:autoSpaceDE/>
              <w:autoSpaceDN/>
              <w:adjustRightInd/>
              <w:spacing w:before="120" w:after="120" w:line="240" w:lineRule="auto"/>
              <w:jc w:val="center"/>
              <w:rPr>
                <w:b/>
                <w:color w:val="auto"/>
              </w:rPr>
            </w:pPr>
            <w:r w:rsidRPr="004213AE">
              <w:rPr>
                <w:b/>
                <w:color w:val="auto"/>
              </w:rPr>
              <w:t>?+</w:t>
            </w:r>
          </w:p>
        </w:tc>
      </w:tr>
    </w:tbl>
    <w:p w14:paraId="2CF52AF4" w14:textId="77777777" w:rsidR="00F83736" w:rsidRDefault="00F83736" w:rsidP="00202E68">
      <w:pPr>
        <w:pStyle w:val="EYHeading4"/>
        <w:numPr>
          <w:ilvl w:val="0"/>
          <w:numId w:val="0"/>
        </w:numPr>
        <w:ind w:left="851" w:hanging="851"/>
      </w:pPr>
    </w:p>
    <w:p w14:paraId="547D9567" w14:textId="77777777" w:rsidR="005C58E9" w:rsidRPr="00124E7F" w:rsidRDefault="006E40A8" w:rsidP="007A51B0">
      <w:pPr>
        <w:pStyle w:val="EYHeading4"/>
      </w:pPr>
      <w:r w:rsidRPr="00124E7F">
        <w:t>Enhanced use of existing works</w:t>
      </w:r>
    </w:p>
    <w:p w14:paraId="70D9642F" w14:textId="77777777" w:rsidR="003C6420" w:rsidRPr="00124E7F" w:rsidRDefault="003C6420" w:rsidP="0080497D">
      <w:pPr>
        <w:pStyle w:val="EYBodytextwithparaspace"/>
      </w:pPr>
      <w:r w:rsidRPr="00124E7F">
        <w:t>Given current exceptions and consumer practices around private copying of copyright content, it is expected that the proposed exception would deliver a small net benefit</w:t>
      </w:r>
      <w:r w:rsidR="00057050" w:rsidRPr="00124E7F">
        <w:t xml:space="preserve"> for the following </w:t>
      </w:r>
      <w:r w:rsidR="00D86BB9" w:rsidRPr="00124E7F">
        <w:t>reasons</w:t>
      </w:r>
      <w:r w:rsidR="00057050" w:rsidRPr="00124E7F">
        <w:t>:</w:t>
      </w:r>
    </w:p>
    <w:p w14:paraId="5EE5621F" w14:textId="77777777" w:rsidR="00057050" w:rsidRPr="00124E7F" w:rsidRDefault="003C6420" w:rsidP="00634BB4">
      <w:pPr>
        <w:pStyle w:val="EYBulletedText1"/>
      </w:pPr>
      <w:r w:rsidRPr="00124E7F">
        <w:t xml:space="preserve">Since 2006, consumers have been able to format shift, space shift and time shift legally obtained copyright content, albeit with a number of restrictions imposed on the application of these exceptions. Therefore, much of the change in </w:t>
      </w:r>
      <w:proofErr w:type="spellStart"/>
      <w:r w:rsidRPr="00124E7F">
        <w:t>behaviour</w:t>
      </w:r>
      <w:proofErr w:type="spellEnd"/>
      <w:r w:rsidRPr="00124E7F">
        <w:t xml:space="preserve"> is likely to be marginal.</w:t>
      </w:r>
      <w:r w:rsidR="00057050" w:rsidRPr="00124E7F">
        <w:t xml:space="preserve"> </w:t>
      </w:r>
    </w:p>
    <w:p w14:paraId="20F233A1" w14:textId="77777777" w:rsidR="00420378" w:rsidRPr="00124E7F" w:rsidRDefault="003C6420" w:rsidP="00634BB4">
      <w:pPr>
        <w:pStyle w:val="EYBulletedText1"/>
      </w:pPr>
      <w:r w:rsidRPr="00124E7F">
        <w:t>Where there is currently some legal uncertainty around copying activities for personal use –e.g. storing multiple copies of</w:t>
      </w:r>
      <w:r w:rsidR="009C6310" w:rsidRPr="00124E7F">
        <w:t xml:space="preserve"> copyright content on the cloud – </w:t>
      </w:r>
      <w:r w:rsidR="00F52935" w:rsidRPr="00124E7F">
        <w:t xml:space="preserve">industry appears to accept such copying as reasonable. We are not aware of any copyright owners enforcing their rights for </w:t>
      </w:r>
      <w:r w:rsidR="00057050" w:rsidRPr="00124E7F">
        <w:t xml:space="preserve">copying </w:t>
      </w:r>
      <w:r w:rsidR="004770C4" w:rsidRPr="00124E7F">
        <w:t xml:space="preserve">of legally acquired content </w:t>
      </w:r>
      <w:r w:rsidR="00057050" w:rsidRPr="00124E7F">
        <w:t xml:space="preserve">in the private sphere. </w:t>
      </w:r>
    </w:p>
    <w:p w14:paraId="06B35E57" w14:textId="77777777" w:rsidR="00F52935" w:rsidRPr="00124E7F" w:rsidRDefault="002A12FB" w:rsidP="00634BB4">
      <w:pPr>
        <w:pStyle w:val="EYBulletedText1"/>
      </w:pPr>
      <w:r w:rsidRPr="00124E7F">
        <w:t>As discussed in Section 3</w:t>
      </w:r>
      <w:r w:rsidR="00F52935" w:rsidRPr="00124E7F">
        <w:t>.2.3, much of the copyright infringement</w:t>
      </w:r>
      <w:r w:rsidR="00305799" w:rsidRPr="00124E7F">
        <w:rPr>
          <w:vertAlign w:val="superscript"/>
        </w:rPr>
        <w:t xml:space="preserve"> </w:t>
      </w:r>
      <w:r w:rsidR="00305799" w:rsidRPr="00124E7F">
        <w:t xml:space="preserve">(in the context of legally acquired copyright content) </w:t>
      </w:r>
      <w:r w:rsidR="00F52935" w:rsidRPr="00124E7F">
        <w:t>currently taking place is considered common place among many consumers. This suggests that much of the additional private copying likely to be permitted under the proposed exception is already</w:t>
      </w:r>
      <w:r w:rsidR="00BA5C09" w:rsidRPr="00124E7F">
        <w:t xml:space="preserve"> pervasive.</w:t>
      </w:r>
    </w:p>
    <w:p w14:paraId="2A36E196" w14:textId="77777777" w:rsidR="00057050" w:rsidRPr="00124E7F" w:rsidRDefault="00057050" w:rsidP="00634BB4">
      <w:pPr>
        <w:pStyle w:val="EYBulletedText1"/>
      </w:pPr>
      <w:r w:rsidRPr="00124E7F">
        <w:t xml:space="preserve">Many digital copies are sold under </w:t>
      </w:r>
      <w:r w:rsidR="005D236A" w:rsidRPr="00124E7F">
        <w:t>licens</w:t>
      </w:r>
      <w:r w:rsidR="007D4AFF" w:rsidRPr="00124E7F">
        <w:t>e</w:t>
      </w:r>
      <w:r w:rsidRPr="00124E7F">
        <w:t xml:space="preserve">s that remove the need for an exception altogether. With respect to cloud computing, for instance, copyright owners may offer </w:t>
      </w:r>
      <w:r w:rsidR="005D236A" w:rsidRPr="00124E7F">
        <w:t>licens</w:t>
      </w:r>
      <w:r w:rsidR="007D4AFF" w:rsidRPr="00124E7F">
        <w:t>e</w:t>
      </w:r>
      <w:r w:rsidRPr="00124E7F">
        <w:t xml:space="preserve">s for making multiple copies or </w:t>
      </w:r>
      <w:r w:rsidR="005D236A" w:rsidRPr="00124E7F">
        <w:t>licens</w:t>
      </w:r>
      <w:r w:rsidR="007D4AFF" w:rsidRPr="00124E7F">
        <w:t>e</w:t>
      </w:r>
      <w:r w:rsidRPr="00124E7F">
        <w:t xml:space="preserve"> access for </w:t>
      </w:r>
      <w:r w:rsidR="00D86BB9" w:rsidRPr="00124E7F">
        <w:t xml:space="preserve">the </w:t>
      </w:r>
      <w:r w:rsidRPr="00124E7F">
        <w:t xml:space="preserve">use of the same content over multiple devices.  </w:t>
      </w:r>
    </w:p>
    <w:p w14:paraId="1678F0E4" w14:textId="77777777" w:rsidR="00BA5C09" w:rsidRPr="00124E7F" w:rsidRDefault="005D236A" w:rsidP="00634BB4">
      <w:pPr>
        <w:pStyle w:val="EYBulletedText1"/>
      </w:pPr>
      <w:r w:rsidRPr="00124E7F">
        <w:t>Licens</w:t>
      </w:r>
      <w:r w:rsidR="007D4AFF" w:rsidRPr="00124E7F">
        <w:t>ing</w:t>
      </w:r>
      <w:r w:rsidR="00057050" w:rsidRPr="00124E7F">
        <w:t xml:space="preserve"> models for much digital content (e.g. video games and DVDs) are protected by TPMs, which it is assumed could not be displaced by a fair dealing exception for non-commercial private use due to Australia’s international trade agreements. </w:t>
      </w:r>
    </w:p>
    <w:p w14:paraId="38BE138D" w14:textId="77777777" w:rsidR="00057050" w:rsidRPr="00124E7F" w:rsidRDefault="00057050" w:rsidP="0080497D">
      <w:pPr>
        <w:pStyle w:val="EYBodytextwithparaspace"/>
      </w:pPr>
      <w:r w:rsidRPr="00124E7F">
        <w:t>Tak</w:t>
      </w:r>
      <w:r w:rsidR="009C6310" w:rsidRPr="00124E7F">
        <w:t>en together, these factors mean</w:t>
      </w:r>
      <w:r w:rsidRPr="00124E7F">
        <w:t xml:space="preserve"> that most of the benefits of format shifting, time shifting and space shifting are already being enjoyed by consumers, both inside and outside the </w:t>
      </w:r>
      <w:r w:rsidR="00D42209" w:rsidRPr="00124E7F">
        <w:t>Copyright Act’s provisions</w:t>
      </w:r>
      <w:r w:rsidRPr="00124E7F">
        <w:t xml:space="preserve">. The consumers who </w:t>
      </w:r>
      <w:r w:rsidR="004770C4" w:rsidRPr="00124E7F">
        <w:t xml:space="preserve">would </w:t>
      </w:r>
      <w:r w:rsidRPr="00124E7F">
        <w:t xml:space="preserve">experience direct economic benefits from introduction of the exception are those consumers who follow copyright law; and for copyright content that is not explicitly </w:t>
      </w:r>
      <w:r w:rsidR="005D236A" w:rsidRPr="00124E7F">
        <w:t>licens</w:t>
      </w:r>
      <w:r w:rsidR="007D4AFF" w:rsidRPr="00124E7F">
        <w:t>e</w:t>
      </w:r>
      <w:r w:rsidRPr="00124E7F">
        <w:t>d and not protected against copying by TPM</w:t>
      </w:r>
      <w:r w:rsidR="001E3533" w:rsidRPr="00124E7F">
        <w:t>s</w:t>
      </w:r>
      <w:r w:rsidRPr="00124E7F">
        <w:t>; wish to:</w:t>
      </w:r>
    </w:p>
    <w:p w14:paraId="6F00CEF4" w14:textId="77777777" w:rsidR="00057050" w:rsidRPr="00124E7F" w:rsidRDefault="00057050" w:rsidP="00634BB4">
      <w:pPr>
        <w:pStyle w:val="EYBulletedText1"/>
      </w:pPr>
      <w:r w:rsidRPr="00124E7F">
        <w:t>Store copies of legally acquired copyright content on a cloud/digital locker</w:t>
      </w:r>
    </w:p>
    <w:p w14:paraId="0D105277" w14:textId="77777777" w:rsidR="00057050" w:rsidRPr="00124E7F" w:rsidRDefault="00057050" w:rsidP="00634BB4">
      <w:pPr>
        <w:pStyle w:val="EYBulletedText1"/>
      </w:pPr>
      <w:r w:rsidRPr="00124E7F">
        <w:t>Make more than one copy of legally acquired copyright content in any one format for non-commercial private use</w:t>
      </w:r>
    </w:p>
    <w:p w14:paraId="46386164" w14:textId="77777777" w:rsidR="00057050" w:rsidRPr="00124E7F" w:rsidRDefault="00057050" w:rsidP="00634BB4">
      <w:pPr>
        <w:pStyle w:val="EYBulletedText1"/>
      </w:pPr>
      <w:r w:rsidRPr="00124E7F">
        <w:t>Make</w:t>
      </w:r>
      <w:r w:rsidR="002A12FB" w:rsidRPr="00124E7F">
        <w:t xml:space="preserve"> copies of legally acquired DVD</w:t>
      </w:r>
      <w:r w:rsidRPr="00124E7F">
        <w:t>s for non-commercial private use</w:t>
      </w:r>
    </w:p>
    <w:p w14:paraId="7BFD2213" w14:textId="77777777" w:rsidR="00057050" w:rsidRPr="00124E7F" w:rsidRDefault="00057050" w:rsidP="00634BB4">
      <w:pPr>
        <w:pStyle w:val="EYBulletedText1"/>
      </w:pPr>
      <w:r w:rsidRPr="00124E7F">
        <w:t>Make copies of legally acquired copyright content from the internet for non-commercial private use.</w:t>
      </w:r>
    </w:p>
    <w:p w14:paraId="3911308F" w14:textId="77777777" w:rsidR="00B054A5" w:rsidRPr="00124E7F" w:rsidRDefault="00B054A5" w:rsidP="00B054A5">
      <w:pPr>
        <w:pStyle w:val="EYBodytextwithparaspace"/>
      </w:pPr>
      <w:r w:rsidRPr="00124E7F">
        <w:t>While this may still represent a sizeable number of people, the economic benefits to consumers would be expected to be small</w:t>
      </w:r>
      <w:r w:rsidR="00E03D5F" w:rsidRPr="00124E7F">
        <w:t xml:space="preserve"> overall</w:t>
      </w:r>
      <w:r w:rsidRPr="00124E7F">
        <w:t xml:space="preserve">. </w:t>
      </w:r>
    </w:p>
    <w:p w14:paraId="59DE6BA9" w14:textId="77777777" w:rsidR="00D42209" w:rsidRPr="00124E7F" w:rsidRDefault="00D859D3" w:rsidP="007A51B0">
      <w:pPr>
        <w:pStyle w:val="EYHeading4"/>
      </w:pPr>
      <w:r w:rsidRPr="00124E7F">
        <w:t>Social benefits</w:t>
      </w:r>
    </w:p>
    <w:p w14:paraId="44D51620" w14:textId="77777777" w:rsidR="004156E7" w:rsidRPr="00124E7F" w:rsidRDefault="005F1253" w:rsidP="0080497D">
      <w:pPr>
        <w:pStyle w:val="EYBodytextwithparaspace"/>
      </w:pPr>
      <w:r w:rsidRPr="00124E7F">
        <w:t xml:space="preserve">Theories of deterrence generally argue that ‘it is more difficult to induce law-abiding </w:t>
      </w:r>
      <w:proofErr w:type="spellStart"/>
      <w:r w:rsidRPr="00124E7F">
        <w:t>behaviour</w:t>
      </w:r>
      <w:proofErr w:type="spellEnd"/>
      <w:r w:rsidRPr="00124E7F">
        <w:t xml:space="preserve"> when underlying social norms do not support the law’.</w:t>
      </w:r>
      <w:r w:rsidR="00C96776" w:rsidRPr="00124E7F">
        <w:rPr>
          <w:vertAlign w:val="superscript"/>
        </w:rPr>
        <w:footnoteReference w:id="70"/>
      </w:r>
      <w:r w:rsidRPr="00124E7F">
        <w:t xml:space="preserve"> When exceptions for private copying were introduced in 2006, this was in recognition that failure to acknowledge social norms ‘diminishes respect for copyright and undermines the credibility of the Act’.</w:t>
      </w:r>
      <w:r w:rsidR="00C96776" w:rsidRPr="00124E7F">
        <w:rPr>
          <w:vertAlign w:val="superscript"/>
        </w:rPr>
        <w:footnoteReference w:id="71"/>
      </w:r>
      <w:r w:rsidR="004156E7" w:rsidRPr="00124E7F">
        <w:rPr>
          <w:vertAlign w:val="superscript"/>
        </w:rPr>
        <w:t xml:space="preserve"> </w:t>
      </w:r>
      <w:r w:rsidRPr="00124E7F">
        <w:t xml:space="preserve">Despite </w:t>
      </w:r>
      <w:r w:rsidR="00E62C54" w:rsidRPr="00124E7F">
        <w:t xml:space="preserve">the motivations of the </w:t>
      </w:r>
      <w:r w:rsidR="00E62C54" w:rsidRPr="00124E7F">
        <w:rPr>
          <w:i/>
        </w:rPr>
        <w:t>Copyright Amendment Bill 2006</w:t>
      </w:r>
      <w:r w:rsidRPr="00124E7F">
        <w:t xml:space="preserve">, </w:t>
      </w:r>
      <w:r w:rsidR="004156E7" w:rsidRPr="00124E7F">
        <w:t xml:space="preserve">it appears </w:t>
      </w:r>
      <w:r w:rsidRPr="00124E7F">
        <w:t xml:space="preserve">that the technology-specific nature of </w:t>
      </w:r>
      <w:r w:rsidR="00E62C54" w:rsidRPr="00124E7F">
        <w:t>its</w:t>
      </w:r>
      <w:r w:rsidRPr="00124E7F">
        <w:t xml:space="preserve"> provisions has caused the </w:t>
      </w:r>
      <w:r w:rsidR="008A4C3A" w:rsidRPr="00124E7F">
        <w:t xml:space="preserve">Copyright </w:t>
      </w:r>
      <w:r w:rsidR="00E62C54" w:rsidRPr="00124E7F">
        <w:t>Act</w:t>
      </w:r>
      <w:r w:rsidRPr="00124E7F">
        <w:t xml:space="preserve"> to</w:t>
      </w:r>
      <w:r w:rsidR="00E04114" w:rsidRPr="00124E7F">
        <w:t xml:space="preserve"> be, once more, </w:t>
      </w:r>
      <w:r w:rsidR="004156E7" w:rsidRPr="00124E7F">
        <w:t>out of step with social norms.</w:t>
      </w:r>
    </w:p>
    <w:p w14:paraId="3DBE9A66" w14:textId="77777777" w:rsidR="00C96776" w:rsidRPr="00124E7F" w:rsidRDefault="004156E7" w:rsidP="0080497D">
      <w:pPr>
        <w:pStyle w:val="EYBodytextwithparaspace"/>
      </w:pPr>
      <w:r w:rsidRPr="00124E7F">
        <w:t xml:space="preserve">There is a lack of </w:t>
      </w:r>
      <w:r w:rsidR="00C96776" w:rsidRPr="00124E7F">
        <w:t xml:space="preserve">empirical </w:t>
      </w:r>
      <w:r w:rsidRPr="00124E7F">
        <w:t>evidence measuring consumer activities and perceptions with respect to copyright infringement</w:t>
      </w:r>
      <w:r w:rsidR="00C96776" w:rsidRPr="00124E7F">
        <w:t xml:space="preserve"> of legally obtaining content. </w:t>
      </w:r>
      <w:r w:rsidRPr="00124E7F">
        <w:t>Nevertheless, anecdotal evidence presented by the ALRC suggests that much of the copyright infringement currently taking place is considered com</w:t>
      </w:r>
      <w:r w:rsidR="00C96776" w:rsidRPr="00124E7F">
        <w:t>mon place among consumers.</w:t>
      </w:r>
      <w:r w:rsidR="00305799" w:rsidRPr="00124E7F">
        <w:rPr>
          <w:vertAlign w:val="superscript"/>
        </w:rPr>
        <w:footnoteReference w:id="72"/>
      </w:r>
      <w:r w:rsidR="00C96776" w:rsidRPr="00124E7F">
        <w:rPr>
          <w:vertAlign w:val="superscript"/>
        </w:rPr>
        <w:t xml:space="preserve"> </w:t>
      </w:r>
      <w:r w:rsidR="00C96776" w:rsidRPr="00124E7F">
        <w:t xml:space="preserve">The adoption of a technology-neutral exception on private use </w:t>
      </w:r>
      <w:r w:rsidR="008A4C3A" w:rsidRPr="00124E7F">
        <w:t xml:space="preserve">would thus be </w:t>
      </w:r>
      <w:r w:rsidR="00C96776" w:rsidRPr="00124E7F">
        <w:t xml:space="preserve">expected to provide social benefits by aligning copyright law with existing social norms. </w:t>
      </w:r>
    </w:p>
    <w:p w14:paraId="54360D8D" w14:textId="77777777" w:rsidR="00613FD8" w:rsidRPr="00124E7F" w:rsidRDefault="00305799" w:rsidP="007A51B0">
      <w:pPr>
        <w:pStyle w:val="EYHeading4"/>
      </w:pPr>
      <w:r w:rsidRPr="00124E7F">
        <w:t>Costs to right</w:t>
      </w:r>
      <w:r w:rsidR="006B2E08" w:rsidRPr="00124E7F">
        <w:t>s</w:t>
      </w:r>
      <w:r w:rsidRPr="00124E7F">
        <w:t xml:space="preserve"> holders</w:t>
      </w:r>
      <w:r w:rsidR="009E3E4A" w:rsidRPr="00124E7F">
        <w:t xml:space="preserve"> in foregone revenue</w:t>
      </w:r>
      <w:r w:rsidR="006E40A8" w:rsidRPr="00124E7F">
        <w:t xml:space="preserve"> and incentives to produce new works</w:t>
      </w:r>
    </w:p>
    <w:p w14:paraId="38B2B38A" w14:textId="77777777" w:rsidR="00BA5C09" w:rsidRPr="00124E7F" w:rsidRDefault="00DB2B08" w:rsidP="0080497D">
      <w:pPr>
        <w:pStyle w:val="EYBodytextwithparaspace"/>
        <w:rPr>
          <w:b/>
        </w:rPr>
      </w:pPr>
      <w:r w:rsidRPr="00124E7F">
        <w:t xml:space="preserve">Currently, absent a </w:t>
      </w:r>
      <w:r w:rsidR="005D236A" w:rsidRPr="00124E7F">
        <w:t>licens</w:t>
      </w:r>
      <w:r w:rsidR="007D4AFF" w:rsidRPr="00124E7F">
        <w:t>ing</w:t>
      </w:r>
      <w:r w:rsidRPr="00124E7F">
        <w:t xml:space="preserve"> solution, the format shifting exception means that if </w:t>
      </w:r>
      <w:r w:rsidR="00BA5C09" w:rsidRPr="00124E7F">
        <w:t>a consumer</w:t>
      </w:r>
      <w:r w:rsidRPr="00124E7F">
        <w:t xml:space="preserve"> wants to </w:t>
      </w:r>
      <w:r w:rsidR="00BA5C09" w:rsidRPr="00124E7F">
        <w:t xml:space="preserve">legally </w:t>
      </w:r>
      <w:r w:rsidRPr="00124E7F">
        <w:t xml:space="preserve">view a digital copy </w:t>
      </w:r>
      <w:r w:rsidR="00BA5C09" w:rsidRPr="00124E7F">
        <w:t>of a</w:t>
      </w:r>
      <w:r w:rsidRPr="00124E7F">
        <w:t xml:space="preserve"> newspaper on their computer, their phone and their laptop, they would have to buy a second subscription, </w:t>
      </w:r>
      <w:r w:rsidR="00BA5C09" w:rsidRPr="00124E7F">
        <w:t xml:space="preserve">as the current law limits the exception to one copy in any one format. </w:t>
      </w:r>
      <w:r w:rsidRPr="00124E7F">
        <w:t xml:space="preserve">If </w:t>
      </w:r>
      <w:r w:rsidR="00E04114" w:rsidRPr="00124E7F">
        <w:t>that</w:t>
      </w:r>
      <w:r w:rsidRPr="00124E7F">
        <w:t xml:space="preserve"> consumer acts lawfully and purchases duplicate copies of the same content in order to use across his or her three devices, </w:t>
      </w:r>
      <w:r w:rsidR="00BA5C09" w:rsidRPr="00124E7F">
        <w:t>the introduction of a broader exception</w:t>
      </w:r>
      <w:r w:rsidRPr="00124E7F">
        <w:t xml:space="preserve"> would be expected to decrease sales to right</w:t>
      </w:r>
      <w:r w:rsidR="006B2E08" w:rsidRPr="00124E7F">
        <w:t>s</w:t>
      </w:r>
      <w:r w:rsidRPr="00124E7F">
        <w:t xml:space="preserve"> holders.</w:t>
      </w:r>
      <w:r w:rsidR="000146C2" w:rsidRPr="00124E7F">
        <w:t xml:space="preserve"> </w:t>
      </w:r>
      <w:r w:rsidR="00BA5C09" w:rsidRPr="00124E7F">
        <w:t xml:space="preserve">However, the number of people who routinely buy two or </w:t>
      </w:r>
      <w:r w:rsidR="00581D09" w:rsidRPr="00124E7F">
        <w:t xml:space="preserve">more </w:t>
      </w:r>
      <w:r w:rsidR="00BA5C09" w:rsidRPr="00124E7F">
        <w:t>copies of copyright content in any one format just because the law currently restricts them to one copy is expected to be small</w:t>
      </w:r>
      <w:r w:rsidR="005D0222" w:rsidRPr="00124E7F">
        <w:t xml:space="preserve">. </w:t>
      </w:r>
    </w:p>
    <w:p w14:paraId="3A9E7C64" w14:textId="77777777" w:rsidR="000146C2" w:rsidRPr="00124E7F" w:rsidRDefault="00581D09" w:rsidP="0080497D">
      <w:pPr>
        <w:pStyle w:val="EYBodytextwithparaspace"/>
      </w:pPr>
      <w:r w:rsidRPr="00124E7F">
        <w:t>Indeed, a</w:t>
      </w:r>
      <w:r w:rsidR="00D92E9E" w:rsidRPr="00124E7F">
        <w:t>ccording to a consumer survey undertaken by</w:t>
      </w:r>
      <w:r w:rsidR="00305633" w:rsidRPr="00124E7F">
        <w:t xml:space="preserve"> TNS </w:t>
      </w:r>
      <w:r w:rsidR="00D92E9E" w:rsidRPr="00124E7F">
        <w:t xml:space="preserve">in 2015, </w:t>
      </w:r>
      <w:r w:rsidR="00100359" w:rsidRPr="00124E7F">
        <w:t xml:space="preserve">consumer </w:t>
      </w:r>
      <w:proofErr w:type="spellStart"/>
      <w:r w:rsidR="00100359" w:rsidRPr="00124E7F">
        <w:t>behaviour</w:t>
      </w:r>
      <w:proofErr w:type="spellEnd"/>
      <w:r w:rsidR="005E521E" w:rsidRPr="00124E7F">
        <w:t xml:space="preserve"> </w:t>
      </w:r>
      <w:r w:rsidR="00100359" w:rsidRPr="00124E7F">
        <w:t>around online copyright infringement is more likely to be influenced by practical factors rather than legal factors.</w:t>
      </w:r>
      <w:r w:rsidR="000146C2" w:rsidRPr="00124E7F">
        <w:t xml:space="preserve"> </w:t>
      </w:r>
      <w:r w:rsidR="00D558D8" w:rsidRPr="00124E7F">
        <w:t xml:space="preserve">For example, when asked what would encourage people to stop infringing, the cost of legal content was the most commonly cited factor (39%), closely followed by legal content being more readily available (38%) and being available as soon as </w:t>
      </w:r>
      <w:r w:rsidR="000146C2" w:rsidRPr="00124E7F">
        <w:t>it is released elsewhere (36%).</w:t>
      </w:r>
      <w:r w:rsidR="000146C2" w:rsidRPr="00124E7F">
        <w:rPr>
          <w:vertAlign w:val="superscript"/>
        </w:rPr>
        <w:footnoteReference w:id="73"/>
      </w:r>
      <w:r w:rsidR="000146C2" w:rsidRPr="00124E7F">
        <w:t xml:space="preserve"> </w:t>
      </w:r>
      <w:r w:rsidR="00D558D8" w:rsidRPr="00124E7F">
        <w:t xml:space="preserve">In comparison, </w:t>
      </w:r>
      <w:r w:rsidR="00E013AA" w:rsidRPr="00124E7F">
        <w:t>approximately 25 per cent</w:t>
      </w:r>
      <w:r w:rsidR="000146C2" w:rsidRPr="00124E7F">
        <w:t xml:space="preserve"> would be encouraged to stop infringing if it was clearer what </w:t>
      </w:r>
      <w:r w:rsidRPr="00124E7F">
        <w:t>is</w:t>
      </w:r>
      <w:r w:rsidR="000146C2" w:rsidRPr="00124E7F">
        <w:t xml:space="preserve"> legal and what isn’t, </w:t>
      </w:r>
      <w:r w:rsidR="00E013AA" w:rsidRPr="00124E7F">
        <w:t>23 per cent</w:t>
      </w:r>
      <w:r w:rsidR="000146C2" w:rsidRPr="00124E7F">
        <w:t xml:space="preserve"> would be impacted if they thought they might be sued; and 21</w:t>
      </w:r>
      <w:r w:rsidR="0074516E" w:rsidRPr="00124E7F">
        <w:t> </w:t>
      </w:r>
      <w:r w:rsidR="00E013AA" w:rsidRPr="00124E7F">
        <w:t>per cent</w:t>
      </w:r>
      <w:r w:rsidR="000146C2" w:rsidRPr="00124E7F">
        <w:t xml:space="preserve"> would be impacted by the threat of receiving a letter from their ISP.</w:t>
      </w:r>
      <w:r w:rsidR="000146C2" w:rsidRPr="00124E7F">
        <w:rPr>
          <w:vertAlign w:val="superscript"/>
        </w:rPr>
        <w:footnoteReference w:id="74"/>
      </w:r>
      <w:r w:rsidR="000146C2" w:rsidRPr="00124E7F">
        <w:rPr>
          <w:vertAlign w:val="superscript"/>
        </w:rPr>
        <w:t xml:space="preserve"> </w:t>
      </w:r>
    </w:p>
    <w:p w14:paraId="6D16D833" w14:textId="77777777" w:rsidR="008A4C3A" w:rsidRPr="00124E7F" w:rsidRDefault="005D0222" w:rsidP="0080497D">
      <w:pPr>
        <w:pStyle w:val="EYBodytextwithparaspace"/>
      </w:pPr>
      <w:r w:rsidRPr="00124E7F">
        <w:t xml:space="preserve">A number </w:t>
      </w:r>
      <w:r w:rsidR="00581D09" w:rsidRPr="00124E7F">
        <w:t>of stakeholders interviewed are</w:t>
      </w:r>
      <w:r w:rsidRPr="00124E7F">
        <w:t xml:space="preserve"> concerned that the introduction of a broad exception around private copying may lead to perverse </w:t>
      </w:r>
      <w:proofErr w:type="spellStart"/>
      <w:r w:rsidRPr="00124E7F">
        <w:t>behaviours</w:t>
      </w:r>
      <w:proofErr w:type="spellEnd"/>
      <w:r w:rsidRPr="00124E7F">
        <w:t xml:space="preserve"> with respect to </w:t>
      </w:r>
      <w:r w:rsidR="00305633" w:rsidRPr="00124E7F">
        <w:t>piracy</w:t>
      </w:r>
      <w:r w:rsidRPr="00124E7F">
        <w:t xml:space="preserve">. </w:t>
      </w:r>
      <w:r w:rsidR="00305633" w:rsidRPr="00124E7F">
        <w:t>They are concerned</w:t>
      </w:r>
      <w:r w:rsidRPr="00124E7F">
        <w:t xml:space="preserve"> that </w:t>
      </w:r>
      <w:r w:rsidR="008A4C3A" w:rsidRPr="00124E7F">
        <w:t>an</w:t>
      </w:r>
      <w:r w:rsidRPr="00124E7F">
        <w:t xml:space="preserve"> exception would be interpreted by consumers as open </w:t>
      </w:r>
      <w:r w:rsidR="005D236A" w:rsidRPr="00124E7F">
        <w:t>licens</w:t>
      </w:r>
      <w:r w:rsidR="007D4AFF" w:rsidRPr="00124E7F">
        <w:t>e</w:t>
      </w:r>
      <w:r w:rsidRPr="00124E7F">
        <w:t xml:space="preserve"> to access </w:t>
      </w:r>
      <w:r w:rsidR="00581D09" w:rsidRPr="00124E7F">
        <w:t>and/</w:t>
      </w:r>
      <w:r w:rsidRPr="00124E7F">
        <w:t>or distribute illegally sourced content. However, it is understood from the ALRC’s report that an exception would only apply when the source of access is legal. For this reason, the concerns are identified here as a potential risk</w:t>
      </w:r>
      <w:r w:rsidR="002A12FB" w:rsidRPr="00124E7F">
        <w:t>.</w:t>
      </w:r>
      <w:r w:rsidRPr="00124E7F">
        <w:t xml:space="preserve"> </w:t>
      </w:r>
    </w:p>
    <w:p w14:paraId="20710E7F" w14:textId="77777777" w:rsidR="005D0222" w:rsidRPr="00124E7F" w:rsidRDefault="00305633" w:rsidP="0080497D">
      <w:pPr>
        <w:pStyle w:val="EYBodytextwithparaspace"/>
      </w:pPr>
      <w:r w:rsidRPr="00124E7F">
        <w:t>In any case,</w:t>
      </w:r>
      <w:r w:rsidR="00E013AA" w:rsidRPr="00124E7F">
        <w:t xml:space="preserve"> a number of studies show that the main drivers of piracy are accessibility and affordability</w:t>
      </w:r>
      <w:r w:rsidRPr="00124E7F">
        <w:t xml:space="preserve"> (rather than copyright law)</w:t>
      </w:r>
      <w:r w:rsidR="00E013AA" w:rsidRPr="00124E7F">
        <w:t xml:space="preserve">. </w:t>
      </w:r>
      <w:r w:rsidRPr="00124E7F">
        <w:t>A consumer survey undertaken by choice in 2015</w:t>
      </w:r>
      <w:r w:rsidR="00C528AC" w:rsidRPr="00124E7F">
        <w:t>, for example,</w:t>
      </w:r>
      <w:r w:rsidRPr="00124E7F">
        <w:t xml:space="preserve"> showed that as consumer choice has been increasing, piracy rates have been falling.</w:t>
      </w:r>
      <w:r w:rsidRPr="00124E7F">
        <w:rPr>
          <w:vertAlign w:val="superscript"/>
        </w:rPr>
        <w:footnoteReference w:id="75"/>
      </w:r>
      <w:r w:rsidRPr="00124E7F">
        <w:rPr>
          <w:vertAlign w:val="superscript"/>
        </w:rPr>
        <w:t xml:space="preserve"> </w:t>
      </w:r>
      <w:r w:rsidRPr="00124E7F">
        <w:t>Moreover, the TNS survey showed that only 12 per cent of people who consumed online content illegally had already owned that content in another format, reinforcing the argument t</w:t>
      </w:r>
      <w:r w:rsidR="00581D09" w:rsidRPr="00124E7F">
        <w:t xml:space="preserve">hat people </w:t>
      </w:r>
      <w:r w:rsidR="00C528AC" w:rsidRPr="00124E7F">
        <w:t xml:space="preserve">are more likely to </w:t>
      </w:r>
      <w:r w:rsidR="00581D09" w:rsidRPr="00124E7F">
        <w:t>engage in piracy when</w:t>
      </w:r>
      <w:r w:rsidRPr="00124E7F">
        <w:t xml:space="preserve"> their demand for legal content </w:t>
      </w:r>
      <w:r w:rsidR="00E04114" w:rsidRPr="00124E7F">
        <w:t>goes</w:t>
      </w:r>
      <w:r w:rsidRPr="00124E7F">
        <w:t xml:space="preserve"> unsatisfied.</w:t>
      </w:r>
      <w:r w:rsidRPr="00124E7F">
        <w:rPr>
          <w:vertAlign w:val="superscript"/>
        </w:rPr>
        <w:footnoteReference w:id="76"/>
      </w:r>
      <w:r w:rsidRPr="00124E7F">
        <w:rPr>
          <w:vertAlign w:val="superscript"/>
        </w:rPr>
        <w:t xml:space="preserve"> </w:t>
      </w:r>
    </w:p>
    <w:p w14:paraId="2C45DC41" w14:textId="77777777" w:rsidR="00C528AC" w:rsidRPr="00124E7F" w:rsidRDefault="00581D09" w:rsidP="0080497D">
      <w:pPr>
        <w:pStyle w:val="EYBodytextwithparaspace"/>
      </w:pPr>
      <w:r w:rsidRPr="00124E7F">
        <w:t>Broader e</w:t>
      </w:r>
      <w:r w:rsidR="00B8242E" w:rsidRPr="00124E7F">
        <w:t xml:space="preserve">vidence on the cost of private copying exceptions to copyright owners is limited. Most of the literature </w:t>
      </w:r>
      <w:r w:rsidR="00565A14" w:rsidRPr="00124E7F">
        <w:t xml:space="preserve">is concerned with </w:t>
      </w:r>
      <w:proofErr w:type="spellStart"/>
      <w:r w:rsidR="00565A14" w:rsidRPr="00124E7F">
        <w:t>unauthorised</w:t>
      </w:r>
      <w:proofErr w:type="spellEnd"/>
      <w:r w:rsidR="00565A14" w:rsidRPr="00124E7F">
        <w:t xml:space="preserve"> </w:t>
      </w:r>
      <w:r w:rsidR="00B8242E" w:rsidRPr="00124E7F">
        <w:t xml:space="preserve">copying or </w:t>
      </w:r>
      <w:r w:rsidR="00F45301" w:rsidRPr="00124E7F">
        <w:t>file sharing</w:t>
      </w:r>
      <w:r w:rsidR="00B8242E" w:rsidRPr="00124E7F">
        <w:t xml:space="preserve">, which </w:t>
      </w:r>
      <w:r w:rsidR="00F45301" w:rsidRPr="00124E7F">
        <w:t>are not of concern to this analysis.</w:t>
      </w:r>
      <w:r w:rsidR="00565A14" w:rsidRPr="00124E7F">
        <w:t xml:space="preserve"> </w:t>
      </w:r>
      <w:r w:rsidR="00B8242E" w:rsidRPr="00124E7F">
        <w:t xml:space="preserve">However, it is important to </w:t>
      </w:r>
      <w:r w:rsidR="004770C4" w:rsidRPr="00124E7F">
        <w:t xml:space="preserve">note </w:t>
      </w:r>
      <w:r w:rsidR="00B8242E" w:rsidRPr="00124E7F">
        <w:t xml:space="preserve">that ‘private copying does not necessarily imply harm for </w:t>
      </w:r>
      <w:r w:rsidR="00F45301" w:rsidRPr="00124E7F">
        <w:t>right</w:t>
      </w:r>
      <w:r w:rsidR="006B2E08" w:rsidRPr="00124E7F">
        <w:t>s</w:t>
      </w:r>
      <w:r w:rsidR="00F45301" w:rsidRPr="00124E7F">
        <w:t xml:space="preserve"> holders</w:t>
      </w:r>
      <w:r w:rsidR="00B8242E" w:rsidRPr="00124E7F">
        <w:t>’.</w:t>
      </w:r>
      <w:r w:rsidR="00B8242E" w:rsidRPr="00124E7F">
        <w:rPr>
          <w:vertAlign w:val="superscript"/>
        </w:rPr>
        <w:footnoteReference w:id="77"/>
      </w:r>
      <w:r w:rsidR="00F45301" w:rsidRPr="00124E7F">
        <w:rPr>
          <w:vertAlign w:val="superscript"/>
        </w:rPr>
        <w:t xml:space="preserve"> </w:t>
      </w:r>
      <w:r w:rsidR="00C528AC" w:rsidRPr="00124E7F">
        <w:t xml:space="preserve"> An exception can only lead to economic harm for right</w:t>
      </w:r>
      <w:r w:rsidR="006B2E08" w:rsidRPr="00124E7F">
        <w:t>s</w:t>
      </w:r>
      <w:r w:rsidR="00C528AC" w:rsidRPr="00124E7F">
        <w:t xml:space="preserve"> holders, if prices do not reflect the values attached by consumers for the ability to make more copies. </w:t>
      </w:r>
      <w:r w:rsidR="00C528AC" w:rsidRPr="00124E7F">
        <w:rPr>
          <w:vertAlign w:val="superscript"/>
        </w:rPr>
        <w:footnoteReference w:id="78"/>
      </w:r>
    </w:p>
    <w:p w14:paraId="0F1F7359" w14:textId="77777777" w:rsidR="00255F9A" w:rsidRPr="00124E7F" w:rsidRDefault="00565A14" w:rsidP="0080497D">
      <w:pPr>
        <w:pStyle w:val="EYBodytextwithparaspace"/>
      </w:pPr>
      <w:r w:rsidRPr="00124E7F">
        <w:t>Rogers et al note that</w:t>
      </w:r>
      <w:r w:rsidR="007166E3" w:rsidRPr="00124E7F">
        <w:t xml:space="preserve"> when a consumer purchases</w:t>
      </w:r>
      <w:r w:rsidR="00255F9A" w:rsidRPr="00124E7F">
        <w:t xml:space="preserve"> a CD or any product,</w:t>
      </w:r>
      <w:r w:rsidR="007166E3" w:rsidRPr="00124E7F">
        <w:t xml:space="preserve"> it is assumed that they include in their valuation an estimate of the entire ben</w:t>
      </w:r>
      <w:r w:rsidRPr="00124E7F">
        <w:t xml:space="preserve">efits derived from that product – e.g. </w:t>
      </w:r>
      <w:r w:rsidR="00255F9A" w:rsidRPr="00124E7F">
        <w:t>listening to the CD now, next month or next year, listening to it with friends and family, and listening to it over multiple devi</w:t>
      </w:r>
      <w:r w:rsidR="00A17FAF" w:rsidRPr="00124E7F">
        <w:t>ces</w:t>
      </w:r>
      <w:r w:rsidR="00255F9A" w:rsidRPr="00124E7F">
        <w:t>.</w:t>
      </w:r>
      <w:r w:rsidRPr="00124E7F">
        <w:rPr>
          <w:vertAlign w:val="superscript"/>
        </w:rPr>
        <w:footnoteReference w:id="79"/>
      </w:r>
      <w:r w:rsidRPr="00124E7F">
        <w:rPr>
          <w:vertAlign w:val="superscript"/>
        </w:rPr>
        <w:t xml:space="preserve"> </w:t>
      </w:r>
      <w:r w:rsidR="00255F9A" w:rsidRPr="00124E7F">
        <w:t xml:space="preserve">Economists </w:t>
      </w:r>
      <w:proofErr w:type="spellStart"/>
      <w:r w:rsidR="00255F9A" w:rsidRPr="00124E7F">
        <w:t>summarise</w:t>
      </w:r>
      <w:proofErr w:type="spellEnd"/>
      <w:r w:rsidR="00255F9A" w:rsidRPr="00124E7F">
        <w:t xml:space="preserve"> the valuations for all consumers of a specific product into a demand curve, as shown in </w:t>
      </w:r>
      <w:r w:rsidR="00072344" w:rsidRPr="00124E7F">
        <w:fldChar w:fldCharType="begin"/>
      </w:r>
      <w:r w:rsidR="00072344" w:rsidRPr="00124E7F">
        <w:instrText xml:space="preserve"> REF _Ref445910432 \h  \* MERGEFORMAT </w:instrText>
      </w:r>
      <w:r w:rsidR="00072344" w:rsidRPr="00124E7F">
        <w:fldChar w:fldCharType="separate"/>
      </w:r>
      <w:r w:rsidR="0075700D" w:rsidRPr="00124E7F">
        <w:t xml:space="preserve">Figure </w:t>
      </w:r>
      <w:r w:rsidR="0075700D">
        <w:t>4</w:t>
      </w:r>
      <w:r w:rsidR="00072344" w:rsidRPr="00124E7F">
        <w:fldChar w:fldCharType="end"/>
      </w:r>
      <w:r w:rsidR="00255F9A" w:rsidRPr="00124E7F">
        <w:t>.</w:t>
      </w:r>
      <w:r w:rsidRPr="00124E7F">
        <w:t xml:space="preserve"> </w:t>
      </w:r>
      <w:r w:rsidR="00F035F3" w:rsidRPr="00124E7F">
        <w:t>A</w:t>
      </w:r>
      <w:r w:rsidR="00255F9A" w:rsidRPr="00124E7F">
        <w:t>t any point in time</w:t>
      </w:r>
      <w:r w:rsidR="00F035F3" w:rsidRPr="00124E7F">
        <w:t>,</w:t>
      </w:r>
      <w:r w:rsidR="00255F9A" w:rsidRPr="00124E7F">
        <w:t xml:space="preserve"> the value of copyright exceptions will be reflected in the demand curve.</w:t>
      </w:r>
      <w:r w:rsidR="00F035F3" w:rsidRPr="00124E7F">
        <w:t xml:space="preserve"> </w:t>
      </w:r>
      <w:r w:rsidR="00374A48" w:rsidRPr="00124E7F">
        <w:t>If copyright exceptions are increased, the demand curve will shift to the right</w:t>
      </w:r>
      <w:r w:rsidR="00357C74" w:rsidRPr="00124E7F">
        <w:t xml:space="preserve"> (D0 to D1)</w:t>
      </w:r>
      <w:r w:rsidRPr="00124E7F">
        <w:t>, causing an increase in revenues</w:t>
      </w:r>
      <w:r w:rsidR="00357C74" w:rsidRPr="00124E7F">
        <w:t>,</w:t>
      </w:r>
      <w:r w:rsidRPr="00124E7F">
        <w:t xml:space="preserve"> either through increased prices (P0 to P1) or sales (Q0 to Q1). In this way, the theory of</w:t>
      </w:r>
      <w:r w:rsidR="00F035F3" w:rsidRPr="00124E7F">
        <w:t xml:space="preserve"> indirect </w:t>
      </w:r>
      <w:proofErr w:type="spellStart"/>
      <w:r w:rsidR="00F035F3" w:rsidRPr="00124E7F">
        <w:t>appropriability</w:t>
      </w:r>
      <w:proofErr w:type="spellEnd"/>
      <w:r w:rsidR="00F035F3" w:rsidRPr="00124E7F">
        <w:t xml:space="preserve"> </w:t>
      </w:r>
      <w:r w:rsidRPr="00124E7F">
        <w:t xml:space="preserve">shows </w:t>
      </w:r>
      <w:r w:rsidR="00F035F3" w:rsidRPr="00124E7F">
        <w:t xml:space="preserve">that copyright owners </w:t>
      </w:r>
      <w:r w:rsidR="00581D09" w:rsidRPr="00124E7F">
        <w:t xml:space="preserve">automatically </w:t>
      </w:r>
      <w:r w:rsidR="00F035F3" w:rsidRPr="00124E7F">
        <w:t xml:space="preserve">extract value </w:t>
      </w:r>
      <w:r w:rsidRPr="00124E7F">
        <w:t>from</w:t>
      </w:r>
      <w:r w:rsidR="00F035F3" w:rsidRPr="00124E7F">
        <w:t xml:space="preserve"> changes in exceptions.</w:t>
      </w:r>
      <w:r w:rsidRPr="00124E7F">
        <w:rPr>
          <w:vertAlign w:val="superscript"/>
        </w:rPr>
        <w:footnoteReference w:id="80"/>
      </w:r>
      <w:r w:rsidR="00F035F3" w:rsidRPr="00124E7F">
        <w:rPr>
          <w:vertAlign w:val="superscript"/>
        </w:rPr>
        <w:t xml:space="preserve"> </w:t>
      </w:r>
    </w:p>
    <w:p w14:paraId="4498C69E" w14:textId="77777777" w:rsidR="00072344" w:rsidRPr="00124E7F" w:rsidRDefault="00072344" w:rsidP="00357C74">
      <w:pPr>
        <w:pStyle w:val="Caption"/>
        <w:keepNext/>
        <w:spacing w:after="120"/>
      </w:pPr>
      <w:bookmarkStart w:id="104" w:name="_Ref445910432"/>
      <w:r w:rsidRPr="00124E7F">
        <w:t xml:space="preserve">Figure </w:t>
      </w:r>
      <w:r w:rsidRPr="00124E7F">
        <w:fldChar w:fldCharType="begin"/>
      </w:r>
      <w:r w:rsidRPr="00124E7F">
        <w:instrText xml:space="preserve"> SEQ Figure \* ARABIC </w:instrText>
      </w:r>
      <w:r w:rsidRPr="00124E7F">
        <w:fldChar w:fldCharType="separate"/>
      </w:r>
      <w:r w:rsidR="0075700D">
        <w:rPr>
          <w:noProof/>
        </w:rPr>
        <w:t>4</w:t>
      </w:r>
      <w:r w:rsidRPr="00124E7F">
        <w:fldChar w:fldCharType="end"/>
      </w:r>
      <w:bookmarkEnd w:id="104"/>
      <w:r w:rsidR="009D2324" w:rsidRPr="00124E7F">
        <w:t>:</w:t>
      </w:r>
      <w:r w:rsidRPr="00124E7F">
        <w:t xml:space="preserve"> Demand curve</w:t>
      </w:r>
    </w:p>
    <w:p w14:paraId="34087876" w14:textId="77777777" w:rsidR="009A0C9F" w:rsidRPr="00124E7F" w:rsidRDefault="00072344" w:rsidP="00420378">
      <w:pPr>
        <w:pStyle w:val="EYBodytextwithparaspace"/>
      </w:pPr>
      <w:r w:rsidRPr="00124E7F">
        <w:rPr>
          <w:noProof/>
          <w:lang w:val="en-AU" w:eastAsia="zh-TW" w:bidi="hi-IN"/>
        </w:rPr>
        <w:drawing>
          <wp:inline distT="0" distB="0" distL="0" distR="0" wp14:anchorId="190D084E" wp14:editId="240451BC">
            <wp:extent cx="5685183" cy="3834881"/>
            <wp:effectExtent l="0" t="0" r="0" b="0"/>
            <wp:docPr id="302" name="Picture 302" descr="The figure provides a diagrammatic representation of the demand curve, which is described in the main text provided above. " title="Figure 4: Demand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23487" cy="3860719"/>
                    </a:xfrm>
                    <a:prstGeom prst="rect">
                      <a:avLst/>
                    </a:prstGeom>
                    <a:noFill/>
                  </pic:spPr>
                </pic:pic>
              </a:graphicData>
            </a:graphic>
          </wp:inline>
        </w:drawing>
      </w:r>
    </w:p>
    <w:p w14:paraId="44021145" w14:textId="77777777" w:rsidR="009A0C9F" w:rsidRPr="00124E7F" w:rsidRDefault="00270CC0" w:rsidP="0080497D">
      <w:pPr>
        <w:pStyle w:val="EYBodytextwithparaspace"/>
      </w:pPr>
      <w:r w:rsidRPr="00124E7F">
        <w:t>Ultimately, the question of whether the prices for original content reflect the value attached by consumers of additional copying is an empirical one. The UK Intellectual Property Office commissioned independent research based on a comparison of prices of copies of different media sold under different usage restrictions. The conclusion based on this research was that ‘pricing-in is possible, and is taking place’.</w:t>
      </w:r>
      <w:r w:rsidRPr="00124E7F">
        <w:rPr>
          <w:vertAlign w:val="superscript"/>
        </w:rPr>
        <w:footnoteReference w:id="81"/>
      </w:r>
      <w:r w:rsidR="00471C0D" w:rsidRPr="00124E7F">
        <w:rPr>
          <w:vertAlign w:val="superscript"/>
        </w:rPr>
        <w:t xml:space="preserve"> </w:t>
      </w:r>
    </w:p>
    <w:p w14:paraId="1E5D6C12" w14:textId="77777777" w:rsidR="00C5192E" w:rsidRPr="00124E7F" w:rsidRDefault="00270CC0" w:rsidP="0080497D">
      <w:pPr>
        <w:pStyle w:val="EYBodytextwithparaspace"/>
      </w:pPr>
      <w:r w:rsidRPr="00124E7F">
        <w:t xml:space="preserve">Closer to home, it is possible to draw on a </w:t>
      </w:r>
      <w:r w:rsidR="00C5192E" w:rsidRPr="00124E7F">
        <w:t>number</w:t>
      </w:r>
      <w:r w:rsidRPr="00124E7F">
        <w:t xml:space="preserve"> of examples, which suggest that pricing-in is also taking place in an Australian context.</w:t>
      </w:r>
      <w:r w:rsidR="00471C0D" w:rsidRPr="00124E7F">
        <w:t xml:space="preserve"> </w:t>
      </w:r>
      <w:r w:rsidRPr="00124E7F">
        <w:t xml:space="preserve">The first example </w:t>
      </w:r>
      <w:r w:rsidR="00471C0D" w:rsidRPr="00124E7F">
        <w:t>was the introduction by iTunes of</w:t>
      </w:r>
      <w:r w:rsidR="001603B0" w:rsidRPr="00124E7F">
        <w:t xml:space="preserve"> DRM-free music for download in Australia in 2007. Meaning ‘without digital rights management’, DRM-free music</w:t>
      </w:r>
      <w:r w:rsidR="00471C0D" w:rsidRPr="00124E7F">
        <w:t xml:space="preserve"> can be copied freely for non-commercial personal use on any number of devices. When DRM-free songs were introduced they were priced 20 per cent more than their DRM counterparts, which could be copied to a more limited extent.</w:t>
      </w:r>
      <w:r w:rsidR="00471C0D" w:rsidRPr="00124E7F">
        <w:rPr>
          <w:vertAlign w:val="superscript"/>
        </w:rPr>
        <w:footnoteReference w:id="82"/>
      </w:r>
      <w:r w:rsidR="00C5192E" w:rsidRPr="00124E7F">
        <w:t xml:space="preserve"> Hence, the price increase reflected the added value to consumers of removing restrictions on the number of copies they could make. </w:t>
      </w:r>
      <w:r w:rsidR="009A0C9F" w:rsidRPr="00124E7F">
        <w:t xml:space="preserve">Current differential pricing rates for e-books offered to libraries, as opposed to consumers, also illustrates the concept of pricing in. </w:t>
      </w:r>
    </w:p>
    <w:p w14:paraId="0107A684" w14:textId="77777777" w:rsidR="000D0665" w:rsidRPr="00124E7F" w:rsidRDefault="00654263" w:rsidP="0080497D">
      <w:pPr>
        <w:pStyle w:val="EYBodytextwithparaspace"/>
      </w:pPr>
      <w:r w:rsidRPr="00124E7F">
        <w:t xml:space="preserve">Taken together, the evidence presented </w:t>
      </w:r>
      <w:r w:rsidR="00440A32" w:rsidRPr="00124E7F">
        <w:t>above</w:t>
      </w:r>
      <w:r w:rsidRPr="00124E7F">
        <w:t xml:space="preserve"> suggests that the costs to right</w:t>
      </w:r>
      <w:r w:rsidR="006B2E08" w:rsidRPr="00124E7F">
        <w:t>s</w:t>
      </w:r>
      <w:r w:rsidRPr="00124E7F">
        <w:t xml:space="preserve"> holders through lost sales and </w:t>
      </w:r>
      <w:r w:rsidR="005D236A" w:rsidRPr="00124E7F">
        <w:t>licens</w:t>
      </w:r>
      <w:r w:rsidR="007D4AFF" w:rsidRPr="00124E7F">
        <w:t>ing</w:t>
      </w:r>
      <w:r w:rsidR="00440A32" w:rsidRPr="00124E7F">
        <w:t xml:space="preserve"> revenue</w:t>
      </w:r>
      <w:r w:rsidRPr="00124E7F">
        <w:t xml:space="preserve"> from </w:t>
      </w:r>
      <w:r w:rsidR="00440A32" w:rsidRPr="00124E7F">
        <w:t>the new fair dealing exception</w:t>
      </w:r>
      <w:r w:rsidRPr="00124E7F">
        <w:t xml:space="preserve"> would be outweighed by the benefits </w:t>
      </w:r>
      <w:r w:rsidR="002113BF" w:rsidRPr="00124E7F">
        <w:t xml:space="preserve">of such an exception for consumers. While it is not possible to quantify these impacts, we draw on one last </w:t>
      </w:r>
      <w:r w:rsidR="00C528AC" w:rsidRPr="00124E7F">
        <w:t xml:space="preserve">illustrative </w:t>
      </w:r>
      <w:r w:rsidR="002113BF" w:rsidRPr="00124E7F">
        <w:t>example from Rogers et al. to demonstrate the theory (</w:t>
      </w:r>
      <w:r w:rsidR="009D2324" w:rsidRPr="00124E7F">
        <w:t xml:space="preserve">see </w:t>
      </w:r>
      <w:r w:rsidR="00E54DD3" w:rsidRPr="00124E7F">
        <w:fldChar w:fldCharType="begin"/>
      </w:r>
      <w:r w:rsidR="00E54DD3" w:rsidRPr="00124E7F">
        <w:instrText xml:space="preserve"> REF _Ref467503855 \h </w:instrText>
      </w:r>
      <w:r w:rsidR="00E54DD3" w:rsidRPr="00124E7F">
        <w:fldChar w:fldCharType="separate"/>
      </w:r>
      <w:r w:rsidR="0075700D" w:rsidRPr="00124E7F">
        <w:t xml:space="preserve">Box </w:t>
      </w:r>
      <w:r w:rsidR="0075700D">
        <w:rPr>
          <w:noProof/>
        </w:rPr>
        <w:t>3</w:t>
      </w:r>
      <w:r w:rsidR="00E54DD3" w:rsidRPr="00124E7F">
        <w:fldChar w:fldCharType="end"/>
      </w:r>
      <w:r w:rsidR="00E54DD3" w:rsidRPr="00124E7F">
        <w:t xml:space="preserve"> </w:t>
      </w:r>
      <w:r w:rsidR="009D2324" w:rsidRPr="00124E7F">
        <w:t>below</w:t>
      </w:r>
      <w:r w:rsidR="002113BF" w:rsidRPr="00124E7F">
        <w:t xml:space="preserve">). </w:t>
      </w:r>
    </w:p>
    <w:p w14:paraId="1D8BBD5E" w14:textId="77777777" w:rsidR="009D2324" w:rsidRPr="00124E7F" w:rsidRDefault="009F5024" w:rsidP="009F5024">
      <w:pPr>
        <w:pStyle w:val="Caption"/>
        <w:pBdr>
          <w:top w:val="single" w:sz="4" w:space="1" w:color="808080" w:themeColor="background1" w:themeShade="80"/>
        </w:pBdr>
      </w:pPr>
      <w:bookmarkStart w:id="105" w:name="_Ref467503855"/>
      <w:r w:rsidRPr="00124E7F">
        <w:t xml:space="preserve">Box </w:t>
      </w:r>
      <w:r w:rsidRPr="00124E7F">
        <w:fldChar w:fldCharType="begin"/>
      </w:r>
      <w:r w:rsidRPr="00124E7F">
        <w:instrText xml:space="preserve"> SEQ Box \* ARABIC </w:instrText>
      </w:r>
      <w:r w:rsidRPr="00124E7F">
        <w:fldChar w:fldCharType="separate"/>
      </w:r>
      <w:r w:rsidR="0075700D">
        <w:rPr>
          <w:noProof/>
        </w:rPr>
        <w:t>3</w:t>
      </w:r>
      <w:r w:rsidRPr="00124E7F">
        <w:fldChar w:fldCharType="end"/>
      </w:r>
      <w:bookmarkEnd w:id="105"/>
      <w:r w:rsidR="00E54DD3" w:rsidRPr="00124E7F">
        <w:t xml:space="preserve">: </w:t>
      </w:r>
      <w:r w:rsidR="009D2324" w:rsidRPr="00124E7F">
        <w:t>Illustrative example of why benefits to consumers of private copying exceptions are larger</w:t>
      </w:r>
    </w:p>
    <w:p w14:paraId="14EC8775" w14:textId="77777777" w:rsidR="009D2324" w:rsidRPr="00124E7F" w:rsidRDefault="009D2324" w:rsidP="00DE543E">
      <w:pPr>
        <w:pStyle w:val="EYBodytextwithparaspace"/>
        <w:pBdr>
          <w:bottom w:val="single" w:sz="4" w:space="1" w:color="808080" w:themeColor="background1" w:themeShade="80"/>
        </w:pBdr>
      </w:pPr>
      <w:r w:rsidRPr="00124E7F">
        <w:t>Suppose there are 10,000 consumers of music who buy a recording per year. Let there be two formats and each recording costs £10 in either format. Currently, format shifting is prohibited hence a consumer has to buy two copies if they want to use both formats. This relatively high price of using both formats suggests relatively few consumers will buy an extra copy. Suppose only 100 consumers buy two copies of a recording. If a format-shifting exception is introduced, a first assessment of the economic damage is the loss of 100 sales (revenue loss = 100 x 10 = 1,000), although this needs further analysis. The gain to consumers is likely to be much more than this since many more will use format-shifting if there is a zero price. Let us assume 2,000 consumers now use format-shifting. The total benefit to consumers is the overall benefit to these consumers. This must be greater than the economic damage, since the original 100 consumers no longer pay and a further 1,900 customers now also benefit</w:t>
      </w:r>
      <w:r w:rsidR="00DE543E" w:rsidRPr="00124E7F">
        <w:t>.</w:t>
      </w:r>
    </w:p>
    <w:p w14:paraId="51155D58" w14:textId="77777777" w:rsidR="002A307B" w:rsidRPr="00124E7F" w:rsidRDefault="00AD3463" w:rsidP="0080497D">
      <w:pPr>
        <w:pStyle w:val="EYSource"/>
        <w:rPr>
          <w:sz w:val="20"/>
          <w:szCs w:val="20"/>
        </w:rPr>
      </w:pPr>
      <w:r w:rsidRPr="00124E7F">
        <w:rPr>
          <w:sz w:val="20"/>
          <w:szCs w:val="20"/>
        </w:rPr>
        <w:t xml:space="preserve">Source: Rogers M, J Tomlin, R Corrigan (2009), </w:t>
      </w:r>
      <w:proofErr w:type="gramStart"/>
      <w:r w:rsidRPr="00124E7F">
        <w:rPr>
          <w:sz w:val="20"/>
          <w:szCs w:val="20"/>
        </w:rPr>
        <w:t>The</w:t>
      </w:r>
      <w:proofErr w:type="gramEnd"/>
      <w:r w:rsidRPr="00124E7F">
        <w:rPr>
          <w:sz w:val="20"/>
          <w:szCs w:val="20"/>
        </w:rPr>
        <w:t xml:space="preserve"> economic impact of consumer copyright exceptions – A literature review, </w:t>
      </w:r>
      <w:r w:rsidR="00E04114" w:rsidRPr="00124E7F">
        <w:rPr>
          <w:sz w:val="20"/>
          <w:szCs w:val="20"/>
        </w:rPr>
        <w:t>p.19</w:t>
      </w:r>
    </w:p>
    <w:p w14:paraId="3BAAE641" w14:textId="77777777" w:rsidR="009D2324" w:rsidRPr="00124E7F" w:rsidRDefault="009D2324">
      <w:pPr>
        <w:widowControl/>
        <w:autoSpaceDE/>
        <w:autoSpaceDN/>
        <w:adjustRightInd/>
        <w:spacing w:line="240" w:lineRule="auto"/>
        <w:rPr>
          <w:b/>
          <w:sz w:val="28"/>
          <w:szCs w:val="24"/>
          <w:lang w:val="en-US"/>
        </w:rPr>
      </w:pPr>
      <w:bookmarkStart w:id="106" w:name="_Toc451769112"/>
      <w:r w:rsidRPr="00124E7F">
        <w:br w:type="page"/>
      </w:r>
    </w:p>
    <w:p w14:paraId="26500F5A" w14:textId="77777777" w:rsidR="00804598" w:rsidRPr="00124E7F" w:rsidRDefault="00804598" w:rsidP="00C933BA">
      <w:pPr>
        <w:pStyle w:val="EYHeading2"/>
        <w:tabs>
          <w:tab w:val="clear" w:pos="0"/>
        </w:tabs>
      </w:pPr>
      <w:bookmarkStart w:id="107" w:name="_Toc467768609"/>
      <w:bookmarkStart w:id="108" w:name="_Toc467768661"/>
      <w:bookmarkStart w:id="109" w:name="_Toc467768953"/>
      <w:bookmarkStart w:id="110" w:name="_Toc467769082"/>
      <w:bookmarkStart w:id="111" w:name="_Toc469644739"/>
      <w:r w:rsidRPr="00124E7F">
        <w:t>Incidental or technical use</w:t>
      </w:r>
      <w:bookmarkEnd w:id="106"/>
      <w:bookmarkEnd w:id="107"/>
      <w:bookmarkEnd w:id="108"/>
      <w:bookmarkEnd w:id="109"/>
      <w:bookmarkEnd w:id="110"/>
      <w:bookmarkEnd w:id="111"/>
    </w:p>
    <w:p w14:paraId="6869AAF6" w14:textId="77777777" w:rsidR="00804598" w:rsidRPr="00124E7F" w:rsidRDefault="00646B27" w:rsidP="0080497D">
      <w:pPr>
        <w:pStyle w:val="EYHeading3"/>
      </w:pPr>
      <w:bookmarkStart w:id="112" w:name="_Ref446509405"/>
      <w:r w:rsidRPr="00124E7F">
        <w:t>What is incidental and technical use</w:t>
      </w:r>
      <w:bookmarkEnd w:id="112"/>
    </w:p>
    <w:p w14:paraId="38D09335" w14:textId="77777777" w:rsidR="00324E6E" w:rsidRPr="00124E7F" w:rsidRDefault="008D17F5" w:rsidP="0080497D">
      <w:pPr>
        <w:pStyle w:val="EYBodytextwithparaspace"/>
      </w:pPr>
      <w:r w:rsidRPr="00124E7F">
        <w:t>I</w:t>
      </w:r>
      <w:r w:rsidR="00BF7787" w:rsidRPr="00124E7F">
        <w:t>ncidental and technical uses are taken to refer to activities undertaken by internet intermediaries ‘necessary for the effective and efficient functioning of the internet, networks and other technologies that facilitate lawful access to copyright material’</w:t>
      </w:r>
      <w:r w:rsidR="0097562E" w:rsidRPr="00124E7F">
        <w:t>.</w:t>
      </w:r>
      <w:r w:rsidR="00BF7787" w:rsidRPr="00124E7F">
        <w:rPr>
          <w:vertAlign w:val="superscript"/>
        </w:rPr>
        <w:footnoteReference w:id="83"/>
      </w:r>
      <w:r w:rsidR="00324E6E" w:rsidRPr="00124E7F">
        <w:t xml:space="preserve"> </w:t>
      </w:r>
      <w:r w:rsidR="004D0922" w:rsidRPr="00124E7F">
        <w:t xml:space="preserve">Examples of activities most commonly associated with incidental and technical uses include providing network access; search and indexing; caching; and hosting. </w:t>
      </w:r>
      <w:r w:rsidR="00324E6E" w:rsidRPr="00124E7F">
        <w:t>Examples of internet intermediaries include:</w:t>
      </w:r>
    </w:p>
    <w:p w14:paraId="34AC2B0D" w14:textId="77777777" w:rsidR="00324E6E" w:rsidRPr="00124E7F" w:rsidRDefault="00324E6E" w:rsidP="000651C5">
      <w:pPr>
        <w:pStyle w:val="EYBulletedText1"/>
        <w:spacing w:after="120"/>
      </w:pPr>
      <w:r w:rsidRPr="00124E7F">
        <w:t xml:space="preserve">Internet access providers – e.g. Telstra, Optus and </w:t>
      </w:r>
      <w:proofErr w:type="spellStart"/>
      <w:r w:rsidRPr="00124E7F">
        <w:t>iiNet</w:t>
      </w:r>
      <w:proofErr w:type="spellEnd"/>
    </w:p>
    <w:p w14:paraId="4BFC608C" w14:textId="77777777" w:rsidR="00324E6E" w:rsidRPr="00124E7F" w:rsidRDefault="00324E6E" w:rsidP="000651C5">
      <w:pPr>
        <w:pStyle w:val="EYBulletedText1"/>
        <w:spacing w:after="120"/>
      </w:pPr>
      <w:r w:rsidRPr="00124E7F">
        <w:t>Internet hosts – e.g. Google Docs and Gmail</w:t>
      </w:r>
    </w:p>
    <w:p w14:paraId="2C10B7FF" w14:textId="77777777" w:rsidR="00324E6E" w:rsidRPr="00124E7F" w:rsidRDefault="00324E6E" w:rsidP="000651C5">
      <w:pPr>
        <w:pStyle w:val="EYBulletedText1"/>
        <w:spacing w:after="120"/>
      </w:pPr>
      <w:r w:rsidRPr="00124E7F">
        <w:t>Search engines and portals e.g. – Google, Ask and Yahoo!</w:t>
      </w:r>
    </w:p>
    <w:p w14:paraId="186F8303" w14:textId="77777777" w:rsidR="00324E6E" w:rsidRPr="00124E7F" w:rsidRDefault="00324E6E" w:rsidP="000651C5">
      <w:pPr>
        <w:pStyle w:val="EYBulletedText1"/>
        <w:spacing w:after="120"/>
      </w:pPr>
      <w:r w:rsidRPr="00124E7F">
        <w:t>E-commerce intermediaries – e.g. eBay, Amazon and App Stores like iTunes</w:t>
      </w:r>
    </w:p>
    <w:p w14:paraId="0901C79C" w14:textId="77777777" w:rsidR="00324E6E" w:rsidRPr="00124E7F" w:rsidRDefault="00324E6E" w:rsidP="000651C5">
      <w:pPr>
        <w:pStyle w:val="EYBulletedText1"/>
        <w:spacing w:after="120"/>
      </w:pPr>
      <w:r w:rsidRPr="00124E7F">
        <w:t>Internet payment systems – e.g. Visa and PayPal</w:t>
      </w:r>
    </w:p>
    <w:p w14:paraId="24536405" w14:textId="77777777" w:rsidR="00324E6E" w:rsidRPr="00124E7F" w:rsidRDefault="00324E6E" w:rsidP="00634BB4">
      <w:pPr>
        <w:pStyle w:val="EYBulletedText1"/>
      </w:pPr>
      <w:r w:rsidRPr="00124E7F">
        <w:t xml:space="preserve">Participative networked platforms – e.g. YouTube, Facebook, </w:t>
      </w:r>
      <w:proofErr w:type="gramStart"/>
      <w:r w:rsidRPr="00124E7F">
        <w:t>LinkedIn</w:t>
      </w:r>
      <w:proofErr w:type="gramEnd"/>
      <w:r w:rsidRPr="00124E7F">
        <w:t>.</w:t>
      </w:r>
      <w:r w:rsidRPr="00124E7F">
        <w:rPr>
          <w:vertAlign w:val="superscript"/>
        </w:rPr>
        <w:footnoteReference w:id="84"/>
      </w:r>
    </w:p>
    <w:p w14:paraId="2E30DE12" w14:textId="77777777" w:rsidR="00A07F76" w:rsidRPr="00124E7F" w:rsidRDefault="00A07F76" w:rsidP="0080497D">
      <w:pPr>
        <w:pStyle w:val="EYHeading3"/>
      </w:pPr>
      <w:r w:rsidRPr="00124E7F">
        <w:t>Current law</w:t>
      </w:r>
    </w:p>
    <w:p w14:paraId="23C4329B" w14:textId="77777777" w:rsidR="006F6844" w:rsidRPr="00124E7F" w:rsidRDefault="006F6844" w:rsidP="0080497D">
      <w:pPr>
        <w:pStyle w:val="EYBodytextwithparaspace"/>
      </w:pPr>
      <w:r w:rsidRPr="00124E7F">
        <w:t xml:space="preserve">Currently, Australia has two kinds of exceptions written with the goal of protecting the activities </w:t>
      </w:r>
      <w:r w:rsidR="006035F5" w:rsidRPr="00124E7F">
        <w:t xml:space="preserve">of internet intermediaries </w:t>
      </w:r>
      <w:r w:rsidR="00F85E2C" w:rsidRPr="00124E7F">
        <w:t>referred to</w:t>
      </w:r>
      <w:r w:rsidR="006035F5" w:rsidRPr="00124E7F">
        <w:t xml:space="preserve"> above. These are:</w:t>
      </w:r>
    </w:p>
    <w:p w14:paraId="38D62486" w14:textId="77777777" w:rsidR="006F6844" w:rsidRPr="00124E7F" w:rsidRDefault="006F6844" w:rsidP="00634BB4">
      <w:pPr>
        <w:pStyle w:val="EYBulletedText1"/>
      </w:pPr>
      <w:r w:rsidRPr="00124E7F">
        <w:t xml:space="preserve">Specific exceptions that apply to temporary reproductions in the digital environment. These are: </w:t>
      </w:r>
    </w:p>
    <w:p w14:paraId="0A43F5B6" w14:textId="77777777" w:rsidR="006F6844" w:rsidRPr="00124E7F" w:rsidRDefault="006F6844" w:rsidP="009B36A0">
      <w:pPr>
        <w:pStyle w:val="EYBulletedText2"/>
      </w:pPr>
      <w:proofErr w:type="spellStart"/>
      <w:r w:rsidRPr="00124E7F">
        <w:t>ss</w:t>
      </w:r>
      <w:proofErr w:type="spellEnd"/>
      <w:r w:rsidRPr="00124E7F">
        <w:t xml:space="preserve"> 43A and 111A—allowing for the temporary reproduction of a work and an adaptation of a work or an audiovisual item as part of the ‘technical process of making or receiving a communication’</w:t>
      </w:r>
    </w:p>
    <w:p w14:paraId="6C35F01A" w14:textId="77777777" w:rsidR="006F6844" w:rsidRPr="00124E7F" w:rsidRDefault="006F6844" w:rsidP="009B36A0">
      <w:pPr>
        <w:pStyle w:val="EYBulletedText2"/>
      </w:pPr>
      <w:proofErr w:type="spellStart"/>
      <w:r w:rsidRPr="00124E7F">
        <w:t>ss</w:t>
      </w:r>
      <w:proofErr w:type="spellEnd"/>
      <w:r w:rsidRPr="00124E7F">
        <w:t xml:space="preserve"> 43B and 111B—providing that copyright is not infringed by a temporary reproduction ‘incidentally made as a necessary part of a technical process’ of using a copy of the work or subject matter</w:t>
      </w:r>
    </w:p>
    <w:p w14:paraId="6C48FCFE" w14:textId="77777777" w:rsidR="006F6844" w:rsidRPr="00124E7F" w:rsidRDefault="006F6844" w:rsidP="009B36A0">
      <w:pPr>
        <w:pStyle w:val="EYBulletedText2"/>
      </w:pPr>
      <w:r w:rsidRPr="00124E7F">
        <w:t>s 116AB—allowing for the reproduction of copyright material on a system or network controlled or operated by, or for, a ‘carriage service provider’ in response to an action by a user to facilitate efficient access to that material by that user or other users</w:t>
      </w:r>
    </w:p>
    <w:p w14:paraId="471E9DAD" w14:textId="77777777" w:rsidR="006F6844" w:rsidRPr="00124E7F" w:rsidRDefault="006F6844" w:rsidP="009B36A0">
      <w:pPr>
        <w:pStyle w:val="EYBulletedText2"/>
      </w:pPr>
      <w:r w:rsidRPr="00124E7F">
        <w:t>s 200AAA—allowing automated caching by computers operated by or on behalf of an educational institution</w:t>
      </w:r>
    </w:p>
    <w:p w14:paraId="7C93C3FF" w14:textId="77777777" w:rsidR="006F6844" w:rsidRPr="00124E7F" w:rsidRDefault="006F6844" w:rsidP="009B36A0">
      <w:pPr>
        <w:pStyle w:val="EYBulletedText2"/>
      </w:pPr>
      <w:proofErr w:type="spellStart"/>
      <w:proofErr w:type="gramStart"/>
      <w:r w:rsidRPr="00124E7F">
        <w:t>ss</w:t>
      </w:r>
      <w:proofErr w:type="spellEnd"/>
      <w:proofErr w:type="gramEnd"/>
      <w:r w:rsidRPr="00124E7F">
        <w:t xml:space="preserve"> 47, 70 and 107</w:t>
      </w:r>
      <w:r w:rsidR="00DF1FC8" w:rsidRPr="00124E7F">
        <w:t xml:space="preserve"> –</w:t>
      </w:r>
      <w:r w:rsidRPr="00124E7F">
        <w:t xml:space="preserve"> allowing copying to make broadcasts technically easier and to enable the making of repeat or subsequent broadcasts.</w:t>
      </w:r>
      <w:r w:rsidRPr="00124E7F">
        <w:rPr>
          <w:vertAlign w:val="superscript"/>
        </w:rPr>
        <w:footnoteReference w:id="85"/>
      </w:r>
    </w:p>
    <w:p w14:paraId="4BD2F8C9" w14:textId="77777777" w:rsidR="006F6844" w:rsidRPr="00124E7F" w:rsidRDefault="00A65EA3" w:rsidP="00634BB4">
      <w:pPr>
        <w:pStyle w:val="EYBulletedText1"/>
      </w:pPr>
      <w:r w:rsidRPr="00124E7F">
        <w:t xml:space="preserve">Currently, the </w:t>
      </w:r>
      <w:r w:rsidR="006F6844" w:rsidRPr="00124E7F">
        <w:t xml:space="preserve">Safe </w:t>
      </w:r>
      <w:proofErr w:type="spellStart"/>
      <w:r w:rsidR="006F6844" w:rsidRPr="00124E7F">
        <w:t>Harbours</w:t>
      </w:r>
      <w:proofErr w:type="spellEnd"/>
      <w:r w:rsidRPr="00124E7F">
        <w:t xml:space="preserve"> provisions</w:t>
      </w:r>
      <w:r w:rsidR="006F6844" w:rsidRPr="00124E7F">
        <w:t xml:space="preserve"> limit the remedies available against ‘carriage service providers’ for copyright infringement that takes place on their systems, which they do not control, initiate or direct.</w:t>
      </w:r>
      <w:r w:rsidR="006F6844" w:rsidRPr="00124E7F">
        <w:rPr>
          <w:vertAlign w:val="superscript"/>
        </w:rPr>
        <w:footnoteReference w:id="86"/>
      </w:r>
      <w:r w:rsidR="006F6844" w:rsidRPr="00124E7F">
        <w:t xml:space="preserve"> </w:t>
      </w:r>
      <w:r w:rsidR="00A07F76" w:rsidRPr="00124E7F">
        <w:t>A</w:t>
      </w:r>
      <w:r w:rsidR="006F6844" w:rsidRPr="00124E7F">
        <w:t xml:space="preserve"> Draft Bill </w:t>
      </w:r>
      <w:r w:rsidR="00A07F76" w:rsidRPr="00124E7F">
        <w:t xml:space="preserve">issued </w:t>
      </w:r>
      <w:r w:rsidR="00B00056" w:rsidRPr="00124E7F">
        <w:t xml:space="preserve">as </w:t>
      </w:r>
      <w:r w:rsidR="00A07F76" w:rsidRPr="00124E7F">
        <w:t>an exposure draft in December 2015</w:t>
      </w:r>
      <w:r w:rsidR="006F6844" w:rsidRPr="00124E7F">
        <w:t xml:space="preserve"> would extend current </w:t>
      </w:r>
      <w:r w:rsidR="00B00056" w:rsidRPr="00124E7F">
        <w:t xml:space="preserve">safe </w:t>
      </w:r>
      <w:proofErr w:type="spellStart"/>
      <w:r w:rsidR="00B00056" w:rsidRPr="00124E7F">
        <w:t>harbour</w:t>
      </w:r>
      <w:proofErr w:type="spellEnd"/>
      <w:r w:rsidR="00B00056" w:rsidRPr="00124E7F">
        <w:t xml:space="preserve"> </w:t>
      </w:r>
      <w:r w:rsidR="007339A9" w:rsidRPr="00124E7F">
        <w:t xml:space="preserve">provisions to include </w:t>
      </w:r>
      <w:r w:rsidR="006F6844" w:rsidRPr="00124E7F">
        <w:t>search engi</w:t>
      </w:r>
      <w:r w:rsidR="007339A9" w:rsidRPr="00124E7F">
        <w:t>nes, universities and libraries</w:t>
      </w:r>
      <w:r w:rsidR="006F6844" w:rsidRPr="00124E7F">
        <w:t>.</w:t>
      </w:r>
      <w:r w:rsidR="006F6844" w:rsidRPr="00124E7F">
        <w:rPr>
          <w:vertAlign w:val="superscript"/>
        </w:rPr>
        <w:footnoteReference w:id="87"/>
      </w:r>
    </w:p>
    <w:p w14:paraId="779F0744" w14:textId="77777777" w:rsidR="00646B27" w:rsidRPr="00124E7F" w:rsidRDefault="00646B27" w:rsidP="0080497D">
      <w:pPr>
        <w:pStyle w:val="EYHeading3"/>
      </w:pPr>
      <w:bookmarkStart w:id="113" w:name="_Ref446332209"/>
      <w:r w:rsidRPr="00124E7F">
        <w:t>The problem</w:t>
      </w:r>
      <w:bookmarkEnd w:id="113"/>
    </w:p>
    <w:p w14:paraId="2AE6AA26" w14:textId="77777777" w:rsidR="00657ED3" w:rsidRPr="00124E7F" w:rsidRDefault="00657ED3" w:rsidP="0080497D">
      <w:pPr>
        <w:pStyle w:val="EYBodytextwithparaspace"/>
      </w:pPr>
      <w:r w:rsidRPr="00124E7F">
        <w:t xml:space="preserve">Some of the most common internet activities – including providing network access, searching, caching and hosting – involve copying copyright content. </w:t>
      </w:r>
      <w:r w:rsidR="00F85E2C" w:rsidRPr="00124E7F">
        <w:t>For example:</w:t>
      </w:r>
    </w:p>
    <w:p w14:paraId="6E1A43C0" w14:textId="77777777" w:rsidR="00137F5B" w:rsidRPr="00124E7F" w:rsidRDefault="00137F5B" w:rsidP="0080497D">
      <w:pPr>
        <w:pStyle w:val="EYIndent1"/>
        <w:rPr>
          <w:i/>
        </w:rPr>
      </w:pPr>
      <w:r w:rsidRPr="00124E7F">
        <w:rPr>
          <w:i/>
        </w:rPr>
        <w:t>Google’s search engine works by using automated ‘web crawlers’ that find and make copies of websites on the internet. These copies are then indexed and stored on its cache. When a user enters a search query, Google uses the cached version to judge if the page is a good match for the query, and displays a link to the cached site.</w:t>
      </w:r>
      <w:r w:rsidRPr="00124E7F">
        <w:rPr>
          <w:i/>
          <w:vertAlign w:val="superscript"/>
        </w:rPr>
        <w:footnoteReference w:id="88"/>
      </w:r>
    </w:p>
    <w:p w14:paraId="00A615B0" w14:textId="77777777" w:rsidR="003E17A5" w:rsidRPr="00124E7F" w:rsidRDefault="003E17A5" w:rsidP="0080497D">
      <w:pPr>
        <w:pStyle w:val="EYBodytextwithparaspace"/>
      </w:pPr>
      <w:r w:rsidRPr="00124E7F">
        <w:t xml:space="preserve">While such incidental copying of copyright material is vital to the functioning of the internet, the way reproduction rights are currently defined by the </w:t>
      </w:r>
      <w:r w:rsidR="0041176D" w:rsidRPr="00124E7F">
        <w:t>Copyright Act</w:t>
      </w:r>
      <w:r w:rsidRPr="00124E7F">
        <w:t xml:space="preserve"> means that such copies potential</w:t>
      </w:r>
      <w:r w:rsidR="00B00056" w:rsidRPr="00124E7F">
        <w:t>ly</w:t>
      </w:r>
      <w:r w:rsidR="0041176D" w:rsidRPr="00124E7F">
        <w:t xml:space="preserve"> constitute copyright infringement. For example:</w:t>
      </w:r>
    </w:p>
    <w:p w14:paraId="7E9ABB01" w14:textId="77777777" w:rsidR="003E17A5" w:rsidRPr="00124E7F" w:rsidRDefault="003E17A5" w:rsidP="0080497D">
      <w:pPr>
        <w:pStyle w:val="EYIndent1"/>
        <w:rPr>
          <w:i/>
        </w:rPr>
      </w:pPr>
      <w:proofErr w:type="spellStart"/>
      <w:proofErr w:type="gramStart"/>
      <w:r w:rsidRPr="00124E7F">
        <w:rPr>
          <w:i/>
        </w:rPr>
        <w:t>ss</w:t>
      </w:r>
      <w:proofErr w:type="spellEnd"/>
      <w:proofErr w:type="gramEnd"/>
      <w:r w:rsidRPr="00124E7F">
        <w:rPr>
          <w:i/>
        </w:rPr>
        <w:t xml:space="preserve"> 43A and 111A only permit a ‘temporary’ reproduction, but copyright material may need to be stored in a cache for long periods of time. Similarly, it was submitted that the exceptions allow only a single reproduction, whereas the digital environment demands and that multiple reproductions are necessary.</w:t>
      </w:r>
      <w:r w:rsidRPr="00124E7F">
        <w:rPr>
          <w:i/>
          <w:vertAlign w:val="superscript"/>
        </w:rPr>
        <w:footnoteReference w:id="89"/>
      </w:r>
    </w:p>
    <w:p w14:paraId="11050CCE" w14:textId="77777777" w:rsidR="009B2361" w:rsidRPr="00124E7F" w:rsidRDefault="0041176D" w:rsidP="0080497D">
      <w:pPr>
        <w:pStyle w:val="EYBodytextwithparaspace"/>
      </w:pPr>
      <w:r w:rsidRPr="00124E7F">
        <w:t xml:space="preserve">A traffic light comparison of </w:t>
      </w:r>
      <w:r w:rsidR="003F2F6F" w:rsidRPr="00124E7F">
        <w:t>the risk of copyright infringement on common online activities in Australia relative to other countries (e.g. the EU and UK),</w:t>
      </w:r>
      <w:r w:rsidR="003E17A5" w:rsidRPr="00124E7F">
        <w:t xml:space="preserve"> </w:t>
      </w:r>
      <w:r w:rsidRPr="00124E7F">
        <w:t>shows</w:t>
      </w:r>
      <w:r w:rsidR="00DF1FC8" w:rsidRPr="00124E7F">
        <w:t xml:space="preserve"> that carriage service providers and education institutions have the most legal clarity as</w:t>
      </w:r>
      <w:r w:rsidR="00B00056" w:rsidRPr="00124E7F">
        <w:t xml:space="preserve"> to</w:t>
      </w:r>
      <w:r w:rsidR="00DF1FC8" w:rsidRPr="00124E7F">
        <w:t xml:space="preserve"> what activities they can undertake.</w:t>
      </w:r>
      <w:r w:rsidR="009B2361" w:rsidRPr="00124E7F">
        <w:rPr>
          <w:vertAlign w:val="superscript"/>
        </w:rPr>
        <w:footnoteReference w:id="90"/>
      </w:r>
      <w:r w:rsidR="00DF1FC8" w:rsidRPr="00124E7F">
        <w:t xml:space="preserve"> Everyone else faces moderate to significant risk of copyright infringement depending on the type of activity undertaken. They accordingly require permission from copyright owners. </w:t>
      </w:r>
      <w:proofErr w:type="spellStart"/>
      <w:r w:rsidR="00DF1FC8" w:rsidRPr="00124E7F">
        <w:t>Weatherall</w:t>
      </w:r>
      <w:proofErr w:type="spellEnd"/>
      <w:r w:rsidR="00DF1FC8" w:rsidRPr="00124E7F">
        <w:t xml:space="preserve"> argues that </w:t>
      </w:r>
      <w:r w:rsidR="003E17A5" w:rsidRPr="00124E7F">
        <w:t xml:space="preserve">the </w:t>
      </w:r>
      <w:r w:rsidR="00DF1FC8" w:rsidRPr="00124E7F">
        <w:t xml:space="preserve">Copyright Act </w:t>
      </w:r>
      <w:r w:rsidR="009B2361" w:rsidRPr="00124E7F">
        <w:t>makes Australia ‘a less conducive investment environment for internet intermediaries than competitor countries’.</w:t>
      </w:r>
      <w:r w:rsidR="009B2361" w:rsidRPr="00124E7F">
        <w:rPr>
          <w:vertAlign w:val="superscript"/>
        </w:rPr>
        <w:footnoteReference w:id="91"/>
      </w:r>
      <w:r w:rsidR="009B2361" w:rsidRPr="00124E7F">
        <w:t xml:space="preserve"> For example</w:t>
      </w:r>
      <w:r w:rsidR="003F2F6F" w:rsidRPr="00124E7F">
        <w:t>, it was submitted that</w:t>
      </w:r>
      <w:r w:rsidR="009B2361" w:rsidRPr="00124E7F">
        <w:t>:</w:t>
      </w:r>
    </w:p>
    <w:p w14:paraId="09C8E805" w14:textId="77777777" w:rsidR="009B2361" w:rsidRPr="00124E7F" w:rsidRDefault="009B2361" w:rsidP="0080497D">
      <w:pPr>
        <w:pStyle w:val="EYIndent1"/>
        <w:rPr>
          <w:i/>
        </w:rPr>
      </w:pPr>
      <w:r w:rsidRPr="00124E7F">
        <w:rPr>
          <w:i/>
        </w:rPr>
        <w:t>While copyright holders suggested that nothing in the Copyright Act has impeded search engines from providing services to Australians, it remains the case that the ‘servers that these services run on are all located overseas, and mostly in the US, because they simply can’t operate in Australia’</w:t>
      </w:r>
      <w:r w:rsidRPr="00124E7F">
        <w:rPr>
          <w:i/>
          <w:vertAlign w:val="superscript"/>
        </w:rPr>
        <w:footnoteReference w:id="92"/>
      </w:r>
      <w:r w:rsidRPr="00124E7F">
        <w:rPr>
          <w:i/>
        </w:rPr>
        <w:t>.</w:t>
      </w:r>
    </w:p>
    <w:p w14:paraId="7B79CF98" w14:textId="77777777" w:rsidR="00AB0084" w:rsidRPr="00124E7F" w:rsidRDefault="00AB0084" w:rsidP="0080497D">
      <w:pPr>
        <w:pStyle w:val="EYHeading3"/>
      </w:pPr>
      <w:r w:rsidRPr="00124E7F">
        <w:t>The proposed policy options</w:t>
      </w:r>
    </w:p>
    <w:p w14:paraId="0B1DFAE0" w14:textId="77777777" w:rsidR="00AB0084" w:rsidRPr="00124E7F" w:rsidRDefault="00013231" w:rsidP="00C46978">
      <w:pPr>
        <w:pStyle w:val="EYNumber"/>
        <w:numPr>
          <w:ilvl w:val="0"/>
          <w:numId w:val="16"/>
        </w:numPr>
        <w:spacing w:line="276" w:lineRule="auto"/>
      </w:pPr>
      <w:r w:rsidRPr="00124E7F">
        <w:rPr>
          <w:b/>
        </w:rPr>
        <w:t>Status quo</w:t>
      </w:r>
      <w:r w:rsidR="00AB0084" w:rsidRPr="00124E7F">
        <w:rPr>
          <w:b/>
        </w:rPr>
        <w:t xml:space="preserve"> – Do nothing. </w:t>
      </w:r>
      <w:r w:rsidR="00AB0084" w:rsidRPr="00124E7F">
        <w:t xml:space="preserve">The incidental and technical use of copyright content by internet intermediaries is permissible in the context of the limited exceptions on temporary reproductions and the safe harbour scheme. </w:t>
      </w:r>
    </w:p>
    <w:p w14:paraId="182E1235" w14:textId="77777777" w:rsidR="00013231" w:rsidRPr="00124E7F" w:rsidRDefault="00013231" w:rsidP="00F72E3A">
      <w:pPr>
        <w:pStyle w:val="EYNumber"/>
        <w:spacing w:line="276" w:lineRule="auto"/>
      </w:pPr>
      <w:r w:rsidRPr="00124E7F">
        <w:rPr>
          <w:b/>
        </w:rPr>
        <w:t>New fair dealing</w:t>
      </w:r>
      <w:r w:rsidR="0044646E" w:rsidRPr="00124E7F">
        <w:rPr>
          <w:b/>
        </w:rPr>
        <w:t xml:space="preserve"> -</w:t>
      </w:r>
      <w:r w:rsidR="0044646E" w:rsidRPr="00124E7F">
        <w:t xml:space="preserve"> </w:t>
      </w:r>
      <w:r w:rsidR="0044646E" w:rsidRPr="00124E7F">
        <w:rPr>
          <w:b/>
        </w:rPr>
        <w:t>Introduction of an exception permitting the incidental and technical use</w:t>
      </w:r>
      <w:r w:rsidR="0044646E" w:rsidRPr="00124E7F">
        <w:t xml:space="preserve"> (e.g. providing network access, caching, search/indexing and hosting) of copyright material where it is</w:t>
      </w:r>
      <w:r w:rsidR="003F2F6F" w:rsidRPr="00124E7F">
        <w:t xml:space="preserve"> fair</w:t>
      </w:r>
      <w:r w:rsidRPr="00124E7F">
        <w:t>, as determined by the following four factors:</w:t>
      </w:r>
    </w:p>
    <w:p w14:paraId="3A7D42E3" w14:textId="77777777" w:rsidR="00013231" w:rsidRPr="00124E7F" w:rsidRDefault="00013231" w:rsidP="00F72E3A">
      <w:pPr>
        <w:pStyle w:val="EYLetter"/>
        <w:spacing w:line="276" w:lineRule="auto"/>
      </w:pPr>
      <w:r w:rsidRPr="00124E7F">
        <w:t xml:space="preserve">Purpose and character of use </w:t>
      </w:r>
    </w:p>
    <w:p w14:paraId="727BCAD0" w14:textId="77777777" w:rsidR="00013231" w:rsidRPr="00124E7F" w:rsidRDefault="00013231" w:rsidP="00F72E3A">
      <w:pPr>
        <w:pStyle w:val="EYLetter"/>
        <w:spacing w:line="276" w:lineRule="auto"/>
      </w:pPr>
      <w:r w:rsidRPr="00124E7F">
        <w:t>Nature of the copyright material</w:t>
      </w:r>
    </w:p>
    <w:p w14:paraId="1220914A" w14:textId="77777777" w:rsidR="00013231" w:rsidRPr="00124E7F" w:rsidRDefault="00013231" w:rsidP="00F72E3A">
      <w:pPr>
        <w:pStyle w:val="EYLetter"/>
        <w:spacing w:line="276" w:lineRule="auto"/>
      </w:pPr>
      <w:r w:rsidRPr="00124E7F">
        <w:t>Amount and substantiality of part used</w:t>
      </w:r>
    </w:p>
    <w:p w14:paraId="067283F3" w14:textId="77777777" w:rsidR="00BD7724" w:rsidRPr="00124E7F" w:rsidRDefault="00013231" w:rsidP="00F72E3A">
      <w:pPr>
        <w:pStyle w:val="EYLetter"/>
        <w:spacing w:line="276" w:lineRule="auto"/>
      </w:pPr>
      <w:r w:rsidRPr="00124E7F">
        <w:t>The effect of the use on the market</w:t>
      </w:r>
    </w:p>
    <w:p w14:paraId="723CC05D" w14:textId="77777777" w:rsidR="00BD7724" w:rsidRPr="00124E7F" w:rsidRDefault="00BD7724" w:rsidP="0074516E">
      <w:pPr>
        <w:pStyle w:val="EYBodytextwithparaspace"/>
      </w:pPr>
      <w:r w:rsidRPr="00124E7F">
        <w:t>Incidental and technical uses are many and varied. For the purposes of this impact assessment we focus on incidental and technical use for the purposes of searching</w:t>
      </w:r>
      <w:r w:rsidR="004F47F8" w:rsidRPr="00124E7F">
        <w:t>, indexing</w:t>
      </w:r>
      <w:r w:rsidRPr="00124E7F">
        <w:t xml:space="preserve"> and caching. The ALRC considers that:</w:t>
      </w:r>
    </w:p>
    <w:p w14:paraId="1FACADBE" w14:textId="77777777" w:rsidR="00BD7724" w:rsidRPr="00124E7F" w:rsidRDefault="00BD7724" w:rsidP="0074516E">
      <w:pPr>
        <w:pStyle w:val="EYIndent1"/>
        <w:rPr>
          <w:i/>
        </w:rPr>
      </w:pPr>
      <w:r w:rsidRPr="00124E7F">
        <w:rPr>
          <w:i/>
        </w:rPr>
        <w:t xml:space="preserve">Caching and indexing are transformative and that this would weigh heavily in </w:t>
      </w:r>
      <w:proofErr w:type="spellStart"/>
      <w:r w:rsidRPr="00124E7F">
        <w:rPr>
          <w:i/>
        </w:rPr>
        <w:t>favour</w:t>
      </w:r>
      <w:proofErr w:type="spellEnd"/>
      <w:r w:rsidRPr="00124E7F">
        <w:rPr>
          <w:i/>
        </w:rPr>
        <w:t xml:space="preserve"> of fair use. Other incidental or technical uses may not be transformative, but may nevertheless be fair for other reasons.</w:t>
      </w:r>
      <w:r w:rsidR="004F47F8" w:rsidRPr="00124E7F">
        <w:rPr>
          <w:i/>
          <w:vertAlign w:val="superscript"/>
        </w:rPr>
        <w:footnoteReference w:id="93"/>
      </w:r>
      <w:r w:rsidR="004F47F8" w:rsidRPr="00124E7F">
        <w:rPr>
          <w:i/>
          <w:vertAlign w:val="superscript"/>
        </w:rPr>
        <w:t xml:space="preserve"> </w:t>
      </w:r>
    </w:p>
    <w:p w14:paraId="3E92128A" w14:textId="77777777" w:rsidR="00804598" w:rsidRPr="00124E7F" w:rsidRDefault="0080497D" w:rsidP="008B03A0">
      <w:pPr>
        <w:pStyle w:val="EYHeading3"/>
        <w:spacing w:before="0"/>
      </w:pPr>
      <w:r w:rsidRPr="00124E7F">
        <w:t>Impact analysis</w:t>
      </w:r>
    </w:p>
    <w:p w14:paraId="04DDFAAC" w14:textId="77777777" w:rsidR="00EC603A" w:rsidRPr="00124E7F" w:rsidRDefault="00933AE3" w:rsidP="008B03A0">
      <w:pPr>
        <w:pStyle w:val="EYHeading4"/>
        <w:spacing w:before="0"/>
      </w:pPr>
      <w:r w:rsidRPr="00124E7F">
        <w:t>Sum</w:t>
      </w:r>
      <w:r w:rsidR="00EC603A" w:rsidRPr="00124E7F">
        <w:t>mary</w:t>
      </w:r>
    </w:p>
    <w:p w14:paraId="52E65759" w14:textId="77777777" w:rsidR="001A4F6A" w:rsidRPr="00124E7F" w:rsidRDefault="001A4F6A" w:rsidP="00304D2B">
      <w:pPr>
        <w:pStyle w:val="EYBodytextwithparaspace"/>
        <w:spacing w:before="240" w:line="276" w:lineRule="auto"/>
        <w:rPr>
          <w:b/>
        </w:rPr>
      </w:pPr>
      <w:r w:rsidRPr="00124E7F">
        <w:rPr>
          <w:b/>
        </w:rPr>
        <w:t xml:space="preserve">A fair dealing exception for incidental or technical use is associated with possible benefits from an increase in certainty for Australian based internet intermediaries. There is a lack of evidence on the extent to which Copyright law is currently constraining the activities of internet intermediaries in Australia. However, the exception is associated with limited downsides and potentially large upsides (given the value of the internet). </w:t>
      </w:r>
    </w:p>
    <w:p w14:paraId="69B1DA61" w14:textId="77777777" w:rsidR="00EC603A" w:rsidRPr="00124E7F" w:rsidRDefault="000F2BFB" w:rsidP="00394E76">
      <w:pPr>
        <w:pStyle w:val="EYBodytextwithparaspace"/>
      </w:pPr>
      <w:r w:rsidRPr="00124E7F">
        <w:t xml:space="preserve">It is generally accepted that the activities of internet intermediaries such as searching, indexing and caching) involve an act of reproduction, which is an exclusive right belonging to copyright owners.  </w:t>
      </w:r>
      <w:r w:rsidR="009328A7" w:rsidRPr="00124E7F">
        <w:t xml:space="preserve">To the extent that </w:t>
      </w:r>
      <w:r w:rsidRPr="00124E7F">
        <w:t>Option 2</w:t>
      </w:r>
      <w:r w:rsidR="009328A7" w:rsidRPr="00124E7F">
        <w:t xml:space="preserve"> would provide more legal certainty for internet intermediaries operating in Australia, it would be expected to lead to a fall in the transaction costs required to manage the risk associated </w:t>
      </w:r>
      <w:r w:rsidRPr="00124E7F">
        <w:t>with these activities. For example, L</w:t>
      </w:r>
      <w:r w:rsidR="00EC603A" w:rsidRPr="00124E7F">
        <w:t>ateral</w:t>
      </w:r>
      <w:r w:rsidR="002A12FB" w:rsidRPr="00124E7F">
        <w:t xml:space="preserve"> </w:t>
      </w:r>
      <w:r w:rsidR="00EC603A" w:rsidRPr="00124E7F">
        <w:t>Economics found that without an exception,</w:t>
      </w:r>
      <w:r w:rsidRPr="00124E7F">
        <w:t xml:space="preserve"> </w:t>
      </w:r>
      <w:r w:rsidR="00EC603A" w:rsidRPr="00124E7F">
        <w:t>transaction costs associated with clearing permissions by search engines would exceed $150 billion per year.</w:t>
      </w:r>
      <w:r w:rsidR="00013231" w:rsidRPr="00124E7F">
        <w:rPr>
          <w:vertAlign w:val="superscript"/>
        </w:rPr>
        <w:footnoteReference w:id="94"/>
      </w:r>
      <w:r w:rsidR="00EC603A" w:rsidRPr="00124E7F">
        <w:rPr>
          <w:vertAlign w:val="superscript"/>
        </w:rPr>
        <w:t xml:space="preserve"> </w:t>
      </w:r>
      <w:r w:rsidR="00EC603A" w:rsidRPr="00124E7F">
        <w:t xml:space="preserve">While some of the assumptions underlying this estimate may be disputed, even with moderate costs per transaction, the large number of </w:t>
      </w:r>
      <w:r w:rsidRPr="00124E7F">
        <w:t xml:space="preserve">players involved </w:t>
      </w:r>
      <w:r w:rsidR="009C6310" w:rsidRPr="00124E7F">
        <w:t>in such activities</w:t>
      </w:r>
      <w:r w:rsidR="00EC603A" w:rsidRPr="00124E7F">
        <w:t xml:space="preserve"> </w:t>
      </w:r>
      <w:r w:rsidR="005410FF" w:rsidRPr="00124E7F">
        <w:t>could</w:t>
      </w:r>
      <w:r w:rsidR="00EC603A" w:rsidRPr="00124E7F">
        <w:t xml:space="preserve"> lead to very high transaction costs overall. </w:t>
      </w:r>
    </w:p>
    <w:p w14:paraId="6713AE67" w14:textId="77777777" w:rsidR="00EC603A" w:rsidRPr="00124E7F" w:rsidRDefault="00F06823" w:rsidP="00394E76">
      <w:pPr>
        <w:pStyle w:val="EYBodytextwithparaspace"/>
      </w:pPr>
      <w:r w:rsidRPr="00124E7F">
        <w:t xml:space="preserve">To the extent that an exception would reduce </w:t>
      </w:r>
      <w:r w:rsidR="00653D65" w:rsidRPr="00124E7F">
        <w:t xml:space="preserve">legal </w:t>
      </w:r>
      <w:r w:rsidRPr="00124E7F">
        <w:t xml:space="preserve">ambiguity, this would also be expected to lead to greater incentives for innovative uses of copyright works by </w:t>
      </w:r>
      <w:r w:rsidR="00653D65" w:rsidRPr="00124E7F">
        <w:t>internet</w:t>
      </w:r>
      <w:r w:rsidRPr="00124E7F">
        <w:t xml:space="preserve"> </w:t>
      </w:r>
      <w:r w:rsidR="00653D65" w:rsidRPr="00124E7F">
        <w:t>intermediaries</w:t>
      </w:r>
      <w:r w:rsidRPr="00124E7F">
        <w:t xml:space="preserve">, with concomitant social and economic benefits. </w:t>
      </w:r>
      <w:r w:rsidR="00653D65" w:rsidRPr="00124E7F">
        <w:t>T</w:t>
      </w:r>
      <w:r w:rsidR="00EC603A" w:rsidRPr="00124E7F">
        <w:t>here is a lack of evidence on the extent to which Copyright law is currently constraining the activities of internet intermediaries</w:t>
      </w:r>
      <w:r w:rsidR="00136198" w:rsidRPr="00124E7F">
        <w:t xml:space="preserve"> </w:t>
      </w:r>
      <w:r w:rsidRPr="00124E7F">
        <w:t xml:space="preserve">operating </w:t>
      </w:r>
      <w:r w:rsidR="00136198" w:rsidRPr="00124E7F">
        <w:t>in</w:t>
      </w:r>
      <w:r w:rsidRPr="00124E7F">
        <w:t xml:space="preserve"> or intending to operate</w:t>
      </w:r>
      <w:r w:rsidR="00136198" w:rsidRPr="00124E7F">
        <w:t xml:space="preserve"> Australia</w:t>
      </w:r>
      <w:r w:rsidR="00EC603A" w:rsidRPr="00124E7F">
        <w:t xml:space="preserve">. </w:t>
      </w:r>
      <w:r w:rsidRPr="00124E7F">
        <w:t xml:space="preserve">To date, arguments put forward in Australia have been largely qualitative. Quantitative evidence is scarce. </w:t>
      </w:r>
      <w:r w:rsidR="00653D65" w:rsidRPr="00124E7F">
        <w:t>Nevertheless, d</w:t>
      </w:r>
      <w:r w:rsidR="00136198" w:rsidRPr="00124E7F">
        <w:t>ata gathered by the World Startup Report on the number and value of internet start-ups across 50 countries appears to show that Australia is relatively competitive.</w:t>
      </w:r>
      <w:r w:rsidR="00653D65" w:rsidRPr="00124E7F">
        <w:rPr>
          <w:vertAlign w:val="superscript"/>
        </w:rPr>
        <w:footnoteReference w:id="95"/>
      </w:r>
      <w:r w:rsidR="00136198" w:rsidRPr="00124E7F">
        <w:rPr>
          <w:vertAlign w:val="superscript"/>
        </w:rPr>
        <w:t xml:space="preserve"> </w:t>
      </w:r>
      <w:r w:rsidR="00136198" w:rsidRPr="00124E7F">
        <w:t xml:space="preserve">However, </w:t>
      </w:r>
      <w:r w:rsidR="00BE5155" w:rsidRPr="00124E7F">
        <w:t>this</w:t>
      </w:r>
      <w:r w:rsidR="00136198" w:rsidRPr="00124E7F">
        <w:t xml:space="preserve"> does not mean </w:t>
      </w:r>
      <w:r w:rsidR="00EC603A" w:rsidRPr="00124E7F">
        <w:t xml:space="preserve">that Australian-based internet start-ups could not fare better under a more certain Copyright regime. </w:t>
      </w:r>
      <w:r w:rsidR="00136198" w:rsidRPr="00124E7F">
        <w:t>Indeed, a</w:t>
      </w:r>
      <w:r w:rsidR="00EC603A" w:rsidRPr="00124E7F">
        <w:t xml:space="preserve"> number of studies </w:t>
      </w:r>
      <w:r w:rsidR="000046C6" w:rsidRPr="00124E7F">
        <w:t>of</w:t>
      </w:r>
      <w:r w:rsidR="00EC603A" w:rsidRPr="00124E7F">
        <w:t xml:space="preserve"> investor perceptions have shown that risk and uncertainty </w:t>
      </w:r>
      <w:r w:rsidR="000046C6" w:rsidRPr="00124E7F">
        <w:t>around regulation</w:t>
      </w:r>
      <w:r w:rsidR="009C6310" w:rsidRPr="00124E7F">
        <w:t>, and</w:t>
      </w:r>
      <w:r w:rsidR="000046C6" w:rsidRPr="00124E7F">
        <w:t xml:space="preserve"> copyright law in particular, </w:t>
      </w:r>
      <w:r w:rsidR="00EC603A" w:rsidRPr="00124E7F">
        <w:t>play an important part in investment decisions.</w:t>
      </w:r>
      <w:r w:rsidR="00653D65" w:rsidRPr="00124E7F">
        <w:rPr>
          <w:vertAlign w:val="superscript"/>
        </w:rPr>
        <w:footnoteReference w:id="96"/>
      </w:r>
    </w:p>
    <w:p w14:paraId="79168639" w14:textId="77777777" w:rsidR="004C09E2" w:rsidRPr="00124E7F" w:rsidRDefault="00EC603A" w:rsidP="00394E76">
      <w:pPr>
        <w:pStyle w:val="EYBodytextwithparaspace"/>
      </w:pPr>
      <w:r w:rsidRPr="00124E7F">
        <w:t xml:space="preserve">Where an exception would increase the activities of </w:t>
      </w:r>
      <w:r w:rsidR="000046C6" w:rsidRPr="00124E7F">
        <w:t>Australian-based internet intermediaries</w:t>
      </w:r>
      <w:r w:rsidRPr="00124E7F">
        <w:t xml:space="preserve">, this would not be expected to </w:t>
      </w:r>
      <w:r w:rsidR="000046C6" w:rsidRPr="00124E7F">
        <w:t xml:space="preserve">negatively </w:t>
      </w:r>
      <w:r w:rsidRPr="00124E7F">
        <w:t>interfere with the markets for original content.</w:t>
      </w:r>
      <w:r w:rsidR="00497DBF" w:rsidRPr="00124E7F">
        <w:t xml:space="preserve"> Rather than being detrimental to right</w:t>
      </w:r>
      <w:r w:rsidR="006B2E08" w:rsidRPr="00124E7F">
        <w:t>s</w:t>
      </w:r>
      <w:r w:rsidR="00497DBF" w:rsidRPr="00124E7F">
        <w:t xml:space="preserve"> holders, </w:t>
      </w:r>
      <w:r w:rsidR="00BD7724" w:rsidRPr="00124E7F">
        <w:t xml:space="preserve">internet </w:t>
      </w:r>
      <w:r w:rsidR="00497DBF" w:rsidRPr="00124E7F">
        <w:t>activities such as search and caching make website content more accessible and useful, attracting traffic to websites</w:t>
      </w:r>
      <w:r w:rsidR="004F47F8" w:rsidRPr="00124E7F">
        <w:t xml:space="preserve">. </w:t>
      </w:r>
      <w:r w:rsidR="00497DBF" w:rsidRPr="00124E7F">
        <w:t xml:space="preserve">In this way, the activities of internet intermediaries </w:t>
      </w:r>
      <w:r w:rsidR="00BD7724" w:rsidRPr="00124E7F">
        <w:t>would be expected to</w:t>
      </w:r>
      <w:r w:rsidR="00497DBF" w:rsidRPr="00124E7F">
        <w:t xml:space="preserve"> have a positive impact on sales and thereby incentives to produce new works. However, </w:t>
      </w:r>
      <w:r w:rsidR="00BD7724" w:rsidRPr="00124E7F">
        <w:t>fair dealing for incidental and technical use is a flexible concept. While defined here predominantly as searching, caching and indexing, its limits will be ultimately determi</w:t>
      </w:r>
      <w:r w:rsidR="004F47F8" w:rsidRPr="00124E7F">
        <w:t>ned by the courts. For this reason we cannot rule out some costs to right</w:t>
      </w:r>
      <w:r w:rsidR="006B2E08" w:rsidRPr="00124E7F">
        <w:t>s</w:t>
      </w:r>
      <w:r w:rsidR="004F47F8" w:rsidRPr="00124E7F">
        <w:t xml:space="preserve"> holders as a result of Option 2.</w:t>
      </w:r>
    </w:p>
    <w:p w14:paraId="70282C9E" w14:textId="77777777" w:rsidR="004C09E2" w:rsidRPr="00124E7F" w:rsidRDefault="004C09E2">
      <w:pPr>
        <w:widowControl/>
        <w:autoSpaceDE/>
        <w:autoSpaceDN/>
        <w:adjustRightInd/>
        <w:spacing w:line="240" w:lineRule="auto"/>
        <w:rPr>
          <w:kern w:val="12"/>
          <w:szCs w:val="24"/>
          <w:lang w:val="en-US"/>
        </w:rPr>
      </w:pPr>
      <w:r w:rsidRPr="00124E7F">
        <w:br w:type="page"/>
      </w:r>
    </w:p>
    <w:p w14:paraId="5044A99A" w14:textId="77777777" w:rsidR="00BD7724" w:rsidRPr="00124E7F" w:rsidRDefault="004C09E2" w:rsidP="004C09E2">
      <w:pPr>
        <w:pStyle w:val="Caption"/>
      </w:pPr>
      <w:r w:rsidRPr="00124E7F">
        <w:t xml:space="preserve">Table </w:t>
      </w:r>
      <w:r w:rsidRPr="00124E7F">
        <w:fldChar w:fldCharType="begin"/>
      </w:r>
      <w:r w:rsidRPr="00124E7F">
        <w:instrText xml:space="preserve"> SEQ Table \* ARABIC </w:instrText>
      </w:r>
      <w:r w:rsidRPr="00124E7F">
        <w:fldChar w:fldCharType="separate"/>
      </w:r>
      <w:r w:rsidR="0075700D">
        <w:rPr>
          <w:noProof/>
        </w:rPr>
        <w:t>5</w:t>
      </w:r>
      <w:r w:rsidRPr="00124E7F">
        <w:fldChar w:fldCharType="end"/>
      </w:r>
      <w:r w:rsidRPr="00124E7F">
        <w:t>: Summary of costs and benefits of fair dealing exception for incidental or technical use</w:t>
      </w:r>
    </w:p>
    <w:tbl>
      <w:tblPr>
        <w:tblStyle w:val="LightShading-Accent3"/>
        <w:tblW w:w="5000" w:type="pct"/>
        <w:tblBorders>
          <w:top w:val="none" w:sz="0" w:space="0" w:color="auto"/>
          <w:bottom w:val="none" w:sz="0" w:space="0" w:color="auto"/>
          <w:insideH w:val="single" w:sz="4" w:space="0" w:color="808080" w:themeColor="background1" w:themeShade="80"/>
        </w:tblBorders>
        <w:tblLook w:val="0420" w:firstRow="1" w:lastRow="0" w:firstColumn="0" w:lastColumn="0" w:noHBand="0" w:noVBand="1"/>
        <w:tblCaption w:val="Summary of costs and benefits of fair dealing exception for incidental or technical use"/>
        <w:tblDescription w:val="The table provides a summary of the costs and benefits of a fair dealing exception for incidental or technical use relative to the status quo, as described in the main text provided above. "/>
      </w:tblPr>
      <w:tblGrid>
        <w:gridCol w:w="1650"/>
        <w:gridCol w:w="1415"/>
        <w:gridCol w:w="1055"/>
        <w:gridCol w:w="2785"/>
        <w:gridCol w:w="1257"/>
        <w:gridCol w:w="867"/>
      </w:tblGrid>
      <w:tr w:rsidR="004213AE" w:rsidRPr="00124E7F" w14:paraId="7BCBDFB6" w14:textId="77777777" w:rsidTr="00202E68">
        <w:trPr>
          <w:cnfStyle w:val="100000000000" w:firstRow="1" w:lastRow="0" w:firstColumn="0" w:lastColumn="0" w:oddVBand="0" w:evenVBand="0" w:oddHBand="0" w:evenHBand="0" w:firstRowFirstColumn="0" w:firstRowLastColumn="0" w:lastRowFirstColumn="0" w:lastRowLastColumn="0"/>
          <w:trHeight w:val="340"/>
          <w:tblHeader/>
        </w:trPr>
        <w:tc>
          <w:tcPr>
            <w:tcW w:w="914" w:type="pct"/>
            <w:shd w:val="clear" w:color="auto" w:fill="F0F0F0" w:themeFill="accent4"/>
            <w:vAlign w:val="center"/>
            <w:hideMark/>
          </w:tcPr>
          <w:p w14:paraId="752B4AB0" w14:textId="77777777" w:rsidR="00B542CB" w:rsidRPr="00124E7F" w:rsidRDefault="00B542CB">
            <w:pPr>
              <w:keepNext/>
              <w:keepLines/>
              <w:widowControl/>
              <w:autoSpaceDE/>
              <w:autoSpaceDN/>
              <w:adjustRightInd/>
              <w:spacing w:line="240" w:lineRule="auto"/>
              <w:jc w:val="center"/>
              <w:rPr>
                <w:color w:val="auto"/>
              </w:rPr>
            </w:pPr>
            <w:r w:rsidRPr="00124E7F">
              <w:rPr>
                <w:color w:val="auto"/>
              </w:rPr>
              <w:t>Impact type</w:t>
            </w:r>
          </w:p>
        </w:tc>
        <w:tc>
          <w:tcPr>
            <w:tcW w:w="784" w:type="pct"/>
            <w:shd w:val="clear" w:color="auto" w:fill="F0F0F0" w:themeFill="accent4"/>
            <w:vAlign w:val="center"/>
            <w:hideMark/>
          </w:tcPr>
          <w:p w14:paraId="18DD48A9" w14:textId="77777777" w:rsidR="00B542CB" w:rsidRPr="00124E7F" w:rsidRDefault="00B542CB">
            <w:pPr>
              <w:keepNext/>
              <w:keepLines/>
              <w:widowControl/>
              <w:autoSpaceDE/>
              <w:autoSpaceDN/>
              <w:adjustRightInd/>
              <w:spacing w:line="240" w:lineRule="auto"/>
              <w:jc w:val="center"/>
              <w:rPr>
                <w:color w:val="auto"/>
              </w:rPr>
            </w:pPr>
            <w:r w:rsidRPr="00124E7F">
              <w:rPr>
                <w:color w:val="auto"/>
              </w:rPr>
              <w:t>Stakeholder Group</w:t>
            </w:r>
          </w:p>
        </w:tc>
        <w:tc>
          <w:tcPr>
            <w:tcW w:w="584" w:type="pct"/>
            <w:shd w:val="clear" w:color="auto" w:fill="F0F0F0" w:themeFill="accent4"/>
            <w:vAlign w:val="center"/>
            <w:hideMark/>
          </w:tcPr>
          <w:p w14:paraId="7C3945A5" w14:textId="77777777" w:rsidR="00B542CB" w:rsidRPr="00124E7F" w:rsidRDefault="00B542CB">
            <w:pPr>
              <w:keepNext/>
              <w:keepLines/>
              <w:widowControl/>
              <w:autoSpaceDE/>
              <w:autoSpaceDN/>
              <w:adjustRightInd/>
              <w:spacing w:line="240" w:lineRule="auto"/>
              <w:jc w:val="center"/>
              <w:rPr>
                <w:color w:val="auto"/>
              </w:rPr>
            </w:pPr>
            <w:r w:rsidRPr="00124E7F">
              <w:rPr>
                <w:color w:val="auto"/>
              </w:rPr>
              <w:t>Short or long-run</w:t>
            </w:r>
          </w:p>
        </w:tc>
        <w:tc>
          <w:tcPr>
            <w:tcW w:w="1542" w:type="pct"/>
            <w:shd w:val="clear" w:color="auto" w:fill="F0F0F0" w:themeFill="accent4"/>
            <w:vAlign w:val="center"/>
            <w:hideMark/>
          </w:tcPr>
          <w:p w14:paraId="3C31CB5E" w14:textId="77777777" w:rsidR="00B542CB" w:rsidRPr="00124E7F" w:rsidRDefault="00B542CB">
            <w:pPr>
              <w:keepNext/>
              <w:keepLines/>
              <w:widowControl/>
              <w:autoSpaceDE/>
              <w:autoSpaceDN/>
              <w:adjustRightInd/>
              <w:spacing w:line="240" w:lineRule="auto"/>
              <w:jc w:val="center"/>
              <w:rPr>
                <w:color w:val="auto"/>
              </w:rPr>
            </w:pPr>
            <w:r w:rsidRPr="00124E7F">
              <w:rPr>
                <w:color w:val="auto"/>
              </w:rPr>
              <w:t>Description of impact</w:t>
            </w:r>
          </w:p>
        </w:tc>
        <w:tc>
          <w:tcPr>
            <w:tcW w:w="696" w:type="pct"/>
            <w:shd w:val="clear" w:color="auto" w:fill="F0F0F0" w:themeFill="accent4"/>
            <w:vAlign w:val="center"/>
          </w:tcPr>
          <w:p w14:paraId="5D53BBE0" w14:textId="77777777" w:rsidR="00B542CB" w:rsidRPr="00124E7F" w:rsidRDefault="00B542CB">
            <w:pPr>
              <w:keepNext/>
              <w:keepLines/>
              <w:widowControl/>
              <w:autoSpaceDE/>
              <w:autoSpaceDN/>
              <w:adjustRightInd/>
              <w:spacing w:line="240" w:lineRule="auto"/>
              <w:jc w:val="center"/>
              <w:rPr>
                <w:color w:val="auto"/>
              </w:rPr>
            </w:pPr>
            <w:r w:rsidRPr="00124E7F">
              <w:rPr>
                <w:color w:val="auto"/>
              </w:rPr>
              <w:t>Magnitude of impact</w:t>
            </w:r>
          </w:p>
        </w:tc>
        <w:tc>
          <w:tcPr>
            <w:tcW w:w="480" w:type="pct"/>
            <w:shd w:val="clear" w:color="auto" w:fill="F0F0F0" w:themeFill="accent4"/>
            <w:vAlign w:val="center"/>
          </w:tcPr>
          <w:p w14:paraId="705B5B56" w14:textId="77777777" w:rsidR="00B542CB" w:rsidRPr="00124E7F" w:rsidRDefault="00B542CB">
            <w:pPr>
              <w:keepNext/>
              <w:keepLines/>
              <w:widowControl/>
              <w:autoSpaceDE/>
              <w:autoSpaceDN/>
              <w:adjustRightInd/>
              <w:spacing w:line="240" w:lineRule="auto"/>
              <w:jc w:val="center"/>
              <w:rPr>
                <w:color w:val="auto"/>
              </w:rPr>
            </w:pPr>
            <w:r w:rsidRPr="00124E7F">
              <w:rPr>
                <w:color w:val="auto"/>
              </w:rPr>
              <w:t>Rating</w:t>
            </w:r>
          </w:p>
        </w:tc>
      </w:tr>
      <w:tr w:rsidR="004213AE" w:rsidRPr="00124E7F" w14:paraId="50F1ACCE" w14:textId="77777777" w:rsidTr="00B542CB">
        <w:trPr>
          <w:cnfStyle w:val="000000100000" w:firstRow="0" w:lastRow="0" w:firstColumn="0" w:lastColumn="0" w:oddVBand="0" w:evenVBand="0" w:oddHBand="1" w:evenHBand="0" w:firstRowFirstColumn="0" w:firstRowLastColumn="0" w:lastRowFirstColumn="0" w:lastRowLastColumn="0"/>
          <w:trHeight w:val="1310"/>
        </w:trPr>
        <w:tc>
          <w:tcPr>
            <w:tcW w:w="914" w:type="pct"/>
            <w:shd w:val="clear" w:color="auto" w:fill="FFFFFF" w:themeFill="background1"/>
            <w:vAlign w:val="center"/>
          </w:tcPr>
          <w:p w14:paraId="5752317E" w14:textId="77777777" w:rsidR="00B542CB" w:rsidRPr="00124E7F" w:rsidRDefault="00B542CB" w:rsidP="008B03A0">
            <w:pPr>
              <w:keepNext/>
              <w:keepLines/>
              <w:widowControl/>
              <w:autoSpaceDE/>
              <w:autoSpaceDN/>
              <w:adjustRightInd/>
              <w:spacing w:line="240" w:lineRule="auto"/>
              <w:jc w:val="center"/>
              <w:rPr>
                <w:color w:val="auto"/>
              </w:rPr>
            </w:pPr>
            <w:r w:rsidRPr="00124E7F">
              <w:rPr>
                <w:color w:val="auto"/>
              </w:rPr>
              <w:t>Monopoly rents</w:t>
            </w:r>
          </w:p>
        </w:tc>
        <w:tc>
          <w:tcPr>
            <w:tcW w:w="784" w:type="pct"/>
            <w:shd w:val="clear" w:color="auto" w:fill="FFFFFF" w:themeFill="background1"/>
            <w:vAlign w:val="center"/>
          </w:tcPr>
          <w:p w14:paraId="074189AA" w14:textId="77777777" w:rsidR="00B542CB" w:rsidRPr="00124E7F" w:rsidRDefault="00B542CB" w:rsidP="008B03A0">
            <w:pPr>
              <w:keepNext/>
              <w:keepLines/>
              <w:widowControl/>
              <w:autoSpaceDE/>
              <w:autoSpaceDN/>
              <w:adjustRightInd/>
              <w:spacing w:line="240" w:lineRule="auto"/>
              <w:jc w:val="center"/>
              <w:rPr>
                <w:color w:val="auto"/>
              </w:rPr>
            </w:pPr>
            <w:r w:rsidRPr="00124E7F">
              <w:rPr>
                <w:color w:val="auto"/>
              </w:rPr>
              <w:t>Rights holders</w:t>
            </w:r>
          </w:p>
        </w:tc>
        <w:tc>
          <w:tcPr>
            <w:tcW w:w="584" w:type="pct"/>
            <w:shd w:val="clear" w:color="auto" w:fill="FFFFFF" w:themeFill="background1"/>
            <w:vAlign w:val="center"/>
          </w:tcPr>
          <w:p w14:paraId="784AFEE5" w14:textId="77777777" w:rsidR="00B542CB" w:rsidRPr="00124E7F" w:rsidRDefault="00B542CB" w:rsidP="008B03A0">
            <w:pPr>
              <w:keepNext/>
              <w:keepLines/>
              <w:widowControl/>
              <w:spacing w:line="240" w:lineRule="auto"/>
              <w:jc w:val="center"/>
              <w:rPr>
                <w:color w:val="auto"/>
              </w:rPr>
            </w:pPr>
            <w:r w:rsidRPr="00124E7F">
              <w:rPr>
                <w:color w:val="auto"/>
              </w:rPr>
              <w:t>Short run</w:t>
            </w:r>
          </w:p>
        </w:tc>
        <w:tc>
          <w:tcPr>
            <w:tcW w:w="1542" w:type="pct"/>
            <w:shd w:val="clear" w:color="auto" w:fill="FFFFFF" w:themeFill="background1"/>
            <w:vAlign w:val="center"/>
          </w:tcPr>
          <w:p w14:paraId="7021839C" w14:textId="77777777" w:rsidR="00B542CB" w:rsidRPr="00124E7F" w:rsidRDefault="00B542CB" w:rsidP="008B03A0">
            <w:pPr>
              <w:keepNext/>
              <w:keepLines/>
              <w:widowControl/>
              <w:autoSpaceDE/>
              <w:autoSpaceDN/>
              <w:adjustRightInd/>
              <w:spacing w:line="240" w:lineRule="auto"/>
              <w:jc w:val="center"/>
              <w:rPr>
                <w:color w:val="auto"/>
              </w:rPr>
            </w:pPr>
            <w:r w:rsidRPr="00124E7F">
              <w:rPr>
                <w:color w:val="auto"/>
              </w:rPr>
              <w:t>The impact on the revenue of copyright holders from a fair dealing exception for incidental or technical use is more likely to be positive than negative.</w:t>
            </w:r>
          </w:p>
        </w:tc>
        <w:tc>
          <w:tcPr>
            <w:tcW w:w="696" w:type="pct"/>
            <w:shd w:val="clear" w:color="auto" w:fill="FFFFFF" w:themeFill="background1"/>
            <w:vAlign w:val="center"/>
          </w:tcPr>
          <w:p w14:paraId="50C2F194" w14:textId="77777777" w:rsidR="00B542CB" w:rsidRPr="00202E68" w:rsidRDefault="00B542CB" w:rsidP="00B542CB">
            <w:pPr>
              <w:keepNext/>
              <w:keepLines/>
              <w:widowControl/>
              <w:autoSpaceDE/>
              <w:autoSpaceDN/>
              <w:adjustRightInd/>
              <w:spacing w:line="240" w:lineRule="auto"/>
              <w:jc w:val="center"/>
              <w:rPr>
                <w:color w:val="auto"/>
              </w:rPr>
            </w:pPr>
            <w:r w:rsidRPr="00124E7F">
              <w:rPr>
                <w:color w:val="auto"/>
              </w:rPr>
              <w:t>-</w:t>
            </w:r>
          </w:p>
        </w:tc>
        <w:tc>
          <w:tcPr>
            <w:tcW w:w="480" w:type="pct"/>
            <w:shd w:val="clear" w:color="auto" w:fill="FFFFFF" w:themeFill="background1"/>
            <w:vAlign w:val="center"/>
          </w:tcPr>
          <w:p w14:paraId="61BAA8FC" w14:textId="77777777" w:rsidR="00B542CB" w:rsidRPr="004213AE" w:rsidRDefault="00B542CB" w:rsidP="008B03A0">
            <w:pPr>
              <w:keepNext/>
              <w:keepLines/>
              <w:widowControl/>
              <w:autoSpaceDE/>
              <w:autoSpaceDN/>
              <w:adjustRightInd/>
              <w:spacing w:line="240" w:lineRule="auto"/>
              <w:jc w:val="center"/>
              <w:rPr>
                <w:color w:val="auto"/>
              </w:rPr>
            </w:pPr>
            <w:r w:rsidRPr="004213AE">
              <w:rPr>
                <w:color w:val="auto"/>
              </w:rPr>
              <w:t>?+</w:t>
            </w:r>
          </w:p>
        </w:tc>
      </w:tr>
      <w:tr w:rsidR="004213AE" w:rsidRPr="00124E7F" w14:paraId="7FE8FEB1" w14:textId="77777777" w:rsidTr="00B542CB">
        <w:trPr>
          <w:trHeight w:val="1396"/>
        </w:trPr>
        <w:tc>
          <w:tcPr>
            <w:tcW w:w="914" w:type="pct"/>
            <w:shd w:val="clear" w:color="auto" w:fill="auto"/>
            <w:vAlign w:val="center"/>
          </w:tcPr>
          <w:p w14:paraId="627F2BD5" w14:textId="77777777" w:rsidR="00B542CB" w:rsidRPr="00124E7F" w:rsidRDefault="00B542CB" w:rsidP="008B03A0">
            <w:pPr>
              <w:keepNext/>
              <w:keepLines/>
              <w:widowControl/>
              <w:autoSpaceDE/>
              <w:autoSpaceDN/>
              <w:adjustRightInd/>
              <w:spacing w:line="240" w:lineRule="auto"/>
              <w:jc w:val="center"/>
              <w:rPr>
                <w:color w:val="auto"/>
              </w:rPr>
            </w:pPr>
            <w:r w:rsidRPr="00124E7F">
              <w:rPr>
                <w:color w:val="auto"/>
              </w:rPr>
              <w:t>Incentives to create new works</w:t>
            </w:r>
          </w:p>
        </w:tc>
        <w:tc>
          <w:tcPr>
            <w:tcW w:w="784" w:type="pct"/>
            <w:shd w:val="clear" w:color="auto" w:fill="auto"/>
            <w:vAlign w:val="center"/>
          </w:tcPr>
          <w:p w14:paraId="43C171C8" w14:textId="77777777" w:rsidR="00B542CB" w:rsidRPr="00124E7F" w:rsidRDefault="00B542CB" w:rsidP="008B03A0">
            <w:pPr>
              <w:keepNext/>
              <w:keepLines/>
              <w:widowControl/>
              <w:autoSpaceDE/>
              <w:autoSpaceDN/>
              <w:adjustRightInd/>
              <w:spacing w:line="240" w:lineRule="auto"/>
              <w:jc w:val="center"/>
              <w:rPr>
                <w:color w:val="auto"/>
              </w:rPr>
            </w:pPr>
            <w:r w:rsidRPr="00124E7F">
              <w:rPr>
                <w:color w:val="auto"/>
              </w:rPr>
              <w:t>Rights holders</w:t>
            </w:r>
          </w:p>
        </w:tc>
        <w:tc>
          <w:tcPr>
            <w:tcW w:w="584" w:type="pct"/>
            <w:shd w:val="clear" w:color="auto" w:fill="auto"/>
            <w:vAlign w:val="center"/>
          </w:tcPr>
          <w:p w14:paraId="6F36D29B" w14:textId="77777777" w:rsidR="00B542CB" w:rsidRPr="00124E7F" w:rsidRDefault="00B542CB" w:rsidP="008B03A0">
            <w:pPr>
              <w:keepNext/>
              <w:keepLines/>
              <w:widowControl/>
              <w:spacing w:line="240" w:lineRule="auto"/>
              <w:jc w:val="center"/>
              <w:rPr>
                <w:color w:val="auto"/>
              </w:rPr>
            </w:pPr>
            <w:r w:rsidRPr="00124E7F">
              <w:rPr>
                <w:color w:val="auto"/>
              </w:rPr>
              <w:t>Long Run</w:t>
            </w:r>
          </w:p>
        </w:tc>
        <w:tc>
          <w:tcPr>
            <w:tcW w:w="1542" w:type="pct"/>
            <w:shd w:val="clear" w:color="auto" w:fill="auto"/>
            <w:vAlign w:val="center"/>
          </w:tcPr>
          <w:p w14:paraId="253A730E" w14:textId="77777777" w:rsidR="00B542CB" w:rsidRPr="00124E7F" w:rsidRDefault="00B542CB" w:rsidP="008B03A0">
            <w:pPr>
              <w:keepNext/>
              <w:keepLines/>
              <w:widowControl/>
              <w:autoSpaceDE/>
              <w:autoSpaceDN/>
              <w:adjustRightInd/>
              <w:spacing w:line="240" w:lineRule="auto"/>
              <w:jc w:val="center"/>
              <w:rPr>
                <w:color w:val="auto"/>
              </w:rPr>
            </w:pPr>
            <w:r w:rsidRPr="00124E7F">
              <w:rPr>
                <w:color w:val="auto"/>
              </w:rPr>
              <w:t>Given the above, incentives to create new works are likely to be either preserved or improved under the exception.</w:t>
            </w:r>
          </w:p>
        </w:tc>
        <w:tc>
          <w:tcPr>
            <w:tcW w:w="696" w:type="pct"/>
            <w:shd w:val="clear" w:color="auto" w:fill="auto"/>
            <w:vAlign w:val="center"/>
          </w:tcPr>
          <w:p w14:paraId="4E5CA58B" w14:textId="77777777" w:rsidR="00B542CB" w:rsidRPr="00202E68" w:rsidRDefault="00B542CB" w:rsidP="00B542CB">
            <w:pPr>
              <w:keepNext/>
              <w:keepLines/>
              <w:widowControl/>
              <w:autoSpaceDE/>
              <w:autoSpaceDN/>
              <w:adjustRightInd/>
              <w:spacing w:line="240" w:lineRule="auto"/>
              <w:jc w:val="center"/>
              <w:rPr>
                <w:color w:val="auto"/>
              </w:rPr>
            </w:pPr>
            <w:r w:rsidRPr="00124E7F">
              <w:rPr>
                <w:color w:val="auto"/>
              </w:rPr>
              <w:t>-</w:t>
            </w:r>
          </w:p>
        </w:tc>
        <w:tc>
          <w:tcPr>
            <w:tcW w:w="480" w:type="pct"/>
            <w:shd w:val="clear" w:color="auto" w:fill="auto"/>
            <w:vAlign w:val="center"/>
          </w:tcPr>
          <w:p w14:paraId="5347ADF2" w14:textId="77777777" w:rsidR="00B542CB" w:rsidRPr="004213AE" w:rsidRDefault="00B542CB" w:rsidP="008B03A0">
            <w:pPr>
              <w:keepNext/>
              <w:keepLines/>
              <w:widowControl/>
              <w:autoSpaceDE/>
              <w:autoSpaceDN/>
              <w:adjustRightInd/>
              <w:spacing w:line="240" w:lineRule="auto"/>
              <w:jc w:val="center"/>
              <w:rPr>
                <w:color w:val="auto"/>
              </w:rPr>
            </w:pPr>
            <w:r w:rsidRPr="004213AE">
              <w:rPr>
                <w:color w:val="auto"/>
              </w:rPr>
              <w:t>?+</w:t>
            </w:r>
          </w:p>
        </w:tc>
      </w:tr>
      <w:tr w:rsidR="004213AE" w:rsidRPr="00124E7F" w14:paraId="2E50F260" w14:textId="77777777" w:rsidTr="00B542CB">
        <w:trPr>
          <w:cnfStyle w:val="000000100000" w:firstRow="0" w:lastRow="0" w:firstColumn="0" w:lastColumn="0" w:oddVBand="0" w:evenVBand="0" w:oddHBand="1" w:evenHBand="0" w:firstRowFirstColumn="0" w:firstRowLastColumn="0" w:lastRowFirstColumn="0" w:lastRowLastColumn="0"/>
          <w:trHeight w:val="1574"/>
        </w:trPr>
        <w:tc>
          <w:tcPr>
            <w:tcW w:w="914" w:type="pct"/>
            <w:shd w:val="clear" w:color="auto" w:fill="auto"/>
            <w:vAlign w:val="center"/>
          </w:tcPr>
          <w:p w14:paraId="287FCE14" w14:textId="77777777" w:rsidR="00B542CB" w:rsidRPr="00124E7F" w:rsidRDefault="00B542CB" w:rsidP="008B03A0">
            <w:pPr>
              <w:keepNext/>
              <w:keepLines/>
              <w:widowControl/>
              <w:autoSpaceDE/>
              <w:autoSpaceDN/>
              <w:adjustRightInd/>
              <w:spacing w:line="240" w:lineRule="auto"/>
              <w:jc w:val="center"/>
              <w:rPr>
                <w:color w:val="auto"/>
              </w:rPr>
            </w:pPr>
            <w:r w:rsidRPr="00124E7F">
              <w:rPr>
                <w:color w:val="auto"/>
              </w:rPr>
              <w:t>Administration costs/ transaction costs</w:t>
            </w:r>
          </w:p>
        </w:tc>
        <w:tc>
          <w:tcPr>
            <w:tcW w:w="784" w:type="pct"/>
            <w:shd w:val="clear" w:color="auto" w:fill="auto"/>
            <w:vAlign w:val="center"/>
          </w:tcPr>
          <w:p w14:paraId="4A119FD2" w14:textId="77777777" w:rsidR="00B542CB" w:rsidRPr="00124E7F" w:rsidRDefault="00B542CB" w:rsidP="008B03A0">
            <w:pPr>
              <w:keepNext/>
              <w:keepLines/>
              <w:widowControl/>
              <w:autoSpaceDE/>
              <w:autoSpaceDN/>
              <w:adjustRightInd/>
              <w:spacing w:line="240" w:lineRule="auto"/>
              <w:jc w:val="center"/>
              <w:rPr>
                <w:color w:val="auto"/>
              </w:rPr>
            </w:pPr>
            <w:r w:rsidRPr="00124E7F">
              <w:rPr>
                <w:color w:val="auto"/>
              </w:rPr>
              <w:t>Rights holders</w:t>
            </w:r>
          </w:p>
          <w:p w14:paraId="212D0ADD" w14:textId="77777777" w:rsidR="00B542CB" w:rsidRPr="00124E7F" w:rsidRDefault="00B542CB" w:rsidP="008B03A0">
            <w:pPr>
              <w:keepNext/>
              <w:keepLines/>
              <w:widowControl/>
              <w:autoSpaceDE/>
              <w:autoSpaceDN/>
              <w:adjustRightInd/>
              <w:spacing w:line="240" w:lineRule="auto"/>
              <w:jc w:val="center"/>
              <w:rPr>
                <w:color w:val="auto"/>
              </w:rPr>
            </w:pPr>
            <w:r w:rsidRPr="00124E7F">
              <w:rPr>
                <w:color w:val="auto"/>
              </w:rPr>
              <w:t>Users</w:t>
            </w:r>
          </w:p>
        </w:tc>
        <w:tc>
          <w:tcPr>
            <w:tcW w:w="584" w:type="pct"/>
            <w:shd w:val="clear" w:color="auto" w:fill="auto"/>
            <w:vAlign w:val="center"/>
          </w:tcPr>
          <w:p w14:paraId="58069660" w14:textId="77777777" w:rsidR="00B542CB" w:rsidRPr="00124E7F" w:rsidRDefault="00B542CB" w:rsidP="008B03A0">
            <w:pPr>
              <w:keepNext/>
              <w:keepLines/>
              <w:widowControl/>
              <w:spacing w:line="240" w:lineRule="auto"/>
              <w:jc w:val="center"/>
              <w:rPr>
                <w:color w:val="auto"/>
              </w:rPr>
            </w:pPr>
            <w:r w:rsidRPr="00124E7F">
              <w:rPr>
                <w:color w:val="auto"/>
              </w:rPr>
              <w:t>Short run</w:t>
            </w:r>
          </w:p>
        </w:tc>
        <w:tc>
          <w:tcPr>
            <w:tcW w:w="1542" w:type="pct"/>
            <w:shd w:val="clear" w:color="auto" w:fill="auto"/>
            <w:vAlign w:val="center"/>
          </w:tcPr>
          <w:p w14:paraId="0FC3D5C4" w14:textId="77777777" w:rsidR="00B542CB" w:rsidRPr="00124E7F" w:rsidRDefault="00B542CB" w:rsidP="008B03A0">
            <w:pPr>
              <w:keepNext/>
              <w:keepLines/>
              <w:widowControl/>
              <w:autoSpaceDE/>
              <w:autoSpaceDN/>
              <w:adjustRightInd/>
              <w:spacing w:line="240" w:lineRule="auto"/>
              <w:jc w:val="center"/>
              <w:rPr>
                <w:color w:val="auto"/>
              </w:rPr>
            </w:pPr>
            <w:r w:rsidRPr="00124E7F">
              <w:rPr>
                <w:color w:val="auto"/>
              </w:rPr>
              <w:t>Greater legal certainty would be expected to lead to a fall in the transaction costs required by internet intermediaries to manage the risks associated with copyright.</w:t>
            </w:r>
          </w:p>
        </w:tc>
        <w:tc>
          <w:tcPr>
            <w:tcW w:w="696" w:type="pct"/>
            <w:shd w:val="clear" w:color="auto" w:fill="auto"/>
            <w:vAlign w:val="center"/>
          </w:tcPr>
          <w:p w14:paraId="66EC8177" w14:textId="77777777" w:rsidR="00B542CB" w:rsidRPr="00202E68" w:rsidRDefault="00B542CB" w:rsidP="00B542CB">
            <w:pPr>
              <w:keepNext/>
              <w:keepLines/>
              <w:widowControl/>
              <w:autoSpaceDE/>
              <w:autoSpaceDN/>
              <w:adjustRightInd/>
              <w:spacing w:line="240" w:lineRule="auto"/>
              <w:jc w:val="center"/>
              <w:rPr>
                <w:color w:val="auto"/>
              </w:rPr>
            </w:pPr>
            <w:r w:rsidRPr="00124E7F">
              <w:rPr>
                <w:color w:val="auto"/>
              </w:rPr>
              <w:t>-</w:t>
            </w:r>
          </w:p>
        </w:tc>
        <w:tc>
          <w:tcPr>
            <w:tcW w:w="480" w:type="pct"/>
            <w:shd w:val="clear" w:color="auto" w:fill="auto"/>
            <w:vAlign w:val="center"/>
          </w:tcPr>
          <w:p w14:paraId="1A2F9417" w14:textId="77777777" w:rsidR="00B542CB" w:rsidRPr="004213AE" w:rsidRDefault="00B542CB" w:rsidP="008B03A0">
            <w:pPr>
              <w:keepNext/>
              <w:keepLines/>
              <w:widowControl/>
              <w:autoSpaceDE/>
              <w:autoSpaceDN/>
              <w:adjustRightInd/>
              <w:spacing w:line="240" w:lineRule="auto"/>
              <w:jc w:val="center"/>
              <w:rPr>
                <w:color w:val="auto"/>
              </w:rPr>
            </w:pPr>
            <w:r w:rsidRPr="004213AE">
              <w:rPr>
                <w:color w:val="auto"/>
              </w:rPr>
              <w:t>?+</w:t>
            </w:r>
          </w:p>
        </w:tc>
      </w:tr>
      <w:tr w:rsidR="004213AE" w:rsidRPr="00124E7F" w14:paraId="19D7EF7C" w14:textId="77777777" w:rsidTr="00B542CB">
        <w:trPr>
          <w:trHeight w:val="1924"/>
        </w:trPr>
        <w:tc>
          <w:tcPr>
            <w:tcW w:w="914" w:type="pct"/>
            <w:shd w:val="clear" w:color="auto" w:fill="auto"/>
            <w:vAlign w:val="center"/>
          </w:tcPr>
          <w:p w14:paraId="726F134E" w14:textId="77777777" w:rsidR="00B542CB" w:rsidRPr="00124E7F" w:rsidRDefault="00B542CB" w:rsidP="008B03A0">
            <w:pPr>
              <w:keepNext/>
              <w:keepLines/>
              <w:widowControl/>
              <w:autoSpaceDE/>
              <w:autoSpaceDN/>
              <w:adjustRightInd/>
              <w:spacing w:line="240" w:lineRule="auto"/>
              <w:jc w:val="center"/>
              <w:rPr>
                <w:color w:val="auto"/>
              </w:rPr>
            </w:pPr>
            <w:r w:rsidRPr="00124E7F">
              <w:rPr>
                <w:color w:val="auto"/>
              </w:rPr>
              <w:t>Enhanced use of existing works</w:t>
            </w:r>
          </w:p>
        </w:tc>
        <w:tc>
          <w:tcPr>
            <w:tcW w:w="784" w:type="pct"/>
            <w:shd w:val="clear" w:color="auto" w:fill="auto"/>
            <w:vAlign w:val="center"/>
          </w:tcPr>
          <w:p w14:paraId="2A448DA6" w14:textId="77777777" w:rsidR="00B542CB" w:rsidRPr="00124E7F" w:rsidRDefault="00B542CB" w:rsidP="008B03A0">
            <w:pPr>
              <w:keepNext/>
              <w:keepLines/>
              <w:widowControl/>
              <w:autoSpaceDE/>
              <w:autoSpaceDN/>
              <w:adjustRightInd/>
              <w:spacing w:line="240" w:lineRule="auto"/>
              <w:jc w:val="center"/>
              <w:rPr>
                <w:color w:val="auto"/>
              </w:rPr>
            </w:pPr>
            <w:r w:rsidRPr="00124E7F">
              <w:rPr>
                <w:color w:val="auto"/>
              </w:rPr>
              <w:t>Users</w:t>
            </w:r>
          </w:p>
        </w:tc>
        <w:tc>
          <w:tcPr>
            <w:tcW w:w="584" w:type="pct"/>
            <w:shd w:val="clear" w:color="auto" w:fill="auto"/>
            <w:vAlign w:val="center"/>
          </w:tcPr>
          <w:p w14:paraId="22FAEBF4" w14:textId="77777777" w:rsidR="00B542CB" w:rsidRPr="00124E7F" w:rsidRDefault="00B542CB" w:rsidP="008B03A0">
            <w:pPr>
              <w:keepNext/>
              <w:keepLines/>
              <w:widowControl/>
              <w:spacing w:line="240" w:lineRule="auto"/>
              <w:jc w:val="center"/>
              <w:rPr>
                <w:color w:val="auto"/>
              </w:rPr>
            </w:pPr>
            <w:r w:rsidRPr="00124E7F">
              <w:rPr>
                <w:color w:val="auto"/>
              </w:rPr>
              <w:t>Short run</w:t>
            </w:r>
          </w:p>
        </w:tc>
        <w:tc>
          <w:tcPr>
            <w:tcW w:w="1542" w:type="pct"/>
            <w:shd w:val="clear" w:color="auto" w:fill="auto"/>
            <w:vAlign w:val="center"/>
          </w:tcPr>
          <w:p w14:paraId="0F3AB088" w14:textId="77777777" w:rsidR="00B542CB" w:rsidRPr="00124E7F" w:rsidRDefault="00B542CB" w:rsidP="008B03A0">
            <w:pPr>
              <w:keepNext/>
              <w:keepLines/>
              <w:widowControl/>
              <w:autoSpaceDE/>
              <w:autoSpaceDN/>
              <w:adjustRightInd/>
              <w:spacing w:line="240" w:lineRule="auto"/>
              <w:jc w:val="center"/>
              <w:rPr>
                <w:color w:val="auto"/>
              </w:rPr>
            </w:pPr>
            <w:r w:rsidRPr="00124E7F">
              <w:rPr>
                <w:color w:val="auto"/>
              </w:rPr>
              <w:t>A growth in activities by Australian-based internet intermediaries would be associated with short-term benefits for consumers, businesses and government.</w:t>
            </w:r>
          </w:p>
        </w:tc>
        <w:tc>
          <w:tcPr>
            <w:tcW w:w="696" w:type="pct"/>
            <w:shd w:val="clear" w:color="auto" w:fill="auto"/>
            <w:vAlign w:val="center"/>
          </w:tcPr>
          <w:p w14:paraId="5993106B" w14:textId="77777777" w:rsidR="00B542CB" w:rsidRPr="00202E68" w:rsidRDefault="00B542CB" w:rsidP="00B542CB">
            <w:pPr>
              <w:keepNext/>
              <w:keepLines/>
              <w:widowControl/>
              <w:autoSpaceDE/>
              <w:autoSpaceDN/>
              <w:adjustRightInd/>
              <w:spacing w:line="240" w:lineRule="auto"/>
              <w:jc w:val="center"/>
              <w:rPr>
                <w:color w:val="auto"/>
              </w:rPr>
            </w:pPr>
            <w:r w:rsidRPr="00124E7F">
              <w:rPr>
                <w:color w:val="auto"/>
              </w:rPr>
              <w:t>-</w:t>
            </w:r>
          </w:p>
        </w:tc>
        <w:tc>
          <w:tcPr>
            <w:tcW w:w="480" w:type="pct"/>
            <w:shd w:val="clear" w:color="auto" w:fill="auto"/>
            <w:vAlign w:val="center"/>
          </w:tcPr>
          <w:p w14:paraId="79E9CFDB" w14:textId="77777777" w:rsidR="00B542CB" w:rsidRPr="004213AE" w:rsidRDefault="00B542CB" w:rsidP="008B03A0">
            <w:pPr>
              <w:keepNext/>
              <w:keepLines/>
              <w:widowControl/>
              <w:autoSpaceDE/>
              <w:autoSpaceDN/>
              <w:adjustRightInd/>
              <w:spacing w:line="240" w:lineRule="auto"/>
              <w:jc w:val="center"/>
              <w:rPr>
                <w:color w:val="auto"/>
              </w:rPr>
            </w:pPr>
            <w:r w:rsidRPr="004213AE">
              <w:rPr>
                <w:color w:val="auto"/>
              </w:rPr>
              <w:t>?+</w:t>
            </w:r>
          </w:p>
        </w:tc>
      </w:tr>
      <w:tr w:rsidR="004213AE" w:rsidRPr="00124E7F" w14:paraId="7451A864" w14:textId="77777777" w:rsidTr="00B542CB">
        <w:trPr>
          <w:cnfStyle w:val="000000100000" w:firstRow="0" w:lastRow="0" w:firstColumn="0" w:lastColumn="0" w:oddVBand="0" w:evenVBand="0" w:oddHBand="1" w:evenHBand="0" w:firstRowFirstColumn="0" w:firstRowLastColumn="0" w:lastRowFirstColumn="0" w:lastRowLastColumn="0"/>
          <w:trHeight w:val="1046"/>
        </w:trPr>
        <w:tc>
          <w:tcPr>
            <w:tcW w:w="914" w:type="pct"/>
            <w:shd w:val="clear" w:color="auto" w:fill="auto"/>
            <w:vAlign w:val="center"/>
          </w:tcPr>
          <w:p w14:paraId="0C0B2352" w14:textId="77777777" w:rsidR="00B542CB" w:rsidRPr="00124E7F" w:rsidRDefault="00B542CB" w:rsidP="008B03A0">
            <w:pPr>
              <w:keepNext/>
              <w:keepLines/>
              <w:widowControl/>
              <w:autoSpaceDE/>
              <w:autoSpaceDN/>
              <w:adjustRightInd/>
              <w:spacing w:line="240" w:lineRule="auto"/>
              <w:jc w:val="center"/>
              <w:rPr>
                <w:color w:val="auto"/>
              </w:rPr>
            </w:pPr>
            <w:r w:rsidRPr="00124E7F">
              <w:rPr>
                <w:color w:val="auto"/>
              </w:rPr>
              <w:t>Incentives to invest in new uses of works</w:t>
            </w:r>
          </w:p>
        </w:tc>
        <w:tc>
          <w:tcPr>
            <w:tcW w:w="784" w:type="pct"/>
            <w:shd w:val="clear" w:color="auto" w:fill="auto"/>
            <w:vAlign w:val="center"/>
          </w:tcPr>
          <w:p w14:paraId="2256A7E7" w14:textId="77777777" w:rsidR="00B542CB" w:rsidRPr="00124E7F" w:rsidRDefault="00B542CB" w:rsidP="008B03A0">
            <w:pPr>
              <w:keepNext/>
              <w:keepLines/>
              <w:widowControl/>
              <w:autoSpaceDE/>
              <w:autoSpaceDN/>
              <w:adjustRightInd/>
              <w:spacing w:line="240" w:lineRule="auto"/>
              <w:jc w:val="center"/>
              <w:rPr>
                <w:color w:val="auto"/>
              </w:rPr>
            </w:pPr>
            <w:r w:rsidRPr="00124E7F">
              <w:rPr>
                <w:color w:val="auto"/>
              </w:rPr>
              <w:t>Users</w:t>
            </w:r>
          </w:p>
        </w:tc>
        <w:tc>
          <w:tcPr>
            <w:tcW w:w="584" w:type="pct"/>
            <w:shd w:val="clear" w:color="auto" w:fill="auto"/>
            <w:vAlign w:val="center"/>
          </w:tcPr>
          <w:p w14:paraId="71741BB6" w14:textId="77777777" w:rsidR="00B542CB" w:rsidRPr="00124E7F" w:rsidRDefault="00B542CB" w:rsidP="008B03A0">
            <w:pPr>
              <w:keepNext/>
              <w:keepLines/>
              <w:widowControl/>
              <w:spacing w:line="240" w:lineRule="auto"/>
              <w:jc w:val="center"/>
              <w:rPr>
                <w:color w:val="auto"/>
              </w:rPr>
            </w:pPr>
            <w:r w:rsidRPr="00124E7F">
              <w:rPr>
                <w:color w:val="auto"/>
              </w:rPr>
              <w:t>Long run</w:t>
            </w:r>
          </w:p>
        </w:tc>
        <w:tc>
          <w:tcPr>
            <w:tcW w:w="1542" w:type="pct"/>
            <w:shd w:val="clear" w:color="auto" w:fill="auto"/>
            <w:vAlign w:val="center"/>
          </w:tcPr>
          <w:p w14:paraId="0E580A4F" w14:textId="77777777" w:rsidR="00B542CB" w:rsidRPr="00124E7F" w:rsidRDefault="00B542CB" w:rsidP="008B03A0">
            <w:pPr>
              <w:keepNext/>
              <w:keepLines/>
              <w:widowControl/>
              <w:autoSpaceDE/>
              <w:autoSpaceDN/>
              <w:adjustRightInd/>
              <w:spacing w:line="240" w:lineRule="auto"/>
              <w:jc w:val="center"/>
              <w:rPr>
                <w:color w:val="auto"/>
              </w:rPr>
            </w:pPr>
            <w:r w:rsidRPr="00124E7F">
              <w:rPr>
                <w:color w:val="auto"/>
              </w:rPr>
              <w:t>Greater incentives for investments in innovative uses of copyright works by existing and new internet firms.</w:t>
            </w:r>
          </w:p>
        </w:tc>
        <w:tc>
          <w:tcPr>
            <w:tcW w:w="696" w:type="pct"/>
            <w:shd w:val="clear" w:color="auto" w:fill="auto"/>
            <w:vAlign w:val="center"/>
          </w:tcPr>
          <w:p w14:paraId="62902F78" w14:textId="77777777" w:rsidR="00B542CB" w:rsidRPr="00202E68" w:rsidRDefault="00B542CB" w:rsidP="00B542CB">
            <w:pPr>
              <w:keepNext/>
              <w:keepLines/>
              <w:widowControl/>
              <w:autoSpaceDE/>
              <w:autoSpaceDN/>
              <w:adjustRightInd/>
              <w:spacing w:line="240" w:lineRule="auto"/>
              <w:jc w:val="center"/>
              <w:rPr>
                <w:color w:val="auto"/>
              </w:rPr>
            </w:pPr>
            <w:r w:rsidRPr="00124E7F">
              <w:rPr>
                <w:color w:val="auto"/>
              </w:rPr>
              <w:t>-</w:t>
            </w:r>
          </w:p>
        </w:tc>
        <w:tc>
          <w:tcPr>
            <w:tcW w:w="480" w:type="pct"/>
            <w:shd w:val="clear" w:color="auto" w:fill="auto"/>
            <w:vAlign w:val="center"/>
          </w:tcPr>
          <w:p w14:paraId="507A0654" w14:textId="77777777" w:rsidR="00B542CB" w:rsidRPr="004213AE" w:rsidRDefault="00B542CB" w:rsidP="008B03A0">
            <w:pPr>
              <w:keepNext/>
              <w:keepLines/>
              <w:widowControl/>
              <w:autoSpaceDE/>
              <w:autoSpaceDN/>
              <w:adjustRightInd/>
              <w:spacing w:line="240" w:lineRule="auto"/>
              <w:jc w:val="center"/>
              <w:rPr>
                <w:color w:val="auto"/>
              </w:rPr>
            </w:pPr>
            <w:r w:rsidRPr="004213AE">
              <w:rPr>
                <w:color w:val="auto"/>
              </w:rPr>
              <w:t>?+</w:t>
            </w:r>
          </w:p>
        </w:tc>
      </w:tr>
      <w:tr w:rsidR="004213AE" w:rsidRPr="00124E7F" w14:paraId="25D59AF0" w14:textId="77777777" w:rsidTr="00B542CB">
        <w:trPr>
          <w:trHeight w:val="1396"/>
        </w:trPr>
        <w:tc>
          <w:tcPr>
            <w:tcW w:w="914" w:type="pct"/>
            <w:shd w:val="clear" w:color="auto" w:fill="auto"/>
            <w:vAlign w:val="center"/>
          </w:tcPr>
          <w:p w14:paraId="7BB60966" w14:textId="77777777" w:rsidR="00B542CB" w:rsidRPr="00124E7F" w:rsidRDefault="00B542CB" w:rsidP="008B03A0">
            <w:pPr>
              <w:keepNext/>
              <w:keepLines/>
              <w:widowControl/>
              <w:autoSpaceDE/>
              <w:autoSpaceDN/>
              <w:adjustRightInd/>
              <w:spacing w:line="240" w:lineRule="auto"/>
              <w:jc w:val="center"/>
              <w:rPr>
                <w:color w:val="auto"/>
              </w:rPr>
            </w:pPr>
            <w:r w:rsidRPr="00124E7F">
              <w:rPr>
                <w:color w:val="auto"/>
              </w:rPr>
              <w:t>Economic and societal benefits</w:t>
            </w:r>
          </w:p>
        </w:tc>
        <w:tc>
          <w:tcPr>
            <w:tcW w:w="784" w:type="pct"/>
            <w:shd w:val="clear" w:color="auto" w:fill="auto"/>
            <w:vAlign w:val="center"/>
          </w:tcPr>
          <w:p w14:paraId="11937EAD" w14:textId="77777777" w:rsidR="00B542CB" w:rsidRPr="00124E7F" w:rsidRDefault="00B542CB" w:rsidP="008B03A0">
            <w:pPr>
              <w:keepNext/>
              <w:keepLines/>
              <w:widowControl/>
              <w:autoSpaceDE/>
              <w:autoSpaceDN/>
              <w:adjustRightInd/>
              <w:spacing w:line="240" w:lineRule="auto"/>
              <w:jc w:val="center"/>
              <w:rPr>
                <w:color w:val="auto"/>
              </w:rPr>
            </w:pPr>
            <w:r w:rsidRPr="00124E7F">
              <w:rPr>
                <w:color w:val="auto"/>
              </w:rPr>
              <w:t>Economy/ Society</w:t>
            </w:r>
          </w:p>
        </w:tc>
        <w:tc>
          <w:tcPr>
            <w:tcW w:w="584" w:type="pct"/>
            <w:shd w:val="clear" w:color="auto" w:fill="auto"/>
            <w:vAlign w:val="center"/>
          </w:tcPr>
          <w:p w14:paraId="626F669F" w14:textId="77777777" w:rsidR="00B542CB" w:rsidRPr="00124E7F" w:rsidRDefault="00B542CB" w:rsidP="008B03A0">
            <w:pPr>
              <w:keepNext/>
              <w:keepLines/>
              <w:widowControl/>
              <w:spacing w:line="240" w:lineRule="auto"/>
              <w:jc w:val="center"/>
              <w:rPr>
                <w:color w:val="auto"/>
              </w:rPr>
            </w:pPr>
            <w:r w:rsidRPr="00124E7F">
              <w:rPr>
                <w:color w:val="auto"/>
              </w:rPr>
              <w:t>Both</w:t>
            </w:r>
          </w:p>
        </w:tc>
        <w:tc>
          <w:tcPr>
            <w:tcW w:w="1542" w:type="pct"/>
            <w:shd w:val="clear" w:color="auto" w:fill="auto"/>
            <w:vAlign w:val="center"/>
          </w:tcPr>
          <w:p w14:paraId="66C0CF4E" w14:textId="77777777" w:rsidR="00B542CB" w:rsidRPr="00124E7F" w:rsidRDefault="00B542CB" w:rsidP="008B03A0">
            <w:pPr>
              <w:pStyle w:val="AA-Normal"/>
              <w:keepNext/>
              <w:keepLines/>
              <w:widowControl/>
              <w:spacing w:after="0" w:line="240" w:lineRule="auto"/>
              <w:jc w:val="center"/>
              <w:rPr>
                <w:color w:val="auto"/>
              </w:rPr>
            </w:pPr>
            <w:r w:rsidRPr="00124E7F">
              <w:rPr>
                <w:color w:val="auto"/>
              </w:rPr>
              <w:t>In the long term, growth in internet firms would be expected to induce broader productivity benefits.</w:t>
            </w:r>
          </w:p>
        </w:tc>
        <w:tc>
          <w:tcPr>
            <w:tcW w:w="696" w:type="pct"/>
            <w:shd w:val="clear" w:color="auto" w:fill="auto"/>
            <w:vAlign w:val="center"/>
          </w:tcPr>
          <w:p w14:paraId="0DDDD29C" w14:textId="77777777" w:rsidR="00B542CB" w:rsidRPr="00202E68" w:rsidRDefault="00B542CB" w:rsidP="00B542CB">
            <w:pPr>
              <w:keepNext/>
              <w:keepLines/>
              <w:widowControl/>
              <w:autoSpaceDE/>
              <w:autoSpaceDN/>
              <w:adjustRightInd/>
              <w:spacing w:line="240" w:lineRule="auto"/>
              <w:jc w:val="center"/>
              <w:rPr>
                <w:color w:val="auto"/>
              </w:rPr>
            </w:pPr>
            <w:r w:rsidRPr="00124E7F">
              <w:rPr>
                <w:color w:val="auto"/>
              </w:rPr>
              <w:t>-</w:t>
            </w:r>
          </w:p>
        </w:tc>
        <w:tc>
          <w:tcPr>
            <w:tcW w:w="480" w:type="pct"/>
            <w:shd w:val="clear" w:color="auto" w:fill="auto"/>
            <w:vAlign w:val="center"/>
          </w:tcPr>
          <w:p w14:paraId="11E55409" w14:textId="77777777" w:rsidR="00B542CB" w:rsidRPr="004213AE" w:rsidRDefault="00B542CB" w:rsidP="008B03A0">
            <w:pPr>
              <w:keepNext/>
              <w:keepLines/>
              <w:widowControl/>
              <w:autoSpaceDE/>
              <w:autoSpaceDN/>
              <w:adjustRightInd/>
              <w:spacing w:line="240" w:lineRule="auto"/>
              <w:jc w:val="center"/>
              <w:rPr>
                <w:color w:val="auto"/>
              </w:rPr>
            </w:pPr>
            <w:r w:rsidRPr="004213AE">
              <w:rPr>
                <w:color w:val="auto"/>
              </w:rPr>
              <w:t>?+</w:t>
            </w:r>
          </w:p>
        </w:tc>
      </w:tr>
      <w:tr w:rsidR="004213AE" w:rsidRPr="00124E7F" w14:paraId="213A4582" w14:textId="77777777" w:rsidTr="00B542CB">
        <w:trPr>
          <w:cnfStyle w:val="000000100000" w:firstRow="0" w:lastRow="0" w:firstColumn="0" w:lastColumn="0" w:oddVBand="0" w:evenVBand="0" w:oddHBand="1" w:evenHBand="0" w:firstRowFirstColumn="0" w:firstRowLastColumn="0" w:lastRowFirstColumn="0" w:lastRowLastColumn="0"/>
          <w:trHeight w:val="340"/>
        </w:trPr>
        <w:tc>
          <w:tcPr>
            <w:tcW w:w="914" w:type="pct"/>
            <w:tcBorders>
              <w:top w:val="single" w:sz="4" w:space="0" w:color="808080" w:themeColor="background1" w:themeShade="80"/>
              <w:bottom w:val="single" w:sz="4" w:space="0" w:color="808080" w:themeColor="background1" w:themeShade="80"/>
            </w:tcBorders>
            <w:shd w:val="clear" w:color="auto" w:fill="E5E5E5" w:themeFill="accent1" w:themeFillTint="33"/>
            <w:vAlign w:val="center"/>
            <w:hideMark/>
          </w:tcPr>
          <w:p w14:paraId="0EA5AF79" w14:textId="77777777" w:rsidR="00B542CB" w:rsidRPr="00124E7F" w:rsidRDefault="00B542CB" w:rsidP="008B03A0">
            <w:pPr>
              <w:keepNext/>
              <w:keepLines/>
              <w:widowControl/>
              <w:autoSpaceDE/>
              <w:autoSpaceDN/>
              <w:adjustRightInd/>
              <w:spacing w:line="240" w:lineRule="auto"/>
              <w:jc w:val="center"/>
              <w:rPr>
                <w:b/>
                <w:color w:val="auto"/>
              </w:rPr>
            </w:pPr>
            <w:r w:rsidRPr="00124E7F">
              <w:rPr>
                <w:b/>
                <w:color w:val="auto"/>
              </w:rPr>
              <w:t>Net expected impact</w:t>
            </w:r>
          </w:p>
        </w:tc>
        <w:tc>
          <w:tcPr>
            <w:tcW w:w="784" w:type="pct"/>
            <w:tcBorders>
              <w:top w:val="single" w:sz="4" w:space="0" w:color="808080" w:themeColor="background1" w:themeShade="80"/>
              <w:bottom w:val="single" w:sz="4" w:space="0" w:color="808080" w:themeColor="background1" w:themeShade="80"/>
            </w:tcBorders>
            <w:shd w:val="clear" w:color="auto" w:fill="E5E5E5" w:themeFill="accent1" w:themeFillTint="33"/>
            <w:vAlign w:val="center"/>
          </w:tcPr>
          <w:p w14:paraId="054976F9" w14:textId="77777777" w:rsidR="00B542CB" w:rsidRPr="00124E7F" w:rsidRDefault="00B542CB" w:rsidP="008B03A0">
            <w:pPr>
              <w:keepNext/>
              <w:keepLines/>
              <w:widowControl/>
              <w:autoSpaceDE/>
              <w:autoSpaceDN/>
              <w:adjustRightInd/>
              <w:spacing w:line="240" w:lineRule="auto"/>
              <w:jc w:val="center"/>
              <w:rPr>
                <w:b/>
                <w:color w:val="auto"/>
              </w:rPr>
            </w:pPr>
            <w:r w:rsidRPr="00124E7F">
              <w:rPr>
                <w:b/>
                <w:color w:val="auto"/>
              </w:rPr>
              <w:t>-</w:t>
            </w:r>
          </w:p>
        </w:tc>
        <w:tc>
          <w:tcPr>
            <w:tcW w:w="584" w:type="pct"/>
            <w:tcBorders>
              <w:top w:val="single" w:sz="4" w:space="0" w:color="808080" w:themeColor="background1" w:themeShade="80"/>
              <w:bottom w:val="single" w:sz="4" w:space="0" w:color="808080" w:themeColor="background1" w:themeShade="80"/>
            </w:tcBorders>
            <w:shd w:val="clear" w:color="auto" w:fill="E5E5E5" w:themeFill="accent1" w:themeFillTint="33"/>
            <w:vAlign w:val="center"/>
          </w:tcPr>
          <w:p w14:paraId="6E65E2E8" w14:textId="77777777" w:rsidR="00B542CB" w:rsidRPr="00124E7F" w:rsidRDefault="00B542CB" w:rsidP="008B03A0">
            <w:pPr>
              <w:keepNext/>
              <w:keepLines/>
              <w:widowControl/>
              <w:spacing w:line="240" w:lineRule="auto"/>
              <w:jc w:val="center"/>
              <w:rPr>
                <w:b/>
                <w:color w:val="auto"/>
              </w:rPr>
            </w:pPr>
            <w:r w:rsidRPr="00124E7F">
              <w:rPr>
                <w:b/>
                <w:color w:val="auto"/>
              </w:rPr>
              <w:t>-</w:t>
            </w:r>
          </w:p>
        </w:tc>
        <w:tc>
          <w:tcPr>
            <w:tcW w:w="1542" w:type="pct"/>
            <w:tcBorders>
              <w:top w:val="single" w:sz="4" w:space="0" w:color="808080" w:themeColor="background1" w:themeShade="80"/>
              <w:bottom w:val="single" w:sz="4" w:space="0" w:color="808080" w:themeColor="background1" w:themeShade="80"/>
            </w:tcBorders>
            <w:shd w:val="clear" w:color="auto" w:fill="E5E5E5" w:themeFill="accent1" w:themeFillTint="33"/>
            <w:vAlign w:val="center"/>
          </w:tcPr>
          <w:p w14:paraId="55BEBDD0" w14:textId="77777777" w:rsidR="00B542CB" w:rsidRPr="00124E7F" w:rsidRDefault="00B542CB" w:rsidP="008B03A0">
            <w:pPr>
              <w:keepNext/>
              <w:keepLines/>
              <w:widowControl/>
              <w:autoSpaceDE/>
              <w:autoSpaceDN/>
              <w:adjustRightInd/>
              <w:spacing w:line="240" w:lineRule="auto"/>
              <w:jc w:val="center"/>
              <w:rPr>
                <w:b/>
                <w:color w:val="auto"/>
              </w:rPr>
            </w:pPr>
            <w:r w:rsidRPr="00124E7F">
              <w:rPr>
                <w:b/>
                <w:color w:val="auto"/>
              </w:rPr>
              <w:t>Positive impact, not quantifiable</w:t>
            </w:r>
          </w:p>
        </w:tc>
        <w:tc>
          <w:tcPr>
            <w:tcW w:w="696" w:type="pct"/>
            <w:tcBorders>
              <w:top w:val="single" w:sz="4" w:space="0" w:color="808080" w:themeColor="background1" w:themeShade="80"/>
              <w:bottom w:val="single" w:sz="4" w:space="0" w:color="808080" w:themeColor="background1" w:themeShade="80"/>
            </w:tcBorders>
            <w:shd w:val="clear" w:color="auto" w:fill="E5E5E5" w:themeFill="accent1" w:themeFillTint="33"/>
          </w:tcPr>
          <w:p w14:paraId="1184C52F" w14:textId="77777777" w:rsidR="00B542CB" w:rsidRPr="00202E68" w:rsidRDefault="00B542CB" w:rsidP="008B03A0">
            <w:pPr>
              <w:keepNext/>
              <w:keepLines/>
              <w:widowControl/>
              <w:autoSpaceDE/>
              <w:autoSpaceDN/>
              <w:adjustRightInd/>
              <w:spacing w:line="240" w:lineRule="auto"/>
              <w:jc w:val="center"/>
              <w:rPr>
                <w:b/>
                <w:color w:val="auto"/>
              </w:rPr>
            </w:pPr>
          </w:p>
        </w:tc>
        <w:tc>
          <w:tcPr>
            <w:tcW w:w="480" w:type="pct"/>
            <w:tcBorders>
              <w:top w:val="single" w:sz="4" w:space="0" w:color="808080" w:themeColor="background1" w:themeShade="80"/>
              <w:bottom w:val="single" w:sz="4" w:space="0" w:color="808080" w:themeColor="background1" w:themeShade="80"/>
            </w:tcBorders>
            <w:shd w:val="clear" w:color="auto" w:fill="E5E5E5" w:themeFill="accent1" w:themeFillTint="33"/>
            <w:vAlign w:val="center"/>
          </w:tcPr>
          <w:p w14:paraId="2D8D4FC7" w14:textId="77777777" w:rsidR="00B542CB" w:rsidRPr="004213AE" w:rsidRDefault="00B542CB" w:rsidP="008B03A0">
            <w:pPr>
              <w:keepNext/>
              <w:keepLines/>
              <w:widowControl/>
              <w:autoSpaceDE/>
              <w:autoSpaceDN/>
              <w:adjustRightInd/>
              <w:spacing w:line="240" w:lineRule="auto"/>
              <w:jc w:val="center"/>
              <w:rPr>
                <w:b/>
                <w:color w:val="auto"/>
              </w:rPr>
            </w:pPr>
            <w:r w:rsidRPr="004213AE">
              <w:rPr>
                <w:b/>
                <w:color w:val="auto"/>
              </w:rPr>
              <w:t>?+</w:t>
            </w:r>
          </w:p>
        </w:tc>
      </w:tr>
    </w:tbl>
    <w:p w14:paraId="53895941" w14:textId="77777777" w:rsidR="00BE4485" w:rsidRPr="00124E7F" w:rsidRDefault="00BE4485" w:rsidP="00BE4485"/>
    <w:p w14:paraId="5731E1F6" w14:textId="77777777" w:rsidR="00382C85" w:rsidRPr="00124E7F" w:rsidRDefault="00382C85">
      <w:pPr>
        <w:widowControl/>
        <w:autoSpaceDE/>
        <w:autoSpaceDN/>
        <w:adjustRightInd/>
        <w:spacing w:line="240" w:lineRule="auto"/>
        <w:rPr>
          <w:b/>
          <w:szCs w:val="24"/>
          <w:lang w:val="en-US"/>
        </w:rPr>
      </w:pPr>
      <w:r w:rsidRPr="00124E7F">
        <w:br w:type="page"/>
      </w:r>
    </w:p>
    <w:p w14:paraId="2FB681EB" w14:textId="77777777" w:rsidR="00D02CFB" w:rsidRPr="00124E7F" w:rsidRDefault="00F51864" w:rsidP="007A51B0">
      <w:pPr>
        <w:pStyle w:val="EYHeading4"/>
      </w:pPr>
      <w:r w:rsidRPr="00124E7F">
        <w:t xml:space="preserve">Benefits from reduced </w:t>
      </w:r>
      <w:r w:rsidR="002B58E6" w:rsidRPr="00124E7F">
        <w:t>administration</w:t>
      </w:r>
      <w:r w:rsidRPr="00124E7F">
        <w:t xml:space="preserve"> costs</w:t>
      </w:r>
    </w:p>
    <w:p w14:paraId="07A2EF43" w14:textId="77777777" w:rsidR="005D615C" w:rsidRPr="00124E7F" w:rsidRDefault="005D615C" w:rsidP="00394E76">
      <w:pPr>
        <w:pStyle w:val="EYBodytextwithparaspace"/>
      </w:pPr>
      <w:r w:rsidRPr="00124E7F">
        <w:t xml:space="preserve">It is generally accepted that internet activities such as searching, indexing and caching involve acts of reproduction, as the activities entail making technical copies of copyright content in order to </w:t>
      </w:r>
      <w:r w:rsidR="005B0216" w:rsidRPr="00124E7F">
        <w:t>facilitate</w:t>
      </w:r>
      <w:r w:rsidRPr="00124E7F">
        <w:t xml:space="preserve"> </w:t>
      </w:r>
      <w:r w:rsidR="005B0216" w:rsidRPr="00124E7F">
        <w:t>its use</w:t>
      </w:r>
      <w:r w:rsidRPr="00124E7F">
        <w:t xml:space="preserve">. </w:t>
      </w:r>
      <w:r w:rsidR="003F2F6F" w:rsidRPr="00124E7F">
        <w:t>The</w:t>
      </w:r>
      <w:r w:rsidRPr="00124E7F">
        <w:t xml:space="preserve"> act of reproduction of a copyrighted work is covered by an exclusive right that belongs to the right</w:t>
      </w:r>
      <w:r w:rsidR="006B2E08" w:rsidRPr="00124E7F">
        <w:t>s</w:t>
      </w:r>
      <w:r w:rsidRPr="00124E7F">
        <w:t xml:space="preserve"> holder. </w:t>
      </w:r>
      <w:r w:rsidR="00AB66EC" w:rsidRPr="00124E7F">
        <w:t xml:space="preserve">Therefore, internet intermediaries currently providing services </w:t>
      </w:r>
      <w:r w:rsidR="00223EDD" w:rsidRPr="00124E7F">
        <w:t>from</w:t>
      </w:r>
      <w:r w:rsidR="00AB66EC" w:rsidRPr="00124E7F">
        <w:t xml:space="preserve"> Australia are currently (knowingly or unknowingly) potentially liable for copyright infringement. </w:t>
      </w:r>
    </w:p>
    <w:p w14:paraId="10C19D7B" w14:textId="77777777" w:rsidR="00AB66EC" w:rsidRPr="00124E7F" w:rsidRDefault="00AB66EC" w:rsidP="00394E76">
      <w:pPr>
        <w:pStyle w:val="EYBodytextwithparaspace"/>
      </w:pPr>
      <w:r w:rsidRPr="00124E7F">
        <w:t>To fully protect themselves against this liability, internet intermediaries would have to expend large transaction costs to obtain the required permissions from all right</w:t>
      </w:r>
      <w:r w:rsidR="006B2E08" w:rsidRPr="00124E7F">
        <w:t>s</w:t>
      </w:r>
      <w:r w:rsidRPr="00124E7F">
        <w:t xml:space="preserve"> holders involved. This is neither realistic nor practical. An argument made</w:t>
      </w:r>
      <w:r w:rsidR="006A4EF3" w:rsidRPr="00124E7F">
        <w:t xml:space="preserve"> even as early as 2000</w:t>
      </w:r>
      <w:r w:rsidRPr="00124E7F">
        <w:t xml:space="preserve"> by the </w:t>
      </w:r>
      <w:r w:rsidRPr="00124E7F">
        <w:rPr>
          <w:i/>
        </w:rPr>
        <w:t>Review of Intellectual Property Legislation under Competition Principles Agreement</w:t>
      </w:r>
      <w:r w:rsidRPr="00124E7F">
        <w:t>.</w:t>
      </w:r>
    </w:p>
    <w:p w14:paraId="6EC33DBD" w14:textId="77777777" w:rsidR="00342D2F" w:rsidRPr="00124E7F" w:rsidRDefault="005D615C" w:rsidP="0074516E">
      <w:pPr>
        <w:pStyle w:val="EYIndent1"/>
        <w:rPr>
          <w:i/>
        </w:rPr>
      </w:pPr>
      <w:r w:rsidRPr="00124E7F">
        <w:rPr>
          <w:i/>
        </w:rPr>
        <w:t xml:space="preserve">The Committee </w:t>
      </w:r>
      <w:proofErr w:type="spellStart"/>
      <w:r w:rsidRPr="00124E7F">
        <w:rPr>
          <w:i/>
        </w:rPr>
        <w:t>recognises</w:t>
      </w:r>
      <w:proofErr w:type="spellEnd"/>
      <w:r w:rsidRPr="00124E7F">
        <w:rPr>
          <w:i/>
        </w:rPr>
        <w:t xml:space="preserve"> that, at least at present, caching appears to be of considerable significance to the efficiency of the Internet; and that the transaction costs to secure </w:t>
      </w:r>
      <w:r w:rsidR="005D236A" w:rsidRPr="00124E7F">
        <w:rPr>
          <w:i/>
        </w:rPr>
        <w:t>licens</w:t>
      </w:r>
      <w:r w:rsidRPr="00124E7F">
        <w:rPr>
          <w:i/>
        </w:rPr>
        <w:t>es to cache could be prohibitive for ISPs. As a result, Government policy should help ensure that an efficiency-enhancing activity is not prohibited.</w:t>
      </w:r>
      <w:r w:rsidR="00AB66EC" w:rsidRPr="00124E7F">
        <w:rPr>
          <w:i/>
          <w:vertAlign w:val="superscript"/>
        </w:rPr>
        <w:footnoteReference w:id="97"/>
      </w:r>
    </w:p>
    <w:p w14:paraId="5324757E" w14:textId="77777777" w:rsidR="006F75F7" w:rsidRPr="00124E7F" w:rsidRDefault="00651888" w:rsidP="00394E76">
      <w:pPr>
        <w:pStyle w:val="EYBodytextwithparaspace"/>
      </w:pPr>
      <w:r w:rsidRPr="00124E7F">
        <w:t>Considering the number of websites on the internet and the continual stream of new additions</w:t>
      </w:r>
      <w:r w:rsidR="00344827" w:rsidRPr="00124E7F">
        <w:t>,</w:t>
      </w:r>
      <w:r w:rsidRPr="00124E7F">
        <w:t xml:space="preserve"> the transaction costs associated with the reproduction of works relating to </w:t>
      </w:r>
      <w:r w:rsidR="00344827" w:rsidRPr="00124E7F">
        <w:t xml:space="preserve">searching, indexing and caching </w:t>
      </w:r>
      <w:r w:rsidR="00342D2F" w:rsidRPr="00124E7F">
        <w:t xml:space="preserve">would be very high. </w:t>
      </w:r>
      <w:r w:rsidR="00812955" w:rsidRPr="00124E7F">
        <w:t>Lateral</w:t>
      </w:r>
      <w:r w:rsidR="00407B8A" w:rsidRPr="00124E7F">
        <w:t xml:space="preserve"> </w:t>
      </w:r>
      <w:r w:rsidR="00344827" w:rsidRPr="00124E7F">
        <w:t>Economics found that without a copyright exception, transaction costs associated with clearing permission</w:t>
      </w:r>
      <w:r w:rsidR="006A4EF3" w:rsidRPr="00124E7F">
        <w:t>s by search engines</w:t>
      </w:r>
      <w:r w:rsidR="00344827" w:rsidRPr="00124E7F">
        <w:t xml:space="preserve"> would exceed $150 billion per year</w:t>
      </w:r>
      <w:r w:rsidR="006A4EF3" w:rsidRPr="00124E7F">
        <w:t xml:space="preserve"> (</w:t>
      </w:r>
      <w:r w:rsidR="0097185F" w:rsidRPr="00124E7F">
        <w:fldChar w:fldCharType="begin"/>
      </w:r>
      <w:r w:rsidR="0097185F" w:rsidRPr="00124E7F">
        <w:instrText xml:space="preserve"> REF _Ref467501737 \h </w:instrText>
      </w:r>
      <w:r w:rsidR="0097185F" w:rsidRPr="00124E7F">
        <w:fldChar w:fldCharType="separate"/>
      </w:r>
      <w:r w:rsidR="0075700D" w:rsidRPr="00124E7F">
        <w:t xml:space="preserve">Box </w:t>
      </w:r>
      <w:r w:rsidR="0075700D">
        <w:rPr>
          <w:noProof/>
        </w:rPr>
        <w:t>4</w:t>
      </w:r>
      <w:r w:rsidR="0097185F" w:rsidRPr="00124E7F">
        <w:fldChar w:fldCharType="end"/>
      </w:r>
      <w:r w:rsidR="006A4EF3" w:rsidRPr="00124E7F">
        <w:t>)</w:t>
      </w:r>
      <w:r w:rsidR="00344827" w:rsidRPr="00124E7F">
        <w:t>.</w:t>
      </w:r>
      <w:r w:rsidR="006F75F7" w:rsidRPr="00124E7F">
        <w:rPr>
          <w:vertAlign w:val="superscript"/>
        </w:rPr>
        <w:footnoteReference w:id="98"/>
      </w:r>
      <w:r w:rsidR="00344827" w:rsidRPr="00124E7F">
        <w:rPr>
          <w:vertAlign w:val="superscript"/>
        </w:rPr>
        <w:t xml:space="preserve"> </w:t>
      </w:r>
      <w:r w:rsidR="006A4EF3" w:rsidRPr="00124E7F">
        <w:t xml:space="preserve"> </w:t>
      </w:r>
      <w:r w:rsidR="006F75F7" w:rsidRPr="00124E7F">
        <w:t xml:space="preserve">While </w:t>
      </w:r>
      <w:r w:rsidR="006A4EF3" w:rsidRPr="00124E7F">
        <w:t>some of the assumptions</w:t>
      </w:r>
      <w:r w:rsidR="006F75F7" w:rsidRPr="00124E7F">
        <w:t xml:space="preserve"> </w:t>
      </w:r>
      <w:r w:rsidR="006F6440" w:rsidRPr="00124E7F">
        <w:t>underlying</w:t>
      </w:r>
      <w:r w:rsidR="006F75F7" w:rsidRPr="00124E7F">
        <w:t xml:space="preserve"> this estimate may be disputed, it is important to note that with ‘large numbers of content publishers and intermediaries involved in such transaction activities, even transactions with modest costs involved lead to very high transaction costs’</w:t>
      </w:r>
      <w:r w:rsidR="0097562E" w:rsidRPr="00124E7F">
        <w:t>.</w:t>
      </w:r>
      <w:r w:rsidR="006F75F7" w:rsidRPr="00124E7F">
        <w:rPr>
          <w:vertAlign w:val="superscript"/>
        </w:rPr>
        <w:footnoteReference w:id="99"/>
      </w:r>
    </w:p>
    <w:p w14:paraId="38BC4A1A" w14:textId="77777777" w:rsidR="00590922" w:rsidRPr="00124E7F" w:rsidRDefault="00223EDD" w:rsidP="00394E76">
      <w:pPr>
        <w:pStyle w:val="EYBodytextwithparaspace"/>
      </w:pPr>
      <w:r w:rsidRPr="00124E7F">
        <w:t xml:space="preserve">Therefore, to the extent that the proposed exception would provide more legal certainty for internet intermediaries operating in or intending to operate in Australia, it may lead to a fall in the transaction costs required to </w:t>
      </w:r>
      <w:r w:rsidR="006F6440" w:rsidRPr="00124E7F">
        <w:t xml:space="preserve">manage the risk associated with copyright infringement. </w:t>
      </w:r>
      <w:r w:rsidR="00590922" w:rsidRPr="00124E7F">
        <w:t xml:space="preserve"> </w:t>
      </w:r>
    </w:p>
    <w:p w14:paraId="2A738D6E" w14:textId="77777777" w:rsidR="00812955" w:rsidRPr="00124E7F" w:rsidRDefault="009F5024" w:rsidP="009F5024">
      <w:pPr>
        <w:pStyle w:val="Caption"/>
        <w:pBdr>
          <w:top w:val="single" w:sz="4" w:space="1" w:color="808080" w:themeColor="background1" w:themeShade="80"/>
        </w:pBdr>
      </w:pPr>
      <w:bookmarkStart w:id="114" w:name="_Ref467501737"/>
      <w:bookmarkStart w:id="115" w:name="_Ref446340702"/>
      <w:r w:rsidRPr="00124E7F">
        <w:t xml:space="preserve">Box </w:t>
      </w:r>
      <w:r w:rsidRPr="00124E7F">
        <w:fldChar w:fldCharType="begin"/>
      </w:r>
      <w:r w:rsidRPr="00124E7F">
        <w:instrText xml:space="preserve"> SEQ Box \* ARABIC </w:instrText>
      </w:r>
      <w:r w:rsidRPr="00124E7F">
        <w:fldChar w:fldCharType="separate"/>
      </w:r>
      <w:r w:rsidR="0075700D">
        <w:rPr>
          <w:noProof/>
        </w:rPr>
        <w:t>4</w:t>
      </w:r>
      <w:r w:rsidRPr="00124E7F">
        <w:fldChar w:fldCharType="end"/>
      </w:r>
      <w:bookmarkEnd w:id="114"/>
      <w:r w:rsidR="0097185F" w:rsidRPr="00124E7F">
        <w:t>:</w:t>
      </w:r>
      <w:bookmarkEnd w:id="115"/>
      <w:r w:rsidR="0097185F" w:rsidRPr="00124E7F">
        <w:t xml:space="preserve"> </w:t>
      </w:r>
      <w:r w:rsidR="00812955" w:rsidRPr="00124E7F">
        <w:t>Lateral</w:t>
      </w:r>
      <w:r w:rsidR="00407B8A" w:rsidRPr="00124E7F">
        <w:t xml:space="preserve"> </w:t>
      </w:r>
      <w:r w:rsidR="00812955" w:rsidRPr="00124E7F">
        <w:t>Economics estimates for the transaction costs related to search engines</w:t>
      </w:r>
    </w:p>
    <w:p w14:paraId="2E058177" w14:textId="77777777" w:rsidR="0097185F" w:rsidRPr="00124E7F" w:rsidRDefault="0097185F" w:rsidP="00DE543E">
      <w:pPr>
        <w:pStyle w:val="EYBodytextwithparaspace"/>
        <w:pBdr>
          <w:bottom w:val="single" w:sz="4" w:space="1" w:color="808080" w:themeColor="background1" w:themeShade="80"/>
        </w:pBdr>
      </w:pPr>
      <w:r w:rsidRPr="00124E7F">
        <w:t>If the 170 search engines listed at &lt;&lt; www.philb.com/webse.htm &gt;&gt; transacted with all 3.8 million Australian domain name registrants (proxy for online content publishers), it would involve 645 million transactions. If each transaction took 9.5 hours, then, at average weekly wages of $26 per hour, the transaction costs would exceed $150 billion a year. And that is just for the Australian domain names.</w:t>
      </w:r>
    </w:p>
    <w:p w14:paraId="2444772B" w14:textId="77777777" w:rsidR="00812955" w:rsidRPr="00124E7F" w:rsidRDefault="00812955" w:rsidP="00BE4485">
      <w:pPr>
        <w:pStyle w:val="EYSource"/>
        <w:rPr>
          <w:sz w:val="20"/>
          <w:szCs w:val="20"/>
        </w:rPr>
      </w:pPr>
      <w:r w:rsidRPr="00124E7F">
        <w:rPr>
          <w:sz w:val="20"/>
          <w:szCs w:val="20"/>
        </w:rPr>
        <w:t>Source: Lateral</w:t>
      </w:r>
      <w:r w:rsidR="00407B8A" w:rsidRPr="00124E7F">
        <w:rPr>
          <w:sz w:val="20"/>
          <w:szCs w:val="20"/>
        </w:rPr>
        <w:t xml:space="preserve"> </w:t>
      </w:r>
      <w:r w:rsidRPr="00124E7F">
        <w:rPr>
          <w:sz w:val="20"/>
          <w:szCs w:val="20"/>
        </w:rPr>
        <w:t>Economics (2012), p.29.</w:t>
      </w:r>
    </w:p>
    <w:p w14:paraId="719C644A" w14:textId="77777777" w:rsidR="00385F5B" w:rsidRPr="00124E7F" w:rsidRDefault="00385F5B" w:rsidP="00385F5B"/>
    <w:p w14:paraId="17C06984" w14:textId="77777777" w:rsidR="00914169" w:rsidRPr="00124E7F" w:rsidRDefault="00803FDC" w:rsidP="00394E76">
      <w:pPr>
        <w:pStyle w:val="EYHeading4"/>
      </w:pPr>
      <w:r w:rsidRPr="00124E7F">
        <w:t xml:space="preserve">Economic and </w:t>
      </w:r>
      <w:r w:rsidR="002B58E6" w:rsidRPr="00124E7F">
        <w:t>societal</w:t>
      </w:r>
      <w:r w:rsidRPr="00124E7F">
        <w:t xml:space="preserve"> benefits</w:t>
      </w:r>
    </w:p>
    <w:p w14:paraId="4B9C9F88" w14:textId="77777777" w:rsidR="008876E3" w:rsidRPr="00124E7F" w:rsidRDefault="00933AE3" w:rsidP="00394E76">
      <w:pPr>
        <w:pStyle w:val="EYBodytextwithparaspace"/>
      </w:pPr>
      <w:r w:rsidRPr="00124E7F">
        <w:t>A</w:t>
      </w:r>
      <w:r w:rsidR="00E964DD" w:rsidRPr="00124E7F">
        <w:t xml:space="preserve"> report by Deloitte Access Economics estimated </w:t>
      </w:r>
      <w:r w:rsidR="00262FDF" w:rsidRPr="00124E7F">
        <w:t xml:space="preserve">that the internet contributed $79 billion (or 5.1%) to </w:t>
      </w:r>
      <w:r w:rsidRPr="00124E7F">
        <w:t xml:space="preserve">Australia’s </w:t>
      </w:r>
      <w:r w:rsidR="00262FDF" w:rsidRPr="00124E7F">
        <w:t>GDP in 2013-14.</w:t>
      </w:r>
      <w:r w:rsidR="00262FDF" w:rsidRPr="00124E7F">
        <w:rPr>
          <w:vertAlign w:val="superscript"/>
        </w:rPr>
        <w:footnoteReference w:id="100"/>
      </w:r>
      <w:r w:rsidR="00262FDF" w:rsidRPr="00124E7F">
        <w:rPr>
          <w:vertAlign w:val="superscript"/>
        </w:rPr>
        <w:t xml:space="preserve"> </w:t>
      </w:r>
      <w:r w:rsidR="00E90C9E" w:rsidRPr="00124E7F">
        <w:t xml:space="preserve"> </w:t>
      </w:r>
      <w:r w:rsidR="006F6440" w:rsidRPr="00124E7F">
        <w:t>According to the report, t</w:t>
      </w:r>
      <w:r w:rsidR="008876E3" w:rsidRPr="00124E7F">
        <w:t>he internet is driving benefits across all sectors of society:</w:t>
      </w:r>
    </w:p>
    <w:p w14:paraId="52A0EF2F" w14:textId="77777777" w:rsidR="008876E3" w:rsidRPr="00124E7F" w:rsidRDefault="008876E3" w:rsidP="00634BB4">
      <w:pPr>
        <w:pStyle w:val="EYBulletedText1"/>
      </w:pPr>
      <w:r w:rsidRPr="00124E7F">
        <w:t xml:space="preserve">For </w:t>
      </w:r>
      <w:r w:rsidRPr="00124E7F">
        <w:rPr>
          <w:b/>
        </w:rPr>
        <w:t>consumers</w:t>
      </w:r>
      <w:r w:rsidR="0047584C" w:rsidRPr="00124E7F">
        <w:t>,</w:t>
      </w:r>
      <w:r w:rsidRPr="00124E7F">
        <w:t xml:space="preserve"> the internet’s value is discussed in terms of search, variety, convenience and recreation. The ability to search for information on the internet </w:t>
      </w:r>
      <w:r w:rsidR="0047584C" w:rsidRPr="00124E7F">
        <w:t>alone</w:t>
      </w:r>
      <w:r w:rsidRPr="00124E7F">
        <w:t xml:space="preserve"> was estimated to be worth around $8.4 billion per annum.</w:t>
      </w:r>
      <w:r w:rsidR="0047584C" w:rsidRPr="00124E7F">
        <w:rPr>
          <w:vertAlign w:val="superscript"/>
        </w:rPr>
        <w:footnoteReference w:id="101"/>
      </w:r>
    </w:p>
    <w:p w14:paraId="0304C28F" w14:textId="77777777" w:rsidR="008876E3" w:rsidRPr="00124E7F" w:rsidRDefault="008876E3" w:rsidP="00634BB4">
      <w:pPr>
        <w:pStyle w:val="EYBulletedText1"/>
      </w:pPr>
      <w:r w:rsidRPr="00124E7F">
        <w:t xml:space="preserve">The internet is transforming </w:t>
      </w:r>
      <w:r w:rsidRPr="00124E7F">
        <w:rPr>
          <w:b/>
        </w:rPr>
        <w:t>businesses</w:t>
      </w:r>
      <w:r w:rsidRPr="00124E7F">
        <w:t xml:space="preserve"> </w:t>
      </w:r>
      <w:r w:rsidR="006F6440" w:rsidRPr="00124E7F">
        <w:t xml:space="preserve">by </w:t>
      </w:r>
      <w:r w:rsidRPr="00124E7F">
        <w:t xml:space="preserve">providing future drivers of growth as well as </w:t>
      </w:r>
      <w:r w:rsidR="006F6440" w:rsidRPr="00124E7F">
        <w:t xml:space="preserve">contributing to </w:t>
      </w:r>
      <w:r w:rsidRPr="00124E7F">
        <w:t xml:space="preserve">improved employee flexibility and </w:t>
      </w:r>
      <w:r w:rsidR="0047584C" w:rsidRPr="00124E7F">
        <w:t>engagement.</w:t>
      </w:r>
      <w:r w:rsidR="0047584C" w:rsidRPr="00124E7F">
        <w:rPr>
          <w:vertAlign w:val="superscript"/>
        </w:rPr>
        <w:t xml:space="preserve"> </w:t>
      </w:r>
    </w:p>
    <w:p w14:paraId="68A88B50" w14:textId="77777777" w:rsidR="0047584C" w:rsidRPr="00124E7F" w:rsidRDefault="008876E3" w:rsidP="00634BB4">
      <w:pPr>
        <w:pStyle w:val="EYBulletedText1"/>
      </w:pPr>
      <w:r w:rsidRPr="00124E7F">
        <w:t xml:space="preserve">The internet is </w:t>
      </w:r>
      <w:r w:rsidR="0047584C" w:rsidRPr="00124E7F">
        <w:t xml:space="preserve">also </w:t>
      </w:r>
      <w:r w:rsidRPr="00124E7F">
        <w:t xml:space="preserve">driving efficiencies and better outcomes in </w:t>
      </w:r>
      <w:r w:rsidRPr="00124E7F">
        <w:rPr>
          <w:b/>
        </w:rPr>
        <w:t>government services</w:t>
      </w:r>
      <w:r w:rsidRPr="00124E7F">
        <w:t>, particularly in admin</w:t>
      </w:r>
      <w:r w:rsidR="0047584C" w:rsidRPr="00124E7F">
        <w:t>istration and safety, education</w:t>
      </w:r>
      <w:r w:rsidRPr="00124E7F">
        <w:t>, and health care and social services.</w:t>
      </w:r>
      <w:r w:rsidR="0047584C" w:rsidRPr="00124E7F">
        <w:rPr>
          <w:vertAlign w:val="superscript"/>
        </w:rPr>
        <w:t xml:space="preserve"> </w:t>
      </w:r>
    </w:p>
    <w:p w14:paraId="772636F7" w14:textId="1FC6777F" w:rsidR="007E3ABA" w:rsidRDefault="006F6440" w:rsidP="00202E68">
      <w:pPr>
        <w:pStyle w:val="EYBulletedText1"/>
      </w:pPr>
      <w:r w:rsidRPr="00124E7F">
        <w:t xml:space="preserve">At the macroeconomic level, the </w:t>
      </w:r>
      <w:r w:rsidRPr="007E3ABA">
        <w:rPr>
          <w:b/>
        </w:rPr>
        <w:t>productivity impacts</w:t>
      </w:r>
      <w:r w:rsidRPr="00124E7F">
        <w:t xml:space="preserve"> of the internet are driving improvements in Australia’s living standards. </w:t>
      </w:r>
      <w:r w:rsidR="000D279C" w:rsidRPr="00124E7F">
        <w:t>This has occurred through a number of mechanisms including</w:t>
      </w:r>
      <w:r w:rsidRPr="00124E7F">
        <w:t xml:space="preserve"> </w:t>
      </w:r>
      <w:r w:rsidR="0047584C" w:rsidRPr="00124E7F">
        <w:t>‘increased competition, reduced prices, enabling efficiencies within businesses, and driving innovation for better goods and services’.</w:t>
      </w:r>
      <w:r w:rsidR="000D279C" w:rsidRPr="00124E7F">
        <w:rPr>
          <w:vertAlign w:val="superscript"/>
        </w:rPr>
        <w:footnoteReference w:id="102"/>
      </w:r>
    </w:p>
    <w:p w14:paraId="1017896F" w14:textId="77777777" w:rsidR="00E90C9E" w:rsidRPr="00124E7F" w:rsidRDefault="004D5D6A">
      <w:pPr>
        <w:pStyle w:val="EYBodytextwithparaspace"/>
      </w:pPr>
      <w:r w:rsidRPr="00124E7F">
        <w:t xml:space="preserve">These are benefits of the internet rather than a fair dealing exception for incidental or technical </w:t>
      </w:r>
      <w:r w:rsidR="00590922" w:rsidRPr="00124E7F">
        <w:t>use</w:t>
      </w:r>
      <w:r w:rsidRPr="00124E7F">
        <w:t>.</w:t>
      </w:r>
      <w:r w:rsidR="00E90C9E" w:rsidRPr="00124E7F">
        <w:t xml:space="preserve"> </w:t>
      </w:r>
      <w:r w:rsidRPr="00124E7F">
        <w:t xml:space="preserve">However, to the extent that </w:t>
      </w:r>
      <w:r w:rsidR="00590922" w:rsidRPr="00124E7F">
        <w:t>an</w:t>
      </w:r>
      <w:r w:rsidRPr="00124E7F">
        <w:t xml:space="preserve"> exception </w:t>
      </w:r>
      <w:r w:rsidR="00590922" w:rsidRPr="00124E7F">
        <w:t xml:space="preserve">would decrease transaction costs </w:t>
      </w:r>
      <w:r w:rsidR="00A968D5" w:rsidRPr="00124E7F">
        <w:t>and spur the activities of internet intermediaries</w:t>
      </w:r>
      <w:r w:rsidRPr="00124E7F">
        <w:t xml:space="preserve">, this may lead to </w:t>
      </w:r>
      <w:r w:rsidR="007860F7" w:rsidRPr="00124E7F">
        <w:t>an increase in these benefits</w:t>
      </w:r>
      <w:r w:rsidR="00877A47" w:rsidRPr="00124E7F">
        <w:t>.</w:t>
      </w:r>
      <w:r w:rsidR="00E90C9E" w:rsidRPr="00124E7F">
        <w:t xml:space="preserve"> </w:t>
      </w:r>
    </w:p>
    <w:p w14:paraId="720029C8" w14:textId="77777777" w:rsidR="001F7CFF" w:rsidRPr="00124E7F" w:rsidRDefault="001F7CFF" w:rsidP="00394E76">
      <w:pPr>
        <w:pStyle w:val="EYBodytextwithparaspace"/>
      </w:pPr>
      <w:r w:rsidRPr="00124E7F">
        <w:t xml:space="preserve">There is a lack of evidence on the extent to which Copyright law is currently constraining the activities of internet intermediaries in Australia. Thus far, arguments put forward have been largely qualitative. On the one hand, those supporting the status quo, argue that the Act does not impede search engines such as Google providing services to Australians. Conversely, proponents of the ALRC’s recommendations, argue that there is a difference between overseas-based and Australian-based search engines, with the former relying on more flexible copyright arrangements in their host countries to provide services in Australia. The more pertinent question, therefore, appears to be to what extent the status quo is impacting on Australian-based intermediaries. </w:t>
      </w:r>
    </w:p>
    <w:p w14:paraId="0B4FE248" w14:textId="77777777" w:rsidR="001F7CFF" w:rsidRPr="00124E7F" w:rsidRDefault="00FD5DB6" w:rsidP="00394E76">
      <w:pPr>
        <w:pStyle w:val="EYBodytextwithparaspace"/>
      </w:pPr>
      <w:r w:rsidRPr="00124E7F">
        <w:t>Based on evidence of around 500 intern</w:t>
      </w:r>
      <w:r w:rsidR="00AC0F2D" w:rsidRPr="00124E7F">
        <w:t>et service providers</w:t>
      </w:r>
      <w:r w:rsidR="00956B9C" w:rsidRPr="00124E7F">
        <w:t xml:space="preserve"> (ISPs)</w:t>
      </w:r>
      <w:r w:rsidRPr="00124E7F">
        <w:t xml:space="preserve"> in Australia in June 2010,</w:t>
      </w:r>
      <w:r w:rsidR="005343AC" w:rsidRPr="00124E7F">
        <w:t xml:space="preserve"> the report by Lateral</w:t>
      </w:r>
      <w:r w:rsidR="002A12FB" w:rsidRPr="00124E7F">
        <w:t xml:space="preserve"> </w:t>
      </w:r>
      <w:r w:rsidR="005343AC" w:rsidRPr="00124E7F">
        <w:t>Economics</w:t>
      </w:r>
      <w:r w:rsidR="00525F6F" w:rsidRPr="00124E7F">
        <w:t xml:space="preserve"> </w:t>
      </w:r>
      <w:r w:rsidR="005343AC" w:rsidRPr="00124E7F">
        <w:t>estimated that there were around 1,000 internet intermediaries providing caching, searching and hosting services in Australia.</w:t>
      </w:r>
      <w:r w:rsidR="005343AC" w:rsidRPr="00124E7F">
        <w:rPr>
          <w:vertAlign w:val="superscript"/>
        </w:rPr>
        <w:footnoteReference w:id="103"/>
      </w:r>
      <w:r w:rsidR="00AC0F2D" w:rsidRPr="00124E7F">
        <w:rPr>
          <w:vertAlign w:val="superscript"/>
        </w:rPr>
        <w:t xml:space="preserve"> </w:t>
      </w:r>
      <w:r w:rsidR="001F7CFF" w:rsidRPr="00124E7F">
        <w:t>Data gathered by the World Startup Report on the number and value of internet start-ups across 50 countries appears to show that Australia is relatively competitive. In 2013, Australia had in excess of 1,000 internet firms</w:t>
      </w:r>
      <w:r w:rsidR="00C358CE" w:rsidRPr="00124E7F">
        <w:rPr>
          <w:rStyle w:val="FootnoteReference"/>
        </w:rPr>
        <w:footnoteReference w:id="104"/>
      </w:r>
      <w:r w:rsidR="001F7CFF" w:rsidRPr="00124E7F">
        <w:t>, five of which were valued over $1 billion (</w:t>
      </w:r>
      <w:r w:rsidR="002D6A95" w:rsidRPr="00124E7F">
        <w:fldChar w:fldCharType="begin"/>
      </w:r>
      <w:r w:rsidR="002D6A95" w:rsidRPr="00124E7F">
        <w:instrText xml:space="preserve"> REF _Ref446664172 \h </w:instrText>
      </w:r>
      <w:r w:rsidR="002D6A95" w:rsidRPr="00124E7F">
        <w:fldChar w:fldCharType="separate"/>
      </w:r>
      <w:r w:rsidR="0075700D" w:rsidRPr="00124E7F">
        <w:t xml:space="preserve">Table </w:t>
      </w:r>
      <w:r w:rsidR="0075700D">
        <w:rPr>
          <w:noProof/>
        </w:rPr>
        <w:t>6</w:t>
      </w:r>
      <w:r w:rsidR="002D6A95" w:rsidRPr="00124E7F">
        <w:fldChar w:fldCharType="end"/>
      </w:r>
      <w:r w:rsidR="001F7CFF" w:rsidRPr="00124E7F">
        <w:t xml:space="preserve">). Looking at the biggest internet firms by value, Australia’s search engine REA (realestate.com.au) was ranked </w:t>
      </w:r>
      <w:r w:rsidR="00C358CE" w:rsidRPr="00124E7F">
        <w:t>eighth</w:t>
      </w:r>
      <w:r w:rsidR="001F7CFF" w:rsidRPr="00124E7F">
        <w:t>, with a net worth of $6.6 billion.</w:t>
      </w:r>
      <w:r w:rsidR="00407B8A" w:rsidRPr="00124E7F">
        <w:rPr>
          <w:vertAlign w:val="superscript"/>
        </w:rPr>
        <w:footnoteReference w:id="105"/>
      </w:r>
      <w:r w:rsidR="001F7CFF" w:rsidRPr="00124E7F">
        <w:rPr>
          <w:vertAlign w:val="superscript"/>
        </w:rPr>
        <w:t xml:space="preserve"> </w:t>
      </w:r>
      <w:r w:rsidR="001F7CFF" w:rsidRPr="00124E7F">
        <w:t>While REA does not trade on copyright content, the data shows that relative to the rest of the world and, especially given its small market size, Australian internet start-ups appear to be quite competitive.</w:t>
      </w:r>
    </w:p>
    <w:p w14:paraId="12A8AB1E" w14:textId="77777777" w:rsidR="00E24430" w:rsidRPr="00124E7F" w:rsidRDefault="002D6A95" w:rsidP="002D6A95">
      <w:pPr>
        <w:pStyle w:val="Caption"/>
      </w:pPr>
      <w:bookmarkStart w:id="116" w:name="_Ref446664172"/>
      <w:r w:rsidRPr="00124E7F">
        <w:t xml:space="preserve">Table </w:t>
      </w:r>
      <w:r w:rsidRPr="00124E7F">
        <w:fldChar w:fldCharType="begin"/>
      </w:r>
      <w:r w:rsidRPr="00124E7F">
        <w:instrText xml:space="preserve"> SEQ Table \* ARABIC </w:instrText>
      </w:r>
      <w:r w:rsidRPr="00124E7F">
        <w:fldChar w:fldCharType="separate"/>
      </w:r>
      <w:r w:rsidR="0075700D">
        <w:rPr>
          <w:noProof/>
        </w:rPr>
        <w:t>6</w:t>
      </w:r>
      <w:r w:rsidRPr="00124E7F">
        <w:fldChar w:fldCharType="end"/>
      </w:r>
      <w:bookmarkEnd w:id="116"/>
      <w:r w:rsidR="004C09E2" w:rsidRPr="00124E7F">
        <w:t>:</w:t>
      </w:r>
      <w:r w:rsidR="00E24430" w:rsidRPr="00124E7F">
        <w:t xml:space="preserve"> </w:t>
      </w:r>
      <w:r w:rsidR="00C358CE" w:rsidRPr="00124E7F">
        <w:t xml:space="preserve"> Highest valued internet company by country - ranked</w:t>
      </w:r>
    </w:p>
    <w:tbl>
      <w:tblPr>
        <w:tblStyle w:val="TableGrid1"/>
        <w:tblW w:w="5000" w:type="pct"/>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CellMar>
          <w:left w:w="57" w:type="dxa"/>
          <w:right w:w="57" w:type="dxa"/>
        </w:tblCellMar>
        <w:tblLook w:val="04A0" w:firstRow="1" w:lastRow="0" w:firstColumn="1" w:lastColumn="0" w:noHBand="0" w:noVBand="1"/>
        <w:tblCaption w:val="Table 6:  Highest valued internet company by country - ranked"/>
        <w:tblDescription w:val="The table provides a list of the highest valued internet company by country, as follows:&#10;&#10;USA $410 billion&#10;China $200 billion&#10;South Africa $46 billion&#10;Korea $28 billion&#10;Japan $28 billion&#10;Russia $15.8 billion&#10;Israel $13.6 billion&#10;Australia $6.6 billion&#10;Brazil $6.4 billion&#10;Canada $6.3 billion&#10;United Kingdom $6.1 billion&#10;Sweden $6 billion&#10;Germany $5.3 billion&#10;Finland $5 billion&#10;New Zealand $4.7 billion&#10;Ireland $4.6 billion&#10;France $3.5 billion&#10;Italy $2.5 billion&#10;India $2.5 billion&#10;Estonia $2.5 billion&#10;Spain $2.3 billion&#10;Czech Republic $1.4 billion&#10;Denmark $1.2 billion&#10;Hungary $1.1 billion&#10;Vietnam $1 billion&#10;Slovenia $1 billion&#10;Singapore $1 billion&#10;Poland $1 billion&#10;Argentina  $1 billion&#10;Malaysia $800 million&#10;Taiwan $696 million&#10;Belgium $484 million&#10;Ukraine $303 million&#10;Netherlands $284 million&#10;Turkey $225 million&#10;Thailand $157 million&#10;Lithuania $150 million&#10;Colombia $109 million&#10;Kenya $80 million&#10;Indonesia  $80 million&#10;Latvia $60 million&#10;Philippines $55 million&#10;Chile $40 million&#10;Costa Rica $20 million&#10;Iran $15 million&#10;Kuwait $5 million&#10;Peru $4 million&#10;Algeria $3 million&#10;Kosovo $1.8 million&#10;Ethiopia $1.7 million&#10;&#10;Data has been sourcedfrom World Startup Wiki (2016), ‘Internet Hall of Fame –  Things you need to know about the world of internet companies’.&#10;"/>
      </w:tblPr>
      <w:tblGrid>
        <w:gridCol w:w="2830"/>
        <w:gridCol w:w="1488"/>
        <w:gridCol w:w="2976"/>
        <w:gridCol w:w="1735"/>
      </w:tblGrid>
      <w:tr w:rsidR="004213AE" w:rsidRPr="00124E7F" w14:paraId="5D06EF6D" w14:textId="77777777" w:rsidTr="000651C5">
        <w:trPr>
          <w:cantSplit/>
          <w:tblHeader/>
        </w:trPr>
        <w:tc>
          <w:tcPr>
            <w:tcW w:w="1567" w:type="pct"/>
            <w:shd w:val="clear" w:color="auto" w:fill="E5E5E5" w:themeFill="accent1" w:themeFillTint="33"/>
          </w:tcPr>
          <w:p w14:paraId="6BB951E5" w14:textId="77777777" w:rsidR="001E4B38" w:rsidRPr="00124E7F" w:rsidRDefault="001E4B38" w:rsidP="002817A7">
            <w:pPr>
              <w:rPr>
                <w:b/>
              </w:rPr>
            </w:pPr>
            <w:r w:rsidRPr="00124E7F">
              <w:rPr>
                <w:b/>
              </w:rPr>
              <w:t>Country</w:t>
            </w:r>
          </w:p>
          <w:p w14:paraId="3F87C0A4" w14:textId="77777777" w:rsidR="003611B2" w:rsidRPr="00124E7F" w:rsidRDefault="003611B2" w:rsidP="002817A7">
            <w:pPr>
              <w:rPr>
                <w:b/>
              </w:rPr>
            </w:pPr>
          </w:p>
        </w:tc>
        <w:tc>
          <w:tcPr>
            <w:tcW w:w="824" w:type="pct"/>
            <w:shd w:val="clear" w:color="auto" w:fill="E5E5E5" w:themeFill="accent1" w:themeFillTint="33"/>
          </w:tcPr>
          <w:p w14:paraId="55F6368F" w14:textId="77777777" w:rsidR="001E4B38" w:rsidRPr="00124E7F" w:rsidRDefault="001E4B38" w:rsidP="002817A7">
            <w:pPr>
              <w:rPr>
                <w:b/>
              </w:rPr>
            </w:pPr>
            <w:r w:rsidRPr="00124E7F">
              <w:rPr>
                <w:b/>
              </w:rPr>
              <w:t>$ B</w:t>
            </w:r>
            <w:r w:rsidR="008B03A0" w:rsidRPr="00124E7F">
              <w:rPr>
                <w:b/>
              </w:rPr>
              <w:t>illion</w:t>
            </w:r>
          </w:p>
        </w:tc>
        <w:tc>
          <w:tcPr>
            <w:tcW w:w="1648" w:type="pct"/>
            <w:shd w:val="clear" w:color="auto" w:fill="E5E5E5" w:themeFill="accent1" w:themeFillTint="33"/>
          </w:tcPr>
          <w:p w14:paraId="6197E3C3" w14:textId="77777777" w:rsidR="001E4B38" w:rsidRPr="00124E7F" w:rsidRDefault="001E4B38" w:rsidP="002817A7">
            <w:pPr>
              <w:rPr>
                <w:b/>
              </w:rPr>
            </w:pPr>
            <w:r w:rsidRPr="00124E7F">
              <w:rPr>
                <w:b/>
              </w:rPr>
              <w:t>Country</w:t>
            </w:r>
          </w:p>
        </w:tc>
        <w:tc>
          <w:tcPr>
            <w:tcW w:w="961" w:type="pct"/>
            <w:shd w:val="clear" w:color="auto" w:fill="E5E5E5" w:themeFill="accent1" w:themeFillTint="33"/>
          </w:tcPr>
          <w:p w14:paraId="1B09AB8D" w14:textId="77777777" w:rsidR="001E4B38" w:rsidRPr="00124E7F" w:rsidRDefault="001E4B38" w:rsidP="002817A7">
            <w:pPr>
              <w:rPr>
                <w:b/>
              </w:rPr>
            </w:pPr>
            <w:r w:rsidRPr="00124E7F">
              <w:rPr>
                <w:b/>
              </w:rPr>
              <w:t>$ M</w:t>
            </w:r>
            <w:r w:rsidR="008B03A0" w:rsidRPr="00124E7F">
              <w:rPr>
                <w:b/>
              </w:rPr>
              <w:t>illion</w:t>
            </w:r>
          </w:p>
        </w:tc>
      </w:tr>
      <w:tr w:rsidR="004213AE" w:rsidRPr="00124E7F" w14:paraId="0FA8200E" w14:textId="77777777" w:rsidTr="000651C5">
        <w:trPr>
          <w:cantSplit/>
        </w:trPr>
        <w:tc>
          <w:tcPr>
            <w:tcW w:w="1567" w:type="pct"/>
            <w:noWrap/>
            <w:vAlign w:val="center"/>
            <w:hideMark/>
          </w:tcPr>
          <w:p w14:paraId="6E1C1311"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USA</w:t>
            </w:r>
          </w:p>
        </w:tc>
        <w:tc>
          <w:tcPr>
            <w:tcW w:w="824" w:type="pct"/>
            <w:noWrap/>
            <w:vAlign w:val="center"/>
            <w:hideMark/>
          </w:tcPr>
          <w:p w14:paraId="461477A6"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$410 B</w:t>
            </w:r>
          </w:p>
        </w:tc>
        <w:tc>
          <w:tcPr>
            <w:tcW w:w="1648" w:type="pct"/>
            <w:noWrap/>
            <w:vAlign w:val="center"/>
            <w:hideMark/>
          </w:tcPr>
          <w:p w14:paraId="1A3EFA8B"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Malaysia</w:t>
            </w:r>
          </w:p>
        </w:tc>
        <w:tc>
          <w:tcPr>
            <w:tcW w:w="961" w:type="pct"/>
            <w:noWrap/>
            <w:vAlign w:val="center"/>
            <w:hideMark/>
          </w:tcPr>
          <w:p w14:paraId="7D1E54CC"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$800 M</w:t>
            </w:r>
          </w:p>
        </w:tc>
      </w:tr>
      <w:tr w:rsidR="004213AE" w:rsidRPr="00124E7F" w14:paraId="114D0E26" w14:textId="77777777" w:rsidTr="000651C5">
        <w:trPr>
          <w:cantSplit/>
        </w:trPr>
        <w:tc>
          <w:tcPr>
            <w:tcW w:w="1567" w:type="pct"/>
            <w:noWrap/>
            <w:vAlign w:val="center"/>
            <w:hideMark/>
          </w:tcPr>
          <w:p w14:paraId="3FE27BFF"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China</w:t>
            </w:r>
          </w:p>
        </w:tc>
        <w:tc>
          <w:tcPr>
            <w:tcW w:w="824" w:type="pct"/>
            <w:noWrap/>
            <w:vAlign w:val="center"/>
            <w:hideMark/>
          </w:tcPr>
          <w:p w14:paraId="6EBBC757"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$200 B</w:t>
            </w:r>
          </w:p>
        </w:tc>
        <w:tc>
          <w:tcPr>
            <w:tcW w:w="1648" w:type="pct"/>
            <w:noWrap/>
            <w:vAlign w:val="center"/>
            <w:hideMark/>
          </w:tcPr>
          <w:p w14:paraId="34DB4F6A"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Taiwan</w:t>
            </w:r>
          </w:p>
        </w:tc>
        <w:tc>
          <w:tcPr>
            <w:tcW w:w="961" w:type="pct"/>
            <w:noWrap/>
            <w:vAlign w:val="center"/>
            <w:hideMark/>
          </w:tcPr>
          <w:p w14:paraId="5C826442"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$696 M</w:t>
            </w:r>
          </w:p>
        </w:tc>
      </w:tr>
      <w:tr w:rsidR="004213AE" w:rsidRPr="00124E7F" w14:paraId="4C462114" w14:textId="77777777" w:rsidTr="000651C5">
        <w:trPr>
          <w:cantSplit/>
        </w:trPr>
        <w:tc>
          <w:tcPr>
            <w:tcW w:w="1567" w:type="pct"/>
            <w:noWrap/>
            <w:vAlign w:val="center"/>
            <w:hideMark/>
          </w:tcPr>
          <w:p w14:paraId="542476EF"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South Africa</w:t>
            </w:r>
          </w:p>
        </w:tc>
        <w:tc>
          <w:tcPr>
            <w:tcW w:w="824" w:type="pct"/>
            <w:noWrap/>
            <w:vAlign w:val="center"/>
            <w:hideMark/>
          </w:tcPr>
          <w:p w14:paraId="15F39255"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$46 B</w:t>
            </w:r>
          </w:p>
        </w:tc>
        <w:tc>
          <w:tcPr>
            <w:tcW w:w="1648" w:type="pct"/>
            <w:noWrap/>
            <w:vAlign w:val="center"/>
            <w:hideMark/>
          </w:tcPr>
          <w:p w14:paraId="3C4182BF"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Belgium</w:t>
            </w:r>
          </w:p>
        </w:tc>
        <w:tc>
          <w:tcPr>
            <w:tcW w:w="961" w:type="pct"/>
            <w:noWrap/>
            <w:vAlign w:val="center"/>
            <w:hideMark/>
          </w:tcPr>
          <w:p w14:paraId="3841B83F"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$484 M</w:t>
            </w:r>
          </w:p>
        </w:tc>
      </w:tr>
      <w:tr w:rsidR="004213AE" w:rsidRPr="00124E7F" w14:paraId="176CF343" w14:textId="77777777" w:rsidTr="000651C5">
        <w:trPr>
          <w:cantSplit/>
        </w:trPr>
        <w:tc>
          <w:tcPr>
            <w:tcW w:w="1567" w:type="pct"/>
            <w:noWrap/>
            <w:vAlign w:val="center"/>
            <w:hideMark/>
          </w:tcPr>
          <w:p w14:paraId="396FCE17"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Korea</w:t>
            </w:r>
          </w:p>
        </w:tc>
        <w:tc>
          <w:tcPr>
            <w:tcW w:w="824" w:type="pct"/>
            <w:noWrap/>
            <w:vAlign w:val="center"/>
            <w:hideMark/>
          </w:tcPr>
          <w:p w14:paraId="11420952"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$28 B</w:t>
            </w:r>
          </w:p>
        </w:tc>
        <w:tc>
          <w:tcPr>
            <w:tcW w:w="1648" w:type="pct"/>
            <w:noWrap/>
            <w:vAlign w:val="center"/>
            <w:hideMark/>
          </w:tcPr>
          <w:p w14:paraId="2D6C54C6"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Ukraine</w:t>
            </w:r>
          </w:p>
        </w:tc>
        <w:tc>
          <w:tcPr>
            <w:tcW w:w="961" w:type="pct"/>
            <w:noWrap/>
            <w:vAlign w:val="center"/>
            <w:hideMark/>
          </w:tcPr>
          <w:p w14:paraId="2FFCFC6F"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$303 M</w:t>
            </w:r>
          </w:p>
        </w:tc>
      </w:tr>
      <w:tr w:rsidR="004213AE" w:rsidRPr="00124E7F" w14:paraId="6E6750DC" w14:textId="77777777" w:rsidTr="000651C5">
        <w:trPr>
          <w:cantSplit/>
        </w:trPr>
        <w:tc>
          <w:tcPr>
            <w:tcW w:w="1567" w:type="pct"/>
            <w:noWrap/>
            <w:vAlign w:val="center"/>
            <w:hideMark/>
          </w:tcPr>
          <w:p w14:paraId="49BD0903"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Japan</w:t>
            </w:r>
          </w:p>
        </w:tc>
        <w:tc>
          <w:tcPr>
            <w:tcW w:w="824" w:type="pct"/>
            <w:noWrap/>
            <w:vAlign w:val="center"/>
            <w:hideMark/>
          </w:tcPr>
          <w:p w14:paraId="740F905A"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$28 B</w:t>
            </w:r>
          </w:p>
        </w:tc>
        <w:tc>
          <w:tcPr>
            <w:tcW w:w="1648" w:type="pct"/>
            <w:noWrap/>
            <w:vAlign w:val="center"/>
            <w:hideMark/>
          </w:tcPr>
          <w:p w14:paraId="1421CBDA"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Netherlands</w:t>
            </w:r>
          </w:p>
        </w:tc>
        <w:tc>
          <w:tcPr>
            <w:tcW w:w="961" w:type="pct"/>
            <w:noWrap/>
            <w:vAlign w:val="center"/>
            <w:hideMark/>
          </w:tcPr>
          <w:p w14:paraId="6F96271C"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$284 M</w:t>
            </w:r>
          </w:p>
        </w:tc>
      </w:tr>
      <w:tr w:rsidR="004213AE" w:rsidRPr="00124E7F" w14:paraId="1B7C5173" w14:textId="77777777" w:rsidTr="000651C5">
        <w:trPr>
          <w:cantSplit/>
        </w:trPr>
        <w:tc>
          <w:tcPr>
            <w:tcW w:w="1567" w:type="pct"/>
            <w:noWrap/>
            <w:vAlign w:val="center"/>
            <w:hideMark/>
          </w:tcPr>
          <w:p w14:paraId="0C95F326"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Russia</w:t>
            </w:r>
          </w:p>
        </w:tc>
        <w:tc>
          <w:tcPr>
            <w:tcW w:w="824" w:type="pct"/>
            <w:noWrap/>
            <w:vAlign w:val="center"/>
            <w:hideMark/>
          </w:tcPr>
          <w:p w14:paraId="6F9DA995"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$15.8 B</w:t>
            </w:r>
          </w:p>
        </w:tc>
        <w:tc>
          <w:tcPr>
            <w:tcW w:w="1648" w:type="pct"/>
            <w:noWrap/>
            <w:vAlign w:val="center"/>
            <w:hideMark/>
          </w:tcPr>
          <w:p w14:paraId="0E7F9C7D"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Turkey</w:t>
            </w:r>
          </w:p>
        </w:tc>
        <w:tc>
          <w:tcPr>
            <w:tcW w:w="961" w:type="pct"/>
            <w:noWrap/>
            <w:vAlign w:val="center"/>
            <w:hideMark/>
          </w:tcPr>
          <w:p w14:paraId="50A3157E"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$225 M</w:t>
            </w:r>
          </w:p>
        </w:tc>
      </w:tr>
      <w:tr w:rsidR="004213AE" w:rsidRPr="00124E7F" w14:paraId="4FB20D4B" w14:textId="77777777" w:rsidTr="000651C5">
        <w:trPr>
          <w:cantSplit/>
        </w:trPr>
        <w:tc>
          <w:tcPr>
            <w:tcW w:w="1567" w:type="pct"/>
            <w:noWrap/>
            <w:vAlign w:val="center"/>
            <w:hideMark/>
          </w:tcPr>
          <w:p w14:paraId="0B4D77FB"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Israel</w:t>
            </w:r>
          </w:p>
        </w:tc>
        <w:tc>
          <w:tcPr>
            <w:tcW w:w="824" w:type="pct"/>
            <w:noWrap/>
            <w:vAlign w:val="center"/>
            <w:hideMark/>
          </w:tcPr>
          <w:p w14:paraId="36008B6F"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$13.6 B</w:t>
            </w:r>
          </w:p>
        </w:tc>
        <w:tc>
          <w:tcPr>
            <w:tcW w:w="1648" w:type="pct"/>
            <w:noWrap/>
            <w:vAlign w:val="center"/>
            <w:hideMark/>
          </w:tcPr>
          <w:p w14:paraId="4DF20474"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Thailand</w:t>
            </w:r>
          </w:p>
        </w:tc>
        <w:tc>
          <w:tcPr>
            <w:tcW w:w="961" w:type="pct"/>
            <w:noWrap/>
            <w:vAlign w:val="center"/>
            <w:hideMark/>
          </w:tcPr>
          <w:p w14:paraId="58A1BBE4"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$157 M</w:t>
            </w:r>
          </w:p>
        </w:tc>
      </w:tr>
      <w:tr w:rsidR="004213AE" w:rsidRPr="00124E7F" w14:paraId="0429EA36" w14:textId="77777777" w:rsidTr="000651C5">
        <w:trPr>
          <w:cantSplit/>
        </w:trPr>
        <w:tc>
          <w:tcPr>
            <w:tcW w:w="1567" w:type="pct"/>
            <w:noWrap/>
            <w:vAlign w:val="center"/>
            <w:hideMark/>
          </w:tcPr>
          <w:p w14:paraId="7CB4CC8F"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Australia</w:t>
            </w:r>
          </w:p>
        </w:tc>
        <w:tc>
          <w:tcPr>
            <w:tcW w:w="824" w:type="pct"/>
            <w:noWrap/>
            <w:vAlign w:val="center"/>
            <w:hideMark/>
          </w:tcPr>
          <w:p w14:paraId="3F1893BE"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$6.6 B</w:t>
            </w:r>
          </w:p>
        </w:tc>
        <w:tc>
          <w:tcPr>
            <w:tcW w:w="1648" w:type="pct"/>
            <w:noWrap/>
            <w:vAlign w:val="center"/>
            <w:hideMark/>
          </w:tcPr>
          <w:p w14:paraId="2CE8BB5D"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Lithuania</w:t>
            </w:r>
          </w:p>
        </w:tc>
        <w:tc>
          <w:tcPr>
            <w:tcW w:w="961" w:type="pct"/>
            <w:noWrap/>
            <w:vAlign w:val="center"/>
            <w:hideMark/>
          </w:tcPr>
          <w:p w14:paraId="7768A25E"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$150 M</w:t>
            </w:r>
          </w:p>
        </w:tc>
      </w:tr>
      <w:tr w:rsidR="004213AE" w:rsidRPr="00124E7F" w14:paraId="11BCF95E" w14:textId="77777777" w:rsidTr="000651C5">
        <w:trPr>
          <w:cantSplit/>
        </w:trPr>
        <w:tc>
          <w:tcPr>
            <w:tcW w:w="1567" w:type="pct"/>
            <w:noWrap/>
            <w:vAlign w:val="center"/>
            <w:hideMark/>
          </w:tcPr>
          <w:p w14:paraId="570AC90C"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Brazil</w:t>
            </w:r>
          </w:p>
        </w:tc>
        <w:tc>
          <w:tcPr>
            <w:tcW w:w="824" w:type="pct"/>
            <w:noWrap/>
            <w:vAlign w:val="center"/>
            <w:hideMark/>
          </w:tcPr>
          <w:p w14:paraId="53CFAA60"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$6.4 B</w:t>
            </w:r>
          </w:p>
        </w:tc>
        <w:tc>
          <w:tcPr>
            <w:tcW w:w="1648" w:type="pct"/>
            <w:noWrap/>
            <w:vAlign w:val="center"/>
            <w:hideMark/>
          </w:tcPr>
          <w:p w14:paraId="60C7F69F"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Colombia</w:t>
            </w:r>
          </w:p>
        </w:tc>
        <w:tc>
          <w:tcPr>
            <w:tcW w:w="961" w:type="pct"/>
            <w:noWrap/>
            <w:vAlign w:val="center"/>
            <w:hideMark/>
          </w:tcPr>
          <w:p w14:paraId="724D121E"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$109 M</w:t>
            </w:r>
          </w:p>
        </w:tc>
      </w:tr>
      <w:tr w:rsidR="004213AE" w:rsidRPr="00124E7F" w14:paraId="08766F18" w14:textId="77777777" w:rsidTr="000651C5">
        <w:trPr>
          <w:cantSplit/>
        </w:trPr>
        <w:tc>
          <w:tcPr>
            <w:tcW w:w="1567" w:type="pct"/>
            <w:noWrap/>
            <w:vAlign w:val="center"/>
            <w:hideMark/>
          </w:tcPr>
          <w:p w14:paraId="19B7575A"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Canada</w:t>
            </w:r>
          </w:p>
        </w:tc>
        <w:tc>
          <w:tcPr>
            <w:tcW w:w="824" w:type="pct"/>
            <w:noWrap/>
            <w:vAlign w:val="center"/>
            <w:hideMark/>
          </w:tcPr>
          <w:p w14:paraId="299EE71F"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$6.3 B</w:t>
            </w:r>
          </w:p>
        </w:tc>
        <w:tc>
          <w:tcPr>
            <w:tcW w:w="1648" w:type="pct"/>
            <w:noWrap/>
            <w:vAlign w:val="center"/>
            <w:hideMark/>
          </w:tcPr>
          <w:p w14:paraId="5015586B"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Kenya</w:t>
            </w:r>
          </w:p>
        </w:tc>
        <w:tc>
          <w:tcPr>
            <w:tcW w:w="961" w:type="pct"/>
            <w:noWrap/>
            <w:vAlign w:val="center"/>
            <w:hideMark/>
          </w:tcPr>
          <w:p w14:paraId="5DEDD7A3"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$80 M</w:t>
            </w:r>
          </w:p>
        </w:tc>
      </w:tr>
      <w:tr w:rsidR="004213AE" w:rsidRPr="00124E7F" w14:paraId="0BFC7DB1" w14:textId="77777777" w:rsidTr="000651C5">
        <w:trPr>
          <w:cantSplit/>
        </w:trPr>
        <w:tc>
          <w:tcPr>
            <w:tcW w:w="1567" w:type="pct"/>
            <w:noWrap/>
            <w:vAlign w:val="center"/>
            <w:hideMark/>
          </w:tcPr>
          <w:p w14:paraId="4290AE41"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United Kingdom</w:t>
            </w:r>
          </w:p>
        </w:tc>
        <w:tc>
          <w:tcPr>
            <w:tcW w:w="824" w:type="pct"/>
            <w:noWrap/>
            <w:vAlign w:val="center"/>
            <w:hideMark/>
          </w:tcPr>
          <w:p w14:paraId="4379D8D7"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$6.1 B</w:t>
            </w:r>
          </w:p>
        </w:tc>
        <w:tc>
          <w:tcPr>
            <w:tcW w:w="1648" w:type="pct"/>
            <w:noWrap/>
            <w:vAlign w:val="center"/>
            <w:hideMark/>
          </w:tcPr>
          <w:p w14:paraId="34809928"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Indonesia</w:t>
            </w:r>
          </w:p>
        </w:tc>
        <w:tc>
          <w:tcPr>
            <w:tcW w:w="961" w:type="pct"/>
            <w:noWrap/>
            <w:vAlign w:val="center"/>
            <w:hideMark/>
          </w:tcPr>
          <w:p w14:paraId="44806055"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$80 M</w:t>
            </w:r>
          </w:p>
        </w:tc>
      </w:tr>
      <w:tr w:rsidR="004213AE" w:rsidRPr="00124E7F" w14:paraId="70081F93" w14:textId="77777777" w:rsidTr="000651C5">
        <w:trPr>
          <w:cantSplit/>
        </w:trPr>
        <w:tc>
          <w:tcPr>
            <w:tcW w:w="1567" w:type="pct"/>
            <w:noWrap/>
            <w:vAlign w:val="center"/>
            <w:hideMark/>
          </w:tcPr>
          <w:p w14:paraId="706E967C"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Sweden</w:t>
            </w:r>
          </w:p>
        </w:tc>
        <w:tc>
          <w:tcPr>
            <w:tcW w:w="824" w:type="pct"/>
            <w:noWrap/>
            <w:vAlign w:val="center"/>
            <w:hideMark/>
          </w:tcPr>
          <w:p w14:paraId="5D90132C"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$6 B</w:t>
            </w:r>
          </w:p>
        </w:tc>
        <w:tc>
          <w:tcPr>
            <w:tcW w:w="1648" w:type="pct"/>
            <w:noWrap/>
            <w:vAlign w:val="center"/>
            <w:hideMark/>
          </w:tcPr>
          <w:p w14:paraId="7B3C7033"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Latvia</w:t>
            </w:r>
          </w:p>
        </w:tc>
        <w:tc>
          <w:tcPr>
            <w:tcW w:w="961" w:type="pct"/>
            <w:noWrap/>
            <w:vAlign w:val="center"/>
            <w:hideMark/>
          </w:tcPr>
          <w:p w14:paraId="58A93FF9"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$60 M</w:t>
            </w:r>
          </w:p>
        </w:tc>
      </w:tr>
      <w:tr w:rsidR="004213AE" w:rsidRPr="00124E7F" w14:paraId="5FBEF23D" w14:textId="77777777" w:rsidTr="000651C5">
        <w:trPr>
          <w:cantSplit/>
        </w:trPr>
        <w:tc>
          <w:tcPr>
            <w:tcW w:w="1567" w:type="pct"/>
            <w:noWrap/>
            <w:vAlign w:val="center"/>
            <w:hideMark/>
          </w:tcPr>
          <w:p w14:paraId="02B04EBB"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Germany</w:t>
            </w:r>
          </w:p>
        </w:tc>
        <w:tc>
          <w:tcPr>
            <w:tcW w:w="824" w:type="pct"/>
            <w:noWrap/>
            <w:vAlign w:val="center"/>
            <w:hideMark/>
          </w:tcPr>
          <w:p w14:paraId="40C90705"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$5.3 B</w:t>
            </w:r>
          </w:p>
        </w:tc>
        <w:tc>
          <w:tcPr>
            <w:tcW w:w="1648" w:type="pct"/>
            <w:noWrap/>
            <w:vAlign w:val="center"/>
            <w:hideMark/>
          </w:tcPr>
          <w:p w14:paraId="7B1F0F4D"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Philippines</w:t>
            </w:r>
          </w:p>
        </w:tc>
        <w:tc>
          <w:tcPr>
            <w:tcW w:w="961" w:type="pct"/>
            <w:noWrap/>
            <w:vAlign w:val="center"/>
            <w:hideMark/>
          </w:tcPr>
          <w:p w14:paraId="719AEE90"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$55 M</w:t>
            </w:r>
          </w:p>
        </w:tc>
      </w:tr>
      <w:tr w:rsidR="004213AE" w:rsidRPr="00124E7F" w14:paraId="5BDDCAE3" w14:textId="77777777" w:rsidTr="000651C5">
        <w:trPr>
          <w:cantSplit/>
        </w:trPr>
        <w:tc>
          <w:tcPr>
            <w:tcW w:w="1567" w:type="pct"/>
            <w:noWrap/>
            <w:vAlign w:val="center"/>
            <w:hideMark/>
          </w:tcPr>
          <w:p w14:paraId="3B5FE59A"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Finland</w:t>
            </w:r>
          </w:p>
        </w:tc>
        <w:tc>
          <w:tcPr>
            <w:tcW w:w="824" w:type="pct"/>
            <w:noWrap/>
            <w:vAlign w:val="center"/>
            <w:hideMark/>
          </w:tcPr>
          <w:p w14:paraId="68F81DCF"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$5 B</w:t>
            </w:r>
          </w:p>
        </w:tc>
        <w:tc>
          <w:tcPr>
            <w:tcW w:w="1648" w:type="pct"/>
            <w:noWrap/>
            <w:vAlign w:val="center"/>
            <w:hideMark/>
          </w:tcPr>
          <w:p w14:paraId="119C7860"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Chile</w:t>
            </w:r>
          </w:p>
        </w:tc>
        <w:tc>
          <w:tcPr>
            <w:tcW w:w="961" w:type="pct"/>
            <w:noWrap/>
            <w:vAlign w:val="center"/>
            <w:hideMark/>
          </w:tcPr>
          <w:p w14:paraId="3AC2BD1D"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$40 M</w:t>
            </w:r>
          </w:p>
        </w:tc>
      </w:tr>
      <w:tr w:rsidR="004213AE" w:rsidRPr="00124E7F" w14:paraId="1A390D8A" w14:textId="77777777" w:rsidTr="000651C5">
        <w:trPr>
          <w:cantSplit/>
        </w:trPr>
        <w:tc>
          <w:tcPr>
            <w:tcW w:w="1567" w:type="pct"/>
            <w:noWrap/>
            <w:vAlign w:val="center"/>
            <w:hideMark/>
          </w:tcPr>
          <w:p w14:paraId="66BD5FFF"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New Zealand</w:t>
            </w:r>
          </w:p>
        </w:tc>
        <w:tc>
          <w:tcPr>
            <w:tcW w:w="824" w:type="pct"/>
            <w:noWrap/>
            <w:vAlign w:val="center"/>
            <w:hideMark/>
          </w:tcPr>
          <w:p w14:paraId="0A18AB4E"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$4.7 B</w:t>
            </w:r>
          </w:p>
        </w:tc>
        <w:tc>
          <w:tcPr>
            <w:tcW w:w="1648" w:type="pct"/>
            <w:noWrap/>
            <w:vAlign w:val="center"/>
            <w:hideMark/>
          </w:tcPr>
          <w:p w14:paraId="6F7097DD"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Costa Rica</w:t>
            </w:r>
          </w:p>
        </w:tc>
        <w:tc>
          <w:tcPr>
            <w:tcW w:w="961" w:type="pct"/>
            <w:noWrap/>
            <w:vAlign w:val="center"/>
            <w:hideMark/>
          </w:tcPr>
          <w:p w14:paraId="4D7EF2E5"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$20 M</w:t>
            </w:r>
          </w:p>
        </w:tc>
      </w:tr>
      <w:tr w:rsidR="004213AE" w:rsidRPr="00124E7F" w14:paraId="1B242AC5" w14:textId="77777777" w:rsidTr="000651C5">
        <w:trPr>
          <w:cantSplit/>
        </w:trPr>
        <w:tc>
          <w:tcPr>
            <w:tcW w:w="1567" w:type="pct"/>
            <w:noWrap/>
            <w:vAlign w:val="center"/>
            <w:hideMark/>
          </w:tcPr>
          <w:p w14:paraId="19C93283"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Ireland</w:t>
            </w:r>
          </w:p>
        </w:tc>
        <w:tc>
          <w:tcPr>
            <w:tcW w:w="824" w:type="pct"/>
            <w:noWrap/>
            <w:vAlign w:val="center"/>
            <w:hideMark/>
          </w:tcPr>
          <w:p w14:paraId="56A39B16"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$4.6 B</w:t>
            </w:r>
          </w:p>
        </w:tc>
        <w:tc>
          <w:tcPr>
            <w:tcW w:w="1648" w:type="pct"/>
            <w:noWrap/>
            <w:vAlign w:val="center"/>
            <w:hideMark/>
          </w:tcPr>
          <w:p w14:paraId="5D81907A"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Iran</w:t>
            </w:r>
          </w:p>
        </w:tc>
        <w:tc>
          <w:tcPr>
            <w:tcW w:w="961" w:type="pct"/>
            <w:noWrap/>
            <w:vAlign w:val="center"/>
            <w:hideMark/>
          </w:tcPr>
          <w:p w14:paraId="4E909154"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$15 M</w:t>
            </w:r>
          </w:p>
        </w:tc>
      </w:tr>
      <w:tr w:rsidR="004213AE" w:rsidRPr="00124E7F" w14:paraId="31B4BE81" w14:textId="77777777" w:rsidTr="000651C5">
        <w:trPr>
          <w:cantSplit/>
        </w:trPr>
        <w:tc>
          <w:tcPr>
            <w:tcW w:w="1567" w:type="pct"/>
            <w:noWrap/>
            <w:vAlign w:val="center"/>
            <w:hideMark/>
          </w:tcPr>
          <w:p w14:paraId="55898695"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France</w:t>
            </w:r>
          </w:p>
        </w:tc>
        <w:tc>
          <w:tcPr>
            <w:tcW w:w="824" w:type="pct"/>
            <w:noWrap/>
            <w:vAlign w:val="center"/>
            <w:hideMark/>
          </w:tcPr>
          <w:p w14:paraId="17FCD2C1"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$3.5 B</w:t>
            </w:r>
          </w:p>
        </w:tc>
        <w:tc>
          <w:tcPr>
            <w:tcW w:w="1648" w:type="pct"/>
            <w:noWrap/>
            <w:vAlign w:val="center"/>
            <w:hideMark/>
          </w:tcPr>
          <w:p w14:paraId="592DFAAC"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Kuwait</w:t>
            </w:r>
          </w:p>
        </w:tc>
        <w:tc>
          <w:tcPr>
            <w:tcW w:w="961" w:type="pct"/>
            <w:noWrap/>
            <w:vAlign w:val="center"/>
            <w:hideMark/>
          </w:tcPr>
          <w:p w14:paraId="53F67A0A"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$5 M</w:t>
            </w:r>
          </w:p>
        </w:tc>
      </w:tr>
      <w:tr w:rsidR="004213AE" w:rsidRPr="00124E7F" w14:paraId="18893C06" w14:textId="77777777" w:rsidTr="000651C5">
        <w:trPr>
          <w:cantSplit/>
        </w:trPr>
        <w:tc>
          <w:tcPr>
            <w:tcW w:w="1567" w:type="pct"/>
            <w:noWrap/>
            <w:vAlign w:val="center"/>
            <w:hideMark/>
          </w:tcPr>
          <w:p w14:paraId="7DFD31C7"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Italy</w:t>
            </w:r>
          </w:p>
        </w:tc>
        <w:tc>
          <w:tcPr>
            <w:tcW w:w="824" w:type="pct"/>
            <w:noWrap/>
            <w:vAlign w:val="center"/>
            <w:hideMark/>
          </w:tcPr>
          <w:p w14:paraId="756B941A"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$2.5 B</w:t>
            </w:r>
          </w:p>
        </w:tc>
        <w:tc>
          <w:tcPr>
            <w:tcW w:w="1648" w:type="pct"/>
            <w:noWrap/>
            <w:vAlign w:val="center"/>
            <w:hideMark/>
          </w:tcPr>
          <w:p w14:paraId="3B1DB08B"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Peru</w:t>
            </w:r>
          </w:p>
        </w:tc>
        <w:tc>
          <w:tcPr>
            <w:tcW w:w="961" w:type="pct"/>
            <w:noWrap/>
            <w:vAlign w:val="center"/>
            <w:hideMark/>
          </w:tcPr>
          <w:p w14:paraId="7D0A8B26"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$4 M</w:t>
            </w:r>
          </w:p>
        </w:tc>
      </w:tr>
      <w:tr w:rsidR="004213AE" w:rsidRPr="00124E7F" w14:paraId="45B1E5D7" w14:textId="77777777" w:rsidTr="000651C5">
        <w:trPr>
          <w:cantSplit/>
        </w:trPr>
        <w:tc>
          <w:tcPr>
            <w:tcW w:w="1567" w:type="pct"/>
            <w:noWrap/>
            <w:vAlign w:val="center"/>
            <w:hideMark/>
          </w:tcPr>
          <w:p w14:paraId="63D07889"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India</w:t>
            </w:r>
          </w:p>
        </w:tc>
        <w:tc>
          <w:tcPr>
            <w:tcW w:w="824" w:type="pct"/>
            <w:noWrap/>
            <w:vAlign w:val="center"/>
            <w:hideMark/>
          </w:tcPr>
          <w:p w14:paraId="4FAD0F1D"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$2.5 B</w:t>
            </w:r>
          </w:p>
        </w:tc>
        <w:tc>
          <w:tcPr>
            <w:tcW w:w="1648" w:type="pct"/>
            <w:noWrap/>
            <w:vAlign w:val="center"/>
            <w:hideMark/>
          </w:tcPr>
          <w:p w14:paraId="3D29A23A"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Algeria</w:t>
            </w:r>
          </w:p>
        </w:tc>
        <w:tc>
          <w:tcPr>
            <w:tcW w:w="961" w:type="pct"/>
            <w:noWrap/>
            <w:vAlign w:val="center"/>
            <w:hideMark/>
          </w:tcPr>
          <w:p w14:paraId="01416AFC"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$3 M</w:t>
            </w:r>
          </w:p>
        </w:tc>
      </w:tr>
      <w:tr w:rsidR="004213AE" w:rsidRPr="00124E7F" w14:paraId="706CEE88" w14:textId="77777777" w:rsidTr="000651C5">
        <w:trPr>
          <w:cantSplit/>
        </w:trPr>
        <w:tc>
          <w:tcPr>
            <w:tcW w:w="1567" w:type="pct"/>
            <w:noWrap/>
            <w:vAlign w:val="center"/>
            <w:hideMark/>
          </w:tcPr>
          <w:p w14:paraId="54CB4DF6"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Estonia</w:t>
            </w:r>
          </w:p>
        </w:tc>
        <w:tc>
          <w:tcPr>
            <w:tcW w:w="824" w:type="pct"/>
            <w:noWrap/>
            <w:vAlign w:val="center"/>
            <w:hideMark/>
          </w:tcPr>
          <w:p w14:paraId="167AA80B"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$2.5 B</w:t>
            </w:r>
          </w:p>
        </w:tc>
        <w:tc>
          <w:tcPr>
            <w:tcW w:w="1648" w:type="pct"/>
            <w:noWrap/>
            <w:vAlign w:val="center"/>
            <w:hideMark/>
          </w:tcPr>
          <w:p w14:paraId="7A8D6105"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Kosovo</w:t>
            </w:r>
          </w:p>
        </w:tc>
        <w:tc>
          <w:tcPr>
            <w:tcW w:w="961" w:type="pct"/>
            <w:noWrap/>
            <w:vAlign w:val="center"/>
            <w:hideMark/>
          </w:tcPr>
          <w:p w14:paraId="1CCFF168"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$1.8 M</w:t>
            </w:r>
          </w:p>
        </w:tc>
      </w:tr>
      <w:tr w:rsidR="004213AE" w:rsidRPr="00124E7F" w14:paraId="6A581645" w14:textId="77777777" w:rsidTr="000651C5">
        <w:trPr>
          <w:cantSplit/>
        </w:trPr>
        <w:tc>
          <w:tcPr>
            <w:tcW w:w="1567" w:type="pct"/>
            <w:noWrap/>
            <w:vAlign w:val="center"/>
            <w:hideMark/>
          </w:tcPr>
          <w:p w14:paraId="1E07C9C0"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Spain</w:t>
            </w:r>
          </w:p>
        </w:tc>
        <w:tc>
          <w:tcPr>
            <w:tcW w:w="824" w:type="pct"/>
            <w:noWrap/>
            <w:vAlign w:val="center"/>
            <w:hideMark/>
          </w:tcPr>
          <w:p w14:paraId="2BD3856C"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$2.3 B</w:t>
            </w:r>
          </w:p>
        </w:tc>
        <w:tc>
          <w:tcPr>
            <w:tcW w:w="1648" w:type="pct"/>
            <w:noWrap/>
            <w:vAlign w:val="center"/>
            <w:hideMark/>
          </w:tcPr>
          <w:p w14:paraId="6CB23C53"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Ethiopia</w:t>
            </w:r>
          </w:p>
        </w:tc>
        <w:tc>
          <w:tcPr>
            <w:tcW w:w="961" w:type="pct"/>
            <w:noWrap/>
            <w:vAlign w:val="center"/>
            <w:hideMark/>
          </w:tcPr>
          <w:p w14:paraId="0CC12FEC"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$1.7 M</w:t>
            </w:r>
          </w:p>
        </w:tc>
      </w:tr>
      <w:tr w:rsidR="004213AE" w:rsidRPr="00124E7F" w14:paraId="43F48666" w14:textId="77777777" w:rsidTr="000651C5">
        <w:trPr>
          <w:cantSplit/>
        </w:trPr>
        <w:tc>
          <w:tcPr>
            <w:tcW w:w="1567" w:type="pct"/>
            <w:noWrap/>
            <w:vAlign w:val="center"/>
            <w:hideMark/>
          </w:tcPr>
          <w:p w14:paraId="505B5558"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Czech Republic</w:t>
            </w:r>
          </w:p>
        </w:tc>
        <w:tc>
          <w:tcPr>
            <w:tcW w:w="824" w:type="pct"/>
            <w:noWrap/>
            <w:vAlign w:val="center"/>
            <w:hideMark/>
          </w:tcPr>
          <w:p w14:paraId="5AE5E99C"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$1.4 B</w:t>
            </w:r>
          </w:p>
        </w:tc>
        <w:tc>
          <w:tcPr>
            <w:tcW w:w="1648" w:type="pct"/>
            <w:noWrap/>
            <w:vAlign w:val="center"/>
            <w:hideMark/>
          </w:tcPr>
          <w:p w14:paraId="413FDAF1" w14:textId="77777777" w:rsidR="001E4B38" w:rsidRPr="004213AE" w:rsidRDefault="001E4B38" w:rsidP="001E4B38">
            <w:pPr>
              <w:widowControl/>
              <w:autoSpaceDE/>
              <w:autoSpaceDN/>
              <w:adjustRightInd/>
              <w:spacing w:line="240" w:lineRule="auto"/>
              <w:rPr>
                <w:lang w:val="en-NZ" w:eastAsia="en-NZ"/>
              </w:rPr>
            </w:pPr>
          </w:p>
        </w:tc>
        <w:tc>
          <w:tcPr>
            <w:tcW w:w="961" w:type="pct"/>
            <w:noWrap/>
            <w:vAlign w:val="center"/>
            <w:hideMark/>
          </w:tcPr>
          <w:p w14:paraId="49BF1E26"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 </w:t>
            </w:r>
          </w:p>
        </w:tc>
      </w:tr>
      <w:tr w:rsidR="004213AE" w:rsidRPr="00124E7F" w14:paraId="43ED9BB7" w14:textId="77777777" w:rsidTr="000651C5">
        <w:trPr>
          <w:cantSplit/>
        </w:trPr>
        <w:tc>
          <w:tcPr>
            <w:tcW w:w="1567" w:type="pct"/>
            <w:noWrap/>
            <w:vAlign w:val="center"/>
            <w:hideMark/>
          </w:tcPr>
          <w:p w14:paraId="16D4D4CB"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Denmark</w:t>
            </w:r>
          </w:p>
        </w:tc>
        <w:tc>
          <w:tcPr>
            <w:tcW w:w="824" w:type="pct"/>
            <w:noWrap/>
            <w:vAlign w:val="center"/>
            <w:hideMark/>
          </w:tcPr>
          <w:p w14:paraId="7DF42C23"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$1.2 B</w:t>
            </w:r>
          </w:p>
        </w:tc>
        <w:tc>
          <w:tcPr>
            <w:tcW w:w="1648" w:type="pct"/>
            <w:noWrap/>
            <w:vAlign w:val="center"/>
            <w:hideMark/>
          </w:tcPr>
          <w:p w14:paraId="1B4E23FE" w14:textId="77777777" w:rsidR="001E4B38" w:rsidRPr="004213AE" w:rsidRDefault="001E4B38" w:rsidP="001E4B38">
            <w:pPr>
              <w:widowControl/>
              <w:autoSpaceDE/>
              <w:autoSpaceDN/>
              <w:adjustRightInd/>
              <w:spacing w:line="240" w:lineRule="auto"/>
              <w:rPr>
                <w:lang w:val="en-NZ" w:eastAsia="en-NZ"/>
              </w:rPr>
            </w:pPr>
          </w:p>
        </w:tc>
        <w:tc>
          <w:tcPr>
            <w:tcW w:w="961" w:type="pct"/>
            <w:noWrap/>
            <w:vAlign w:val="center"/>
            <w:hideMark/>
          </w:tcPr>
          <w:p w14:paraId="1FC782B2"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 </w:t>
            </w:r>
          </w:p>
        </w:tc>
      </w:tr>
      <w:tr w:rsidR="004213AE" w:rsidRPr="00124E7F" w14:paraId="1661955F" w14:textId="77777777" w:rsidTr="000651C5">
        <w:trPr>
          <w:cantSplit/>
        </w:trPr>
        <w:tc>
          <w:tcPr>
            <w:tcW w:w="1567" w:type="pct"/>
            <w:noWrap/>
            <w:vAlign w:val="center"/>
            <w:hideMark/>
          </w:tcPr>
          <w:p w14:paraId="0D7B860A"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Hungary</w:t>
            </w:r>
          </w:p>
        </w:tc>
        <w:tc>
          <w:tcPr>
            <w:tcW w:w="824" w:type="pct"/>
            <w:noWrap/>
            <w:vAlign w:val="center"/>
            <w:hideMark/>
          </w:tcPr>
          <w:p w14:paraId="56D1D6D8"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$1.1 B</w:t>
            </w:r>
          </w:p>
        </w:tc>
        <w:tc>
          <w:tcPr>
            <w:tcW w:w="1648" w:type="pct"/>
            <w:noWrap/>
            <w:vAlign w:val="center"/>
            <w:hideMark/>
          </w:tcPr>
          <w:p w14:paraId="4B2BF290" w14:textId="77777777" w:rsidR="001E4B38" w:rsidRPr="004213AE" w:rsidRDefault="001E4B38" w:rsidP="001E4B38">
            <w:pPr>
              <w:widowControl/>
              <w:autoSpaceDE/>
              <w:autoSpaceDN/>
              <w:adjustRightInd/>
              <w:spacing w:line="240" w:lineRule="auto"/>
              <w:rPr>
                <w:lang w:val="en-NZ" w:eastAsia="en-NZ"/>
              </w:rPr>
            </w:pPr>
          </w:p>
        </w:tc>
        <w:tc>
          <w:tcPr>
            <w:tcW w:w="961" w:type="pct"/>
            <w:noWrap/>
            <w:vAlign w:val="center"/>
            <w:hideMark/>
          </w:tcPr>
          <w:p w14:paraId="70054CD6"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 </w:t>
            </w:r>
          </w:p>
        </w:tc>
      </w:tr>
      <w:tr w:rsidR="004213AE" w:rsidRPr="00124E7F" w14:paraId="419ED41A" w14:textId="77777777" w:rsidTr="000651C5">
        <w:trPr>
          <w:cantSplit/>
        </w:trPr>
        <w:tc>
          <w:tcPr>
            <w:tcW w:w="1567" w:type="pct"/>
            <w:noWrap/>
            <w:vAlign w:val="center"/>
            <w:hideMark/>
          </w:tcPr>
          <w:p w14:paraId="38AC1915"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Vietnam</w:t>
            </w:r>
          </w:p>
        </w:tc>
        <w:tc>
          <w:tcPr>
            <w:tcW w:w="824" w:type="pct"/>
            <w:noWrap/>
            <w:vAlign w:val="center"/>
            <w:hideMark/>
          </w:tcPr>
          <w:p w14:paraId="3D4AFD9E"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$1 B</w:t>
            </w:r>
          </w:p>
        </w:tc>
        <w:tc>
          <w:tcPr>
            <w:tcW w:w="1648" w:type="pct"/>
            <w:noWrap/>
            <w:vAlign w:val="center"/>
            <w:hideMark/>
          </w:tcPr>
          <w:p w14:paraId="00F058B7" w14:textId="77777777" w:rsidR="001E4B38" w:rsidRPr="004213AE" w:rsidRDefault="001E4B38" w:rsidP="001E4B38">
            <w:pPr>
              <w:widowControl/>
              <w:autoSpaceDE/>
              <w:autoSpaceDN/>
              <w:adjustRightInd/>
              <w:spacing w:line="240" w:lineRule="auto"/>
              <w:rPr>
                <w:lang w:val="en-NZ" w:eastAsia="en-NZ"/>
              </w:rPr>
            </w:pPr>
          </w:p>
        </w:tc>
        <w:tc>
          <w:tcPr>
            <w:tcW w:w="961" w:type="pct"/>
            <w:noWrap/>
            <w:vAlign w:val="center"/>
            <w:hideMark/>
          </w:tcPr>
          <w:p w14:paraId="1F880E71"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 </w:t>
            </w:r>
          </w:p>
        </w:tc>
      </w:tr>
      <w:tr w:rsidR="004213AE" w:rsidRPr="00124E7F" w14:paraId="2A5D1699" w14:textId="77777777" w:rsidTr="000651C5">
        <w:trPr>
          <w:cantSplit/>
        </w:trPr>
        <w:tc>
          <w:tcPr>
            <w:tcW w:w="1567" w:type="pct"/>
            <w:noWrap/>
            <w:vAlign w:val="center"/>
            <w:hideMark/>
          </w:tcPr>
          <w:p w14:paraId="053BC0A1"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Slovenia</w:t>
            </w:r>
          </w:p>
        </w:tc>
        <w:tc>
          <w:tcPr>
            <w:tcW w:w="824" w:type="pct"/>
            <w:noWrap/>
            <w:vAlign w:val="center"/>
            <w:hideMark/>
          </w:tcPr>
          <w:p w14:paraId="60598DBE"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$1 B</w:t>
            </w:r>
          </w:p>
        </w:tc>
        <w:tc>
          <w:tcPr>
            <w:tcW w:w="1648" w:type="pct"/>
            <w:noWrap/>
            <w:vAlign w:val="center"/>
            <w:hideMark/>
          </w:tcPr>
          <w:p w14:paraId="669FA722" w14:textId="77777777" w:rsidR="001E4B38" w:rsidRPr="004213AE" w:rsidRDefault="001E4B38" w:rsidP="001E4B38">
            <w:pPr>
              <w:widowControl/>
              <w:autoSpaceDE/>
              <w:autoSpaceDN/>
              <w:adjustRightInd/>
              <w:spacing w:line="240" w:lineRule="auto"/>
              <w:rPr>
                <w:lang w:val="en-NZ" w:eastAsia="en-NZ"/>
              </w:rPr>
            </w:pPr>
          </w:p>
        </w:tc>
        <w:tc>
          <w:tcPr>
            <w:tcW w:w="961" w:type="pct"/>
            <w:noWrap/>
            <w:vAlign w:val="center"/>
            <w:hideMark/>
          </w:tcPr>
          <w:p w14:paraId="15DBBFE3"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 </w:t>
            </w:r>
          </w:p>
        </w:tc>
      </w:tr>
      <w:tr w:rsidR="004213AE" w:rsidRPr="00124E7F" w14:paraId="0EF9B98C" w14:textId="77777777" w:rsidTr="000651C5">
        <w:trPr>
          <w:cantSplit/>
        </w:trPr>
        <w:tc>
          <w:tcPr>
            <w:tcW w:w="1567" w:type="pct"/>
            <w:noWrap/>
            <w:vAlign w:val="center"/>
            <w:hideMark/>
          </w:tcPr>
          <w:p w14:paraId="5038A8B9"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Singapore</w:t>
            </w:r>
          </w:p>
        </w:tc>
        <w:tc>
          <w:tcPr>
            <w:tcW w:w="824" w:type="pct"/>
            <w:noWrap/>
            <w:vAlign w:val="center"/>
            <w:hideMark/>
          </w:tcPr>
          <w:p w14:paraId="28ADA371"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$1 B</w:t>
            </w:r>
          </w:p>
        </w:tc>
        <w:tc>
          <w:tcPr>
            <w:tcW w:w="1648" w:type="pct"/>
            <w:noWrap/>
            <w:vAlign w:val="center"/>
            <w:hideMark/>
          </w:tcPr>
          <w:p w14:paraId="2863DE8C" w14:textId="77777777" w:rsidR="001E4B38" w:rsidRPr="004213AE" w:rsidRDefault="001E4B38" w:rsidP="001E4B38">
            <w:pPr>
              <w:widowControl/>
              <w:autoSpaceDE/>
              <w:autoSpaceDN/>
              <w:adjustRightInd/>
              <w:spacing w:line="240" w:lineRule="auto"/>
              <w:rPr>
                <w:lang w:val="en-NZ" w:eastAsia="en-NZ"/>
              </w:rPr>
            </w:pPr>
          </w:p>
        </w:tc>
        <w:tc>
          <w:tcPr>
            <w:tcW w:w="961" w:type="pct"/>
            <w:noWrap/>
            <w:vAlign w:val="center"/>
            <w:hideMark/>
          </w:tcPr>
          <w:p w14:paraId="1A5D790D"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 </w:t>
            </w:r>
          </w:p>
        </w:tc>
      </w:tr>
      <w:tr w:rsidR="004213AE" w:rsidRPr="00124E7F" w14:paraId="01DBF055" w14:textId="77777777" w:rsidTr="000651C5">
        <w:trPr>
          <w:cantSplit/>
        </w:trPr>
        <w:tc>
          <w:tcPr>
            <w:tcW w:w="1567" w:type="pct"/>
            <w:tcBorders>
              <w:bottom w:val="single" w:sz="4" w:space="0" w:color="808080" w:themeColor="background1" w:themeShade="80"/>
            </w:tcBorders>
            <w:noWrap/>
            <w:vAlign w:val="center"/>
            <w:hideMark/>
          </w:tcPr>
          <w:p w14:paraId="1D4FF0D3"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Poland</w:t>
            </w:r>
          </w:p>
        </w:tc>
        <w:tc>
          <w:tcPr>
            <w:tcW w:w="824" w:type="pct"/>
            <w:tcBorders>
              <w:bottom w:val="single" w:sz="4" w:space="0" w:color="808080" w:themeColor="background1" w:themeShade="80"/>
            </w:tcBorders>
            <w:noWrap/>
            <w:vAlign w:val="center"/>
            <w:hideMark/>
          </w:tcPr>
          <w:p w14:paraId="1ED694A3"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$1 B</w:t>
            </w:r>
          </w:p>
        </w:tc>
        <w:tc>
          <w:tcPr>
            <w:tcW w:w="1648" w:type="pct"/>
            <w:tcBorders>
              <w:bottom w:val="single" w:sz="4" w:space="0" w:color="808080" w:themeColor="background1" w:themeShade="80"/>
            </w:tcBorders>
            <w:noWrap/>
            <w:vAlign w:val="center"/>
            <w:hideMark/>
          </w:tcPr>
          <w:p w14:paraId="2910FDB8" w14:textId="77777777" w:rsidR="001E4B38" w:rsidRPr="004213AE" w:rsidRDefault="001E4B38" w:rsidP="001E4B38">
            <w:pPr>
              <w:widowControl/>
              <w:autoSpaceDE/>
              <w:autoSpaceDN/>
              <w:adjustRightInd/>
              <w:spacing w:line="240" w:lineRule="auto"/>
              <w:rPr>
                <w:lang w:val="en-NZ" w:eastAsia="en-NZ"/>
              </w:rPr>
            </w:pPr>
          </w:p>
        </w:tc>
        <w:tc>
          <w:tcPr>
            <w:tcW w:w="961" w:type="pct"/>
            <w:tcBorders>
              <w:bottom w:val="single" w:sz="4" w:space="0" w:color="808080" w:themeColor="background1" w:themeShade="80"/>
            </w:tcBorders>
            <w:noWrap/>
            <w:vAlign w:val="center"/>
            <w:hideMark/>
          </w:tcPr>
          <w:p w14:paraId="0BE240C8"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 </w:t>
            </w:r>
          </w:p>
        </w:tc>
      </w:tr>
      <w:tr w:rsidR="004213AE" w:rsidRPr="00124E7F" w14:paraId="4D4A27AD" w14:textId="77777777" w:rsidTr="000651C5">
        <w:trPr>
          <w:cantSplit/>
        </w:trPr>
        <w:tc>
          <w:tcPr>
            <w:tcW w:w="1567" w:type="pct"/>
            <w:tcBorders>
              <w:top w:val="single" w:sz="4" w:space="0" w:color="808080" w:themeColor="background1" w:themeShade="80"/>
              <w:bottom w:val="single" w:sz="4" w:space="0" w:color="808080" w:themeColor="background1" w:themeShade="80"/>
            </w:tcBorders>
            <w:noWrap/>
            <w:vAlign w:val="center"/>
            <w:hideMark/>
          </w:tcPr>
          <w:p w14:paraId="6D9F9EC7"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Argentina</w:t>
            </w:r>
          </w:p>
        </w:tc>
        <w:tc>
          <w:tcPr>
            <w:tcW w:w="824" w:type="pct"/>
            <w:tcBorders>
              <w:top w:val="single" w:sz="4" w:space="0" w:color="808080" w:themeColor="background1" w:themeShade="80"/>
              <w:bottom w:val="single" w:sz="4" w:space="0" w:color="808080" w:themeColor="background1" w:themeShade="80"/>
            </w:tcBorders>
            <w:noWrap/>
            <w:vAlign w:val="center"/>
            <w:hideMark/>
          </w:tcPr>
          <w:p w14:paraId="1F9B3773"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$1 B</w:t>
            </w:r>
          </w:p>
        </w:tc>
        <w:tc>
          <w:tcPr>
            <w:tcW w:w="1648" w:type="pct"/>
            <w:tcBorders>
              <w:top w:val="single" w:sz="4" w:space="0" w:color="808080" w:themeColor="background1" w:themeShade="80"/>
              <w:bottom w:val="single" w:sz="4" w:space="0" w:color="808080" w:themeColor="background1" w:themeShade="80"/>
            </w:tcBorders>
            <w:noWrap/>
            <w:vAlign w:val="center"/>
            <w:hideMark/>
          </w:tcPr>
          <w:p w14:paraId="20AB0AA0" w14:textId="77777777" w:rsidR="001E4B38" w:rsidRPr="00202E68" w:rsidRDefault="001E4B38" w:rsidP="001E4B38">
            <w:pPr>
              <w:widowControl/>
              <w:autoSpaceDE/>
              <w:autoSpaceDN/>
              <w:adjustRightInd/>
              <w:spacing w:line="240" w:lineRule="auto"/>
              <w:rPr>
                <w:rFonts w:cs="Calibri"/>
                <w:lang w:val="en-NZ" w:eastAsia="en-NZ"/>
              </w:rPr>
            </w:pPr>
            <w:r w:rsidRPr="00202E68">
              <w:rPr>
                <w:rFonts w:cs="Calibri"/>
                <w:lang w:val="en-NZ" w:eastAsia="en-NZ"/>
              </w:rPr>
              <w:t> </w:t>
            </w:r>
          </w:p>
        </w:tc>
        <w:tc>
          <w:tcPr>
            <w:tcW w:w="961" w:type="pct"/>
            <w:tcBorders>
              <w:top w:val="single" w:sz="4" w:space="0" w:color="808080" w:themeColor="background1" w:themeShade="80"/>
              <w:bottom w:val="single" w:sz="4" w:space="0" w:color="808080" w:themeColor="background1" w:themeShade="80"/>
            </w:tcBorders>
            <w:noWrap/>
            <w:vAlign w:val="center"/>
            <w:hideMark/>
          </w:tcPr>
          <w:p w14:paraId="5CC3596A" w14:textId="77777777" w:rsidR="001E4B38" w:rsidRPr="00202E68" w:rsidRDefault="001E4B38" w:rsidP="00F57F6B">
            <w:pPr>
              <w:widowControl/>
              <w:autoSpaceDE/>
              <w:autoSpaceDN/>
              <w:adjustRightInd/>
              <w:spacing w:line="240" w:lineRule="auto"/>
              <w:jc w:val="right"/>
              <w:rPr>
                <w:rFonts w:cs="Calibri"/>
                <w:lang w:val="en-NZ" w:eastAsia="en-NZ"/>
              </w:rPr>
            </w:pPr>
            <w:r w:rsidRPr="00202E68">
              <w:rPr>
                <w:rFonts w:cs="Calibri"/>
                <w:lang w:val="en-NZ" w:eastAsia="en-NZ"/>
              </w:rPr>
              <w:t> </w:t>
            </w:r>
          </w:p>
        </w:tc>
      </w:tr>
    </w:tbl>
    <w:p w14:paraId="30E0EE77" w14:textId="77777777" w:rsidR="00420378" w:rsidRPr="00124E7F" w:rsidRDefault="00C358CE" w:rsidP="001E4B38">
      <w:pPr>
        <w:pStyle w:val="EYSource"/>
        <w:keepNext w:val="0"/>
        <w:widowControl w:val="0"/>
        <w:rPr>
          <w:sz w:val="20"/>
          <w:szCs w:val="20"/>
        </w:rPr>
      </w:pPr>
      <w:r w:rsidRPr="00124E7F">
        <w:rPr>
          <w:sz w:val="20"/>
          <w:szCs w:val="20"/>
        </w:rPr>
        <w:t xml:space="preserve">Source: World Startup Wiki (2016), ‘Internet Hall of Fame – </w:t>
      </w:r>
      <w:r w:rsidR="004C09E2" w:rsidRPr="00124E7F">
        <w:rPr>
          <w:sz w:val="20"/>
          <w:szCs w:val="20"/>
        </w:rPr>
        <w:br/>
      </w:r>
      <w:r w:rsidRPr="00124E7F">
        <w:rPr>
          <w:sz w:val="20"/>
          <w:szCs w:val="20"/>
        </w:rPr>
        <w:t>Things you need to know about the world of internet companies’</w:t>
      </w:r>
    </w:p>
    <w:p w14:paraId="4029242C" w14:textId="77777777" w:rsidR="00EA6B10" w:rsidRPr="00124E7F" w:rsidRDefault="00EA6B10" w:rsidP="00374194">
      <w:pPr>
        <w:rPr>
          <w:lang w:val="en-US"/>
        </w:rPr>
      </w:pPr>
    </w:p>
    <w:p w14:paraId="055D76C4" w14:textId="77777777" w:rsidR="00933AE3" w:rsidRPr="00124E7F" w:rsidRDefault="00590922" w:rsidP="00394E76">
      <w:pPr>
        <w:pStyle w:val="EYBodytextwithparaspace"/>
      </w:pPr>
      <w:r w:rsidRPr="00124E7F">
        <w:t>T</w:t>
      </w:r>
      <w:r w:rsidR="00933AE3" w:rsidRPr="00124E7F">
        <w:t xml:space="preserve">his does not mean that Australian-based internet start-ups could not fare better under a more certain Copyright regime. Two studies by </w:t>
      </w:r>
      <w:proofErr w:type="spellStart"/>
      <w:r w:rsidR="00933AE3" w:rsidRPr="00124E7F">
        <w:t>Booz&amp;Co</w:t>
      </w:r>
      <w:proofErr w:type="spellEnd"/>
      <w:r w:rsidR="00933AE3" w:rsidRPr="00124E7F">
        <w:t xml:space="preserve"> have explored the impact of changes to copyright regulations in the US and EU on early stage investment in internet or digital content intermediaries. Based on a survey of angel investors and interviews with venture capitalists, </w:t>
      </w:r>
      <w:proofErr w:type="spellStart"/>
      <w:r w:rsidR="00933AE3" w:rsidRPr="00124E7F">
        <w:t>Booz&amp;Co</w:t>
      </w:r>
      <w:proofErr w:type="spellEnd"/>
      <w:r w:rsidR="00933AE3" w:rsidRPr="00124E7F">
        <w:t xml:space="preserve"> found that risk plays an important part in investment decisions. For example, </w:t>
      </w:r>
      <w:r w:rsidR="00E24430" w:rsidRPr="00124E7F">
        <w:t>the studies</w:t>
      </w:r>
      <w:r w:rsidR="00933AE3" w:rsidRPr="00124E7F">
        <w:t xml:space="preserve"> found that increasing liability for content providers would have a greater negative impact on early-stage investment than would a weak economy and an increased competitive environment combined. </w:t>
      </w:r>
      <w:r w:rsidR="00223EDD" w:rsidRPr="00124E7F">
        <w:t>Moreover</w:t>
      </w:r>
      <w:r w:rsidR="00933AE3" w:rsidRPr="00124E7F">
        <w:t>, clarifying copyrigh</w:t>
      </w:r>
      <w:r w:rsidRPr="00124E7F">
        <w:t>t regulations to allow websites</w:t>
      </w:r>
      <w:r w:rsidR="00933AE3" w:rsidRPr="00124E7F">
        <w:t xml:space="preserve"> to resolve legal disputes quickly would expand the pool of interested investors by 111 per cent in th</w:t>
      </w:r>
      <w:r w:rsidR="0097562E" w:rsidRPr="00124E7F">
        <w:t>e US and 19 per cent in Europe.</w:t>
      </w:r>
      <w:r w:rsidR="00933AE3" w:rsidRPr="00124E7F">
        <w:rPr>
          <w:vertAlign w:val="superscript"/>
        </w:rPr>
        <w:footnoteReference w:id="106"/>
      </w:r>
      <w:r w:rsidR="00933AE3" w:rsidRPr="00124E7F">
        <w:t xml:space="preserve"> These findings apply equally to an Australian setting. For example, a recent report </w:t>
      </w:r>
      <w:r w:rsidR="00E24430" w:rsidRPr="00124E7F">
        <w:t xml:space="preserve">on the impact of internet regulation on investment, </w:t>
      </w:r>
      <w:r w:rsidR="00933AE3" w:rsidRPr="00124E7F">
        <w:t>found that 90 per cent of Australian investors believe that the legal environment has a negative impact on their investing activities.</w:t>
      </w:r>
      <w:r w:rsidR="00933AE3" w:rsidRPr="00124E7F">
        <w:rPr>
          <w:vertAlign w:val="superscript"/>
        </w:rPr>
        <w:footnoteReference w:id="107"/>
      </w:r>
    </w:p>
    <w:p w14:paraId="6DA1FB51" w14:textId="77777777" w:rsidR="00933AE3" w:rsidRPr="00124E7F" w:rsidRDefault="00933AE3" w:rsidP="00394E76">
      <w:pPr>
        <w:pStyle w:val="EYBodytextwithparaspace"/>
      </w:pPr>
      <w:r w:rsidRPr="00124E7F">
        <w:t>Internet firms require capital to fuel their growth. To the extent that an exception would reduce ambiguity around the legal position of Australian-based internet intermediaries, this would be expected to increase both investment in and the growth of such firms</w:t>
      </w:r>
      <w:r w:rsidR="001F7CFF" w:rsidRPr="00124E7F">
        <w:t xml:space="preserve"> and in new use</w:t>
      </w:r>
      <w:r w:rsidR="008D2BA1" w:rsidRPr="00124E7F">
        <w:t>s</w:t>
      </w:r>
      <w:r w:rsidR="001F7CFF" w:rsidRPr="00124E7F">
        <w:t xml:space="preserve"> of copyright content by these firms,</w:t>
      </w:r>
      <w:r w:rsidR="007860F7" w:rsidRPr="00124E7F">
        <w:t xml:space="preserve"> with concomitant public benefits</w:t>
      </w:r>
      <w:r w:rsidRPr="00124E7F">
        <w:t>. However, to place a value aro</w:t>
      </w:r>
      <w:r w:rsidR="00223EDD" w:rsidRPr="00124E7F">
        <w:t xml:space="preserve">und </w:t>
      </w:r>
      <w:r w:rsidR="008D2BA1" w:rsidRPr="00124E7F">
        <w:t>these</w:t>
      </w:r>
      <w:r w:rsidR="00223EDD" w:rsidRPr="00124E7F">
        <w:t xml:space="preserve"> </w:t>
      </w:r>
      <w:r w:rsidR="008D2BA1" w:rsidRPr="00124E7F">
        <w:t>impacts</w:t>
      </w:r>
      <w:r w:rsidR="00223EDD" w:rsidRPr="00124E7F">
        <w:t xml:space="preserve"> is not possible</w:t>
      </w:r>
      <w:r w:rsidR="008D2BA1" w:rsidRPr="00124E7F">
        <w:t>,</w:t>
      </w:r>
      <w:r w:rsidR="00223EDD" w:rsidRPr="00124E7F">
        <w:t xml:space="preserve"> as</w:t>
      </w:r>
      <w:r w:rsidRPr="00124E7F">
        <w:t xml:space="preserve"> Copyright law is one of many factors in the investment decisions </w:t>
      </w:r>
      <w:r w:rsidR="00223EDD" w:rsidRPr="00124E7F">
        <w:t>and</w:t>
      </w:r>
      <w:r w:rsidRPr="00124E7F">
        <w:t xml:space="preserve"> business decisions of int</w:t>
      </w:r>
      <w:r w:rsidR="00223EDD" w:rsidRPr="00124E7F">
        <w:t>ernet intermediaries and their investors.</w:t>
      </w:r>
    </w:p>
    <w:p w14:paraId="7A334284" w14:textId="77777777" w:rsidR="001A0E1F" w:rsidRPr="00124E7F" w:rsidRDefault="001A0E1F" w:rsidP="007A51B0">
      <w:pPr>
        <w:pStyle w:val="EYHeading4"/>
      </w:pPr>
      <w:r w:rsidRPr="00124E7F">
        <w:t xml:space="preserve">Costs </w:t>
      </w:r>
      <w:r w:rsidR="00366349" w:rsidRPr="00124E7F">
        <w:t>in foregone revenue to right</w:t>
      </w:r>
      <w:r w:rsidR="006B2E08" w:rsidRPr="00124E7F">
        <w:t>s</w:t>
      </w:r>
      <w:r w:rsidR="00366349" w:rsidRPr="00124E7F">
        <w:t xml:space="preserve"> holders</w:t>
      </w:r>
      <w:r w:rsidR="006E40A8" w:rsidRPr="00124E7F">
        <w:t xml:space="preserve"> and incentives to produce new works</w:t>
      </w:r>
    </w:p>
    <w:p w14:paraId="1B8BB7F8" w14:textId="77777777" w:rsidR="00E26354" w:rsidRPr="00124E7F" w:rsidRDefault="004A1B56" w:rsidP="00394E76">
      <w:pPr>
        <w:pStyle w:val="EYBodytextwithparaspace"/>
      </w:pPr>
      <w:r w:rsidRPr="00124E7F">
        <w:t>The activities of internet intermediaries such as searching or caching do not generally interfere with the markets for original content (or incentives to create new works).</w:t>
      </w:r>
      <w:r w:rsidR="00E26354" w:rsidRPr="00124E7F">
        <w:t xml:space="preserve"> </w:t>
      </w:r>
      <w:r w:rsidR="005B0216" w:rsidRPr="00124E7F">
        <w:t>In both cases, search engines reproduce copyright content, ‘but only do so in the course of enabling and facilitating its discovery and delivery’</w:t>
      </w:r>
      <w:r w:rsidR="005B0216" w:rsidRPr="00124E7F">
        <w:rPr>
          <w:vertAlign w:val="superscript"/>
        </w:rPr>
        <w:footnoteReference w:id="108"/>
      </w:r>
      <w:r w:rsidR="005B0216" w:rsidRPr="00124E7F">
        <w:t>.</w:t>
      </w:r>
      <w:r w:rsidR="003438E5" w:rsidRPr="00124E7F">
        <w:t xml:space="preserve"> </w:t>
      </w:r>
      <w:r w:rsidR="008D2BA1" w:rsidRPr="00124E7F">
        <w:t>In this context, t</w:t>
      </w:r>
      <w:r w:rsidR="00E24430" w:rsidRPr="00124E7F">
        <w:t>he use of copyright content by internet intermediaries</w:t>
      </w:r>
      <w:r w:rsidR="00E26354" w:rsidRPr="00124E7F">
        <w:t xml:space="preserve"> </w:t>
      </w:r>
      <w:r w:rsidR="008D2BA1" w:rsidRPr="00124E7F">
        <w:t>may be seen as transformative</w:t>
      </w:r>
      <w:r w:rsidR="00E26354" w:rsidRPr="00124E7F">
        <w:t>. Where the original work is</w:t>
      </w:r>
      <w:r w:rsidR="008D2BA1" w:rsidRPr="00124E7F">
        <w:t xml:space="preserve"> supplanted or </w:t>
      </w:r>
      <w:r w:rsidR="00E03D5F" w:rsidRPr="00124E7F">
        <w:t>superseded</w:t>
      </w:r>
      <w:r w:rsidR="00E26354" w:rsidRPr="00124E7F">
        <w:t xml:space="preserve">, it is assumed that incidental or technical uses would count against fair dealing. </w:t>
      </w:r>
      <w:r w:rsidR="008E479C" w:rsidRPr="00124E7F">
        <w:t xml:space="preserve">Moreover, where web site creators have concerns, they are able to </w:t>
      </w:r>
      <w:r w:rsidR="008D2BA1" w:rsidRPr="00124E7F">
        <w:t>block</w:t>
      </w:r>
      <w:r w:rsidR="008E479C" w:rsidRPr="00124E7F">
        <w:t xml:space="preserve"> unwanted caching of their websites.</w:t>
      </w:r>
    </w:p>
    <w:p w14:paraId="5A1D5BDD" w14:textId="77777777" w:rsidR="00D53519" w:rsidRPr="00124E7F" w:rsidRDefault="004A1B56" w:rsidP="00394E76">
      <w:pPr>
        <w:pStyle w:val="EYBodytextwithparaspace"/>
      </w:pPr>
      <w:r w:rsidRPr="00124E7F">
        <w:t>Rather than being detrimental to right</w:t>
      </w:r>
      <w:r w:rsidR="006B2E08" w:rsidRPr="00124E7F">
        <w:t>s</w:t>
      </w:r>
      <w:r w:rsidRPr="00124E7F">
        <w:t xml:space="preserve"> holders, the impact of search and caching would be expected to have a positive impact on sales and thereby incentives to produce </w:t>
      </w:r>
      <w:r w:rsidR="008D2BA1" w:rsidRPr="00124E7F">
        <w:t xml:space="preserve">new </w:t>
      </w:r>
      <w:r w:rsidRPr="00124E7F">
        <w:t xml:space="preserve">works. </w:t>
      </w:r>
      <w:r w:rsidR="009371A9" w:rsidRPr="00124E7F">
        <w:t xml:space="preserve">Much of the content placed online is in the form of ‘free-to-use’ website information put </w:t>
      </w:r>
      <w:r w:rsidR="008D2BA1" w:rsidRPr="00124E7F">
        <w:t>there</w:t>
      </w:r>
      <w:r w:rsidR="009371A9" w:rsidRPr="00124E7F">
        <w:t xml:space="preserve"> for promotional purposes or to communicate with </w:t>
      </w:r>
      <w:r w:rsidRPr="00124E7F">
        <w:t>clients</w:t>
      </w:r>
      <w:r w:rsidR="009371A9" w:rsidRPr="00124E7F">
        <w:t xml:space="preserve">. Other websites offer information for access and </w:t>
      </w:r>
      <w:r w:rsidR="00AB32B9" w:rsidRPr="00124E7F">
        <w:t>download</w:t>
      </w:r>
      <w:r w:rsidR="009371A9" w:rsidRPr="00124E7F">
        <w:t xml:space="preserve"> </w:t>
      </w:r>
      <w:r w:rsidR="00D53519" w:rsidRPr="00124E7F">
        <w:t xml:space="preserve">on a paid basis, often behind ‘paywalls’. </w:t>
      </w:r>
      <w:r w:rsidRPr="00124E7F">
        <w:t xml:space="preserve">Either way, search </w:t>
      </w:r>
      <w:r w:rsidR="009371A9" w:rsidRPr="00124E7F">
        <w:t xml:space="preserve">and </w:t>
      </w:r>
      <w:r w:rsidR="00AB32B9" w:rsidRPr="00124E7F">
        <w:t>caching</w:t>
      </w:r>
      <w:r w:rsidR="009371A9" w:rsidRPr="00124E7F">
        <w:t xml:space="preserve"> make</w:t>
      </w:r>
      <w:r w:rsidR="00D53519" w:rsidRPr="00124E7F">
        <w:t>s</w:t>
      </w:r>
      <w:r w:rsidR="009371A9" w:rsidRPr="00124E7F">
        <w:t xml:space="preserve"> </w:t>
      </w:r>
      <w:r w:rsidR="00AB32B9" w:rsidRPr="00124E7F">
        <w:t>content</w:t>
      </w:r>
      <w:r w:rsidR="009371A9" w:rsidRPr="00124E7F">
        <w:t xml:space="preserve"> more accessible and useful, and so should increase traffic to these </w:t>
      </w:r>
      <w:r w:rsidR="00AB32B9" w:rsidRPr="00124E7F">
        <w:t>websites, including paying customers</w:t>
      </w:r>
      <w:r w:rsidR="00D53519" w:rsidRPr="00124E7F">
        <w:t>.</w:t>
      </w:r>
      <w:r w:rsidR="00AB32B9" w:rsidRPr="00124E7F">
        <w:rPr>
          <w:vertAlign w:val="superscript"/>
        </w:rPr>
        <w:footnoteReference w:id="109"/>
      </w:r>
      <w:r w:rsidR="00D53519" w:rsidRPr="00124E7F">
        <w:t xml:space="preserve"> </w:t>
      </w:r>
    </w:p>
    <w:p w14:paraId="335A2506" w14:textId="77777777" w:rsidR="006235F4" w:rsidRPr="00124E7F" w:rsidRDefault="003438E5" w:rsidP="00394E76">
      <w:pPr>
        <w:pStyle w:val="EYBodytextwithparaspace"/>
      </w:pPr>
      <w:r w:rsidRPr="00124E7F">
        <w:t xml:space="preserve">A good example of how </w:t>
      </w:r>
      <w:r w:rsidR="004A1B56" w:rsidRPr="00124E7F">
        <w:t>broader exceptions can</w:t>
      </w:r>
      <w:r w:rsidRPr="00124E7F">
        <w:t xml:space="preserve"> benefit both users and </w:t>
      </w:r>
      <w:r w:rsidR="00E26354" w:rsidRPr="00124E7F">
        <w:t>copyright owners is the Google </w:t>
      </w:r>
      <w:r w:rsidR="00C82599" w:rsidRPr="00124E7F">
        <w:t>Books s</w:t>
      </w:r>
      <w:r w:rsidRPr="00124E7F">
        <w:t>ervice.</w:t>
      </w:r>
      <w:r w:rsidR="00D53519" w:rsidRPr="00124E7F">
        <w:t xml:space="preserve"> </w:t>
      </w:r>
      <w:r w:rsidRPr="00124E7F">
        <w:t xml:space="preserve">Google Books is much like a web search that searches the full text of books and magazines that Google has scanned and stored in its digital database. For books out of copyright, or </w:t>
      </w:r>
      <w:r w:rsidR="00407B8A" w:rsidRPr="00124E7F">
        <w:t xml:space="preserve">where </w:t>
      </w:r>
      <w:r w:rsidRPr="00124E7F">
        <w:t>the publisher has given permission, the search returns ‘</w:t>
      </w:r>
      <w:r w:rsidR="00D53519" w:rsidRPr="00124E7F">
        <w:t xml:space="preserve">full view’ </w:t>
      </w:r>
      <w:r w:rsidRPr="00124E7F">
        <w:t>copies of books.</w:t>
      </w:r>
      <w:r w:rsidR="00D53519" w:rsidRPr="00124E7F">
        <w:t xml:space="preserve"> </w:t>
      </w:r>
      <w:r w:rsidRPr="00124E7F">
        <w:t xml:space="preserve">For other books, Google will show ‘snippets’ - </w:t>
      </w:r>
      <w:r w:rsidRPr="00124E7F">
        <w:rPr>
          <w:lang w:val="en"/>
        </w:rPr>
        <w:t>two to three lines of text surrounding the queried search term.</w:t>
      </w:r>
      <w:r w:rsidR="00E26354" w:rsidRPr="00124E7F">
        <w:t xml:space="preserve"> In 2013, </w:t>
      </w:r>
      <w:r w:rsidR="006235F4" w:rsidRPr="00124E7F">
        <w:t xml:space="preserve">the </w:t>
      </w:r>
      <w:r w:rsidR="00407B8A" w:rsidRPr="00124E7F">
        <w:t xml:space="preserve">US </w:t>
      </w:r>
      <w:r w:rsidR="006235F4" w:rsidRPr="00124E7F">
        <w:t xml:space="preserve">Authors Guild brought an action against Google’s Book Service for copyright infringement. Finding in Google’s </w:t>
      </w:r>
      <w:proofErr w:type="spellStart"/>
      <w:r w:rsidR="006235F4" w:rsidRPr="00124E7F">
        <w:t>favour</w:t>
      </w:r>
      <w:proofErr w:type="spellEnd"/>
      <w:r w:rsidR="006235F4" w:rsidRPr="00124E7F">
        <w:t xml:space="preserve">, </w:t>
      </w:r>
      <w:r w:rsidR="00407B8A" w:rsidRPr="00124E7F">
        <w:t>the Judge</w:t>
      </w:r>
      <w:r w:rsidR="006235F4" w:rsidRPr="00124E7F">
        <w:t xml:space="preserve"> highlighted a number of benefits of Google Books including that it helps authors and publishers gain audience and income:</w:t>
      </w:r>
    </w:p>
    <w:p w14:paraId="244B14B3" w14:textId="77777777" w:rsidR="00D53519" w:rsidRPr="00124E7F" w:rsidRDefault="00752EF2" w:rsidP="00394E76">
      <w:pPr>
        <w:pStyle w:val="EYIndent1"/>
        <w:rPr>
          <w:i/>
        </w:rPr>
      </w:pPr>
      <w:r w:rsidRPr="00124E7F">
        <w:rPr>
          <w:i/>
        </w:rPr>
        <w:t xml:space="preserve">By helping readers and researchers identify books, Google Books benefits authors and publishers. When a user clicks on a search result and is directed to an “About the Book” page, the page will offer links to sellers of the book and/or libraries listing the book as part of their collections. The About the Book page for Ball Four, for example, provides links to Amazon.com, Barnes&amp;Noble.com, Books-A-Million, and </w:t>
      </w:r>
      <w:proofErr w:type="spellStart"/>
      <w:r w:rsidRPr="00124E7F">
        <w:rPr>
          <w:i/>
        </w:rPr>
        <w:t>IndieBound</w:t>
      </w:r>
      <w:proofErr w:type="spellEnd"/>
      <w:r w:rsidRPr="00124E7F">
        <w:rPr>
          <w:i/>
        </w:rPr>
        <w:t>. A user could simply click on any of these links to be directed to a website where she could purchase the book. Hence, Google Books will generate new audiences and create new sources of income.</w:t>
      </w:r>
      <w:r w:rsidRPr="00124E7F">
        <w:rPr>
          <w:i/>
          <w:vertAlign w:val="superscript"/>
        </w:rPr>
        <w:footnoteReference w:id="110"/>
      </w:r>
    </w:p>
    <w:p w14:paraId="6F65CF5F" w14:textId="77777777" w:rsidR="00E26354" w:rsidRPr="00124E7F" w:rsidRDefault="0055463E" w:rsidP="00120428">
      <w:pPr>
        <w:pStyle w:val="EYBodytextwithparaspace"/>
      </w:pPr>
      <w:r w:rsidRPr="00124E7F">
        <w:t>While this cannot be quantified</w:t>
      </w:r>
      <w:r w:rsidR="00E26354" w:rsidRPr="00124E7F">
        <w:t>, the impact on the revenue of copyright holders from a fair dealing exception for incidental or technical use is more likely to be positive than negative.</w:t>
      </w:r>
      <w:r w:rsidR="00B054A5" w:rsidRPr="00124E7F">
        <w:t xml:space="preserve"> </w:t>
      </w:r>
    </w:p>
    <w:p w14:paraId="2FD16021" w14:textId="77777777" w:rsidR="00EA6B10" w:rsidRPr="00124E7F" w:rsidRDefault="00EA6B10">
      <w:pPr>
        <w:widowControl/>
        <w:autoSpaceDE/>
        <w:autoSpaceDN/>
        <w:adjustRightInd/>
        <w:spacing w:line="240" w:lineRule="auto"/>
        <w:rPr>
          <w:b/>
          <w:sz w:val="28"/>
          <w:szCs w:val="24"/>
          <w:lang w:val="en-US"/>
        </w:rPr>
      </w:pPr>
      <w:bookmarkStart w:id="117" w:name="_Toc451769113"/>
      <w:r w:rsidRPr="00124E7F">
        <w:br w:type="page"/>
      </w:r>
    </w:p>
    <w:p w14:paraId="0E61AC21" w14:textId="77777777" w:rsidR="0055463E" w:rsidRPr="00124E7F" w:rsidRDefault="0055463E" w:rsidP="008A175A">
      <w:pPr>
        <w:pStyle w:val="EYHeading2"/>
        <w:spacing w:before="200" w:after="200"/>
      </w:pPr>
      <w:bookmarkStart w:id="118" w:name="_Toc467768610"/>
      <w:bookmarkStart w:id="119" w:name="_Toc467768662"/>
      <w:bookmarkStart w:id="120" w:name="_Toc467768954"/>
      <w:bookmarkStart w:id="121" w:name="_Toc467769083"/>
      <w:bookmarkStart w:id="122" w:name="_Toc469644740"/>
      <w:r w:rsidRPr="00124E7F">
        <w:t xml:space="preserve">Data </w:t>
      </w:r>
      <w:r w:rsidR="004C09E2" w:rsidRPr="00124E7F">
        <w:t>and</w:t>
      </w:r>
      <w:r w:rsidRPr="00124E7F">
        <w:t xml:space="preserve"> text mining</w:t>
      </w:r>
      <w:bookmarkEnd w:id="117"/>
      <w:bookmarkEnd w:id="118"/>
      <w:bookmarkEnd w:id="119"/>
      <w:bookmarkEnd w:id="120"/>
      <w:bookmarkEnd w:id="121"/>
      <w:bookmarkEnd w:id="122"/>
    </w:p>
    <w:p w14:paraId="5415352B" w14:textId="77777777" w:rsidR="0055463E" w:rsidRPr="00124E7F" w:rsidRDefault="004115D0" w:rsidP="00394E76">
      <w:pPr>
        <w:pStyle w:val="EYBodytextwithparaspace"/>
      </w:pPr>
      <w:r w:rsidRPr="00124E7F">
        <w:t>‘</w:t>
      </w:r>
      <w:r w:rsidR="0055463E" w:rsidRPr="00124E7F">
        <w:t>Non-consumptive use’ is defined by the ALRC as the ‘use of copyright material that does not trade on the underlying and expressive purpose of the copyright material’.</w:t>
      </w:r>
      <w:r w:rsidR="0055463E" w:rsidRPr="00124E7F">
        <w:rPr>
          <w:vertAlign w:val="superscript"/>
        </w:rPr>
        <w:footnoteReference w:id="111"/>
      </w:r>
      <w:r w:rsidR="0055463E" w:rsidRPr="00124E7F">
        <w:t xml:space="preserve"> </w:t>
      </w:r>
      <w:r w:rsidR="007555F3" w:rsidRPr="00124E7F">
        <w:t xml:space="preserve">Both </w:t>
      </w:r>
      <w:r w:rsidR="007555F3" w:rsidRPr="00124E7F">
        <w:rPr>
          <w:i/>
        </w:rPr>
        <w:t>i</w:t>
      </w:r>
      <w:r w:rsidR="0055463E" w:rsidRPr="00124E7F">
        <w:rPr>
          <w:i/>
        </w:rPr>
        <w:t>ncidental or technical use</w:t>
      </w:r>
      <w:r w:rsidR="0055463E" w:rsidRPr="00124E7F">
        <w:t xml:space="preserve"> and </w:t>
      </w:r>
      <w:r w:rsidR="0055463E" w:rsidRPr="00124E7F">
        <w:rPr>
          <w:i/>
        </w:rPr>
        <w:t xml:space="preserve">data </w:t>
      </w:r>
      <w:r w:rsidR="008A5827" w:rsidRPr="00124E7F">
        <w:rPr>
          <w:i/>
        </w:rPr>
        <w:t xml:space="preserve">and </w:t>
      </w:r>
      <w:r w:rsidR="0055463E" w:rsidRPr="00124E7F">
        <w:rPr>
          <w:i/>
        </w:rPr>
        <w:t>text mining</w:t>
      </w:r>
      <w:r w:rsidR="0055463E" w:rsidRPr="00124E7F">
        <w:t xml:space="preserve"> are identified by the ALRC as examples of ‘non-consumptive use’ and for this reason are considered under the same </w:t>
      </w:r>
      <w:r w:rsidR="00D56E03" w:rsidRPr="00124E7F">
        <w:t xml:space="preserve">new fair dealing </w:t>
      </w:r>
      <w:r w:rsidR="0055463E" w:rsidRPr="00124E7F">
        <w:t xml:space="preserve">exception. </w:t>
      </w:r>
    </w:p>
    <w:p w14:paraId="4CA5A1E4" w14:textId="77777777" w:rsidR="0055463E" w:rsidRPr="00124E7F" w:rsidRDefault="0055463E" w:rsidP="008A175A">
      <w:pPr>
        <w:pStyle w:val="EYHeading3"/>
        <w:spacing w:before="200" w:after="200"/>
      </w:pPr>
      <w:bookmarkStart w:id="123" w:name="_Ref446515039"/>
      <w:r w:rsidRPr="00124E7F">
        <w:t xml:space="preserve">What is data </w:t>
      </w:r>
      <w:r w:rsidR="004C09E2" w:rsidRPr="00124E7F">
        <w:t xml:space="preserve">and </w:t>
      </w:r>
      <w:r w:rsidRPr="00124E7F">
        <w:t>text mining</w:t>
      </w:r>
      <w:bookmarkEnd w:id="123"/>
    </w:p>
    <w:p w14:paraId="0940778E" w14:textId="77777777" w:rsidR="0055463E" w:rsidRPr="00124E7F" w:rsidRDefault="0055463E" w:rsidP="00394E76">
      <w:pPr>
        <w:pStyle w:val="EYBodytextwithparaspace"/>
      </w:pPr>
      <w:r w:rsidRPr="00124E7F">
        <w:t xml:space="preserve">Data and text mining (DTM) refers to ‘automated analytical techniques that work by copying existing electronic information, for instance articles in scientific journals and other works, and </w:t>
      </w:r>
      <w:proofErr w:type="spellStart"/>
      <w:r w:rsidRPr="00124E7F">
        <w:t>analysing</w:t>
      </w:r>
      <w:proofErr w:type="spellEnd"/>
      <w:r w:rsidRPr="00124E7F">
        <w:t xml:space="preserve"> the data they contain for patterns, trends and other useful information’</w:t>
      </w:r>
      <w:r w:rsidR="0097562E" w:rsidRPr="00124E7F">
        <w:t>.</w:t>
      </w:r>
      <w:r w:rsidRPr="00124E7F">
        <w:rPr>
          <w:vertAlign w:val="superscript"/>
        </w:rPr>
        <w:footnoteReference w:id="112"/>
      </w:r>
    </w:p>
    <w:p w14:paraId="09374041" w14:textId="77777777" w:rsidR="00C0118D" w:rsidRPr="00124E7F" w:rsidRDefault="0055463E" w:rsidP="00394E76">
      <w:pPr>
        <w:pStyle w:val="EYBodytextwithparaspace"/>
      </w:pPr>
      <w:r w:rsidRPr="00124E7F">
        <w:t>Researchers in several sectors – including medicine</w:t>
      </w:r>
      <w:r w:rsidR="00C0118D" w:rsidRPr="00124E7F">
        <w:t>, astronomy, genetics, meteorology</w:t>
      </w:r>
      <w:r w:rsidRPr="00124E7F">
        <w:t xml:space="preserve"> and </w:t>
      </w:r>
      <w:r w:rsidR="00C0118D" w:rsidRPr="00124E7F">
        <w:t xml:space="preserve">history </w:t>
      </w:r>
      <w:r w:rsidRPr="00124E7F">
        <w:t xml:space="preserve">– are making increasing use of DTM. </w:t>
      </w:r>
      <w:r w:rsidR="00C0118D" w:rsidRPr="00124E7F">
        <w:t xml:space="preserve">For example, a medical researcher into obesity may cross-examine vast quantities of medical and lifestyle data from patient records and investigations across many countries. A </w:t>
      </w:r>
      <w:r w:rsidR="008A5827" w:rsidRPr="00124E7F">
        <w:t>political historian</w:t>
      </w:r>
      <w:r w:rsidR="00C0118D" w:rsidRPr="00124E7F">
        <w:t xml:space="preserve"> can </w:t>
      </w:r>
      <w:proofErr w:type="spellStart"/>
      <w:r w:rsidR="00C0118D" w:rsidRPr="00124E7F">
        <w:t>analyse</w:t>
      </w:r>
      <w:proofErr w:type="spellEnd"/>
      <w:r w:rsidR="00C0118D" w:rsidRPr="00124E7F">
        <w:t xml:space="preserve"> the incidence and meaning of </w:t>
      </w:r>
      <w:r w:rsidR="008A5827" w:rsidRPr="00124E7F">
        <w:t>‘digital technologies’ as used by the media in</w:t>
      </w:r>
      <w:r w:rsidR="00C0118D" w:rsidRPr="00124E7F">
        <w:t xml:space="preserve"> </w:t>
      </w:r>
      <w:r w:rsidR="008A5827" w:rsidRPr="00124E7F">
        <w:t>first</w:t>
      </w:r>
      <w:r w:rsidR="00C0118D" w:rsidRPr="00124E7F">
        <w:t xml:space="preserve"> half of the 19</w:t>
      </w:r>
      <w:r w:rsidR="00C0118D" w:rsidRPr="00124E7F">
        <w:rPr>
          <w:vertAlign w:val="superscript"/>
        </w:rPr>
        <w:t>th</w:t>
      </w:r>
      <w:r w:rsidR="00C0118D" w:rsidRPr="00124E7F">
        <w:t xml:space="preserve"> century, compared </w:t>
      </w:r>
      <w:r w:rsidR="008A5827" w:rsidRPr="00124E7F">
        <w:t>to</w:t>
      </w:r>
      <w:r w:rsidR="00C0118D" w:rsidRPr="00124E7F">
        <w:t xml:space="preserve"> the second half. </w:t>
      </w:r>
    </w:p>
    <w:p w14:paraId="27A8C3E6" w14:textId="77777777" w:rsidR="0055463E" w:rsidRPr="00124E7F" w:rsidRDefault="0055463E" w:rsidP="00394E76">
      <w:pPr>
        <w:pStyle w:val="EYBodytextwithparaspace"/>
      </w:pPr>
      <w:r w:rsidRPr="00124E7F">
        <w:t>However, the benefits of DTM extend beyond scientific researchers to include heritage institutions, technology firms, data management companies, pharmaceuticals, newspapers, healthcare providers, advertising agencies and many more.</w:t>
      </w:r>
      <w:r w:rsidRPr="00124E7F">
        <w:rPr>
          <w:vertAlign w:val="superscript"/>
        </w:rPr>
        <w:footnoteReference w:id="113"/>
      </w:r>
      <w:r w:rsidRPr="00124E7F">
        <w:rPr>
          <w:vertAlign w:val="superscript"/>
        </w:rPr>
        <w:t xml:space="preserve"> </w:t>
      </w:r>
      <w:r w:rsidR="00C0118D" w:rsidRPr="00124E7F">
        <w:t xml:space="preserve">For example, retailers can combine their knowledge of shoppers’ spending patterns with analysis of demographic </w:t>
      </w:r>
      <w:r w:rsidR="008A5827" w:rsidRPr="00124E7F">
        <w:t>data from the census</w:t>
      </w:r>
      <w:r w:rsidR="00C0118D" w:rsidRPr="00124E7F">
        <w:t xml:space="preserve"> such as their age, gender and income. DTM is also amenable for more speculative purposes, such as applying knowledge from one field (e.g. animal biology) to another (e.g. manufacturing design). </w:t>
      </w:r>
      <w:r w:rsidR="00C0118D" w:rsidRPr="00124E7F">
        <w:rPr>
          <w:vertAlign w:val="superscript"/>
        </w:rPr>
        <w:t xml:space="preserve"> </w:t>
      </w:r>
    </w:p>
    <w:p w14:paraId="10701092" w14:textId="77777777" w:rsidR="0055463E" w:rsidRPr="00124E7F" w:rsidRDefault="0055463E" w:rsidP="008A175A">
      <w:pPr>
        <w:pStyle w:val="EYHeading3"/>
        <w:spacing w:before="200" w:after="200"/>
      </w:pPr>
      <w:r w:rsidRPr="00124E7F">
        <w:t>Current law</w:t>
      </w:r>
    </w:p>
    <w:p w14:paraId="3638657D" w14:textId="77777777" w:rsidR="0055463E" w:rsidRPr="00124E7F" w:rsidRDefault="0055463E" w:rsidP="00394E76">
      <w:pPr>
        <w:pStyle w:val="EYBodytextwithparaspace"/>
      </w:pPr>
      <w:r w:rsidRPr="00124E7F">
        <w:t>According to the ALRC, there is currently no provision in the Copyright Act that covers DTM.</w:t>
      </w:r>
      <w:r w:rsidRPr="00124E7F">
        <w:rPr>
          <w:vertAlign w:val="superscript"/>
        </w:rPr>
        <w:t xml:space="preserve"> </w:t>
      </w:r>
      <w:r w:rsidRPr="00124E7F">
        <w:rPr>
          <w:vertAlign w:val="superscript"/>
        </w:rPr>
        <w:footnoteReference w:id="114"/>
      </w:r>
      <w:r w:rsidRPr="00124E7F">
        <w:t xml:space="preserve"> </w:t>
      </w:r>
    </w:p>
    <w:p w14:paraId="2C9A4BF2" w14:textId="77777777" w:rsidR="0055463E" w:rsidRPr="00124E7F" w:rsidRDefault="0055463E" w:rsidP="008A175A">
      <w:pPr>
        <w:pStyle w:val="EYHeading3"/>
        <w:spacing w:before="200" w:after="200"/>
      </w:pPr>
      <w:r w:rsidRPr="00124E7F">
        <w:t>The problem</w:t>
      </w:r>
    </w:p>
    <w:p w14:paraId="36604D18" w14:textId="77777777" w:rsidR="0055463E" w:rsidRPr="00124E7F" w:rsidRDefault="0055463E" w:rsidP="00394E76">
      <w:pPr>
        <w:pStyle w:val="EYBodytextwithparaspace"/>
        <w:rPr>
          <w:vertAlign w:val="superscript"/>
        </w:rPr>
      </w:pPr>
      <w:r w:rsidRPr="00124E7F">
        <w:t>DTM extracts data from digital content to establish new facts and relationship</w:t>
      </w:r>
      <w:r w:rsidR="000B2B30" w:rsidRPr="00124E7F">
        <w:t>s</w:t>
      </w:r>
      <w:r w:rsidRPr="00124E7F">
        <w:t xml:space="preserve">, building new findings from pre-existing works. According to the ALRC, ‘where the data or text mining processes involve the copying, </w:t>
      </w:r>
      <w:proofErr w:type="spellStart"/>
      <w:r w:rsidRPr="00124E7F">
        <w:t>digitisation</w:t>
      </w:r>
      <w:proofErr w:type="spellEnd"/>
      <w:r w:rsidRPr="00124E7F">
        <w:t xml:space="preserve"> or reformatting of copyright material without permission, it may give rise to copyright infringement’</w:t>
      </w:r>
      <w:r w:rsidR="002D4075" w:rsidRPr="00124E7F">
        <w:t>.</w:t>
      </w:r>
      <w:r w:rsidRPr="00124E7F">
        <w:rPr>
          <w:vertAlign w:val="superscript"/>
        </w:rPr>
        <w:footnoteReference w:id="115"/>
      </w:r>
    </w:p>
    <w:p w14:paraId="277A64D1" w14:textId="77777777" w:rsidR="0055463E" w:rsidRPr="00124E7F" w:rsidRDefault="0055463E" w:rsidP="008A175A">
      <w:pPr>
        <w:pStyle w:val="EYBodytextwithparaspace"/>
        <w:widowControl w:val="0"/>
      </w:pPr>
      <w:r w:rsidRPr="00124E7F">
        <w:t>There is currently no exception in the Copyright Act</w:t>
      </w:r>
      <w:r w:rsidRPr="00124E7F">
        <w:rPr>
          <w:i/>
        </w:rPr>
        <w:t xml:space="preserve"> </w:t>
      </w:r>
      <w:r w:rsidRPr="00124E7F">
        <w:t xml:space="preserve">that covers DTM. Nor is it clear whether such activities would incidentally fall under other provisions of the Copyright Act. </w:t>
      </w:r>
      <w:r w:rsidR="007555F3" w:rsidRPr="00124E7F">
        <w:t>For example, t</w:t>
      </w:r>
      <w:r w:rsidRPr="00124E7F">
        <w:t>he reach of the research/study exception only extends to a ‘reasonable portion’ of the work concerned, while DTM often needs to make copies of entire datasets.</w:t>
      </w:r>
      <w:r w:rsidRPr="00124E7F">
        <w:rPr>
          <w:vertAlign w:val="superscript"/>
        </w:rPr>
        <w:footnoteReference w:id="116"/>
      </w:r>
      <w:r w:rsidRPr="00124E7F">
        <w:t xml:space="preserve"> Similarly, the ALRC considers </w:t>
      </w:r>
      <w:r w:rsidR="007555F3" w:rsidRPr="00124E7F">
        <w:t xml:space="preserve">it unlikely that DTM would incidentally fall </w:t>
      </w:r>
      <w:r w:rsidRPr="00124E7F">
        <w:t>under Section 43B, relating to temporary reproduction of works as part of a technical process.</w:t>
      </w:r>
      <w:r w:rsidRPr="00124E7F">
        <w:rPr>
          <w:vertAlign w:val="superscript"/>
        </w:rPr>
        <w:footnoteReference w:id="117"/>
      </w:r>
    </w:p>
    <w:p w14:paraId="1D7A6A43" w14:textId="77777777" w:rsidR="0055463E" w:rsidRPr="00124E7F" w:rsidRDefault="0055463E" w:rsidP="008A175A">
      <w:pPr>
        <w:pStyle w:val="EYBodytextwithparaspace"/>
        <w:widowControl w:val="0"/>
      </w:pPr>
      <w:r w:rsidRPr="00124E7F">
        <w:t>Copyright was not intended to prevent use of ideas or facts. As such, the ALRC ‘considers that the un</w:t>
      </w:r>
      <w:r w:rsidR="007D4AFF" w:rsidRPr="00124E7F">
        <w:t>licen</w:t>
      </w:r>
      <w:r w:rsidR="008A5827" w:rsidRPr="00124E7F">
        <w:t>s</w:t>
      </w:r>
      <w:r w:rsidR="007D4AFF" w:rsidRPr="00124E7F">
        <w:t>e</w:t>
      </w:r>
      <w:r w:rsidRPr="00124E7F">
        <w:t xml:space="preserve">d use of copyright material for non-expressive purposes, such as </w:t>
      </w:r>
      <w:r w:rsidR="007D4AFF" w:rsidRPr="00124E7F">
        <w:t>data and text mining</w:t>
      </w:r>
      <w:r w:rsidRPr="00124E7F">
        <w:t>, should be considered under the fair use exception’.</w:t>
      </w:r>
      <w:r w:rsidR="0097562E" w:rsidRPr="00124E7F">
        <w:rPr>
          <w:vertAlign w:val="superscript"/>
        </w:rPr>
        <w:footnoteReference w:id="118"/>
      </w:r>
    </w:p>
    <w:p w14:paraId="7C4B58FD" w14:textId="77777777" w:rsidR="0055463E" w:rsidRPr="00124E7F" w:rsidRDefault="0055463E" w:rsidP="00394E76">
      <w:pPr>
        <w:pStyle w:val="EYHeading3"/>
      </w:pPr>
      <w:r w:rsidRPr="00124E7F">
        <w:t>The proposed policy options</w:t>
      </w:r>
    </w:p>
    <w:p w14:paraId="71A1DB24" w14:textId="77777777" w:rsidR="0055463E" w:rsidRPr="00124E7F" w:rsidRDefault="00D56E03" w:rsidP="00C46978">
      <w:pPr>
        <w:pStyle w:val="EYNumber"/>
        <w:numPr>
          <w:ilvl w:val="0"/>
          <w:numId w:val="17"/>
        </w:numPr>
        <w:spacing w:line="276" w:lineRule="auto"/>
      </w:pPr>
      <w:r w:rsidRPr="00124E7F">
        <w:rPr>
          <w:b/>
        </w:rPr>
        <w:t>Status quo</w:t>
      </w:r>
      <w:r w:rsidR="0055463E" w:rsidRPr="00124E7F">
        <w:rPr>
          <w:b/>
        </w:rPr>
        <w:t xml:space="preserve"> –</w:t>
      </w:r>
      <w:r w:rsidR="007555F3" w:rsidRPr="00124E7F">
        <w:rPr>
          <w:b/>
        </w:rPr>
        <w:t xml:space="preserve"> Do nothing</w:t>
      </w:r>
      <w:r w:rsidR="0055463E" w:rsidRPr="00124E7F">
        <w:t>. Permission is required from right</w:t>
      </w:r>
      <w:r w:rsidR="006B2E08" w:rsidRPr="00124E7F">
        <w:t>s</w:t>
      </w:r>
      <w:r w:rsidR="0055463E" w:rsidRPr="00124E7F">
        <w:t xml:space="preserve"> holders where DTM processes involve the copying, digitisation or reformatting of copyright material. </w:t>
      </w:r>
    </w:p>
    <w:p w14:paraId="6960F062" w14:textId="77777777" w:rsidR="007555F3" w:rsidRPr="00124E7F" w:rsidRDefault="00D56E03" w:rsidP="00F72E3A">
      <w:pPr>
        <w:pStyle w:val="EYNumber"/>
        <w:spacing w:line="276" w:lineRule="auto"/>
      </w:pPr>
      <w:r w:rsidRPr="00124E7F">
        <w:rPr>
          <w:b/>
        </w:rPr>
        <w:t>New fair dealing exception</w:t>
      </w:r>
      <w:r w:rsidR="007555F3" w:rsidRPr="00124E7F">
        <w:t xml:space="preserve">– Use of copyright works for DTM would be considered under </w:t>
      </w:r>
      <w:r w:rsidR="007555F3" w:rsidRPr="00124E7F">
        <w:rPr>
          <w:b/>
        </w:rPr>
        <w:t>the fair dealing exception for incidental or technical use</w:t>
      </w:r>
      <w:r w:rsidR="002D4075" w:rsidRPr="00124E7F">
        <w:rPr>
          <w:b/>
        </w:rPr>
        <w:t>.</w:t>
      </w:r>
      <w:r w:rsidR="007555F3" w:rsidRPr="00124E7F">
        <w:rPr>
          <w:vertAlign w:val="superscript"/>
        </w:rPr>
        <w:footnoteReference w:id="119"/>
      </w:r>
    </w:p>
    <w:p w14:paraId="46F2C6A1" w14:textId="77777777" w:rsidR="0055463E" w:rsidRPr="00124E7F" w:rsidRDefault="00394E76" w:rsidP="00EA6B10">
      <w:pPr>
        <w:pStyle w:val="EYHeading3"/>
      </w:pPr>
      <w:r w:rsidRPr="00124E7F">
        <w:t>Impact analysis</w:t>
      </w:r>
    </w:p>
    <w:p w14:paraId="6ABADEF6" w14:textId="77777777" w:rsidR="007555F3" w:rsidRPr="00124E7F" w:rsidRDefault="007555F3" w:rsidP="00394E76">
      <w:pPr>
        <w:pStyle w:val="EYHeading4"/>
      </w:pPr>
      <w:r w:rsidRPr="00124E7F">
        <w:t>Summary</w:t>
      </w:r>
    </w:p>
    <w:p w14:paraId="1E08605B" w14:textId="77777777" w:rsidR="001A4F6A" w:rsidRPr="00202E68" w:rsidRDefault="001A4F6A" w:rsidP="001B3F5C">
      <w:pPr>
        <w:pStyle w:val="EYBodytextwithparaspace"/>
        <w:spacing w:line="276" w:lineRule="auto"/>
        <w:rPr>
          <w:b/>
        </w:rPr>
      </w:pPr>
      <w:r w:rsidRPr="00202E68">
        <w:rPr>
          <w:b/>
        </w:rPr>
        <w:t>A fair dealing exception for data and text mining (DTM) would have an ambiguous impact. In the short run the exception would be expected to lead to a small reduction in transaction costs and commensurate increase in the level of DTM with associated economic and social benefits. However there is some concern that to the extent that rights holders may need to make investments in order to enable DTM an exception may see a fall in DTM in the long run.</w:t>
      </w:r>
    </w:p>
    <w:p w14:paraId="4265467F" w14:textId="77777777" w:rsidR="00C15ECB" w:rsidRPr="00124E7F" w:rsidRDefault="000B2B30" w:rsidP="00394E76">
      <w:pPr>
        <w:pStyle w:val="EYBodytextwithparaspace"/>
      </w:pPr>
      <w:r w:rsidRPr="004213AE">
        <w:t>Due to the absence of publicl</w:t>
      </w:r>
      <w:r w:rsidR="00C15ECB" w:rsidRPr="004213AE">
        <w:t xml:space="preserve">y available data on the incidence of DTM in Australia, it has not been possible to quantify the costs and benefits from </w:t>
      </w:r>
      <w:r w:rsidR="00D56E03" w:rsidRPr="00124E7F">
        <w:t>a new fair dealing exception</w:t>
      </w:r>
      <w:r w:rsidR="00C15ECB" w:rsidRPr="00124E7F">
        <w:t xml:space="preserve">. While publishers report a low incidence of DTM requests, time series data on the number of DTM publications and citations, shows a growing interest in </w:t>
      </w:r>
      <w:r w:rsidR="00BE5155" w:rsidRPr="00124E7F">
        <w:t>the tool</w:t>
      </w:r>
      <w:r w:rsidR="00C15ECB" w:rsidRPr="00124E7F">
        <w:t xml:space="preserve"> </w:t>
      </w:r>
      <w:r w:rsidR="0076355C" w:rsidRPr="00124E7F">
        <w:t xml:space="preserve">both </w:t>
      </w:r>
      <w:r w:rsidR="00D56E03" w:rsidRPr="00124E7F">
        <w:t>here and abroad</w:t>
      </w:r>
      <w:r w:rsidR="004115D0" w:rsidRPr="00124E7F">
        <w:t>. Accompanying this growth</w:t>
      </w:r>
      <w:r w:rsidR="00C15ECB" w:rsidRPr="00124E7F">
        <w:t xml:space="preserve"> has been an increasing degree of </w:t>
      </w:r>
      <w:proofErr w:type="spellStart"/>
      <w:r w:rsidR="00C15ECB" w:rsidRPr="00124E7F">
        <w:t>standardisation</w:t>
      </w:r>
      <w:proofErr w:type="spellEnd"/>
      <w:r w:rsidR="00C15ECB" w:rsidRPr="00124E7F">
        <w:t xml:space="preserve"> </w:t>
      </w:r>
      <w:r w:rsidR="00C33241" w:rsidRPr="00124E7F">
        <w:t>in</w:t>
      </w:r>
      <w:r w:rsidR="00C15ECB" w:rsidRPr="00124E7F">
        <w:t xml:space="preserve"> DTM </w:t>
      </w:r>
      <w:r w:rsidR="005D236A" w:rsidRPr="00124E7F">
        <w:t>licens</w:t>
      </w:r>
      <w:r w:rsidR="007D4AFF" w:rsidRPr="00124E7F">
        <w:t>e</w:t>
      </w:r>
      <w:r w:rsidR="00C15ECB" w:rsidRPr="00124E7F">
        <w:t xml:space="preserve">s and tools at </w:t>
      </w:r>
      <w:r w:rsidR="0096553D" w:rsidRPr="00124E7F">
        <w:t xml:space="preserve">low </w:t>
      </w:r>
      <w:r w:rsidR="00C15ECB" w:rsidRPr="00124E7F">
        <w:t xml:space="preserve">(or </w:t>
      </w:r>
      <w:r w:rsidR="0096553D" w:rsidRPr="00124E7F">
        <w:t>no</w:t>
      </w:r>
      <w:r w:rsidR="00C15ECB" w:rsidRPr="00124E7F">
        <w:t>) additional fees, especially for non-commercial research. While the</w:t>
      </w:r>
      <w:r w:rsidR="00C33241" w:rsidRPr="00124E7F">
        <w:t>se</w:t>
      </w:r>
      <w:r w:rsidR="00C15ECB" w:rsidRPr="00124E7F">
        <w:t xml:space="preserve"> measures are likely to reduce transaction costs for users significantly, it has yet to be seen how and to what extent they will benefit DTM users in Australia. Nevertheless, it is unlikely that all constraints would be removed.</w:t>
      </w:r>
      <w:r w:rsidR="00D56E03" w:rsidRPr="00124E7F">
        <w:t xml:space="preserve"> </w:t>
      </w:r>
      <w:r w:rsidR="0096553D" w:rsidRPr="00124E7F">
        <w:t>I</w:t>
      </w:r>
      <w:r w:rsidR="00C15ECB" w:rsidRPr="00124E7F">
        <w:t xml:space="preserve">n an industry where the top 100 publishers (1-2% of all publishers) own about 70 per cent of all journals globally, </w:t>
      </w:r>
      <w:r w:rsidR="0096553D" w:rsidRPr="00124E7F">
        <w:t xml:space="preserve">for example, </w:t>
      </w:r>
      <w:r w:rsidR="00C15ECB" w:rsidRPr="00124E7F">
        <w:t>it would take</w:t>
      </w:r>
      <w:r w:rsidR="0096553D" w:rsidRPr="00124E7F">
        <w:t xml:space="preserve"> only</w:t>
      </w:r>
      <w:r w:rsidR="00C15ECB" w:rsidRPr="00124E7F">
        <w:t xml:space="preserve"> one publisher to undermine the integrity of a mining project.</w:t>
      </w:r>
    </w:p>
    <w:p w14:paraId="424E3BE5" w14:textId="77777777" w:rsidR="0076355C" w:rsidRPr="00124E7F" w:rsidRDefault="00C15ECB" w:rsidP="00394E76">
      <w:pPr>
        <w:pStyle w:val="EYBodytextwithparaspace"/>
      </w:pPr>
      <w:r w:rsidRPr="00124E7F">
        <w:t xml:space="preserve">Therefore, where use of copyright content for DTM is considered fair, we would expect a small reduction in transaction costs from users no longer required to seek permissions from publishers in order to mine their content. It would also prevent possible </w:t>
      </w:r>
      <w:r w:rsidR="00D56E03" w:rsidRPr="00124E7F">
        <w:t>‘</w:t>
      </w:r>
      <w:r w:rsidRPr="00124E7F">
        <w:t>hold-up</w:t>
      </w:r>
      <w:r w:rsidR="00D56E03" w:rsidRPr="00124E7F">
        <w:t>’</w:t>
      </w:r>
      <w:r w:rsidRPr="00124E7F">
        <w:t xml:space="preserve"> situations in which DTM users have searched for the relevant right</w:t>
      </w:r>
      <w:r w:rsidR="006B2E08" w:rsidRPr="00124E7F">
        <w:t>s</w:t>
      </w:r>
      <w:r w:rsidRPr="00124E7F">
        <w:t xml:space="preserve"> holders only to have their request for permission </w:t>
      </w:r>
      <w:r w:rsidR="0076355C" w:rsidRPr="00124E7F">
        <w:t>denied</w:t>
      </w:r>
      <w:r w:rsidRPr="00124E7F">
        <w:t>.</w:t>
      </w:r>
    </w:p>
    <w:p w14:paraId="4E5C9E27" w14:textId="77777777" w:rsidR="00C15ECB" w:rsidRPr="00124E7F" w:rsidRDefault="00C15ECB" w:rsidP="00394E76">
      <w:pPr>
        <w:pStyle w:val="EYBodytextwithparaspace"/>
      </w:pPr>
      <w:r w:rsidRPr="00124E7F">
        <w:t xml:space="preserve">A </w:t>
      </w:r>
      <w:r w:rsidR="0076355C" w:rsidRPr="00124E7F">
        <w:t xml:space="preserve">small </w:t>
      </w:r>
      <w:r w:rsidRPr="00124E7F">
        <w:t xml:space="preserve">reduction in transaction costs </w:t>
      </w:r>
      <w:r w:rsidR="0076355C" w:rsidRPr="00124E7F">
        <w:t xml:space="preserve">would be expected to </w:t>
      </w:r>
      <w:r w:rsidR="00BE5155" w:rsidRPr="00124E7F">
        <w:t xml:space="preserve">lead to </w:t>
      </w:r>
      <w:r w:rsidR="0076355C" w:rsidRPr="00124E7F">
        <w:t xml:space="preserve">a commensurate increase in the level of DTM in Australia. </w:t>
      </w:r>
      <w:r w:rsidRPr="00124E7F">
        <w:t>This would</w:t>
      </w:r>
      <w:r w:rsidR="0076355C" w:rsidRPr="00124E7F">
        <w:t xml:space="preserve"> be </w:t>
      </w:r>
      <w:r w:rsidRPr="00124E7F">
        <w:t>expected to have</w:t>
      </w:r>
      <w:r w:rsidR="002A12FB" w:rsidRPr="00124E7F">
        <w:t xml:space="preserve"> a</w:t>
      </w:r>
      <w:r w:rsidRPr="00124E7F">
        <w:t xml:space="preserve"> positive short term effect for researchers, as the use of analytical techniques on large data sets can facilitate research. It would also be expected to have </w:t>
      </w:r>
      <w:r w:rsidR="00BE5155" w:rsidRPr="00124E7F">
        <w:t>equivalently sized</w:t>
      </w:r>
      <w:r w:rsidRPr="00124E7F">
        <w:t xml:space="preserve"> economic and societal benefits including higher quality research, productivity gains and innovative new service development. </w:t>
      </w:r>
      <w:r w:rsidR="00BE5155" w:rsidRPr="00124E7F">
        <w:t>Moreover, g</w:t>
      </w:r>
      <w:r w:rsidRPr="00124E7F">
        <w:t xml:space="preserve">iven that over 70 per cent of research in the higher education sector is funded by government, DTM may </w:t>
      </w:r>
      <w:proofErr w:type="spellStart"/>
      <w:r w:rsidRPr="00124E7F">
        <w:t>maximise</w:t>
      </w:r>
      <w:proofErr w:type="spellEnd"/>
      <w:r w:rsidRPr="00124E7F">
        <w:t xml:space="preserve"> the public’s return from </w:t>
      </w:r>
      <w:r w:rsidR="0076355C" w:rsidRPr="00124E7F">
        <w:t>these</w:t>
      </w:r>
      <w:r w:rsidRPr="00124E7F">
        <w:t xml:space="preserve"> investments. </w:t>
      </w:r>
    </w:p>
    <w:p w14:paraId="522C0F77" w14:textId="77777777" w:rsidR="00C33241" w:rsidRPr="00124E7F" w:rsidRDefault="00C33241" w:rsidP="005E5ED5">
      <w:pPr>
        <w:pStyle w:val="EYBodytextwithparaspace"/>
      </w:pPr>
      <w:r w:rsidRPr="00124E7F">
        <w:t>The revenue streams of right</w:t>
      </w:r>
      <w:r w:rsidR="006B2E08" w:rsidRPr="00124E7F">
        <w:t>s</w:t>
      </w:r>
      <w:r w:rsidRPr="00124E7F">
        <w:t xml:space="preserve"> holders (and their incentives to produce new works)</w:t>
      </w:r>
      <w:r w:rsidR="002A12FB" w:rsidRPr="00124E7F">
        <w:t xml:space="preserve"> </w:t>
      </w:r>
      <w:r w:rsidRPr="00124E7F">
        <w:t>would not be expected to be significantly impacted by an exception for a number of reasons:</w:t>
      </w:r>
    </w:p>
    <w:p w14:paraId="7F5A2523" w14:textId="77777777" w:rsidR="004569A6" w:rsidRPr="00124E7F" w:rsidRDefault="00BE5155" w:rsidP="00634BB4">
      <w:pPr>
        <w:pStyle w:val="EYBulletedText1"/>
      </w:pPr>
      <w:r w:rsidRPr="00124E7F">
        <w:t>The</w:t>
      </w:r>
      <w:r w:rsidR="004569A6" w:rsidRPr="00124E7F">
        <w:t xml:space="preserve"> business models of both publishers and individual authors are not based on providing DTM as the main source of revenue</w:t>
      </w:r>
    </w:p>
    <w:p w14:paraId="404FB8E9" w14:textId="77777777" w:rsidR="00BE5155" w:rsidRPr="00124E7F" w:rsidRDefault="00C15ECB" w:rsidP="00634BB4">
      <w:pPr>
        <w:pStyle w:val="EYBulletedText1"/>
      </w:pPr>
      <w:r w:rsidRPr="00124E7F">
        <w:t xml:space="preserve">DTM does not generally lead to derivative information products that would be considered to ‘supersede’ or ‘supplant’ the original work (although </w:t>
      </w:r>
      <w:r w:rsidR="004569A6" w:rsidRPr="00124E7F">
        <w:t>there is a risk that it could)</w:t>
      </w:r>
      <w:r w:rsidR="00C33241" w:rsidRPr="00124E7F">
        <w:rPr>
          <w:vertAlign w:val="superscript"/>
        </w:rPr>
        <w:footnoteReference w:id="120"/>
      </w:r>
    </w:p>
    <w:p w14:paraId="4D758C99" w14:textId="77777777" w:rsidR="00C15ECB" w:rsidRPr="00124E7F" w:rsidRDefault="00C33241" w:rsidP="00634BB4">
      <w:pPr>
        <w:pStyle w:val="EYBulletedText1"/>
      </w:pPr>
      <w:r w:rsidRPr="00124E7F">
        <w:t>R</w:t>
      </w:r>
      <w:r w:rsidR="00C15ECB" w:rsidRPr="00124E7F">
        <w:t>ight</w:t>
      </w:r>
      <w:r w:rsidR="006B2E08" w:rsidRPr="00124E7F">
        <w:t>s</w:t>
      </w:r>
      <w:r w:rsidR="00C15ECB" w:rsidRPr="00124E7F">
        <w:t xml:space="preserve"> holders would not be expected to suffer from fewer subscriptions to their content relative to the status quo. </w:t>
      </w:r>
    </w:p>
    <w:p w14:paraId="319FAE23" w14:textId="77777777" w:rsidR="00344D4A" w:rsidRPr="00124E7F" w:rsidRDefault="00F7258F" w:rsidP="005E5ED5">
      <w:pPr>
        <w:pStyle w:val="EYBodytextwithparaspace"/>
        <w:rPr>
          <w:rStyle w:val="AAnormalChar"/>
        </w:rPr>
      </w:pPr>
      <w:r w:rsidRPr="00124E7F">
        <w:rPr>
          <w:rStyle w:val="AAnormalChar"/>
        </w:rPr>
        <w:t>T</w:t>
      </w:r>
      <w:r w:rsidR="0096553D" w:rsidRPr="00124E7F">
        <w:rPr>
          <w:rStyle w:val="AAnormalChar"/>
        </w:rPr>
        <w:t xml:space="preserve">here is some concern that should an exception lead to a significant and unexpected increase in DTM </w:t>
      </w:r>
      <w:r w:rsidR="004115D0" w:rsidRPr="00124E7F">
        <w:rPr>
          <w:rStyle w:val="AAnormalChar"/>
        </w:rPr>
        <w:t>activity,</w:t>
      </w:r>
      <w:r w:rsidR="0096553D" w:rsidRPr="00124E7F">
        <w:rPr>
          <w:rStyle w:val="AAnormalChar"/>
        </w:rPr>
        <w:t xml:space="preserve"> this may </w:t>
      </w:r>
      <w:r w:rsidRPr="00124E7F">
        <w:rPr>
          <w:rStyle w:val="AAnormalChar"/>
        </w:rPr>
        <w:t>require additional</w:t>
      </w:r>
      <w:r w:rsidR="0096553D" w:rsidRPr="00124E7F">
        <w:rPr>
          <w:rStyle w:val="AAnormalChar"/>
        </w:rPr>
        <w:t xml:space="preserve"> invest</w:t>
      </w:r>
      <w:r w:rsidRPr="00124E7F">
        <w:rPr>
          <w:rStyle w:val="AAnormalChar"/>
        </w:rPr>
        <w:t xml:space="preserve">ments </w:t>
      </w:r>
      <w:r w:rsidR="0096553D" w:rsidRPr="00124E7F">
        <w:rPr>
          <w:rStyle w:val="AAnormalChar"/>
        </w:rPr>
        <w:t>in server capacity, bandwidth and monitoring</w:t>
      </w:r>
      <w:r w:rsidRPr="00124E7F">
        <w:rPr>
          <w:rStyle w:val="AAnormalChar"/>
        </w:rPr>
        <w:t xml:space="preserve"> by publishers. </w:t>
      </w:r>
      <w:r w:rsidR="0096553D" w:rsidRPr="00124E7F">
        <w:rPr>
          <w:rStyle w:val="AAnormalChar"/>
        </w:rPr>
        <w:t>T</w:t>
      </w:r>
      <w:r w:rsidR="00C15ECB" w:rsidRPr="00124E7F">
        <w:rPr>
          <w:rStyle w:val="AAnormalChar"/>
        </w:rPr>
        <w:t xml:space="preserve">o the extent that DTM is covered by </w:t>
      </w:r>
      <w:r w:rsidR="00C33241" w:rsidRPr="00124E7F">
        <w:rPr>
          <w:rStyle w:val="AAnormalChar"/>
        </w:rPr>
        <w:t>an</w:t>
      </w:r>
      <w:r w:rsidR="00C15ECB" w:rsidRPr="00124E7F">
        <w:rPr>
          <w:rStyle w:val="AAnormalChar"/>
        </w:rPr>
        <w:t xml:space="preserve"> exception</w:t>
      </w:r>
      <w:r w:rsidR="004569A6" w:rsidRPr="00124E7F">
        <w:rPr>
          <w:rStyle w:val="AAnormalChar"/>
        </w:rPr>
        <w:t xml:space="preserve"> and is </w:t>
      </w:r>
      <w:r w:rsidR="000D4B37" w:rsidRPr="00124E7F">
        <w:rPr>
          <w:rStyle w:val="AAnormalChar"/>
        </w:rPr>
        <w:t xml:space="preserve">therefore </w:t>
      </w:r>
      <w:r w:rsidR="004569A6" w:rsidRPr="00124E7F">
        <w:rPr>
          <w:rStyle w:val="AAnormalChar"/>
        </w:rPr>
        <w:t>unremunerated</w:t>
      </w:r>
      <w:r w:rsidR="00C15ECB" w:rsidRPr="00124E7F">
        <w:rPr>
          <w:rStyle w:val="AAnormalChar"/>
        </w:rPr>
        <w:t>, right</w:t>
      </w:r>
      <w:r w:rsidR="006B2E08" w:rsidRPr="00124E7F">
        <w:rPr>
          <w:rStyle w:val="AAnormalChar"/>
        </w:rPr>
        <w:t>s</w:t>
      </w:r>
      <w:r w:rsidR="00C15ECB" w:rsidRPr="00124E7F">
        <w:rPr>
          <w:rStyle w:val="AAnormalChar"/>
        </w:rPr>
        <w:t xml:space="preserve"> holders may not have </w:t>
      </w:r>
      <w:r w:rsidR="00C33241" w:rsidRPr="00124E7F">
        <w:rPr>
          <w:rStyle w:val="AAnormalChar"/>
        </w:rPr>
        <w:t>sufficient incentives to undertake these investments</w:t>
      </w:r>
      <w:r w:rsidR="00600526" w:rsidRPr="00124E7F">
        <w:rPr>
          <w:rStyle w:val="AAnormalChar"/>
        </w:rPr>
        <w:t>, which may</w:t>
      </w:r>
      <w:r w:rsidR="00C15ECB" w:rsidRPr="00124E7F">
        <w:rPr>
          <w:rStyle w:val="AAnormalChar"/>
        </w:rPr>
        <w:t xml:space="preserve"> have a negative </w:t>
      </w:r>
      <w:r w:rsidR="004569A6" w:rsidRPr="00124E7F">
        <w:rPr>
          <w:rStyle w:val="AAnormalChar"/>
        </w:rPr>
        <w:t xml:space="preserve">impact </w:t>
      </w:r>
      <w:r w:rsidR="004115D0" w:rsidRPr="00124E7F">
        <w:rPr>
          <w:rStyle w:val="AAnormalChar"/>
        </w:rPr>
        <w:t>on</w:t>
      </w:r>
      <w:r w:rsidR="004569A6" w:rsidRPr="00124E7F">
        <w:rPr>
          <w:rStyle w:val="AAnormalChar"/>
        </w:rPr>
        <w:t xml:space="preserve"> DTM in the long run.</w:t>
      </w:r>
      <w:r w:rsidRPr="00124E7F">
        <w:rPr>
          <w:rStyle w:val="AAnormalChar"/>
        </w:rPr>
        <w:t xml:space="preserve"> However, very little evidence on this exists domestically. This cost is therefore raised as risk, with little ability to confirm its likelihood or severity. </w:t>
      </w:r>
    </w:p>
    <w:p w14:paraId="55E84569" w14:textId="77777777" w:rsidR="00185BC7" w:rsidRPr="00124E7F" w:rsidRDefault="00185BC7">
      <w:pPr>
        <w:widowControl/>
        <w:autoSpaceDE/>
        <w:autoSpaceDN/>
        <w:adjustRightInd/>
        <w:spacing w:line="240" w:lineRule="auto"/>
        <w:rPr>
          <w:rStyle w:val="AAnormalChar"/>
          <w:kern w:val="12"/>
          <w:szCs w:val="24"/>
          <w:lang w:val="en-US"/>
        </w:rPr>
      </w:pPr>
      <w:r w:rsidRPr="00124E7F">
        <w:rPr>
          <w:rStyle w:val="AAnormalChar"/>
        </w:rPr>
        <w:br w:type="page"/>
      </w:r>
    </w:p>
    <w:p w14:paraId="4ABBBF09" w14:textId="77777777" w:rsidR="00E179A4" w:rsidRPr="00124E7F" w:rsidRDefault="00E179A4" w:rsidP="00E179A4">
      <w:pPr>
        <w:pStyle w:val="Caption"/>
      </w:pPr>
      <w:r w:rsidRPr="00124E7F">
        <w:t xml:space="preserve">Table </w:t>
      </w:r>
      <w:r w:rsidRPr="00124E7F">
        <w:fldChar w:fldCharType="begin"/>
      </w:r>
      <w:r w:rsidRPr="00124E7F">
        <w:instrText xml:space="preserve"> SEQ Table \* ARABIC </w:instrText>
      </w:r>
      <w:r w:rsidRPr="00124E7F">
        <w:fldChar w:fldCharType="separate"/>
      </w:r>
      <w:r w:rsidR="0075700D">
        <w:rPr>
          <w:noProof/>
        </w:rPr>
        <w:t>7</w:t>
      </w:r>
      <w:r w:rsidRPr="00124E7F">
        <w:fldChar w:fldCharType="end"/>
      </w:r>
      <w:r w:rsidR="00D26F77" w:rsidRPr="00124E7F">
        <w:t>:</w:t>
      </w:r>
      <w:r w:rsidRPr="00124E7F">
        <w:t xml:space="preserve"> Summary of costs and benefits of fair dealing exception for data and text mining</w:t>
      </w:r>
    </w:p>
    <w:tbl>
      <w:tblPr>
        <w:tblStyle w:val="TableGrid"/>
        <w:tblW w:w="0" w:type="auto"/>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Caption w:val="Table 7: Summary of costs and benefits of fair dealing exception for data and text mining"/>
        <w:tblDescription w:val="The table provides a summary of the costs and benefits of a fair dealing exception for data and text mining relative to the status quo, as described in the main text provided above. "/>
      </w:tblPr>
      <w:tblGrid>
        <w:gridCol w:w="1641"/>
        <w:gridCol w:w="1454"/>
        <w:gridCol w:w="1102"/>
        <w:gridCol w:w="2796"/>
        <w:gridCol w:w="1087"/>
        <w:gridCol w:w="949"/>
      </w:tblGrid>
      <w:tr w:rsidR="004213AE" w:rsidRPr="00124E7F" w14:paraId="5C875843" w14:textId="77777777" w:rsidTr="00202E68">
        <w:trPr>
          <w:trHeight w:val="20"/>
          <w:tblHeader/>
        </w:trPr>
        <w:tc>
          <w:tcPr>
            <w:tcW w:w="1690" w:type="dxa"/>
            <w:shd w:val="clear" w:color="auto" w:fill="F0F0F0" w:themeFill="accent4"/>
            <w:vAlign w:val="center"/>
          </w:tcPr>
          <w:p w14:paraId="1F9C99B5" w14:textId="77777777" w:rsidR="00775AAF" w:rsidRPr="00124E7F" w:rsidRDefault="00775AAF">
            <w:pPr>
              <w:widowControl/>
              <w:autoSpaceDE/>
              <w:autoSpaceDN/>
              <w:adjustRightInd/>
              <w:spacing w:line="240" w:lineRule="auto"/>
              <w:jc w:val="center"/>
              <w:rPr>
                <w:b/>
              </w:rPr>
            </w:pPr>
            <w:r w:rsidRPr="00124E7F">
              <w:rPr>
                <w:b/>
              </w:rPr>
              <w:t>Impact type</w:t>
            </w:r>
          </w:p>
        </w:tc>
        <w:tc>
          <w:tcPr>
            <w:tcW w:w="1508" w:type="dxa"/>
            <w:shd w:val="clear" w:color="auto" w:fill="F0F0F0" w:themeFill="accent4"/>
            <w:vAlign w:val="center"/>
          </w:tcPr>
          <w:p w14:paraId="55C17BA3" w14:textId="77777777" w:rsidR="00775AAF" w:rsidRPr="00124E7F" w:rsidRDefault="00775AAF">
            <w:pPr>
              <w:widowControl/>
              <w:autoSpaceDE/>
              <w:autoSpaceDN/>
              <w:adjustRightInd/>
              <w:spacing w:line="240" w:lineRule="auto"/>
              <w:jc w:val="center"/>
              <w:rPr>
                <w:b/>
              </w:rPr>
            </w:pPr>
            <w:r w:rsidRPr="00124E7F">
              <w:rPr>
                <w:b/>
              </w:rPr>
              <w:t>Stakeholder Group</w:t>
            </w:r>
          </w:p>
        </w:tc>
        <w:tc>
          <w:tcPr>
            <w:tcW w:w="1196" w:type="dxa"/>
            <w:shd w:val="clear" w:color="auto" w:fill="F0F0F0" w:themeFill="accent4"/>
            <w:vAlign w:val="center"/>
          </w:tcPr>
          <w:p w14:paraId="7AB0EF9B" w14:textId="77777777" w:rsidR="00775AAF" w:rsidRPr="00124E7F" w:rsidRDefault="00775AAF">
            <w:pPr>
              <w:widowControl/>
              <w:autoSpaceDE/>
              <w:autoSpaceDN/>
              <w:adjustRightInd/>
              <w:spacing w:line="240" w:lineRule="auto"/>
              <w:jc w:val="center"/>
              <w:rPr>
                <w:b/>
              </w:rPr>
            </w:pPr>
            <w:r w:rsidRPr="00124E7F">
              <w:rPr>
                <w:b/>
              </w:rPr>
              <w:t>Short or long-run</w:t>
            </w:r>
          </w:p>
        </w:tc>
        <w:tc>
          <w:tcPr>
            <w:tcW w:w="3055" w:type="dxa"/>
            <w:shd w:val="clear" w:color="auto" w:fill="F0F0F0" w:themeFill="accent4"/>
            <w:vAlign w:val="center"/>
          </w:tcPr>
          <w:p w14:paraId="70E513E1" w14:textId="77777777" w:rsidR="00775AAF" w:rsidRPr="00124E7F" w:rsidRDefault="00775AAF">
            <w:pPr>
              <w:widowControl/>
              <w:autoSpaceDE/>
              <w:autoSpaceDN/>
              <w:adjustRightInd/>
              <w:spacing w:line="240" w:lineRule="auto"/>
              <w:jc w:val="center"/>
              <w:rPr>
                <w:b/>
              </w:rPr>
            </w:pPr>
            <w:r w:rsidRPr="00124E7F">
              <w:rPr>
                <w:b/>
              </w:rPr>
              <w:t>Description of impact</w:t>
            </w:r>
          </w:p>
        </w:tc>
        <w:tc>
          <w:tcPr>
            <w:tcW w:w="804" w:type="dxa"/>
            <w:shd w:val="clear" w:color="auto" w:fill="F0F0F0" w:themeFill="accent4"/>
            <w:vAlign w:val="center"/>
          </w:tcPr>
          <w:p w14:paraId="1F388145" w14:textId="77777777" w:rsidR="00775AAF" w:rsidRPr="00124E7F" w:rsidRDefault="0018591C">
            <w:pPr>
              <w:widowControl/>
              <w:autoSpaceDE/>
              <w:autoSpaceDN/>
              <w:adjustRightInd/>
              <w:spacing w:line="240" w:lineRule="auto"/>
              <w:jc w:val="center"/>
              <w:rPr>
                <w:b/>
              </w:rPr>
            </w:pPr>
            <w:r w:rsidRPr="00124E7F">
              <w:rPr>
                <w:b/>
              </w:rPr>
              <w:t>Magnitude of impact</w:t>
            </w:r>
          </w:p>
        </w:tc>
        <w:tc>
          <w:tcPr>
            <w:tcW w:w="992" w:type="dxa"/>
            <w:shd w:val="clear" w:color="auto" w:fill="F0F0F0" w:themeFill="accent4"/>
            <w:vAlign w:val="center"/>
          </w:tcPr>
          <w:p w14:paraId="55C40882" w14:textId="77777777" w:rsidR="00775AAF" w:rsidRPr="00124E7F" w:rsidRDefault="00775AAF">
            <w:pPr>
              <w:widowControl/>
              <w:autoSpaceDE/>
              <w:autoSpaceDN/>
              <w:adjustRightInd/>
              <w:spacing w:line="240" w:lineRule="auto"/>
              <w:jc w:val="center"/>
              <w:rPr>
                <w:b/>
              </w:rPr>
            </w:pPr>
            <w:r w:rsidRPr="00124E7F">
              <w:rPr>
                <w:b/>
              </w:rPr>
              <w:t>Rating</w:t>
            </w:r>
          </w:p>
        </w:tc>
      </w:tr>
      <w:tr w:rsidR="004213AE" w:rsidRPr="00124E7F" w14:paraId="5D9AA1E3" w14:textId="77777777" w:rsidTr="00775AAF">
        <w:trPr>
          <w:trHeight w:val="2690"/>
        </w:trPr>
        <w:tc>
          <w:tcPr>
            <w:tcW w:w="1690" w:type="dxa"/>
            <w:vAlign w:val="center"/>
          </w:tcPr>
          <w:p w14:paraId="4F51F7E7" w14:textId="77777777" w:rsidR="00775AAF" w:rsidRPr="00124E7F" w:rsidRDefault="00775AAF" w:rsidP="00A84019">
            <w:pPr>
              <w:widowControl/>
              <w:autoSpaceDE/>
              <w:autoSpaceDN/>
              <w:adjustRightInd/>
              <w:spacing w:line="240" w:lineRule="auto"/>
              <w:jc w:val="center"/>
            </w:pPr>
            <w:r w:rsidRPr="00124E7F">
              <w:t>Monopoly rents</w:t>
            </w:r>
          </w:p>
        </w:tc>
        <w:tc>
          <w:tcPr>
            <w:tcW w:w="1508" w:type="dxa"/>
            <w:vAlign w:val="center"/>
          </w:tcPr>
          <w:p w14:paraId="16A03289" w14:textId="77777777" w:rsidR="00775AAF" w:rsidRPr="00124E7F" w:rsidRDefault="00775AAF" w:rsidP="00A84019">
            <w:pPr>
              <w:widowControl/>
              <w:autoSpaceDE/>
              <w:autoSpaceDN/>
              <w:adjustRightInd/>
              <w:spacing w:line="240" w:lineRule="auto"/>
              <w:jc w:val="center"/>
            </w:pPr>
            <w:r w:rsidRPr="00124E7F">
              <w:t>Rights holders</w:t>
            </w:r>
          </w:p>
        </w:tc>
        <w:tc>
          <w:tcPr>
            <w:tcW w:w="1196" w:type="dxa"/>
            <w:vAlign w:val="center"/>
          </w:tcPr>
          <w:p w14:paraId="1ABF6E8A" w14:textId="77777777" w:rsidR="00775AAF" w:rsidRPr="00124E7F" w:rsidRDefault="00775AAF" w:rsidP="00A84019">
            <w:pPr>
              <w:spacing w:line="240" w:lineRule="auto"/>
              <w:jc w:val="center"/>
            </w:pPr>
            <w:r w:rsidRPr="00124E7F">
              <w:t>Short run</w:t>
            </w:r>
          </w:p>
        </w:tc>
        <w:tc>
          <w:tcPr>
            <w:tcW w:w="3055" w:type="dxa"/>
            <w:vAlign w:val="center"/>
          </w:tcPr>
          <w:p w14:paraId="3D006386" w14:textId="77777777" w:rsidR="00775AAF" w:rsidRPr="00124E7F" w:rsidRDefault="00775AAF" w:rsidP="00A84019">
            <w:pPr>
              <w:pStyle w:val="AA-Normal"/>
              <w:spacing w:after="60" w:line="240" w:lineRule="auto"/>
              <w:jc w:val="center"/>
            </w:pPr>
            <w:r w:rsidRPr="00124E7F">
              <w:t>Some concern that a significant increase in DTM due to the exception may be harmful for rights holders by inducing more traffic on servers and creating possible technical issues. Due to a lack of evidence, this impact cannot be validated.</w:t>
            </w:r>
          </w:p>
        </w:tc>
        <w:tc>
          <w:tcPr>
            <w:tcW w:w="804" w:type="dxa"/>
            <w:vAlign w:val="center"/>
          </w:tcPr>
          <w:p w14:paraId="52F6D8C8" w14:textId="77777777" w:rsidR="00775AAF" w:rsidRPr="00124E7F" w:rsidRDefault="00775AAF" w:rsidP="00775AAF">
            <w:pPr>
              <w:widowControl/>
              <w:autoSpaceDE/>
              <w:autoSpaceDN/>
              <w:adjustRightInd/>
              <w:spacing w:line="240" w:lineRule="auto"/>
              <w:jc w:val="center"/>
            </w:pPr>
            <w:r w:rsidRPr="00124E7F">
              <w:t>-</w:t>
            </w:r>
          </w:p>
        </w:tc>
        <w:tc>
          <w:tcPr>
            <w:tcW w:w="992" w:type="dxa"/>
            <w:vAlign w:val="center"/>
          </w:tcPr>
          <w:p w14:paraId="62E746F9" w14:textId="77777777" w:rsidR="00775AAF" w:rsidRPr="00124E7F" w:rsidRDefault="00775AAF" w:rsidP="00A84019">
            <w:pPr>
              <w:widowControl/>
              <w:autoSpaceDE/>
              <w:autoSpaceDN/>
              <w:adjustRightInd/>
              <w:spacing w:line="240" w:lineRule="auto"/>
              <w:jc w:val="center"/>
            </w:pPr>
            <w:r w:rsidRPr="00124E7F">
              <w:t>?</w:t>
            </w:r>
          </w:p>
        </w:tc>
      </w:tr>
      <w:tr w:rsidR="004213AE" w:rsidRPr="00124E7F" w14:paraId="167495CD" w14:textId="77777777" w:rsidTr="009206DD">
        <w:trPr>
          <w:trHeight w:val="1634"/>
        </w:trPr>
        <w:tc>
          <w:tcPr>
            <w:tcW w:w="1690" w:type="dxa"/>
            <w:vAlign w:val="center"/>
          </w:tcPr>
          <w:p w14:paraId="10415CBB" w14:textId="77777777" w:rsidR="00775AAF" w:rsidRPr="00124E7F" w:rsidRDefault="00775AAF" w:rsidP="00A84019">
            <w:pPr>
              <w:widowControl/>
              <w:autoSpaceDE/>
              <w:autoSpaceDN/>
              <w:adjustRightInd/>
              <w:spacing w:line="240" w:lineRule="auto"/>
              <w:jc w:val="center"/>
            </w:pPr>
            <w:r w:rsidRPr="00124E7F">
              <w:t>Incentives to create new works</w:t>
            </w:r>
          </w:p>
        </w:tc>
        <w:tc>
          <w:tcPr>
            <w:tcW w:w="1508" w:type="dxa"/>
            <w:vAlign w:val="center"/>
          </w:tcPr>
          <w:p w14:paraId="368F2E8D" w14:textId="77777777" w:rsidR="00775AAF" w:rsidRPr="00124E7F" w:rsidRDefault="00775AAF" w:rsidP="00A84019">
            <w:pPr>
              <w:widowControl/>
              <w:autoSpaceDE/>
              <w:autoSpaceDN/>
              <w:adjustRightInd/>
              <w:spacing w:line="240" w:lineRule="auto"/>
              <w:jc w:val="center"/>
            </w:pPr>
            <w:r w:rsidRPr="00124E7F">
              <w:t>Rights holders</w:t>
            </w:r>
          </w:p>
        </w:tc>
        <w:tc>
          <w:tcPr>
            <w:tcW w:w="1196" w:type="dxa"/>
            <w:vAlign w:val="center"/>
          </w:tcPr>
          <w:p w14:paraId="2DF9AF0A" w14:textId="77777777" w:rsidR="00775AAF" w:rsidRPr="00124E7F" w:rsidRDefault="00775AAF" w:rsidP="00A84019">
            <w:pPr>
              <w:spacing w:line="240" w:lineRule="auto"/>
              <w:jc w:val="center"/>
            </w:pPr>
            <w:r w:rsidRPr="00124E7F">
              <w:t>Long Run</w:t>
            </w:r>
          </w:p>
        </w:tc>
        <w:tc>
          <w:tcPr>
            <w:tcW w:w="3055" w:type="dxa"/>
            <w:vAlign w:val="center"/>
          </w:tcPr>
          <w:p w14:paraId="5EBCE7F9" w14:textId="77777777" w:rsidR="00775AAF" w:rsidRPr="00124E7F" w:rsidRDefault="00775AAF" w:rsidP="00A84019">
            <w:pPr>
              <w:pStyle w:val="AA-Normal"/>
              <w:spacing w:after="60" w:line="240" w:lineRule="auto"/>
              <w:jc w:val="center"/>
            </w:pPr>
            <w:proofErr w:type="spellStart"/>
            <w:r w:rsidRPr="00124E7F">
              <w:t>Rightsholders</w:t>
            </w:r>
            <w:proofErr w:type="spellEnd"/>
            <w:r w:rsidRPr="00124E7F">
              <w:t xml:space="preserve"> may no longer have the incentives to invest to facilitate DTM. Due to a lack of evidence, this impact cannot be validated.</w:t>
            </w:r>
          </w:p>
        </w:tc>
        <w:tc>
          <w:tcPr>
            <w:tcW w:w="804" w:type="dxa"/>
            <w:vAlign w:val="center"/>
          </w:tcPr>
          <w:p w14:paraId="101C3764" w14:textId="77777777" w:rsidR="00775AAF" w:rsidRPr="00124E7F" w:rsidRDefault="009206DD" w:rsidP="009206DD">
            <w:pPr>
              <w:widowControl/>
              <w:autoSpaceDE/>
              <w:autoSpaceDN/>
              <w:adjustRightInd/>
              <w:spacing w:line="240" w:lineRule="auto"/>
              <w:jc w:val="center"/>
            </w:pPr>
            <w:r w:rsidRPr="00124E7F">
              <w:t>-</w:t>
            </w:r>
          </w:p>
        </w:tc>
        <w:tc>
          <w:tcPr>
            <w:tcW w:w="992" w:type="dxa"/>
            <w:vAlign w:val="center"/>
          </w:tcPr>
          <w:p w14:paraId="2585BB71" w14:textId="77777777" w:rsidR="00775AAF" w:rsidRPr="00124E7F" w:rsidRDefault="00775AAF" w:rsidP="00A84019">
            <w:pPr>
              <w:widowControl/>
              <w:autoSpaceDE/>
              <w:autoSpaceDN/>
              <w:adjustRightInd/>
              <w:spacing w:line="240" w:lineRule="auto"/>
              <w:jc w:val="center"/>
            </w:pPr>
            <w:r w:rsidRPr="00124E7F">
              <w:t>?</w:t>
            </w:r>
          </w:p>
        </w:tc>
      </w:tr>
      <w:tr w:rsidR="004213AE" w:rsidRPr="00124E7F" w14:paraId="4FBB62E5" w14:textId="77777777" w:rsidTr="00775AAF">
        <w:trPr>
          <w:trHeight w:val="3219"/>
        </w:trPr>
        <w:tc>
          <w:tcPr>
            <w:tcW w:w="1690" w:type="dxa"/>
            <w:shd w:val="clear" w:color="auto" w:fill="auto"/>
            <w:vAlign w:val="center"/>
          </w:tcPr>
          <w:p w14:paraId="11A39259" w14:textId="77777777" w:rsidR="00775AAF" w:rsidRPr="00124E7F" w:rsidRDefault="00775AAF" w:rsidP="0077557A">
            <w:pPr>
              <w:widowControl/>
              <w:autoSpaceDE/>
              <w:autoSpaceDN/>
              <w:adjustRightInd/>
              <w:spacing w:line="240" w:lineRule="auto"/>
              <w:jc w:val="center"/>
            </w:pPr>
            <w:r w:rsidRPr="00124E7F">
              <w:t>Administration costs/ transaction costs</w:t>
            </w:r>
          </w:p>
        </w:tc>
        <w:tc>
          <w:tcPr>
            <w:tcW w:w="1508" w:type="dxa"/>
            <w:shd w:val="clear" w:color="auto" w:fill="auto"/>
            <w:vAlign w:val="center"/>
          </w:tcPr>
          <w:p w14:paraId="4B320EA3" w14:textId="77777777" w:rsidR="00775AAF" w:rsidRPr="00124E7F" w:rsidRDefault="00775AAF" w:rsidP="0077557A">
            <w:pPr>
              <w:widowControl/>
              <w:autoSpaceDE/>
              <w:autoSpaceDN/>
              <w:adjustRightInd/>
              <w:spacing w:line="240" w:lineRule="auto"/>
              <w:jc w:val="center"/>
            </w:pPr>
            <w:r w:rsidRPr="00124E7F">
              <w:t>Rights holders</w:t>
            </w:r>
          </w:p>
          <w:p w14:paraId="5A6866CB" w14:textId="77777777" w:rsidR="00775AAF" w:rsidRPr="00124E7F" w:rsidRDefault="00775AAF" w:rsidP="0077557A">
            <w:pPr>
              <w:widowControl/>
              <w:autoSpaceDE/>
              <w:autoSpaceDN/>
              <w:adjustRightInd/>
              <w:spacing w:line="240" w:lineRule="auto"/>
              <w:jc w:val="center"/>
            </w:pPr>
            <w:r w:rsidRPr="00124E7F">
              <w:t>Users</w:t>
            </w:r>
          </w:p>
        </w:tc>
        <w:tc>
          <w:tcPr>
            <w:tcW w:w="1196" w:type="dxa"/>
            <w:shd w:val="clear" w:color="auto" w:fill="auto"/>
            <w:vAlign w:val="center"/>
          </w:tcPr>
          <w:p w14:paraId="723C62F1" w14:textId="77777777" w:rsidR="00775AAF" w:rsidRPr="00124E7F" w:rsidRDefault="00775AAF" w:rsidP="0077557A">
            <w:pPr>
              <w:spacing w:line="240" w:lineRule="auto"/>
              <w:jc w:val="center"/>
            </w:pPr>
            <w:r w:rsidRPr="00124E7F">
              <w:t>Short run</w:t>
            </w:r>
          </w:p>
        </w:tc>
        <w:tc>
          <w:tcPr>
            <w:tcW w:w="3055" w:type="dxa"/>
            <w:shd w:val="clear" w:color="auto" w:fill="auto"/>
            <w:vAlign w:val="center"/>
          </w:tcPr>
          <w:p w14:paraId="11ACB8A8" w14:textId="77777777" w:rsidR="00775AAF" w:rsidRPr="00124E7F" w:rsidRDefault="00775AAF" w:rsidP="00775AAF">
            <w:pPr>
              <w:pStyle w:val="EYTablebullet1"/>
              <w:rPr>
                <w:sz w:val="22"/>
                <w:szCs w:val="22"/>
              </w:rPr>
            </w:pPr>
            <w:r w:rsidRPr="00124E7F">
              <w:rPr>
                <w:sz w:val="22"/>
                <w:szCs w:val="22"/>
              </w:rPr>
              <w:t>Expect a small reduction in transaction costs from some users no longer required to seek permissions to mine content.</w:t>
            </w:r>
          </w:p>
          <w:p w14:paraId="2A34B74F" w14:textId="77777777" w:rsidR="00775AAF" w:rsidRPr="00124E7F" w:rsidRDefault="00775AAF" w:rsidP="00775AAF">
            <w:pPr>
              <w:pStyle w:val="EYTablebullet1"/>
              <w:rPr>
                <w:sz w:val="22"/>
                <w:szCs w:val="22"/>
              </w:rPr>
            </w:pPr>
            <w:r w:rsidRPr="00124E7F">
              <w:rPr>
                <w:sz w:val="22"/>
                <w:szCs w:val="22"/>
              </w:rPr>
              <w:t>Prevent possible hold-up situations in which DTM users have searched for the rights holders only to have their request for permission turned down</w:t>
            </w:r>
          </w:p>
        </w:tc>
        <w:tc>
          <w:tcPr>
            <w:tcW w:w="804" w:type="dxa"/>
            <w:vAlign w:val="center"/>
          </w:tcPr>
          <w:p w14:paraId="436926F8" w14:textId="77777777" w:rsidR="00775AAF" w:rsidRPr="00124E7F" w:rsidRDefault="00775AAF" w:rsidP="00775AAF">
            <w:pPr>
              <w:widowControl/>
              <w:autoSpaceDE/>
              <w:autoSpaceDN/>
              <w:adjustRightInd/>
              <w:spacing w:line="240" w:lineRule="auto"/>
              <w:jc w:val="center"/>
            </w:pPr>
            <w:r w:rsidRPr="00124E7F">
              <w:t>-</w:t>
            </w:r>
          </w:p>
        </w:tc>
        <w:tc>
          <w:tcPr>
            <w:tcW w:w="992" w:type="dxa"/>
            <w:shd w:val="clear" w:color="auto" w:fill="auto"/>
            <w:vAlign w:val="center"/>
          </w:tcPr>
          <w:p w14:paraId="3408C6B2" w14:textId="77777777" w:rsidR="00775AAF" w:rsidRPr="00124E7F" w:rsidRDefault="00775AAF" w:rsidP="0077557A">
            <w:pPr>
              <w:widowControl/>
              <w:autoSpaceDE/>
              <w:autoSpaceDN/>
              <w:adjustRightInd/>
              <w:spacing w:line="240" w:lineRule="auto"/>
              <w:jc w:val="center"/>
            </w:pPr>
            <w:r w:rsidRPr="00124E7F">
              <w:t>?+</w:t>
            </w:r>
          </w:p>
        </w:tc>
      </w:tr>
      <w:tr w:rsidR="004213AE" w:rsidRPr="00124E7F" w14:paraId="3F63ADEE" w14:textId="77777777" w:rsidTr="00775AAF">
        <w:trPr>
          <w:trHeight w:val="2700"/>
        </w:trPr>
        <w:tc>
          <w:tcPr>
            <w:tcW w:w="1690" w:type="dxa"/>
            <w:shd w:val="clear" w:color="auto" w:fill="auto"/>
            <w:vAlign w:val="center"/>
          </w:tcPr>
          <w:p w14:paraId="62CDC8ED" w14:textId="77777777" w:rsidR="00775AAF" w:rsidRPr="00124E7F" w:rsidRDefault="00775AAF" w:rsidP="0077557A">
            <w:pPr>
              <w:widowControl/>
              <w:autoSpaceDE/>
              <w:autoSpaceDN/>
              <w:adjustRightInd/>
              <w:spacing w:line="240" w:lineRule="auto"/>
              <w:jc w:val="center"/>
            </w:pPr>
            <w:r w:rsidRPr="00124E7F">
              <w:t>Incentives to invest in new uses of works</w:t>
            </w:r>
          </w:p>
        </w:tc>
        <w:tc>
          <w:tcPr>
            <w:tcW w:w="1508" w:type="dxa"/>
            <w:shd w:val="clear" w:color="auto" w:fill="auto"/>
            <w:vAlign w:val="center"/>
          </w:tcPr>
          <w:p w14:paraId="0BA20EDB" w14:textId="77777777" w:rsidR="00775AAF" w:rsidRPr="00124E7F" w:rsidRDefault="00775AAF" w:rsidP="0077557A">
            <w:pPr>
              <w:widowControl/>
              <w:autoSpaceDE/>
              <w:autoSpaceDN/>
              <w:adjustRightInd/>
              <w:spacing w:line="240" w:lineRule="auto"/>
              <w:jc w:val="center"/>
            </w:pPr>
            <w:r w:rsidRPr="00124E7F">
              <w:t>Users</w:t>
            </w:r>
          </w:p>
        </w:tc>
        <w:tc>
          <w:tcPr>
            <w:tcW w:w="1196" w:type="dxa"/>
            <w:shd w:val="clear" w:color="auto" w:fill="auto"/>
            <w:vAlign w:val="center"/>
          </w:tcPr>
          <w:p w14:paraId="6320AA78" w14:textId="77777777" w:rsidR="00775AAF" w:rsidRPr="00124E7F" w:rsidRDefault="00775AAF" w:rsidP="0077557A">
            <w:pPr>
              <w:spacing w:line="240" w:lineRule="auto"/>
              <w:jc w:val="center"/>
            </w:pPr>
            <w:r w:rsidRPr="00124E7F">
              <w:t>Long run</w:t>
            </w:r>
          </w:p>
        </w:tc>
        <w:tc>
          <w:tcPr>
            <w:tcW w:w="3055" w:type="dxa"/>
            <w:shd w:val="clear" w:color="auto" w:fill="auto"/>
            <w:vAlign w:val="center"/>
          </w:tcPr>
          <w:p w14:paraId="77389F4C" w14:textId="77777777" w:rsidR="00775AAF" w:rsidRPr="00124E7F" w:rsidRDefault="00775AAF" w:rsidP="0077557A">
            <w:pPr>
              <w:pStyle w:val="AA-Normal"/>
              <w:spacing w:after="60" w:line="240" w:lineRule="auto"/>
              <w:jc w:val="center"/>
            </w:pPr>
            <w:r w:rsidRPr="00124E7F">
              <w:t>To the extent that rights holders may need to make investments in order to enable DTM, DTM may fall in the long run if researchers encounter technical issues. Due to a lack of evidence, this impact cannot be validated.</w:t>
            </w:r>
          </w:p>
        </w:tc>
        <w:tc>
          <w:tcPr>
            <w:tcW w:w="804" w:type="dxa"/>
            <w:vAlign w:val="center"/>
          </w:tcPr>
          <w:p w14:paraId="5244216B" w14:textId="77777777" w:rsidR="00775AAF" w:rsidRPr="00124E7F" w:rsidRDefault="00775AAF" w:rsidP="00775AAF">
            <w:pPr>
              <w:widowControl/>
              <w:autoSpaceDE/>
              <w:autoSpaceDN/>
              <w:adjustRightInd/>
              <w:spacing w:line="240" w:lineRule="auto"/>
              <w:jc w:val="center"/>
            </w:pPr>
            <w:r w:rsidRPr="00124E7F">
              <w:t>-</w:t>
            </w:r>
          </w:p>
        </w:tc>
        <w:tc>
          <w:tcPr>
            <w:tcW w:w="992" w:type="dxa"/>
            <w:shd w:val="clear" w:color="auto" w:fill="auto"/>
            <w:vAlign w:val="center"/>
          </w:tcPr>
          <w:p w14:paraId="1AC2D4A0" w14:textId="77777777" w:rsidR="00775AAF" w:rsidRPr="00124E7F" w:rsidRDefault="00775AAF" w:rsidP="0077557A">
            <w:pPr>
              <w:widowControl/>
              <w:autoSpaceDE/>
              <w:autoSpaceDN/>
              <w:adjustRightInd/>
              <w:spacing w:line="240" w:lineRule="auto"/>
              <w:jc w:val="center"/>
            </w:pPr>
            <w:r w:rsidRPr="00124E7F">
              <w:t>?</w:t>
            </w:r>
          </w:p>
        </w:tc>
      </w:tr>
      <w:tr w:rsidR="004213AE" w:rsidRPr="00124E7F" w14:paraId="4678FF96" w14:textId="77777777" w:rsidTr="004C1C4B">
        <w:trPr>
          <w:cantSplit/>
          <w:trHeight w:val="20"/>
        </w:trPr>
        <w:tc>
          <w:tcPr>
            <w:tcW w:w="1690" w:type="dxa"/>
            <w:tcBorders>
              <w:top w:val="single" w:sz="4" w:space="0" w:color="808080" w:themeColor="background1" w:themeShade="80"/>
              <w:bottom w:val="single" w:sz="4" w:space="0" w:color="808080" w:themeColor="background1" w:themeShade="80"/>
            </w:tcBorders>
            <w:shd w:val="clear" w:color="auto" w:fill="auto"/>
            <w:vAlign w:val="center"/>
          </w:tcPr>
          <w:p w14:paraId="6E1458F4" w14:textId="77777777" w:rsidR="00775AAF" w:rsidRPr="00124E7F" w:rsidRDefault="00775AAF" w:rsidP="0077557A">
            <w:pPr>
              <w:widowControl/>
              <w:autoSpaceDE/>
              <w:autoSpaceDN/>
              <w:adjustRightInd/>
              <w:spacing w:line="240" w:lineRule="auto"/>
              <w:jc w:val="center"/>
            </w:pPr>
            <w:r w:rsidRPr="00124E7F">
              <w:t>Enhanced use of existing works</w:t>
            </w:r>
          </w:p>
        </w:tc>
        <w:tc>
          <w:tcPr>
            <w:tcW w:w="1508" w:type="dxa"/>
            <w:tcBorders>
              <w:top w:val="single" w:sz="4" w:space="0" w:color="808080" w:themeColor="background1" w:themeShade="80"/>
              <w:bottom w:val="single" w:sz="4" w:space="0" w:color="808080" w:themeColor="background1" w:themeShade="80"/>
            </w:tcBorders>
            <w:shd w:val="clear" w:color="auto" w:fill="auto"/>
            <w:vAlign w:val="center"/>
          </w:tcPr>
          <w:p w14:paraId="1DA56C26" w14:textId="77777777" w:rsidR="00775AAF" w:rsidRPr="00124E7F" w:rsidRDefault="00775AAF" w:rsidP="0077557A">
            <w:pPr>
              <w:widowControl/>
              <w:autoSpaceDE/>
              <w:autoSpaceDN/>
              <w:adjustRightInd/>
              <w:spacing w:line="240" w:lineRule="auto"/>
              <w:jc w:val="center"/>
            </w:pPr>
            <w:r w:rsidRPr="00124E7F">
              <w:t>Users</w:t>
            </w:r>
          </w:p>
        </w:tc>
        <w:tc>
          <w:tcPr>
            <w:tcW w:w="1196" w:type="dxa"/>
            <w:tcBorders>
              <w:top w:val="single" w:sz="4" w:space="0" w:color="808080" w:themeColor="background1" w:themeShade="80"/>
              <w:bottom w:val="single" w:sz="4" w:space="0" w:color="808080" w:themeColor="background1" w:themeShade="80"/>
            </w:tcBorders>
            <w:shd w:val="clear" w:color="auto" w:fill="auto"/>
            <w:vAlign w:val="center"/>
          </w:tcPr>
          <w:p w14:paraId="6E32A9AB" w14:textId="77777777" w:rsidR="00775AAF" w:rsidRPr="00124E7F" w:rsidRDefault="00775AAF" w:rsidP="0077557A">
            <w:pPr>
              <w:spacing w:line="240" w:lineRule="auto"/>
              <w:jc w:val="center"/>
            </w:pPr>
            <w:r w:rsidRPr="00124E7F">
              <w:t>Short run</w:t>
            </w:r>
          </w:p>
        </w:tc>
        <w:tc>
          <w:tcPr>
            <w:tcW w:w="3055" w:type="dxa"/>
            <w:tcBorders>
              <w:top w:val="single" w:sz="4" w:space="0" w:color="808080" w:themeColor="background1" w:themeShade="80"/>
              <w:bottom w:val="single" w:sz="4" w:space="0" w:color="808080" w:themeColor="background1" w:themeShade="80"/>
            </w:tcBorders>
            <w:shd w:val="clear" w:color="auto" w:fill="auto"/>
            <w:vAlign w:val="center"/>
          </w:tcPr>
          <w:p w14:paraId="28A40A58" w14:textId="77777777" w:rsidR="00775AAF" w:rsidRPr="00124E7F" w:rsidRDefault="00775AAF" w:rsidP="0077557A">
            <w:pPr>
              <w:pStyle w:val="AA-Normal"/>
              <w:spacing w:after="60" w:line="240" w:lineRule="auto"/>
              <w:jc w:val="center"/>
            </w:pPr>
            <w:r w:rsidRPr="00124E7F">
              <w:t>In the short run, a reduction in transaction costs would be expected to increase the level of DTM. This is associated with a positive effect for researchers, as the use of analytical techniques on large data sets can facilitate research.</w:t>
            </w:r>
          </w:p>
        </w:tc>
        <w:tc>
          <w:tcPr>
            <w:tcW w:w="804" w:type="dxa"/>
            <w:tcBorders>
              <w:top w:val="single" w:sz="4" w:space="0" w:color="808080" w:themeColor="background1" w:themeShade="80"/>
              <w:bottom w:val="single" w:sz="4" w:space="0" w:color="808080" w:themeColor="background1" w:themeShade="80"/>
            </w:tcBorders>
          </w:tcPr>
          <w:p w14:paraId="382DAA4F" w14:textId="77777777" w:rsidR="00775AAF" w:rsidRPr="00124E7F" w:rsidRDefault="00775AAF" w:rsidP="0077557A">
            <w:pPr>
              <w:widowControl/>
              <w:autoSpaceDE/>
              <w:autoSpaceDN/>
              <w:adjustRightInd/>
              <w:spacing w:line="240" w:lineRule="auto"/>
              <w:jc w:val="center"/>
            </w:pPr>
          </w:p>
        </w:tc>
        <w:tc>
          <w:tcPr>
            <w:tcW w:w="992" w:type="dxa"/>
            <w:tcBorders>
              <w:top w:val="single" w:sz="4" w:space="0" w:color="808080" w:themeColor="background1" w:themeShade="80"/>
              <w:bottom w:val="single" w:sz="4" w:space="0" w:color="808080" w:themeColor="background1" w:themeShade="80"/>
            </w:tcBorders>
            <w:shd w:val="clear" w:color="auto" w:fill="auto"/>
            <w:vAlign w:val="center"/>
          </w:tcPr>
          <w:p w14:paraId="4AEB7875" w14:textId="77777777" w:rsidR="00775AAF" w:rsidRPr="00124E7F" w:rsidRDefault="00775AAF" w:rsidP="0077557A">
            <w:pPr>
              <w:widowControl/>
              <w:autoSpaceDE/>
              <w:autoSpaceDN/>
              <w:adjustRightInd/>
              <w:spacing w:line="240" w:lineRule="auto"/>
              <w:jc w:val="center"/>
            </w:pPr>
            <w:r w:rsidRPr="00124E7F">
              <w:t>?+</w:t>
            </w:r>
          </w:p>
        </w:tc>
      </w:tr>
      <w:tr w:rsidR="004213AE" w:rsidRPr="00124E7F" w14:paraId="4167273E" w14:textId="77777777" w:rsidTr="00775AAF">
        <w:trPr>
          <w:cantSplit/>
          <w:trHeight w:val="2055"/>
        </w:trPr>
        <w:tc>
          <w:tcPr>
            <w:tcW w:w="1690" w:type="dxa"/>
            <w:tcBorders>
              <w:top w:val="single" w:sz="4" w:space="0" w:color="808080" w:themeColor="background1" w:themeShade="80"/>
            </w:tcBorders>
            <w:shd w:val="clear" w:color="auto" w:fill="auto"/>
            <w:vAlign w:val="center"/>
          </w:tcPr>
          <w:p w14:paraId="2AF20A97" w14:textId="77777777" w:rsidR="00775AAF" w:rsidRPr="00124E7F" w:rsidRDefault="00775AAF" w:rsidP="0077557A">
            <w:pPr>
              <w:widowControl/>
              <w:autoSpaceDE/>
              <w:autoSpaceDN/>
              <w:adjustRightInd/>
              <w:spacing w:line="240" w:lineRule="auto"/>
              <w:jc w:val="center"/>
            </w:pPr>
            <w:r w:rsidRPr="00124E7F">
              <w:t>Economic and societal benefits</w:t>
            </w:r>
          </w:p>
        </w:tc>
        <w:tc>
          <w:tcPr>
            <w:tcW w:w="1508" w:type="dxa"/>
            <w:tcBorders>
              <w:top w:val="single" w:sz="4" w:space="0" w:color="808080" w:themeColor="background1" w:themeShade="80"/>
            </w:tcBorders>
            <w:shd w:val="clear" w:color="auto" w:fill="auto"/>
            <w:vAlign w:val="center"/>
          </w:tcPr>
          <w:p w14:paraId="228D0851" w14:textId="77777777" w:rsidR="00775AAF" w:rsidRPr="00124E7F" w:rsidRDefault="00775AAF" w:rsidP="0077557A">
            <w:pPr>
              <w:widowControl/>
              <w:autoSpaceDE/>
              <w:autoSpaceDN/>
              <w:adjustRightInd/>
              <w:spacing w:line="240" w:lineRule="auto"/>
              <w:jc w:val="center"/>
            </w:pPr>
            <w:r w:rsidRPr="00124E7F">
              <w:t>Economy/ Society</w:t>
            </w:r>
          </w:p>
        </w:tc>
        <w:tc>
          <w:tcPr>
            <w:tcW w:w="1196" w:type="dxa"/>
            <w:tcBorders>
              <w:top w:val="single" w:sz="4" w:space="0" w:color="808080" w:themeColor="background1" w:themeShade="80"/>
            </w:tcBorders>
            <w:shd w:val="clear" w:color="auto" w:fill="auto"/>
            <w:vAlign w:val="center"/>
          </w:tcPr>
          <w:p w14:paraId="1784CD84" w14:textId="77777777" w:rsidR="00775AAF" w:rsidRPr="00124E7F" w:rsidRDefault="00775AAF" w:rsidP="0077557A">
            <w:pPr>
              <w:spacing w:line="240" w:lineRule="auto"/>
              <w:jc w:val="center"/>
            </w:pPr>
            <w:r w:rsidRPr="00124E7F">
              <w:t>Both</w:t>
            </w:r>
          </w:p>
        </w:tc>
        <w:tc>
          <w:tcPr>
            <w:tcW w:w="3055" w:type="dxa"/>
            <w:tcBorders>
              <w:top w:val="single" w:sz="4" w:space="0" w:color="808080" w:themeColor="background1" w:themeShade="80"/>
            </w:tcBorders>
            <w:shd w:val="clear" w:color="auto" w:fill="auto"/>
            <w:vAlign w:val="center"/>
          </w:tcPr>
          <w:p w14:paraId="5CCCFC5F" w14:textId="77777777" w:rsidR="00775AAF" w:rsidRPr="00124E7F" w:rsidRDefault="00775AAF" w:rsidP="0077557A">
            <w:pPr>
              <w:pStyle w:val="AA-Normal"/>
              <w:spacing w:after="60" w:line="240" w:lineRule="auto"/>
            </w:pPr>
            <w:r w:rsidRPr="00124E7F">
              <w:t>An increase in DTM is associated with broader benefits including higher quality research, productivity gains, and innovative new service development.</w:t>
            </w:r>
          </w:p>
        </w:tc>
        <w:tc>
          <w:tcPr>
            <w:tcW w:w="804" w:type="dxa"/>
            <w:tcBorders>
              <w:top w:val="single" w:sz="4" w:space="0" w:color="808080" w:themeColor="background1" w:themeShade="80"/>
            </w:tcBorders>
            <w:vAlign w:val="center"/>
          </w:tcPr>
          <w:p w14:paraId="3EFAA3ED" w14:textId="77777777" w:rsidR="00775AAF" w:rsidRPr="00124E7F" w:rsidRDefault="00775AAF" w:rsidP="00775AAF">
            <w:pPr>
              <w:widowControl/>
              <w:autoSpaceDE/>
              <w:autoSpaceDN/>
              <w:adjustRightInd/>
              <w:spacing w:line="240" w:lineRule="auto"/>
              <w:jc w:val="center"/>
            </w:pPr>
            <w:r w:rsidRPr="00124E7F">
              <w:t>-</w:t>
            </w:r>
          </w:p>
        </w:tc>
        <w:tc>
          <w:tcPr>
            <w:tcW w:w="992" w:type="dxa"/>
            <w:tcBorders>
              <w:top w:val="single" w:sz="4" w:space="0" w:color="808080" w:themeColor="background1" w:themeShade="80"/>
            </w:tcBorders>
            <w:shd w:val="clear" w:color="auto" w:fill="auto"/>
            <w:vAlign w:val="center"/>
          </w:tcPr>
          <w:p w14:paraId="306F85A7" w14:textId="77777777" w:rsidR="00775AAF" w:rsidRPr="00124E7F" w:rsidRDefault="00775AAF" w:rsidP="0077557A">
            <w:pPr>
              <w:widowControl/>
              <w:autoSpaceDE/>
              <w:autoSpaceDN/>
              <w:adjustRightInd/>
              <w:spacing w:line="240" w:lineRule="auto"/>
              <w:jc w:val="center"/>
            </w:pPr>
            <w:r w:rsidRPr="00124E7F">
              <w:t>?+</w:t>
            </w:r>
          </w:p>
        </w:tc>
      </w:tr>
      <w:tr w:rsidR="004213AE" w:rsidRPr="00124E7F" w14:paraId="774AD09A" w14:textId="77777777" w:rsidTr="00775AAF">
        <w:trPr>
          <w:trHeight w:val="20"/>
        </w:trPr>
        <w:tc>
          <w:tcPr>
            <w:tcW w:w="1690" w:type="dxa"/>
            <w:tcBorders>
              <w:top w:val="single" w:sz="4" w:space="0" w:color="808080" w:themeColor="background1" w:themeShade="80"/>
              <w:bottom w:val="single" w:sz="4" w:space="0" w:color="808080" w:themeColor="background1" w:themeShade="80"/>
            </w:tcBorders>
            <w:shd w:val="clear" w:color="auto" w:fill="E5E5E5" w:themeFill="accent1" w:themeFillTint="33"/>
            <w:vAlign w:val="center"/>
          </w:tcPr>
          <w:p w14:paraId="2D594B9E" w14:textId="77777777" w:rsidR="00775AAF" w:rsidRPr="00124E7F" w:rsidRDefault="00775AAF" w:rsidP="0077557A">
            <w:pPr>
              <w:widowControl/>
              <w:autoSpaceDE/>
              <w:autoSpaceDN/>
              <w:adjustRightInd/>
              <w:spacing w:line="240" w:lineRule="auto"/>
              <w:jc w:val="center"/>
              <w:rPr>
                <w:b/>
              </w:rPr>
            </w:pPr>
            <w:r w:rsidRPr="00124E7F">
              <w:rPr>
                <w:b/>
              </w:rPr>
              <w:t>Net expected impact</w:t>
            </w:r>
          </w:p>
        </w:tc>
        <w:tc>
          <w:tcPr>
            <w:tcW w:w="1508" w:type="dxa"/>
            <w:tcBorders>
              <w:top w:val="single" w:sz="4" w:space="0" w:color="808080" w:themeColor="background1" w:themeShade="80"/>
              <w:bottom w:val="single" w:sz="4" w:space="0" w:color="808080" w:themeColor="background1" w:themeShade="80"/>
            </w:tcBorders>
            <w:shd w:val="clear" w:color="auto" w:fill="E5E5E5" w:themeFill="accent1" w:themeFillTint="33"/>
            <w:vAlign w:val="center"/>
          </w:tcPr>
          <w:p w14:paraId="55B6BAEC" w14:textId="77777777" w:rsidR="00775AAF" w:rsidRPr="00124E7F" w:rsidRDefault="00775AAF" w:rsidP="0077557A">
            <w:pPr>
              <w:widowControl/>
              <w:autoSpaceDE/>
              <w:autoSpaceDN/>
              <w:adjustRightInd/>
              <w:spacing w:line="240" w:lineRule="auto"/>
              <w:jc w:val="center"/>
              <w:rPr>
                <w:b/>
              </w:rPr>
            </w:pPr>
            <w:r w:rsidRPr="00124E7F">
              <w:rPr>
                <w:b/>
              </w:rPr>
              <w:t>-</w:t>
            </w:r>
          </w:p>
        </w:tc>
        <w:tc>
          <w:tcPr>
            <w:tcW w:w="1196" w:type="dxa"/>
            <w:tcBorders>
              <w:top w:val="single" w:sz="4" w:space="0" w:color="808080" w:themeColor="background1" w:themeShade="80"/>
              <w:bottom w:val="single" w:sz="4" w:space="0" w:color="808080" w:themeColor="background1" w:themeShade="80"/>
            </w:tcBorders>
            <w:shd w:val="clear" w:color="auto" w:fill="E5E5E5" w:themeFill="accent1" w:themeFillTint="33"/>
            <w:vAlign w:val="center"/>
          </w:tcPr>
          <w:p w14:paraId="5E2DD75C" w14:textId="77777777" w:rsidR="00775AAF" w:rsidRPr="00124E7F" w:rsidRDefault="00775AAF" w:rsidP="0077557A">
            <w:pPr>
              <w:spacing w:line="240" w:lineRule="auto"/>
              <w:jc w:val="center"/>
              <w:rPr>
                <w:b/>
              </w:rPr>
            </w:pPr>
            <w:r w:rsidRPr="00124E7F">
              <w:rPr>
                <w:b/>
              </w:rPr>
              <w:t>-</w:t>
            </w:r>
          </w:p>
        </w:tc>
        <w:tc>
          <w:tcPr>
            <w:tcW w:w="3055" w:type="dxa"/>
            <w:tcBorders>
              <w:top w:val="single" w:sz="4" w:space="0" w:color="808080" w:themeColor="background1" w:themeShade="80"/>
              <w:bottom w:val="single" w:sz="4" w:space="0" w:color="808080" w:themeColor="background1" w:themeShade="80"/>
            </w:tcBorders>
            <w:shd w:val="clear" w:color="auto" w:fill="E5E5E5" w:themeFill="accent1" w:themeFillTint="33"/>
            <w:vAlign w:val="center"/>
          </w:tcPr>
          <w:p w14:paraId="1FABC648" w14:textId="77777777" w:rsidR="00775AAF" w:rsidRPr="00124E7F" w:rsidRDefault="00775AAF" w:rsidP="0077557A">
            <w:pPr>
              <w:widowControl/>
              <w:autoSpaceDE/>
              <w:autoSpaceDN/>
              <w:adjustRightInd/>
              <w:spacing w:line="240" w:lineRule="auto"/>
              <w:jc w:val="center"/>
              <w:rPr>
                <w:b/>
              </w:rPr>
            </w:pPr>
            <w:r w:rsidRPr="00124E7F">
              <w:rPr>
                <w:b/>
              </w:rPr>
              <w:t>Ambiguous</w:t>
            </w:r>
          </w:p>
        </w:tc>
        <w:tc>
          <w:tcPr>
            <w:tcW w:w="804" w:type="dxa"/>
            <w:tcBorders>
              <w:top w:val="single" w:sz="4" w:space="0" w:color="808080" w:themeColor="background1" w:themeShade="80"/>
              <w:bottom w:val="single" w:sz="4" w:space="0" w:color="808080" w:themeColor="background1" w:themeShade="80"/>
            </w:tcBorders>
            <w:shd w:val="clear" w:color="auto" w:fill="E5E5E5" w:themeFill="accent1" w:themeFillTint="33"/>
          </w:tcPr>
          <w:p w14:paraId="1BE2742D" w14:textId="77777777" w:rsidR="00775AAF" w:rsidRPr="00124E7F" w:rsidRDefault="00775AAF" w:rsidP="0077557A">
            <w:pPr>
              <w:widowControl/>
              <w:autoSpaceDE/>
              <w:autoSpaceDN/>
              <w:adjustRightInd/>
              <w:spacing w:line="240" w:lineRule="auto"/>
              <w:jc w:val="center"/>
              <w:rPr>
                <w:b/>
              </w:rPr>
            </w:pPr>
          </w:p>
        </w:tc>
        <w:tc>
          <w:tcPr>
            <w:tcW w:w="992" w:type="dxa"/>
            <w:tcBorders>
              <w:top w:val="single" w:sz="4" w:space="0" w:color="808080" w:themeColor="background1" w:themeShade="80"/>
              <w:bottom w:val="single" w:sz="4" w:space="0" w:color="808080" w:themeColor="background1" w:themeShade="80"/>
            </w:tcBorders>
            <w:shd w:val="clear" w:color="auto" w:fill="E5E5E5" w:themeFill="accent1" w:themeFillTint="33"/>
            <w:vAlign w:val="center"/>
          </w:tcPr>
          <w:p w14:paraId="598FA8C7" w14:textId="77777777" w:rsidR="00775AAF" w:rsidRPr="00124E7F" w:rsidRDefault="00775AAF" w:rsidP="0077557A">
            <w:pPr>
              <w:widowControl/>
              <w:autoSpaceDE/>
              <w:autoSpaceDN/>
              <w:adjustRightInd/>
              <w:spacing w:line="240" w:lineRule="auto"/>
              <w:jc w:val="center"/>
              <w:rPr>
                <w:b/>
              </w:rPr>
            </w:pPr>
            <w:r w:rsidRPr="00124E7F">
              <w:rPr>
                <w:b/>
              </w:rPr>
              <w:t>?</w:t>
            </w:r>
          </w:p>
        </w:tc>
      </w:tr>
    </w:tbl>
    <w:p w14:paraId="0C319CE2" w14:textId="77777777" w:rsidR="00D26F77" w:rsidRPr="00124E7F" w:rsidRDefault="00D26F77" w:rsidP="00D26F77"/>
    <w:p w14:paraId="665C442B" w14:textId="77777777" w:rsidR="0055463E" w:rsidRPr="00124E7F" w:rsidRDefault="0055463E">
      <w:pPr>
        <w:pStyle w:val="EYHeading4"/>
      </w:pPr>
      <w:r w:rsidRPr="00124E7F">
        <w:t xml:space="preserve">Benefits from </w:t>
      </w:r>
      <w:r w:rsidRPr="00E4018C">
        <w:t>reduced</w:t>
      </w:r>
      <w:r w:rsidRPr="00124E7F">
        <w:t xml:space="preserve"> </w:t>
      </w:r>
      <w:r w:rsidR="008D5519" w:rsidRPr="00124E7F">
        <w:t>administration</w:t>
      </w:r>
      <w:r w:rsidRPr="00124E7F">
        <w:t xml:space="preserve"> costs</w:t>
      </w:r>
    </w:p>
    <w:p w14:paraId="7CB01D0E" w14:textId="77777777" w:rsidR="0055463E" w:rsidRPr="00124E7F" w:rsidRDefault="0055463E" w:rsidP="005E5ED5">
      <w:pPr>
        <w:pStyle w:val="EYBodytextwithparaspace"/>
      </w:pPr>
      <w:r w:rsidRPr="00124E7F">
        <w:t xml:space="preserve">As </w:t>
      </w:r>
      <w:r w:rsidR="007555F3" w:rsidRPr="00124E7F">
        <w:t xml:space="preserve">briefly </w:t>
      </w:r>
      <w:r w:rsidRPr="00124E7F">
        <w:t>discussed in Sectio</w:t>
      </w:r>
      <w:r w:rsidR="007555F3" w:rsidRPr="00124E7F">
        <w:t xml:space="preserve">n </w:t>
      </w:r>
      <w:r w:rsidR="007555F3" w:rsidRPr="00124E7F">
        <w:fldChar w:fldCharType="begin"/>
      </w:r>
      <w:r w:rsidR="007555F3" w:rsidRPr="00124E7F">
        <w:instrText xml:space="preserve"> REF _Ref446515039 \r \h </w:instrText>
      </w:r>
      <w:r w:rsidR="0004373C" w:rsidRPr="00124E7F">
        <w:instrText xml:space="preserve"> \* MERGEFORMAT </w:instrText>
      </w:r>
      <w:r w:rsidR="007555F3" w:rsidRPr="00124E7F">
        <w:fldChar w:fldCharType="separate"/>
      </w:r>
      <w:r w:rsidR="0075700D">
        <w:t>3.4.1</w:t>
      </w:r>
      <w:r w:rsidR="007555F3" w:rsidRPr="00124E7F">
        <w:fldChar w:fldCharType="end"/>
      </w:r>
      <w:r w:rsidR="007555F3" w:rsidRPr="00124E7F">
        <w:t xml:space="preserve"> </w:t>
      </w:r>
      <w:r w:rsidRPr="00124E7F">
        <w:t xml:space="preserve">, the group most likely to undertake DTM are researchers. DTM requires researchers to first obtain access to pre-existing works. </w:t>
      </w:r>
      <w:r w:rsidR="00E4132F" w:rsidRPr="00124E7F">
        <w:t xml:space="preserve">Generally, in the case of academic and scientific publications, obtaining access involves </w:t>
      </w:r>
      <w:r w:rsidR="004115D0" w:rsidRPr="00124E7F">
        <w:t xml:space="preserve">the acquisition of a </w:t>
      </w:r>
      <w:r w:rsidR="005D236A" w:rsidRPr="00124E7F">
        <w:t>licens</w:t>
      </w:r>
      <w:r w:rsidR="00E4132F" w:rsidRPr="00124E7F">
        <w:t xml:space="preserve">e, unless the material is an Open Access work. </w:t>
      </w:r>
    </w:p>
    <w:p w14:paraId="0B579075" w14:textId="77777777" w:rsidR="0055463E" w:rsidRPr="00124E7F" w:rsidRDefault="0055463E" w:rsidP="005E5ED5">
      <w:pPr>
        <w:pStyle w:val="EYBodytextwithparaspace"/>
      </w:pPr>
      <w:r w:rsidRPr="00124E7F">
        <w:t xml:space="preserve">It is generally accepted that DTM involves an act of reproduction. Therefore, once access has been lawfully obtained, researchers and publishers must </w:t>
      </w:r>
      <w:r w:rsidR="00250132" w:rsidRPr="00124E7F">
        <w:t xml:space="preserve">also </w:t>
      </w:r>
      <w:r w:rsidRPr="00124E7F">
        <w:t xml:space="preserve">agree on DTM terms. The current market for DTM is relatively nascent in Australia. For this reason, requests for permissions tend to be considered on a case-by-case basis, and therein lay the transaction costs. </w:t>
      </w:r>
    </w:p>
    <w:p w14:paraId="394DA169" w14:textId="77777777" w:rsidR="0055463E" w:rsidRPr="00124E7F" w:rsidRDefault="0055463E" w:rsidP="003611B2">
      <w:pPr>
        <w:pStyle w:val="EYBodytextwithparaspace"/>
      </w:pPr>
      <w:r w:rsidRPr="00124E7F">
        <w:t xml:space="preserve">DTM involves a large number of works and the rights of these works can be dispersed over numerous publishers and/or authors. </w:t>
      </w:r>
      <w:r w:rsidR="00D26F77" w:rsidRPr="00124E7F">
        <w:fldChar w:fldCharType="begin"/>
      </w:r>
      <w:r w:rsidR="00D26F77" w:rsidRPr="00124E7F">
        <w:instrText xml:space="preserve"> REF _Ref467505445 \h </w:instrText>
      </w:r>
      <w:r w:rsidR="003611B2" w:rsidRPr="00124E7F">
        <w:instrText xml:space="preserve"> \* MERGEFORMAT </w:instrText>
      </w:r>
      <w:r w:rsidR="00D26F77" w:rsidRPr="00124E7F">
        <w:fldChar w:fldCharType="separate"/>
      </w:r>
      <w:r w:rsidR="0075700D" w:rsidRPr="00124E7F">
        <w:t xml:space="preserve">Box </w:t>
      </w:r>
      <w:r w:rsidR="0075700D">
        <w:t>5</w:t>
      </w:r>
      <w:r w:rsidR="00D26F77" w:rsidRPr="00124E7F">
        <w:fldChar w:fldCharType="end"/>
      </w:r>
      <w:r w:rsidR="00D26F77" w:rsidRPr="00124E7F">
        <w:t xml:space="preserve"> </w:t>
      </w:r>
      <w:r w:rsidRPr="00124E7F">
        <w:t xml:space="preserve">presents a case study by </w:t>
      </w:r>
      <w:proofErr w:type="spellStart"/>
      <w:r w:rsidRPr="00124E7F">
        <w:t>Wellcome</w:t>
      </w:r>
      <w:proofErr w:type="spellEnd"/>
      <w:r w:rsidRPr="00124E7F">
        <w:t xml:space="preserve"> Trust on the possible magnitude of such transaction costs from a single DTM project. </w:t>
      </w:r>
      <w:r w:rsidR="001F6AF8" w:rsidRPr="00124E7F">
        <w:t>However, e</w:t>
      </w:r>
      <w:r w:rsidRPr="00124E7F">
        <w:t>ven when transaction costs are not high on a per transaction basis</w:t>
      </w:r>
      <w:r w:rsidR="00C02636" w:rsidRPr="00124E7F">
        <w:t>,</w:t>
      </w:r>
      <w:r w:rsidRPr="00124E7F">
        <w:t xml:space="preserve"> they can still be prohibitively large relative to the </w:t>
      </w:r>
      <w:r w:rsidR="00600526" w:rsidRPr="00124E7F">
        <w:t>value-in-use of the particular collection of works. This may lead to the ‘hold-up’ problem. Search costs</w:t>
      </w:r>
      <w:r w:rsidR="00C02636" w:rsidRPr="00124E7F">
        <w:t xml:space="preserve"> are an investment that DTM users must incur before they can request permission</w:t>
      </w:r>
      <w:r w:rsidR="00600526" w:rsidRPr="00124E7F">
        <w:t xml:space="preserve"> from the relevant right</w:t>
      </w:r>
      <w:r w:rsidR="00C37ECD" w:rsidRPr="00124E7F">
        <w:t>s</w:t>
      </w:r>
      <w:r w:rsidR="00600526" w:rsidRPr="00124E7F">
        <w:t xml:space="preserve"> holder</w:t>
      </w:r>
      <w:r w:rsidR="00C02636" w:rsidRPr="00124E7F">
        <w:t>.</w:t>
      </w:r>
      <w:r w:rsidR="00600526" w:rsidRPr="00124E7F">
        <w:t xml:space="preserve"> </w:t>
      </w:r>
      <w:r w:rsidR="00061115" w:rsidRPr="00124E7F">
        <w:t>The hold-up problem</w:t>
      </w:r>
      <w:r w:rsidR="00C02636" w:rsidRPr="00124E7F">
        <w:t xml:space="preserve"> typically occurs when right</w:t>
      </w:r>
      <w:r w:rsidR="00C37ECD" w:rsidRPr="00124E7F">
        <w:t>s</w:t>
      </w:r>
      <w:r w:rsidR="00C02636" w:rsidRPr="00124E7F">
        <w:t xml:space="preserve"> holders refuse the user’s request for permission or ask for </w:t>
      </w:r>
      <w:r w:rsidR="00061115" w:rsidRPr="00124E7F">
        <w:t xml:space="preserve">large </w:t>
      </w:r>
      <w:r w:rsidR="005D236A" w:rsidRPr="00124E7F">
        <w:t>licens</w:t>
      </w:r>
      <w:r w:rsidR="007D4AFF" w:rsidRPr="00124E7F">
        <w:t>ing</w:t>
      </w:r>
      <w:r w:rsidR="00C02636" w:rsidRPr="00124E7F">
        <w:t xml:space="preserve"> fees, which, when added to the</w:t>
      </w:r>
      <w:r w:rsidR="00600526" w:rsidRPr="00124E7F">
        <w:t xml:space="preserve">se </w:t>
      </w:r>
      <w:r w:rsidR="00C02636" w:rsidRPr="00124E7F">
        <w:t>search costs, exceed the value-in-use of the particular collection of works.</w:t>
      </w:r>
      <w:r w:rsidR="00061115" w:rsidRPr="00124E7F">
        <w:rPr>
          <w:vertAlign w:val="superscript"/>
        </w:rPr>
        <w:footnoteReference w:id="121"/>
      </w:r>
      <w:r w:rsidR="00C02636" w:rsidRPr="00124E7F">
        <w:rPr>
          <w:vertAlign w:val="superscript"/>
        </w:rPr>
        <w:t xml:space="preserve"> </w:t>
      </w:r>
      <w:r w:rsidRPr="00124E7F">
        <w:t xml:space="preserve">In some cases, </w:t>
      </w:r>
      <w:r w:rsidR="00C02636" w:rsidRPr="00124E7F">
        <w:t xml:space="preserve">this </w:t>
      </w:r>
      <w:r w:rsidR="007D4AFF" w:rsidRPr="00124E7F">
        <w:t>could be expected to</w:t>
      </w:r>
      <w:r w:rsidR="00C02636" w:rsidRPr="00124E7F">
        <w:t xml:space="preserve"> lead to an</w:t>
      </w:r>
      <w:r w:rsidRPr="00124E7F">
        <w:t xml:space="preserve"> underinvestment in DTM.</w:t>
      </w:r>
      <w:r w:rsidR="00034726" w:rsidRPr="00124E7F">
        <w:t xml:space="preserve"> </w:t>
      </w:r>
    </w:p>
    <w:p w14:paraId="1DFF10AE" w14:textId="77777777" w:rsidR="0055463E" w:rsidRPr="00124E7F" w:rsidRDefault="009F5024" w:rsidP="009F5024">
      <w:pPr>
        <w:pStyle w:val="Caption"/>
        <w:pBdr>
          <w:top w:val="single" w:sz="4" w:space="1" w:color="808080" w:themeColor="background1" w:themeShade="80"/>
        </w:pBdr>
      </w:pPr>
      <w:bookmarkStart w:id="124" w:name="_Ref467505445"/>
      <w:bookmarkStart w:id="125" w:name="_Ref446262958"/>
      <w:r w:rsidRPr="00124E7F">
        <w:t xml:space="preserve">Box </w:t>
      </w:r>
      <w:r w:rsidRPr="00124E7F">
        <w:fldChar w:fldCharType="begin"/>
      </w:r>
      <w:r w:rsidRPr="00124E7F">
        <w:instrText xml:space="preserve"> SEQ Box \* ARABIC </w:instrText>
      </w:r>
      <w:r w:rsidRPr="00124E7F">
        <w:fldChar w:fldCharType="separate"/>
      </w:r>
      <w:r w:rsidR="0075700D">
        <w:rPr>
          <w:noProof/>
        </w:rPr>
        <w:t>5</w:t>
      </w:r>
      <w:r w:rsidRPr="00124E7F">
        <w:fldChar w:fldCharType="end"/>
      </w:r>
      <w:bookmarkEnd w:id="124"/>
      <w:r w:rsidR="00D26F77" w:rsidRPr="00124E7F">
        <w:t>:</w:t>
      </w:r>
      <w:bookmarkEnd w:id="125"/>
      <w:r w:rsidR="00D26F77" w:rsidRPr="00124E7F">
        <w:t xml:space="preserve"> </w:t>
      </w:r>
      <w:proofErr w:type="spellStart"/>
      <w:r w:rsidR="0055463E" w:rsidRPr="00124E7F">
        <w:t>Wellcome</w:t>
      </w:r>
      <w:proofErr w:type="spellEnd"/>
      <w:r w:rsidR="0055463E" w:rsidRPr="00124E7F">
        <w:t xml:space="preserve"> Trust case study on transaction costs in DTM projects</w:t>
      </w:r>
    </w:p>
    <w:p w14:paraId="5D2FA991" w14:textId="77777777" w:rsidR="00D26F77" w:rsidRPr="00124E7F" w:rsidRDefault="00D26F77" w:rsidP="00DE543E">
      <w:pPr>
        <w:pStyle w:val="EYBodytextwithparaspace"/>
        <w:pBdr>
          <w:bottom w:val="single" w:sz="4" w:space="1" w:color="808080" w:themeColor="background1" w:themeShade="80"/>
        </w:pBdr>
      </w:pPr>
      <w:proofErr w:type="spellStart"/>
      <w:r w:rsidRPr="00124E7F">
        <w:t>Wellcome</w:t>
      </w:r>
      <w:proofErr w:type="spellEnd"/>
      <w:r w:rsidRPr="00124E7F">
        <w:t xml:space="preserve"> Trust set up an experiment in which it simulated a mining project based on the title keyword “malaria” to be searched among the articles in the UK PubMed Central repository. It found around 3,000 such articles, 62% of which could be mined without the prior </w:t>
      </w:r>
      <w:proofErr w:type="spellStart"/>
      <w:r w:rsidRPr="00124E7F">
        <w:t>authorisation</w:t>
      </w:r>
      <w:proofErr w:type="spellEnd"/>
      <w:r w:rsidRPr="00124E7F">
        <w:t xml:space="preserve"> of </w:t>
      </w:r>
      <w:proofErr w:type="spellStart"/>
      <w:r w:rsidRPr="00124E7F">
        <w:t>rightholders</w:t>
      </w:r>
      <w:proofErr w:type="spellEnd"/>
      <w:r w:rsidRPr="00124E7F">
        <w:t xml:space="preserve">. For the remaining 38%, permissions had to be sought. These 38% represented about 1,100 copyrighted articles, which were published in 187 journals and by 75 different publishers. Assuming that one hour would be necessary to obtain a license for each journal (this estimate is rather conservative, given that negotiation will also usually take place), that would add up to 187 hours on aggregate. Assuming that the researcher conducting this project had a salary of £30,000, </w:t>
      </w:r>
      <w:proofErr w:type="spellStart"/>
      <w:r w:rsidRPr="00124E7F">
        <w:t>Wellcome</w:t>
      </w:r>
      <w:proofErr w:type="spellEnd"/>
      <w:r w:rsidRPr="00124E7F">
        <w:t xml:space="preserve"> Trust found that the transaction costs associated to the project would be equal to £3,399. When </w:t>
      </w:r>
      <w:proofErr w:type="spellStart"/>
      <w:r w:rsidRPr="00124E7F">
        <w:t>Wellcome</w:t>
      </w:r>
      <w:proofErr w:type="spellEnd"/>
      <w:r w:rsidRPr="00124E7F">
        <w:t xml:space="preserve"> Trust took a more realistic example in which they looked for the term “malaria” not only in the title but in the entire text of the articles in UK </w:t>
      </w:r>
      <w:proofErr w:type="spellStart"/>
      <w:r w:rsidRPr="00124E7F">
        <w:t>Pubmed</w:t>
      </w:r>
      <w:proofErr w:type="spellEnd"/>
      <w:r w:rsidRPr="00124E7F">
        <w:t xml:space="preserve"> central repository, they found (using similar computations) that transaction costs increased to £18,630.</w:t>
      </w:r>
    </w:p>
    <w:p w14:paraId="08890F06" w14:textId="77777777" w:rsidR="0055463E" w:rsidRPr="00124E7F" w:rsidRDefault="0055463E" w:rsidP="005E5ED5">
      <w:pPr>
        <w:pStyle w:val="EYSource"/>
        <w:rPr>
          <w:sz w:val="20"/>
          <w:szCs w:val="20"/>
        </w:rPr>
      </w:pPr>
      <w:r w:rsidRPr="00124E7F">
        <w:rPr>
          <w:sz w:val="20"/>
          <w:szCs w:val="20"/>
        </w:rPr>
        <w:t xml:space="preserve">Source: </w:t>
      </w:r>
      <w:proofErr w:type="spellStart"/>
      <w:r w:rsidRPr="00124E7F">
        <w:rPr>
          <w:sz w:val="20"/>
          <w:szCs w:val="20"/>
        </w:rPr>
        <w:t>Wellcome</w:t>
      </w:r>
      <w:proofErr w:type="spellEnd"/>
      <w:r w:rsidRPr="00124E7F">
        <w:rPr>
          <w:sz w:val="20"/>
          <w:szCs w:val="20"/>
        </w:rPr>
        <w:t xml:space="preserve"> Trust (2012), Box 2, p.10.</w:t>
      </w:r>
    </w:p>
    <w:p w14:paraId="0D120983" w14:textId="77777777" w:rsidR="009E13EE" w:rsidRPr="00124E7F" w:rsidRDefault="009E13EE" w:rsidP="00DE543E"/>
    <w:p w14:paraId="0803A023" w14:textId="77777777" w:rsidR="007D4AFF" w:rsidRPr="00124E7F" w:rsidRDefault="00E4132F" w:rsidP="005E5ED5">
      <w:pPr>
        <w:pStyle w:val="EYBodytextwithparaspace"/>
      </w:pPr>
      <w:r w:rsidRPr="00124E7F">
        <w:t>Publicly available</w:t>
      </w:r>
      <w:r w:rsidR="007D4AFF" w:rsidRPr="00124E7F">
        <w:t xml:space="preserve"> data on the incidence of DTM in Australia is scarce. For their part, publishers are reporting that there is little demand for DTM in Australia, suggesting the absence of a market is not an issue.</w:t>
      </w:r>
      <w:r w:rsidR="007D4AFF" w:rsidRPr="00124E7F">
        <w:rPr>
          <w:vertAlign w:val="superscript"/>
        </w:rPr>
        <w:footnoteReference w:id="122"/>
      </w:r>
      <w:r w:rsidR="007D4AFF" w:rsidRPr="00124E7F">
        <w:rPr>
          <w:vertAlign w:val="superscript"/>
        </w:rPr>
        <w:t xml:space="preserve"> </w:t>
      </w:r>
      <w:r w:rsidR="007D4AFF" w:rsidRPr="00124E7F">
        <w:t>This is consistent with evidence presented to a UK review on DTM in 2014.</w:t>
      </w:r>
      <w:r w:rsidR="007D4AFF" w:rsidRPr="00124E7F">
        <w:rPr>
          <w:vertAlign w:val="superscript"/>
        </w:rPr>
        <w:footnoteReference w:id="123"/>
      </w:r>
      <w:r w:rsidR="007D4AFF" w:rsidRPr="00124E7F">
        <w:rPr>
          <w:vertAlign w:val="superscript"/>
        </w:rPr>
        <w:t xml:space="preserve"> </w:t>
      </w:r>
      <w:r w:rsidR="007D4AFF" w:rsidRPr="00124E7F">
        <w:t>An earlier study</w:t>
      </w:r>
      <w:r w:rsidR="007D4AFF" w:rsidRPr="00124E7F">
        <w:rPr>
          <w:vertAlign w:val="superscript"/>
        </w:rPr>
        <w:t xml:space="preserve"> </w:t>
      </w:r>
      <w:r w:rsidR="007D4AFF" w:rsidRPr="00124E7F">
        <w:t>by Smit and van der Graff (2011), reported that while 77 per cent of surveyed publishers received DTM requests, 38 per cent of them received less than five requests per year, and only 21 per cent reported having more than 10 requests per year.</w:t>
      </w:r>
      <w:r w:rsidR="007D4AFF" w:rsidRPr="00124E7F">
        <w:rPr>
          <w:vertAlign w:val="superscript"/>
        </w:rPr>
        <w:footnoteReference w:id="124"/>
      </w:r>
      <w:r w:rsidR="007D4AFF" w:rsidRPr="00124E7F">
        <w:rPr>
          <w:vertAlign w:val="superscript"/>
        </w:rPr>
        <w:t xml:space="preserve"> </w:t>
      </w:r>
    </w:p>
    <w:p w14:paraId="0E232560" w14:textId="77777777" w:rsidR="0055463E" w:rsidRPr="00124E7F" w:rsidRDefault="0055463E" w:rsidP="00374194">
      <w:pPr>
        <w:pStyle w:val="EYBodytextwithparaspace"/>
      </w:pPr>
      <w:r w:rsidRPr="00124E7F">
        <w:t>However, the fact that publishers are reporting a low incidence of requests does not necessarily mean that demand for DTM in Australia is low overall. Researchers may be undertaking DTM without permission or refraining from engaging in the activity due to high transaction costs. This would lead to low requests despite high</w:t>
      </w:r>
      <w:r w:rsidR="00061115" w:rsidRPr="00124E7F">
        <w:t>er</w:t>
      </w:r>
      <w:r w:rsidRPr="00124E7F">
        <w:t xml:space="preserve"> demand. Indeed, data assembled by Tsai from the Social Science Citation Index (SSCI) covering almost 6,000 academic journals over two decades, shows rapid growth in the number of DTM related publications and citation counts (</w:t>
      </w:r>
      <w:r w:rsidR="0051136D" w:rsidRPr="00124E7F">
        <w:fldChar w:fldCharType="begin"/>
      </w:r>
      <w:r w:rsidR="0051136D" w:rsidRPr="00124E7F">
        <w:instrText xml:space="preserve"> REF _Ref467510612 \h </w:instrText>
      </w:r>
      <w:r w:rsidR="007A4534" w:rsidRPr="00124E7F">
        <w:instrText xml:space="preserve"> \* MERGEFORMAT </w:instrText>
      </w:r>
      <w:r w:rsidR="0051136D" w:rsidRPr="00124E7F">
        <w:fldChar w:fldCharType="separate"/>
      </w:r>
      <w:r w:rsidR="0075700D" w:rsidRPr="00124E7F">
        <w:t xml:space="preserve">Figure </w:t>
      </w:r>
      <w:r w:rsidR="0075700D">
        <w:rPr>
          <w:noProof/>
        </w:rPr>
        <w:t>5</w:t>
      </w:r>
      <w:r w:rsidR="0051136D" w:rsidRPr="00124E7F">
        <w:fldChar w:fldCharType="end"/>
      </w:r>
      <w:r w:rsidRPr="00124E7F">
        <w:t>)</w:t>
      </w:r>
      <w:r w:rsidR="007D4AFF" w:rsidRPr="00124E7F">
        <w:t>.</w:t>
      </w:r>
      <w:r w:rsidRPr="00124E7F">
        <w:rPr>
          <w:vertAlign w:val="superscript"/>
        </w:rPr>
        <w:footnoteReference w:id="125"/>
      </w:r>
      <w:r w:rsidRPr="00124E7F">
        <w:t xml:space="preserve"> This aligns with the results of a more recent study undertaken by the EU Commission using Google Scholar search results.</w:t>
      </w:r>
      <w:r w:rsidRPr="00124E7F">
        <w:rPr>
          <w:vertAlign w:val="superscript"/>
        </w:rPr>
        <w:footnoteReference w:id="126"/>
      </w:r>
    </w:p>
    <w:p w14:paraId="755D925D" w14:textId="77777777" w:rsidR="0051136D" w:rsidRPr="00124E7F" w:rsidRDefault="0051136D">
      <w:pPr>
        <w:widowControl/>
        <w:autoSpaceDE/>
        <w:autoSpaceDN/>
        <w:adjustRightInd/>
        <w:spacing w:line="240" w:lineRule="auto"/>
        <w:rPr>
          <w:b/>
          <w:bCs/>
          <w:sz w:val="24"/>
          <w:szCs w:val="18"/>
        </w:rPr>
      </w:pPr>
      <w:bookmarkStart w:id="126" w:name="_Ref446261601"/>
      <w:r w:rsidRPr="00124E7F">
        <w:br w:type="page"/>
      </w:r>
    </w:p>
    <w:p w14:paraId="21C4E65C" w14:textId="77777777" w:rsidR="0055463E" w:rsidRPr="00124E7F" w:rsidRDefault="0055463E" w:rsidP="0055463E">
      <w:pPr>
        <w:pStyle w:val="Caption"/>
        <w:keepNext/>
      </w:pPr>
      <w:bookmarkStart w:id="127" w:name="_Ref467510612"/>
      <w:r w:rsidRPr="00124E7F">
        <w:t xml:space="preserve">Figure </w:t>
      </w:r>
      <w:r w:rsidRPr="00124E7F">
        <w:fldChar w:fldCharType="begin"/>
      </w:r>
      <w:r w:rsidRPr="00124E7F">
        <w:instrText xml:space="preserve"> SEQ Figure \* ARABIC </w:instrText>
      </w:r>
      <w:r w:rsidRPr="00124E7F">
        <w:fldChar w:fldCharType="separate"/>
      </w:r>
      <w:r w:rsidR="0075700D">
        <w:rPr>
          <w:noProof/>
        </w:rPr>
        <w:t>5</w:t>
      </w:r>
      <w:r w:rsidRPr="00124E7F">
        <w:fldChar w:fldCharType="end"/>
      </w:r>
      <w:bookmarkEnd w:id="126"/>
      <w:bookmarkEnd w:id="127"/>
      <w:r w:rsidR="00D26F77" w:rsidRPr="00124E7F">
        <w:t>:</w:t>
      </w:r>
      <w:r w:rsidRPr="00124E7F">
        <w:t xml:space="preserve"> DTM related publications and citation counts – 1989 to 2009</w:t>
      </w:r>
    </w:p>
    <w:p w14:paraId="19C6128B" w14:textId="77777777" w:rsidR="0055463E" w:rsidRPr="00124E7F" w:rsidRDefault="0055463E" w:rsidP="0055463E">
      <w:pPr>
        <w:pStyle w:val="AA-Normal"/>
        <w:spacing w:before="120" w:after="0" w:line="276" w:lineRule="auto"/>
      </w:pPr>
      <w:r w:rsidRPr="00124E7F">
        <w:rPr>
          <w:noProof/>
          <w:lang w:eastAsia="zh-TW" w:bidi="hi-IN"/>
        </w:rPr>
        <w:drawing>
          <wp:inline distT="0" distB="0" distL="0" distR="0" wp14:anchorId="54C05204" wp14:editId="7117508C">
            <wp:extent cx="5403273" cy="2798664"/>
            <wp:effectExtent l="0" t="0" r="6985" b="1905"/>
            <wp:docPr id="9" name="Picture 9" descr="The diagram presents the number of data and text mining (DTM) related publications and citation counts from 1989 to 2009. &#10;&#10;The diagram shows a steady increase in both DTM citations and publications from 1989 to 2009. This is with the exception of 1998 to 1999 and 2002 to 2003, when there is a slight dop in publications. &#10;&#10;DTM citations start at around zero in 1989 and peak at 2,000 in 2009. DTM publications start at around zero in 1989 and peak at around 200 in 2009. &#10;&#10;The diagram has been sourced from Tsai (2012)." title="Figure 5: DTM related publications and citation counts – 1989 to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412280" cy="2803329"/>
                    </a:xfrm>
                    <a:prstGeom prst="rect">
                      <a:avLst/>
                    </a:prstGeom>
                  </pic:spPr>
                </pic:pic>
              </a:graphicData>
            </a:graphic>
          </wp:inline>
        </w:drawing>
      </w:r>
    </w:p>
    <w:p w14:paraId="5EC21E09" w14:textId="77777777" w:rsidR="0055463E" w:rsidRPr="00124E7F" w:rsidRDefault="0055463E" w:rsidP="00202E68">
      <w:pPr>
        <w:pStyle w:val="EYSource"/>
        <w:spacing w:after="240"/>
        <w:rPr>
          <w:sz w:val="20"/>
          <w:szCs w:val="20"/>
        </w:rPr>
      </w:pPr>
      <w:r w:rsidRPr="00124E7F">
        <w:rPr>
          <w:sz w:val="20"/>
          <w:szCs w:val="20"/>
        </w:rPr>
        <w:t>Source: Tsai (2012), p.8174</w:t>
      </w:r>
    </w:p>
    <w:p w14:paraId="238916C7" w14:textId="77777777" w:rsidR="0055463E" w:rsidRPr="00124E7F" w:rsidRDefault="0055463E" w:rsidP="005E5ED5">
      <w:pPr>
        <w:pStyle w:val="EYBodytextwithparaspace"/>
      </w:pPr>
      <w:r w:rsidRPr="00124E7F">
        <w:t>Tsai also provides data on the share of DTM-related, academic publications in various countries (</w:t>
      </w:r>
      <w:r w:rsidR="003C0B69" w:rsidRPr="00124E7F">
        <w:fldChar w:fldCharType="begin"/>
      </w:r>
      <w:r w:rsidR="003C0B69" w:rsidRPr="00124E7F">
        <w:instrText xml:space="preserve"> REF _Ref446264408 \h </w:instrText>
      </w:r>
      <w:r w:rsidR="003C0B69" w:rsidRPr="00124E7F">
        <w:fldChar w:fldCharType="separate"/>
      </w:r>
      <w:r w:rsidR="0075700D" w:rsidRPr="00124E7F">
        <w:t xml:space="preserve">Table </w:t>
      </w:r>
      <w:r w:rsidR="0075700D">
        <w:rPr>
          <w:noProof/>
        </w:rPr>
        <w:t>8</w:t>
      </w:r>
      <w:r w:rsidR="003C0B69" w:rsidRPr="00124E7F">
        <w:fldChar w:fldCharType="end"/>
      </w:r>
      <w:r w:rsidRPr="00124E7F">
        <w:t xml:space="preserve">). </w:t>
      </w:r>
      <w:r w:rsidR="001F6AF8" w:rsidRPr="00124E7F">
        <w:t xml:space="preserve">Ranked sixth overall, the data </w:t>
      </w:r>
      <w:r w:rsidRPr="00124E7F">
        <w:t xml:space="preserve">suggests that Australia accounts for a relatively large share of DTM publications and citations, especially on a per capita </w:t>
      </w:r>
      <w:r w:rsidR="00AB60CE" w:rsidRPr="00124E7F">
        <w:t>basis.</w:t>
      </w:r>
    </w:p>
    <w:p w14:paraId="5D3B8E1B" w14:textId="77777777" w:rsidR="003C0B69" w:rsidRPr="00124E7F" w:rsidRDefault="003C0B69" w:rsidP="00C46978">
      <w:pPr>
        <w:pStyle w:val="Caption"/>
        <w:numPr>
          <w:ilvl w:val="0"/>
          <w:numId w:val="5"/>
        </w:numPr>
      </w:pPr>
      <w:bookmarkStart w:id="128" w:name="_Ref446264408"/>
      <w:r w:rsidRPr="00124E7F">
        <w:t xml:space="preserve">Table </w:t>
      </w:r>
      <w:r w:rsidRPr="00124E7F">
        <w:fldChar w:fldCharType="begin"/>
      </w:r>
      <w:r w:rsidRPr="00124E7F">
        <w:instrText xml:space="preserve"> SEQ Table \* ARABIC </w:instrText>
      </w:r>
      <w:r w:rsidRPr="00124E7F">
        <w:fldChar w:fldCharType="separate"/>
      </w:r>
      <w:r w:rsidR="0075700D">
        <w:rPr>
          <w:noProof/>
        </w:rPr>
        <w:t>8</w:t>
      </w:r>
      <w:r w:rsidRPr="00124E7F">
        <w:fldChar w:fldCharType="end"/>
      </w:r>
      <w:bookmarkEnd w:id="128"/>
      <w:r w:rsidRPr="00124E7F">
        <w:t>: Country share of publications with title header “data mining” and citation counts, 1989 to 2009</w:t>
      </w:r>
    </w:p>
    <w:tbl>
      <w:tblPr>
        <w:tblW w:w="5000" w:type="pct"/>
        <w:tblBorders>
          <w:insideH w:val="single" w:sz="4" w:space="0" w:color="808080" w:themeColor="background1" w:themeShade="80"/>
        </w:tblBorders>
        <w:tblLayout w:type="fixed"/>
        <w:tblLook w:val="04A0" w:firstRow="1" w:lastRow="0" w:firstColumn="1" w:lastColumn="0" w:noHBand="0" w:noVBand="1"/>
        <w:tblCaption w:val="Country share of publications with title header “data mining” and citation counts, 1989 to 2009"/>
        <w:tblDescription w:val="The table provides data sourced from Tsai (2012) on the top 10 countries with respect to the share of publications with the title header &quot;data mining&quot; and citation counts for the period 1989 to 2009 as follows:&#10;&#10;US: Rank (1), Number of publications (551), Percentage share of publications (47%), Citations (4781), Citations per publication (9)&#10;&#10;Great Britain: Rank (2), Number of publications (131), Percentage share of publications (11%), Citations (1159), Citations per publication (9)&#10;&#10;Taiwan: Rank (3), Number of publications (104), Percentage share of publications (9%), Citations (436), Citations per publication (4)&#10;&#10;Canada: Rank (4), Number of publications (67), Percentage share of publications (6%), Citations (547), Citations per publication (8)&#10;&#10;China: Rank (5), Number of publications (54), Percentage share of publications (5%), Citations (187), Citations per publication (3)&#10;&#10;Australia: Rank (6), Number of publications (47), Percentage share of publications (4%), Citations (350), Citations per publication (7)&#10;&#10;Germany: Rank (7), Number of publications (32), Percentage share of publications (3%), Citations (177), Citations per publication (6)&#10;&#10;South Korea: Rank (8), Number of publications (32), Percentage share of publications (3%), Citations (232), Citations per publication (7)&#10;&#10;Spain: Rank (9), Number of publications (27), Percentage share of publications (2%), Citations (79), Citations per publication (3)&#10;&#10;Netherlands: Rank (10), Number of publications (21), Percentage share of publications (2%), Citations (135), Citations per publication (6)&#10;"/>
      </w:tblPr>
      <w:tblGrid>
        <w:gridCol w:w="1631"/>
        <w:gridCol w:w="1661"/>
        <w:gridCol w:w="1522"/>
        <w:gridCol w:w="1510"/>
        <w:gridCol w:w="1260"/>
        <w:gridCol w:w="1445"/>
      </w:tblGrid>
      <w:tr w:rsidR="004213AE" w:rsidRPr="00124E7F" w14:paraId="436EFF08" w14:textId="77777777" w:rsidTr="00285F86">
        <w:trPr>
          <w:trHeight w:val="300"/>
          <w:tblHeader/>
        </w:trPr>
        <w:tc>
          <w:tcPr>
            <w:tcW w:w="903" w:type="pct"/>
            <w:shd w:val="clear" w:color="auto" w:fill="F0F0F0" w:themeFill="accent4"/>
            <w:noWrap/>
            <w:vAlign w:val="center"/>
            <w:hideMark/>
          </w:tcPr>
          <w:p w14:paraId="50C79C64" w14:textId="77777777" w:rsidR="003C0B69" w:rsidRPr="00124E7F" w:rsidRDefault="003C0B69" w:rsidP="003C0B69">
            <w:pPr>
              <w:keepNext/>
              <w:keepLines/>
              <w:widowControl/>
              <w:autoSpaceDE/>
              <w:autoSpaceDN/>
              <w:adjustRightInd/>
              <w:spacing w:line="240" w:lineRule="auto"/>
              <w:jc w:val="center"/>
              <w:rPr>
                <w:rFonts w:cs="Calibri"/>
                <w:b/>
                <w:bCs/>
                <w:szCs w:val="22"/>
                <w:lang w:eastAsia="en-AU"/>
              </w:rPr>
            </w:pPr>
            <w:r w:rsidRPr="00124E7F">
              <w:rPr>
                <w:rFonts w:cs="Calibri"/>
                <w:b/>
                <w:bCs/>
                <w:szCs w:val="22"/>
                <w:lang w:eastAsia="en-AU"/>
              </w:rPr>
              <w:t>Rank (in publications)</w:t>
            </w:r>
          </w:p>
        </w:tc>
        <w:tc>
          <w:tcPr>
            <w:tcW w:w="920" w:type="pct"/>
            <w:shd w:val="clear" w:color="auto" w:fill="F0F0F0" w:themeFill="accent4"/>
            <w:noWrap/>
            <w:vAlign w:val="center"/>
            <w:hideMark/>
          </w:tcPr>
          <w:p w14:paraId="14C78877" w14:textId="77777777" w:rsidR="003C0B69" w:rsidRPr="00124E7F" w:rsidRDefault="003C0B69" w:rsidP="00584340">
            <w:pPr>
              <w:keepNext/>
              <w:keepLines/>
              <w:widowControl/>
              <w:autoSpaceDE/>
              <w:autoSpaceDN/>
              <w:adjustRightInd/>
              <w:spacing w:line="240" w:lineRule="auto"/>
              <w:jc w:val="center"/>
              <w:rPr>
                <w:rFonts w:cs="Calibri"/>
                <w:b/>
                <w:bCs/>
                <w:szCs w:val="22"/>
                <w:lang w:eastAsia="en-AU"/>
              </w:rPr>
            </w:pPr>
            <w:r w:rsidRPr="00124E7F">
              <w:rPr>
                <w:rFonts w:cs="Calibri"/>
                <w:b/>
                <w:bCs/>
                <w:szCs w:val="22"/>
                <w:lang w:eastAsia="en-AU"/>
              </w:rPr>
              <w:t>Country</w:t>
            </w:r>
          </w:p>
        </w:tc>
        <w:tc>
          <w:tcPr>
            <w:tcW w:w="843" w:type="pct"/>
            <w:shd w:val="clear" w:color="auto" w:fill="F0F0F0" w:themeFill="accent4"/>
            <w:noWrap/>
            <w:vAlign w:val="center"/>
            <w:hideMark/>
          </w:tcPr>
          <w:p w14:paraId="45CAF26E" w14:textId="77777777" w:rsidR="003C0B69" w:rsidRPr="00124E7F" w:rsidRDefault="003C0B69" w:rsidP="00584340">
            <w:pPr>
              <w:keepNext/>
              <w:keepLines/>
              <w:widowControl/>
              <w:autoSpaceDE/>
              <w:autoSpaceDN/>
              <w:adjustRightInd/>
              <w:spacing w:line="240" w:lineRule="auto"/>
              <w:jc w:val="center"/>
              <w:rPr>
                <w:rFonts w:cs="Calibri"/>
                <w:b/>
                <w:bCs/>
                <w:szCs w:val="22"/>
                <w:lang w:eastAsia="en-AU"/>
              </w:rPr>
            </w:pPr>
            <w:r w:rsidRPr="00124E7F">
              <w:rPr>
                <w:rFonts w:cs="Calibri"/>
                <w:b/>
                <w:bCs/>
                <w:szCs w:val="22"/>
                <w:lang w:eastAsia="en-AU"/>
              </w:rPr>
              <w:t>Number of publications</w:t>
            </w:r>
          </w:p>
        </w:tc>
        <w:tc>
          <w:tcPr>
            <w:tcW w:w="836" w:type="pct"/>
            <w:shd w:val="clear" w:color="auto" w:fill="F0F0F0" w:themeFill="accent4"/>
            <w:noWrap/>
            <w:vAlign w:val="center"/>
            <w:hideMark/>
          </w:tcPr>
          <w:p w14:paraId="15C33E74" w14:textId="77777777" w:rsidR="003C0B69" w:rsidRPr="00124E7F" w:rsidRDefault="003C0B69" w:rsidP="00584340">
            <w:pPr>
              <w:keepNext/>
              <w:keepLines/>
              <w:widowControl/>
              <w:autoSpaceDE/>
              <w:autoSpaceDN/>
              <w:adjustRightInd/>
              <w:spacing w:line="240" w:lineRule="auto"/>
              <w:jc w:val="center"/>
              <w:rPr>
                <w:rFonts w:cs="Calibri"/>
                <w:b/>
                <w:bCs/>
                <w:szCs w:val="22"/>
                <w:lang w:eastAsia="en-AU"/>
              </w:rPr>
            </w:pPr>
            <w:r w:rsidRPr="00124E7F">
              <w:rPr>
                <w:rFonts w:cs="Calibri"/>
                <w:b/>
                <w:bCs/>
                <w:szCs w:val="22"/>
                <w:lang w:eastAsia="en-AU"/>
              </w:rPr>
              <w:t>% Share of publications</w:t>
            </w:r>
          </w:p>
        </w:tc>
        <w:tc>
          <w:tcPr>
            <w:tcW w:w="698" w:type="pct"/>
            <w:shd w:val="clear" w:color="auto" w:fill="F0F0F0" w:themeFill="accent4"/>
            <w:noWrap/>
            <w:vAlign w:val="center"/>
            <w:hideMark/>
          </w:tcPr>
          <w:p w14:paraId="7E3FAF78" w14:textId="77777777" w:rsidR="003C0B69" w:rsidRPr="00124E7F" w:rsidRDefault="003C0B69" w:rsidP="004C1C4B">
            <w:pPr>
              <w:keepNext/>
              <w:keepLines/>
              <w:widowControl/>
              <w:autoSpaceDE/>
              <w:autoSpaceDN/>
              <w:adjustRightInd/>
              <w:spacing w:line="240" w:lineRule="auto"/>
              <w:jc w:val="right"/>
              <w:rPr>
                <w:rFonts w:cs="Calibri"/>
                <w:b/>
                <w:bCs/>
                <w:szCs w:val="22"/>
                <w:lang w:eastAsia="en-AU"/>
              </w:rPr>
            </w:pPr>
            <w:r w:rsidRPr="00124E7F">
              <w:rPr>
                <w:rFonts w:cs="Calibri"/>
                <w:b/>
                <w:bCs/>
                <w:szCs w:val="22"/>
                <w:lang w:eastAsia="en-AU"/>
              </w:rPr>
              <w:t>Citations</w:t>
            </w:r>
          </w:p>
        </w:tc>
        <w:tc>
          <w:tcPr>
            <w:tcW w:w="801" w:type="pct"/>
            <w:shd w:val="clear" w:color="auto" w:fill="F0F0F0" w:themeFill="accent4"/>
            <w:noWrap/>
            <w:vAlign w:val="center"/>
            <w:hideMark/>
          </w:tcPr>
          <w:p w14:paraId="6C3B8BCC" w14:textId="77777777" w:rsidR="003C0B69" w:rsidRPr="00124E7F" w:rsidRDefault="003C0B69" w:rsidP="00584340">
            <w:pPr>
              <w:keepNext/>
              <w:keepLines/>
              <w:widowControl/>
              <w:autoSpaceDE/>
              <w:autoSpaceDN/>
              <w:adjustRightInd/>
              <w:spacing w:line="240" w:lineRule="auto"/>
              <w:jc w:val="center"/>
              <w:rPr>
                <w:rFonts w:cs="Calibri"/>
                <w:b/>
                <w:bCs/>
                <w:szCs w:val="22"/>
                <w:lang w:eastAsia="en-AU"/>
              </w:rPr>
            </w:pPr>
            <w:r w:rsidRPr="00124E7F">
              <w:rPr>
                <w:rFonts w:cs="Calibri"/>
                <w:b/>
                <w:bCs/>
                <w:szCs w:val="22"/>
                <w:lang w:eastAsia="en-AU"/>
              </w:rPr>
              <w:t>Citations per publication</w:t>
            </w:r>
          </w:p>
        </w:tc>
      </w:tr>
      <w:tr w:rsidR="004213AE" w:rsidRPr="00124E7F" w14:paraId="1088380A" w14:textId="77777777" w:rsidTr="005F191D">
        <w:trPr>
          <w:trHeight w:val="300"/>
        </w:trPr>
        <w:tc>
          <w:tcPr>
            <w:tcW w:w="903" w:type="pct"/>
            <w:shd w:val="clear" w:color="auto" w:fill="auto"/>
            <w:noWrap/>
            <w:vAlign w:val="bottom"/>
            <w:hideMark/>
          </w:tcPr>
          <w:p w14:paraId="143A9B5E" w14:textId="77777777" w:rsidR="003C0B69" w:rsidRPr="00124E7F" w:rsidRDefault="003C0B69" w:rsidP="00584340">
            <w:pPr>
              <w:keepNext/>
              <w:keepLines/>
              <w:widowControl/>
              <w:autoSpaceDE/>
              <w:autoSpaceDN/>
              <w:adjustRightInd/>
              <w:spacing w:line="240" w:lineRule="auto"/>
              <w:jc w:val="center"/>
              <w:rPr>
                <w:rFonts w:cs="Calibri"/>
                <w:szCs w:val="22"/>
                <w:lang w:eastAsia="en-AU"/>
              </w:rPr>
            </w:pPr>
            <w:r w:rsidRPr="00124E7F">
              <w:rPr>
                <w:rFonts w:cs="Calibri"/>
                <w:szCs w:val="22"/>
                <w:lang w:eastAsia="en-AU"/>
              </w:rPr>
              <w:t>1</w:t>
            </w:r>
          </w:p>
        </w:tc>
        <w:tc>
          <w:tcPr>
            <w:tcW w:w="920" w:type="pct"/>
            <w:shd w:val="clear" w:color="auto" w:fill="auto"/>
            <w:noWrap/>
            <w:vAlign w:val="bottom"/>
            <w:hideMark/>
          </w:tcPr>
          <w:p w14:paraId="2767273D" w14:textId="77777777" w:rsidR="003C0B69" w:rsidRPr="00124E7F" w:rsidRDefault="003C0B69" w:rsidP="00584340">
            <w:pPr>
              <w:keepNext/>
              <w:keepLines/>
              <w:widowControl/>
              <w:autoSpaceDE/>
              <w:autoSpaceDN/>
              <w:adjustRightInd/>
              <w:spacing w:line="240" w:lineRule="auto"/>
              <w:rPr>
                <w:rFonts w:cs="Calibri"/>
                <w:szCs w:val="22"/>
                <w:lang w:eastAsia="en-AU"/>
              </w:rPr>
            </w:pPr>
            <w:r w:rsidRPr="00124E7F">
              <w:rPr>
                <w:rFonts w:cs="Calibri"/>
                <w:szCs w:val="22"/>
                <w:lang w:eastAsia="en-AU"/>
              </w:rPr>
              <w:t>US</w:t>
            </w:r>
          </w:p>
        </w:tc>
        <w:tc>
          <w:tcPr>
            <w:tcW w:w="843" w:type="pct"/>
            <w:shd w:val="clear" w:color="auto" w:fill="auto"/>
            <w:noWrap/>
            <w:vAlign w:val="bottom"/>
            <w:hideMark/>
          </w:tcPr>
          <w:p w14:paraId="3B590A94" w14:textId="77777777" w:rsidR="003C0B69" w:rsidRPr="00124E7F" w:rsidRDefault="003C0B69" w:rsidP="00584340">
            <w:pPr>
              <w:keepNext/>
              <w:keepLines/>
              <w:widowControl/>
              <w:autoSpaceDE/>
              <w:autoSpaceDN/>
              <w:adjustRightInd/>
              <w:spacing w:line="240" w:lineRule="auto"/>
              <w:jc w:val="right"/>
              <w:rPr>
                <w:rFonts w:cs="Calibri"/>
                <w:szCs w:val="22"/>
                <w:lang w:eastAsia="en-AU"/>
              </w:rPr>
            </w:pPr>
            <w:r w:rsidRPr="00124E7F">
              <w:rPr>
                <w:rFonts w:cs="Calibri"/>
                <w:szCs w:val="22"/>
                <w:lang w:eastAsia="en-AU"/>
              </w:rPr>
              <w:t>551</w:t>
            </w:r>
          </w:p>
        </w:tc>
        <w:tc>
          <w:tcPr>
            <w:tcW w:w="836" w:type="pct"/>
            <w:shd w:val="clear" w:color="auto" w:fill="auto"/>
            <w:noWrap/>
            <w:vAlign w:val="bottom"/>
            <w:hideMark/>
          </w:tcPr>
          <w:p w14:paraId="61F7AB2D" w14:textId="77777777" w:rsidR="003C0B69" w:rsidRPr="00124E7F" w:rsidRDefault="003C0B69" w:rsidP="00584340">
            <w:pPr>
              <w:keepNext/>
              <w:keepLines/>
              <w:widowControl/>
              <w:autoSpaceDE/>
              <w:autoSpaceDN/>
              <w:adjustRightInd/>
              <w:spacing w:line="240" w:lineRule="auto"/>
              <w:jc w:val="right"/>
              <w:rPr>
                <w:rFonts w:cs="Calibri"/>
                <w:szCs w:val="22"/>
                <w:lang w:eastAsia="en-AU"/>
              </w:rPr>
            </w:pPr>
            <w:r w:rsidRPr="00124E7F">
              <w:rPr>
                <w:rFonts w:cs="Calibri"/>
                <w:szCs w:val="22"/>
                <w:lang w:eastAsia="en-AU"/>
              </w:rPr>
              <w:t>47</w:t>
            </w:r>
          </w:p>
        </w:tc>
        <w:tc>
          <w:tcPr>
            <w:tcW w:w="698" w:type="pct"/>
            <w:shd w:val="clear" w:color="auto" w:fill="auto"/>
            <w:noWrap/>
            <w:vAlign w:val="bottom"/>
            <w:hideMark/>
          </w:tcPr>
          <w:p w14:paraId="756ECE43" w14:textId="77777777" w:rsidR="003C0B69" w:rsidRPr="00124E7F" w:rsidRDefault="003C0B69" w:rsidP="00584340">
            <w:pPr>
              <w:keepNext/>
              <w:keepLines/>
              <w:widowControl/>
              <w:autoSpaceDE/>
              <w:autoSpaceDN/>
              <w:adjustRightInd/>
              <w:spacing w:line="240" w:lineRule="auto"/>
              <w:jc w:val="right"/>
              <w:rPr>
                <w:rFonts w:cs="Calibri"/>
                <w:szCs w:val="22"/>
                <w:lang w:eastAsia="en-AU"/>
              </w:rPr>
            </w:pPr>
            <w:r w:rsidRPr="00124E7F">
              <w:rPr>
                <w:rFonts w:cs="Calibri"/>
                <w:szCs w:val="22"/>
                <w:lang w:eastAsia="en-AU"/>
              </w:rPr>
              <w:t>4781</w:t>
            </w:r>
          </w:p>
        </w:tc>
        <w:tc>
          <w:tcPr>
            <w:tcW w:w="801" w:type="pct"/>
            <w:shd w:val="clear" w:color="auto" w:fill="auto"/>
            <w:noWrap/>
            <w:vAlign w:val="bottom"/>
            <w:hideMark/>
          </w:tcPr>
          <w:p w14:paraId="36EBD647" w14:textId="77777777" w:rsidR="003C0B69" w:rsidRPr="00124E7F" w:rsidRDefault="003C0B69" w:rsidP="00584340">
            <w:pPr>
              <w:keepNext/>
              <w:keepLines/>
              <w:widowControl/>
              <w:autoSpaceDE/>
              <w:autoSpaceDN/>
              <w:adjustRightInd/>
              <w:spacing w:line="240" w:lineRule="auto"/>
              <w:jc w:val="right"/>
              <w:rPr>
                <w:rFonts w:cs="Calibri"/>
                <w:szCs w:val="22"/>
                <w:lang w:eastAsia="en-AU"/>
              </w:rPr>
            </w:pPr>
            <w:r w:rsidRPr="00124E7F">
              <w:rPr>
                <w:rFonts w:cs="Calibri"/>
                <w:szCs w:val="22"/>
                <w:lang w:eastAsia="en-AU"/>
              </w:rPr>
              <w:t>9</w:t>
            </w:r>
          </w:p>
        </w:tc>
      </w:tr>
      <w:tr w:rsidR="004213AE" w:rsidRPr="00124E7F" w14:paraId="6F93A362" w14:textId="77777777" w:rsidTr="005F191D">
        <w:trPr>
          <w:trHeight w:val="300"/>
        </w:trPr>
        <w:tc>
          <w:tcPr>
            <w:tcW w:w="903" w:type="pct"/>
            <w:shd w:val="clear" w:color="auto" w:fill="auto"/>
            <w:noWrap/>
            <w:vAlign w:val="bottom"/>
            <w:hideMark/>
          </w:tcPr>
          <w:p w14:paraId="54DA8DBB" w14:textId="77777777" w:rsidR="003C0B69" w:rsidRPr="00124E7F" w:rsidRDefault="003C0B69" w:rsidP="00584340">
            <w:pPr>
              <w:keepNext/>
              <w:keepLines/>
              <w:widowControl/>
              <w:autoSpaceDE/>
              <w:autoSpaceDN/>
              <w:adjustRightInd/>
              <w:spacing w:line="240" w:lineRule="auto"/>
              <w:jc w:val="center"/>
              <w:rPr>
                <w:rFonts w:cs="Calibri"/>
                <w:szCs w:val="22"/>
                <w:lang w:eastAsia="en-AU"/>
              </w:rPr>
            </w:pPr>
            <w:r w:rsidRPr="00124E7F">
              <w:rPr>
                <w:rFonts w:cs="Calibri"/>
                <w:szCs w:val="22"/>
                <w:lang w:eastAsia="en-AU"/>
              </w:rPr>
              <w:t>2</w:t>
            </w:r>
          </w:p>
        </w:tc>
        <w:tc>
          <w:tcPr>
            <w:tcW w:w="920" w:type="pct"/>
            <w:shd w:val="clear" w:color="auto" w:fill="auto"/>
            <w:noWrap/>
            <w:vAlign w:val="bottom"/>
            <w:hideMark/>
          </w:tcPr>
          <w:p w14:paraId="5F7C1E51" w14:textId="77777777" w:rsidR="003C0B69" w:rsidRPr="00124E7F" w:rsidRDefault="003C0B69" w:rsidP="00584340">
            <w:pPr>
              <w:keepNext/>
              <w:keepLines/>
              <w:widowControl/>
              <w:autoSpaceDE/>
              <w:autoSpaceDN/>
              <w:adjustRightInd/>
              <w:spacing w:line="240" w:lineRule="auto"/>
              <w:rPr>
                <w:rFonts w:cs="Calibri"/>
                <w:szCs w:val="22"/>
                <w:lang w:eastAsia="en-AU"/>
              </w:rPr>
            </w:pPr>
            <w:r w:rsidRPr="00124E7F">
              <w:rPr>
                <w:rFonts w:cs="Calibri"/>
                <w:szCs w:val="22"/>
                <w:lang w:eastAsia="en-AU"/>
              </w:rPr>
              <w:t>Great Britain</w:t>
            </w:r>
          </w:p>
        </w:tc>
        <w:tc>
          <w:tcPr>
            <w:tcW w:w="843" w:type="pct"/>
            <w:shd w:val="clear" w:color="auto" w:fill="auto"/>
            <w:noWrap/>
            <w:vAlign w:val="bottom"/>
            <w:hideMark/>
          </w:tcPr>
          <w:p w14:paraId="37A3EC08" w14:textId="77777777" w:rsidR="003C0B69" w:rsidRPr="00124E7F" w:rsidRDefault="003C0B69" w:rsidP="00584340">
            <w:pPr>
              <w:keepNext/>
              <w:keepLines/>
              <w:widowControl/>
              <w:autoSpaceDE/>
              <w:autoSpaceDN/>
              <w:adjustRightInd/>
              <w:spacing w:line="240" w:lineRule="auto"/>
              <w:jc w:val="right"/>
              <w:rPr>
                <w:rFonts w:cs="Calibri"/>
                <w:szCs w:val="22"/>
                <w:lang w:eastAsia="en-AU"/>
              </w:rPr>
            </w:pPr>
            <w:r w:rsidRPr="00124E7F">
              <w:rPr>
                <w:rFonts w:cs="Calibri"/>
                <w:szCs w:val="22"/>
                <w:lang w:eastAsia="en-AU"/>
              </w:rPr>
              <w:t>131</w:t>
            </w:r>
          </w:p>
        </w:tc>
        <w:tc>
          <w:tcPr>
            <w:tcW w:w="836" w:type="pct"/>
            <w:shd w:val="clear" w:color="auto" w:fill="auto"/>
            <w:noWrap/>
            <w:vAlign w:val="bottom"/>
            <w:hideMark/>
          </w:tcPr>
          <w:p w14:paraId="26A2CA3F" w14:textId="77777777" w:rsidR="003C0B69" w:rsidRPr="00124E7F" w:rsidRDefault="003C0B69" w:rsidP="00584340">
            <w:pPr>
              <w:keepNext/>
              <w:keepLines/>
              <w:widowControl/>
              <w:autoSpaceDE/>
              <w:autoSpaceDN/>
              <w:adjustRightInd/>
              <w:spacing w:line="240" w:lineRule="auto"/>
              <w:jc w:val="right"/>
              <w:rPr>
                <w:rFonts w:cs="Calibri"/>
                <w:szCs w:val="22"/>
                <w:lang w:eastAsia="en-AU"/>
              </w:rPr>
            </w:pPr>
            <w:r w:rsidRPr="00124E7F">
              <w:rPr>
                <w:rFonts w:cs="Calibri"/>
                <w:szCs w:val="22"/>
                <w:lang w:eastAsia="en-AU"/>
              </w:rPr>
              <w:t>11</w:t>
            </w:r>
          </w:p>
        </w:tc>
        <w:tc>
          <w:tcPr>
            <w:tcW w:w="698" w:type="pct"/>
            <w:shd w:val="clear" w:color="auto" w:fill="auto"/>
            <w:noWrap/>
            <w:vAlign w:val="bottom"/>
            <w:hideMark/>
          </w:tcPr>
          <w:p w14:paraId="4E359679" w14:textId="77777777" w:rsidR="003C0B69" w:rsidRPr="00124E7F" w:rsidRDefault="003C0B69" w:rsidP="00584340">
            <w:pPr>
              <w:keepNext/>
              <w:keepLines/>
              <w:widowControl/>
              <w:autoSpaceDE/>
              <w:autoSpaceDN/>
              <w:adjustRightInd/>
              <w:spacing w:line="240" w:lineRule="auto"/>
              <w:jc w:val="right"/>
              <w:rPr>
                <w:rFonts w:cs="Calibri"/>
                <w:szCs w:val="22"/>
                <w:lang w:eastAsia="en-AU"/>
              </w:rPr>
            </w:pPr>
            <w:r w:rsidRPr="00124E7F">
              <w:rPr>
                <w:rFonts w:cs="Calibri"/>
                <w:szCs w:val="22"/>
                <w:lang w:eastAsia="en-AU"/>
              </w:rPr>
              <w:t>1159</w:t>
            </w:r>
          </w:p>
        </w:tc>
        <w:tc>
          <w:tcPr>
            <w:tcW w:w="801" w:type="pct"/>
            <w:shd w:val="clear" w:color="auto" w:fill="auto"/>
            <w:noWrap/>
            <w:vAlign w:val="bottom"/>
            <w:hideMark/>
          </w:tcPr>
          <w:p w14:paraId="78DA73A6" w14:textId="77777777" w:rsidR="003C0B69" w:rsidRPr="00124E7F" w:rsidRDefault="003C0B69" w:rsidP="00584340">
            <w:pPr>
              <w:keepNext/>
              <w:keepLines/>
              <w:widowControl/>
              <w:autoSpaceDE/>
              <w:autoSpaceDN/>
              <w:adjustRightInd/>
              <w:spacing w:line="240" w:lineRule="auto"/>
              <w:jc w:val="right"/>
              <w:rPr>
                <w:rFonts w:cs="Calibri"/>
                <w:szCs w:val="22"/>
                <w:lang w:eastAsia="en-AU"/>
              </w:rPr>
            </w:pPr>
            <w:r w:rsidRPr="00124E7F">
              <w:rPr>
                <w:rFonts w:cs="Calibri"/>
                <w:szCs w:val="22"/>
                <w:lang w:eastAsia="en-AU"/>
              </w:rPr>
              <w:t>9</w:t>
            </w:r>
          </w:p>
        </w:tc>
      </w:tr>
      <w:tr w:rsidR="004213AE" w:rsidRPr="00124E7F" w14:paraId="4CC63C35" w14:textId="77777777" w:rsidTr="005F191D">
        <w:trPr>
          <w:trHeight w:val="300"/>
        </w:trPr>
        <w:tc>
          <w:tcPr>
            <w:tcW w:w="903" w:type="pct"/>
            <w:shd w:val="clear" w:color="auto" w:fill="auto"/>
            <w:noWrap/>
            <w:vAlign w:val="bottom"/>
            <w:hideMark/>
          </w:tcPr>
          <w:p w14:paraId="0DEFDF04" w14:textId="77777777" w:rsidR="003C0B69" w:rsidRPr="00124E7F" w:rsidRDefault="003C0B69" w:rsidP="00584340">
            <w:pPr>
              <w:keepNext/>
              <w:keepLines/>
              <w:widowControl/>
              <w:autoSpaceDE/>
              <w:autoSpaceDN/>
              <w:adjustRightInd/>
              <w:spacing w:line="240" w:lineRule="auto"/>
              <w:jc w:val="center"/>
              <w:rPr>
                <w:rFonts w:cs="Calibri"/>
                <w:szCs w:val="22"/>
                <w:lang w:eastAsia="en-AU"/>
              </w:rPr>
            </w:pPr>
            <w:r w:rsidRPr="00124E7F">
              <w:rPr>
                <w:rFonts w:cs="Calibri"/>
                <w:szCs w:val="22"/>
                <w:lang w:eastAsia="en-AU"/>
              </w:rPr>
              <w:t>3</w:t>
            </w:r>
          </w:p>
        </w:tc>
        <w:tc>
          <w:tcPr>
            <w:tcW w:w="920" w:type="pct"/>
            <w:shd w:val="clear" w:color="auto" w:fill="auto"/>
            <w:noWrap/>
            <w:vAlign w:val="bottom"/>
            <w:hideMark/>
          </w:tcPr>
          <w:p w14:paraId="464B4C08" w14:textId="77777777" w:rsidR="003C0B69" w:rsidRPr="00124E7F" w:rsidRDefault="003C0B69" w:rsidP="00584340">
            <w:pPr>
              <w:keepNext/>
              <w:keepLines/>
              <w:widowControl/>
              <w:autoSpaceDE/>
              <w:autoSpaceDN/>
              <w:adjustRightInd/>
              <w:spacing w:line="240" w:lineRule="auto"/>
              <w:rPr>
                <w:rFonts w:cs="Calibri"/>
                <w:szCs w:val="22"/>
                <w:lang w:eastAsia="en-AU"/>
              </w:rPr>
            </w:pPr>
            <w:r w:rsidRPr="00124E7F">
              <w:rPr>
                <w:rFonts w:cs="Calibri"/>
                <w:szCs w:val="22"/>
                <w:lang w:eastAsia="en-AU"/>
              </w:rPr>
              <w:t>Taiwan</w:t>
            </w:r>
          </w:p>
        </w:tc>
        <w:tc>
          <w:tcPr>
            <w:tcW w:w="843" w:type="pct"/>
            <w:shd w:val="clear" w:color="auto" w:fill="auto"/>
            <w:noWrap/>
            <w:vAlign w:val="bottom"/>
            <w:hideMark/>
          </w:tcPr>
          <w:p w14:paraId="51B0B5DB" w14:textId="77777777" w:rsidR="003C0B69" w:rsidRPr="00124E7F" w:rsidRDefault="003C0B69" w:rsidP="00584340">
            <w:pPr>
              <w:keepNext/>
              <w:keepLines/>
              <w:widowControl/>
              <w:autoSpaceDE/>
              <w:autoSpaceDN/>
              <w:adjustRightInd/>
              <w:spacing w:line="240" w:lineRule="auto"/>
              <w:jc w:val="right"/>
              <w:rPr>
                <w:rFonts w:cs="Calibri"/>
                <w:szCs w:val="22"/>
                <w:lang w:eastAsia="en-AU"/>
              </w:rPr>
            </w:pPr>
            <w:r w:rsidRPr="00124E7F">
              <w:rPr>
                <w:rFonts w:cs="Calibri"/>
                <w:szCs w:val="22"/>
                <w:lang w:eastAsia="en-AU"/>
              </w:rPr>
              <w:t>104</w:t>
            </w:r>
          </w:p>
        </w:tc>
        <w:tc>
          <w:tcPr>
            <w:tcW w:w="836" w:type="pct"/>
            <w:shd w:val="clear" w:color="auto" w:fill="auto"/>
            <w:noWrap/>
            <w:vAlign w:val="bottom"/>
            <w:hideMark/>
          </w:tcPr>
          <w:p w14:paraId="033D826E" w14:textId="77777777" w:rsidR="003C0B69" w:rsidRPr="00124E7F" w:rsidRDefault="003C0B69" w:rsidP="00584340">
            <w:pPr>
              <w:keepNext/>
              <w:keepLines/>
              <w:widowControl/>
              <w:autoSpaceDE/>
              <w:autoSpaceDN/>
              <w:adjustRightInd/>
              <w:spacing w:line="240" w:lineRule="auto"/>
              <w:jc w:val="right"/>
              <w:rPr>
                <w:rFonts w:cs="Calibri"/>
                <w:szCs w:val="22"/>
                <w:lang w:eastAsia="en-AU"/>
              </w:rPr>
            </w:pPr>
            <w:r w:rsidRPr="00124E7F">
              <w:rPr>
                <w:rFonts w:cs="Calibri"/>
                <w:szCs w:val="22"/>
                <w:lang w:eastAsia="en-AU"/>
              </w:rPr>
              <w:t>9</w:t>
            </w:r>
          </w:p>
        </w:tc>
        <w:tc>
          <w:tcPr>
            <w:tcW w:w="698" w:type="pct"/>
            <w:shd w:val="clear" w:color="auto" w:fill="auto"/>
            <w:noWrap/>
            <w:vAlign w:val="bottom"/>
            <w:hideMark/>
          </w:tcPr>
          <w:p w14:paraId="69C170B4" w14:textId="77777777" w:rsidR="003C0B69" w:rsidRPr="00124E7F" w:rsidRDefault="003C0B69" w:rsidP="00584340">
            <w:pPr>
              <w:keepNext/>
              <w:keepLines/>
              <w:widowControl/>
              <w:autoSpaceDE/>
              <w:autoSpaceDN/>
              <w:adjustRightInd/>
              <w:spacing w:line="240" w:lineRule="auto"/>
              <w:jc w:val="right"/>
              <w:rPr>
                <w:rFonts w:cs="Calibri"/>
                <w:szCs w:val="22"/>
                <w:lang w:eastAsia="en-AU"/>
              </w:rPr>
            </w:pPr>
            <w:r w:rsidRPr="00124E7F">
              <w:rPr>
                <w:rFonts w:cs="Calibri"/>
                <w:szCs w:val="22"/>
                <w:lang w:eastAsia="en-AU"/>
              </w:rPr>
              <w:t>436</w:t>
            </w:r>
          </w:p>
        </w:tc>
        <w:tc>
          <w:tcPr>
            <w:tcW w:w="801" w:type="pct"/>
            <w:shd w:val="clear" w:color="auto" w:fill="auto"/>
            <w:noWrap/>
            <w:vAlign w:val="bottom"/>
            <w:hideMark/>
          </w:tcPr>
          <w:p w14:paraId="3D0D92D1" w14:textId="77777777" w:rsidR="003C0B69" w:rsidRPr="00124E7F" w:rsidRDefault="003C0B69" w:rsidP="00584340">
            <w:pPr>
              <w:keepNext/>
              <w:keepLines/>
              <w:widowControl/>
              <w:autoSpaceDE/>
              <w:autoSpaceDN/>
              <w:adjustRightInd/>
              <w:spacing w:line="240" w:lineRule="auto"/>
              <w:jc w:val="right"/>
              <w:rPr>
                <w:rFonts w:cs="Calibri"/>
                <w:szCs w:val="22"/>
                <w:lang w:eastAsia="en-AU"/>
              </w:rPr>
            </w:pPr>
            <w:r w:rsidRPr="00124E7F">
              <w:rPr>
                <w:rFonts w:cs="Calibri"/>
                <w:szCs w:val="22"/>
                <w:lang w:eastAsia="en-AU"/>
              </w:rPr>
              <w:t>4</w:t>
            </w:r>
          </w:p>
        </w:tc>
      </w:tr>
      <w:tr w:rsidR="004213AE" w:rsidRPr="00124E7F" w14:paraId="57FB5171" w14:textId="77777777" w:rsidTr="005F191D">
        <w:trPr>
          <w:trHeight w:val="300"/>
        </w:trPr>
        <w:tc>
          <w:tcPr>
            <w:tcW w:w="903" w:type="pct"/>
            <w:shd w:val="clear" w:color="auto" w:fill="auto"/>
            <w:noWrap/>
            <w:vAlign w:val="bottom"/>
            <w:hideMark/>
          </w:tcPr>
          <w:p w14:paraId="6C00A6C0" w14:textId="77777777" w:rsidR="003C0B69" w:rsidRPr="00124E7F" w:rsidRDefault="003C0B69" w:rsidP="00584340">
            <w:pPr>
              <w:keepNext/>
              <w:keepLines/>
              <w:widowControl/>
              <w:autoSpaceDE/>
              <w:autoSpaceDN/>
              <w:adjustRightInd/>
              <w:spacing w:line="240" w:lineRule="auto"/>
              <w:jc w:val="center"/>
              <w:rPr>
                <w:rFonts w:cs="Calibri"/>
                <w:szCs w:val="22"/>
                <w:lang w:eastAsia="en-AU"/>
              </w:rPr>
            </w:pPr>
            <w:r w:rsidRPr="00124E7F">
              <w:rPr>
                <w:rFonts w:cs="Calibri"/>
                <w:szCs w:val="22"/>
                <w:lang w:eastAsia="en-AU"/>
              </w:rPr>
              <w:t>4</w:t>
            </w:r>
          </w:p>
        </w:tc>
        <w:tc>
          <w:tcPr>
            <w:tcW w:w="920" w:type="pct"/>
            <w:shd w:val="clear" w:color="auto" w:fill="auto"/>
            <w:noWrap/>
            <w:vAlign w:val="bottom"/>
            <w:hideMark/>
          </w:tcPr>
          <w:p w14:paraId="700A0A5C" w14:textId="77777777" w:rsidR="003C0B69" w:rsidRPr="00124E7F" w:rsidRDefault="003C0B69" w:rsidP="00584340">
            <w:pPr>
              <w:keepNext/>
              <w:keepLines/>
              <w:widowControl/>
              <w:autoSpaceDE/>
              <w:autoSpaceDN/>
              <w:adjustRightInd/>
              <w:spacing w:line="240" w:lineRule="auto"/>
              <w:rPr>
                <w:rFonts w:cs="Calibri"/>
                <w:szCs w:val="22"/>
                <w:lang w:eastAsia="en-AU"/>
              </w:rPr>
            </w:pPr>
            <w:r w:rsidRPr="00124E7F">
              <w:rPr>
                <w:rFonts w:cs="Calibri"/>
                <w:szCs w:val="22"/>
                <w:lang w:eastAsia="en-AU"/>
              </w:rPr>
              <w:t>Canada</w:t>
            </w:r>
          </w:p>
        </w:tc>
        <w:tc>
          <w:tcPr>
            <w:tcW w:w="843" w:type="pct"/>
            <w:shd w:val="clear" w:color="auto" w:fill="auto"/>
            <w:noWrap/>
            <w:vAlign w:val="bottom"/>
            <w:hideMark/>
          </w:tcPr>
          <w:p w14:paraId="4C3C59F1" w14:textId="77777777" w:rsidR="003C0B69" w:rsidRPr="00124E7F" w:rsidRDefault="003C0B69" w:rsidP="00584340">
            <w:pPr>
              <w:keepNext/>
              <w:keepLines/>
              <w:widowControl/>
              <w:autoSpaceDE/>
              <w:autoSpaceDN/>
              <w:adjustRightInd/>
              <w:spacing w:line="240" w:lineRule="auto"/>
              <w:jc w:val="right"/>
              <w:rPr>
                <w:rFonts w:cs="Calibri"/>
                <w:szCs w:val="22"/>
                <w:lang w:eastAsia="en-AU"/>
              </w:rPr>
            </w:pPr>
            <w:r w:rsidRPr="00124E7F">
              <w:rPr>
                <w:rFonts w:cs="Calibri"/>
                <w:szCs w:val="22"/>
                <w:lang w:eastAsia="en-AU"/>
              </w:rPr>
              <w:t>67</w:t>
            </w:r>
          </w:p>
        </w:tc>
        <w:tc>
          <w:tcPr>
            <w:tcW w:w="836" w:type="pct"/>
            <w:shd w:val="clear" w:color="auto" w:fill="auto"/>
            <w:noWrap/>
            <w:vAlign w:val="bottom"/>
            <w:hideMark/>
          </w:tcPr>
          <w:p w14:paraId="42534965" w14:textId="77777777" w:rsidR="003C0B69" w:rsidRPr="00124E7F" w:rsidRDefault="003C0B69" w:rsidP="00584340">
            <w:pPr>
              <w:keepNext/>
              <w:keepLines/>
              <w:widowControl/>
              <w:autoSpaceDE/>
              <w:autoSpaceDN/>
              <w:adjustRightInd/>
              <w:spacing w:line="240" w:lineRule="auto"/>
              <w:jc w:val="right"/>
              <w:rPr>
                <w:rFonts w:cs="Calibri"/>
                <w:szCs w:val="22"/>
                <w:lang w:eastAsia="en-AU"/>
              </w:rPr>
            </w:pPr>
            <w:r w:rsidRPr="00124E7F">
              <w:rPr>
                <w:rFonts w:cs="Calibri"/>
                <w:szCs w:val="22"/>
                <w:lang w:eastAsia="en-AU"/>
              </w:rPr>
              <w:t>6</w:t>
            </w:r>
          </w:p>
        </w:tc>
        <w:tc>
          <w:tcPr>
            <w:tcW w:w="698" w:type="pct"/>
            <w:shd w:val="clear" w:color="auto" w:fill="auto"/>
            <w:noWrap/>
            <w:vAlign w:val="bottom"/>
            <w:hideMark/>
          </w:tcPr>
          <w:p w14:paraId="10336F2D" w14:textId="77777777" w:rsidR="003C0B69" w:rsidRPr="00124E7F" w:rsidRDefault="003C0B69" w:rsidP="00584340">
            <w:pPr>
              <w:keepNext/>
              <w:keepLines/>
              <w:widowControl/>
              <w:autoSpaceDE/>
              <w:autoSpaceDN/>
              <w:adjustRightInd/>
              <w:spacing w:line="240" w:lineRule="auto"/>
              <w:jc w:val="right"/>
              <w:rPr>
                <w:rFonts w:cs="Calibri"/>
                <w:szCs w:val="22"/>
                <w:lang w:eastAsia="en-AU"/>
              </w:rPr>
            </w:pPr>
            <w:r w:rsidRPr="00124E7F">
              <w:rPr>
                <w:rFonts w:cs="Calibri"/>
                <w:szCs w:val="22"/>
                <w:lang w:eastAsia="en-AU"/>
              </w:rPr>
              <w:t>547</w:t>
            </w:r>
          </w:p>
        </w:tc>
        <w:tc>
          <w:tcPr>
            <w:tcW w:w="801" w:type="pct"/>
            <w:shd w:val="clear" w:color="auto" w:fill="auto"/>
            <w:noWrap/>
            <w:vAlign w:val="bottom"/>
            <w:hideMark/>
          </w:tcPr>
          <w:p w14:paraId="203CCFC4" w14:textId="77777777" w:rsidR="003C0B69" w:rsidRPr="00124E7F" w:rsidRDefault="003C0B69" w:rsidP="00584340">
            <w:pPr>
              <w:keepNext/>
              <w:keepLines/>
              <w:widowControl/>
              <w:autoSpaceDE/>
              <w:autoSpaceDN/>
              <w:adjustRightInd/>
              <w:spacing w:line="240" w:lineRule="auto"/>
              <w:jc w:val="right"/>
              <w:rPr>
                <w:rFonts w:cs="Calibri"/>
                <w:szCs w:val="22"/>
                <w:lang w:eastAsia="en-AU"/>
              </w:rPr>
            </w:pPr>
            <w:r w:rsidRPr="00124E7F">
              <w:rPr>
                <w:rFonts w:cs="Calibri"/>
                <w:szCs w:val="22"/>
                <w:lang w:eastAsia="en-AU"/>
              </w:rPr>
              <w:t>8</w:t>
            </w:r>
          </w:p>
        </w:tc>
      </w:tr>
      <w:tr w:rsidR="004213AE" w:rsidRPr="00124E7F" w14:paraId="4B403D92" w14:textId="77777777" w:rsidTr="005F191D">
        <w:trPr>
          <w:trHeight w:val="300"/>
        </w:trPr>
        <w:tc>
          <w:tcPr>
            <w:tcW w:w="903" w:type="pct"/>
            <w:shd w:val="clear" w:color="auto" w:fill="auto"/>
            <w:noWrap/>
            <w:vAlign w:val="bottom"/>
            <w:hideMark/>
          </w:tcPr>
          <w:p w14:paraId="5F704194" w14:textId="77777777" w:rsidR="003C0B69" w:rsidRPr="00124E7F" w:rsidRDefault="003C0B69" w:rsidP="00584340">
            <w:pPr>
              <w:keepNext/>
              <w:keepLines/>
              <w:widowControl/>
              <w:autoSpaceDE/>
              <w:autoSpaceDN/>
              <w:adjustRightInd/>
              <w:spacing w:line="240" w:lineRule="auto"/>
              <w:jc w:val="center"/>
              <w:rPr>
                <w:rFonts w:cs="Calibri"/>
                <w:szCs w:val="22"/>
                <w:lang w:eastAsia="en-AU"/>
              </w:rPr>
            </w:pPr>
            <w:r w:rsidRPr="00124E7F">
              <w:rPr>
                <w:rFonts w:cs="Calibri"/>
                <w:szCs w:val="22"/>
                <w:lang w:eastAsia="en-AU"/>
              </w:rPr>
              <w:t>5</w:t>
            </w:r>
          </w:p>
        </w:tc>
        <w:tc>
          <w:tcPr>
            <w:tcW w:w="920" w:type="pct"/>
            <w:shd w:val="clear" w:color="auto" w:fill="auto"/>
            <w:noWrap/>
            <w:vAlign w:val="bottom"/>
            <w:hideMark/>
          </w:tcPr>
          <w:p w14:paraId="7090A953" w14:textId="77777777" w:rsidR="003C0B69" w:rsidRPr="00124E7F" w:rsidRDefault="003C0B69" w:rsidP="00584340">
            <w:pPr>
              <w:keepNext/>
              <w:keepLines/>
              <w:widowControl/>
              <w:autoSpaceDE/>
              <w:autoSpaceDN/>
              <w:adjustRightInd/>
              <w:spacing w:line="240" w:lineRule="auto"/>
              <w:rPr>
                <w:rFonts w:cs="Calibri"/>
                <w:szCs w:val="22"/>
                <w:lang w:eastAsia="en-AU"/>
              </w:rPr>
            </w:pPr>
            <w:r w:rsidRPr="00124E7F">
              <w:rPr>
                <w:rFonts w:cs="Calibri"/>
                <w:szCs w:val="22"/>
                <w:lang w:eastAsia="en-AU"/>
              </w:rPr>
              <w:t>China</w:t>
            </w:r>
          </w:p>
        </w:tc>
        <w:tc>
          <w:tcPr>
            <w:tcW w:w="843" w:type="pct"/>
            <w:shd w:val="clear" w:color="auto" w:fill="auto"/>
            <w:noWrap/>
            <w:vAlign w:val="bottom"/>
            <w:hideMark/>
          </w:tcPr>
          <w:p w14:paraId="78BCB7D4" w14:textId="77777777" w:rsidR="003C0B69" w:rsidRPr="00124E7F" w:rsidRDefault="003C0B69" w:rsidP="00584340">
            <w:pPr>
              <w:keepNext/>
              <w:keepLines/>
              <w:widowControl/>
              <w:autoSpaceDE/>
              <w:autoSpaceDN/>
              <w:adjustRightInd/>
              <w:spacing w:line="240" w:lineRule="auto"/>
              <w:jc w:val="right"/>
              <w:rPr>
                <w:rFonts w:cs="Calibri"/>
                <w:szCs w:val="22"/>
                <w:lang w:eastAsia="en-AU"/>
              </w:rPr>
            </w:pPr>
            <w:r w:rsidRPr="00124E7F">
              <w:rPr>
                <w:rFonts w:cs="Calibri"/>
                <w:szCs w:val="22"/>
                <w:lang w:eastAsia="en-AU"/>
              </w:rPr>
              <w:t>54</w:t>
            </w:r>
          </w:p>
        </w:tc>
        <w:tc>
          <w:tcPr>
            <w:tcW w:w="836" w:type="pct"/>
            <w:shd w:val="clear" w:color="auto" w:fill="auto"/>
            <w:noWrap/>
            <w:vAlign w:val="bottom"/>
            <w:hideMark/>
          </w:tcPr>
          <w:p w14:paraId="7AE548C2" w14:textId="77777777" w:rsidR="003C0B69" w:rsidRPr="00124E7F" w:rsidRDefault="003C0B69" w:rsidP="00584340">
            <w:pPr>
              <w:keepNext/>
              <w:keepLines/>
              <w:widowControl/>
              <w:autoSpaceDE/>
              <w:autoSpaceDN/>
              <w:adjustRightInd/>
              <w:spacing w:line="240" w:lineRule="auto"/>
              <w:jc w:val="right"/>
              <w:rPr>
                <w:rFonts w:cs="Calibri"/>
                <w:szCs w:val="22"/>
                <w:lang w:eastAsia="en-AU"/>
              </w:rPr>
            </w:pPr>
            <w:r w:rsidRPr="00124E7F">
              <w:rPr>
                <w:rFonts w:cs="Calibri"/>
                <w:szCs w:val="22"/>
                <w:lang w:eastAsia="en-AU"/>
              </w:rPr>
              <w:t>5</w:t>
            </w:r>
          </w:p>
        </w:tc>
        <w:tc>
          <w:tcPr>
            <w:tcW w:w="698" w:type="pct"/>
            <w:shd w:val="clear" w:color="auto" w:fill="auto"/>
            <w:noWrap/>
            <w:vAlign w:val="bottom"/>
            <w:hideMark/>
          </w:tcPr>
          <w:p w14:paraId="49252759" w14:textId="77777777" w:rsidR="003C0B69" w:rsidRPr="00124E7F" w:rsidRDefault="003C0B69" w:rsidP="00584340">
            <w:pPr>
              <w:keepNext/>
              <w:keepLines/>
              <w:widowControl/>
              <w:autoSpaceDE/>
              <w:autoSpaceDN/>
              <w:adjustRightInd/>
              <w:spacing w:line="240" w:lineRule="auto"/>
              <w:jc w:val="right"/>
              <w:rPr>
                <w:rFonts w:cs="Calibri"/>
                <w:szCs w:val="22"/>
                <w:lang w:eastAsia="en-AU"/>
              </w:rPr>
            </w:pPr>
            <w:r w:rsidRPr="00124E7F">
              <w:rPr>
                <w:rFonts w:cs="Calibri"/>
                <w:szCs w:val="22"/>
                <w:lang w:eastAsia="en-AU"/>
              </w:rPr>
              <w:t>187</w:t>
            </w:r>
          </w:p>
        </w:tc>
        <w:tc>
          <w:tcPr>
            <w:tcW w:w="801" w:type="pct"/>
            <w:shd w:val="clear" w:color="auto" w:fill="auto"/>
            <w:noWrap/>
            <w:vAlign w:val="bottom"/>
            <w:hideMark/>
          </w:tcPr>
          <w:p w14:paraId="31635853" w14:textId="77777777" w:rsidR="003C0B69" w:rsidRPr="00124E7F" w:rsidRDefault="003C0B69" w:rsidP="00584340">
            <w:pPr>
              <w:keepNext/>
              <w:keepLines/>
              <w:widowControl/>
              <w:autoSpaceDE/>
              <w:autoSpaceDN/>
              <w:adjustRightInd/>
              <w:spacing w:line="240" w:lineRule="auto"/>
              <w:jc w:val="right"/>
              <w:rPr>
                <w:rFonts w:cs="Calibri"/>
                <w:szCs w:val="22"/>
                <w:lang w:eastAsia="en-AU"/>
              </w:rPr>
            </w:pPr>
            <w:r w:rsidRPr="00124E7F">
              <w:rPr>
                <w:rFonts w:cs="Calibri"/>
                <w:szCs w:val="22"/>
                <w:lang w:eastAsia="en-AU"/>
              </w:rPr>
              <w:t>3</w:t>
            </w:r>
          </w:p>
        </w:tc>
      </w:tr>
      <w:tr w:rsidR="004213AE" w:rsidRPr="00124E7F" w14:paraId="483AAD63" w14:textId="77777777" w:rsidTr="005F191D">
        <w:trPr>
          <w:trHeight w:val="300"/>
        </w:trPr>
        <w:tc>
          <w:tcPr>
            <w:tcW w:w="903" w:type="pct"/>
            <w:shd w:val="clear" w:color="auto" w:fill="EAEAEA" w:themeFill="accent3" w:themeFillTint="33"/>
            <w:noWrap/>
            <w:vAlign w:val="bottom"/>
            <w:hideMark/>
          </w:tcPr>
          <w:p w14:paraId="7A86E692" w14:textId="77777777" w:rsidR="003C0B69" w:rsidRPr="00124E7F" w:rsidRDefault="003C0B69" w:rsidP="00584340">
            <w:pPr>
              <w:keepNext/>
              <w:keepLines/>
              <w:widowControl/>
              <w:autoSpaceDE/>
              <w:autoSpaceDN/>
              <w:adjustRightInd/>
              <w:spacing w:line="240" w:lineRule="auto"/>
              <w:jc w:val="center"/>
              <w:rPr>
                <w:rFonts w:cs="Calibri"/>
                <w:szCs w:val="22"/>
                <w:lang w:eastAsia="en-AU"/>
              </w:rPr>
            </w:pPr>
            <w:r w:rsidRPr="00124E7F">
              <w:rPr>
                <w:rFonts w:cs="Calibri"/>
                <w:szCs w:val="22"/>
                <w:lang w:eastAsia="en-AU"/>
              </w:rPr>
              <w:t>6</w:t>
            </w:r>
          </w:p>
        </w:tc>
        <w:tc>
          <w:tcPr>
            <w:tcW w:w="920" w:type="pct"/>
            <w:shd w:val="clear" w:color="auto" w:fill="EAEAEA" w:themeFill="accent3" w:themeFillTint="33"/>
            <w:noWrap/>
            <w:vAlign w:val="bottom"/>
            <w:hideMark/>
          </w:tcPr>
          <w:p w14:paraId="24487BC2" w14:textId="77777777" w:rsidR="003C0B69" w:rsidRPr="00124E7F" w:rsidRDefault="003C0B69" w:rsidP="00584340">
            <w:pPr>
              <w:keepNext/>
              <w:keepLines/>
              <w:widowControl/>
              <w:autoSpaceDE/>
              <w:autoSpaceDN/>
              <w:adjustRightInd/>
              <w:spacing w:line="240" w:lineRule="auto"/>
              <w:rPr>
                <w:rFonts w:cs="Calibri"/>
                <w:szCs w:val="22"/>
                <w:lang w:eastAsia="en-AU"/>
              </w:rPr>
            </w:pPr>
            <w:r w:rsidRPr="00124E7F">
              <w:rPr>
                <w:rFonts w:cs="Calibri"/>
                <w:szCs w:val="22"/>
                <w:lang w:eastAsia="en-AU"/>
              </w:rPr>
              <w:t>Australia</w:t>
            </w:r>
          </w:p>
        </w:tc>
        <w:tc>
          <w:tcPr>
            <w:tcW w:w="843" w:type="pct"/>
            <w:shd w:val="clear" w:color="auto" w:fill="EAEAEA" w:themeFill="accent3" w:themeFillTint="33"/>
            <w:noWrap/>
            <w:vAlign w:val="bottom"/>
            <w:hideMark/>
          </w:tcPr>
          <w:p w14:paraId="0BC079C0" w14:textId="77777777" w:rsidR="003C0B69" w:rsidRPr="00124E7F" w:rsidRDefault="003C0B69" w:rsidP="00584340">
            <w:pPr>
              <w:keepNext/>
              <w:keepLines/>
              <w:widowControl/>
              <w:autoSpaceDE/>
              <w:autoSpaceDN/>
              <w:adjustRightInd/>
              <w:spacing w:line="240" w:lineRule="auto"/>
              <w:jc w:val="right"/>
              <w:rPr>
                <w:rFonts w:cs="Calibri"/>
                <w:szCs w:val="22"/>
                <w:lang w:eastAsia="en-AU"/>
              </w:rPr>
            </w:pPr>
            <w:r w:rsidRPr="00124E7F">
              <w:rPr>
                <w:rFonts w:cs="Calibri"/>
                <w:szCs w:val="22"/>
                <w:lang w:eastAsia="en-AU"/>
              </w:rPr>
              <w:t>47</w:t>
            </w:r>
          </w:p>
        </w:tc>
        <w:tc>
          <w:tcPr>
            <w:tcW w:w="836" w:type="pct"/>
            <w:shd w:val="clear" w:color="auto" w:fill="EAEAEA" w:themeFill="accent3" w:themeFillTint="33"/>
            <w:noWrap/>
            <w:vAlign w:val="bottom"/>
            <w:hideMark/>
          </w:tcPr>
          <w:p w14:paraId="720B7E08" w14:textId="77777777" w:rsidR="003C0B69" w:rsidRPr="00124E7F" w:rsidRDefault="003C0B69" w:rsidP="00584340">
            <w:pPr>
              <w:keepNext/>
              <w:keepLines/>
              <w:widowControl/>
              <w:autoSpaceDE/>
              <w:autoSpaceDN/>
              <w:adjustRightInd/>
              <w:spacing w:line="240" w:lineRule="auto"/>
              <w:jc w:val="right"/>
              <w:rPr>
                <w:rFonts w:cs="Calibri"/>
                <w:szCs w:val="22"/>
                <w:lang w:eastAsia="en-AU"/>
              </w:rPr>
            </w:pPr>
            <w:r w:rsidRPr="00124E7F">
              <w:rPr>
                <w:rFonts w:cs="Calibri"/>
                <w:szCs w:val="22"/>
                <w:lang w:eastAsia="en-AU"/>
              </w:rPr>
              <w:t>4</w:t>
            </w:r>
          </w:p>
        </w:tc>
        <w:tc>
          <w:tcPr>
            <w:tcW w:w="698" w:type="pct"/>
            <w:shd w:val="clear" w:color="auto" w:fill="EAEAEA" w:themeFill="accent3" w:themeFillTint="33"/>
            <w:noWrap/>
            <w:vAlign w:val="bottom"/>
            <w:hideMark/>
          </w:tcPr>
          <w:p w14:paraId="3DEEFD74" w14:textId="77777777" w:rsidR="003C0B69" w:rsidRPr="00124E7F" w:rsidRDefault="003C0B69" w:rsidP="00584340">
            <w:pPr>
              <w:keepNext/>
              <w:keepLines/>
              <w:widowControl/>
              <w:autoSpaceDE/>
              <w:autoSpaceDN/>
              <w:adjustRightInd/>
              <w:spacing w:line="240" w:lineRule="auto"/>
              <w:jc w:val="right"/>
              <w:rPr>
                <w:rFonts w:cs="Calibri"/>
                <w:szCs w:val="22"/>
                <w:lang w:eastAsia="en-AU"/>
              </w:rPr>
            </w:pPr>
            <w:r w:rsidRPr="00124E7F">
              <w:rPr>
                <w:rFonts w:cs="Calibri"/>
                <w:szCs w:val="22"/>
                <w:lang w:eastAsia="en-AU"/>
              </w:rPr>
              <w:t>350</w:t>
            </w:r>
          </w:p>
        </w:tc>
        <w:tc>
          <w:tcPr>
            <w:tcW w:w="801" w:type="pct"/>
            <w:shd w:val="clear" w:color="auto" w:fill="EAEAEA" w:themeFill="accent3" w:themeFillTint="33"/>
            <w:noWrap/>
            <w:vAlign w:val="bottom"/>
            <w:hideMark/>
          </w:tcPr>
          <w:p w14:paraId="147E316C" w14:textId="77777777" w:rsidR="003C0B69" w:rsidRPr="00124E7F" w:rsidRDefault="003C0B69" w:rsidP="00584340">
            <w:pPr>
              <w:keepNext/>
              <w:keepLines/>
              <w:widowControl/>
              <w:autoSpaceDE/>
              <w:autoSpaceDN/>
              <w:adjustRightInd/>
              <w:spacing w:line="240" w:lineRule="auto"/>
              <w:jc w:val="right"/>
              <w:rPr>
                <w:rFonts w:cs="Calibri"/>
                <w:szCs w:val="22"/>
                <w:lang w:eastAsia="en-AU"/>
              </w:rPr>
            </w:pPr>
            <w:r w:rsidRPr="00124E7F">
              <w:rPr>
                <w:rFonts w:cs="Calibri"/>
                <w:szCs w:val="22"/>
                <w:lang w:eastAsia="en-AU"/>
              </w:rPr>
              <w:t>7</w:t>
            </w:r>
          </w:p>
        </w:tc>
      </w:tr>
      <w:tr w:rsidR="004213AE" w:rsidRPr="00124E7F" w14:paraId="4D13D0B8" w14:textId="77777777" w:rsidTr="005F191D">
        <w:trPr>
          <w:trHeight w:val="300"/>
        </w:trPr>
        <w:tc>
          <w:tcPr>
            <w:tcW w:w="903" w:type="pct"/>
            <w:shd w:val="clear" w:color="auto" w:fill="auto"/>
            <w:noWrap/>
            <w:vAlign w:val="bottom"/>
            <w:hideMark/>
          </w:tcPr>
          <w:p w14:paraId="0E1A8ECD" w14:textId="77777777" w:rsidR="003C0B69" w:rsidRPr="00124E7F" w:rsidRDefault="003C0B69" w:rsidP="00584340">
            <w:pPr>
              <w:keepNext/>
              <w:keepLines/>
              <w:widowControl/>
              <w:autoSpaceDE/>
              <w:autoSpaceDN/>
              <w:adjustRightInd/>
              <w:spacing w:line="240" w:lineRule="auto"/>
              <w:jc w:val="center"/>
              <w:rPr>
                <w:rFonts w:cs="Calibri"/>
                <w:szCs w:val="22"/>
                <w:lang w:eastAsia="en-AU"/>
              </w:rPr>
            </w:pPr>
            <w:r w:rsidRPr="00124E7F">
              <w:rPr>
                <w:rFonts w:cs="Calibri"/>
                <w:szCs w:val="22"/>
                <w:lang w:eastAsia="en-AU"/>
              </w:rPr>
              <w:t>7</w:t>
            </w:r>
          </w:p>
        </w:tc>
        <w:tc>
          <w:tcPr>
            <w:tcW w:w="920" w:type="pct"/>
            <w:shd w:val="clear" w:color="auto" w:fill="auto"/>
            <w:noWrap/>
            <w:vAlign w:val="bottom"/>
            <w:hideMark/>
          </w:tcPr>
          <w:p w14:paraId="2BE50E2A" w14:textId="77777777" w:rsidR="003C0B69" w:rsidRPr="00124E7F" w:rsidRDefault="003C0B69" w:rsidP="00584340">
            <w:pPr>
              <w:keepNext/>
              <w:keepLines/>
              <w:widowControl/>
              <w:autoSpaceDE/>
              <w:autoSpaceDN/>
              <w:adjustRightInd/>
              <w:spacing w:line="240" w:lineRule="auto"/>
              <w:rPr>
                <w:rFonts w:cs="Calibri"/>
                <w:szCs w:val="22"/>
                <w:lang w:eastAsia="en-AU"/>
              </w:rPr>
            </w:pPr>
            <w:r w:rsidRPr="00124E7F">
              <w:rPr>
                <w:rFonts w:cs="Calibri"/>
                <w:szCs w:val="22"/>
                <w:lang w:eastAsia="en-AU"/>
              </w:rPr>
              <w:t>Germany</w:t>
            </w:r>
          </w:p>
        </w:tc>
        <w:tc>
          <w:tcPr>
            <w:tcW w:w="843" w:type="pct"/>
            <w:shd w:val="clear" w:color="auto" w:fill="auto"/>
            <w:noWrap/>
            <w:vAlign w:val="bottom"/>
            <w:hideMark/>
          </w:tcPr>
          <w:p w14:paraId="0D5D23DF" w14:textId="77777777" w:rsidR="003C0B69" w:rsidRPr="00124E7F" w:rsidRDefault="003C0B69" w:rsidP="00584340">
            <w:pPr>
              <w:keepNext/>
              <w:keepLines/>
              <w:widowControl/>
              <w:autoSpaceDE/>
              <w:autoSpaceDN/>
              <w:adjustRightInd/>
              <w:spacing w:line="240" w:lineRule="auto"/>
              <w:jc w:val="right"/>
              <w:rPr>
                <w:rFonts w:cs="Calibri"/>
                <w:szCs w:val="22"/>
                <w:lang w:eastAsia="en-AU"/>
              </w:rPr>
            </w:pPr>
            <w:r w:rsidRPr="00124E7F">
              <w:rPr>
                <w:rFonts w:cs="Calibri"/>
                <w:szCs w:val="22"/>
                <w:lang w:eastAsia="en-AU"/>
              </w:rPr>
              <w:t>32</w:t>
            </w:r>
          </w:p>
        </w:tc>
        <w:tc>
          <w:tcPr>
            <w:tcW w:w="836" w:type="pct"/>
            <w:shd w:val="clear" w:color="auto" w:fill="auto"/>
            <w:noWrap/>
            <w:vAlign w:val="bottom"/>
            <w:hideMark/>
          </w:tcPr>
          <w:p w14:paraId="4935E7D8" w14:textId="77777777" w:rsidR="003C0B69" w:rsidRPr="00124E7F" w:rsidRDefault="003C0B69" w:rsidP="00584340">
            <w:pPr>
              <w:keepNext/>
              <w:keepLines/>
              <w:widowControl/>
              <w:autoSpaceDE/>
              <w:autoSpaceDN/>
              <w:adjustRightInd/>
              <w:spacing w:line="240" w:lineRule="auto"/>
              <w:jc w:val="right"/>
              <w:rPr>
                <w:rFonts w:cs="Calibri"/>
                <w:szCs w:val="22"/>
                <w:lang w:eastAsia="en-AU"/>
              </w:rPr>
            </w:pPr>
            <w:r w:rsidRPr="00124E7F">
              <w:rPr>
                <w:rFonts w:cs="Calibri"/>
                <w:szCs w:val="22"/>
                <w:lang w:eastAsia="en-AU"/>
              </w:rPr>
              <w:t>3</w:t>
            </w:r>
          </w:p>
        </w:tc>
        <w:tc>
          <w:tcPr>
            <w:tcW w:w="698" w:type="pct"/>
            <w:shd w:val="clear" w:color="auto" w:fill="auto"/>
            <w:noWrap/>
            <w:vAlign w:val="bottom"/>
            <w:hideMark/>
          </w:tcPr>
          <w:p w14:paraId="340C2E66" w14:textId="77777777" w:rsidR="003C0B69" w:rsidRPr="00124E7F" w:rsidRDefault="003C0B69" w:rsidP="00584340">
            <w:pPr>
              <w:keepNext/>
              <w:keepLines/>
              <w:widowControl/>
              <w:autoSpaceDE/>
              <w:autoSpaceDN/>
              <w:adjustRightInd/>
              <w:spacing w:line="240" w:lineRule="auto"/>
              <w:jc w:val="right"/>
              <w:rPr>
                <w:rFonts w:cs="Calibri"/>
                <w:szCs w:val="22"/>
                <w:lang w:eastAsia="en-AU"/>
              </w:rPr>
            </w:pPr>
            <w:r w:rsidRPr="00124E7F">
              <w:rPr>
                <w:rFonts w:cs="Calibri"/>
                <w:szCs w:val="22"/>
                <w:lang w:eastAsia="en-AU"/>
              </w:rPr>
              <w:t>177</w:t>
            </w:r>
          </w:p>
        </w:tc>
        <w:tc>
          <w:tcPr>
            <w:tcW w:w="801" w:type="pct"/>
            <w:shd w:val="clear" w:color="auto" w:fill="auto"/>
            <w:noWrap/>
            <w:vAlign w:val="bottom"/>
            <w:hideMark/>
          </w:tcPr>
          <w:p w14:paraId="525CCC3B" w14:textId="77777777" w:rsidR="003C0B69" w:rsidRPr="00124E7F" w:rsidRDefault="003C0B69" w:rsidP="00584340">
            <w:pPr>
              <w:keepNext/>
              <w:keepLines/>
              <w:widowControl/>
              <w:autoSpaceDE/>
              <w:autoSpaceDN/>
              <w:adjustRightInd/>
              <w:spacing w:line="240" w:lineRule="auto"/>
              <w:jc w:val="right"/>
              <w:rPr>
                <w:rFonts w:cs="Calibri"/>
                <w:szCs w:val="22"/>
                <w:lang w:eastAsia="en-AU"/>
              </w:rPr>
            </w:pPr>
            <w:r w:rsidRPr="00124E7F">
              <w:rPr>
                <w:rFonts w:cs="Calibri"/>
                <w:szCs w:val="22"/>
                <w:lang w:eastAsia="en-AU"/>
              </w:rPr>
              <w:t>6</w:t>
            </w:r>
          </w:p>
        </w:tc>
      </w:tr>
      <w:tr w:rsidR="004213AE" w:rsidRPr="00124E7F" w14:paraId="1EB9B09D" w14:textId="77777777" w:rsidTr="005F191D">
        <w:trPr>
          <w:trHeight w:val="300"/>
        </w:trPr>
        <w:tc>
          <w:tcPr>
            <w:tcW w:w="903" w:type="pct"/>
            <w:shd w:val="clear" w:color="auto" w:fill="auto"/>
            <w:noWrap/>
            <w:vAlign w:val="bottom"/>
            <w:hideMark/>
          </w:tcPr>
          <w:p w14:paraId="0C3B0228" w14:textId="77777777" w:rsidR="003C0B69" w:rsidRPr="00124E7F" w:rsidRDefault="003C0B69" w:rsidP="00584340">
            <w:pPr>
              <w:keepNext/>
              <w:keepLines/>
              <w:widowControl/>
              <w:autoSpaceDE/>
              <w:autoSpaceDN/>
              <w:adjustRightInd/>
              <w:spacing w:line="240" w:lineRule="auto"/>
              <w:jc w:val="center"/>
              <w:rPr>
                <w:rFonts w:cs="Calibri"/>
                <w:szCs w:val="22"/>
                <w:lang w:eastAsia="en-AU"/>
              </w:rPr>
            </w:pPr>
            <w:r w:rsidRPr="00124E7F">
              <w:rPr>
                <w:rFonts w:cs="Calibri"/>
                <w:szCs w:val="22"/>
                <w:lang w:eastAsia="en-AU"/>
              </w:rPr>
              <w:t>8</w:t>
            </w:r>
          </w:p>
        </w:tc>
        <w:tc>
          <w:tcPr>
            <w:tcW w:w="920" w:type="pct"/>
            <w:shd w:val="clear" w:color="auto" w:fill="auto"/>
            <w:noWrap/>
            <w:vAlign w:val="bottom"/>
            <w:hideMark/>
          </w:tcPr>
          <w:p w14:paraId="4ECE6DCE" w14:textId="77777777" w:rsidR="003C0B69" w:rsidRPr="00124E7F" w:rsidRDefault="003C0B69" w:rsidP="00584340">
            <w:pPr>
              <w:keepNext/>
              <w:keepLines/>
              <w:widowControl/>
              <w:autoSpaceDE/>
              <w:autoSpaceDN/>
              <w:adjustRightInd/>
              <w:spacing w:line="240" w:lineRule="auto"/>
              <w:rPr>
                <w:rFonts w:cs="Calibri"/>
                <w:szCs w:val="22"/>
                <w:lang w:eastAsia="en-AU"/>
              </w:rPr>
            </w:pPr>
            <w:r w:rsidRPr="00124E7F">
              <w:rPr>
                <w:rFonts w:cs="Calibri"/>
                <w:szCs w:val="22"/>
                <w:lang w:eastAsia="en-AU"/>
              </w:rPr>
              <w:t>South Korea</w:t>
            </w:r>
          </w:p>
        </w:tc>
        <w:tc>
          <w:tcPr>
            <w:tcW w:w="843" w:type="pct"/>
            <w:shd w:val="clear" w:color="auto" w:fill="auto"/>
            <w:noWrap/>
            <w:vAlign w:val="bottom"/>
            <w:hideMark/>
          </w:tcPr>
          <w:p w14:paraId="6057574B" w14:textId="77777777" w:rsidR="003C0B69" w:rsidRPr="00124E7F" w:rsidRDefault="003C0B69" w:rsidP="00584340">
            <w:pPr>
              <w:keepNext/>
              <w:keepLines/>
              <w:widowControl/>
              <w:autoSpaceDE/>
              <w:autoSpaceDN/>
              <w:adjustRightInd/>
              <w:spacing w:line="240" w:lineRule="auto"/>
              <w:jc w:val="right"/>
              <w:rPr>
                <w:rFonts w:cs="Calibri"/>
                <w:szCs w:val="22"/>
                <w:lang w:eastAsia="en-AU"/>
              </w:rPr>
            </w:pPr>
            <w:r w:rsidRPr="00124E7F">
              <w:rPr>
                <w:rFonts w:cs="Calibri"/>
                <w:szCs w:val="22"/>
                <w:lang w:eastAsia="en-AU"/>
              </w:rPr>
              <w:t>32</w:t>
            </w:r>
          </w:p>
        </w:tc>
        <w:tc>
          <w:tcPr>
            <w:tcW w:w="836" w:type="pct"/>
            <w:shd w:val="clear" w:color="auto" w:fill="auto"/>
            <w:noWrap/>
            <w:vAlign w:val="bottom"/>
            <w:hideMark/>
          </w:tcPr>
          <w:p w14:paraId="11BCC1D3" w14:textId="77777777" w:rsidR="003C0B69" w:rsidRPr="00124E7F" w:rsidRDefault="003C0B69" w:rsidP="00584340">
            <w:pPr>
              <w:keepNext/>
              <w:keepLines/>
              <w:widowControl/>
              <w:autoSpaceDE/>
              <w:autoSpaceDN/>
              <w:adjustRightInd/>
              <w:spacing w:line="240" w:lineRule="auto"/>
              <w:jc w:val="right"/>
              <w:rPr>
                <w:rFonts w:cs="Calibri"/>
                <w:szCs w:val="22"/>
                <w:lang w:eastAsia="en-AU"/>
              </w:rPr>
            </w:pPr>
            <w:r w:rsidRPr="00124E7F">
              <w:rPr>
                <w:rFonts w:cs="Calibri"/>
                <w:szCs w:val="22"/>
                <w:lang w:eastAsia="en-AU"/>
              </w:rPr>
              <w:t>3</w:t>
            </w:r>
          </w:p>
        </w:tc>
        <w:tc>
          <w:tcPr>
            <w:tcW w:w="698" w:type="pct"/>
            <w:shd w:val="clear" w:color="auto" w:fill="auto"/>
            <w:noWrap/>
            <w:vAlign w:val="bottom"/>
            <w:hideMark/>
          </w:tcPr>
          <w:p w14:paraId="11646C82" w14:textId="77777777" w:rsidR="003C0B69" w:rsidRPr="00124E7F" w:rsidRDefault="003C0B69" w:rsidP="00584340">
            <w:pPr>
              <w:keepNext/>
              <w:keepLines/>
              <w:widowControl/>
              <w:autoSpaceDE/>
              <w:autoSpaceDN/>
              <w:adjustRightInd/>
              <w:spacing w:line="240" w:lineRule="auto"/>
              <w:jc w:val="right"/>
              <w:rPr>
                <w:rFonts w:cs="Calibri"/>
                <w:szCs w:val="22"/>
                <w:lang w:eastAsia="en-AU"/>
              </w:rPr>
            </w:pPr>
            <w:r w:rsidRPr="00124E7F">
              <w:rPr>
                <w:rFonts w:cs="Calibri"/>
                <w:szCs w:val="22"/>
                <w:lang w:eastAsia="en-AU"/>
              </w:rPr>
              <w:t>232</w:t>
            </w:r>
          </w:p>
        </w:tc>
        <w:tc>
          <w:tcPr>
            <w:tcW w:w="801" w:type="pct"/>
            <w:shd w:val="clear" w:color="auto" w:fill="auto"/>
            <w:noWrap/>
            <w:vAlign w:val="bottom"/>
            <w:hideMark/>
          </w:tcPr>
          <w:p w14:paraId="54A37B30" w14:textId="77777777" w:rsidR="003C0B69" w:rsidRPr="00124E7F" w:rsidRDefault="003C0B69" w:rsidP="00584340">
            <w:pPr>
              <w:keepNext/>
              <w:keepLines/>
              <w:widowControl/>
              <w:autoSpaceDE/>
              <w:autoSpaceDN/>
              <w:adjustRightInd/>
              <w:spacing w:line="240" w:lineRule="auto"/>
              <w:jc w:val="right"/>
              <w:rPr>
                <w:rFonts w:cs="Calibri"/>
                <w:szCs w:val="22"/>
                <w:lang w:eastAsia="en-AU"/>
              </w:rPr>
            </w:pPr>
            <w:r w:rsidRPr="00124E7F">
              <w:rPr>
                <w:rFonts w:cs="Calibri"/>
                <w:szCs w:val="22"/>
                <w:lang w:eastAsia="en-AU"/>
              </w:rPr>
              <w:t>7</w:t>
            </w:r>
          </w:p>
        </w:tc>
      </w:tr>
      <w:tr w:rsidR="004213AE" w:rsidRPr="00124E7F" w14:paraId="5F423B26" w14:textId="77777777" w:rsidTr="005F191D">
        <w:trPr>
          <w:trHeight w:val="300"/>
        </w:trPr>
        <w:tc>
          <w:tcPr>
            <w:tcW w:w="903" w:type="pct"/>
            <w:tcBorders>
              <w:bottom w:val="single" w:sz="4" w:space="0" w:color="808080" w:themeColor="background1" w:themeShade="80"/>
            </w:tcBorders>
            <w:shd w:val="clear" w:color="auto" w:fill="auto"/>
            <w:noWrap/>
            <w:vAlign w:val="bottom"/>
            <w:hideMark/>
          </w:tcPr>
          <w:p w14:paraId="54B93826" w14:textId="77777777" w:rsidR="003C0B69" w:rsidRPr="00124E7F" w:rsidRDefault="003C0B69" w:rsidP="00584340">
            <w:pPr>
              <w:keepNext/>
              <w:keepLines/>
              <w:widowControl/>
              <w:autoSpaceDE/>
              <w:autoSpaceDN/>
              <w:adjustRightInd/>
              <w:spacing w:line="240" w:lineRule="auto"/>
              <w:jc w:val="center"/>
              <w:rPr>
                <w:rFonts w:cs="Calibri"/>
                <w:szCs w:val="22"/>
                <w:lang w:eastAsia="en-AU"/>
              </w:rPr>
            </w:pPr>
            <w:r w:rsidRPr="00124E7F">
              <w:rPr>
                <w:rFonts w:cs="Calibri"/>
                <w:szCs w:val="22"/>
                <w:lang w:eastAsia="en-AU"/>
              </w:rPr>
              <w:t>9</w:t>
            </w:r>
          </w:p>
        </w:tc>
        <w:tc>
          <w:tcPr>
            <w:tcW w:w="920" w:type="pct"/>
            <w:tcBorders>
              <w:bottom w:val="single" w:sz="4" w:space="0" w:color="808080" w:themeColor="background1" w:themeShade="80"/>
            </w:tcBorders>
            <w:shd w:val="clear" w:color="auto" w:fill="auto"/>
            <w:noWrap/>
            <w:vAlign w:val="bottom"/>
            <w:hideMark/>
          </w:tcPr>
          <w:p w14:paraId="60ABDDB9" w14:textId="77777777" w:rsidR="003C0B69" w:rsidRPr="00124E7F" w:rsidRDefault="003C0B69" w:rsidP="00584340">
            <w:pPr>
              <w:keepNext/>
              <w:keepLines/>
              <w:widowControl/>
              <w:autoSpaceDE/>
              <w:autoSpaceDN/>
              <w:adjustRightInd/>
              <w:spacing w:line="240" w:lineRule="auto"/>
              <w:rPr>
                <w:rFonts w:cs="Calibri"/>
                <w:szCs w:val="22"/>
                <w:lang w:eastAsia="en-AU"/>
              </w:rPr>
            </w:pPr>
            <w:r w:rsidRPr="00124E7F">
              <w:rPr>
                <w:rFonts w:cs="Calibri"/>
                <w:szCs w:val="22"/>
                <w:lang w:eastAsia="en-AU"/>
              </w:rPr>
              <w:t>Spain</w:t>
            </w:r>
          </w:p>
        </w:tc>
        <w:tc>
          <w:tcPr>
            <w:tcW w:w="843" w:type="pct"/>
            <w:tcBorders>
              <w:bottom w:val="single" w:sz="4" w:space="0" w:color="808080" w:themeColor="background1" w:themeShade="80"/>
            </w:tcBorders>
            <w:shd w:val="clear" w:color="auto" w:fill="auto"/>
            <w:noWrap/>
            <w:vAlign w:val="bottom"/>
            <w:hideMark/>
          </w:tcPr>
          <w:p w14:paraId="3C65ECD5" w14:textId="77777777" w:rsidR="003C0B69" w:rsidRPr="00124E7F" w:rsidRDefault="003C0B69" w:rsidP="00584340">
            <w:pPr>
              <w:keepNext/>
              <w:keepLines/>
              <w:widowControl/>
              <w:autoSpaceDE/>
              <w:autoSpaceDN/>
              <w:adjustRightInd/>
              <w:spacing w:line="240" w:lineRule="auto"/>
              <w:jc w:val="right"/>
              <w:rPr>
                <w:rFonts w:cs="Calibri"/>
                <w:szCs w:val="22"/>
                <w:lang w:eastAsia="en-AU"/>
              </w:rPr>
            </w:pPr>
            <w:r w:rsidRPr="00124E7F">
              <w:rPr>
                <w:rFonts w:cs="Calibri"/>
                <w:szCs w:val="22"/>
                <w:lang w:eastAsia="en-AU"/>
              </w:rPr>
              <w:t>27</w:t>
            </w:r>
          </w:p>
        </w:tc>
        <w:tc>
          <w:tcPr>
            <w:tcW w:w="836" w:type="pct"/>
            <w:tcBorders>
              <w:bottom w:val="single" w:sz="4" w:space="0" w:color="808080" w:themeColor="background1" w:themeShade="80"/>
            </w:tcBorders>
            <w:shd w:val="clear" w:color="auto" w:fill="auto"/>
            <w:noWrap/>
            <w:vAlign w:val="bottom"/>
            <w:hideMark/>
          </w:tcPr>
          <w:p w14:paraId="2D3B6D10" w14:textId="77777777" w:rsidR="003C0B69" w:rsidRPr="00124E7F" w:rsidRDefault="003C0B69" w:rsidP="00584340">
            <w:pPr>
              <w:keepNext/>
              <w:keepLines/>
              <w:widowControl/>
              <w:autoSpaceDE/>
              <w:autoSpaceDN/>
              <w:adjustRightInd/>
              <w:spacing w:line="240" w:lineRule="auto"/>
              <w:jc w:val="right"/>
              <w:rPr>
                <w:rFonts w:cs="Calibri"/>
                <w:szCs w:val="22"/>
                <w:lang w:eastAsia="en-AU"/>
              </w:rPr>
            </w:pPr>
            <w:r w:rsidRPr="00124E7F">
              <w:rPr>
                <w:rFonts w:cs="Calibri"/>
                <w:szCs w:val="22"/>
                <w:lang w:eastAsia="en-AU"/>
              </w:rPr>
              <w:t>2</w:t>
            </w:r>
          </w:p>
        </w:tc>
        <w:tc>
          <w:tcPr>
            <w:tcW w:w="698" w:type="pct"/>
            <w:tcBorders>
              <w:bottom w:val="single" w:sz="4" w:space="0" w:color="808080" w:themeColor="background1" w:themeShade="80"/>
            </w:tcBorders>
            <w:shd w:val="clear" w:color="auto" w:fill="auto"/>
            <w:noWrap/>
            <w:vAlign w:val="bottom"/>
            <w:hideMark/>
          </w:tcPr>
          <w:p w14:paraId="5BD3D5CE" w14:textId="77777777" w:rsidR="003C0B69" w:rsidRPr="00124E7F" w:rsidRDefault="003C0B69" w:rsidP="00584340">
            <w:pPr>
              <w:keepNext/>
              <w:keepLines/>
              <w:widowControl/>
              <w:autoSpaceDE/>
              <w:autoSpaceDN/>
              <w:adjustRightInd/>
              <w:spacing w:line="240" w:lineRule="auto"/>
              <w:jc w:val="right"/>
              <w:rPr>
                <w:rFonts w:cs="Calibri"/>
                <w:szCs w:val="22"/>
                <w:lang w:eastAsia="en-AU"/>
              </w:rPr>
            </w:pPr>
            <w:r w:rsidRPr="00124E7F">
              <w:rPr>
                <w:rFonts w:cs="Calibri"/>
                <w:szCs w:val="22"/>
                <w:lang w:eastAsia="en-AU"/>
              </w:rPr>
              <w:t>79</w:t>
            </w:r>
          </w:p>
        </w:tc>
        <w:tc>
          <w:tcPr>
            <w:tcW w:w="801" w:type="pct"/>
            <w:tcBorders>
              <w:bottom w:val="single" w:sz="4" w:space="0" w:color="808080" w:themeColor="background1" w:themeShade="80"/>
            </w:tcBorders>
            <w:shd w:val="clear" w:color="auto" w:fill="auto"/>
            <w:noWrap/>
            <w:vAlign w:val="bottom"/>
            <w:hideMark/>
          </w:tcPr>
          <w:p w14:paraId="68BE1541" w14:textId="77777777" w:rsidR="003C0B69" w:rsidRPr="00124E7F" w:rsidRDefault="003C0B69" w:rsidP="00584340">
            <w:pPr>
              <w:keepNext/>
              <w:keepLines/>
              <w:widowControl/>
              <w:autoSpaceDE/>
              <w:autoSpaceDN/>
              <w:adjustRightInd/>
              <w:spacing w:line="240" w:lineRule="auto"/>
              <w:jc w:val="right"/>
              <w:rPr>
                <w:rFonts w:cs="Calibri"/>
                <w:szCs w:val="22"/>
                <w:lang w:eastAsia="en-AU"/>
              </w:rPr>
            </w:pPr>
            <w:r w:rsidRPr="00124E7F">
              <w:rPr>
                <w:rFonts w:cs="Calibri"/>
                <w:szCs w:val="22"/>
                <w:lang w:eastAsia="en-AU"/>
              </w:rPr>
              <w:t>3</w:t>
            </w:r>
          </w:p>
        </w:tc>
      </w:tr>
      <w:tr w:rsidR="004213AE" w:rsidRPr="00124E7F" w14:paraId="75FEEC26" w14:textId="77777777" w:rsidTr="005F191D">
        <w:trPr>
          <w:trHeight w:val="300"/>
        </w:trPr>
        <w:tc>
          <w:tcPr>
            <w:tcW w:w="903" w:type="pct"/>
            <w:tcBorders>
              <w:top w:val="single" w:sz="4" w:space="0" w:color="808080" w:themeColor="background1" w:themeShade="80"/>
              <w:bottom w:val="single" w:sz="4" w:space="0" w:color="808080" w:themeColor="background1" w:themeShade="80"/>
            </w:tcBorders>
            <w:shd w:val="clear" w:color="auto" w:fill="auto"/>
            <w:noWrap/>
            <w:vAlign w:val="bottom"/>
            <w:hideMark/>
          </w:tcPr>
          <w:p w14:paraId="0AE40729" w14:textId="77777777" w:rsidR="003C0B69" w:rsidRPr="00124E7F" w:rsidRDefault="003C0B69" w:rsidP="00584340">
            <w:pPr>
              <w:keepNext/>
              <w:keepLines/>
              <w:widowControl/>
              <w:autoSpaceDE/>
              <w:autoSpaceDN/>
              <w:adjustRightInd/>
              <w:spacing w:line="240" w:lineRule="auto"/>
              <w:jc w:val="center"/>
              <w:rPr>
                <w:rFonts w:cs="Calibri"/>
                <w:szCs w:val="22"/>
                <w:lang w:eastAsia="en-AU"/>
              </w:rPr>
            </w:pPr>
            <w:r w:rsidRPr="00124E7F">
              <w:rPr>
                <w:rFonts w:cs="Calibri"/>
                <w:szCs w:val="22"/>
                <w:lang w:eastAsia="en-AU"/>
              </w:rPr>
              <w:t>10</w:t>
            </w:r>
          </w:p>
        </w:tc>
        <w:tc>
          <w:tcPr>
            <w:tcW w:w="920" w:type="pct"/>
            <w:tcBorders>
              <w:top w:val="single" w:sz="4" w:space="0" w:color="808080" w:themeColor="background1" w:themeShade="80"/>
              <w:bottom w:val="single" w:sz="4" w:space="0" w:color="808080" w:themeColor="background1" w:themeShade="80"/>
            </w:tcBorders>
            <w:shd w:val="clear" w:color="auto" w:fill="auto"/>
            <w:noWrap/>
            <w:vAlign w:val="bottom"/>
            <w:hideMark/>
          </w:tcPr>
          <w:p w14:paraId="68F36803" w14:textId="77777777" w:rsidR="003C0B69" w:rsidRPr="00124E7F" w:rsidRDefault="003C0B69" w:rsidP="00584340">
            <w:pPr>
              <w:keepNext/>
              <w:keepLines/>
              <w:widowControl/>
              <w:autoSpaceDE/>
              <w:autoSpaceDN/>
              <w:adjustRightInd/>
              <w:spacing w:line="240" w:lineRule="auto"/>
              <w:rPr>
                <w:rFonts w:cs="Calibri"/>
                <w:szCs w:val="22"/>
                <w:lang w:eastAsia="en-AU"/>
              </w:rPr>
            </w:pPr>
            <w:r w:rsidRPr="00124E7F">
              <w:rPr>
                <w:rFonts w:cs="Calibri"/>
                <w:szCs w:val="22"/>
                <w:lang w:eastAsia="en-AU"/>
              </w:rPr>
              <w:t>Netherlands</w:t>
            </w:r>
          </w:p>
        </w:tc>
        <w:tc>
          <w:tcPr>
            <w:tcW w:w="843" w:type="pct"/>
            <w:tcBorders>
              <w:top w:val="single" w:sz="4" w:space="0" w:color="808080" w:themeColor="background1" w:themeShade="80"/>
              <w:bottom w:val="single" w:sz="4" w:space="0" w:color="808080" w:themeColor="background1" w:themeShade="80"/>
            </w:tcBorders>
            <w:shd w:val="clear" w:color="auto" w:fill="auto"/>
            <w:noWrap/>
            <w:vAlign w:val="bottom"/>
            <w:hideMark/>
          </w:tcPr>
          <w:p w14:paraId="5CEA3D2A" w14:textId="77777777" w:rsidR="003C0B69" w:rsidRPr="00124E7F" w:rsidRDefault="003C0B69" w:rsidP="00584340">
            <w:pPr>
              <w:keepNext/>
              <w:keepLines/>
              <w:widowControl/>
              <w:autoSpaceDE/>
              <w:autoSpaceDN/>
              <w:adjustRightInd/>
              <w:spacing w:line="240" w:lineRule="auto"/>
              <w:jc w:val="right"/>
              <w:rPr>
                <w:rFonts w:cs="Calibri"/>
                <w:szCs w:val="22"/>
                <w:lang w:eastAsia="en-AU"/>
              </w:rPr>
            </w:pPr>
            <w:r w:rsidRPr="00124E7F">
              <w:rPr>
                <w:rFonts w:cs="Calibri"/>
                <w:szCs w:val="22"/>
                <w:lang w:eastAsia="en-AU"/>
              </w:rPr>
              <w:t>21</w:t>
            </w:r>
          </w:p>
        </w:tc>
        <w:tc>
          <w:tcPr>
            <w:tcW w:w="836" w:type="pct"/>
            <w:tcBorders>
              <w:top w:val="single" w:sz="4" w:space="0" w:color="808080" w:themeColor="background1" w:themeShade="80"/>
              <w:bottom w:val="single" w:sz="4" w:space="0" w:color="808080" w:themeColor="background1" w:themeShade="80"/>
            </w:tcBorders>
            <w:shd w:val="clear" w:color="auto" w:fill="auto"/>
            <w:noWrap/>
            <w:vAlign w:val="bottom"/>
            <w:hideMark/>
          </w:tcPr>
          <w:p w14:paraId="21395AB0" w14:textId="77777777" w:rsidR="003C0B69" w:rsidRPr="00124E7F" w:rsidRDefault="003C0B69" w:rsidP="00584340">
            <w:pPr>
              <w:keepNext/>
              <w:keepLines/>
              <w:widowControl/>
              <w:autoSpaceDE/>
              <w:autoSpaceDN/>
              <w:adjustRightInd/>
              <w:spacing w:line="240" w:lineRule="auto"/>
              <w:jc w:val="right"/>
              <w:rPr>
                <w:rFonts w:cs="Calibri"/>
                <w:szCs w:val="22"/>
                <w:lang w:eastAsia="en-AU"/>
              </w:rPr>
            </w:pPr>
            <w:r w:rsidRPr="00124E7F">
              <w:rPr>
                <w:rFonts w:cs="Calibri"/>
                <w:szCs w:val="22"/>
                <w:lang w:eastAsia="en-AU"/>
              </w:rPr>
              <w:t>2</w:t>
            </w:r>
          </w:p>
        </w:tc>
        <w:tc>
          <w:tcPr>
            <w:tcW w:w="698" w:type="pct"/>
            <w:tcBorders>
              <w:top w:val="single" w:sz="4" w:space="0" w:color="808080" w:themeColor="background1" w:themeShade="80"/>
              <w:bottom w:val="single" w:sz="4" w:space="0" w:color="808080" w:themeColor="background1" w:themeShade="80"/>
            </w:tcBorders>
            <w:shd w:val="clear" w:color="auto" w:fill="auto"/>
            <w:noWrap/>
            <w:vAlign w:val="bottom"/>
            <w:hideMark/>
          </w:tcPr>
          <w:p w14:paraId="3058D107" w14:textId="77777777" w:rsidR="003C0B69" w:rsidRPr="00124E7F" w:rsidRDefault="003C0B69" w:rsidP="00584340">
            <w:pPr>
              <w:keepNext/>
              <w:keepLines/>
              <w:widowControl/>
              <w:autoSpaceDE/>
              <w:autoSpaceDN/>
              <w:adjustRightInd/>
              <w:spacing w:line="240" w:lineRule="auto"/>
              <w:jc w:val="right"/>
              <w:rPr>
                <w:rFonts w:cs="Calibri"/>
                <w:szCs w:val="22"/>
                <w:lang w:eastAsia="en-AU"/>
              </w:rPr>
            </w:pPr>
            <w:r w:rsidRPr="00124E7F">
              <w:rPr>
                <w:rFonts w:cs="Calibri"/>
                <w:szCs w:val="22"/>
                <w:lang w:eastAsia="en-AU"/>
              </w:rPr>
              <w:t>135</w:t>
            </w:r>
          </w:p>
        </w:tc>
        <w:tc>
          <w:tcPr>
            <w:tcW w:w="801" w:type="pct"/>
            <w:tcBorders>
              <w:top w:val="single" w:sz="4" w:space="0" w:color="808080" w:themeColor="background1" w:themeShade="80"/>
              <w:bottom w:val="single" w:sz="4" w:space="0" w:color="808080" w:themeColor="background1" w:themeShade="80"/>
            </w:tcBorders>
            <w:shd w:val="clear" w:color="auto" w:fill="auto"/>
            <w:noWrap/>
            <w:vAlign w:val="bottom"/>
            <w:hideMark/>
          </w:tcPr>
          <w:p w14:paraId="5A57D122" w14:textId="77777777" w:rsidR="003C0B69" w:rsidRPr="00124E7F" w:rsidRDefault="003C0B69" w:rsidP="00584340">
            <w:pPr>
              <w:keepNext/>
              <w:keepLines/>
              <w:widowControl/>
              <w:autoSpaceDE/>
              <w:autoSpaceDN/>
              <w:adjustRightInd/>
              <w:spacing w:line="240" w:lineRule="auto"/>
              <w:jc w:val="right"/>
              <w:rPr>
                <w:rFonts w:cs="Calibri"/>
                <w:szCs w:val="22"/>
                <w:lang w:eastAsia="en-AU"/>
              </w:rPr>
            </w:pPr>
            <w:r w:rsidRPr="00124E7F">
              <w:rPr>
                <w:rFonts w:cs="Calibri"/>
                <w:szCs w:val="22"/>
                <w:lang w:eastAsia="en-AU"/>
              </w:rPr>
              <w:t>6</w:t>
            </w:r>
          </w:p>
        </w:tc>
      </w:tr>
    </w:tbl>
    <w:p w14:paraId="4FB67619" w14:textId="77777777" w:rsidR="003C0B69" w:rsidRPr="00124E7F" w:rsidRDefault="003C0B69" w:rsidP="003C0B69">
      <w:pPr>
        <w:pStyle w:val="EYSource"/>
        <w:tabs>
          <w:tab w:val="left" w:pos="6237"/>
          <w:tab w:val="left" w:pos="6379"/>
        </w:tabs>
        <w:spacing w:after="0"/>
        <w:rPr>
          <w:sz w:val="20"/>
          <w:szCs w:val="20"/>
        </w:rPr>
      </w:pPr>
      <w:r w:rsidRPr="00124E7F">
        <w:rPr>
          <w:sz w:val="20"/>
          <w:szCs w:val="20"/>
        </w:rPr>
        <w:t>Source: Tsai (2012), p.8175</w:t>
      </w:r>
    </w:p>
    <w:p w14:paraId="25DD8682" w14:textId="77777777" w:rsidR="00420378" w:rsidRPr="00124E7F" w:rsidRDefault="00420378" w:rsidP="00420378">
      <w:pPr>
        <w:pStyle w:val="EYBodytextwithoutparaspace"/>
        <w:rPr>
          <w:rStyle w:val="AAnormalChar"/>
        </w:rPr>
      </w:pPr>
    </w:p>
    <w:p w14:paraId="3E7DF282" w14:textId="77777777" w:rsidR="0055463E" w:rsidRPr="00124E7F" w:rsidRDefault="00E4132F" w:rsidP="00267625">
      <w:pPr>
        <w:pStyle w:val="EYBodytextwithparaspace"/>
        <w:rPr>
          <w:rStyle w:val="AAnormalChar"/>
        </w:rPr>
      </w:pPr>
      <w:r w:rsidRPr="00124E7F">
        <w:rPr>
          <w:rStyle w:val="AAnormalChar"/>
        </w:rPr>
        <w:t xml:space="preserve">While the Australian DTM market is new, it is growing. </w:t>
      </w:r>
      <w:r w:rsidR="0055463E" w:rsidRPr="00124E7F">
        <w:rPr>
          <w:rStyle w:val="AAnormalChar"/>
        </w:rPr>
        <w:t xml:space="preserve">Accompanying growth in DTM has been an increasing degree of </w:t>
      </w:r>
      <w:proofErr w:type="spellStart"/>
      <w:r w:rsidR="0055463E" w:rsidRPr="00124E7F">
        <w:rPr>
          <w:rStyle w:val="AAnormalChar"/>
        </w:rPr>
        <w:t>standardisation</w:t>
      </w:r>
      <w:proofErr w:type="spellEnd"/>
      <w:r w:rsidR="0055463E" w:rsidRPr="00124E7F">
        <w:rPr>
          <w:rStyle w:val="AAnormalChar"/>
        </w:rPr>
        <w:t xml:space="preserve"> in DTM </w:t>
      </w:r>
      <w:r w:rsidR="005D236A" w:rsidRPr="00124E7F">
        <w:rPr>
          <w:rStyle w:val="AAnormalChar"/>
        </w:rPr>
        <w:t>licens</w:t>
      </w:r>
      <w:r w:rsidR="007D4AFF" w:rsidRPr="00124E7F">
        <w:rPr>
          <w:rStyle w:val="AAnormalChar"/>
        </w:rPr>
        <w:t>e</w:t>
      </w:r>
      <w:r w:rsidR="0055463E" w:rsidRPr="00124E7F">
        <w:rPr>
          <w:rStyle w:val="AAnormalChar"/>
        </w:rPr>
        <w:t>s and tools at no (or low) additional fees, in particular in the context of non-commercial scientific research (</w:t>
      </w:r>
      <w:r w:rsidR="00D26F77" w:rsidRPr="00124E7F">
        <w:rPr>
          <w:rStyle w:val="AAnormalChar"/>
        </w:rPr>
        <w:fldChar w:fldCharType="begin"/>
      </w:r>
      <w:r w:rsidR="00D26F77" w:rsidRPr="00124E7F">
        <w:rPr>
          <w:rStyle w:val="AAnormalChar"/>
        </w:rPr>
        <w:instrText xml:space="preserve"> REF _Ref467505539 \h </w:instrText>
      </w:r>
      <w:r w:rsidR="00D26F77" w:rsidRPr="00124E7F">
        <w:rPr>
          <w:rStyle w:val="AAnormalChar"/>
        </w:rPr>
      </w:r>
      <w:r w:rsidR="00D26F77" w:rsidRPr="00124E7F">
        <w:rPr>
          <w:rStyle w:val="AAnormalChar"/>
        </w:rPr>
        <w:fldChar w:fldCharType="separate"/>
      </w:r>
      <w:r w:rsidR="0075700D" w:rsidRPr="00124E7F">
        <w:t xml:space="preserve">Box </w:t>
      </w:r>
      <w:r w:rsidR="0075700D">
        <w:rPr>
          <w:noProof/>
        </w:rPr>
        <w:t>6</w:t>
      </w:r>
      <w:r w:rsidR="00D26F77" w:rsidRPr="00124E7F">
        <w:rPr>
          <w:rStyle w:val="AAnormalChar"/>
        </w:rPr>
        <w:fldChar w:fldCharType="end"/>
      </w:r>
      <w:r w:rsidR="00267625" w:rsidRPr="00124E7F">
        <w:rPr>
          <w:rStyle w:val="AAnormalChar"/>
        </w:rPr>
        <w:t xml:space="preserve">). </w:t>
      </w:r>
      <w:r w:rsidR="0055463E" w:rsidRPr="00124E7F">
        <w:rPr>
          <w:rStyle w:val="AAnormalChar"/>
        </w:rPr>
        <w:t>This has important implications for transaction costs, which tend to fall when</w:t>
      </w:r>
      <w:r w:rsidR="0055463E" w:rsidRPr="00124E7F">
        <w:t xml:space="preserve"> </w:t>
      </w:r>
      <w:r w:rsidR="0055463E" w:rsidRPr="00124E7F">
        <w:rPr>
          <w:rStyle w:val="AAnormalChar"/>
        </w:rPr>
        <w:t xml:space="preserve">users have access to standard </w:t>
      </w:r>
      <w:r w:rsidR="005D236A" w:rsidRPr="00124E7F">
        <w:rPr>
          <w:rStyle w:val="AAnormalChar"/>
        </w:rPr>
        <w:t>licens</w:t>
      </w:r>
      <w:r w:rsidR="007D4AFF" w:rsidRPr="00124E7F">
        <w:rPr>
          <w:rStyle w:val="AAnormalChar"/>
        </w:rPr>
        <w:t>e</w:t>
      </w:r>
      <w:r w:rsidR="0055463E" w:rsidRPr="00124E7F">
        <w:rPr>
          <w:rStyle w:val="AAnormalChar"/>
        </w:rPr>
        <w:t xml:space="preserve">s. </w:t>
      </w:r>
    </w:p>
    <w:p w14:paraId="00CD316F" w14:textId="77777777" w:rsidR="0055463E" w:rsidRPr="00124E7F" w:rsidRDefault="009F5024" w:rsidP="009F5024">
      <w:pPr>
        <w:pStyle w:val="Caption"/>
        <w:pBdr>
          <w:top w:val="single" w:sz="4" w:space="1" w:color="808080" w:themeColor="background1" w:themeShade="80"/>
        </w:pBdr>
      </w:pPr>
      <w:bookmarkStart w:id="129" w:name="_Ref467505539"/>
      <w:bookmarkStart w:id="130" w:name="_Ref446267165"/>
      <w:bookmarkStart w:id="131" w:name="_Ref449636590"/>
      <w:r w:rsidRPr="00124E7F">
        <w:t xml:space="preserve">Box </w:t>
      </w:r>
      <w:r w:rsidRPr="00124E7F">
        <w:fldChar w:fldCharType="begin"/>
      </w:r>
      <w:r w:rsidRPr="00124E7F">
        <w:instrText xml:space="preserve"> SEQ Box \* ARABIC </w:instrText>
      </w:r>
      <w:r w:rsidRPr="00124E7F">
        <w:fldChar w:fldCharType="separate"/>
      </w:r>
      <w:r w:rsidR="0075700D">
        <w:rPr>
          <w:noProof/>
        </w:rPr>
        <w:t>6</w:t>
      </w:r>
      <w:r w:rsidRPr="00124E7F">
        <w:fldChar w:fldCharType="end"/>
      </w:r>
      <w:bookmarkEnd w:id="129"/>
      <w:r w:rsidR="00D26F77" w:rsidRPr="00124E7F">
        <w:t>:</w:t>
      </w:r>
      <w:bookmarkEnd w:id="130"/>
      <w:bookmarkEnd w:id="131"/>
      <w:r w:rsidR="00D26F77" w:rsidRPr="00124E7F">
        <w:t xml:space="preserve"> </w:t>
      </w:r>
      <w:r w:rsidR="0055463E" w:rsidRPr="00124E7F">
        <w:t xml:space="preserve">Recent development in DTM </w:t>
      </w:r>
      <w:r w:rsidR="005D236A" w:rsidRPr="00124E7F">
        <w:t>licens</w:t>
      </w:r>
      <w:r w:rsidR="007D4AFF" w:rsidRPr="00124E7F">
        <w:t>e</w:t>
      </w:r>
      <w:r w:rsidR="0055463E" w:rsidRPr="00124E7F">
        <w:t>s and tools</w:t>
      </w:r>
    </w:p>
    <w:p w14:paraId="5AEE1862" w14:textId="77777777" w:rsidR="00D26F77" w:rsidRPr="00124E7F" w:rsidRDefault="00D26F77" w:rsidP="00D26F77">
      <w:pPr>
        <w:pStyle w:val="EYBodytextwithparaspace"/>
      </w:pPr>
      <w:r w:rsidRPr="00124E7F">
        <w:t>Publishers worldwide have been developing specific licenses and tools to facilitate DTM:</w:t>
      </w:r>
    </w:p>
    <w:p w14:paraId="7B2A561E" w14:textId="77777777" w:rsidR="00D26F77" w:rsidRPr="00124E7F" w:rsidRDefault="00D26F77" w:rsidP="00D26F77">
      <w:pPr>
        <w:pStyle w:val="EYBulletedText1"/>
      </w:pPr>
      <w:r w:rsidRPr="00124E7F">
        <w:rPr>
          <w:b/>
        </w:rPr>
        <w:t>Science, technology and medical (STM) publishers</w:t>
      </w:r>
      <w:r w:rsidRPr="00124E7F">
        <w:t xml:space="preserve"> have issued a declaration setting out their commitment to facilitate DTM for non-commercial, scientific research. The declaration has so far been signed by 16 publishers who represent approximately 50% of the world’s literature in STM, social science and humanities. </w:t>
      </w:r>
    </w:p>
    <w:p w14:paraId="2236C57F" w14:textId="77777777" w:rsidR="00D26F77" w:rsidRPr="00124E7F" w:rsidRDefault="00D26F77" w:rsidP="00D26F77">
      <w:pPr>
        <w:pStyle w:val="EYBulletedText1"/>
      </w:pPr>
      <w:proofErr w:type="spellStart"/>
      <w:r w:rsidRPr="00124E7F">
        <w:rPr>
          <w:b/>
        </w:rPr>
        <w:t>Crossref</w:t>
      </w:r>
      <w:proofErr w:type="spellEnd"/>
      <w:r w:rsidRPr="00124E7F">
        <w:t xml:space="preserve"> – the industry content identification and linking platform has developed ‘Prospect,’ designed especially to facilitate DTM by non-commercial researchers and their institutions. Researchers will be able to select publishers of interest, accept their license terms and conditions, and then receive a unique Client API token which facilitates access to the publishers’ content. </w:t>
      </w:r>
    </w:p>
    <w:p w14:paraId="2A4351B6" w14:textId="77777777" w:rsidR="00D26F77" w:rsidRPr="00124E7F" w:rsidRDefault="00D26F77" w:rsidP="00D26F77">
      <w:pPr>
        <w:pStyle w:val="EYBulletedText1"/>
      </w:pPr>
      <w:r w:rsidRPr="00124E7F">
        <w:rPr>
          <w:b/>
        </w:rPr>
        <w:t>Copyright Clearance Center (CCC)</w:t>
      </w:r>
      <w:r w:rsidRPr="00124E7F">
        <w:t xml:space="preserve"> – a US based licensing and rights broker piloted a process to make it easier for commercial researchers to gain quick access to full-text content for mining in a </w:t>
      </w:r>
      <w:proofErr w:type="spellStart"/>
      <w:r w:rsidRPr="00124E7F">
        <w:t>centralised</w:t>
      </w:r>
      <w:proofErr w:type="spellEnd"/>
      <w:r w:rsidRPr="00124E7F">
        <w:t xml:space="preserve"> manner with a common interface. CCC estimates that if the 5 publishers in the pilot were each to negotiate DTM rights, feeds and data standards with corporate users it would require 25 negotiations, with each negotiation typically taking 2-4 months. The ‘hub and spoke’ product reduces the time involved in the process. </w:t>
      </w:r>
    </w:p>
    <w:p w14:paraId="73A26BE9" w14:textId="77777777" w:rsidR="00D26F77" w:rsidRPr="00124E7F" w:rsidRDefault="00D26F77" w:rsidP="00DE543E">
      <w:pPr>
        <w:pStyle w:val="EYBulletedText1"/>
        <w:pBdr>
          <w:bottom w:val="single" w:sz="4" w:space="1" w:color="808080" w:themeColor="background1" w:themeShade="80"/>
        </w:pBdr>
      </w:pPr>
      <w:proofErr w:type="spellStart"/>
      <w:r w:rsidRPr="00124E7F">
        <w:rPr>
          <w:b/>
        </w:rPr>
        <w:t>PLSclea</w:t>
      </w:r>
      <w:r w:rsidRPr="00124E7F">
        <w:t>r</w:t>
      </w:r>
      <w:proofErr w:type="spellEnd"/>
      <w:r w:rsidRPr="00124E7F">
        <w:t xml:space="preserve"> is a web service to simplify the process of making and managing requests to access publisher content for DTM, working as an online clearing-house for research requests.</w:t>
      </w:r>
    </w:p>
    <w:p w14:paraId="1F04B088" w14:textId="6A512927" w:rsidR="00C33531" w:rsidRPr="00124E7F" w:rsidRDefault="0055463E" w:rsidP="00202E68">
      <w:pPr>
        <w:pStyle w:val="EYSource"/>
        <w:keepNext w:val="0"/>
        <w:widowControl w:val="0"/>
        <w:spacing w:after="240"/>
      </w:pPr>
      <w:r w:rsidRPr="00124E7F">
        <w:rPr>
          <w:sz w:val="20"/>
          <w:szCs w:val="20"/>
        </w:rPr>
        <w:t>Source: European Commission (2014), p.16-17</w:t>
      </w:r>
    </w:p>
    <w:p w14:paraId="11F51AD7" w14:textId="77777777" w:rsidR="0055463E" w:rsidRPr="00124E7F" w:rsidRDefault="0055463E" w:rsidP="009206DD">
      <w:pPr>
        <w:pStyle w:val="EYBodytextwithparaspace"/>
        <w:widowControl w:val="0"/>
      </w:pPr>
      <w:r w:rsidRPr="00124E7F">
        <w:t xml:space="preserve">It has yet to be seen how and to what extent these </w:t>
      </w:r>
      <w:r w:rsidR="005D236A" w:rsidRPr="00124E7F">
        <w:t>licens</w:t>
      </w:r>
      <w:r w:rsidR="007D4AFF" w:rsidRPr="00124E7F">
        <w:t>e</w:t>
      </w:r>
      <w:r w:rsidRPr="00124E7F">
        <w:t xml:space="preserve">s and tools will benefit DTM users in Australia. However, it would not be expected that transaction costs would be removed in their entirety. While the majority of publishers may move towards more </w:t>
      </w:r>
      <w:proofErr w:type="spellStart"/>
      <w:r w:rsidRPr="00124E7F">
        <w:t>standardised</w:t>
      </w:r>
      <w:proofErr w:type="spellEnd"/>
      <w:r w:rsidRPr="00124E7F">
        <w:t xml:space="preserve"> </w:t>
      </w:r>
      <w:r w:rsidR="005D236A" w:rsidRPr="00124E7F">
        <w:t>licens</w:t>
      </w:r>
      <w:r w:rsidR="007D4AFF" w:rsidRPr="00124E7F">
        <w:t>e</w:t>
      </w:r>
      <w:r w:rsidRPr="00124E7F">
        <w:t>s, it would only take one publisher to undermine the integrity of a mining project.</w:t>
      </w:r>
      <w:r w:rsidRPr="00124E7F">
        <w:rPr>
          <w:vertAlign w:val="superscript"/>
        </w:rPr>
        <w:footnoteReference w:id="127"/>
      </w:r>
      <w:r w:rsidRPr="00124E7F">
        <w:t xml:space="preserve"> For example, UK-based National Centre for Text Mining highlights the experience of JISC Collections, which had sought to introduce a clause in its model </w:t>
      </w:r>
      <w:r w:rsidR="005D236A" w:rsidRPr="00124E7F">
        <w:t>licens</w:t>
      </w:r>
      <w:r w:rsidR="007D4AFF" w:rsidRPr="00124E7F">
        <w:t>e</w:t>
      </w:r>
      <w:r w:rsidRPr="00124E7F">
        <w:t xml:space="preserve"> to permit DTM activities. According to JISC Collections:</w:t>
      </w:r>
    </w:p>
    <w:p w14:paraId="03135DE3" w14:textId="77777777" w:rsidR="0055463E" w:rsidRPr="00124E7F" w:rsidRDefault="0055463E" w:rsidP="009206DD">
      <w:pPr>
        <w:pStyle w:val="EYIndent1"/>
        <w:widowControl w:val="0"/>
        <w:rPr>
          <w:i/>
          <w:szCs w:val="22"/>
        </w:rPr>
      </w:pPr>
      <w:r w:rsidRPr="00124E7F">
        <w:rPr>
          <w:i/>
          <w:szCs w:val="22"/>
        </w:rPr>
        <w:t xml:space="preserve">Of 17 journal </w:t>
      </w:r>
      <w:r w:rsidR="005D236A" w:rsidRPr="00124E7F">
        <w:rPr>
          <w:i/>
          <w:szCs w:val="22"/>
        </w:rPr>
        <w:t>licens</w:t>
      </w:r>
      <w:r w:rsidRPr="00124E7F">
        <w:rPr>
          <w:i/>
          <w:szCs w:val="22"/>
        </w:rPr>
        <w:t>e agreements negotiated with major journal publishers, 6 publishers accepted the clause, 6 rejected the clause in its entirety and 5 made significant amendments to the clause.</w:t>
      </w:r>
      <w:r w:rsidRPr="00124E7F">
        <w:rPr>
          <w:i/>
          <w:szCs w:val="22"/>
          <w:vertAlign w:val="superscript"/>
        </w:rPr>
        <w:footnoteReference w:id="128"/>
      </w:r>
    </w:p>
    <w:p w14:paraId="19056E49" w14:textId="77777777" w:rsidR="0055463E" w:rsidRPr="00124E7F" w:rsidRDefault="0055463E" w:rsidP="009206DD">
      <w:pPr>
        <w:pStyle w:val="EYBodytextwithparaspace"/>
        <w:widowControl w:val="0"/>
      </w:pPr>
      <w:r w:rsidRPr="00124E7F">
        <w:t xml:space="preserve">This is </w:t>
      </w:r>
      <w:r w:rsidR="00625633" w:rsidRPr="00124E7F">
        <w:t xml:space="preserve">particularly </w:t>
      </w:r>
      <w:r w:rsidRPr="00124E7F">
        <w:t xml:space="preserve">pertinent in an industry that is </w:t>
      </w:r>
      <w:proofErr w:type="spellStart"/>
      <w:r w:rsidRPr="00124E7F">
        <w:t>characterised</w:t>
      </w:r>
      <w:proofErr w:type="spellEnd"/>
      <w:r w:rsidRPr="00124E7F">
        <w:t xml:space="preserve"> by only a few major players. Ware and </w:t>
      </w:r>
      <w:proofErr w:type="spellStart"/>
      <w:r w:rsidRPr="00124E7F">
        <w:t>Mabe</w:t>
      </w:r>
      <w:proofErr w:type="spellEnd"/>
      <w:r w:rsidRPr="00124E7F">
        <w:t xml:space="preserve"> (2015) estimate that there are between 5,000 and 10,000 journal publishers worldwide.</w:t>
      </w:r>
      <w:r w:rsidRPr="00124E7F">
        <w:rPr>
          <w:vertAlign w:val="superscript"/>
        </w:rPr>
        <w:footnoteReference w:id="129"/>
      </w:r>
      <w:r w:rsidRPr="00124E7F">
        <w:rPr>
          <w:vertAlign w:val="superscript"/>
        </w:rPr>
        <w:t xml:space="preserve"> </w:t>
      </w:r>
      <w:r w:rsidRPr="00124E7F">
        <w:t>They report that the ‘distribution of journals by publisher is highly skewed’, with the top 100 publishers (representing 1-2% of all publishers) owning about 70 per cent of all journals.</w:t>
      </w:r>
      <w:r w:rsidRPr="00124E7F">
        <w:rPr>
          <w:vertAlign w:val="superscript"/>
        </w:rPr>
        <w:footnoteReference w:id="130"/>
      </w:r>
      <w:r w:rsidRPr="00124E7F">
        <w:rPr>
          <w:vertAlign w:val="superscript"/>
        </w:rPr>
        <w:t xml:space="preserve"> </w:t>
      </w:r>
      <w:r w:rsidR="007D4AFF" w:rsidRPr="00124E7F">
        <w:t xml:space="preserve">Given that DTM projects rely on large amounts of existing research, this appears to place some market power in the hands of relatively few publishers. </w:t>
      </w:r>
    </w:p>
    <w:p w14:paraId="0064AF6E" w14:textId="77777777" w:rsidR="00A02094" w:rsidRPr="00124E7F" w:rsidRDefault="00A02094" w:rsidP="009206DD">
      <w:pPr>
        <w:pStyle w:val="EYBodytextwithparaspace"/>
        <w:widowControl w:val="0"/>
      </w:pPr>
      <w:r w:rsidRPr="00124E7F">
        <w:t>Therefore, where use of copyright content for DTM is considered fair, we would expect a small reduction in transaction costs from users no longer required to seek permissions from publishers in order to mine their content. It would also prevent possible hold-up situations in which DTM users have searched for the relevant right</w:t>
      </w:r>
      <w:r w:rsidR="00C37ECD" w:rsidRPr="00124E7F">
        <w:t>s</w:t>
      </w:r>
      <w:r w:rsidRPr="00124E7F">
        <w:t xml:space="preserve"> holders only to have their request for permission turned down.</w:t>
      </w:r>
    </w:p>
    <w:p w14:paraId="31AACF53" w14:textId="77777777" w:rsidR="0055463E" w:rsidRPr="00124E7F" w:rsidRDefault="0055463E" w:rsidP="009206DD">
      <w:pPr>
        <w:pStyle w:val="EYHeading4"/>
        <w:keepNext w:val="0"/>
        <w:widowControl w:val="0"/>
      </w:pPr>
      <w:r w:rsidRPr="00124E7F">
        <w:t xml:space="preserve">Economic and </w:t>
      </w:r>
      <w:r w:rsidR="001462B8" w:rsidRPr="00124E7F">
        <w:t>societal</w:t>
      </w:r>
      <w:r w:rsidRPr="00124E7F">
        <w:t xml:space="preserve"> benefits</w:t>
      </w:r>
    </w:p>
    <w:p w14:paraId="00E07E1F" w14:textId="77777777" w:rsidR="0055463E" w:rsidRPr="00124E7F" w:rsidRDefault="0055463E" w:rsidP="009206DD">
      <w:pPr>
        <w:pStyle w:val="EYBodytextwithparaspace"/>
        <w:widowControl w:val="0"/>
      </w:pPr>
      <w:r w:rsidRPr="00124E7F">
        <w:t>Research funding in Australian higher education was $3.7 billion in 2014.</w:t>
      </w:r>
      <w:r w:rsidRPr="00124E7F">
        <w:rPr>
          <w:vertAlign w:val="superscript"/>
        </w:rPr>
        <w:footnoteReference w:id="131"/>
      </w:r>
      <w:r w:rsidRPr="00124E7F">
        <w:t xml:space="preserve"> The main research output of this</w:t>
      </w:r>
      <w:r w:rsidR="000006EF" w:rsidRPr="00124E7F">
        <w:t xml:space="preserve"> funding</w:t>
      </w:r>
      <w:r w:rsidRPr="00124E7F">
        <w:t xml:space="preserve"> is publications. In 2013, Australian uni</w:t>
      </w:r>
      <w:r w:rsidR="007D4AFF" w:rsidRPr="00124E7F">
        <w:t>versities published over 45,000 </w:t>
      </w:r>
      <w:r w:rsidRPr="00124E7F">
        <w:t>journal articles, more than double the volume of such artic</w:t>
      </w:r>
      <w:r w:rsidR="007D3E9A" w:rsidRPr="00124E7F">
        <w:t>les prepared in the previous 10 </w:t>
      </w:r>
      <w:r w:rsidRPr="00124E7F">
        <w:t>years.</w:t>
      </w:r>
      <w:r w:rsidRPr="00124E7F">
        <w:rPr>
          <w:vertAlign w:val="superscript"/>
        </w:rPr>
        <w:footnoteReference w:id="132"/>
      </w:r>
      <w:r w:rsidRPr="00124E7F">
        <w:t xml:space="preserve"> The total value of </w:t>
      </w:r>
      <w:r w:rsidR="000006EF" w:rsidRPr="00124E7F">
        <w:t>this</w:t>
      </w:r>
      <w:r w:rsidRPr="00124E7F">
        <w:t xml:space="preserve"> stock of knowledge has been estimated at $160 billion</w:t>
      </w:r>
      <w:r w:rsidR="000006EF" w:rsidRPr="00124E7F">
        <w:t xml:space="preserve"> </w:t>
      </w:r>
      <w:r w:rsidRPr="00124E7F">
        <w:t xml:space="preserve">(equivalent to almost 10 per cent of GDP in </w:t>
      </w:r>
      <w:r w:rsidR="000006EF" w:rsidRPr="00124E7F">
        <w:t>2014)</w:t>
      </w:r>
      <w:r w:rsidRPr="00124E7F">
        <w:t>.</w:t>
      </w:r>
      <w:r w:rsidRPr="00124E7F">
        <w:rPr>
          <w:vertAlign w:val="superscript"/>
        </w:rPr>
        <w:footnoteReference w:id="133"/>
      </w:r>
      <w:r w:rsidRPr="00124E7F">
        <w:rPr>
          <w:vertAlign w:val="superscript"/>
        </w:rPr>
        <w:t xml:space="preserve"> </w:t>
      </w:r>
      <w:r w:rsidR="001F6AF8" w:rsidRPr="00124E7F">
        <w:t>It follows that</w:t>
      </w:r>
      <w:r w:rsidR="00670261" w:rsidRPr="00124E7F">
        <w:t xml:space="preserve"> </w:t>
      </w:r>
      <w:r w:rsidR="001F6AF8" w:rsidRPr="00124E7F">
        <w:t>a</w:t>
      </w:r>
      <w:r w:rsidR="000006EF" w:rsidRPr="00124E7F">
        <w:t xml:space="preserve">ny </w:t>
      </w:r>
      <w:r w:rsidR="00A02094" w:rsidRPr="00124E7F">
        <w:t>tool or measure</w:t>
      </w:r>
      <w:r w:rsidR="000006EF" w:rsidRPr="00124E7F">
        <w:t xml:space="preserve"> that can derive additional value from these research outputs</w:t>
      </w:r>
      <w:r w:rsidR="001F6AF8" w:rsidRPr="00124E7F">
        <w:t>,</w:t>
      </w:r>
      <w:r w:rsidR="000006EF" w:rsidRPr="00124E7F">
        <w:t xml:space="preserve"> </w:t>
      </w:r>
      <w:r w:rsidR="00A02094" w:rsidRPr="00124E7F">
        <w:t xml:space="preserve">has potentially </w:t>
      </w:r>
      <w:r w:rsidR="007D3E9A" w:rsidRPr="00124E7F">
        <w:t>large</w:t>
      </w:r>
      <w:r w:rsidR="00A02094" w:rsidRPr="00124E7F">
        <w:t xml:space="preserve"> economic and societal benefits</w:t>
      </w:r>
      <w:r w:rsidR="000006EF" w:rsidRPr="00124E7F">
        <w:t xml:space="preserve">. For example, a </w:t>
      </w:r>
      <w:r w:rsidRPr="00124E7F">
        <w:t>report by the UK Joint Information System Committee found that the benefits of DTM include:</w:t>
      </w:r>
    </w:p>
    <w:p w14:paraId="3F531A64" w14:textId="77777777" w:rsidR="0055463E" w:rsidRPr="00124E7F" w:rsidRDefault="0055463E" w:rsidP="009206DD">
      <w:pPr>
        <w:pStyle w:val="EYIndent1"/>
        <w:widowControl w:val="0"/>
        <w:rPr>
          <w:i/>
          <w:szCs w:val="22"/>
        </w:rPr>
      </w:pPr>
      <w:r w:rsidRPr="00124E7F">
        <w:rPr>
          <w:rFonts w:hint="cs"/>
          <w:i/>
          <w:szCs w:val="22"/>
        </w:rPr>
        <w:t>…</w:t>
      </w:r>
      <w:r w:rsidR="001F6AF8" w:rsidRPr="00124E7F">
        <w:rPr>
          <w:i/>
          <w:szCs w:val="22"/>
        </w:rPr>
        <w:t xml:space="preserve"> </w:t>
      </w:r>
      <w:proofErr w:type="gramStart"/>
      <w:r w:rsidRPr="00124E7F">
        <w:rPr>
          <w:i/>
          <w:szCs w:val="22"/>
        </w:rPr>
        <w:t>increased</w:t>
      </w:r>
      <w:proofErr w:type="gramEnd"/>
      <w:r w:rsidRPr="00124E7F">
        <w:rPr>
          <w:i/>
          <w:szCs w:val="22"/>
        </w:rPr>
        <w:t xml:space="preserve"> researcher efficiency unlocking hidden information and developing new knowledge exploring new horizons improved research and evidence base</w:t>
      </w:r>
      <w:r w:rsidRPr="00124E7F">
        <w:rPr>
          <w:rFonts w:hint="cs"/>
          <w:i/>
          <w:szCs w:val="22"/>
        </w:rPr>
        <w:t xml:space="preserve"> </w:t>
      </w:r>
      <w:r w:rsidRPr="00124E7F">
        <w:rPr>
          <w:i/>
          <w:szCs w:val="22"/>
        </w:rPr>
        <w:t>and improving the research process and quality. Broader economic and societal benefits include cost savings and productivity gains, innovative new service development, new business models and new medical treatments.</w:t>
      </w:r>
      <w:r w:rsidRPr="00124E7F">
        <w:rPr>
          <w:i/>
          <w:szCs w:val="22"/>
          <w:vertAlign w:val="superscript"/>
        </w:rPr>
        <w:footnoteReference w:id="134"/>
      </w:r>
    </w:p>
    <w:p w14:paraId="722851D5" w14:textId="77777777" w:rsidR="0055463E" w:rsidRPr="00124E7F" w:rsidRDefault="00A02094" w:rsidP="005E5ED5">
      <w:pPr>
        <w:pStyle w:val="EYBodytextwithparaspace"/>
      </w:pPr>
      <w:r w:rsidRPr="00124E7F">
        <w:t>While t</w:t>
      </w:r>
      <w:r w:rsidR="0055463E" w:rsidRPr="00124E7F">
        <w:t>hese are benefits of DTM rather than the fair dealing</w:t>
      </w:r>
      <w:r w:rsidRPr="00124E7F">
        <w:t xml:space="preserve"> exception, </w:t>
      </w:r>
      <w:r w:rsidR="0055463E" w:rsidRPr="00124E7F">
        <w:t>to the extent that the exception removes barriers to these uses when they are considere</w:t>
      </w:r>
      <w:r w:rsidRPr="00124E7F">
        <w:t xml:space="preserve">d fair, </w:t>
      </w:r>
      <w:r w:rsidR="0055463E" w:rsidRPr="00124E7F">
        <w:t xml:space="preserve">greater </w:t>
      </w:r>
      <w:r w:rsidRPr="00124E7F">
        <w:t xml:space="preserve">public </w:t>
      </w:r>
      <w:r w:rsidR="002D5BC3" w:rsidRPr="00124E7F">
        <w:t>benefits</w:t>
      </w:r>
      <w:r w:rsidR="0055463E" w:rsidRPr="00124E7F">
        <w:t xml:space="preserve"> </w:t>
      </w:r>
      <w:r w:rsidR="001F6AF8" w:rsidRPr="00124E7F">
        <w:t xml:space="preserve">may </w:t>
      </w:r>
      <w:r w:rsidR="0055463E" w:rsidRPr="00124E7F">
        <w:t xml:space="preserve">be </w:t>
      </w:r>
      <w:proofErr w:type="spellStart"/>
      <w:r w:rsidR="0055463E" w:rsidRPr="00124E7F">
        <w:t>reali</w:t>
      </w:r>
      <w:r w:rsidR="000006EF" w:rsidRPr="00124E7F">
        <w:t>sed</w:t>
      </w:r>
      <w:proofErr w:type="spellEnd"/>
      <w:r w:rsidR="000006EF" w:rsidRPr="00124E7F">
        <w:t xml:space="preserve">. </w:t>
      </w:r>
      <w:r w:rsidR="001F6AF8" w:rsidRPr="00124E7F">
        <w:t>G</w:t>
      </w:r>
      <w:r w:rsidR="0055463E" w:rsidRPr="00124E7F">
        <w:t>iven that over 70 per cent of research</w:t>
      </w:r>
      <w:r w:rsidR="00630B8E" w:rsidRPr="00124E7F">
        <w:t xml:space="preserve"> in the higher education sector</w:t>
      </w:r>
      <w:r w:rsidR="0055463E" w:rsidRPr="00124E7F">
        <w:t xml:space="preserve"> is funded by taxpayers’ money, </w:t>
      </w:r>
      <w:r w:rsidR="00153100" w:rsidRPr="00124E7F">
        <w:t xml:space="preserve">an argument could be made </w:t>
      </w:r>
      <w:r w:rsidRPr="00124E7F">
        <w:t xml:space="preserve">that DTM </w:t>
      </w:r>
      <w:proofErr w:type="spellStart"/>
      <w:r w:rsidR="0055463E" w:rsidRPr="00124E7F">
        <w:t>maximise</w:t>
      </w:r>
      <w:r w:rsidRPr="00124E7F">
        <w:t>s</w:t>
      </w:r>
      <w:proofErr w:type="spellEnd"/>
      <w:r w:rsidR="0055463E" w:rsidRPr="00124E7F">
        <w:t xml:space="preserve"> the public’s return from its investments.</w:t>
      </w:r>
      <w:r w:rsidR="0055463E" w:rsidRPr="00124E7F">
        <w:rPr>
          <w:vertAlign w:val="superscript"/>
        </w:rPr>
        <w:footnoteReference w:id="135"/>
      </w:r>
      <w:r w:rsidR="0055463E" w:rsidRPr="00124E7F">
        <w:t xml:space="preserve"> </w:t>
      </w:r>
    </w:p>
    <w:p w14:paraId="0FD84614" w14:textId="77777777" w:rsidR="00D53A3B" w:rsidRPr="00124E7F" w:rsidRDefault="00A02094" w:rsidP="00374194">
      <w:pPr>
        <w:pStyle w:val="AAnormal"/>
      </w:pPr>
      <w:r w:rsidRPr="00124E7F">
        <w:t>The argument has also been made that</w:t>
      </w:r>
      <w:r w:rsidR="00153100" w:rsidRPr="00124E7F">
        <w:t xml:space="preserve"> ‘access to DTM increases the productivity of research because it increases research output with unchanged labour inputs’.</w:t>
      </w:r>
      <w:r w:rsidR="00153100" w:rsidRPr="00124E7F">
        <w:rPr>
          <w:vertAlign w:val="superscript"/>
        </w:rPr>
        <w:footnoteReference w:id="136"/>
      </w:r>
      <w:r w:rsidR="00153100" w:rsidRPr="00124E7F">
        <w:t xml:space="preserve"> </w:t>
      </w:r>
      <w:r w:rsidR="0055463E" w:rsidRPr="00124E7F">
        <w:t>As it is not possible to quantify these benefits</w:t>
      </w:r>
      <w:r w:rsidRPr="00124E7F">
        <w:t xml:space="preserve"> </w:t>
      </w:r>
      <w:r w:rsidR="0055463E" w:rsidRPr="00124E7F">
        <w:t>with any rigour,</w:t>
      </w:r>
      <w:r w:rsidR="00C42AA1" w:rsidRPr="00124E7F">
        <w:t xml:space="preserve"> </w:t>
      </w:r>
      <w:r w:rsidR="00164CE6" w:rsidRPr="00124E7F">
        <w:fldChar w:fldCharType="begin"/>
      </w:r>
      <w:r w:rsidR="00164CE6" w:rsidRPr="00124E7F">
        <w:instrText xml:space="preserve"> REF _Ref467510885 \h </w:instrText>
      </w:r>
      <w:r w:rsidR="00FC4FF6" w:rsidRPr="00124E7F">
        <w:instrText xml:space="preserve"> \* MERGEFORMAT </w:instrText>
      </w:r>
      <w:r w:rsidR="00164CE6" w:rsidRPr="00124E7F">
        <w:fldChar w:fldCharType="separate"/>
      </w:r>
      <w:r w:rsidR="0075700D" w:rsidRPr="00124E7F">
        <w:t xml:space="preserve">Box </w:t>
      </w:r>
      <w:r w:rsidR="0075700D">
        <w:rPr>
          <w:noProof/>
        </w:rPr>
        <w:t>7</w:t>
      </w:r>
      <w:r w:rsidR="00164CE6" w:rsidRPr="00124E7F">
        <w:fldChar w:fldCharType="end"/>
      </w:r>
      <w:r w:rsidR="00164CE6" w:rsidRPr="00124E7F">
        <w:t xml:space="preserve"> </w:t>
      </w:r>
      <w:r w:rsidR="0055463E" w:rsidRPr="00124E7F">
        <w:t>replicate</w:t>
      </w:r>
      <w:r w:rsidR="00153100" w:rsidRPr="00124E7F">
        <w:t>s</w:t>
      </w:r>
      <w:r w:rsidR="0055463E" w:rsidRPr="00124E7F">
        <w:t xml:space="preserve"> some analysis undertaken in the UK context in order to demonstrate the potential magnitude of </w:t>
      </w:r>
      <w:r w:rsidRPr="00124E7F">
        <w:t>these</w:t>
      </w:r>
      <w:r w:rsidR="0055463E" w:rsidRPr="00124E7F">
        <w:t xml:space="preserve"> gains.</w:t>
      </w:r>
      <w:r w:rsidR="0055463E" w:rsidRPr="00124E7F">
        <w:rPr>
          <w:vertAlign w:val="superscript"/>
        </w:rPr>
        <w:footnoteReference w:id="137"/>
      </w:r>
      <w:r w:rsidR="00161488" w:rsidRPr="00124E7F">
        <w:t xml:space="preserve"> </w:t>
      </w:r>
      <w:r w:rsidRPr="00124E7F">
        <w:t>Given a number of factors including the relatively nascent nature of DTM</w:t>
      </w:r>
      <w:r w:rsidR="007719F5" w:rsidRPr="00124E7F">
        <w:t xml:space="preserve"> in Australia</w:t>
      </w:r>
      <w:r w:rsidRPr="00124E7F">
        <w:t xml:space="preserve">, growing standardisation of </w:t>
      </w:r>
      <w:r w:rsidR="005D236A" w:rsidRPr="00124E7F">
        <w:t>licens</w:t>
      </w:r>
      <w:r w:rsidR="007D4AFF" w:rsidRPr="00124E7F">
        <w:t>e</w:t>
      </w:r>
      <w:r w:rsidRPr="00124E7F">
        <w:t>s</w:t>
      </w:r>
      <w:r w:rsidR="007719F5" w:rsidRPr="00124E7F">
        <w:t>,</w:t>
      </w:r>
      <w:r w:rsidRPr="00124E7F">
        <w:t xml:space="preserve"> and the fact that not all academics will have use for </w:t>
      </w:r>
      <w:r w:rsidR="007719F5" w:rsidRPr="00124E7F">
        <w:t>DTM</w:t>
      </w:r>
      <w:r w:rsidRPr="00124E7F">
        <w:t xml:space="preserve">, the </w:t>
      </w:r>
      <w:r w:rsidR="007719F5" w:rsidRPr="00124E7F">
        <w:t>benefit</w:t>
      </w:r>
      <w:r w:rsidRPr="00124E7F">
        <w:t xml:space="preserve"> would not be expected to be as large as this. </w:t>
      </w:r>
      <w:r w:rsidR="007719F5" w:rsidRPr="00124E7F">
        <w:t xml:space="preserve">Nevertheless to the extent that a fall in transaction costs increases the rate of </w:t>
      </w:r>
      <w:r w:rsidR="00625633" w:rsidRPr="00124E7F">
        <w:t>DTM</w:t>
      </w:r>
      <w:r w:rsidR="007719F5" w:rsidRPr="00124E7F">
        <w:t>, some broader socio economic benefits would be expected.</w:t>
      </w:r>
    </w:p>
    <w:p w14:paraId="77051DBE" w14:textId="77777777" w:rsidR="00DE543E" w:rsidRPr="00124E7F" w:rsidRDefault="00DE543E">
      <w:pPr>
        <w:widowControl/>
        <w:autoSpaceDE/>
        <w:autoSpaceDN/>
        <w:adjustRightInd/>
        <w:spacing w:line="240" w:lineRule="auto"/>
        <w:rPr>
          <w:b/>
          <w:bCs/>
          <w:sz w:val="24"/>
          <w:szCs w:val="18"/>
        </w:rPr>
      </w:pPr>
      <w:bookmarkStart w:id="132" w:name="_Ref467505593"/>
      <w:bookmarkStart w:id="133" w:name="_Ref448236540"/>
    </w:p>
    <w:p w14:paraId="1A52EFDF" w14:textId="77777777" w:rsidR="00153100" w:rsidRPr="00124E7F" w:rsidRDefault="009F5024" w:rsidP="009F5024">
      <w:pPr>
        <w:pStyle w:val="Caption"/>
        <w:pBdr>
          <w:top w:val="single" w:sz="4" w:space="1" w:color="808080" w:themeColor="background1" w:themeShade="80"/>
        </w:pBdr>
      </w:pPr>
      <w:bookmarkStart w:id="134" w:name="_Ref467510885"/>
      <w:r w:rsidRPr="00124E7F">
        <w:t xml:space="preserve">Box </w:t>
      </w:r>
      <w:r w:rsidRPr="00124E7F">
        <w:fldChar w:fldCharType="begin"/>
      </w:r>
      <w:r w:rsidRPr="00124E7F">
        <w:instrText xml:space="preserve"> SEQ Box \* ARABIC </w:instrText>
      </w:r>
      <w:r w:rsidRPr="00124E7F">
        <w:fldChar w:fldCharType="separate"/>
      </w:r>
      <w:r w:rsidR="0075700D">
        <w:rPr>
          <w:noProof/>
        </w:rPr>
        <w:t>7</w:t>
      </w:r>
      <w:r w:rsidRPr="00124E7F">
        <w:fldChar w:fldCharType="end"/>
      </w:r>
      <w:bookmarkEnd w:id="132"/>
      <w:bookmarkEnd w:id="134"/>
      <w:r w:rsidR="00390B09" w:rsidRPr="00124E7F">
        <w:t>:</w:t>
      </w:r>
      <w:bookmarkEnd w:id="133"/>
      <w:r w:rsidR="00153100" w:rsidRPr="00124E7F">
        <w:t xml:space="preserve"> Productivity gain as a result of an exception </w:t>
      </w:r>
    </w:p>
    <w:p w14:paraId="7AC8FC93" w14:textId="77777777" w:rsidR="00390B09" w:rsidRPr="00124E7F" w:rsidRDefault="00390B09" w:rsidP="00DE543E">
      <w:pPr>
        <w:pStyle w:val="EYBodytextwithparaspace"/>
        <w:pBdr>
          <w:bottom w:val="single" w:sz="4" w:space="1" w:color="808080" w:themeColor="background1" w:themeShade="80"/>
        </w:pBdr>
      </w:pPr>
      <w:r w:rsidRPr="00124E7F">
        <w:t>According to the most recent data from the Department of Education, in 2015 there were 15,000 researchers (FTE) in the higher education sector.</w:t>
      </w:r>
      <w:r w:rsidRPr="00124E7F">
        <w:rPr>
          <w:vertAlign w:val="superscript"/>
        </w:rPr>
        <w:footnoteReference w:id="138"/>
      </w:r>
      <w:r w:rsidRPr="00124E7F">
        <w:rPr>
          <w:vertAlign w:val="superscript"/>
        </w:rPr>
        <w:t xml:space="preserve"> </w:t>
      </w:r>
      <w:r w:rsidRPr="00124E7F">
        <w:t>Using data from the Grattan Institute (based on University Enterprise Agreements), we calculate the median salary for Australian academics fell within the range of $106,000 and $141,000 in 2014 (2016 prices), which translates to between $61 and $82 per hour.</w:t>
      </w:r>
      <w:r w:rsidRPr="00124E7F">
        <w:rPr>
          <w:vertAlign w:val="superscript"/>
        </w:rPr>
        <w:footnoteReference w:id="139"/>
      </w:r>
      <w:r w:rsidRPr="00124E7F">
        <w:t xml:space="preserve"> To the best of our knowledge, there are no empirical estimates on the impact of DTM on research productivity. For this reason, the UK study assumed that DTM increases the volume of data accessible to researchers and thereby increases the productivity of research by 2 per cent.</w:t>
      </w:r>
      <w:r w:rsidRPr="00124E7F">
        <w:rPr>
          <w:vertAlign w:val="superscript"/>
        </w:rPr>
        <w:footnoteReference w:id="140"/>
      </w:r>
      <w:r w:rsidRPr="00124E7F">
        <w:rPr>
          <w:vertAlign w:val="superscript"/>
        </w:rPr>
        <w:t xml:space="preserve"> </w:t>
      </w:r>
      <w:r w:rsidRPr="00124E7F">
        <w:t xml:space="preserve">If we use this central but untested assumption, a 2 per cent increase in productivity corresponds to 45 minutes per academic per week and 506,000 working hours saved in total per year. This would imply productivity gains between $31 million and $41 million in researcher working time per year. </w:t>
      </w:r>
    </w:p>
    <w:p w14:paraId="0B8E86F2" w14:textId="77777777" w:rsidR="00C33531" w:rsidRPr="00124E7F" w:rsidRDefault="00C33531">
      <w:pPr>
        <w:widowControl/>
        <w:autoSpaceDE/>
        <w:autoSpaceDN/>
        <w:adjustRightInd/>
        <w:spacing w:line="240" w:lineRule="auto"/>
        <w:rPr>
          <w:b/>
          <w:szCs w:val="24"/>
          <w:lang w:val="en-US"/>
        </w:rPr>
      </w:pPr>
    </w:p>
    <w:p w14:paraId="75DBA8FC" w14:textId="77777777" w:rsidR="0055463E" w:rsidRPr="00124E7F" w:rsidRDefault="0055463E" w:rsidP="00977380">
      <w:pPr>
        <w:pStyle w:val="EYHeading4"/>
      </w:pPr>
      <w:r w:rsidRPr="00124E7F">
        <w:t>Costs in foregone revenue to right</w:t>
      </w:r>
      <w:r w:rsidR="00C37ECD" w:rsidRPr="00124E7F">
        <w:t>s</w:t>
      </w:r>
      <w:r w:rsidRPr="00124E7F">
        <w:t xml:space="preserve"> holders</w:t>
      </w:r>
      <w:r w:rsidR="006E40A8" w:rsidRPr="00124E7F">
        <w:t xml:space="preserve"> and incentives to produce new works</w:t>
      </w:r>
    </w:p>
    <w:p w14:paraId="06EEB8CC" w14:textId="77777777" w:rsidR="007719F5" w:rsidRPr="00124E7F" w:rsidRDefault="0055463E" w:rsidP="00267625">
      <w:pPr>
        <w:pStyle w:val="EYBodytextwithparaspace"/>
      </w:pPr>
      <w:r w:rsidRPr="00124E7F">
        <w:t xml:space="preserve">There is currently no Australian data on the number of </w:t>
      </w:r>
      <w:r w:rsidR="005D236A" w:rsidRPr="00124E7F">
        <w:t>licens</w:t>
      </w:r>
      <w:r w:rsidR="007D4AFF" w:rsidRPr="00124E7F">
        <w:t>e</w:t>
      </w:r>
      <w:r w:rsidRPr="00124E7F">
        <w:t>s granted and associ</w:t>
      </w:r>
      <w:r w:rsidR="00302B72" w:rsidRPr="00124E7F">
        <w:t xml:space="preserve">ated revenue collected per year </w:t>
      </w:r>
      <w:r w:rsidRPr="00124E7F">
        <w:t xml:space="preserve">specifically for DTM. Nevertheless, anecdotal evidence suggests that requests for DTM </w:t>
      </w:r>
      <w:r w:rsidR="005D236A" w:rsidRPr="00124E7F">
        <w:t>licens</w:t>
      </w:r>
      <w:r w:rsidR="007D4AFF" w:rsidRPr="00124E7F">
        <w:t>e</w:t>
      </w:r>
      <w:r w:rsidRPr="00124E7F">
        <w:t xml:space="preserve">s per provider are small. Moreover, DTM access is usually negotiated as part of the </w:t>
      </w:r>
      <w:r w:rsidR="005D236A" w:rsidRPr="00124E7F">
        <w:t>licens</w:t>
      </w:r>
      <w:r w:rsidR="007D4AFF" w:rsidRPr="00124E7F">
        <w:t>e</w:t>
      </w:r>
      <w:r w:rsidRPr="00124E7F">
        <w:t xml:space="preserve"> renewal cycle, rather than as separate access. That is, requestors are most often existing customers who hold a corporate or institutional </w:t>
      </w:r>
      <w:r w:rsidR="005D236A" w:rsidRPr="00124E7F">
        <w:t>licens</w:t>
      </w:r>
      <w:r w:rsidR="007D4AFF" w:rsidRPr="00124E7F">
        <w:t>e</w:t>
      </w:r>
      <w:r w:rsidRPr="00124E7F">
        <w:t xml:space="preserve"> and who now wish to have the flexibility to undertake DTM.</w:t>
      </w:r>
      <w:r w:rsidR="007719F5" w:rsidRPr="00124E7F">
        <w:t xml:space="preserve"> </w:t>
      </w:r>
      <w:r w:rsidRPr="00124E7F">
        <w:t xml:space="preserve">In the context of non-commercial research, tools such as </w:t>
      </w:r>
      <w:proofErr w:type="spellStart"/>
      <w:r w:rsidRPr="00124E7F">
        <w:t>Crossref</w:t>
      </w:r>
      <w:proofErr w:type="spellEnd"/>
      <w:r w:rsidRPr="00124E7F">
        <w:t xml:space="preserve"> (</w:t>
      </w:r>
      <w:r w:rsidR="003D01C1" w:rsidRPr="00124E7F">
        <w:fldChar w:fldCharType="begin"/>
      </w:r>
      <w:r w:rsidR="003D01C1" w:rsidRPr="00124E7F">
        <w:instrText xml:space="preserve"> REF _Ref467505539 \h </w:instrText>
      </w:r>
      <w:r w:rsidR="003D01C1" w:rsidRPr="00124E7F">
        <w:fldChar w:fldCharType="separate"/>
      </w:r>
      <w:r w:rsidR="0075700D" w:rsidRPr="00124E7F">
        <w:t xml:space="preserve">Box </w:t>
      </w:r>
      <w:r w:rsidR="0075700D">
        <w:rPr>
          <w:noProof/>
        </w:rPr>
        <w:t>6</w:t>
      </w:r>
      <w:r w:rsidR="003D01C1" w:rsidRPr="00124E7F">
        <w:fldChar w:fldCharType="end"/>
      </w:r>
      <w:r w:rsidRPr="00124E7F">
        <w:t>) already allow access to subscribed content sets for DTM at no additional cost.</w:t>
      </w:r>
      <w:r w:rsidRPr="00124E7F">
        <w:rPr>
          <w:vertAlign w:val="superscript"/>
        </w:rPr>
        <w:footnoteReference w:id="141"/>
      </w:r>
      <w:r w:rsidRPr="00124E7F">
        <w:rPr>
          <w:vertAlign w:val="superscript"/>
        </w:rPr>
        <w:t xml:space="preserve"> </w:t>
      </w:r>
      <w:r w:rsidR="007719F5" w:rsidRPr="00124E7F">
        <w:t xml:space="preserve">Given that </w:t>
      </w:r>
      <w:r w:rsidR="00302B72" w:rsidRPr="00124E7F">
        <w:t xml:space="preserve">the </w:t>
      </w:r>
      <w:r w:rsidR="007719F5" w:rsidRPr="00124E7F">
        <w:t>current business models</w:t>
      </w:r>
      <w:r w:rsidR="00302B72" w:rsidRPr="00124E7F">
        <w:t xml:space="preserve"> of publishers</w:t>
      </w:r>
      <w:r w:rsidR="007719F5" w:rsidRPr="00124E7F">
        <w:t xml:space="preserve"> do not appear to be based on providing DTM as the main source of revenue, right</w:t>
      </w:r>
      <w:r w:rsidR="00C37ECD" w:rsidRPr="00124E7F">
        <w:t>s</w:t>
      </w:r>
      <w:r w:rsidR="007719F5" w:rsidRPr="00124E7F">
        <w:t xml:space="preserve"> holders are not likely to be significantly harmed by </w:t>
      </w:r>
      <w:r w:rsidR="00302B72" w:rsidRPr="00124E7F">
        <w:t>an</w:t>
      </w:r>
      <w:r w:rsidR="007719F5" w:rsidRPr="00124E7F">
        <w:t xml:space="preserve"> exception. </w:t>
      </w:r>
    </w:p>
    <w:p w14:paraId="0F34174B" w14:textId="77777777" w:rsidR="00302B72" w:rsidRPr="00124E7F" w:rsidRDefault="00302B72" w:rsidP="005E5ED5">
      <w:pPr>
        <w:pStyle w:val="EYBodytextwithparaspace"/>
      </w:pPr>
      <w:r w:rsidRPr="00124E7F">
        <w:t>DTM should typically not be a concern for publishers</w:t>
      </w:r>
      <w:r w:rsidR="00670261" w:rsidRPr="00124E7F">
        <w:t xml:space="preserve"> or creators</w:t>
      </w:r>
      <w:r w:rsidRPr="00124E7F">
        <w:t xml:space="preserve"> (or impact on incentives to create content), as </w:t>
      </w:r>
      <w:r w:rsidR="00670261" w:rsidRPr="00124E7F">
        <w:t xml:space="preserve">it </w:t>
      </w:r>
      <w:r w:rsidRPr="00124E7F">
        <w:t>does not generally lead to ‘derivative information products’ that would ‘supersede’ or ‘supplant’ the original work. Rather DTM</w:t>
      </w:r>
      <w:r w:rsidR="00C55B35" w:rsidRPr="00124E7F">
        <w:t>,</w:t>
      </w:r>
      <w:r w:rsidRPr="00124E7F">
        <w:t xml:space="preserve"> </w:t>
      </w:r>
      <w:r w:rsidR="00670261" w:rsidRPr="00124E7F">
        <w:t xml:space="preserve">especially </w:t>
      </w:r>
      <w:r w:rsidRPr="00124E7F">
        <w:t>for research purposes</w:t>
      </w:r>
      <w:r w:rsidR="00C55B35" w:rsidRPr="00124E7F">
        <w:t xml:space="preserve">, </w:t>
      </w:r>
      <w:r w:rsidRPr="00124E7F">
        <w:t>leads to the discovery of new insights, and in this sense is t</w:t>
      </w:r>
      <w:r w:rsidR="004115D0" w:rsidRPr="00124E7F">
        <w:t>ransformative. For the purposes</w:t>
      </w:r>
      <w:r w:rsidRPr="00124E7F">
        <w:t xml:space="preserve"> of this analysis it is assumed that where DTM creates substitutes of the original work, use would be considered less fair.</w:t>
      </w:r>
    </w:p>
    <w:p w14:paraId="5C6E6007" w14:textId="77777777" w:rsidR="0055463E" w:rsidRPr="00124E7F" w:rsidRDefault="0055463E" w:rsidP="005E5ED5">
      <w:pPr>
        <w:pStyle w:val="EYBodytextwithparaspace"/>
      </w:pPr>
      <w:r w:rsidRPr="00124E7F">
        <w:t xml:space="preserve">It is </w:t>
      </w:r>
      <w:r w:rsidR="00302B72" w:rsidRPr="00124E7F">
        <w:t xml:space="preserve">also </w:t>
      </w:r>
      <w:r w:rsidRPr="00124E7F">
        <w:t xml:space="preserve">assumed that an exception would only cover DTM activities carried out on content that has been lawfully accessed. For this reason, publishers and authors would not be expected to suffer from fewer subscriptions to their content relative to the status quo. </w:t>
      </w:r>
    </w:p>
    <w:p w14:paraId="1166C6D6" w14:textId="77777777" w:rsidR="0055463E" w:rsidRPr="00124E7F" w:rsidRDefault="0055463E" w:rsidP="007A51B0">
      <w:pPr>
        <w:pStyle w:val="EYHeading4"/>
      </w:pPr>
      <w:r w:rsidRPr="00124E7F">
        <w:t>Other costs to right</w:t>
      </w:r>
      <w:r w:rsidR="00C37ECD" w:rsidRPr="00124E7F">
        <w:t>s</w:t>
      </w:r>
      <w:r w:rsidRPr="00124E7F">
        <w:t xml:space="preserve"> holders</w:t>
      </w:r>
    </w:p>
    <w:p w14:paraId="2EE6AE80" w14:textId="77777777" w:rsidR="00302B72" w:rsidRPr="00124E7F" w:rsidRDefault="0055463E" w:rsidP="005E5ED5">
      <w:pPr>
        <w:pStyle w:val="EYBodytextwithparaspace"/>
      </w:pPr>
      <w:r w:rsidRPr="00124E7F">
        <w:rPr>
          <w:rStyle w:val="AAnormalChar"/>
        </w:rPr>
        <w:t xml:space="preserve">There is some concern in the industry that, </w:t>
      </w:r>
      <w:r w:rsidR="00670261" w:rsidRPr="00124E7F">
        <w:rPr>
          <w:rStyle w:val="AAnormalChar"/>
        </w:rPr>
        <w:t xml:space="preserve">should </w:t>
      </w:r>
      <w:r w:rsidRPr="00124E7F">
        <w:rPr>
          <w:rStyle w:val="AAnormalChar"/>
        </w:rPr>
        <w:t xml:space="preserve">there </w:t>
      </w:r>
      <w:r w:rsidR="00670261" w:rsidRPr="00124E7F">
        <w:rPr>
          <w:rStyle w:val="AAnormalChar"/>
        </w:rPr>
        <w:t>be</w:t>
      </w:r>
      <w:r w:rsidRPr="00124E7F">
        <w:rPr>
          <w:rStyle w:val="AAnormalChar"/>
        </w:rPr>
        <w:t xml:space="preserve"> a significant increase in DTM </w:t>
      </w:r>
      <w:r w:rsidR="00431024" w:rsidRPr="00124E7F">
        <w:rPr>
          <w:rStyle w:val="AAnormalChar"/>
        </w:rPr>
        <w:t>activity</w:t>
      </w:r>
      <w:r w:rsidRPr="00124E7F">
        <w:rPr>
          <w:rStyle w:val="AAnormalChar"/>
        </w:rPr>
        <w:t xml:space="preserve"> due to an exception, publishers may need to act to manage this traffic</w:t>
      </w:r>
      <w:r w:rsidR="00670261" w:rsidRPr="00124E7F">
        <w:rPr>
          <w:rStyle w:val="AAnormalChar"/>
        </w:rPr>
        <w:t xml:space="preserve"> on their servers</w:t>
      </w:r>
      <w:r w:rsidRPr="00124E7F">
        <w:rPr>
          <w:rStyle w:val="AAnormalChar"/>
        </w:rPr>
        <w:t>. In the context of an EU review on DTM, for example</w:t>
      </w:r>
      <w:r w:rsidR="007D4AFF" w:rsidRPr="00124E7F">
        <w:rPr>
          <w:rStyle w:val="AAnormalChar"/>
        </w:rPr>
        <w:t>, Reed Elsevier submitted that ’</w:t>
      </w:r>
      <w:r w:rsidRPr="00124E7F">
        <w:rPr>
          <w:rStyle w:val="AAnormalChar"/>
        </w:rPr>
        <w:t>20 researchers crawling their site would significantly reduce its functionality for others’</w:t>
      </w:r>
      <w:r w:rsidR="007D4AFF" w:rsidRPr="00124E7F">
        <w:rPr>
          <w:rStyle w:val="AAnormalChar"/>
        </w:rPr>
        <w:t>.</w:t>
      </w:r>
      <w:r w:rsidRPr="00124E7F">
        <w:rPr>
          <w:rStyle w:val="AAnormalChar"/>
          <w:vertAlign w:val="superscript"/>
        </w:rPr>
        <w:footnoteReference w:id="142"/>
      </w:r>
      <w:r w:rsidRPr="00124E7F">
        <w:rPr>
          <w:rStyle w:val="AAnormalChar"/>
          <w:vertAlign w:val="superscript"/>
        </w:rPr>
        <w:t>.</w:t>
      </w:r>
      <w:r w:rsidRPr="00124E7F">
        <w:rPr>
          <w:rStyle w:val="AAnormalChar"/>
        </w:rPr>
        <w:t>Thomson Reuters supported this view, arguing</w:t>
      </w:r>
      <w:r w:rsidRPr="00124E7F">
        <w:t xml:space="preserve"> that, ‘should the volume of DTM requests rise substantially, it would have to introduce additional </w:t>
      </w:r>
      <w:r w:rsidR="00431024" w:rsidRPr="00124E7F">
        <w:t>server</w:t>
      </w:r>
      <w:r w:rsidRPr="00124E7F">
        <w:t xml:space="preserve"> capacity, bandwidth and monitoring to deliver an online on demand text mining service’</w:t>
      </w:r>
      <w:r w:rsidR="007D4AFF" w:rsidRPr="00124E7F">
        <w:t>.</w:t>
      </w:r>
      <w:r w:rsidRPr="00124E7F">
        <w:rPr>
          <w:vertAlign w:val="superscript"/>
        </w:rPr>
        <w:footnoteReference w:id="143"/>
      </w:r>
      <w:r w:rsidR="007D4AFF" w:rsidRPr="00124E7F">
        <w:t xml:space="preserve"> </w:t>
      </w:r>
      <w:r w:rsidR="000B2B30" w:rsidRPr="00124E7F">
        <w:t>A few</w:t>
      </w:r>
      <w:r w:rsidRPr="00124E7F">
        <w:t xml:space="preserve"> responses on this topic from o</w:t>
      </w:r>
      <w:r w:rsidR="004115D0" w:rsidRPr="00124E7F">
        <w:t>ur consultations</w:t>
      </w:r>
      <w:r w:rsidR="00302B72" w:rsidRPr="00124E7F">
        <w:t xml:space="preserve"> suggests similar concerns from publishers operating in Australia.</w:t>
      </w:r>
    </w:p>
    <w:p w14:paraId="62C12529" w14:textId="77777777" w:rsidR="00302B72" w:rsidRPr="00124E7F" w:rsidRDefault="00302B72" w:rsidP="005E5ED5">
      <w:pPr>
        <w:pStyle w:val="EYBodytextwithparaspace"/>
      </w:pPr>
      <w:r w:rsidRPr="00124E7F">
        <w:t>R</w:t>
      </w:r>
      <w:r w:rsidR="0055463E" w:rsidRPr="00124E7F">
        <w:t>esearchers submitting to the same EU study</w:t>
      </w:r>
      <w:r w:rsidRPr="00124E7F">
        <w:t>, however,</w:t>
      </w:r>
      <w:r w:rsidR="0055463E" w:rsidRPr="00124E7F">
        <w:t xml:space="preserve"> submitted that these concerns are largely unwarranted. For example, the Association of Europe Research Libraries noted that ‘publishing infrastructures are already ably dealing with heavy demand from services such as Reddit’</w:t>
      </w:r>
      <w:r w:rsidR="007D4AFF" w:rsidRPr="00124E7F">
        <w:t>.</w:t>
      </w:r>
      <w:r w:rsidR="0055463E" w:rsidRPr="00124E7F">
        <w:rPr>
          <w:vertAlign w:val="superscript"/>
        </w:rPr>
        <w:footnoteReference w:id="144"/>
      </w:r>
      <w:r w:rsidR="0055463E" w:rsidRPr="00124E7F">
        <w:rPr>
          <w:vertAlign w:val="superscript"/>
        </w:rPr>
        <w:t xml:space="preserve"> </w:t>
      </w:r>
      <w:r w:rsidR="0055463E" w:rsidRPr="00124E7F">
        <w:t>Moreover, they argued that publishers have a number of techniques for managing DTM related traffic including appropriate use of caching; having effective monitoring techniques, using load balancers, and blocking access to robots that exceed a certain rate or threshold.</w:t>
      </w:r>
      <w:r w:rsidR="0055463E" w:rsidRPr="00124E7F">
        <w:rPr>
          <w:vertAlign w:val="superscript"/>
        </w:rPr>
        <w:footnoteReference w:id="145"/>
      </w:r>
    </w:p>
    <w:p w14:paraId="26BB8CBC" w14:textId="77777777" w:rsidR="00302B72" w:rsidRPr="00124E7F" w:rsidRDefault="00865E06" w:rsidP="005E5ED5">
      <w:pPr>
        <w:pStyle w:val="EYBodytextwithparaspace"/>
      </w:pPr>
      <w:r w:rsidRPr="00124E7F">
        <w:t>There is insufficient information available to determine whether or not this constitute</w:t>
      </w:r>
      <w:r w:rsidR="00625633" w:rsidRPr="00124E7F">
        <w:t>s</w:t>
      </w:r>
      <w:r w:rsidRPr="00124E7F">
        <w:t xml:space="preserve"> a large </w:t>
      </w:r>
      <w:r w:rsidR="00625633" w:rsidRPr="00124E7F">
        <w:t>risk</w:t>
      </w:r>
      <w:r w:rsidRPr="00124E7F">
        <w:t xml:space="preserve"> in an Australian context. </w:t>
      </w:r>
      <w:r w:rsidR="00302B72" w:rsidRPr="00124E7F">
        <w:t>Nevertheless, to the extent that DTM is covered by the exception, right</w:t>
      </w:r>
      <w:r w:rsidR="00C37ECD" w:rsidRPr="00124E7F">
        <w:t>s</w:t>
      </w:r>
      <w:r w:rsidR="00302B72" w:rsidRPr="00124E7F">
        <w:t xml:space="preserve"> holders may not have sufficient incentives to continue current investments needed to facilitate DTM. This </w:t>
      </w:r>
      <w:r w:rsidR="00E6129E" w:rsidRPr="00124E7F">
        <w:t>would be expected to</w:t>
      </w:r>
      <w:r w:rsidR="00302B72" w:rsidRPr="00124E7F">
        <w:t xml:space="preserve"> have a negative impact </w:t>
      </w:r>
      <w:r w:rsidR="004115D0" w:rsidRPr="00124E7F">
        <w:t>on</w:t>
      </w:r>
      <w:r w:rsidR="00302B72" w:rsidRPr="00124E7F">
        <w:t xml:space="preserve"> DTM in the long run.  </w:t>
      </w:r>
    </w:p>
    <w:p w14:paraId="0412BEEC" w14:textId="77777777" w:rsidR="009F5024" w:rsidRPr="00124E7F" w:rsidRDefault="009F5024">
      <w:pPr>
        <w:widowControl/>
        <w:autoSpaceDE/>
        <w:autoSpaceDN/>
        <w:adjustRightInd/>
        <w:spacing w:line="240" w:lineRule="auto"/>
        <w:rPr>
          <w:b/>
          <w:sz w:val="28"/>
          <w:szCs w:val="24"/>
          <w:lang w:val="en-US"/>
        </w:rPr>
      </w:pPr>
      <w:bookmarkStart w:id="135" w:name="_Toc451769114"/>
      <w:r w:rsidRPr="00124E7F">
        <w:br w:type="page"/>
      </w:r>
    </w:p>
    <w:p w14:paraId="5E33272B" w14:textId="77777777" w:rsidR="00804598" w:rsidRPr="00124E7F" w:rsidRDefault="00A30052" w:rsidP="00A47ED3">
      <w:pPr>
        <w:pStyle w:val="EYHeading2"/>
        <w:tabs>
          <w:tab w:val="clear" w:pos="0"/>
        </w:tabs>
      </w:pPr>
      <w:bookmarkStart w:id="136" w:name="_Toc467768611"/>
      <w:bookmarkStart w:id="137" w:name="_Toc467768663"/>
      <w:bookmarkStart w:id="138" w:name="_Toc467768955"/>
      <w:bookmarkStart w:id="139" w:name="_Toc467769084"/>
      <w:bookmarkStart w:id="140" w:name="_Toc469644741"/>
      <w:r w:rsidRPr="00124E7F">
        <w:t>Education</w:t>
      </w:r>
      <w:bookmarkEnd w:id="135"/>
      <w:bookmarkEnd w:id="136"/>
      <w:bookmarkEnd w:id="137"/>
      <w:bookmarkEnd w:id="138"/>
      <w:bookmarkEnd w:id="139"/>
      <w:bookmarkEnd w:id="140"/>
    </w:p>
    <w:p w14:paraId="6B7288BE" w14:textId="77777777" w:rsidR="00A30052" w:rsidRPr="00124E7F" w:rsidRDefault="006C09D7" w:rsidP="003340FD">
      <w:pPr>
        <w:pStyle w:val="EYHeading3"/>
      </w:pPr>
      <w:r w:rsidRPr="00124E7F">
        <w:t>Current law</w:t>
      </w:r>
    </w:p>
    <w:p w14:paraId="23F4BEFC" w14:textId="77777777" w:rsidR="00A30052" w:rsidRPr="00124E7F" w:rsidRDefault="00597EA1" w:rsidP="003340FD">
      <w:pPr>
        <w:pStyle w:val="EYBodytextwithparaspace"/>
      </w:pPr>
      <w:r w:rsidRPr="00124E7F">
        <w:t xml:space="preserve">The Copyright Act already </w:t>
      </w:r>
      <w:proofErr w:type="spellStart"/>
      <w:r w:rsidRPr="00124E7F">
        <w:t>recognises</w:t>
      </w:r>
      <w:proofErr w:type="spellEnd"/>
      <w:r w:rsidRPr="00124E7F">
        <w:t xml:space="preserve"> the public interest in educational uses of copyright materials by way of exceptions to the exclusive rights of owners and </w:t>
      </w:r>
      <w:r w:rsidR="009978DD" w:rsidRPr="00124E7F">
        <w:t xml:space="preserve">statutory </w:t>
      </w:r>
      <w:r w:rsidR="008D7BC8" w:rsidRPr="00124E7F">
        <w:t>licenses</w:t>
      </w:r>
      <w:r w:rsidRPr="00124E7F">
        <w:t xml:space="preserve">. </w:t>
      </w:r>
    </w:p>
    <w:p w14:paraId="7F4F9AFE" w14:textId="77777777" w:rsidR="00597EA1" w:rsidRPr="00124E7F" w:rsidRDefault="00597EA1" w:rsidP="005F191D">
      <w:pPr>
        <w:pStyle w:val="EYHeading4"/>
      </w:pPr>
      <w:r w:rsidRPr="00124E7F">
        <w:t>Exceptions</w:t>
      </w:r>
    </w:p>
    <w:p w14:paraId="2BF9ED1F" w14:textId="77777777" w:rsidR="00597EA1" w:rsidRPr="00124E7F" w:rsidRDefault="00597EA1" w:rsidP="00C33531">
      <w:pPr>
        <w:pStyle w:val="EYBulletedText1"/>
        <w:spacing w:after="180"/>
      </w:pPr>
      <w:r w:rsidRPr="00124E7F">
        <w:t xml:space="preserve">The Copyright Act contains a number of </w:t>
      </w:r>
      <w:r w:rsidR="00346B82" w:rsidRPr="00124E7F">
        <w:t xml:space="preserve">provisions </w:t>
      </w:r>
      <w:r w:rsidRPr="00124E7F">
        <w:t>specific to educ</w:t>
      </w:r>
      <w:r w:rsidR="00FB390B" w:rsidRPr="00124E7F">
        <w:t>ational institutions:</w:t>
      </w:r>
    </w:p>
    <w:p w14:paraId="2E0A9900" w14:textId="77777777" w:rsidR="00597EA1" w:rsidRPr="00124E7F" w:rsidRDefault="00A85F19" w:rsidP="00C33531">
      <w:pPr>
        <w:pStyle w:val="EYBulletedText2"/>
        <w:spacing w:after="180"/>
      </w:pPr>
      <w:r w:rsidRPr="00124E7F">
        <w:t>Section</w:t>
      </w:r>
      <w:r w:rsidR="00597EA1" w:rsidRPr="00124E7F">
        <w:t xml:space="preserve"> 28 - performing material, including playing music and films, in class</w:t>
      </w:r>
    </w:p>
    <w:p w14:paraId="679C6D90" w14:textId="77777777" w:rsidR="00597EA1" w:rsidRPr="00124E7F" w:rsidRDefault="00A85F19" w:rsidP="00C33531">
      <w:pPr>
        <w:pStyle w:val="EYBulletedText2"/>
        <w:spacing w:after="180"/>
      </w:pPr>
      <w:r w:rsidRPr="00124E7F">
        <w:t>Section</w:t>
      </w:r>
      <w:r w:rsidR="00597EA1" w:rsidRPr="00124E7F">
        <w:t xml:space="preserve"> 44 – including short extracts from material in a collection</w:t>
      </w:r>
    </w:p>
    <w:p w14:paraId="772421F9" w14:textId="77777777" w:rsidR="00597EA1" w:rsidRPr="00124E7F" w:rsidRDefault="00A85F19" w:rsidP="00C33531">
      <w:pPr>
        <w:pStyle w:val="EYBulletedText2"/>
        <w:spacing w:after="180"/>
      </w:pPr>
      <w:r w:rsidRPr="00124E7F">
        <w:t xml:space="preserve">Sections </w:t>
      </w:r>
      <w:r w:rsidR="000B2B30" w:rsidRPr="00124E7F">
        <w:t>135</w:t>
      </w:r>
      <w:r w:rsidR="00597EA1" w:rsidRPr="00124E7F">
        <w:t>ZG, 135ZMB – copying insubstantial portions</w:t>
      </w:r>
    </w:p>
    <w:p w14:paraId="4038468B" w14:textId="77777777" w:rsidR="00597EA1" w:rsidRPr="00124E7F" w:rsidRDefault="00A85F19" w:rsidP="00C33531">
      <w:pPr>
        <w:pStyle w:val="EYBulletedText2"/>
        <w:spacing w:after="180"/>
      </w:pPr>
      <w:r w:rsidRPr="00124E7F">
        <w:t>Section</w:t>
      </w:r>
      <w:r w:rsidR="00597EA1" w:rsidRPr="00124E7F">
        <w:t xml:space="preserve"> 200 – use of works and broadcasts for education (copying works by hand in class, for example, on a blackboard; examination copyin</w:t>
      </w:r>
      <w:r w:rsidR="007D4AFF" w:rsidRPr="00124E7F">
        <w:t xml:space="preserve">g; </w:t>
      </w:r>
      <w:r w:rsidR="00625633" w:rsidRPr="00124E7F">
        <w:t>making a record of a</w:t>
      </w:r>
      <w:r w:rsidR="007D4AFF" w:rsidRPr="00124E7F">
        <w:t xml:space="preserve"> sound broadcast)</w:t>
      </w:r>
    </w:p>
    <w:p w14:paraId="49F70A5A" w14:textId="77777777" w:rsidR="00597EA1" w:rsidRPr="00124E7F" w:rsidRDefault="00A85F19" w:rsidP="00C33531">
      <w:pPr>
        <w:pStyle w:val="EYBulletedText2"/>
        <w:spacing w:after="180"/>
      </w:pPr>
      <w:r w:rsidRPr="00124E7F">
        <w:t>Section</w:t>
      </w:r>
      <w:r w:rsidR="00597EA1" w:rsidRPr="00124E7F">
        <w:t xml:space="preserve"> 200AAA – proxy web caching by educational institutions.</w:t>
      </w:r>
    </w:p>
    <w:p w14:paraId="2554FFF4" w14:textId="77777777" w:rsidR="00A85F19" w:rsidRPr="00124E7F" w:rsidRDefault="00FB390B" w:rsidP="00C13CFD">
      <w:pPr>
        <w:pStyle w:val="EYBodytextwithparaspace"/>
      </w:pPr>
      <w:r w:rsidRPr="00124E7F">
        <w:t>There is also a general open-ended flexible exception (Section 200AB), which was inserted into the Copyright Act in 2006 ‘to enable copyright material to be used for certain socially useful purposes’</w:t>
      </w:r>
      <w:r w:rsidR="007D4AFF" w:rsidRPr="00124E7F">
        <w:t>.</w:t>
      </w:r>
      <w:r w:rsidRPr="00124E7F">
        <w:rPr>
          <w:vertAlign w:val="superscript"/>
        </w:rPr>
        <w:footnoteReference w:id="146"/>
      </w:r>
      <w:r w:rsidRPr="00124E7F">
        <w:rPr>
          <w:vertAlign w:val="superscript"/>
        </w:rPr>
        <w:t xml:space="preserve"> </w:t>
      </w:r>
      <w:r w:rsidRPr="00124E7F">
        <w:t>The provision applies to libraries, archives and educational institutions, as well as people and institutions assisting those with a disability. It was intended to be a ‘flexible’ exception that operates like fair use.</w:t>
      </w:r>
      <w:r w:rsidRPr="00124E7F">
        <w:rPr>
          <w:vertAlign w:val="superscript"/>
        </w:rPr>
        <w:footnoteReference w:id="147"/>
      </w:r>
      <w:r w:rsidRPr="00124E7F">
        <w:rPr>
          <w:vertAlign w:val="superscript"/>
        </w:rPr>
        <w:t xml:space="preserve"> </w:t>
      </w:r>
      <w:r w:rsidR="00A85F19" w:rsidRPr="00124E7F">
        <w:t xml:space="preserve">However, the exception in Section 200 AB can only be used </w:t>
      </w:r>
      <w:r w:rsidR="00625633" w:rsidRPr="00124E7F">
        <w:t xml:space="preserve">in a special case, </w:t>
      </w:r>
      <w:r w:rsidR="00A85F19" w:rsidRPr="00124E7F">
        <w:t xml:space="preserve">when no other exceptions in the </w:t>
      </w:r>
      <w:r w:rsidR="003D1238" w:rsidRPr="00124E7F">
        <w:t xml:space="preserve">Copyright </w:t>
      </w:r>
      <w:r w:rsidR="00A85F19" w:rsidRPr="00124E7F">
        <w:t xml:space="preserve">Act apply. </w:t>
      </w:r>
    </w:p>
    <w:p w14:paraId="48EC04A3" w14:textId="77777777" w:rsidR="00FB390B" w:rsidRPr="00124E7F" w:rsidRDefault="009978DD" w:rsidP="005F191D">
      <w:pPr>
        <w:pStyle w:val="EYHeading4"/>
      </w:pPr>
      <w:r w:rsidRPr="00124E7F">
        <w:t xml:space="preserve">Statutory </w:t>
      </w:r>
      <w:r w:rsidR="008D7BC8" w:rsidRPr="00124E7F">
        <w:t>licenses</w:t>
      </w:r>
    </w:p>
    <w:p w14:paraId="217AC89E" w14:textId="77777777" w:rsidR="00D03DE1" w:rsidRPr="00124E7F" w:rsidRDefault="00D03DE1" w:rsidP="00C33531">
      <w:pPr>
        <w:pStyle w:val="EYBulletedText1"/>
        <w:spacing w:after="180"/>
      </w:pPr>
      <w:r w:rsidRPr="00124E7F">
        <w:t xml:space="preserve">Part VA of the Copyright Act permits educational institutions to copy radio and television programs from free-to-air radio and television </w:t>
      </w:r>
      <w:r w:rsidR="00625633" w:rsidRPr="00124E7F">
        <w:t>broadcasts</w:t>
      </w:r>
      <w:r w:rsidRPr="00124E7F">
        <w:t xml:space="preserve">. </w:t>
      </w:r>
      <w:proofErr w:type="spellStart"/>
      <w:r w:rsidRPr="00124E7F">
        <w:t>Screenrights</w:t>
      </w:r>
      <w:proofErr w:type="spellEnd"/>
      <w:r w:rsidRPr="00124E7F">
        <w:t xml:space="preserve"> is the declared collecting society that </w:t>
      </w:r>
      <w:r w:rsidR="00B02CD4" w:rsidRPr="00124E7F">
        <w:t xml:space="preserve">acts for the copyright owners of those works and administers the Part VA statutory </w:t>
      </w:r>
      <w:r w:rsidR="005D236A" w:rsidRPr="00124E7F">
        <w:t>licens</w:t>
      </w:r>
      <w:r w:rsidR="00B02CD4" w:rsidRPr="00124E7F">
        <w:t>e</w:t>
      </w:r>
      <w:r w:rsidRPr="00124E7F">
        <w:t xml:space="preserve">. </w:t>
      </w:r>
      <w:r w:rsidR="00947BB7" w:rsidRPr="00124E7F">
        <w:t xml:space="preserve">In 2014, schools paid around $22 million in </w:t>
      </w:r>
      <w:r w:rsidR="005D236A" w:rsidRPr="00124E7F">
        <w:t>licens</w:t>
      </w:r>
      <w:r w:rsidR="007D4AFF" w:rsidRPr="00124E7F">
        <w:t>e</w:t>
      </w:r>
      <w:r w:rsidR="00947BB7" w:rsidRPr="00124E7F">
        <w:t xml:space="preserve"> fees to </w:t>
      </w:r>
      <w:proofErr w:type="spellStart"/>
      <w:r w:rsidR="00947BB7" w:rsidRPr="00124E7F">
        <w:t>Screenrights</w:t>
      </w:r>
      <w:proofErr w:type="spellEnd"/>
      <w:r w:rsidR="00947BB7" w:rsidRPr="00124E7F">
        <w:t xml:space="preserve"> under the Part VA </w:t>
      </w:r>
      <w:r w:rsidR="005D236A" w:rsidRPr="00124E7F">
        <w:t>licens</w:t>
      </w:r>
      <w:r w:rsidR="007D4AFF" w:rsidRPr="00124E7F">
        <w:t>e</w:t>
      </w:r>
      <w:r w:rsidR="00947BB7" w:rsidRPr="00124E7F">
        <w:t>.</w:t>
      </w:r>
      <w:r w:rsidR="00C55B35" w:rsidRPr="00124E7F">
        <w:rPr>
          <w:vertAlign w:val="superscript"/>
        </w:rPr>
        <w:footnoteReference w:id="148"/>
      </w:r>
      <w:r w:rsidR="00947BB7" w:rsidRPr="00124E7F">
        <w:rPr>
          <w:vertAlign w:val="superscript"/>
        </w:rPr>
        <w:t xml:space="preserve"> </w:t>
      </w:r>
      <w:r w:rsidR="00947BB7" w:rsidRPr="00124E7F">
        <w:t>U</w:t>
      </w:r>
      <w:r w:rsidRPr="00124E7F">
        <w:t xml:space="preserve">niversities </w:t>
      </w:r>
      <w:r w:rsidR="007D7678" w:rsidRPr="00124E7F">
        <w:t xml:space="preserve">pay around $5 million per annum under the Part VA </w:t>
      </w:r>
      <w:r w:rsidR="005D236A" w:rsidRPr="00124E7F">
        <w:t>licens</w:t>
      </w:r>
      <w:r w:rsidR="007D4AFF" w:rsidRPr="00124E7F">
        <w:t>e</w:t>
      </w:r>
      <w:r w:rsidR="007D7678" w:rsidRPr="00124E7F">
        <w:t>.</w:t>
      </w:r>
      <w:r w:rsidR="00030F0C" w:rsidRPr="00124E7F">
        <w:rPr>
          <w:vertAlign w:val="superscript"/>
        </w:rPr>
        <w:footnoteReference w:id="149"/>
      </w:r>
    </w:p>
    <w:p w14:paraId="7E6F2259" w14:textId="77777777" w:rsidR="00947BB7" w:rsidRPr="00124E7F" w:rsidRDefault="00D03DE1" w:rsidP="00C33531">
      <w:pPr>
        <w:pStyle w:val="EYBulletedText1"/>
        <w:spacing w:after="0"/>
      </w:pPr>
      <w:r w:rsidRPr="00124E7F">
        <w:t>Part VB of the Copyright Act permits education institutions to make multiple copies of literary, dramatic, musical and artistic works for educational purposes. Copyright Agency</w:t>
      </w:r>
      <w:r w:rsidR="00B02CD4" w:rsidRPr="00124E7F">
        <w:t xml:space="preserve"> Limited (CAL) is the declared collecting society that acts for the copyright owners of those works and administers the Part VB statutory </w:t>
      </w:r>
      <w:r w:rsidR="005D236A" w:rsidRPr="00124E7F">
        <w:t>licens</w:t>
      </w:r>
      <w:r w:rsidR="00B02CD4" w:rsidRPr="00124E7F">
        <w:t>e</w:t>
      </w:r>
      <w:r w:rsidRPr="00124E7F">
        <w:t xml:space="preserve">. </w:t>
      </w:r>
      <w:r w:rsidR="00947BB7" w:rsidRPr="00124E7F">
        <w:t xml:space="preserve">In </w:t>
      </w:r>
      <w:r w:rsidR="005E42F0" w:rsidRPr="00124E7F">
        <w:t>2015, schools paid around $62</w:t>
      </w:r>
      <w:r w:rsidR="00947BB7" w:rsidRPr="00124E7F">
        <w:t xml:space="preserve"> million in </w:t>
      </w:r>
      <w:r w:rsidR="005D236A" w:rsidRPr="00124E7F">
        <w:t>licens</w:t>
      </w:r>
      <w:r w:rsidR="007D4AFF" w:rsidRPr="00124E7F">
        <w:t>e</w:t>
      </w:r>
      <w:r w:rsidR="00947BB7" w:rsidRPr="00124E7F">
        <w:t xml:space="preserve"> fees to the Copyright Agency under the Part VB </w:t>
      </w:r>
      <w:r w:rsidR="005D236A" w:rsidRPr="00124E7F">
        <w:t>licens</w:t>
      </w:r>
      <w:r w:rsidR="007D4AFF" w:rsidRPr="00124E7F">
        <w:t>e</w:t>
      </w:r>
      <w:r w:rsidR="00947BB7" w:rsidRPr="00124E7F">
        <w:t>.</w:t>
      </w:r>
      <w:r w:rsidR="00030F0C" w:rsidRPr="00124E7F">
        <w:rPr>
          <w:vertAlign w:val="superscript"/>
        </w:rPr>
        <w:footnoteReference w:id="150"/>
      </w:r>
      <w:r w:rsidR="00947BB7" w:rsidRPr="00124E7F">
        <w:rPr>
          <w:vertAlign w:val="superscript"/>
        </w:rPr>
        <w:t xml:space="preserve"> </w:t>
      </w:r>
      <w:r w:rsidR="00947BB7" w:rsidRPr="00124E7F">
        <w:t xml:space="preserve">Universities </w:t>
      </w:r>
      <w:r w:rsidR="007D7678" w:rsidRPr="00124E7F">
        <w:t xml:space="preserve">pay around $30 million per annum under the Part VB </w:t>
      </w:r>
      <w:r w:rsidR="005D236A" w:rsidRPr="00124E7F">
        <w:t>licens</w:t>
      </w:r>
      <w:r w:rsidR="007D4AFF" w:rsidRPr="00124E7F">
        <w:t>e</w:t>
      </w:r>
      <w:r w:rsidR="007D7678" w:rsidRPr="00124E7F">
        <w:t>.</w:t>
      </w:r>
      <w:r w:rsidR="00030F0C" w:rsidRPr="00124E7F">
        <w:rPr>
          <w:vertAlign w:val="superscript"/>
        </w:rPr>
        <w:footnoteReference w:id="151"/>
      </w:r>
      <w:r w:rsidR="007D7678" w:rsidRPr="00124E7F">
        <w:rPr>
          <w:vertAlign w:val="superscript"/>
        </w:rPr>
        <w:t xml:space="preserve"> </w:t>
      </w:r>
      <w:r w:rsidR="00947BB7" w:rsidRPr="00124E7F">
        <w:rPr>
          <w:vertAlign w:val="superscript"/>
        </w:rPr>
        <w:t xml:space="preserve"> </w:t>
      </w:r>
    </w:p>
    <w:p w14:paraId="08859F14" w14:textId="77777777" w:rsidR="00B02CD4" w:rsidRPr="00124E7F" w:rsidRDefault="006C09D7" w:rsidP="003340FD">
      <w:pPr>
        <w:pStyle w:val="EYHeading3"/>
        <w:rPr>
          <w:rStyle w:val="AAnormalChar"/>
        </w:rPr>
      </w:pPr>
      <w:r w:rsidRPr="00124E7F">
        <w:t>The problem</w:t>
      </w:r>
    </w:p>
    <w:p w14:paraId="093487BA" w14:textId="77777777" w:rsidR="00B02CD4" w:rsidRPr="00124E7F" w:rsidRDefault="00B02CD4" w:rsidP="003340FD">
      <w:pPr>
        <w:pStyle w:val="EYBodytextwithparaspace"/>
        <w:rPr>
          <w:rStyle w:val="AAnormalChar"/>
        </w:rPr>
      </w:pPr>
      <w:r w:rsidRPr="00124E7F">
        <w:rPr>
          <w:rStyle w:val="AAnormalChar"/>
        </w:rPr>
        <w:t xml:space="preserve">Most of the problems raised by the ALRC with respect to the current arrangements relate to what gets counted and paid for under </w:t>
      </w:r>
      <w:r w:rsidR="009978DD" w:rsidRPr="00124E7F">
        <w:rPr>
          <w:rStyle w:val="AAnormalChar"/>
        </w:rPr>
        <w:t xml:space="preserve">statutory </w:t>
      </w:r>
      <w:r w:rsidR="008D7BC8" w:rsidRPr="00124E7F">
        <w:rPr>
          <w:rStyle w:val="AAnormalChar"/>
        </w:rPr>
        <w:t>licenses</w:t>
      </w:r>
      <w:r w:rsidRPr="00124E7F">
        <w:rPr>
          <w:rStyle w:val="AAnormalChar"/>
        </w:rPr>
        <w:t xml:space="preserve">. The main advantage of </w:t>
      </w:r>
      <w:r w:rsidR="009978DD" w:rsidRPr="00124E7F">
        <w:rPr>
          <w:rStyle w:val="AAnormalChar"/>
        </w:rPr>
        <w:t xml:space="preserve">statutory </w:t>
      </w:r>
      <w:r w:rsidR="008D7BC8" w:rsidRPr="00124E7F">
        <w:rPr>
          <w:rStyle w:val="AAnormalChar"/>
        </w:rPr>
        <w:t>licenses</w:t>
      </w:r>
      <w:r w:rsidRPr="00124E7F">
        <w:rPr>
          <w:rStyle w:val="AAnormalChar"/>
        </w:rPr>
        <w:t xml:space="preserve"> is that they provide education institutions with considerable flexibility to use copyright material without the transaction costs associated with obtaining permission, provided they pay equitable remuneration to the collecting society for the use. Remuneration is determined by conducting a sample of educational institutions to determine the material being copied. In practice this has meant that</w:t>
      </w:r>
      <w:r w:rsidRPr="00124E7F">
        <w:t xml:space="preserve"> </w:t>
      </w:r>
      <w:r w:rsidRPr="00124E7F">
        <w:rPr>
          <w:rStyle w:val="AAnormalChar"/>
        </w:rPr>
        <w:t xml:space="preserve">uses that nobody else is paying for are being remunerated for by schools and universities under the </w:t>
      </w:r>
      <w:r w:rsidR="005D236A" w:rsidRPr="00124E7F">
        <w:rPr>
          <w:rStyle w:val="AAnormalChar"/>
        </w:rPr>
        <w:t>licens</w:t>
      </w:r>
      <w:r w:rsidRPr="00124E7F">
        <w:rPr>
          <w:rStyle w:val="AAnormalChar"/>
        </w:rPr>
        <w:t>es.</w:t>
      </w:r>
      <w:r w:rsidRPr="00124E7F">
        <w:rPr>
          <w:rStyle w:val="AAnormalChar"/>
          <w:vertAlign w:val="superscript"/>
        </w:rPr>
        <w:footnoteReference w:id="152"/>
      </w:r>
      <w:r w:rsidRPr="00124E7F">
        <w:rPr>
          <w:rStyle w:val="AAnormalChar"/>
        </w:rPr>
        <w:t xml:space="preserve"> </w:t>
      </w:r>
    </w:p>
    <w:p w14:paraId="3F47ACA8" w14:textId="77777777" w:rsidR="00B02CD4" w:rsidRPr="00124E7F" w:rsidRDefault="00B02CD4" w:rsidP="003340FD">
      <w:pPr>
        <w:pStyle w:val="EYBodytextwithparaspace"/>
        <w:rPr>
          <w:rStyle w:val="AAnormalChar"/>
        </w:rPr>
      </w:pPr>
      <w:r w:rsidRPr="00124E7F">
        <w:rPr>
          <w:rStyle w:val="AAnormalChar"/>
        </w:rPr>
        <w:t xml:space="preserve">This view has been heavily </w:t>
      </w:r>
      <w:proofErr w:type="spellStart"/>
      <w:r w:rsidRPr="00124E7F">
        <w:rPr>
          <w:rStyle w:val="AAnormalChar"/>
        </w:rPr>
        <w:t>criticised</w:t>
      </w:r>
      <w:proofErr w:type="spellEnd"/>
      <w:r w:rsidRPr="00124E7F">
        <w:rPr>
          <w:rStyle w:val="AAnormalChar"/>
        </w:rPr>
        <w:t xml:space="preserve"> by the statutory collecting societies – the Copyright Agency and </w:t>
      </w:r>
      <w:proofErr w:type="spellStart"/>
      <w:r w:rsidRPr="00124E7F">
        <w:rPr>
          <w:rStyle w:val="AAnormalChar"/>
        </w:rPr>
        <w:t>Screenrights</w:t>
      </w:r>
      <w:proofErr w:type="spellEnd"/>
      <w:r w:rsidRPr="00124E7F">
        <w:rPr>
          <w:rStyle w:val="AAnormalChar"/>
        </w:rPr>
        <w:t xml:space="preserve"> - who argue that education institutions pay a flat rate for all content they use in reliance on the </w:t>
      </w:r>
      <w:r w:rsidR="009978DD" w:rsidRPr="00124E7F">
        <w:rPr>
          <w:rStyle w:val="AAnormalChar"/>
        </w:rPr>
        <w:t xml:space="preserve">statutory </w:t>
      </w:r>
      <w:r w:rsidR="008D7BC8" w:rsidRPr="00124E7F">
        <w:rPr>
          <w:rStyle w:val="AAnormalChar"/>
        </w:rPr>
        <w:t>licenses</w:t>
      </w:r>
      <w:r w:rsidRPr="00124E7F">
        <w:rPr>
          <w:rStyle w:val="AAnormalChar"/>
        </w:rPr>
        <w:t>, which ‘does not vary according to actual use of content during the period of the agreement’.</w:t>
      </w:r>
      <w:r w:rsidRPr="00124E7F">
        <w:rPr>
          <w:rStyle w:val="AAnormalChar"/>
          <w:vertAlign w:val="superscript"/>
        </w:rPr>
        <w:footnoteReference w:id="153"/>
      </w:r>
      <w:r w:rsidRPr="00124E7F">
        <w:rPr>
          <w:rStyle w:val="AAnormalChar"/>
          <w:vertAlign w:val="superscript"/>
        </w:rPr>
        <w:t xml:space="preserve"> </w:t>
      </w:r>
      <w:r w:rsidRPr="00124E7F">
        <w:rPr>
          <w:rStyle w:val="AAnormalChar"/>
        </w:rPr>
        <w:t>However, the ALRC does not consider this to be a convincing argument stating that:</w:t>
      </w:r>
    </w:p>
    <w:p w14:paraId="3BB78AD0" w14:textId="77777777" w:rsidR="00F962FE" w:rsidRPr="00124E7F" w:rsidRDefault="00F962FE" w:rsidP="003340FD">
      <w:pPr>
        <w:pStyle w:val="EYIndent1"/>
        <w:rPr>
          <w:i/>
          <w:szCs w:val="22"/>
        </w:rPr>
      </w:pPr>
      <w:r w:rsidRPr="00124E7F">
        <w:rPr>
          <w:i/>
          <w:szCs w:val="22"/>
        </w:rPr>
        <w:t>The objection that some uses are ‘zero-rated’ and that institutions pay a flat fee per student or per employee does not seem to undermine the key objections, that the uses are nevertheless counted and that payment for the uses can be sought and negotiated and may go to the final per person flat rate.</w:t>
      </w:r>
      <w:r w:rsidR="004447FC" w:rsidRPr="00124E7F">
        <w:rPr>
          <w:i/>
          <w:szCs w:val="22"/>
          <w:vertAlign w:val="superscript"/>
        </w:rPr>
        <w:footnoteReference w:id="154"/>
      </w:r>
      <w:r w:rsidRPr="00124E7F">
        <w:rPr>
          <w:i/>
          <w:szCs w:val="22"/>
          <w:vertAlign w:val="superscript"/>
        </w:rPr>
        <w:t xml:space="preserve">  </w:t>
      </w:r>
    </w:p>
    <w:p w14:paraId="0B5528FB" w14:textId="77777777" w:rsidR="003D1238" w:rsidRPr="00124E7F" w:rsidRDefault="00C22EA9" w:rsidP="003340FD">
      <w:pPr>
        <w:pStyle w:val="EYBodytextwithparaspace"/>
      </w:pPr>
      <w:r w:rsidRPr="00124E7F">
        <w:t>The in</w:t>
      </w:r>
      <w:r w:rsidR="007D14A6" w:rsidRPr="00124E7F">
        <w:t>ternet has fundamentally changed</w:t>
      </w:r>
      <w:r w:rsidRPr="00124E7F">
        <w:t xml:space="preserve"> the nature of learning and teaching in the digital age. </w:t>
      </w:r>
      <w:r w:rsidR="003D1238" w:rsidRPr="00124E7F">
        <w:t xml:space="preserve">To the extent that the Copyright Act requires every act of copying and communication to be accounted and paid for, the ALRC argues that ‘it may prevent </w:t>
      </w:r>
      <w:r w:rsidR="005D236A" w:rsidRPr="00124E7F">
        <w:t>licens</w:t>
      </w:r>
      <w:r w:rsidR="007D4AFF" w:rsidRPr="00124E7F">
        <w:t>e</w:t>
      </w:r>
      <w:r w:rsidR="003D1238" w:rsidRPr="00124E7F">
        <w:t>es from taking full advantage of the efficiencies of new digital technologies’</w:t>
      </w:r>
      <w:r w:rsidR="007D4AFF" w:rsidRPr="00124E7F">
        <w:t>.</w:t>
      </w:r>
      <w:r w:rsidR="003D1238" w:rsidRPr="00124E7F">
        <w:rPr>
          <w:vertAlign w:val="superscript"/>
        </w:rPr>
        <w:footnoteReference w:id="155"/>
      </w:r>
    </w:p>
    <w:p w14:paraId="5D11C95F" w14:textId="77777777" w:rsidR="00A30052" w:rsidRPr="00124E7F" w:rsidRDefault="00A30052" w:rsidP="00F72E3A">
      <w:pPr>
        <w:pStyle w:val="EYHeading3"/>
        <w:spacing w:line="276" w:lineRule="auto"/>
      </w:pPr>
      <w:r w:rsidRPr="00124E7F">
        <w:t>The proposed policy options</w:t>
      </w:r>
    </w:p>
    <w:p w14:paraId="0E673774" w14:textId="77777777" w:rsidR="00440458" w:rsidRPr="00124E7F" w:rsidRDefault="00030F0C" w:rsidP="00C46978">
      <w:pPr>
        <w:pStyle w:val="EYNumber"/>
        <w:numPr>
          <w:ilvl w:val="0"/>
          <w:numId w:val="18"/>
        </w:numPr>
        <w:spacing w:line="280" w:lineRule="atLeast"/>
        <w:rPr>
          <w:b/>
        </w:rPr>
      </w:pPr>
      <w:r w:rsidRPr="00124E7F">
        <w:rPr>
          <w:b/>
        </w:rPr>
        <w:t>Status quo</w:t>
      </w:r>
      <w:r w:rsidR="00EF3643" w:rsidRPr="00124E7F">
        <w:rPr>
          <w:b/>
        </w:rPr>
        <w:t xml:space="preserve"> – Do nothing</w:t>
      </w:r>
      <w:r w:rsidR="00440458" w:rsidRPr="00124E7F">
        <w:rPr>
          <w:b/>
        </w:rPr>
        <w:t xml:space="preserve">. </w:t>
      </w:r>
      <w:r w:rsidR="00EF3643" w:rsidRPr="00124E7F">
        <w:t xml:space="preserve">Unremunerated use of copyright material </w:t>
      </w:r>
      <w:r w:rsidR="00440458" w:rsidRPr="00124E7F">
        <w:t xml:space="preserve">by educational institutions continues </w:t>
      </w:r>
      <w:r w:rsidR="00EF3643" w:rsidRPr="00124E7F">
        <w:t>to be permitted under the education-specific exceptions</w:t>
      </w:r>
      <w:r w:rsidR="00EF3643" w:rsidRPr="00124E7F">
        <w:rPr>
          <w:b/>
        </w:rPr>
        <w:t xml:space="preserve"> </w:t>
      </w:r>
      <w:r w:rsidR="00440458" w:rsidRPr="00124E7F">
        <w:t xml:space="preserve">listed in Section 3.5.1. Statutory </w:t>
      </w:r>
      <w:r w:rsidR="007D4AFF" w:rsidRPr="00124E7F">
        <w:t>licen</w:t>
      </w:r>
      <w:r w:rsidR="004115D0" w:rsidRPr="00124E7F">
        <w:t>s</w:t>
      </w:r>
      <w:r w:rsidR="007D4AFF" w:rsidRPr="00124E7F">
        <w:t>ing</w:t>
      </w:r>
      <w:r w:rsidR="00440458" w:rsidRPr="00124E7F">
        <w:t xml:space="preserve"> schemes continue to permit remunerated use of copyright material for educational purposes, within certain limits. </w:t>
      </w:r>
      <w:r w:rsidR="00EF3643" w:rsidRPr="00124E7F">
        <w:t xml:space="preserve">Activities outside of these remunerated and unremunerated provisions are permitted under </w:t>
      </w:r>
      <w:r w:rsidR="007D14A6" w:rsidRPr="00124E7F">
        <w:t>Section</w:t>
      </w:r>
      <w:r w:rsidR="00EF3643" w:rsidRPr="00124E7F">
        <w:t xml:space="preserve"> 200AB for educational instruction, to the extent that the</w:t>
      </w:r>
      <w:r w:rsidR="00440458" w:rsidRPr="00124E7F">
        <w:t>y</w:t>
      </w:r>
      <w:r w:rsidR="00EF3643" w:rsidRPr="00124E7F">
        <w:t xml:space="preserve"> meet requirements under the three-step tes</w:t>
      </w:r>
      <w:r w:rsidR="007D14A6" w:rsidRPr="00124E7F">
        <w:t>t.</w:t>
      </w:r>
    </w:p>
    <w:p w14:paraId="28C70CDF" w14:textId="77777777" w:rsidR="00EF3643" w:rsidRPr="00124E7F" w:rsidRDefault="00030F0C" w:rsidP="00660B6E">
      <w:pPr>
        <w:pStyle w:val="EYNumber"/>
        <w:spacing w:line="280" w:lineRule="atLeast"/>
      </w:pPr>
      <w:r w:rsidRPr="00124E7F">
        <w:rPr>
          <w:b/>
        </w:rPr>
        <w:t>New fair dealing</w:t>
      </w:r>
      <w:r w:rsidR="00EF3643" w:rsidRPr="00124E7F">
        <w:rPr>
          <w:b/>
        </w:rPr>
        <w:t xml:space="preserve"> – New fair dealing exception for education use</w:t>
      </w:r>
      <w:r w:rsidR="00440458" w:rsidRPr="00124E7F">
        <w:rPr>
          <w:b/>
        </w:rPr>
        <w:t xml:space="preserve">. </w:t>
      </w:r>
      <w:r w:rsidR="00EF3643" w:rsidRPr="00124E7F">
        <w:t xml:space="preserve">Introduction of an exception permitting the copying and communication of copyright content for educational purposes where it is fair, as determined by </w:t>
      </w:r>
      <w:r w:rsidRPr="00124E7F">
        <w:t xml:space="preserve">the </w:t>
      </w:r>
      <w:r w:rsidR="00EF3643" w:rsidRPr="00124E7F">
        <w:t xml:space="preserve">four </w:t>
      </w:r>
      <w:r w:rsidR="00870370" w:rsidRPr="00124E7F">
        <w:t>fairness standards</w:t>
      </w:r>
      <w:r w:rsidR="003D1238" w:rsidRPr="00124E7F">
        <w:t xml:space="preserve">. </w:t>
      </w:r>
      <w:r w:rsidR="00726100" w:rsidRPr="00124E7F">
        <w:t>S</w:t>
      </w:r>
      <w:r w:rsidR="00EF3643" w:rsidRPr="00124E7F">
        <w:t xml:space="preserve">tatutory </w:t>
      </w:r>
      <w:r w:rsidR="004115D0" w:rsidRPr="00124E7F">
        <w:t>licens</w:t>
      </w:r>
      <w:r w:rsidR="007D4AFF" w:rsidRPr="00124E7F">
        <w:t>ing</w:t>
      </w:r>
      <w:r w:rsidR="00EF3643" w:rsidRPr="00124E7F">
        <w:t xml:space="preserve"> schemes</w:t>
      </w:r>
      <w:r w:rsidR="00726100" w:rsidRPr="00124E7F">
        <w:t xml:space="preserve"> would</w:t>
      </w:r>
      <w:r w:rsidR="00EF3643" w:rsidRPr="00124E7F">
        <w:t xml:space="preserve"> continue to permit the use of copyright material for educational purposes, within certain limits. However, </w:t>
      </w:r>
      <w:r w:rsidR="00440458" w:rsidRPr="00124E7F">
        <w:t>the Copyright </w:t>
      </w:r>
      <w:r w:rsidR="00EF3643" w:rsidRPr="00124E7F">
        <w:t xml:space="preserve">Act would clarify that </w:t>
      </w:r>
      <w:r w:rsidR="009978DD" w:rsidRPr="00124E7F">
        <w:t>statutory licences</w:t>
      </w:r>
      <w:r w:rsidR="00440458" w:rsidRPr="00124E7F">
        <w:t xml:space="preserve"> would no longer ‘</w:t>
      </w:r>
      <w:r w:rsidR="00EF3643" w:rsidRPr="00124E7F">
        <w:t>apply to the use of copyright material which, because of another provision in the Copyright Act, would not infringe copyright</w:t>
      </w:r>
      <w:r w:rsidR="00440458" w:rsidRPr="00124E7F">
        <w:t>’</w:t>
      </w:r>
      <w:r w:rsidR="00440458" w:rsidRPr="00124E7F">
        <w:rPr>
          <w:vertAlign w:val="superscript"/>
        </w:rPr>
        <w:footnoteReference w:id="156"/>
      </w:r>
      <w:r w:rsidR="003D1238" w:rsidRPr="00124E7F">
        <w:t xml:space="preserve"> (</w:t>
      </w:r>
      <w:r w:rsidRPr="00124E7F">
        <w:t>Recommendation</w:t>
      </w:r>
      <w:r w:rsidR="00EF3643" w:rsidRPr="00124E7F">
        <w:t xml:space="preserve"> 8-1). In addition, the Act would clarify that </w:t>
      </w:r>
      <w:r w:rsidR="009978DD" w:rsidRPr="00124E7F">
        <w:t>statutory licences</w:t>
      </w:r>
      <w:r w:rsidR="00EF3643" w:rsidRPr="00124E7F">
        <w:t xml:space="preserve"> would no longer ‘apply to use of copyright material where a government, education institution, or an institution assisting people with disability, instead relies</w:t>
      </w:r>
      <w:r w:rsidR="007D4AFF" w:rsidRPr="00124E7F">
        <w:t xml:space="preserve"> on an alternative </w:t>
      </w:r>
      <w:r w:rsidR="005D236A" w:rsidRPr="00124E7F">
        <w:t>licens</w:t>
      </w:r>
      <w:r w:rsidR="003D1238" w:rsidRPr="00124E7F">
        <w:t>e’ (Re</w:t>
      </w:r>
      <w:r w:rsidR="00EF3643" w:rsidRPr="00124E7F">
        <w:t>c</w:t>
      </w:r>
      <w:r w:rsidRPr="00124E7F">
        <w:t>ommendation</w:t>
      </w:r>
      <w:r w:rsidR="00EF3643" w:rsidRPr="00124E7F">
        <w:t xml:space="preserve"> 8-2)</w:t>
      </w:r>
      <w:r w:rsidR="007D4AFF" w:rsidRPr="00124E7F">
        <w:t>.</w:t>
      </w:r>
      <w:r w:rsidR="00440458" w:rsidRPr="00124E7F">
        <w:rPr>
          <w:vertAlign w:val="superscript"/>
        </w:rPr>
        <w:footnoteReference w:id="157"/>
      </w:r>
    </w:p>
    <w:p w14:paraId="77459589" w14:textId="77777777" w:rsidR="003D1238" w:rsidRDefault="003D1238" w:rsidP="005B5DD7">
      <w:pPr>
        <w:pStyle w:val="Caption"/>
        <w:keepNext/>
        <w:spacing w:after="120"/>
      </w:pPr>
      <w:bookmarkStart w:id="141" w:name="_Ref446693518"/>
      <w:r w:rsidRPr="00124E7F">
        <w:t xml:space="preserve">Figure </w:t>
      </w:r>
      <w:r w:rsidRPr="00124E7F">
        <w:fldChar w:fldCharType="begin"/>
      </w:r>
      <w:r w:rsidRPr="00124E7F">
        <w:instrText xml:space="preserve"> SEQ Figure \* ARABIC </w:instrText>
      </w:r>
      <w:r w:rsidRPr="00124E7F">
        <w:fldChar w:fldCharType="separate"/>
      </w:r>
      <w:r w:rsidR="0075700D">
        <w:rPr>
          <w:noProof/>
        </w:rPr>
        <w:t>6</w:t>
      </w:r>
      <w:r w:rsidRPr="00124E7F">
        <w:fldChar w:fldCharType="end"/>
      </w:r>
      <w:bookmarkEnd w:id="141"/>
      <w:r w:rsidR="00B830B8" w:rsidRPr="004213AE">
        <w:t>:</w:t>
      </w:r>
      <w:r w:rsidRPr="00124E7F">
        <w:t xml:space="preserve"> Current versus proposed education exceptions</w:t>
      </w:r>
      <w:r w:rsidR="004D4994" w:rsidRPr="00202E68">
        <w:t xml:space="preserve"> </w:t>
      </w:r>
      <w:r w:rsidR="00422BE9" w:rsidRPr="00202E68">
        <w:t xml:space="preserve"> </w:t>
      </w:r>
    </w:p>
    <w:p w14:paraId="43869065" w14:textId="77777777" w:rsidR="005B5DD7" w:rsidRPr="00B86CFA" w:rsidRDefault="005B5DD7" w:rsidP="00202E68">
      <w:r>
        <w:rPr>
          <w:noProof/>
          <w:lang w:eastAsia="zh-TW" w:bidi="hi-IN"/>
        </w:rPr>
        <w:drawing>
          <wp:inline distT="0" distB="0" distL="0" distR="0" wp14:anchorId="2679F6AF" wp14:editId="2FF959BD">
            <wp:extent cx="5760000" cy="4004447"/>
            <wp:effectExtent l="0" t="0" r="0" b="0"/>
            <wp:docPr id="2082" name="Picture 2082" descr="Figure 6 summarises the current versus proposed exceptions for education institutions, broken down at a high level by remunerated and unremunerated uses. The main differences highlighted by the diagram are explained in the main text provided below" title="Figure 6: Current versus proposed education exce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000" cy="4004447"/>
                    </a:xfrm>
                    <a:prstGeom prst="rect">
                      <a:avLst/>
                    </a:prstGeom>
                    <a:noFill/>
                  </pic:spPr>
                </pic:pic>
              </a:graphicData>
            </a:graphic>
          </wp:inline>
        </w:drawing>
      </w:r>
    </w:p>
    <w:p w14:paraId="1C5E54A0" w14:textId="6C266796" w:rsidR="003D1238" w:rsidRPr="004213AE" w:rsidRDefault="003D1238" w:rsidP="003D1238">
      <w:pPr>
        <w:pStyle w:val="ListParagraph"/>
        <w:widowControl/>
        <w:autoSpaceDE/>
        <w:autoSpaceDN/>
        <w:adjustRightInd/>
        <w:spacing w:after="120" w:line="276" w:lineRule="auto"/>
        <w:ind w:left="360"/>
      </w:pPr>
    </w:p>
    <w:p w14:paraId="69E1411C" w14:textId="77777777" w:rsidR="00422BE9" w:rsidRPr="00124E7F" w:rsidRDefault="00422BE9" w:rsidP="003340FD">
      <w:pPr>
        <w:pStyle w:val="EYBodytextwithparaspace"/>
      </w:pPr>
      <w:r w:rsidRPr="00124E7F">
        <w:fldChar w:fldCharType="begin"/>
      </w:r>
      <w:r w:rsidRPr="00124E7F">
        <w:instrText xml:space="preserve"> REF _Ref446693518 \h  \* MERGEFORMAT </w:instrText>
      </w:r>
      <w:r w:rsidRPr="00124E7F">
        <w:fldChar w:fldCharType="separate"/>
      </w:r>
      <w:r w:rsidR="0075700D" w:rsidRPr="00124E7F">
        <w:t xml:space="preserve">Figure </w:t>
      </w:r>
      <w:r w:rsidR="0075700D">
        <w:rPr>
          <w:noProof/>
        </w:rPr>
        <w:t>6</w:t>
      </w:r>
      <w:r w:rsidRPr="00124E7F">
        <w:fldChar w:fldCharType="end"/>
      </w:r>
      <w:r w:rsidRPr="00124E7F">
        <w:t xml:space="preserve"> </w:t>
      </w:r>
      <w:proofErr w:type="spellStart"/>
      <w:r w:rsidRPr="00124E7F">
        <w:t>summarises</w:t>
      </w:r>
      <w:proofErr w:type="spellEnd"/>
      <w:r w:rsidRPr="00124E7F">
        <w:t xml:space="preserve"> the current versus proposed provisions for education institutions, broken down at a high level by remunerated and unremunerated uses. Placing the arrangements side-by-side in this way, a number of similarities and differences become immediately clear.</w:t>
      </w:r>
    </w:p>
    <w:p w14:paraId="018BB7DA" w14:textId="77777777" w:rsidR="00422BE9" w:rsidRPr="00124E7F" w:rsidRDefault="00422BE9" w:rsidP="00F72E3A">
      <w:pPr>
        <w:pStyle w:val="EYLetter"/>
        <w:tabs>
          <w:tab w:val="clear" w:pos="851"/>
        </w:tabs>
        <w:spacing w:line="276" w:lineRule="auto"/>
        <w:ind w:left="426"/>
      </w:pPr>
      <w:r w:rsidRPr="00124E7F">
        <w:t xml:space="preserve">Existing specific </w:t>
      </w:r>
      <w:r w:rsidR="00346B82" w:rsidRPr="00124E7F">
        <w:t xml:space="preserve">provisions </w:t>
      </w:r>
      <w:r w:rsidRPr="00124E7F">
        <w:t>for education institutions would be repealed</w:t>
      </w:r>
      <w:r w:rsidR="00346B82" w:rsidRPr="00124E7F">
        <w:t xml:space="preserve"> (see Section 3.5.1)</w:t>
      </w:r>
      <w:r w:rsidRPr="00124E7F">
        <w:t xml:space="preserve">. </w:t>
      </w:r>
    </w:p>
    <w:p w14:paraId="6818D027" w14:textId="77777777" w:rsidR="00030F0C" w:rsidRPr="00124E7F" w:rsidRDefault="00422BE9" w:rsidP="009B36A0">
      <w:pPr>
        <w:pStyle w:val="EYBulletedText2"/>
      </w:pPr>
      <w:r w:rsidRPr="00124E7F">
        <w:t xml:space="preserve">There may be some administration savings from removing the </w:t>
      </w:r>
      <w:r w:rsidR="00346B82" w:rsidRPr="00124E7F">
        <w:t>provisions</w:t>
      </w:r>
      <w:r w:rsidRPr="00124E7F">
        <w:t xml:space="preserve">, where the Copyright Act puts in place compliance requirements over and above what would be normally undertaken by collecting societies and </w:t>
      </w:r>
      <w:r w:rsidR="005D236A" w:rsidRPr="00124E7F">
        <w:t>licens</w:t>
      </w:r>
      <w:r w:rsidR="007D4AFF" w:rsidRPr="00124E7F">
        <w:t>e</w:t>
      </w:r>
      <w:r w:rsidRPr="00124E7F">
        <w:t xml:space="preserve">es. For example, </w:t>
      </w:r>
      <w:r w:rsidR="00AF51F8" w:rsidRPr="00124E7F">
        <w:t>Sections </w:t>
      </w:r>
      <w:r w:rsidRPr="00124E7F">
        <w:t xml:space="preserve">135ZG and 135ZMB require mechanisms to identify whether the content used is only 1 per cent or two page of a work in an edition and; whether or not the same work has been copied in the previous 14 days. </w:t>
      </w:r>
      <w:r w:rsidR="00346B82" w:rsidRPr="00124E7F">
        <w:t xml:space="preserve">However, </w:t>
      </w:r>
      <w:r w:rsidR="0056162C" w:rsidRPr="00124E7F">
        <w:t xml:space="preserve">the administration costs associated with these provisions would be expected to be largely removed by the streaming of </w:t>
      </w:r>
      <w:r w:rsidR="009978DD" w:rsidRPr="00124E7F">
        <w:t xml:space="preserve">statutory </w:t>
      </w:r>
      <w:r w:rsidR="008D7BC8" w:rsidRPr="00124E7F">
        <w:t>licenses</w:t>
      </w:r>
      <w:r w:rsidR="0056162C" w:rsidRPr="00124E7F">
        <w:t xml:space="preserve"> (ALRC Rec 8-4), which has been included in in the Exposure Draft – Copyright Amendment (Disability Access and Other Measures) Bill 2016. </w:t>
      </w:r>
    </w:p>
    <w:p w14:paraId="1AF65D96" w14:textId="77777777" w:rsidR="00422BE9" w:rsidRPr="00124E7F" w:rsidRDefault="00422BE9" w:rsidP="00660B6E">
      <w:pPr>
        <w:pStyle w:val="EYLetter"/>
        <w:spacing w:line="280" w:lineRule="atLeast"/>
        <w:ind w:left="425"/>
      </w:pPr>
      <w:r w:rsidRPr="00124E7F">
        <w:t>A</w:t>
      </w:r>
      <w:r w:rsidR="00346B82" w:rsidRPr="00124E7F">
        <w:t xml:space="preserve">n </w:t>
      </w:r>
      <w:r w:rsidRPr="00124E7F">
        <w:t xml:space="preserve">open-ended exception is in place under both the </w:t>
      </w:r>
      <w:r w:rsidR="004B7AE0" w:rsidRPr="00124E7F">
        <w:rPr>
          <w:b/>
        </w:rPr>
        <w:t>status quo</w:t>
      </w:r>
      <w:r w:rsidRPr="00124E7F">
        <w:t xml:space="preserve"> (under </w:t>
      </w:r>
      <w:r w:rsidR="0056162C" w:rsidRPr="00124E7F">
        <w:t>Section</w:t>
      </w:r>
      <w:r w:rsidRPr="00124E7F">
        <w:t xml:space="preserve"> 200AB) and </w:t>
      </w:r>
      <w:r w:rsidR="004B7AE0" w:rsidRPr="00124E7F">
        <w:rPr>
          <w:b/>
        </w:rPr>
        <w:t>new fair dealing</w:t>
      </w:r>
      <w:r w:rsidRPr="00124E7F">
        <w:t xml:space="preserve"> (under the fair dealing exception). </w:t>
      </w:r>
      <w:r w:rsidR="009978DD" w:rsidRPr="00124E7F">
        <w:t>Statutory licences</w:t>
      </w:r>
      <w:r w:rsidRPr="00124E7F">
        <w:t xml:space="preserve"> would also remain in place under the proposed arrangements. In theory, this mean</w:t>
      </w:r>
      <w:r w:rsidR="00161488" w:rsidRPr="00124E7F">
        <w:t>s</w:t>
      </w:r>
      <w:r w:rsidRPr="00124E7F">
        <w:t xml:space="preserve"> that there </w:t>
      </w:r>
      <w:r w:rsidR="004B7AE0" w:rsidRPr="00124E7F">
        <w:t xml:space="preserve">should </w:t>
      </w:r>
      <w:r w:rsidRPr="00124E7F">
        <w:t xml:space="preserve">be no discernible difference between the two arrangements. In practice, however, </w:t>
      </w:r>
      <w:r w:rsidR="003A3C67" w:rsidRPr="00124E7F">
        <w:t>Section</w:t>
      </w:r>
      <w:r w:rsidRPr="00124E7F">
        <w:t xml:space="preserve"> 200AB can only be relied upon when a use would not be permitted under another exception or statutory </w:t>
      </w:r>
      <w:r w:rsidR="004115D0" w:rsidRPr="00124E7F">
        <w:t>licens</w:t>
      </w:r>
      <w:r w:rsidR="007D4AFF" w:rsidRPr="00124E7F">
        <w:t>ing</w:t>
      </w:r>
      <w:r w:rsidRPr="00124E7F">
        <w:t xml:space="preserve"> arrangement. </w:t>
      </w:r>
      <w:r w:rsidR="009978DD" w:rsidRPr="00124E7F">
        <w:t>Statutory licences</w:t>
      </w:r>
      <w:r w:rsidRPr="00124E7F">
        <w:t xml:space="preserve"> in Australia start from a position that all uses are covered by the </w:t>
      </w:r>
      <w:r w:rsidR="005D236A" w:rsidRPr="00124E7F">
        <w:t>licens</w:t>
      </w:r>
      <w:r w:rsidR="007D4AFF" w:rsidRPr="00124E7F">
        <w:t>e</w:t>
      </w:r>
      <w:r w:rsidRPr="00124E7F">
        <w:t xml:space="preserve">, unless (amongst other factors) they are covered under a specific exception for education institutions. </w:t>
      </w:r>
    </w:p>
    <w:p w14:paraId="7870F444" w14:textId="77777777" w:rsidR="00FC4FF6" w:rsidRPr="00124E7F" w:rsidRDefault="00422BE9" w:rsidP="00660B6E">
      <w:pPr>
        <w:pStyle w:val="EYLetter"/>
        <w:tabs>
          <w:tab w:val="clear" w:pos="851"/>
        </w:tabs>
        <w:spacing w:line="280" w:lineRule="atLeast"/>
        <w:ind w:left="425"/>
      </w:pPr>
      <w:r w:rsidRPr="00124E7F">
        <w:t xml:space="preserve">Conversely, under the proposed arrangements, the starting position would be whether the use is fair. If a particular use is found to be fair, requirements under the </w:t>
      </w:r>
      <w:r w:rsidR="009978DD" w:rsidRPr="00124E7F">
        <w:t>statutory licences</w:t>
      </w:r>
      <w:r w:rsidRPr="00124E7F">
        <w:t xml:space="preserve"> would no longer be binding. This means that rather than consider the availability of </w:t>
      </w:r>
      <w:r w:rsidR="009978DD" w:rsidRPr="00124E7F">
        <w:t>statutory licences</w:t>
      </w:r>
      <w:r w:rsidRPr="00124E7F">
        <w:t xml:space="preserve"> exclusively, ‘courts might instead consider whether a particular use is being </w:t>
      </w:r>
      <w:r w:rsidR="005D236A" w:rsidRPr="00124E7F">
        <w:t>licens</w:t>
      </w:r>
      <w:r w:rsidR="007D4AFF" w:rsidRPr="00124E7F">
        <w:t>e</w:t>
      </w:r>
      <w:r w:rsidRPr="00124E7F">
        <w:t>d voluntarily, either directly or collectively, in Australia or overseas’</w:t>
      </w:r>
      <w:r w:rsidR="002D4075" w:rsidRPr="00124E7F">
        <w:t>.</w:t>
      </w:r>
      <w:r w:rsidRPr="00124E7F">
        <w:rPr>
          <w:vertAlign w:val="superscript"/>
        </w:rPr>
        <w:footnoteReference w:id="158"/>
      </w:r>
      <w:r w:rsidRPr="00124E7F">
        <w:t xml:space="preserve"> </w:t>
      </w:r>
    </w:p>
    <w:p w14:paraId="2057DE6C" w14:textId="77777777" w:rsidR="00A30052" w:rsidRPr="00124E7F" w:rsidRDefault="006C09D7" w:rsidP="00C8603F">
      <w:pPr>
        <w:pStyle w:val="EYHeading3"/>
      </w:pPr>
      <w:r w:rsidRPr="00124E7F">
        <w:t>Impact analysis</w:t>
      </w:r>
    </w:p>
    <w:p w14:paraId="65FCA9AD" w14:textId="77777777" w:rsidR="004A24D7" w:rsidRPr="00124E7F" w:rsidRDefault="006C09D7" w:rsidP="007A51B0">
      <w:pPr>
        <w:pStyle w:val="EYHeading4"/>
      </w:pPr>
      <w:r w:rsidRPr="00124E7F">
        <w:t>Summary</w:t>
      </w:r>
    </w:p>
    <w:p w14:paraId="290646E3" w14:textId="77777777" w:rsidR="001A4F6A" w:rsidRPr="00124E7F" w:rsidRDefault="001A4F6A" w:rsidP="00B66B8B">
      <w:pPr>
        <w:pStyle w:val="EYBodytextwithparaspace"/>
        <w:spacing w:line="276" w:lineRule="auto"/>
      </w:pPr>
      <w:r w:rsidRPr="00124E7F">
        <w:rPr>
          <w:b/>
        </w:rPr>
        <w:t>Analysis in this section shows a potential reduction in licensing revenues paid by schools to the Copyright Agency of $18.3 million per annum (or 30% of school payments under the Part VA license) as a result of a fair dealing exception on education. Given the absence of equivalent data from schools for the Part VB license and from universities and TAFEs more broadly this should be considered as a conservative estimate. The experience of Canada after the introduction of a similar exception in 2012 suggests that the impact on licensing revenues could be much larger. More specifically a recent decision by the Copyright Board of Canada found that 98 per cent of copies made by schools constitute fair dealing</w:t>
      </w:r>
      <w:r w:rsidRPr="00124E7F">
        <w:t>.</w:t>
      </w:r>
      <w:r w:rsidRPr="00124E7F">
        <w:rPr>
          <w:vertAlign w:val="superscript"/>
        </w:rPr>
        <w:footnoteReference w:id="159"/>
      </w:r>
    </w:p>
    <w:p w14:paraId="70DA41A9" w14:textId="77777777" w:rsidR="00C8603F" w:rsidRPr="00124E7F" w:rsidRDefault="00966495" w:rsidP="00200265">
      <w:pPr>
        <w:pStyle w:val="EYBodytextwithparaspace"/>
      </w:pPr>
      <w:r w:rsidRPr="00124E7F">
        <w:t>These impacts, while significant for the educational publishing industry, represent a transfer from cr</w:t>
      </w:r>
      <w:r w:rsidR="001310A8" w:rsidRPr="00124E7F">
        <w:t>eators to users, and are not economic costs</w:t>
      </w:r>
      <w:r w:rsidRPr="00124E7F">
        <w:t>.</w:t>
      </w:r>
      <w:r w:rsidR="003A3C67" w:rsidRPr="00124E7F">
        <w:t xml:space="preserve"> </w:t>
      </w:r>
      <w:r w:rsidR="006451A8" w:rsidRPr="00124E7F">
        <w:t>According to the Copyright Board of Canada, t</w:t>
      </w:r>
      <w:r w:rsidR="00161488" w:rsidRPr="00124E7F">
        <w:t xml:space="preserve">here appears to be </w:t>
      </w:r>
      <w:r w:rsidR="003A3C67" w:rsidRPr="00124E7F">
        <w:t xml:space="preserve">circularity in using the loss of </w:t>
      </w:r>
      <w:r w:rsidR="005D236A" w:rsidRPr="00124E7F">
        <w:t>licens</w:t>
      </w:r>
      <w:r w:rsidR="003A3C67" w:rsidRPr="00124E7F">
        <w:t>ing revenues to argue market harm in a fair dealing and fair use context.</w:t>
      </w:r>
      <w:r w:rsidR="00D107BD" w:rsidRPr="00124E7F">
        <w:rPr>
          <w:vertAlign w:val="superscript"/>
        </w:rPr>
        <w:footnoteReference w:id="160"/>
      </w:r>
      <w:r w:rsidR="003A3C67" w:rsidRPr="00124E7F">
        <w:rPr>
          <w:vertAlign w:val="superscript"/>
        </w:rPr>
        <w:t xml:space="preserve"> </w:t>
      </w:r>
      <w:r w:rsidR="006451A8" w:rsidRPr="00124E7F">
        <w:t xml:space="preserve">That is, non-payment of </w:t>
      </w:r>
      <w:r w:rsidR="005D236A" w:rsidRPr="00124E7F">
        <w:t>licens</w:t>
      </w:r>
      <w:r w:rsidR="006451A8" w:rsidRPr="00124E7F">
        <w:t xml:space="preserve">ing fees would be a finding of fairness, which would already account for any harm on the primary market of works. </w:t>
      </w:r>
      <w:r w:rsidR="003A3C67" w:rsidRPr="00124E7F">
        <w:t xml:space="preserve">As an illustration of this argument we consider the impact on the original market for content, if freely available internet materials became </w:t>
      </w:r>
      <w:r w:rsidR="00200265" w:rsidRPr="00124E7F">
        <w:t xml:space="preserve">fair for educational purposes. </w:t>
      </w:r>
    </w:p>
    <w:p w14:paraId="0015F060" w14:textId="77777777" w:rsidR="00966495" w:rsidRPr="00124E7F" w:rsidRDefault="00966495" w:rsidP="00C8603F">
      <w:pPr>
        <w:pStyle w:val="EYBodytextwithparaspace"/>
      </w:pPr>
      <w:r w:rsidRPr="00124E7F">
        <w:t xml:space="preserve">Nevertheless, </w:t>
      </w:r>
      <w:r w:rsidR="003A3C67" w:rsidRPr="00124E7F">
        <w:t xml:space="preserve">the loss of licensing income has </w:t>
      </w:r>
      <w:r w:rsidRPr="00124E7F">
        <w:t xml:space="preserve">been attributed in a recent PwC report as the trigger for the closure of a number of Canadian publishers and expected detrimental longer term impacts on incentives to create new content. Citing evidence from the Copyright Board of Canada, </w:t>
      </w:r>
      <w:r w:rsidR="004B7AE0" w:rsidRPr="00124E7F">
        <w:t xml:space="preserve">it is not clear </w:t>
      </w:r>
      <w:r w:rsidRPr="00124E7F">
        <w:t xml:space="preserve">that the introduction of a fair dealing exception in Canada has led to significant and widespread impacts of </w:t>
      </w:r>
      <w:r w:rsidR="00796BAD" w:rsidRPr="00124E7F">
        <w:t xml:space="preserve">this </w:t>
      </w:r>
      <w:r w:rsidRPr="00124E7F">
        <w:t xml:space="preserve">sort. </w:t>
      </w:r>
      <w:r w:rsidR="00B054A5" w:rsidRPr="00124E7F">
        <w:t>In particular, the Board highlighted a number of factors that could have explained the declining trend in sales including ‘the use of open educational resources, the sharing of lessons by teachers, the creation of resources by teachers, the availability of free materials on the Internet as well as portals and repositories of educational material’.</w:t>
      </w:r>
      <w:r w:rsidR="00B054A5" w:rsidRPr="00124E7F">
        <w:rPr>
          <w:vertAlign w:val="superscript"/>
        </w:rPr>
        <w:footnoteReference w:id="161"/>
      </w:r>
    </w:p>
    <w:p w14:paraId="64B34FA4" w14:textId="77777777" w:rsidR="00966495" w:rsidRPr="00124E7F" w:rsidRDefault="00966495" w:rsidP="00C8603F">
      <w:pPr>
        <w:pStyle w:val="EYBodytextwithparaspace"/>
      </w:pPr>
      <w:r w:rsidRPr="00124E7F">
        <w:t xml:space="preserve">The report by PwC also argued that implementing fair use (and presumably the fair dealing exception for education) would increase transaction costs through loss of economies of scale. Using a simplified </w:t>
      </w:r>
      <w:r w:rsidR="000D4B37" w:rsidRPr="00124E7F">
        <w:t>interpretation</w:t>
      </w:r>
      <w:r w:rsidRPr="00124E7F">
        <w:t xml:space="preserve"> of PwC’s </w:t>
      </w:r>
      <w:proofErr w:type="spellStart"/>
      <w:r w:rsidRPr="00124E7F">
        <w:t>atomised</w:t>
      </w:r>
      <w:proofErr w:type="spellEnd"/>
      <w:r w:rsidRPr="00124E7F">
        <w:t xml:space="preserve"> model, we find </w:t>
      </w:r>
      <w:r w:rsidR="00B53ABD" w:rsidRPr="00124E7F">
        <w:t>that</w:t>
      </w:r>
      <w:r w:rsidRPr="00124E7F">
        <w:t xml:space="preserve"> 86 </w:t>
      </w:r>
      <w:r w:rsidR="00B53ABD" w:rsidRPr="00124E7F">
        <w:t xml:space="preserve">per cent or more </w:t>
      </w:r>
      <w:r w:rsidRPr="00124E7F">
        <w:t xml:space="preserve">of copies made by education institutions would have to constitute fair dealing for </w:t>
      </w:r>
      <w:r w:rsidR="008A4864" w:rsidRPr="00124E7F">
        <w:t xml:space="preserve">the education </w:t>
      </w:r>
      <w:r w:rsidR="009978DD" w:rsidRPr="00124E7F">
        <w:t xml:space="preserve">statutory </w:t>
      </w:r>
      <w:r w:rsidR="008D7BC8" w:rsidRPr="00124E7F">
        <w:t>licenses</w:t>
      </w:r>
      <w:r w:rsidR="008A4864" w:rsidRPr="00124E7F">
        <w:t xml:space="preserve"> </w:t>
      </w:r>
      <w:r w:rsidRPr="00124E7F">
        <w:t>to become unviable. The additional administrative costs (i.e. relative to the s</w:t>
      </w:r>
      <w:r w:rsidR="008A4864" w:rsidRPr="00124E7F">
        <w:t xml:space="preserve">tatus quo) associated with the </w:t>
      </w:r>
      <w:r w:rsidRPr="00124E7F">
        <w:t xml:space="preserve">remaining </w:t>
      </w:r>
      <w:r w:rsidR="008A4864" w:rsidRPr="00124E7F">
        <w:t>‘</w:t>
      </w:r>
      <w:r w:rsidRPr="00124E7F">
        <w:t xml:space="preserve">remunerable’ uses would range from $23.6 million (if 86% of uses are found to be fair) and -$14.2 million (if 100% of uses are found to be fair, equal to current transaction costs). </w:t>
      </w:r>
    </w:p>
    <w:p w14:paraId="4E032C55" w14:textId="77777777" w:rsidR="00344D4A" w:rsidRPr="00124E7F" w:rsidRDefault="00966495" w:rsidP="00C8603F">
      <w:pPr>
        <w:pStyle w:val="EYBodytextwithparaspace"/>
      </w:pPr>
      <w:r w:rsidRPr="00124E7F">
        <w:t>Finally, to the extent that a fair dealing exception for education would mean that some uses are no longer a remunerable act in usage surveys, this would be expected to lead to some increase in effectiveness (i.e. with which public funds are currently spent) and efficiency (i.e. in the use of digital technologies to facilitate</w:t>
      </w:r>
      <w:r w:rsidR="00977380" w:rsidRPr="00124E7F">
        <w:t xml:space="preserve"> access to copyright content). </w:t>
      </w:r>
    </w:p>
    <w:p w14:paraId="2BD3ECF7" w14:textId="77777777" w:rsidR="008A175A" w:rsidRPr="00124E7F" w:rsidRDefault="00B830B8" w:rsidP="00B830B8">
      <w:pPr>
        <w:pStyle w:val="Caption"/>
      </w:pPr>
      <w:r w:rsidRPr="00124E7F">
        <w:t xml:space="preserve">Table </w:t>
      </w:r>
      <w:r w:rsidRPr="00124E7F">
        <w:fldChar w:fldCharType="begin"/>
      </w:r>
      <w:r w:rsidRPr="00124E7F">
        <w:instrText xml:space="preserve"> SEQ Table \* ARABIC </w:instrText>
      </w:r>
      <w:r w:rsidRPr="00124E7F">
        <w:fldChar w:fldCharType="separate"/>
      </w:r>
      <w:r w:rsidR="0075700D">
        <w:rPr>
          <w:noProof/>
        </w:rPr>
        <w:t>9</w:t>
      </w:r>
      <w:r w:rsidRPr="00124E7F">
        <w:fldChar w:fldCharType="end"/>
      </w:r>
      <w:r w:rsidRPr="00124E7F">
        <w:t>: Summary of costs and benefits of fair dealing provisions for an education exception</w:t>
      </w:r>
    </w:p>
    <w:tbl>
      <w:tblPr>
        <w:tblStyle w:val="LightShading-Accent3"/>
        <w:tblW w:w="5000" w:type="pct"/>
        <w:tblBorders>
          <w:top w:val="none" w:sz="0" w:space="0" w:color="auto"/>
          <w:bottom w:val="none" w:sz="0" w:space="0" w:color="auto"/>
          <w:insideH w:val="single" w:sz="4" w:space="0" w:color="808080" w:themeColor="background1" w:themeShade="80"/>
        </w:tblBorders>
        <w:tblLayout w:type="fixed"/>
        <w:tblCellMar>
          <w:left w:w="28" w:type="dxa"/>
          <w:right w:w="28" w:type="dxa"/>
        </w:tblCellMar>
        <w:tblLook w:val="0420" w:firstRow="1" w:lastRow="0" w:firstColumn="0" w:lastColumn="0" w:noHBand="0" w:noVBand="1"/>
        <w:tblCaption w:val="Table 9: Summary of costs and benefits of fair dealing provisions for an education exception"/>
        <w:tblDescription w:val="The table provides a summary of the costs and benefits of a fair dealing exception for an education exception relative to the status quo, as described in the main text provided above. "/>
      </w:tblPr>
      <w:tblGrid>
        <w:gridCol w:w="1438"/>
        <w:gridCol w:w="1300"/>
        <w:gridCol w:w="1098"/>
        <w:gridCol w:w="2163"/>
        <w:gridCol w:w="2163"/>
        <w:gridCol w:w="867"/>
      </w:tblGrid>
      <w:tr w:rsidR="004213AE" w:rsidRPr="00124E7F" w14:paraId="43B83EC4" w14:textId="77777777" w:rsidTr="004C1C4B">
        <w:trPr>
          <w:cnfStyle w:val="100000000000" w:firstRow="1" w:lastRow="0" w:firstColumn="0" w:lastColumn="0" w:oddVBand="0" w:evenVBand="0" w:oddHBand="0" w:evenHBand="0" w:firstRowFirstColumn="0" w:firstRowLastColumn="0" w:lastRowFirstColumn="0" w:lastRowLastColumn="0"/>
          <w:trHeight w:val="397"/>
          <w:tblHeader/>
        </w:trPr>
        <w:tc>
          <w:tcPr>
            <w:tcW w:w="796" w:type="pct"/>
            <w:shd w:val="clear" w:color="auto" w:fill="F0F0F0" w:themeFill="accent4"/>
            <w:vAlign w:val="center"/>
            <w:hideMark/>
          </w:tcPr>
          <w:p w14:paraId="7C368E2D" w14:textId="77777777" w:rsidR="004C1C4B" w:rsidRPr="00124E7F" w:rsidRDefault="004C1C4B" w:rsidP="00023832">
            <w:pPr>
              <w:autoSpaceDE/>
              <w:autoSpaceDN/>
              <w:adjustRightInd/>
              <w:spacing w:line="240" w:lineRule="auto"/>
              <w:jc w:val="center"/>
              <w:rPr>
                <w:color w:val="auto"/>
              </w:rPr>
            </w:pPr>
            <w:r w:rsidRPr="00124E7F">
              <w:rPr>
                <w:color w:val="auto"/>
              </w:rPr>
              <w:t>Impact type</w:t>
            </w:r>
          </w:p>
        </w:tc>
        <w:tc>
          <w:tcPr>
            <w:tcW w:w="720" w:type="pct"/>
            <w:shd w:val="clear" w:color="auto" w:fill="F0F0F0" w:themeFill="accent4"/>
            <w:vAlign w:val="center"/>
            <w:hideMark/>
          </w:tcPr>
          <w:p w14:paraId="53F95B5E" w14:textId="77777777" w:rsidR="004C1C4B" w:rsidRPr="00124E7F" w:rsidRDefault="004C1C4B" w:rsidP="00023832">
            <w:pPr>
              <w:autoSpaceDE/>
              <w:autoSpaceDN/>
              <w:adjustRightInd/>
              <w:spacing w:line="240" w:lineRule="auto"/>
              <w:jc w:val="center"/>
              <w:rPr>
                <w:color w:val="auto"/>
              </w:rPr>
            </w:pPr>
            <w:r w:rsidRPr="00124E7F">
              <w:rPr>
                <w:color w:val="auto"/>
              </w:rPr>
              <w:t>Stakeholder Group</w:t>
            </w:r>
          </w:p>
        </w:tc>
        <w:tc>
          <w:tcPr>
            <w:tcW w:w="608" w:type="pct"/>
            <w:shd w:val="clear" w:color="auto" w:fill="F0F0F0" w:themeFill="accent4"/>
            <w:vAlign w:val="center"/>
            <w:hideMark/>
          </w:tcPr>
          <w:p w14:paraId="20330B47" w14:textId="77777777" w:rsidR="004C1C4B" w:rsidRPr="00124E7F" w:rsidRDefault="004C1C4B" w:rsidP="00023832">
            <w:pPr>
              <w:autoSpaceDE/>
              <w:autoSpaceDN/>
              <w:adjustRightInd/>
              <w:spacing w:line="240" w:lineRule="auto"/>
              <w:jc w:val="center"/>
              <w:rPr>
                <w:color w:val="auto"/>
              </w:rPr>
            </w:pPr>
            <w:r w:rsidRPr="00124E7F">
              <w:rPr>
                <w:color w:val="auto"/>
              </w:rPr>
              <w:t>Short or long-run</w:t>
            </w:r>
          </w:p>
        </w:tc>
        <w:tc>
          <w:tcPr>
            <w:tcW w:w="1198" w:type="pct"/>
            <w:shd w:val="clear" w:color="auto" w:fill="F0F0F0" w:themeFill="accent4"/>
            <w:vAlign w:val="center"/>
            <w:hideMark/>
          </w:tcPr>
          <w:p w14:paraId="61446C5F" w14:textId="77777777" w:rsidR="004C1C4B" w:rsidRPr="00124E7F" w:rsidRDefault="004C1C4B" w:rsidP="00023832">
            <w:pPr>
              <w:autoSpaceDE/>
              <w:autoSpaceDN/>
              <w:adjustRightInd/>
              <w:spacing w:line="240" w:lineRule="auto"/>
              <w:jc w:val="center"/>
              <w:rPr>
                <w:color w:val="auto"/>
              </w:rPr>
            </w:pPr>
            <w:r w:rsidRPr="00124E7F">
              <w:rPr>
                <w:color w:val="auto"/>
              </w:rPr>
              <w:t>Description of impact</w:t>
            </w:r>
          </w:p>
        </w:tc>
        <w:tc>
          <w:tcPr>
            <w:tcW w:w="1198" w:type="pct"/>
            <w:shd w:val="clear" w:color="auto" w:fill="F0F0F0" w:themeFill="accent4"/>
          </w:tcPr>
          <w:p w14:paraId="18FE6097" w14:textId="77777777" w:rsidR="004C1C4B" w:rsidRPr="00124E7F" w:rsidRDefault="00C129F6" w:rsidP="00023832">
            <w:pPr>
              <w:autoSpaceDE/>
              <w:autoSpaceDN/>
              <w:adjustRightInd/>
              <w:spacing w:line="240" w:lineRule="auto"/>
              <w:jc w:val="center"/>
              <w:rPr>
                <w:color w:val="auto"/>
              </w:rPr>
            </w:pPr>
            <w:r w:rsidRPr="00124E7F">
              <w:rPr>
                <w:color w:val="auto"/>
              </w:rPr>
              <w:t xml:space="preserve">Magnitude of </w:t>
            </w:r>
            <w:r w:rsidRPr="00124E7F">
              <w:rPr>
                <w:color w:val="auto"/>
              </w:rPr>
              <w:br/>
              <w:t>impact</w:t>
            </w:r>
          </w:p>
        </w:tc>
        <w:tc>
          <w:tcPr>
            <w:tcW w:w="480" w:type="pct"/>
            <w:shd w:val="clear" w:color="auto" w:fill="F0F0F0" w:themeFill="accent4"/>
            <w:vAlign w:val="center"/>
          </w:tcPr>
          <w:p w14:paraId="71CC3FCB" w14:textId="77777777" w:rsidR="004C1C4B" w:rsidRPr="00124E7F" w:rsidRDefault="004C1C4B" w:rsidP="00023832">
            <w:pPr>
              <w:autoSpaceDE/>
              <w:autoSpaceDN/>
              <w:adjustRightInd/>
              <w:spacing w:line="240" w:lineRule="auto"/>
              <w:jc w:val="center"/>
              <w:rPr>
                <w:color w:val="auto"/>
              </w:rPr>
            </w:pPr>
            <w:r w:rsidRPr="00124E7F">
              <w:rPr>
                <w:color w:val="auto"/>
              </w:rPr>
              <w:t>Rating</w:t>
            </w:r>
          </w:p>
        </w:tc>
      </w:tr>
      <w:tr w:rsidR="00337AB5" w:rsidRPr="00124E7F" w14:paraId="1579659C" w14:textId="77777777" w:rsidTr="004C1C4B">
        <w:trPr>
          <w:cnfStyle w:val="000000100000" w:firstRow="0" w:lastRow="0" w:firstColumn="0" w:lastColumn="0" w:oddVBand="0" w:evenVBand="0" w:oddHBand="1" w:evenHBand="0" w:firstRowFirstColumn="0" w:firstRowLastColumn="0" w:lastRowFirstColumn="0" w:lastRowLastColumn="0"/>
          <w:trHeight w:val="2245"/>
        </w:trPr>
        <w:tc>
          <w:tcPr>
            <w:tcW w:w="796" w:type="pct"/>
            <w:shd w:val="clear" w:color="auto" w:fill="FFFFFF" w:themeFill="background1"/>
            <w:vAlign w:val="center"/>
          </w:tcPr>
          <w:p w14:paraId="3A968870" w14:textId="77777777" w:rsidR="00337AB5" w:rsidRPr="00202E68" w:rsidRDefault="00337AB5" w:rsidP="00023832">
            <w:pPr>
              <w:autoSpaceDE/>
              <w:autoSpaceDN/>
              <w:adjustRightInd/>
              <w:spacing w:line="240" w:lineRule="auto"/>
              <w:jc w:val="center"/>
              <w:rPr>
                <w:color w:val="auto"/>
              </w:rPr>
            </w:pPr>
            <w:r w:rsidRPr="00337AB5">
              <w:t>Monopoly rents</w:t>
            </w:r>
          </w:p>
        </w:tc>
        <w:tc>
          <w:tcPr>
            <w:tcW w:w="720" w:type="pct"/>
            <w:shd w:val="clear" w:color="auto" w:fill="FFFFFF" w:themeFill="background1"/>
            <w:vAlign w:val="center"/>
          </w:tcPr>
          <w:p w14:paraId="3BFD08A7" w14:textId="77777777" w:rsidR="00337AB5" w:rsidRPr="00202E68" w:rsidRDefault="00337AB5" w:rsidP="00023832">
            <w:pPr>
              <w:autoSpaceDE/>
              <w:autoSpaceDN/>
              <w:adjustRightInd/>
              <w:spacing w:line="240" w:lineRule="auto"/>
              <w:jc w:val="center"/>
              <w:rPr>
                <w:color w:val="auto"/>
              </w:rPr>
            </w:pPr>
            <w:r w:rsidRPr="00337AB5">
              <w:t>Rights holders</w:t>
            </w:r>
          </w:p>
        </w:tc>
        <w:tc>
          <w:tcPr>
            <w:tcW w:w="608" w:type="pct"/>
            <w:shd w:val="clear" w:color="auto" w:fill="FFFFFF" w:themeFill="background1"/>
            <w:vAlign w:val="center"/>
          </w:tcPr>
          <w:p w14:paraId="7541D1F2" w14:textId="77777777" w:rsidR="00337AB5" w:rsidRPr="00202E68" w:rsidRDefault="00337AB5" w:rsidP="00023832">
            <w:pPr>
              <w:spacing w:line="240" w:lineRule="auto"/>
              <w:jc w:val="center"/>
              <w:rPr>
                <w:color w:val="auto"/>
              </w:rPr>
            </w:pPr>
            <w:r w:rsidRPr="00337AB5">
              <w:t>Short run</w:t>
            </w:r>
          </w:p>
        </w:tc>
        <w:tc>
          <w:tcPr>
            <w:tcW w:w="1198" w:type="pct"/>
            <w:shd w:val="clear" w:color="auto" w:fill="FFFFFF" w:themeFill="background1"/>
            <w:vAlign w:val="center"/>
          </w:tcPr>
          <w:p w14:paraId="7920249A" w14:textId="77777777" w:rsidR="00337AB5" w:rsidRPr="00202E68" w:rsidRDefault="00337AB5" w:rsidP="00023832">
            <w:pPr>
              <w:pStyle w:val="AA-Normal"/>
              <w:spacing w:after="60" w:line="240" w:lineRule="auto"/>
              <w:jc w:val="center"/>
              <w:rPr>
                <w:color w:val="auto"/>
              </w:rPr>
            </w:pPr>
            <w:r w:rsidRPr="00337AB5">
              <w:t>Transfer of wealth from rights holders to licensees.</w:t>
            </w:r>
          </w:p>
        </w:tc>
        <w:tc>
          <w:tcPr>
            <w:tcW w:w="1198" w:type="pct"/>
            <w:shd w:val="clear" w:color="auto" w:fill="FFFFFF" w:themeFill="background1"/>
            <w:vAlign w:val="center"/>
          </w:tcPr>
          <w:p w14:paraId="6129132A" w14:textId="77777777" w:rsidR="00337AB5" w:rsidRPr="00202E68" w:rsidRDefault="00337AB5" w:rsidP="00023832">
            <w:pPr>
              <w:autoSpaceDE/>
              <w:autoSpaceDN/>
              <w:adjustRightInd/>
              <w:spacing w:line="240" w:lineRule="auto"/>
              <w:jc w:val="center"/>
              <w:rPr>
                <w:color w:val="auto"/>
              </w:rPr>
            </w:pPr>
            <w:r w:rsidRPr="00337AB5">
              <w:t>Conservative estimate of $18.3 million per annum, through likely to be greater.</w:t>
            </w:r>
          </w:p>
        </w:tc>
        <w:tc>
          <w:tcPr>
            <w:tcW w:w="480" w:type="pct"/>
            <w:shd w:val="clear" w:color="auto" w:fill="FFFFFF" w:themeFill="background1"/>
            <w:vAlign w:val="center"/>
          </w:tcPr>
          <w:p w14:paraId="7FD12FC2" w14:textId="77777777" w:rsidR="00337AB5" w:rsidRPr="00202E68" w:rsidRDefault="00337AB5" w:rsidP="00337AB5">
            <w:pPr>
              <w:autoSpaceDE/>
              <w:autoSpaceDN/>
              <w:adjustRightInd/>
              <w:spacing w:line="240" w:lineRule="auto"/>
              <w:jc w:val="center"/>
              <w:rPr>
                <w:color w:val="auto"/>
              </w:rPr>
            </w:pPr>
            <w:r w:rsidRPr="00337AB5">
              <w:t>-</w:t>
            </w:r>
          </w:p>
          <w:p w14:paraId="17222F33" w14:textId="77777777" w:rsidR="00337AB5" w:rsidRPr="00202E68" w:rsidRDefault="00337AB5" w:rsidP="00337AB5">
            <w:pPr>
              <w:autoSpaceDE/>
              <w:autoSpaceDN/>
              <w:adjustRightInd/>
              <w:spacing w:line="240" w:lineRule="auto"/>
              <w:jc w:val="center"/>
              <w:rPr>
                <w:color w:val="auto"/>
              </w:rPr>
            </w:pPr>
            <w:r w:rsidRPr="00337AB5">
              <w:t>+</w:t>
            </w:r>
          </w:p>
        </w:tc>
      </w:tr>
      <w:tr w:rsidR="004213AE" w:rsidRPr="00124E7F" w14:paraId="28A3788C" w14:textId="77777777" w:rsidTr="004C1C4B">
        <w:trPr>
          <w:trHeight w:val="1634"/>
        </w:trPr>
        <w:tc>
          <w:tcPr>
            <w:tcW w:w="796" w:type="pct"/>
            <w:shd w:val="clear" w:color="auto" w:fill="auto"/>
            <w:vAlign w:val="center"/>
          </w:tcPr>
          <w:p w14:paraId="6D3BE058" w14:textId="77777777" w:rsidR="004C1C4B" w:rsidRPr="00124E7F" w:rsidRDefault="004C1C4B" w:rsidP="00023832">
            <w:pPr>
              <w:autoSpaceDE/>
              <w:autoSpaceDN/>
              <w:adjustRightInd/>
              <w:spacing w:line="240" w:lineRule="auto"/>
              <w:jc w:val="center"/>
              <w:rPr>
                <w:color w:val="auto"/>
              </w:rPr>
            </w:pPr>
            <w:r w:rsidRPr="00124E7F">
              <w:rPr>
                <w:color w:val="auto"/>
              </w:rPr>
              <w:t>Incentives to create new works</w:t>
            </w:r>
          </w:p>
        </w:tc>
        <w:tc>
          <w:tcPr>
            <w:tcW w:w="720" w:type="pct"/>
            <w:shd w:val="clear" w:color="auto" w:fill="auto"/>
            <w:vAlign w:val="center"/>
          </w:tcPr>
          <w:p w14:paraId="2D1A8588" w14:textId="77777777" w:rsidR="004C1C4B" w:rsidRPr="00124E7F" w:rsidRDefault="004C1C4B" w:rsidP="00023832">
            <w:pPr>
              <w:autoSpaceDE/>
              <w:autoSpaceDN/>
              <w:adjustRightInd/>
              <w:spacing w:line="240" w:lineRule="auto"/>
              <w:jc w:val="center"/>
              <w:rPr>
                <w:color w:val="auto"/>
              </w:rPr>
            </w:pPr>
            <w:r w:rsidRPr="00124E7F">
              <w:rPr>
                <w:color w:val="auto"/>
              </w:rPr>
              <w:t>Rights holders</w:t>
            </w:r>
          </w:p>
        </w:tc>
        <w:tc>
          <w:tcPr>
            <w:tcW w:w="608" w:type="pct"/>
            <w:shd w:val="clear" w:color="auto" w:fill="auto"/>
            <w:vAlign w:val="center"/>
          </w:tcPr>
          <w:p w14:paraId="6D818C18" w14:textId="77777777" w:rsidR="004C1C4B" w:rsidRPr="00124E7F" w:rsidRDefault="004C1C4B" w:rsidP="00023832">
            <w:pPr>
              <w:spacing w:line="240" w:lineRule="auto"/>
              <w:jc w:val="center"/>
              <w:rPr>
                <w:color w:val="auto"/>
              </w:rPr>
            </w:pPr>
            <w:r w:rsidRPr="00124E7F">
              <w:rPr>
                <w:color w:val="auto"/>
              </w:rPr>
              <w:t>Long Run</w:t>
            </w:r>
          </w:p>
        </w:tc>
        <w:tc>
          <w:tcPr>
            <w:tcW w:w="1198" w:type="pct"/>
            <w:shd w:val="clear" w:color="auto" w:fill="auto"/>
            <w:vAlign w:val="center"/>
          </w:tcPr>
          <w:p w14:paraId="1DE85ED2" w14:textId="77777777" w:rsidR="004C1C4B" w:rsidRPr="00124E7F" w:rsidRDefault="004C1C4B" w:rsidP="00023832">
            <w:pPr>
              <w:pStyle w:val="AA-Normal"/>
              <w:spacing w:after="60" w:line="240" w:lineRule="auto"/>
              <w:jc w:val="center"/>
              <w:rPr>
                <w:color w:val="auto"/>
              </w:rPr>
            </w:pPr>
            <w:r w:rsidRPr="00124E7F">
              <w:rPr>
                <w:color w:val="auto"/>
              </w:rPr>
              <w:t>No evidence to suggest significant and widespread impacts on the incentives or rights holders to produce educational content.</w:t>
            </w:r>
          </w:p>
        </w:tc>
        <w:tc>
          <w:tcPr>
            <w:tcW w:w="1198" w:type="pct"/>
            <w:shd w:val="clear" w:color="auto" w:fill="auto"/>
            <w:vAlign w:val="center"/>
          </w:tcPr>
          <w:p w14:paraId="768A598E" w14:textId="77777777" w:rsidR="004C1C4B" w:rsidRPr="00202E68" w:rsidRDefault="004C1C4B" w:rsidP="00023832">
            <w:pPr>
              <w:autoSpaceDE/>
              <w:autoSpaceDN/>
              <w:adjustRightInd/>
              <w:spacing w:line="240" w:lineRule="auto"/>
              <w:jc w:val="center"/>
              <w:rPr>
                <w:color w:val="auto"/>
              </w:rPr>
            </w:pPr>
            <w:r w:rsidRPr="00124E7F">
              <w:rPr>
                <w:color w:val="auto"/>
              </w:rPr>
              <w:t>-</w:t>
            </w:r>
          </w:p>
        </w:tc>
        <w:tc>
          <w:tcPr>
            <w:tcW w:w="480" w:type="pct"/>
            <w:shd w:val="clear" w:color="auto" w:fill="auto"/>
            <w:vAlign w:val="center"/>
          </w:tcPr>
          <w:p w14:paraId="349A906D" w14:textId="77777777" w:rsidR="004C1C4B" w:rsidRPr="004213AE" w:rsidRDefault="004C1C4B" w:rsidP="00023832">
            <w:pPr>
              <w:autoSpaceDE/>
              <w:autoSpaceDN/>
              <w:adjustRightInd/>
              <w:spacing w:line="240" w:lineRule="auto"/>
              <w:jc w:val="center"/>
              <w:rPr>
                <w:color w:val="auto"/>
              </w:rPr>
            </w:pPr>
            <w:r w:rsidRPr="004213AE">
              <w:rPr>
                <w:color w:val="auto"/>
              </w:rPr>
              <w:t>0</w:t>
            </w:r>
          </w:p>
        </w:tc>
      </w:tr>
      <w:tr w:rsidR="004213AE" w:rsidRPr="00124E7F" w14:paraId="20EF1582" w14:textId="77777777" w:rsidTr="004C1C4B">
        <w:trPr>
          <w:cnfStyle w:val="000000100000" w:firstRow="0" w:lastRow="0" w:firstColumn="0" w:lastColumn="0" w:oddVBand="0" w:evenVBand="0" w:oddHBand="1" w:evenHBand="0" w:firstRowFirstColumn="0" w:firstRowLastColumn="0" w:lastRowFirstColumn="0" w:lastRowLastColumn="0"/>
        </w:trPr>
        <w:tc>
          <w:tcPr>
            <w:tcW w:w="796" w:type="pct"/>
            <w:tcBorders>
              <w:bottom w:val="single" w:sz="4" w:space="0" w:color="808080" w:themeColor="background1" w:themeShade="80"/>
            </w:tcBorders>
            <w:shd w:val="clear" w:color="auto" w:fill="auto"/>
            <w:vAlign w:val="center"/>
          </w:tcPr>
          <w:p w14:paraId="22544942" w14:textId="77777777" w:rsidR="004C1C4B" w:rsidRPr="00124E7F" w:rsidRDefault="004C1C4B" w:rsidP="00023832">
            <w:pPr>
              <w:autoSpaceDE/>
              <w:autoSpaceDN/>
              <w:adjustRightInd/>
              <w:spacing w:line="240" w:lineRule="auto"/>
              <w:jc w:val="center"/>
              <w:rPr>
                <w:color w:val="auto"/>
              </w:rPr>
            </w:pPr>
            <w:r w:rsidRPr="00124E7F">
              <w:rPr>
                <w:color w:val="auto"/>
              </w:rPr>
              <w:t>Administration costs/ transaction costs</w:t>
            </w:r>
          </w:p>
        </w:tc>
        <w:tc>
          <w:tcPr>
            <w:tcW w:w="720" w:type="pct"/>
            <w:tcBorders>
              <w:bottom w:val="single" w:sz="4" w:space="0" w:color="808080" w:themeColor="background1" w:themeShade="80"/>
            </w:tcBorders>
            <w:shd w:val="clear" w:color="auto" w:fill="auto"/>
            <w:vAlign w:val="center"/>
          </w:tcPr>
          <w:p w14:paraId="168B3DE0" w14:textId="77777777" w:rsidR="004C1C4B" w:rsidRPr="00124E7F" w:rsidRDefault="004C1C4B" w:rsidP="00023832">
            <w:pPr>
              <w:autoSpaceDE/>
              <w:autoSpaceDN/>
              <w:adjustRightInd/>
              <w:spacing w:line="240" w:lineRule="auto"/>
              <w:jc w:val="center"/>
              <w:rPr>
                <w:color w:val="auto"/>
              </w:rPr>
            </w:pPr>
            <w:r w:rsidRPr="00124E7F">
              <w:rPr>
                <w:color w:val="auto"/>
              </w:rPr>
              <w:t>Rights holders</w:t>
            </w:r>
          </w:p>
          <w:p w14:paraId="76D16621" w14:textId="77777777" w:rsidR="004C1C4B" w:rsidRPr="00124E7F" w:rsidRDefault="004C1C4B" w:rsidP="00023832">
            <w:pPr>
              <w:autoSpaceDE/>
              <w:autoSpaceDN/>
              <w:adjustRightInd/>
              <w:spacing w:line="240" w:lineRule="auto"/>
              <w:jc w:val="center"/>
              <w:rPr>
                <w:color w:val="auto"/>
              </w:rPr>
            </w:pPr>
            <w:r w:rsidRPr="00124E7F">
              <w:rPr>
                <w:color w:val="auto"/>
              </w:rPr>
              <w:t>Users</w:t>
            </w:r>
          </w:p>
        </w:tc>
        <w:tc>
          <w:tcPr>
            <w:tcW w:w="608" w:type="pct"/>
            <w:tcBorders>
              <w:bottom w:val="single" w:sz="4" w:space="0" w:color="808080" w:themeColor="background1" w:themeShade="80"/>
            </w:tcBorders>
            <w:shd w:val="clear" w:color="auto" w:fill="auto"/>
            <w:vAlign w:val="center"/>
          </w:tcPr>
          <w:p w14:paraId="5A480330" w14:textId="77777777" w:rsidR="004C1C4B" w:rsidRPr="00124E7F" w:rsidRDefault="004C1C4B" w:rsidP="00023832">
            <w:pPr>
              <w:spacing w:line="240" w:lineRule="auto"/>
              <w:jc w:val="center"/>
              <w:rPr>
                <w:color w:val="auto"/>
              </w:rPr>
            </w:pPr>
            <w:r w:rsidRPr="00124E7F">
              <w:rPr>
                <w:color w:val="auto"/>
              </w:rPr>
              <w:t>Short run</w:t>
            </w:r>
          </w:p>
        </w:tc>
        <w:tc>
          <w:tcPr>
            <w:tcW w:w="1198" w:type="pct"/>
            <w:tcBorders>
              <w:bottom w:val="single" w:sz="4" w:space="0" w:color="808080" w:themeColor="background1" w:themeShade="80"/>
            </w:tcBorders>
            <w:shd w:val="clear" w:color="auto" w:fill="auto"/>
            <w:vAlign w:val="center"/>
          </w:tcPr>
          <w:p w14:paraId="17AF2461" w14:textId="77777777" w:rsidR="004C1C4B" w:rsidRPr="00124E7F" w:rsidRDefault="004C1C4B" w:rsidP="00023832">
            <w:pPr>
              <w:pStyle w:val="AA-Normal"/>
              <w:spacing w:after="60" w:line="240" w:lineRule="auto"/>
              <w:jc w:val="center"/>
              <w:rPr>
                <w:color w:val="auto"/>
              </w:rPr>
            </w:pPr>
            <w:r w:rsidRPr="00124E7F">
              <w:rPr>
                <w:color w:val="auto"/>
              </w:rPr>
              <w:t>Impact on transaction costs dependent on the extent of the impact of the exception on licensing revenues</w:t>
            </w:r>
          </w:p>
          <w:p w14:paraId="35134BD8" w14:textId="77777777" w:rsidR="004C1C4B" w:rsidRPr="00124E7F" w:rsidRDefault="004C1C4B" w:rsidP="00023832">
            <w:pPr>
              <w:autoSpaceDE/>
              <w:autoSpaceDN/>
              <w:adjustRightInd/>
              <w:spacing w:line="240" w:lineRule="auto"/>
              <w:jc w:val="center"/>
              <w:rPr>
                <w:color w:val="auto"/>
              </w:rPr>
            </w:pPr>
          </w:p>
          <w:p w14:paraId="4051768F" w14:textId="77777777" w:rsidR="004C1C4B" w:rsidRPr="00124E7F" w:rsidRDefault="004C1C4B" w:rsidP="00023832">
            <w:pPr>
              <w:spacing w:line="240" w:lineRule="auto"/>
              <w:jc w:val="center"/>
              <w:rPr>
                <w:color w:val="auto"/>
              </w:rPr>
            </w:pPr>
          </w:p>
        </w:tc>
        <w:tc>
          <w:tcPr>
            <w:tcW w:w="1198" w:type="pct"/>
            <w:tcBorders>
              <w:bottom w:val="single" w:sz="4" w:space="0" w:color="808080" w:themeColor="background1" w:themeShade="80"/>
            </w:tcBorders>
            <w:shd w:val="clear" w:color="auto" w:fill="auto"/>
            <w:vAlign w:val="center"/>
          </w:tcPr>
          <w:p w14:paraId="103E24AB" w14:textId="77777777" w:rsidR="004C1C4B" w:rsidRPr="00124E7F" w:rsidRDefault="004C1C4B" w:rsidP="00023832">
            <w:pPr>
              <w:autoSpaceDE/>
              <w:autoSpaceDN/>
              <w:adjustRightInd/>
              <w:spacing w:line="240" w:lineRule="auto"/>
              <w:jc w:val="center"/>
              <w:rPr>
                <w:color w:val="auto"/>
              </w:rPr>
            </w:pPr>
            <w:r w:rsidRPr="00124E7F">
              <w:rPr>
                <w:color w:val="auto"/>
              </w:rPr>
              <w:t>86% or more copies would have to constitute fair dealing for collecting societies to become unviable. The additional transaction costs associated with the ‘remaining remunerable’ uses would range from $23.6  million and -$14.2 million</w:t>
            </w:r>
          </w:p>
          <w:p w14:paraId="3B1169FF" w14:textId="77777777" w:rsidR="004C1C4B" w:rsidRPr="00202E68" w:rsidRDefault="004C1C4B" w:rsidP="00023832">
            <w:pPr>
              <w:autoSpaceDE/>
              <w:autoSpaceDN/>
              <w:adjustRightInd/>
              <w:spacing w:line="240" w:lineRule="auto"/>
              <w:jc w:val="center"/>
              <w:rPr>
                <w:color w:val="auto"/>
              </w:rPr>
            </w:pPr>
          </w:p>
        </w:tc>
        <w:tc>
          <w:tcPr>
            <w:tcW w:w="480" w:type="pct"/>
            <w:tcBorders>
              <w:bottom w:val="single" w:sz="4" w:space="0" w:color="808080" w:themeColor="background1" w:themeShade="80"/>
            </w:tcBorders>
            <w:shd w:val="clear" w:color="auto" w:fill="auto"/>
            <w:vAlign w:val="center"/>
          </w:tcPr>
          <w:p w14:paraId="261C261E" w14:textId="77777777" w:rsidR="004C1C4B" w:rsidRPr="004213AE" w:rsidRDefault="004C1C4B" w:rsidP="00023832">
            <w:pPr>
              <w:autoSpaceDE/>
              <w:autoSpaceDN/>
              <w:adjustRightInd/>
              <w:spacing w:line="240" w:lineRule="auto"/>
              <w:jc w:val="center"/>
              <w:rPr>
                <w:color w:val="auto"/>
              </w:rPr>
            </w:pPr>
            <w:r w:rsidRPr="004213AE">
              <w:rPr>
                <w:color w:val="auto"/>
              </w:rPr>
              <w:t>?</w:t>
            </w:r>
          </w:p>
        </w:tc>
      </w:tr>
      <w:tr w:rsidR="004213AE" w:rsidRPr="00124E7F" w14:paraId="0DED5199" w14:textId="77777777" w:rsidTr="004C1C4B">
        <w:trPr>
          <w:trHeight w:val="792"/>
        </w:trPr>
        <w:tc>
          <w:tcPr>
            <w:tcW w:w="796" w:type="pct"/>
            <w:tcBorders>
              <w:top w:val="single" w:sz="4" w:space="0" w:color="808080" w:themeColor="background1" w:themeShade="80"/>
              <w:bottom w:val="single" w:sz="4" w:space="0" w:color="808080" w:themeColor="background1" w:themeShade="80"/>
            </w:tcBorders>
            <w:shd w:val="clear" w:color="auto" w:fill="auto"/>
            <w:vAlign w:val="center"/>
          </w:tcPr>
          <w:p w14:paraId="0F18D015" w14:textId="77777777" w:rsidR="004C1C4B" w:rsidRPr="00124E7F" w:rsidRDefault="004C1C4B" w:rsidP="00023832">
            <w:pPr>
              <w:autoSpaceDE/>
              <w:autoSpaceDN/>
              <w:adjustRightInd/>
              <w:spacing w:line="240" w:lineRule="auto"/>
              <w:jc w:val="center"/>
              <w:rPr>
                <w:color w:val="auto"/>
              </w:rPr>
            </w:pPr>
            <w:r w:rsidRPr="00124E7F">
              <w:rPr>
                <w:color w:val="auto"/>
              </w:rPr>
              <w:t>Incentives to invest in new uses of works</w:t>
            </w:r>
          </w:p>
        </w:tc>
        <w:tc>
          <w:tcPr>
            <w:tcW w:w="720" w:type="pct"/>
            <w:tcBorders>
              <w:top w:val="single" w:sz="4" w:space="0" w:color="808080" w:themeColor="background1" w:themeShade="80"/>
              <w:bottom w:val="single" w:sz="4" w:space="0" w:color="808080" w:themeColor="background1" w:themeShade="80"/>
            </w:tcBorders>
            <w:shd w:val="clear" w:color="auto" w:fill="auto"/>
            <w:vAlign w:val="center"/>
          </w:tcPr>
          <w:p w14:paraId="45F35D6A" w14:textId="77777777" w:rsidR="004C1C4B" w:rsidRPr="00124E7F" w:rsidRDefault="004C1C4B" w:rsidP="00023832">
            <w:pPr>
              <w:autoSpaceDE/>
              <w:autoSpaceDN/>
              <w:adjustRightInd/>
              <w:spacing w:line="240" w:lineRule="auto"/>
              <w:jc w:val="center"/>
              <w:rPr>
                <w:color w:val="auto"/>
              </w:rPr>
            </w:pPr>
            <w:r w:rsidRPr="00124E7F">
              <w:rPr>
                <w:color w:val="auto"/>
              </w:rPr>
              <w:t>Users</w:t>
            </w:r>
          </w:p>
        </w:tc>
        <w:tc>
          <w:tcPr>
            <w:tcW w:w="608" w:type="pct"/>
            <w:tcBorders>
              <w:top w:val="single" w:sz="4" w:space="0" w:color="808080" w:themeColor="background1" w:themeShade="80"/>
              <w:bottom w:val="single" w:sz="4" w:space="0" w:color="808080" w:themeColor="background1" w:themeShade="80"/>
            </w:tcBorders>
            <w:shd w:val="clear" w:color="auto" w:fill="auto"/>
            <w:vAlign w:val="center"/>
          </w:tcPr>
          <w:p w14:paraId="245396A8" w14:textId="77777777" w:rsidR="004C1C4B" w:rsidRPr="00124E7F" w:rsidRDefault="004C1C4B" w:rsidP="00023832">
            <w:pPr>
              <w:spacing w:line="240" w:lineRule="auto"/>
              <w:jc w:val="center"/>
              <w:rPr>
                <w:color w:val="auto"/>
              </w:rPr>
            </w:pPr>
            <w:r w:rsidRPr="00124E7F">
              <w:rPr>
                <w:color w:val="auto"/>
              </w:rPr>
              <w:t>Long run</w:t>
            </w:r>
          </w:p>
        </w:tc>
        <w:tc>
          <w:tcPr>
            <w:tcW w:w="1198" w:type="pct"/>
            <w:tcBorders>
              <w:top w:val="single" w:sz="4" w:space="0" w:color="808080" w:themeColor="background1" w:themeShade="80"/>
              <w:bottom w:val="single" w:sz="4" w:space="0" w:color="808080" w:themeColor="background1" w:themeShade="80"/>
            </w:tcBorders>
            <w:shd w:val="clear" w:color="auto" w:fill="auto"/>
            <w:vAlign w:val="center"/>
          </w:tcPr>
          <w:p w14:paraId="35C77B21" w14:textId="77777777" w:rsidR="004C1C4B" w:rsidRPr="00124E7F" w:rsidRDefault="004C1C4B" w:rsidP="00023832">
            <w:pPr>
              <w:pStyle w:val="AA-Normal"/>
              <w:spacing w:after="60" w:line="240" w:lineRule="auto"/>
              <w:jc w:val="center"/>
              <w:rPr>
                <w:color w:val="auto"/>
              </w:rPr>
            </w:pPr>
            <w:r w:rsidRPr="00124E7F">
              <w:rPr>
                <w:color w:val="auto"/>
              </w:rPr>
              <w:t>-</w:t>
            </w:r>
          </w:p>
        </w:tc>
        <w:tc>
          <w:tcPr>
            <w:tcW w:w="1198" w:type="pct"/>
            <w:tcBorders>
              <w:top w:val="single" w:sz="4" w:space="0" w:color="808080" w:themeColor="background1" w:themeShade="80"/>
              <w:bottom w:val="single" w:sz="4" w:space="0" w:color="808080" w:themeColor="background1" w:themeShade="80"/>
            </w:tcBorders>
            <w:shd w:val="clear" w:color="auto" w:fill="auto"/>
            <w:vAlign w:val="center"/>
          </w:tcPr>
          <w:p w14:paraId="40CB817F" w14:textId="77777777" w:rsidR="004C1C4B" w:rsidRPr="00202E68" w:rsidRDefault="004C1C4B" w:rsidP="00023832">
            <w:pPr>
              <w:autoSpaceDE/>
              <w:autoSpaceDN/>
              <w:adjustRightInd/>
              <w:spacing w:line="240" w:lineRule="auto"/>
              <w:jc w:val="center"/>
              <w:rPr>
                <w:color w:val="auto"/>
              </w:rPr>
            </w:pPr>
            <w:r w:rsidRPr="00124E7F">
              <w:rPr>
                <w:color w:val="auto"/>
              </w:rPr>
              <w:t>-</w:t>
            </w:r>
          </w:p>
        </w:tc>
        <w:tc>
          <w:tcPr>
            <w:tcW w:w="480" w:type="pct"/>
            <w:tcBorders>
              <w:top w:val="single" w:sz="4" w:space="0" w:color="808080" w:themeColor="background1" w:themeShade="80"/>
              <w:bottom w:val="single" w:sz="4" w:space="0" w:color="808080" w:themeColor="background1" w:themeShade="80"/>
            </w:tcBorders>
            <w:shd w:val="clear" w:color="auto" w:fill="auto"/>
            <w:vAlign w:val="center"/>
          </w:tcPr>
          <w:p w14:paraId="5A33BD2D" w14:textId="77777777" w:rsidR="004C1C4B" w:rsidRPr="004213AE" w:rsidRDefault="004C1C4B" w:rsidP="00023832">
            <w:pPr>
              <w:autoSpaceDE/>
              <w:autoSpaceDN/>
              <w:adjustRightInd/>
              <w:spacing w:line="240" w:lineRule="auto"/>
              <w:jc w:val="center"/>
              <w:rPr>
                <w:color w:val="auto"/>
              </w:rPr>
            </w:pPr>
            <w:r w:rsidRPr="004213AE">
              <w:rPr>
                <w:color w:val="auto"/>
              </w:rPr>
              <w:t>0</w:t>
            </w:r>
          </w:p>
        </w:tc>
      </w:tr>
      <w:tr w:rsidR="00F5353E" w:rsidRPr="00124E7F" w14:paraId="33ED4481" w14:textId="77777777" w:rsidTr="00F83736">
        <w:trPr>
          <w:cnfStyle w:val="000000100000" w:firstRow="0" w:lastRow="0" w:firstColumn="0" w:lastColumn="0" w:oddVBand="0" w:evenVBand="0" w:oddHBand="1" w:evenHBand="0" w:firstRowFirstColumn="0" w:firstRowLastColumn="0" w:lastRowFirstColumn="0" w:lastRowLastColumn="0"/>
          <w:trHeight w:val="2665"/>
        </w:trPr>
        <w:tc>
          <w:tcPr>
            <w:tcW w:w="796" w:type="pct"/>
            <w:tcBorders>
              <w:top w:val="single" w:sz="4" w:space="0" w:color="808080" w:themeColor="background1" w:themeShade="80"/>
            </w:tcBorders>
            <w:shd w:val="clear" w:color="auto" w:fill="auto"/>
            <w:vAlign w:val="center"/>
          </w:tcPr>
          <w:p w14:paraId="646023C9" w14:textId="77777777" w:rsidR="00F5353E" w:rsidRPr="00124E7F" w:rsidRDefault="00F5353E" w:rsidP="00023832">
            <w:pPr>
              <w:autoSpaceDE/>
              <w:autoSpaceDN/>
              <w:adjustRightInd/>
              <w:spacing w:line="240" w:lineRule="auto"/>
              <w:jc w:val="center"/>
              <w:rPr>
                <w:color w:val="auto"/>
              </w:rPr>
            </w:pPr>
            <w:r w:rsidRPr="00124E7F">
              <w:rPr>
                <w:color w:val="auto"/>
              </w:rPr>
              <w:t>Enhanced use of existing works</w:t>
            </w:r>
          </w:p>
        </w:tc>
        <w:tc>
          <w:tcPr>
            <w:tcW w:w="720" w:type="pct"/>
            <w:tcBorders>
              <w:top w:val="single" w:sz="4" w:space="0" w:color="808080" w:themeColor="background1" w:themeShade="80"/>
            </w:tcBorders>
            <w:shd w:val="clear" w:color="auto" w:fill="auto"/>
            <w:vAlign w:val="center"/>
          </w:tcPr>
          <w:p w14:paraId="5749C19E" w14:textId="77777777" w:rsidR="00F5353E" w:rsidRPr="00124E7F" w:rsidRDefault="00F5353E" w:rsidP="00023832">
            <w:pPr>
              <w:autoSpaceDE/>
              <w:autoSpaceDN/>
              <w:adjustRightInd/>
              <w:spacing w:line="240" w:lineRule="auto"/>
              <w:jc w:val="center"/>
              <w:rPr>
                <w:color w:val="auto"/>
              </w:rPr>
            </w:pPr>
            <w:r w:rsidRPr="00124E7F">
              <w:rPr>
                <w:color w:val="auto"/>
              </w:rPr>
              <w:t>Users</w:t>
            </w:r>
          </w:p>
        </w:tc>
        <w:tc>
          <w:tcPr>
            <w:tcW w:w="608" w:type="pct"/>
            <w:tcBorders>
              <w:top w:val="single" w:sz="4" w:space="0" w:color="808080" w:themeColor="background1" w:themeShade="80"/>
            </w:tcBorders>
            <w:shd w:val="clear" w:color="auto" w:fill="auto"/>
            <w:vAlign w:val="center"/>
          </w:tcPr>
          <w:p w14:paraId="43959DF2" w14:textId="77777777" w:rsidR="00F5353E" w:rsidRPr="00124E7F" w:rsidRDefault="00F5353E" w:rsidP="00023832">
            <w:pPr>
              <w:spacing w:line="240" w:lineRule="auto"/>
              <w:jc w:val="center"/>
              <w:rPr>
                <w:color w:val="auto"/>
              </w:rPr>
            </w:pPr>
            <w:r w:rsidRPr="00124E7F">
              <w:rPr>
                <w:color w:val="auto"/>
              </w:rPr>
              <w:t>Short run</w:t>
            </w:r>
          </w:p>
        </w:tc>
        <w:tc>
          <w:tcPr>
            <w:tcW w:w="1198" w:type="pct"/>
            <w:tcBorders>
              <w:top w:val="single" w:sz="4" w:space="0" w:color="808080" w:themeColor="background1" w:themeShade="80"/>
            </w:tcBorders>
            <w:shd w:val="clear" w:color="auto" w:fill="auto"/>
            <w:vAlign w:val="center"/>
          </w:tcPr>
          <w:p w14:paraId="5DD914B2" w14:textId="77777777" w:rsidR="00F5353E" w:rsidRPr="00124E7F" w:rsidRDefault="00F5353E" w:rsidP="00023832">
            <w:pPr>
              <w:pStyle w:val="AA-Normal"/>
              <w:spacing w:after="60" w:line="240" w:lineRule="auto"/>
              <w:rPr>
                <w:color w:val="auto"/>
              </w:rPr>
            </w:pPr>
            <w:r w:rsidRPr="00124E7F">
              <w:rPr>
                <w:color w:val="auto"/>
              </w:rPr>
              <w:t>To the extent that a fair dealing exception for education would mean that some uses are no longer a remunerable act in usage surveys, this would be expected to lead to some increase in effectiveness (i.e. with which public funds are currently spent) and efficiency (i.e. in the use of digital technologies to facilitate access to copyright content).</w:t>
            </w:r>
          </w:p>
        </w:tc>
        <w:tc>
          <w:tcPr>
            <w:tcW w:w="1198" w:type="pct"/>
            <w:tcBorders>
              <w:top w:val="single" w:sz="4" w:space="0" w:color="808080" w:themeColor="background1" w:themeShade="80"/>
            </w:tcBorders>
            <w:shd w:val="clear" w:color="auto" w:fill="auto"/>
            <w:vAlign w:val="center"/>
          </w:tcPr>
          <w:p w14:paraId="6BFBCAF3" w14:textId="22E5E2DA" w:rsidR="00F5353E" w:rsidRPr="00202E68" w:rsidRDefault="00F5353E" w:rsidP="00202E68">
            <w:pPr>
              <w:pStyle w:val="ListParagraph"/>
              <w:spacing w:line="240" w:lineRule="auto"/>
              <w:jc w:val="center"/>
              <w:rPr>
                <w:color w:val="333333" w:themeColor="text2"/>
              </w:rPr>
            </w:pPr>
            <w:r w:rsidRPr="00202E68">
              <w:rPr>
                <w:color w:val="333333" w:themeColor="text2"/>
              </w:rPr>
              <w:t>-</w:t>
            </w:r>
          </w:p>
        </w:tc>
        <w:tc>
          <w:tcPr>
            <w:tcW w:w="480" w:type="pct"/>
            <w:tcBorders>
              <w:top w:val="single" w:sz="4" w:space="0" w:color="808080" w:themeColor="background1" w:themeShade="80"/>
            </w:tcBorders>
            <w:shd w:val="clear" w:color="auto" w:fill="auto"/>
            <w:vAlign w:val="center"/>
          </w:tcPr>
          <w:p w14:paraId="35A5C7C3" w14:textId="77777777" w:rsidR="00F5353E" w:rsidRPr="00202E68" w:rsidRDefault="00F5353E" w:rsidP="00023832">
            <w:pPr>
              <w:spacing w:line="240" w:lineRule="auto"/>
              <w:jc w:val="center"/>
              <w:rPr>
                <w:color w:val="333333" w:themeColor="text2"/>
              </w:rPr>
            </w:pPr>
            <w:r w:rsidRPr="00202E68">
              <w:rPr>
                <w:color w:val="333333" w:themeColor="text2"/>
              </w:rPr>
              <w:t>+</w:t>
            </w:r>
          </w:p>
        </w:tc>
      </w:tr>
      <w:tr w:rsidR="00F5353E" w:rsidRPr="00124E7F" w14:paraId="0CBE9885" w14:textId="77777777" w:rsidTr="00202E68">
        <w:trPr>
          <w:trHeight w:val="2666"/>
        </w:trPr>
        <w:tc>
          <w:tcPr>
            <w:tcW w:w="796" w:type="pct"/>
            <w:tcBorders>
              <w:bottom w:val="single" w:sz="4" w:space="0" w:color="808080" w:themeColor="background1" w:themeShade="80"/>
            </w:tcBorders>
            <w:shd w:val="clear" w:color="auto" w:fill="auto"/>
            <w:vAlign w:val="center"/>
          </w:tcPr>
          <w:p w14:paraId="3069D956" w14:textId="77777777" w:rsidR="00F5353E" w:rsidRPr="00124E7F" w:rsidRDefault="00F5353E" w:rsidP="00023832">
            <w:pPr>
              <w:autoSpaceDE/>
              <w:autoSpaceDN/>
              <w:adjustRightInd/>
              <w:spacing w:line="240" w:lineRule="auto"/>
              <w:jc w:val="center"/>
              <w:rPr>
                <w:color w:val="auto"/>
              </w:rPr>
            </w:pPr>
            <w:r w:rsidRPr="00124E7F">
              <w:rPr>
                <w:color w:val="auto"/>
              </w:rPr>
              <w:t>Economic and societal benefits</w:t>
            </w:r>
          </w:p>
        </w:tc>
        <w:tc>
          <w:tcPr>
            <w:tcW w:w="720" w:type="pct"/>
            <w:tcBorders>
              <w:bottom w:val="single" w:sz="4" w:space="0" w:color="808080" w:themeColor="background1" w:themeShade="80"/>
            </w:tcBorders>
            <w:shd w:val="clear" w:color="auto" w:fill="auto"/>
            <w:vAlign w:val="center"/>
          </w:tcPr>
          <w:p w14:paraId="67C3953A" w14:textId="77777777" w:rsidR="00F5353E" w:rsidRPr="00124E7F" w:rsidRDefault="00F5353E" w:rsidP="00023832">
            <w:pPr>
              <w:autoSpaceDE/>
              <w:autoSpaceDN/>
              <w:adjustRightInd/>
              <w:spacing w:line="240" w:lineRule="auto"/>
              <w:jc w:val="center"/>
              <w:rPr>
                <w:color w:val="auto"/>
              </w:rPr>
            </w:pPr>
            <w:r w:rsidRPr="00124E7F">
              <w:rPr>
                <w:color w:val="auto"/>
              </w:rPr>
              <w:t>Economy/ Society</w:t>
            </w:r>
          </w:p>
        </w:tc>
        <w:tc>
          <w:tcPr>
            <w:tcW w:w="608" w:type="pct"/>
            <w:tcBorders>
              <w:bottom w:val="single" w:sz="4" w:space="0" w:color="808080" w:themeColor="background1" w:themeShade="80"/>
            </w:tcBorders>
            <w:shd w:val="clear" w:color="auto" w:fill="auto"/>
            <w:vAlign w:val="center"/>
          </w:tcPr>
          <w:p w14:paraId="5540BBDE" w14:textId="77777777" w:rsidR="00F5353E" w:rsidRPr="00124E7F" w:rsidRDefault="00F5353E" w:rsidP="00023832">
            <w:pPr>
              <w:spacing w:line="240" w:lineRule="auto"/>
              <w:jc w:val="center"/>
              <w:rPr>
                <w:color w:val="auto"/>
              </w:rPr>
            </w:pPr>
            <w:r w:rsidRPr="00124E7F">
              <w:rPr>
                <w:color w:val="auto"/>
              </w:rPr>
              <w:t>Both</w:t>
            </w:r>
          </w:p>
        </w:tc>
        <w:tc>
          <w:tcPr>
            <w:tcW w:w="1198" w:type="pct"/>
            <w:tcBorders>
              <w:bottom w:val="single" w:sz="4" w:space="0" w:color="808080" w:themeColor="background1" w:themeShade="80"/>
            </w:tcBorders>
            <w:shd w:val="clear" w:color="auto" w:fill="auto"/>
            <w:vAlign w:val="center"/>
          </w:tcPr>
          <w:p w14:paraId="2F741FC5" w14:textId="77777777" w:rsidR="00F5353E" w:rsidRPr="00124E7F" w:rsidRDefault="00F5353E" w:rsidP="00202E68">
            <w:pPr>
              <w:pStyle w:val="AA-Normal"/>
              <w:spacing w:after="60" w:line="240" w:lineRule="auto"/>
              <w:rPr>
                <w:color w:val="auto"/>
              </w:rPr>
            </w:pPr>
            <w:r w:rsidRPr="00124E7F">
              <w:rPr>
                <w:color w:val="auto"/>
              </w:rPr>
              <w:t>To the extent that a fair dealing exception for education would mean that some uses are no longer a remunerable act in usage surveys, this would be expected to lead to some increase in effectiveness (i.e. with which public funds are currently spent) and efficiency (i.e. in the use of digital technologies to facilitate access to copyright content).</w:t>
            </w:r>
          </w:p>
        </w:tc>
        <w:tc>
          <w:tcPr>
            <w:tcW w:w="1198" w:type="pct"/>
            <w:tcBorders>
              <w:bottom w:val="single" w:sz="4" w:space="0" w:color="808080" w:themeColor="background1" w:themeShade="80"/>
            </w:tcBorders>
            <w:shd w:val="clear" w:color="auto" w:fill="auto"/>
            <w:vAlign w:val="center"/>
          </w:tcPr>
          <w:p w14:paraId="14F3A688" w14:textId="77777777" w:rsidR="00F5353E" w:rsidRPr="00202E68" w:rsidRDefault="00F5353E" w:rsidP="00F5353E">
            <w:pPr>
              <w:autoSpaceDE/>
              <w:autoSpaceDN/>
              <w:adjustRightInd/>
              <w:spacing w:line="240" w:lineRule="auto"/>
              <w:jc w:val="center"/>
              <w:rPr>
                <w:color w:val="auto"/>
              </w:rPr>
            </w:pPr>
            <w:r w:rsidRPr="00F5353E">
              <w:t>-</w:t>
            </w:r>
          </w:p>
        </w:tc>
        <w:tc>
          <w:tcPr>
            <w:tcW w:w="480" w:type="pct"/>
            <w:tcBorders>
              <w:bottom w:val="single" w:sz="4" w:space="0" w:color="808080" w:themeColor="background1" w:themeShade="80"/>
            </w:tcBorders>
            <w:shd w:val="clear" w:color="auto" w:fill="auto"/>
            <w:vAlign w:val="center"/>
          </w:tcPr>
          <w:p w14:paraId="62485A57" w14:textId="77777777" w:rsidR="00F5353E" w:rsidRPr="00F5353E" w:rsidRDefault="00F5353E" w:rsidP="00023832">
            <w:pPr>
              <w:autoSpaceDE/>
              <w:autoSpaceDN/>
              <w:adjustRightInd/>
              <w:spacing w:line="240" w:lineRule="auto"/>
              <w:jc w:val="center"/>
              <w:rPr>
                <w:color w:val="auto"/>
              </w:rPr>
            </w:pPr>
            <w:r w:rsidRPr="00F5353E">
              <w:t>+</w:t>
            </w:r>
          </w:p>
        </w:tc>
      </w:tr>
      <w:tr w:rsidR="004213AE" w:rsidRPr="00124E7F" w14:paraId="397F9FCF" w14:textId="77777777" w:rsidTr="00202E68">
        <w:trPr>
          <w:cnfStyle w:val="000000100000" w:firstRow="0" w:lastRow="0" w:firstColumn="0" w:lastColumn="0" w:oddVBand="0" w:evenVBand="0" w:oddHBand="1" w:evenHBand="0" w:firstRowFirstColumn="0" w:firstRowLastColumn="0" w:lastRowFirstColumn="0" w:lastRowLastColumn="0"/>
          <w:trHeight w:val="397"/>
        </w:trPr>
        <w:tc>
          <w:tcPr>
            <w:tcW w:w="796" w:type="pct"/>
            <w:tcBorders>
              <w:top w:val="single" w:sz="4" w:space="0" w:color="808080" w:themeColor="background1" w:themeShade="80"/>
              <w:bottom w:val="single" w:sz="4" w:space="0" w:color="808080" w:themeColor="background1" w:themeShade="80"/>
            </w:tcBorders>
            <w:shd w:val="clear" w:color="auto" w:fill="EAEAEA" w:themeFill="accent3" w:themeFillTint="33"/>
            <w:vAlign w:val="center"/>
            <w:hideMark/>
          </w:tcPr>
          <w:p w14:paraId="06EDE2CA" w14:textId="77777777" w:rsidR="004C1C4B" w:rsidRPr="00124E7F" w:rsidRDefault="004C1C4B" w:rsidP="00023832">
            <w:pPr>
              <w:autoSpaceDE/>
              <w:autoSpaceDN/>
              <w:adjustRightInd/>
              <w:spacing w:line="240" w:lineRule="auto"/>
              <w:jc w:val="center"/>
              <w:rPr>
                <w:b/>
                <w:color w:val="auto"/>
              </w:rPr>
            </w:pPr>
            <w:r w:rsidRPr="00124E7F">
              <w:rPr>
                <w:b/>
                <w:color w:val="auto"/>
              </w:rPr>
              <w:t>Net expected impact</w:t>
            </w:r>
          </w:p>
        </w:tc>
        <w:tc>
          <w:tcPr>
            <w:tcW w:w="720" w:type="pct"/>
            <w:tcBorders>
              <w:top w:val="single" w:sz="4" w:space="0" w:color="808080" w:themeColor="background1" w:themeShade="80"/>
              <w:bottom w:val="single" w:sz="4" w:space="0" w:color="808080" w:themeColor="background1" w:themeShade="80"/>
            </w:tcBorders>
            <w:shd w:val="clear" w:color="auto" w:fill="EAEAEA" w:themeFill="accent3" w:themeFillTint="33"/>
            <w:vAlign w:val="center"/>
          </w:tcPr>
          <w:p w14:paraId="6F2202E5" w14:textId="77777777" w:rsidR="004C1C4B" w:rsidRPr="00124E7F" w:rsidRDefault="004C1C4B" w:rsidP="00023832">
            <w:pPr>
              <w:autoSpaceDE/>
              <w:autoSpaceDN/>
              <w:adjustRightInd/>
              <w:spacing w:line="240" w:lineRule="auto"/>
              <w:jc w:val="center"/>
              <w:rPr>
                <w:b/>
                <w:color w:val="auto"/>
              </w:rPr>
            </w:pPr>
            <w:r w:rsidRPr="00124E7F">
              <w:rPr>
                <w:b/>
                <w:color w:val="auto"/>
              </w:rPr>
              <w:t>-</w:t>
            </w:r>
          </w:p>
        </w:tc>
        <w:tc>
          <w:tcPr>
            <w:tcW w:w="608" w:type="pct"/>
            <w:tcBorders>
              <w:top w:val="single" w:sz="4" w:space="0" w:color="808080" w:themeColor="background1" w:themeShade="80"/>
              <w:bottom w:val="single" w:sz="4" w:space="0" w:color="808080" w:themeColor="background1" w:themeShade="80"/>
            </w:tcBorders>
            <w:shd w:val="clear" w:color="auto" w:fill="EAEAEA" w:themeFill="accent3" w:themeFillTint="33"/>
            <w:vAlign w:val="center"/>
          </w:tcPr>
          <w:p w14:paraId="06D60F25" w14:textId="77777777" w:rsidR="004C1C4B" w:rsidRPr="00124E7F" w:rsidRDefault="004C1C4B" w:rsidP="00023832">
            <w:pPr>
              <w:spacing w:line="240" w:lineRule="auto"/>
              <w:jc w:val="center"/>
              <w:rPr>
                <w:b/>
                <w:color w:val="auto"/>
              </w:rPr>
            </w:pPr>
            <w:r w:rsidRPr="00124E7F">
              <w:rPr>
                <w:b/>
                <w:color w:val="auto"/>
              </w:rPr>
              <w:t>-</w:t>
            </w:r>
          </w:p>
        </w:tc>
        <w:tc>
          <w:tcPr>
            <w:tcW w:w="1198" w:type="pct"/>
            <w:tcBorders>
              <w:top w:val="single" w:sz="4" w:space="0" w:color="808080" w:themeColor="background1" w:themeShade="80"/>
              <w:bottom w:val="single" w:sz="4" w:space="0" w:color="808080" w:themeColor="background1" w:themeShade="80"/>
            </w:tcBorders>
            <w:shd w:val="clear" w:color="auto" w:fill="EAEAEA" w:themeFill="accent3" w:themeFillTint="33"/>
            <w:vAlign w:val="center"/>
          </w:tcPr>
          <w:p w14:paraId="5D0FACF8" w14:textId="77777777" w:rsidR="004C1C4B" w:rsidRPr="00124E7F" w:rsidRDefault="004C1C4B" w:rsidP="00023832">
            <w:pPr>
              <w:autoSpaceDE/>
              <w:autoSpaceDN/>
              <w:adjustRightInd/>
              <w:spacing w:line="240" w:lineRule="auto"/>
              <w:jc w:val="center"/>
              <w:rPr>
                <w:b/>
                <w:color w:val="auto"/>
              </w:rPr>
            </w:pPr>
            <w:r w:rsidRPr="00124E7F">
              <w:rPr>
                <w:b/>
                <w:color w:val="auto"/>
              </w:rPr>
              <w:t>Positive</w:t>
            </w:r>
          </w:p>
        </w:tc>
        <w:tc>
          <w:tcPr>
            <w:tcW w:w="1198" w:type="pct"/>
            <w:tcBorders>
              <w:top w:val="single" w:sz="4" w:space="0" w:color="808080" w:themeColor="background1" w:themeShade="80"/>
              <w:bottom w:val="single" w:sz="4" w:space="0" w:color="808080" w:themeColor="background1" w:themeShade="80"/>
            </w:tcBorders>
            <w:shd w:val="clear" w:color="auto" w:fill="EAEAEA" w:themeFill="accent3" w:themeFillTint="33"/>
            <w:vAlign w:val="center"/>
          </w:tcPr>
          <w:p w14:paraId="3D6B9E94" w14:textId="77777777" w:rsidR="004C1C4B" w:rsidRPr="00202E68" w:rsidRDefault="004C1C4B">
            <w:pPr>
              <w:autoSpaceDE/>
              <w:autoSpaceDN/>
              <w:adjustRightInd/>
              <w:spacing w:line="240" w:lineRule="auto"/>
              <w:jc w:val="center"/>
              <w:rPr>
                <w:b/>
                <w:color w:val="auto"/>
              </w:rPr>
            </w:pPr>
          </w:p>
        </w:tc>
        <w:tc>
          <w:tcPr>
            <w:tcW w:w="480" w:type="pct"/>
            <w:tcBorders>
              <w:top w:val="single" w:sz="4" w:space="0" w:color="808080" w:themeColor="background1" w:themeShade="80"/>
              <w:bottom w:val="single" w:sz="4" w:space="0" w:color="808080" w:themeColor="background1" w:themeShade="80"/>
            </w:tcBorders>
            <w:shd w:val="clear" w:color="auto" w:fill="EAEAEA" w:themeFill="accent3" w:themeFillTint="33"/>
            <w:vAlign w:val="center"/>
          </w:tcPr>
          <w:p w14:paraId="64AF709A" w14:textId="77777777" w:rsidR="004C1C4B" w:rsidRPr="004213AE" w:rsidRDefault="004C1C4B" w:rsidP="00023832">
            <w:pPr>
              <w:autoSpaceDE/>
              <w:autoSpaceDN/>
              <w:adjustRightInd/>
              <w:spacing w:line="240" w:lineRule="auto"/>
              <w:jc w:val="center"/>
              <w:rPr>
                <w:b/>
                <w:color w:val="auto"/>
              </w:rPr>
            </w:pPr>
            <w:r w:rsidRPr="004213AE">
              <w:rPr>
                <w:b/>
                <w:color w:val="auto"/>
              </w:rPr>
              <w:t>+</w:t>
            </w:r>
          </w:p>
        </w:tc>
      </w:tr>
    </w:tbl>
    <w:p w14:paraId="70229632" w14:textId="77777777" w:rsidR="00B830B8" w:rsidRPr="00124E7F" w:rsidRDefault="00B830B8" w:rsidP="00023832">
      <w:bookmarkStart w:id="142" w:name="_Ref446928842"/>
    </w:p>
    <w:p w14:paraId="79E8FFBC" w14:textId="77777777" w:rsidR="00B264BF" w:rsidRPr="00124E7F" w:rsidRDefault="00625FBC" w:rsidP="00C8603F">
      <w:pPr>
        <w:pStyle w:val="EYHeading4"/>
      </w:pPr>
      <w:r w:rsidRPr="00124E7F">
        <w:t>Costs in foregone revenue to right</w:t>
      </w:r>
      <w:r w:rsidR="00C37ECD" w:rsidRPr="00124E7F">
        <w:t>s</w:t>
      </w:r>
      <w:r w:rsidRPr="00124E7F">
        <w:t xml:space="preserve"> holders</w:t>
      </w:r>
      <w:bookmarkEnd w:id="142"/>
    </w:p>
    <w:p w14:paraId="7AA7CDFF" w14:textId="77777777" w:rsidR="007D14A6" w:rsidRPr="00124E7F" w:rsidRDefault="002F1183" w:rsidP="00C8603F">
      <w:pPr>
        <w:pStyle w:val="EYBodytextwithparaspace"/>
      </w:pPr>
      <w:r w:rsidRPr="00124E7F">
        <w:t xml:space="preserve">As </w:t>
      </w:r>
      <w:r w:rsidR="008B2DC9" w:rsidRPr="00124E7F">
        <w:t>per the status quo</w:t>
      </w:r>
      <w:r w:rsidRPr="00124E7F">
        <w:t xml:space="preserve">, education institutions and collecting societies would </w:t>
      </w:r>
      <w:r w:rsidR="007D14A6" w:rsidRPr="00124E7F">
        <w:t>continue</w:t>
      </w:r>
      <w:r w:rsidRPr="00124E7F">
        <w:t xml:space="preserve"> to </w:t>
      </w:r>
      <w:r w:rsidR="00EB555E" w:rsidRPr="00124E7F">
        <w:t>negotiate the terms</w:t>
      </w:r>
      <w:r w:rsidRPr="00124E7F">
        <w:t xml:space="preserve"> of equitable remuneration.</w:t>
      </w:r>
      <w:r w:rsidR="00A01750" w:rsidRPr="00124E7F">
        <w:t xml:space="preserve"> </w:t>
      </w:r>
      <w:r w:rsidR="00C11E59" w:rsidRPr="00124E7F">
        <w:t xml:space="preserve">However, whereas </w:t>
      </w:r>
      <w:r w:rsidR="008B2DC9" w:rsidRPr="00124E7F">
        <w:t xml:space="preserve">Section </w:t>
      </w:r>
      <w:r w:rsidRPr="00124E7F">
        <w:t xml:space="preserve">200AB can only be used where no other exception or statutory </w:t>
      </w:r>
      <w:r w:rsidR="005D236A" w:rsidRPr="00124E7F">
        <w:t>licens</w:t>
      </w:r>
      <w:r w:rsidR="007D4AFF" w:rsidRPr="00124E7F">
        <w:t>e</w:t>
      </w:r>
      <w:r w:rsidRPr="00124E7F">
        <w:t xml:space="preserve"> is available, under the proposed provision, if a particular use </w:t>
      </w:r>
      <w:r w:rsidR="00C11E59" w:rsidRPr="00124E7F">
        <w:t>is</w:t>
      </w:r>
      <w:r w:rsidRPr="00124E7F">
        <w:t xml:space="preserve"> found to be fair, requirements under the </w:t>
      </w:r>
      <w:r w:rsidR="009978DD" w:rsidRPr="00124E7F">
        <w:t xml:space="preserve">statutory </w:t>
      </w:r>
      <w:r w:rsidR="008D7BC8" w:rsidRPr="00124E7F">
        <w:t>licenses</w:t>
      </w:r>
      <w:r w:rsidRPr="00124E7F">
        <w:t xml:space="preserve"> would no longer be binding. </w:t>
      </w:r>
    </w:p>
    <w:p w14:paraId="1296B5D6" w14:textId="77777777" w:rsidR="00EB555E" w:rsidRPr="00124E7F" w:rsidRDefault="008B2DC9" w:rsidP="00C8603F">
      <w:pPr>
        <w:pStyle w:val="EYBodytextwithparaspace"/>
      </w:pPr>
      <w:r w:rsidRPr="00124E7F">
        <w:t xml:space="preserve">To the extent </w:t>
      </w:r>
      <w:r w:rsidR="00DB09AC" w:rsidRPr="00124E7F">
        <w:t xml:space="preserve">then </w:t>
      </w:r>
      <w:r w:rsidRPr="00124E7F">
        <w:t xml:space="preserve">that uses currently ‘remunerable’ under the </w:t>
      </w:r>
      <w:r w:rsidR="009978DD" w:rsidRPr="00124E7F">
        <w:t xml:space="preserve">statutory </w:t>
      </w:r>
      <w:r w:rsidR="008D7BC8" w:rsidRPr="00124E7F">
        <w:t>licenses</w:t>
      </w:r>
      <w:r w:rsidRPr="00124E7F">
        <w:t xml:space="preserve"> are found to be fair, this means </w:t>
      </w:r>
      <w:r w:rsidR="00DB09AC" w:rsidRPr="00124E7F">
        <w:t>the</w:t>
      </w:r>
      <w:r w:rsidRPr="00124E7F">
        <w:t xml:space="preserve"> proposed exception would lead to a transfer from right</w:t>
      </w:r>
      <w:r w:rsidR="00C37ECD" w:rsidRPr="00124E7F">
        <w:t>s</w:t>
      </w:r>
      <w:r w:rsidRPr="00124E7F">
        <w:t xml:space="preserve"> holders to </w:t>
      </w:r>
      <w:r w:rsidR="005D236A" w:rsidRPr="00124E7F">
        <w:t>licens</w:t>
      </w:r>
      <w:r w:rsidR="007D4AFF" w:rsidRPr="00124E7F">
        <w:t>e</w:t>
      </w:r>
      <w:r w:rsidRPr="00124E7F">
        <w:t>es. So-called</w:t>
      </w:r>
      <w:r w:rsidR="00DB09AC" w:rsidRPr="00124E7F">
        <w:t xml:space="preserve"> ‘freely-available’ internet content, ‘technical copies’ and ‘orphan works’ are all examples of uses</w:t>
      </w:r>
      <w:r w:rsidR="00395A5D" w:rsidRPr="00124E7F">
        <w:t xml:space="preserve"> (amongst others) that</w:t>
      </w:r>
      <w:r w:rsidR="00DB09AC" w:rsidRPr="00124E7F">
        <w:t xml:space="preserve"> education institutions </w:t>
      </w:r>
      <w:r w:rsidR="00395A5D" w:rsidRPr="00124E7F">
        <w:t xml:space="preserve">argue should </w:t>
      </w:r>
      <w:r w:rsidR="00DB09AC" w:rsidRPr="00124E7F">
        <w:t xml:space="preserve">be fair. </w:t>
      </w:r>
      <w:r w:rsidR="00395A5D" w:rsidRPr="00124E7F">
        <w:t>To the extent that they can be quantified, e</w:t>
      </w:r>
      <w:r w:rsidR="00EB555E" w:rsidRPr="00124E7F">
        <w:t>ach of these examples is dealt with in turn</w:t>
      </w:r>
      <w:r w:rsidR="00DB09AC" w:rsidRPr="00124E7F">
        <w:t xml:space="preserve"> below</w:t>
      </w:r>
      <w:r w:rsidR="00EB555E" w:rsidRPr="00124E7F">
        <w:t xml:space="preserve">. </w:t>
      </w:r>
    </w:p>
    <w:p w14:paraId="3ACA9282" w14:textId="77777777" w:rsidR="004819DE" w:rsidRPr="004213AE" w:rsidRDefault="008D338F" w:rsidP="00023832">
      <w:pPr>
        <w:widowControl/>
        <w:autoSpaceDE/>
        <w:autoSpaceDN/>
        <w:adjustRightInd/>
        <w:spacing w:line="240" w:lineRule="auto"/>
      </w:pPr>
      <w:r w:rsidRPr="00124E7F">
        <w:t>Schools</w:t>
      </w:r>
      <w:r w:rsidR="00E517B4" w:rsidRPr="00124E7F">
        <w:t xml:space="preserve"> have concerns about education budgets being directed to pay significant amounts of resources for freel</w:t>
      </w:r>
      <w:r w:rsidR="00D520FB" w:rsidRPr="00124E7F">
        <w:t xml:space="preserve">y available internet materials. </w:t>
      </w:r>
      <w:r w:rsidR="00E517B4" w:rsidRPr="00124E7F">
        <w:t>Recognising these concerns, the Copyright Agency has developed a methodology that groups websites into 10 categories– the Metcalfe Categories. Content from websites categorised as non-remunerable is deducted when processing records from electronic use surveys</w:t>
      </w:r>
      <w:r w:rsidR="00DB09AC" w:rsidRPr="00124E7F">
        <w:t xml:space="preserve"> (EUS)</w:t>
      </w:r>
      <w:r w:rsidR="00E517B4" w:rsidRPr="00124E7F">
        <w:t xml:space="preserve"> so that </w:t>
      </w:r>
      <w:r w:rsidR="005D236A" w:rsidRPr="00124E7F">
        <w:t>licens</w:t>
      </w:r>
      <w:r w:rsidR="007D4AFF" w:rsidRPr="00124E7F">
        <w:t>e</w:t>
      </w:r>
      <w:r w:rsidR="00E517B4" w:rsidRPr="00124E7F">
        <w:t xml:space="preserve">es are not paying for this content. </w:t>
      </w:r>
      <w:r w:rsidR="00D520FB" w:rsidRPr="00124E7F">
        <w:t xml:space="preserve">Following this methodology, </w:t>
      </w:r>
      <w:r w:rsidR="00C938DF" w:rsidRPr="00124E7F">
        <w:t>50</w:t>
      </w:r>
      <w:r w:rsidR="00D520FB" w:rsidRPr="00124E7F">
        <w:t> per cent</w:t>
      </w:r>
      <w:r w:rsidR="00B475D8" w:rsidRPr="00124E7F">
        <w:t xml:space="preserve"> of electronic uses</w:t>
      </w:r>
      <w:r w:rsidR="00822604" w:rsidRPr="00124E7F">
        <w:t xml:space="preserve"> </w:t>
      </w:r>
      <w:r w:rsidR="00B475D8" w:rsidRPr="00124E7F">
        <w:t xml:space="preserve">in schools in </w:t>
      </w:r>
      <w:r w:rsidR="00D520FB" w:rsidRPr="00124E7F">
        <w:t>2014</w:t>
      </w:r>
      <w:r w:rsidR="00B475D8" w:rsidRPr="00124E7F">
        <w:t xml:space="preserve"> were excluded for remuneration </w:t>
      </w:r>
      <w:r w:rsidRPr="00124E7F">
        <w:t>purposes</w:t>
      </w:r>
      <w:r w:rsidR="00F64EAC" w:rsidRPr="00124E7F">
        <w:t xml:space="preserve"> </w:t>
      </w:r>
      <w:r w:rsidR="00023832" w:rsidRPr="00124E7F">
        <w:t>(</w:t>
      </w:r>
      <w:r w:rsidR="00023832" w:rsidRPr="004213AE">
        <w:fldChar w:fldCharType="begin"/>
      </w:r>
      <w:r w:rsidR="00023832" w:rsidRPr="00124E7F">
        <w:instrText xml:space="preserve"> REF _Ref468429215 \h </w:instrText>
      </w:r>
      <w:r w:rsidR="00023832" w:rsidRPr="004213AE">
        <w:fldChar w:fldCharType="separate"/>
      </w:r>
      <w:r w:rsidR="0075700D" w:rsidRPr="00124E7F">
        <w:t xml:space="preserve">Table </w:t>
      </w:r>
      <w:r w:rsidR="0075700D">
        <w:rPr>
          <w:noProof/>
        </w:rPr>
        <w:t>10</w:t>
      </w:r>
      <w:r w:rsidR="00023832" w:rsidRPr="004213AE">
        <w:fldChar w:fldCharType="end"/>
      </w:r>
      <w:r w:rsidR="00023832" w:rsidRPr="004213AE">
        <w:t>).</w:t>
      </w:r>
    </w:p>
    <w:p w14:paraId="08634ECF" w14:textId="3896528C" w:rsidR="00804582" w:rsidRDefault="00804582">
      <w:pPr>
        <w:widowControl/>
        <w:autoSpaceDE/>
        <w:autoSpaceDN/>
        <w:adjustRightInd/>
        <w:spacing w:line="240" w:lineRule="auto"/>
        <w:rPr>
          <w:b/>
          <w:bCs/>
          <w:sz w:val="24"/>
          <w:szCs w:val="18"/>
        </w:rPr>
      </w:pPr>
      <w:bookmarkStart w:id="143" w:name="_Ref467838020"/>
      <w:r>
        <w:br w:type="page"/>
      </w:r>
    </w:p>
    <w:p w14:paraId="1208FBF3" w14:textId="77777777" w:rsidR="00C13CFD" w:rsidRPr="00124E7F" w:rsidRDefault="00C13CFD" w:rsidP="00C13CFD">
      <w:pPr>
        <w:pStyle w:val="Caption"/>
      </w:pPr>
      <w:bookmarkStart w:id="144" w:name="_Ref468429215"/>
      <w:r w:rsidRPr="00124E7F">
        <w:t xml:space="preserve">Table </w:t>
      </w:r>
      <w:r w:rsidRPr="00124E7F">
        <w:fldChar w:fldCharType="begin"/>
      </w:r>
      <w:r w:rsidRPr="00124E7F">
        <w:instrText xml:space="preserve"> SEQ Table \* ARABIC </w:instrText>
      </w:r>
      <w:r w:rsidRPr="00124E7F">
        <w:fldChar w:fldCharType="separate"/>
      </w:r>
      <w:r w:rsidR="0075700D">
        <w:rPr>
          <w:noProof/>
        </w:rPr>
        <w:t>10</w:t>
      </w:r>
      <w:r w:rsidRPr="00124E7F">
        <w:fldChar w:fldCharType="end"/>
      </w:r>
      <w:bookmarkEnd w:id="143"/>
      <w:bookmarkEnd w:id="144"/>
      <w:r w:rsidRPr="00124E7F">
        <w:t>: Proportion of all pages on the electronic use survey by inclusion/exclusion category - 2014</w:t>
      </w:r>
    </w:p>
    <w:tbl>
      <w:tblPr>
        <w:tblStyle w:val="LightList-Accent3"/>
        <w:tblW w:w="5000" w:type="pct"/>
        <w:tblBorders>
          <w:top w:val="none" w:sz="0" w:space="0" w:color="auto"/>
          <w:left w:val="none" w:sz="0" w:space="0" w:color="auto"/>
          <w:bottom w:val="none" w:sz="0" w:space="0" w:color="auto"/>
          <w:right w:val="none" w:sz="0" w:space="0" w:color="auto"/>
          <w:insideH w:val="single" w:sz="4" w:space="0" w:color="808080" w:themeColor="background1" w:themeShade="80"/>
        </w:tblBorders>
        <w:tblLook w:val="04A0" w:firstRow="1" w:lastRow="0" w:firstColumn="1" w:lastColumn="0" w:noHBand="0" w:noVBand="1"/>
        <w:tblCaption w:val="Table 10: Proportion of all pages on the electronic use survey by inclusion/exclusion category - 2014"/>
        <w:tblDescription w:val="Data provided for the number and proportion of TM pages that were included, excluded and quarantined (by Metcalfe category) from the 2014 Australian Schools Electronic Use Survey, as follows: &#10;&#10;INCLUDED&#10;&#10;Metcalfe 1: Personal use: No. of TM Pages (91,596) and Percentage of total use (7.7%)&#10;&#10;Metcalfe 6: No terms and conditions but contains copyright statement: &#10;No. of TM Pages (80,452) and Percentage of total use (6.7%)&#10;&#10;Metcalfe 7: No terms and conditions: No. of TM Pages (52,704) and Percentage of total use (4.4%)&#10;&#10;Metcalfe 8: Copying not permitted: No. of TM Pages (155,186) and Percentage of total &#10;use (13.0%)&#10;&#10;Metcalfe 9: Reference to the Australian Copyright Act/ Educational Statutory License: No. of TM Pages (61,457) and Percentage of total use (5.1%)&#10;&#10;Metcalfe 10: Password protected: No. of TM Pages (2,141) and Percentage of total  use (0.2%)&#10;&#10;Other – Included  : No. of TM Pages (146,552) and Percentage of total use (12.2%)&#10;&#10;SUB-TOTAL INCLUDED: No. of TM Pages (590,088) and Percentage of total use (49.3)&#10;&#10;EXCLUDED&#10;&#10;Metcalfe 2: Non-commercial use: No. of TM Pages (21,982) and Percentage of total use (1.8%)&#10;&#10;Metcalfe 3: Use in your organization: No. of TM Pages (14,768) and Percentage of total use (1.2%)&#10;&#10;Metcalfe 4: Free copying: No. of TM Pages (21,783) and Percentage of total use (1.8%)&#10;&#10;Metcalfe 5: Free for education: No. of TM Pages (52,948) and Percentage of total  use (4.4%)&#10;&#10;Other – excluded  : No. of TM Pages (488,260) and Percentage of total use (40.8%)&#10;&#10;SUB-TOTAL EXCLUDED: No. of TM Pages (599,741) and Percentage of total use (50.1%)&#10;&#10;QUARANTINED  &#10;&#10;Quarantined items: No. of TM Pages (7,151) and Percentage of total use (0.6%)&#10;&#10;TOTAL: No. of TM Pages (1,196,980) and Percentage of total use (100.0%)&#10;&#10;Source: AMR, 2014 Australian Schools Electronic Use System – Draft Annual Review V.2. Table 12, p.26&#10;"/>
      </w:tblPr>
      <w:tblGrid>
        <w:gridCol w:w="5954"/>
        <w:gridCol w:w="1963"/>
        <w:gridCol w:w="1112"/>
      </w:tblGrid>
      <w:tr w:rsidR="004213AE" w:rsidRPr="00124E7F" w14:paraId="5608FF21" w14:textId="77777777" w:rsidTr="00202E68">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000" w:firstRow="0" w:lastRow="0" w:firstColumn="1" w:lastColumn="0" w:oddVBand="0" w:evenVBand="0" w:oddHBand="0" w:evenHBand="0" w:firstRowFirstColumn="0" w:firstRowLastColumn="0" w:lastRowFirstColumn="0" w:lastRowLastColumn="0"/>
            <w:tcW w:w="3297" w:type="pct"/>
            <w:tcBorders>
              <w:top w:val="nil"/>
              <w:bottom w:val="single" w:sz="4" w:space="0" w:color="auto"/>
              <w:right w:val="nil"/>
            </w:tcBorders>
            <w:shd w:val="clear" w:color="auto" w:fill="F0F0F0" w:themeFill="accent4"/>
            <w:vAlign w:val="center"/>
            <w:hideMark/>
          </w:tcPr>
          <w:p w14:paraId="7DB662EE" w14:textId="77777777" w:rsidR="00C13CFD" w:rsidRPr="00124E7F" w:rsidRDefault="00C13CFD" w:rsidP="00804582">
            <w:pPr>
              <w:autoSpaceDE/>
              <w:autoSpaceDN/>
              <w:adjustRightInd/>
              <w:spacing w:line="276" w:lineRule="auto"/>
              <w:rPr>
                <w:rFonts w:cs="Calibri"/>
                <w:color w:val="auto"/>
                <w:szCs w:val="22"/>
                <w:lang w:val="en-US" w:eastAsia="en-AU"/>
              </w:rPr>
            </w:pPr>
            <w:r w:rsidRPr="00124E7F">
              <w:rPr>
                <w:rFonts w:cs="Calibri"/>
                <w:color w:val="auto"/>
                <w:szCs w:val="22"/>
                <w:lang w:val="en-US" w:eastAsia="en-AU"/>
              </w:rPr>
              <w:t>Terms &amp; conditions of use</w:t>
            </w:r>
          </w:p>
        </w:tc>
        <w:tc>
          <w:tcPr>
            <w:tcW w:w="1087" w:type="pct"/>
            <w:tcBorders>
              <w:top w:val="nil"/>
              <w:left w:val="nil"/>
              <w:bottom w:val="single" w:sz="4" w:space="0" w:color="auto"/>
              <w:right w:val="nil"/>
            </w:tcBorders>
            <w:shd w:val="clear" w:color="auto" w:fill="F0F0F0" w:themeFill="accent4"/>
            <w:vAlign w:val="center"/>
            <w:hideMark/>
          </w:tcPr>
          <w:p w14:paraId="58FE3381" w14:textId="77777777" w:rsidR="00C13CFD" w:rsidRPr="00124E7F" w:rsidRDefault="00C13CFD" w:rsidP="00804582">
            <w:pPr>
              <w:autoSpaceDE/>
              <w:autoSpaceDN/>
              <w:adjustRightInd/>
              <w:spacing w:line="276" w:lineRule="auto"/>
              <w:jc w:val="center"/>
              <w:cnfStyle w:val="100000000000" w:firstRow="1" w:lastRow="0" w:firstColumn="0" w:lastColumn="0" w:oddVBand="0" w:evenVBand="0" w:oddHBand="0" w:evenHBand="0" w:firstRowFirstColumn="0" w:firstRowLastColumn="0" w:lastRowFirstColumn="0" w:lastRowLastColumn="0"/>
              <w:rPr>
                <w:rFonts w:cs="Calibri"/>
                <w:color w:val="auto"/>
                <w:szCs w:val="22"/>
                <w:lang w:eastAsia="en-AU"/>
              </w:rPr>
            </w:pPr>
            <w:r w:rsidRPr="00124E7F">
              <w:rPr>
                <w:rFonts w:cs="Calibri"/>
                <w:color w:val="auto"/>
                <w:szCs w:val="22"/>
                <w:lang w:val="en-US" w:eastAsia="en-AU"/>
              </w:rPr>
              <w:t>No. of TM Pages</w:t>
            </w:r>
          </w:p>
        </w:tc>
        <w:tc>
          <w:tcPr>
            <w:tcW w:w="616" w:type="pct"/>
            <w:tcBorders>
              <w:top w:val="nil"/>
              <w:left w:val="nil"/>
              <w:bottom w:val="single" w:sz="4" w:space="0" w:color="auto"/>
            </w:tcBorders>
            <w:shd w:val="clear" w:color="auto" w:fill="F0F0F0" w:themeFill="accent4"/>
            <w:vAlign w:val="center"/>
            <w:hideMark/>
          </w:tcPr>
          <w:p w14:paraId="2B0ABD32" w14:textId="77777777" w:rsidR="00C13CFD" w:rsidRPr="00124E7F" w:rsidRDefault="00C13CFD" w:rsidP="00804582">
            <w:pPr>
              <w:autoSpaceDE/>
              <w:autoSpaceDN/>
              <w:adjustRightInd/>
              <w:spacing w:line="276" w:lineRule="auto"/>
              <w:jc w:val="center"/>
              <w:cnfStyle w:val="100000000000" w:firstRow="1" w:lastRow="0" w:firstColumn="0" w:lastColumn="0" w:oddVBand="0" w:evenVBand="0" w:oddHBand="0" w:evenHBand="0" w:firstRowFirstColumn="0" w:firstRowLastColumn="0" w:lastRowFirstColumn="0" w:lastRowLastColumn="0"/>
              <w:rPr>
                <w:rFonts w:cs="Calibri"/>
                <w:color w:val="auto"/>
                <w:szCs w:val="22"/>
                <w:lang w:eastAsia="en-AU"/>
              </w:rPr>
            </w:pPr>
            <w:r w:rsidRPr="00124E7F">
              <w:rPr>
                <w:rFonts w:cs="Calibri"/>
                <w:color w:val="auto"/>
                <w:szCs w:val="22"/>
                <w:lang w:val="en-US" w:eastAsia="en-AU"/>
              </w:rPr>
              <w:t xml:space="preserve">% </w:t>
            </w:r>
            <w:r w:rsidRPr="00124E7F">
              <w:rPr>
                <w:rFonts w:cs="Calibri"/>
                <w:bCs w:val="0"/>
                <w:color w:val="auto"/>
                <w:szCs w:val="22"/>
                <w:lang w:val="en-US" w:eastAsia="en-AU"/>
              </w:rPr>
              <w:t>total use</w:t>
            </w:r>
          </w:p>
        </w:tc>
      </w:tr>
      <w:tr w:rsidR="00337AB5" w:rsidRPr="00124E7F" w14:paraId="10007F4B" w14:textId="77777777" w:rsidTr="00202E6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297" w:type="pct"/>
            <w:tcBorders>
              <w:top w:val="single" w:sz="4" w:space="0" w:color="auto"/>
              <w:right w:val="nil"/>
            </w:tcBorders>
            <w:shd w:val="clear" w:color="auto" w:fill="C0C0C0"/>
            <w:hideMark/>
          </w:tcPr>
          <w:p w14:paraId="32307845" w14:textId="77777777" w:rsidR="00337AB5" w:rsidRPr="004213AE" w:rsidRDefault="00337AB5" w:rsidP="00804582">
            <w:pPr>
              <w:autoSpaceDE/>
              <w:autoSpaceDN/>
              <w:adjustRightInd/>
              <w:spacing w:line="276" w:lineRule="auto"/>
              <w:rPr>
                <w:rFonts w:cs="Calibri"/>
                <w:b w:val="0"/>
                <w:bCs w:val="0"/>
                <w:szCs w:val="22"/>
                <w:lang w:eastAsia="en-AU"/>
              </w:rPr>
            </w:pPr>
            <w:r w:rsidRPr="00202E68">
              <w:rPr>
                <w:rFonts w:cs="Calibri"/>
                <w:szCs w:val="22"/>
                <w:lang w:eastAsia="en-AU"/>
              </w:rPr>
              <w:t>Included</w:t>
            </w:r>
          </w:p>
        </w:tc>
        <w:tc>
          <w:tcPr>
            <w:tcW w:w="1087" w:type="pct"/>
            <w:tcBorders>
              <w:top w:val="single" w:sz="4" w:space="0" w:color="auto"/>
              <w:left w:val="nil"/>
              <w:right w:val="nil"/>
            </w:tcBorders>
            <w:shd w:val="clear" w:color="auto" w:fill="C0C0C0"/>
          </w:tcPr>
          <w:p w14:paraId="0882BC65" w14:textId="77777777" w:rsidR="00337AB5" w:rsidRPr="004213AE" w:rsidRDefault="00337AB5" w:rsidP="00804582">
            <w:pP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cs="Calibri"/>
                <w:b/>
                <w:bCs/>
                <w:szCs w:val="22"/>
                <w:lang w:eastAsia="en-AU"/>
              </w:rPr>
            </w:pPr>
          </w:p>
        </w:tc>
        <w:tc>
          <w:tcPr>
            <w:tcW w:w="616" w:type="pct"/>
            <w:tcBorders>
              <w:top w:val="single" w:sz="4" w:space="0" w:color="auto"/>
              <w:left w:val="nil"/>
            </w:tcBorders>
            <w:shd w:val="clear" w:color="auto" w:fill="C0C0C0"/>
          </w:tcPr>
          <w:p w14:paraId="1A82338E" w14:textId="77777777" w:rsidR="00337AB5" w:rsidRPr="00202E68" w:rsidRDefault="00337AB5" w:rsidP="00804582">
            <w:pP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cs="Calibri"/>
                <w:szCs w:val="22"/>
                <w:lang w:eastAsia="en-AU"/>
              </w:rPr>
            </w:pPr>
          </w:p>
        </w:tc>
      </w:tr>
      <w:tr w:rsidR="004213AE" w:rsidRPr="00124E7F" w14:paraId="39D3CD1C" w14:textId="77777777" w:rsidTr="00202E68">
        <w:trPr>
          <w:trHeight w:val="113"/>
        </w:trPr>
        <w:tc>
          <w:tcPr>
            <w:cnfStyle w:val="001000000000" w:firstRow="0" w:lastRow="0" w:firstColumn="1" w:lastColumn="0" w:oddVBand="0" w:evenVBand="0" w:oddHBand="0" w:evenHBand="0" w:firstRowFirstColumn="0" w:firstRowLastColumn="0" w:lastRowFirstColumn="0" w:lastRowLastColumn="0"/>
            <w:tcW w:w="3297" w:type="pct"/>
            <w:hideMark/>
          </w:tcPr>
          <w:p w14:paraId="7E201644" w14:textId="77777777" w:rsidR="00C13CFD" w:rsidRPr="00202E68" w:rsidRDefault="00C13CFD" w:rsidP="00804582">
            <w:pPr>
              <w:autoSpaceDE/>
              <w:autoSpaceDN/>
              <w:adjustRightInd/>
              <w:spacing w:line="276" w:lineRule="auto"/>
              <w:rPr>
                <w:rFonts w:cs="Calibri"/>
                <w:szCs w:val="22"/>
                <w:lang w:eastAsia="en-AU"/>
              </w:rPr>
            </w:pPr>
            <w:r w:rsidRPr="00202E68">
              <w:rPr>
                <w:rFonts w:cs="Calibri"/>
                <w:szCs w:val="22"/>
                <w:lang w:val="en-US" w:eastAsia="en-AU"/>
              </w:rPr>
              <w:t>Metcalfe 1: Personal use</w:t>
            </w:r>
          </w:p>
        </w:tc>
        <w:tc>
          <w:tcPr>
            <w:tcW w:w="1087" w:type="pct"/>
            <w:hideMark/>
          </w:tcPr>
          <w:p w14:paraId="30032D7C" w14:textId="77777777" w:rsidR="00C13CFD" w:rsidRPr="00202E68" w:rsidRDefault="00C13CFD" w:rsidP="00804582">
            <w:pPr>
              <w:autoSpaceDE/>
              <w:autoSpaceDN/>
              <w:adjustRightInd/>
              <w:spacing w:line="276" w:lineRule="auto"/>
              <w:jc w:val="right"/>
              <w:cnfStyle w:val="000000000000" w:firstRow="0" w:lastRow="0" w:firstColumn="0" w:lastColumn="0" w:oddVBand="0" w:evenVBand="0" w:oddHBand="0" w:evenHBand="0" w:firstRowFirstColumn="0" w:firstRowLastColumn="0" w:lastRowFirstColumn="0" w:lastRowLastColumn="0"/>
              <w:rPr>
                <w:rFonts w:cs="Calibri"/>
                <w:szCs w:val="22"/>
                <w:lang w:eastAsia="en-AU"/>
              </w:rPr>
            </w:pPr>
            <w:r w:rsidRPr="00202E68">
              <w:rPr>
                <w:rFonts w:cs="Calibri"/>
                <w:szCs w:val="22"/>
                <w:lang w:eastAsia="en-AU"/>
              </w:rPr>
              <w:t>91,596</w:t>
            </w:r>
          </w:p>
        </w:tc>
        <w:tc>
          <w:tcPr>
            <w:tcW w:w="616" w:type="pct"/>
            <w:hideMark/>
          </w:tcPr>
          <w:p w14:paraId="04F4AE6A" w14:textId="77777777" w:rsidR="00C13CFD" w:rsidRPr="00202E68" w:rsidRDefault="00C13CFD" w:rsidP="00804582">
            <w:pPr>
              <w:autoSpaceDE/>
              <w:autoSpaceDN/>
              <w:adjustRightInd/>
              <w:spacing w:line="276" w:lineRule="auto"/>
              <w:jc w:val="center"/>
              <w:cnfStyle w:val="000000000000" w:firstRow="0" w:lastRow="0" w:firstColumn="0" w:lastColumn="0" w:oddVBand="0" w:evenVBand="0" w:oddHBand="0" w:evenHBand="0" w:firstRowFirstColumn="0" w:firstRowLastColumn="0" w:lastRowFirstColumn="0" w:lastRowLastColumn="0"/>
              <w:rPr>
                <w:rFonts w:cs="Calibri"/>
                <w:bCs/>
                <w:szCs w:val="22"/>
                <w:lang w:eastAsia="en-AU"/>
              </w:rPr>
            </w:pPr>
            <w:r w:rsidRPr="00202E68">
              <w:rPr>
                <w:rFonts w:cs="Calibri"/>
                <w:bCs/>
                <w:szCs w:val="22"/>
                <w:lang w:eastAsia="en-AU"/>
              </w:rPr>
              <w:t>7.7</w:t>
            </w:r>
          </w:p>
        </w:tc>
      </w:tr>
      <w:tr w:rsidR="004213AE" w:rsidRPr="00124E7F" w14:paraId="0E3CD9F8" w14:textId="77777777" w:rsidTr="00202E6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297" w:type="pct"/>
            <w:hideMark/>
          </w:tcPr>
          <w:p w14:paraId="0D707248" w14:textId="77777777" w:rsidR="00C13CFD" w:rsidRPr="00202E68" w:rsidRDefault="00C13CFD" w:rsidP="00804582">
            <w:pPr>
              <w:autoSpaceDE/>
              <w:autoSpaceDN/>
              <w:adjustRightInd/>
              <w:spacing w:line="276" w:lineRule="auto"/>
              <w:rPr>
                <w:rFonts w:cs="Calibri"/>
                <w:szCs w:val="22"/>
                <w:lang w:eastAsia="en-AU"/>
              </w:rPr>
            </w:pPr>
            <w:r w:rsidRPr="00202E68">
              <w:rPr>
                <w:rFonts w:cs="Calibri"/>
                <w:szCs w:val="22"/>
                <w:lang w:val="en-US" w:eastAsia="en-AU"/>
              </w:rPr>
              <w:t>Metcalfe 6: No terms and conditions but contains © statement</w:t>
            </w:r>
          </w:p>
        </w:tc>
        <w:tc>
          <w:tcPr>
            <w:tcW w:w="1087" w:type="pct"/>
            <w:hideMark/>
          </w:tcPr>
          <w:p w14:paraId="2DDCF618" w14:textId="77777777" w:rsidR="00C13CFD" w:rsidRPr="00202E68" w:rsidRDefault="00C13CFD" w:rsidP="00804582">
            <w:pPr>
              <w:autoSpaceDE/>
              <w:autoSpaceDN/>
              <w:adjustRightInd/>
              <w:spacing w:line="276" w:lineRule="auto"/>
              <w:jc w:val="right"/>
              <w:cnfStyle w:val="000000100000" w:firstRow="0" w:lastRow="0" w:firstColumn="0" w:lastColumn="0" w:oddVBand="0" w:evenVBand="0" w:oddHBand="1" w:evenHBand="0" w:firstRowFirstColumn="0" w:firstRowLastColumn="0" w:lastRowFirstColumn="0" w:lastRowLastColumn="0"/>
              <w:rPr>
                <w:rFonts w:cs="Calibri"/>
                <w:szCs w:val="22"/>
                <w:lang w:eastAsia="en-AU"/>
              </w:rPr>
            </w:pPr>
            <w:r w:rsidRPr="00202E68">
              <w:rPr>
                <w:rFonts w:cs="Calibri"/>
                <w:szCs w:val="22"/>
                <w:lang w:val="en-US" w:eastAsia="en-AU"/>
              </w:rPr>
              <w:t>80,452</w:t>
            </w:r>
          </w:p>
        </w:tc>
        <w:tc>
          <w:tcPr>
            <w:tcW w:w="616" w:type="pct"/>
            <w:hideMark/>
          </w:tcPr>
          <w:p w14:paraId="10D9CA91" w14:textId="77777777" w:rsidR="00C13CFD" w:rsidRPr="00202E68" w:rsidRDefault="00C13CFD" w:rsidP="00804582">
            <w:pPr>
              <w:autoSpaceDE/>
              <w:autoSpaceDN/>
              <w:adjustRightInd/>
              <w:spacing w:line="276" w:lineRule="auto"/>
              <w:jc w:val="center"/>
              <w:cnfStyle w:val="000000100000" w:firstRow="0" w:lastRow="0" w:firstColumn="0" w:lastColumn="0" w:oddVBand="0" w:evenVBand="0" w:oddHBand="1" w:evenHBand="0" w:firstRowFirstColumn="0" w:firstRowLastColumn="0" w:lastRowFirstColumn="0" w:lastRowLastColumn="0"/>
              <w:rPr>
                <w:rFonts w:cs="Calibri"/>
                <w:bCs/>
                <w:szCs w:val="22"/>
                <w:lang w:eastAsia="en-AU"/>
              </w:rPr>
            </w:pPr>
            <w:r w:rsidRPr="00202E68">
              <w:rPr>
                <w:rFonts w:cs="Calibri"/>
                <w:bCs/>
                <w:szCs w:val="22"/>
                <w:lang w:eastAsia="en-AU"/>
              </w:rPr>
              <w:t>6.7</w:t>
            </w:r>
          </w:p>
        </w:tc>
      </w:tr>
      <w:tr w:rsidR="004213AE" w:rsidRPr="00124E7F" w14:paraId="5C6824E0" w14:textId="77777777" w:rsidTr="00202E68">
        <w:trPr>
          <w:trHeight w:val="113"/>
        </w:trPr>
        <w:tc>
          <w:tcPr>
            <w:cnfStyle w:val="001000000000" w:firstRow="0" w:lastRow="0" w:firstColumn="1" w:lastColumn="0" w:oddVBand="0" w:evenVBand="0" w:oddHBand="0" w:evenHBand="0" w:firstRowFirstColumn="0" w:firstRowLastColumn="0" w:lastRowFirstColumn="0" w:lastRowLastColumn="0"/>
            <w:tcW w:w="3297" w:type="pct"/>
            <w:hideMark/>
          </w:tcPr>
          <w:p w14:paraId="4F82C8E6" w14:textId="77777777" w:rsidR="00C13CFD" w:rsidRPr="00202E68" w:rsidRDefault="00C13CFD" w:rsidP="00804582">
            <w:pPr>
              <w:autoSpaceDE/>
              <w:autoSpaceDN/>
              <w:adjustRightInd/>
              <w:spacing w:line="276" w:lineRule="auto"/>
              <w:rPr>
                <w:rFonts w:cs="Calibri"/>
                <w:szCs w:val="22"/>
                <w:lang w:eastAsia="en-AU"/>
              </w:rPr>
            </w:pPr>
            <w:r w:rsidRPr="00202E68">
              <w:rPr>
                <w:rFonts w:cs="Calibri"/>
                <w:szCs w:val="22"/>
                <w:lang w:val="en-US" w:eastAsia="en-AU"/>
              </w:rPr>
              <w:t>Metcalfe 7: No terms and conditions</w:t>
            </w:r>
          </w:p>
        </w:tc>
        <w:tc>
          <w:tcPr>
            <w:tcW w:w="1087" w:type="pct"/>
            <w:hideMark/>
          </w:tcPr>
          <w:p w14:paraId="6761F62B" w14:textId="77777777" w:rsidR="00C13CFD" w:rsidRPr="00202E68" w:rsidRDefault="00C13CFD" w:rsidP="00804582">
            <w:pPr>
              <w:autoSpaceDE/>
              <w:autoSpaceDN/>
              <w:adjustRightInd/>
              <w:spacing w:line="276" w:lineRule="auto"/>
              <w:jc w:val="right"/>
              <w:cnfStyle w:val="000000000000" w:firstRow="0" w:lastRow="0" w:firstColumn="0" w:lastColumn="0" w:oddVBand="0" w:evenVBand="0" w:oddHBand="0" w:evenHBand="0" w:firstRowFirstColumn="0" w:firstRowLastColumn="0" w:lastRowFirstColumn="0" w:lastRowLastColumn="0"/>
              <w:rPr>
                <w:rFonts w:cs="Calibri"/>
                <w:szCs w:val="22"/>
                <w:lang w:eastAsia="en-AU"/>
              </w:rPr>
            </w:pPr>
            <w:r w:rsidRPr="00202E68">
              <w:rPr>
                <w:rFonts w:cs="Calibri"/>
                <w:szCs w:val="22"/>
                <w:lang w:val="en-US" w:eastAsia="en-AU"/>
              </w:rPr>
              <w:t>52,704</w:t>
            </w:r>
          </w:p>
        </w:tc>
        <w:tc>
          <w:tcPr>
            <w:tcW w:w="616" w:type="pct"/>
            <w:hideMark/>
          </w:tcPr>
          <w:p w14:paraId="342DCEED" w14:textId="77777777" w:rsidR="00C13CFD" w:rsidRPr="00202E68" w:rsidRDefault="00C13CFD" w:rsidP="00804582">
            <w:pPr>
              <w:autoSpaceDE/>
              <w:autoSpaceDN/>
              <w:adjustRightInd/>
              <w:spacing w:line="276" w:lineRule="auto"/>
              <w:jc w:val="center"/>
              <w:cnfStyle w:val="000000000000" w:firstRow="0" w:lastRow="0" w:firstColumn="0" w:lastColumn="0" w:oddVBand="0" w:evenVBand="0" w:oddHBand="0" w:evenHBand="0" w:firstRowFirstColumn="0" w:firstRowLastColumn="0" w:lastRowFirstColumn="0" w:lastRowLastColumn="0"/>
              <w:rPr>
                <w:rFonts w:cs="Calibri"/>
                <w:bCs/>
                <w:szCs w:val="22"/>
                <w:lang w:eastAsia="en-AU"/>
              </w:rPr>
            </w:pPr>
            <w:r w:rsidRPr="00202E68">
              <w:rPr>
                <w:rFonts w:cs="Calibri"/>
                <w:bCs/>
                <w:szCs w:val="22"/>
                <w:lang w:eastAsia="en-AU"/>
              </w:rPr>
              <w:t>4.4</w:t>
            </w:r>
          </w:p>
        </w:tc>
      </w:tr>
      <w:tr w:rsidR="004213AE" w:rsidRPr="00124E7F" w14:paraId="40032C78" w14:textId="77777777" w:rsidTr="00202E6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297" w:type="pct"/>
            <w:hideMark/>
          </w:tcPr>
          <w:p w14:paraId="225B89DB" w14:textId="77777777" w:rsidR="00C13CFD" w:rsidRPr="00202E68" w:rsidRDefault="00C13CFD" w:rsidP="00804582">
            <w:pPr>
              <w:autoSpaceDE/>
              <w:autoSpaceDN/>
              <w:adjustRightInd/>
              <w:spacing w:line="276" w:lineRule="auto"/>
              <w:rPr>
                <w:rFonts w:cs="Calibri"/>
                <w:szCs w:val="22"/>
                <w:lang w:eastAsia="en-AU"/>
              </w:rPr>
            </w:pPr>
            <w:r w:rsidRPr="00202E68">
              <w:rPr>
                <w:rFonts w:cs="Calibri"/>
                <w:szCs w:val="22"/>
                <w:lang w:val="en-US" w:eastAsia="en-AU"/>
              </w:rPr>
              <w:t>Metcalfe 8: Copying not permitted</w:t>
            </w:r>
          </w:p>
        </w:tc>
        <w:tc>
          <w:tcPr>
            <w:tcW w:w="1087" w:type="pct"/>
            <w:hideMark/>
          </w:tcPr>
          <w:p w14:paraId="2CC4604A" w14:textId="77777777" w:rsidR="00C13CFD" w:rsidRPr="00202E68" w:rsidRDefault="00C13CFD" w:rsidP="00804582">
            <w:pPr>
              <w:autoSpaceDE/>
              <w:autoSpaceDN/>
              <w:adjustRightInd/>
              <w:spacing w:line="276" w:lineRule="auto"/>
              <w:jc w:val="right"/>
              <w:cnfStyle w:val="000000100000" w:firstRow="0" w:lastRow="0" w:firstColumn="0" w:lastColumn="0" w:oddVBand="0" w:evenVBand="0" w:oddHBand="1" w:evenHBand="0" w:firstRowFirstColumn="0" w:firstRowLastColumn="0" w:lastRowFirstColumn="0" w:lastRowLastColumn="0"/>
              <w:rPr>
                <w:rFonts w:cs="Calibri"/>
                <w:szCs w:val="22"/>
                <w:lang w:eastAsia="en-AU"/>
              </w:rPr>
            </w:pPr>
            <w:r w:rsidRPr="00202E68">
              <w:rPr>
                <w:rFonts w:cs="Calibri"/>
                <w:szCs w:val="22"/>
                <w:lang w:val="en-US" w:eastAsia="en-AU"/>
              </w:rPr>
              <w:t>155,186</w:t>
            </w:r>
          </w:p>
        </w:tc>
        <w:tc>
          <w:tcPr>
            <w:tcW w:w="616" w:type="pct"/>
            <w:hideMark/>
          </w:tcPr>
          <w:p w14:paraId="04AEC689" w14:textId="77777777" w:rsidR="00C13CFD" w:rsidRPr="00202E68" w:rsidRDefault="00C13CFD" w:rsidP="00804582">
            <w:pPr>
              <w:autoSpaceDE/>
              <w:autoSpaceDN/>
              <w:adjustRightInd/>
              <w:spacing w:line="276" w:lineRule="auto"/>
              <w:jc w:val="center"/>
              <w:cnfStyle w:val="000000100000" w:firstRow="0" w:lastRow="0" w:firstColumn="0" w:lastColumn="0" w:oddVBand="0" w:evenVBand="0" w:oddHBand="1" w:evenHBand="0" w:firstRowFirstColumn="0" w:firstRowLastColumn="0" w:lastRowFirstColumn="0" w:lastRowLastColumn="0"/>
              <w:rPr>
                <w:rFonts w:cs="Calibri"/>
                <w:bCs/>
                <w:szCs w:val="22"/>
                <w:lang w:eastAsia="en-AU"/>
              </w:rPr>
            </w:pPr>
            <w:r w:rsidRPr="00202E68">
              <w:rPr>
                <w:rFonts w:cs="Calibri"/>
                <w:bCs/>
                <w:szCs w:val="22"/>
                <w:lang w:eastAsia="en-AU"/>
              </w:rPr>
              <w:t>13.0</w:t>
            </w:r>
          </w:p>
        </w:tc>
      </w:tr>
      <w:tr w:rsidR="004213AE" w:rsidRPr="00124E7F" w14:paraId="74E58112" w14:textId="77777777" w:rsidTr="00202E68">
        <w:trPr>
          <w:trHeight w:val="113"/>
        </w:trPr>
        <w:tc>
          <w:tcPr>
            <w:cnfStyle w:val="001000000000" w:firstRow="0" w:lastRow="0" w:firstColumn="1" w:lastColumn="0" w:oddVBand="0" w:evenVBand="0" w:oddHBand="0" w:evenHBand="0" w:firstRowFirstColumn="0" w:firstRowLastColumn="0" w:lastRowFirstColumn="0" w:lastRowLastColumn="0"/>
            <w:tcW w:w="3297" w:type="pct"/>
            <w:hideMark/>
          </w:tcPr>
          <w:p w14:paraId="54CDC1FF" w14:textId="77777777" w:rsidR="00C13CFD" w:rsidRPr="00202E68" w:rsidRDefault="00C13CFD" w:rsidP="00804582">
            <w:pPr>
              <w:autoSpaceDE/>
              <w:autoSpaceDN/>
              <w:adjustRightInd/>
              <w:spacing w:line="276" w:lineRule="auto"/>
              <w:rPr>
                <w:rFonts w:cs="Calibri"/>
                <w:szCs w:val="22"/>
                <w:lang w:eastAsia="en-AU"/>
              </w:rPr>
            </w:pPr>
            <w:r w:rsidRPr="00202E68">
              <w:rPr>
                <w:rFonts w:cs="Calibri"/>
                <w:szCs w:val="22"/>
                <w:lang w:val="en-US" w:eastAsia="en-AU"/>
              </w:rPr>
              <w:t>Metcalfe 9: Reference to the Australian Copyright Act/ Educational Statutory License</w:t>
            </w:r>
          </w:p>
        </w:tc>
        <w:tc>
          <w:tcPr>
            <w:tcW w:w="1087" w:type="pct"/>
            <w:hideMark/>
          </w:tcPr>
          <w:p w14:paraId="74983BA2" w14:textId="77777777" w:rsidR="00C13CFD" w:rsidRPr="00202E68" w:rsidRDefault="00C13CFD" w:rsidP="00804582">
            <w:pPr>
              <w:autoSpaceDE/>
              <w:autoSpaceDN/>
              <w:adjustRightInd/>
              <w:spacing w:line="276" w:lineRule="auto"/>
              <w:jc w:val="right"/>
              <w:cnfStyle w:val="000000000000" w:firstRow="0" w:lastRow="0" w:firstColumn="0" w:lastColumn="0" w:oddVBand="0" w:evenVBand="0" w:oddHBand="0" w:evenHBand="0" w:firstRowFirstColumn="0" w:firstRowLastColumn="0" w:lastRowFirstColumn="0" w:lastRowLastColumn="0"/>
              <w:rPr>
                <w:rFonts w:cs="Calibri"/>
                <w:szCs w:val="22"/>
                <w:lang w:eastAsia="en-AU"/>
              </w:rPr>
            </w:pPr>
            <w:r w:rsidRPr="00202E68">
              <w:rPr>
                <w:rFonts w:cs="Calibri"/>
                <w:szCs w:val="22"/>
                <w:lang w:val="en-US" w:eastAsia="en-AU"/>
              </w:rPr>
              <w:t>61,457</w:t>
            </w:r>
          </w:p>
        </w:tc>
        <w:tc>
          <w:tcPr>
            <w:tcW w:w="616" w:type="pct"/>
            <w:hideMark/>
          </w:tcPr>
          <w:p w14:paraId="0F34BA8E" w14:textId="77777777" w:rsidR="00C13CFD" w:rsidRPr="00202E68" w:rsidRDefault="00C13CFD" w:rsidP="00804582">
            <w:pPr>
              <w:autoSpaceDE/>
              <w:autoSpaceDN/>
              <w:adjustRightInd/>
              <w:spacing w:line="276" w:lineRule="auto"/>
              <w:jc w:val="center"/>
              <w:cnfStyle w:val="000000000000" w:firstRow="0" w:lastRow="0" w:firstColumn="0" w:lastColumn="0" w:oddVBand="0" w:evenVBand="0" w:oddHBand="0" w:evenHBand="0" w:firstRowFirstColumn="0" w:firstRowLastColumn="0" w:lastRowFirstColumn="0" w:lastRowLastColumn="0"/>
              <w:rPr>
                <w:rFonts w:cs="Calibri"/>
                <w:bCs/>
                <w:szCs w:val="22"/>
                <w:lang w:eastAsia="en-AU"/>
              </w:rPr>
            </w:pPr>
            <w:r w:rsidRPr="00202E68">
              <w:rPr>
                <w:rFonts w:cs="Calibri"/>
                <w:bCs/>
                <w:szCs w:val="22"/>
                <w:lang w:eastAsia="en-AU"/>
              </w:rPr>
              <w:t>5.1</w:t>
            </w:r>
          </w:p>
        </w:tc>
      </w:tr>
      <w:tr w:rsidR="004213AE" w:rsidRPr="00124E7F" w14:paraId="4D842180" w14:textId="77777777" w:rsidTr="00202E6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297" w:type="pct"/>
            <w:hideMark/>
          </w:tcPr>
          <w:p w14:paraId="2395852E" w14:textId="77777777" w:rsidR="00C13CFD" w:rsidRPr="00202E68" w:rsidRDefault="00C13CFD" w:rsidP="00804582">
            <w:pPr>
              <w:autoSpaceDE/>
              <w:autoSpaceDN/>
              <w:adjustRightInd/>
              <w:spacing w:line="276" w:lineRule="auto"/>
              <w:rPr>
                <w:rFonts w:cs="Calibri"/>
                <w:szCs w:val="22"/>
                <w:lang w:eastAsia="en-AU"/>
              </w:rPr>
            </w:pPr>
            <w:r w:rsidRPr="00202E68">
              <w:rPr>
                <w:rFonts w:cs="Calibri"/>
                <w:szCs w:val="22"/>
                <w:lang w:val="en-US" w:eastAsia="en-AU"/>
              </w:rPr>
              <w:t>Metcalfe 10: Password protected</w:t>
            </w:r>
          </w:p>
        </w:tc>
        <w:tc>
          <w:tcPr>
            <w:tcW w:w="1087" w:type="pct"/>
            <w:hideMark/>
          </w:tcPr>
          <w:p w14:paraId="3A22F015" w14:textId="77777777" w:rsidR="00C13CFD" w:rsidRPr="00202E68" w:rsidRDefault="00C13CFD" w:rsidP="00804582">
            <w:pPr>
              <w:autoSpaceDE/>
              <w:autoSpaceDN/>
              <w:adjustRightInd/>
              <w:spacing w:line="276" w:lineRule="auto"/>
              <w:jc w:val="right"/>
              <w:cnfStyle w:val="000000100000" w:firstRow="0" w:lastRow="0" w:firstColumn="0" w:lastColumn="0" w:oddVBand="0" w:evenVBand="0" w:oddHBand="1" w:evenHBand="0" w:firstRowFirstColumn="0" w:firstRowLastColumn="0" w:lastRowFirstColumn="0" w:lastRowLastColumn="0"/>
              <w:rPr>
                <w:rFonts w:cs="Calibri"/>
                <w:szCs w:val="22"/>
                <w:lang w:eastAsia="en-AU"/>
              </w:rPr>
            </w:pPr>
            <w:r w:rsidRPr="00202E68">
              <w:rPr>
                <w:rFonts w:cs="Calibri"/>
                <w:szCs w:val="22"/>
                <w:lang w:eastAsia="en-AU"/>
              </w:rPr>
              <w:t>2,141</w:t>
            </w:r>
          </w:p>
        </w:tc>
        <w:tc>
          <w:tcPr>
            <w:tcW w:w="616" w:type="pct"/>
            <w:hideMark/>
          </w:tcPr>
          <w:p w14:paraId="69611C36" w14:textId="77777777" w:rsidR="00C13CFD" w:rsidRPr="00202E68" w:rsidRDefault="00C13CFD" w:rsidP="00804582">
            <w:pPr>
              <w:autoSpaceDE/>
              <w:autoSpaceDN/>
              <w:adjustRightInd/>
              <w:spacing w:line="276" w:lineRule="auto"/>
              <w:jc w:val="center"/>
              <w:cnfStyle w:val="000000100000" w:firstRow="0" w:lastRow="0" w:firstColumn="0" w:lastColumn="0" w:oddVBand="0" w:evenVBand="0" w:oddHBand="1" w:evenHBand="0" w:firstRowFirstColumn="0" w:firstRowLastColumn="0" w:lastRowFirstColumn="0" w:lastRowLastColumn="0"/>
              <w:rPr>
                <w:rFonts w:cs="Calibri"/>
                <w:bCs/>
                <w:szCs w:val="22"/>
                <w:lang w:eastAsia="en-AU"/>
              </w:rPr>
            </w:pPr>
            <w:r w:rsidRPr="00202E68">
              <w:rPr>
                <w:rFonts w:cs="Calibri"/>
                <w:bCs/>
                <w:szCs w:val="22"/>
                <w:lang w:eastAsia="en-AU"/>
              </w:rPr>
              <w:t>0.2</w:t>
            </w:r>
          </w:p>
        </w:tc>
      </w:tr>
      <w:tr w:rsidR="004213AE" w:rsidRPr="00124E7F" w14:paraId="5817DC24" w14:textId="77777777" w:rsidTr="00202E68">
        <w:trPr>
          <w:trHeight w:val="113"/>
        </w:trPr>
        <w:tc>
          <w:tcPr>
            <w:cnfStyle w:val="001000000000" w:firstRow="0" w:lastRow="0" w:firstColumn="1" w:lastColumn="0" w:oddVBand="0" w:evenVBand="0" w:oddHBand="0" w:evenHBand="0" w:firstRowFirstColumn="0" w:firstRowLastColumn="0" w:lastRowFirstColumn="0" w:lastRowLastColumn="0"/>
            <w:tcW w:w="3297" w:type="pct"/>
            <w:hideMark/>
          </w:tcPr>
          <w:p w14:paraId="61061C31" w14:textId="77777777" w:rsidR="00C13CFD" w:rsidRPr="00202E68" w:rsidRDefault="00C13CFD" w:rsidP="00804582">
            <w:pPr>
              <w:autoSpaceDE/>
              <w:autoSpaceDN/>
              <w:adjustRightInd/>
              <w:spacing w:line="276" w:lineRule="auto"/>
              <w:rPr>
                <w:rFonts w:cs="Calibri"/>
                <w:szCs w:val="22"/>
                <w:lang w:eastAsia="en-AU"/>
              </w:rPr>
            </w:pPr>
            <w:r w:rsidRPr="00202E68">
              <w:rPr>
                <w:rFonts w:cs="Calibri"/>
                <w:szCs w:val="22"/>
                <w:lang w:val="en-US" w:eastAsia="en-AU"/>
              </w:rPr>
              <w:t>Other – Included</w:t>
            </w:r>
            <w:r w:rsidRPr="00202E68">
              <w:rPr>
                <w:rFonts w:cs="Calibri"/>
                <w:szCs w:val="22"/>
                <w:vertAlign w:val="superscript"/>
                <w:lang w:val="en-US" w:eastAsia="en-AU"/>
              </w:rPr>
              <w:t xml:space="preserve"> 1</w:t>
            </w:r>
          </w:p>
        </w:tc>
        <w:tc>
          <w:tcPr>
            <w:tcW w:w="1087" w:type="pct"/>
            <w:hideMark/>
          </w:tcPr>
          <w:p w14:paraId="427464D5" w14:textId="77777777" w:rsidR="00C13CFD" w:rsidRPr="00202E68" w:rsidRDefault="00C13CFD" w:rsidP="00804582">
            <w:pPr>
              <w:autoSpaceDE/>
              <w:autoSpaceDN/>
              <w:adjustRightInd/>
              <w:spacing w:line="276" w:lineRule="auto"/>
              <w:jc w:val="right"/>
              <w:cnfStyle w:val="000000000000" w:firstRow="0" w:lastRow="0" w:firstColumn="0" w:lastColumn="0" w:oddVBand="0" w:evenVBand="0" w:oddHBand="0" w:evenHBand="0" w:firstRowFirstColumn="0" w:firstRowLastColumn="0" w:lastRowFirstColumn="0" w:lastRowLastColumn="0"/>
              <w:rPr>
                <w:rFonts w:cs="Calibri"/>
                <w:szCs w:val="22"/>
                <w:lang w:eastAsia="en-AU"/>
              </w:rPr>
            </w:pPr>
            <w:r w:rsidRPr="00202E68">
              <w:rPr>
                <w:rFonts w:cs="Calibri"/>
                <w:szCs w:val="22"/>
                <w:lang w:val="en-US" w:eastAsia="en-AU"/>
              </w:rPr>
              <w:t>146,552</w:t>
            </w:r>
          </w:p>
        </w:tc>
        <w:tc>
          <w:tcPr>
            <w:tcW w:w="616" w:type="pct"/>
            <w:hideMark/>
          </w:tcPr>
          <w:p w14:paraId="064D21D7" w14:textId="77777777" w:rsidR="00C13CFD" w:rsidRPr="00202E68" w:rsidRDefault="00C13CFD" w:rsidP="00804582">
            <w:pPr>
              <w:autoSpaceDE/>
              <w:autoSpaceDN/>
              <w:adjustRightInd/>
              <w:spacing w:line="276" w:lineRule="auto"/>
              <w:jc w:val="center"/>
              <w:cnfStyle w:val="000000000000" w:firstRow="0" w:lastRow="0" w:firstColumn="0" w:lastColumn="0" w:oddVBand="0" w:evenVBand="0" w:oddHBand="0" w:evenHBand="0" w:firstRowFirstColumn="0" w:firstRowLastColumn="0" w:lastRowFirstColumn="0" w:lastRowLastColumn="0"/>
              <w:rPr>
                <w:rFonts w:cs="Calibri"/>
                <w:bCs/>
                <w:szCs w:val="22"/>
                <w:lang w:eastAsia="en-AU"/>
              </w:rPr>
            </w:pPr>
            <w:r w:rsidRPr="00202E68">
              <w:rPr>
                <w:rFonts w:cs="Calibri"/>
                <w:bCs/>
                <w:szCs w:val="22"/>
                <w:lang w:eastAsia="en-AU"/>
              </w:rPr>
              <w:t>12.2</w:t>
            </w:r>
          </w:p>
        </w:tc>
      </w:tr>
      <w:tr w:rsidR="004213AE" w:rsidRPr="00124E7F" w14:paraId="33417C17" w14:textId="77777777" w:rsidTr="00202E6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297" w:type="pct"/>
            <w:tcBorders>
              <w:bottom w:val="single" w:sz="4" w:space="0" w:color="808080" w:themeColor="background1" w:themeShade="80"/>
            </w:tcBorders>
          </w:tcPr>
          <w:p w14:paraId="26654345" w14:textId="77777777" w:rsidR="00C13CFD" w:rsidRPr="00202E68" w:rsidRDefault="00C13CFD" w:rsidP="00804582">
            <w:pPr>
              <w:autoSpaceDE/>
              <w:autoSpaceDN/>
              <w:adjustRightInd/>
              <w:spacing w:line="276" w:lineRule="auto"/>
              <w:jc w:val="right"/>
              <w:rPr>
                <w:rFonts w:cs="Calibri"/>
                <w:szCs w:val="22"/>
                <w:lang w:val="en-US" w:eastAsia="en-AU"/>
              </w:rPr>
            </w:pPr>
            <w:r w:rsidRPr="00202E68">
              <w:rPr>
                <w:rFonts w:cs="Calibri"/>
                <w:szCs w:val="22"/>
                <w:lang w:val="en-US" w:eastAsia="en-AU"/>
              </w:rPr>
              <w:t>SUB-TOTAL</w:t>
            </w:r>
          </w:p>
        </w:tc>
        <w:tc>
          <w:tcPr>
            <w:tcW w:w="1087" w:type="pct"/>
            <w:tcBorders>
              <w:bottom w:val="single" w:sz="4" w:space="0" w:color="808080" w:themeColor="background1" w:themeShade="80"/>
            </w:tcBorders>
          </w:tcPr>
          <w:p w14:paraId="15D28104" w14:textId="77777777" w:rsidR="00C13CFD" w:rsidRPr="00202E68" w:rsidRDefault="00C13CFD" w:rsidP="00804582">
            <w:pPr>
              <w:autoSpaceDE/>
              <w:autoSpaceDN/>
              <w:adjustRightInd/>
              <w:spacing w:line="276" w:lineRule="auto"/>
              <w:jc w:val="right"/>
              <w:cnfStyle w:val="000000100000" w:firstRow="0" w:lastRow="0" w:firstColumn="0" w:lastColumn="0" w:oddVBand="0" w:evenVBand="0" w:oddHBand="1" w:evenHBand="0" w:firstRowFirstColumn="0" w:firstRowLastColumn="0" w:lastRowFirstColumn="0" w:lastRowLastColumn="0"/>
              <w:rPr>
                <w:rFonts w:cs="Calibri"/>
                <w:b/>
                <w:szCs w:val="22"/>
                <w:lang w:val="en-US" w:eastAsia="en-AU"/>
              </w:rPr>
            </w:pPr>
            <w:r w:rsidRPr="00202E68">
              <w:rPr>
                <w:rFonts w:cs="Calibri"/>
                <w:b/>
                <w:szCs w:val="22"/>
                <w:lang w:val="en-US" w:eastAsia="en-AU"/>
              </w:rPr>
              <w:t>590,088</w:t>
            </w:r>
          </w:p>
        </w:tc>
        <w:tc>
          <w:tcPr>
            <w:tcW w:w="616" w:type="pct"/>
          </w:tcPr>
          <w:p w14:paraId="47AC2CDA" w14:textId="77777777" w:rsidR="00C13CFD" w:rsidRPr="00202E68" w:rsidRDefault="00C13CFD" w:rsidP="00804582">
            <w:pPr>
              <w:autoSpaceDE/>
              <w:autoSpaceDN/>
              <w:adjustRightInd/>
              <w:spacing w:line="276" w:lineRule="auto"/>
              <w:jc w:val="center"/>
              <w:cnfStyle w:val="000000100000" w:firstRow="0" w:lastRow="0" w:firstColumn="0" w:lastColumn="0" w:oddVBand="0" w:evenVBand="0" w:oddHBand="1" w:evenHBand="0" w:firstRowFirstColumn="0" w:firstRowLastColumn="0" w:lastRowFirstColumn="0" w:lastRowLastColumn="0"/>
              <w:rPr>
                <w:rFonts w:cs="Calibri"/>
                <w:b/>
                <w:bCs/>
                <w:szCs w:val="22"/>
                <w:lang w:eastAsia="en-AU"/>
              </w:rPr>
            </w:pPr>
            <w:r w:rsidRPr="00202E68">
              <w:rPr>
                <w:rFonts w:cs="Calibri"/>
                <w:b/>
                <w:bCs/>
                <w:szCs w:val="22"/>
                <w:lang w:eastAsia="en-AU"/>
              </w:rPr>
              <w:t>49.3</w:t>
            </w:r>
          </w:p>
        </w:tc>
      </w:tr>
      <w:tr w:rsidR="00337AB5" w:rsidRPr="00124E7F" w14:paraId="1BE49FA4" w14:textId="77777777" w:rsidTr="00202E68">
        <w:trPr>
          <w:trHeight w:val="113"/>
        </w:trPr>
        <w:tc>
          <w:tcPr>
            <w:cnfStyle w:val="001000000000" w:firstRow="0" w:lastRow="0" w:firstColumn="1" w:lastColumn="0" w:oddVBand="0" w:evenVBand="0" w:oddHBand="0" w:evenHBand="0" w:firstRowFirstColumn="0" w:firstRowLastColumn="0" w:lastRowFirstColumn="0" w:lastRowLastColumn="0"/>
            <w:tcW w:w="3297" w:type="pct"/>
            <w:tcBorders>
              <w:top w:val="single" w:sz="4" w:space="0" w:color="808080" w:themeColor="background1" w:themeShade="80"/>
              <w:bottom w:val="single" w:sz="4" w:space="0" w:color="808080" w:themeColor="background1" w:themeShade="80"/>
              <w:right w:val="nil"/>
            </w:tcBorders>
            <w:shd w:val="clear" w:color="auto" w:fill="C0C0C0"/>
            <w:hideMark/>
          </w:tcPr>
          <w:p w14:paraId="72425079" w14:textId="77777777" w:rsidR="00337AB5" w:rsidRPr="004213AE" w:rsidRDefault="00337AB5" w:rsidP="00804582">
            <w:pPr>
              <w:autoSpaceDE/>
              <w:autoSpaceDN/>
              <w:adjustRightInd/>
              <w:spacing w:line="276" w:lineRule="auto"/>
              <w:rPr>
                <w:rFonts w:cs="Calibri"/>
                <w:b w:val="0"/>
                <w:bCs w:val="0"/>
                <w:szCs w:val="22"/>
                <w:lang w:eastAsia="en-AU"/>
              </w:rPr>
            </w:pPr>
            <w:r w:rsidRPr="00202E68">
              <w:rPr>
                <w:rFonts w:cs="Calibri"/>
                <w:szCs w:val="22"/>
                <w:lang w:eastAsia="en-AU"/>
              </w:rPr>
              <w:t>Excluded</w:t>
            </w:r>
          </w:p>
        </w:tc>
        <w:tc>
          <w:tcPr>
            <w:tcW w:w="1087" w:type="pct"/>
            <w:tcBorders>
              <w:top w:val="single" w:sz="4" w:space="0" w:color="808080" w:themeColor="background1" w:themeShade="80"/>
              <w:left w:val="nil"/>
              <w:bottom w:val="single" w:sz="4" w:space="0" w:color="808080" w:themeColor="background1" w:themeShade="80"/>
              <w:right w:val="nil"/>
            </w:tcBorders>
            <w:shd w:val="clear" w:color="auto" w:fill="C0C0C0"/>
          </w:tcPr>
          <w:p w14:paraId="75163527" w14:textId="77777777" w:rsidR="00337AB5" w:rsidRPr="004213AE" w:rsidRDefault="00337AB5" w:rsidP="00804582">
            <w:pP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cs="Calibri"/>
                <w:b/>
                <w:bCs/>
                <w:szCs w:val="22"/>
                <w:lang w:eastAsia="en-AU"/>
              </w:rPr>
            </w:pPr>
          </w:p>
        </w:tc>
        <w:tc>
          <w:tcPr>
            <w:tcW w:w="616" w:type="pct"/>
            <w:tcBorders>
              <w:top w:val="single" w:sz="4" w:space="0" w:color="808080" w:themeColor="background1" w:themeShade="80"/>
              <w:left w:val="nil"/>
              <w:bottom w:val="single" w:sz="4" w:space="0" w:color="808080" w:themeColor="background1" w:themeShade="80"/>
            </w:tcBorders>
            <w:shd w:val="clear" w:color="auto" w:fill="C0C0C0"/>
          </w:tcPr>
          <w:p w14:paraId="70021B77" w14:textId="77777777" w:rsidR="00337AB5" w:rsidRPr="00202E68" w:rsidRDefault="00337AB5" w:rsidP="00804582">
            <w:pP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cs="Calibri"/>
                <w:szCs w:val="22"/>
                <w:lang w:eastAsia="en-AU"/>
              </w:rPr>
            </w:pPr>
          </w:p>
        </w:tc>
      </w:tr>
      <w:tr w:rsidR="004213AE" w:rsidRPr="00124E7F" w14:paraId="6C9DAEE7" w14:textId="77777777" w:rsidTr="00202E6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297" w:type="pct"/>
            <w:tcBorders>
              <w:top w:val="single" w:sz="4" w:space="0" w:color="808080" w:themeColor="background1" w:themeShade="80"/>
            </w:tcBorders>
            <w:hideMark/>
          </w:tcPr>
          <w:p w14:paraId="2CCD1059" w14:textId="77777777" w:rsidR="00C13CFD" w:rsidRPr="00202E68" w:rsidRDefault="00C13CFD" w:rsidP="00804582">
            <w:pPr>
              <w:autoSpaceDE/>
              <w:autoSpaceDN/>
              <w:adjustRightInd/>
              <w:spacing w:line="276" w:lineRule="auto"/>
              <w:rPr>
                <w:rFonts w:cs="Calibri"/>
                <w:szCs w:val="22"/>
                <w:lang w:eastAsia="en-AU"/>
              </w:rPr>
            </w:pPr>
            <w:r w:rsidRPr="00202E68">
              <w:rPr>
                <w:rFonts w:cs="Calibri"/>
                <w:szCs w:val="22"/>
                <w:lang w:val="en-US" w:eastAsia="en-AU"/>
              </w:rPr>
              <w:t>Metcalfe 2: Non-commercial use</w:t>
            </w:r>
          </w:p>
        </w:tc>
        <w:tc>
          <w:tcPr>
            <w:tcW w:w="1087" w:type="pct"/>
            <w:tcBorders>
              <w:top w:val="single" w:sz="4" w:space="0" w:color="808080" w:themeColor="background1" w:themeShade="80"/>
            </w:tcBorders>
            <w:hideMark/>
          </w:tcPr>
          <w:p w14:paraId="51F901E5" w14:textId="77777777" w:rsidR="00C13CFD" w:rsidRPr="00202E68" w:rsidRDefault="00C13CFD" w:rsidP="00804582">
            <w:pPr>
              <w:autoSpaceDE/>
              <w:autoSpaceDN/>
              <w:adjustRightInd/>
              <w:spacing w:line="276" w:lineRule="auto"/>
              <w:jc w:val="right"/>
              <w:cnfStyle w:val="000000100000" w:firstRow="0" w:lastRow="0" w:firstColumn="0" w:lastColumn="0" w:oddVBand="0" w:evenVBand="0" w:oddHBand="1" w:evenHBand="0" w:firstRowFirstColumn="0" w:firstRowLastColumn="0" w:lastRowFirstColumn="0" w:lastRowLastColumn="0"/>
              <w:rPr>
                <w:rFonts w:cs="Calibri"/>
                <w:szCs w:val="22"/>
                <w:lang w:eastAsia="en-AU"/>
              </w:rPr>
            </w:pPr>
            <w:r w:rsidRPr="00202E68">
              <w:rPr>
                <w:rFonts w:cs="Calibri"/>
                <w:szCs w:val="22"/>
                <w:lang w:val="en-US" w:eastAsia="en-AU"/>
              </w:rPr>
              <w:t>21,982</w:t>
            </w:r>
          </w:p>
        </w:tc>
        <w:tc>
          <w:tcPr>
            <w:tcW w:w="616" w:type="pct"/>
            <w:tcBorders>
              <w:top w:val="single" w:sz="4" w:space="0" w:color="808080" w:themeColor="background1" w:themeShade="80"/>
            </w:tcBorders>
            <w:hideMark/>
          </w:tcPr>
          <w:p w14:paraId="58CA86AE" w14:textId="77777777" w:rsidR="00C13CFD" w:rsidRPr="00202E68" w:rsidRDefault="00C13CFD" w:rsidP="00804582">
            <w:pPr>
              <w:autoSpaceDE/>
              <w:autoSpaceDN/>
              <w:adjustRightInd/>
              <w:spacing w:line="276" w:lineRule="auto"/>
              <w:jc w:val="center"/>
              <w:cnfStyle w:val="000000100000" w:firstRow="0" w:lastRow="0" w:firstColumn="0" w:lastColumn="0" w:oddVBand="0" w:evenVBand="0" w:oddHBand="1" w:evenHBand="0" w:firstRowFirstColumn="0" w:firstRowLastColumn="0" w:lastRowFirstColumn="0" w:lastRowLastColumn="0"/>
              <w:rPr>
                <w:rFonts w:cs="Calibri"/>
                <w:bCs/>
                <w:szCs w:val="22"/>
                <w:lang w:eastAsia="en-AU"/>
              </w:rPr>
            </w:pPr>
            <w:r w:rsidRPr="00202E68">
              <w:rPr>
                <w:rFonts w:cs="Calibri"/>
                <w:bCs/>
                <w:szCs w:val="22"/>
                <w:lang w:eastAsia="en-AU"/>
              </w:rPr>
              <w:t>1.8</w:t>
            </w:r>
          </w:p>
        </w:tc>
      </w:tr>
      <w:tr w:rsidR="004213AE" w:rsidRPr="00124E7F" w14:paraId="214A59DC" w14:textId="77777777" w:rsidTr="00202E68">
        <w:trPr>
          <w:trHeight w:val="113"/>
        </w:trPr>
        <w:tc>
          <w:tcPr>
            <w:cnfStyle w:val="001000000000" w:firstRow="0" w:lastRow="0" w:firstColumn="1" w:lastColumn="0" w:oddVBand="0" w:evenVBand="0" w:oddHBand="0" w:evenHBand="0" w:firstRowFirstColumn="0" w:firstRowLastColumn="0" w:lastRowFirstColumn="0" w:lastRowLastColumn="0"/>
            <w:tcW w:w="3297" w:type="pct"/>
            <w:hideMark/>
          </w:tcPr>
          <w:p w14:paraId="784BD11F" w14:textId="77777777" w:rsidR="00C13CFD" w:rsidRPr="00202E68" w:rsidRDefault="00C13CFD" w:rsidP="00804582">
            <w:pPr>
              <w:autoSpaceDE/>
              <w:autoSpaceDN/>
              <w:adjustRightInd/>
              <w:spacing w:line="276" w:lineRule="auto"/>
              <w:rPr>
                <w:rFonts w:cs="Calibri"/>
                <w:szCs w:val="22"/>
                <w:lang w:eastAsia="en-AU"/>
              </w:rPr>
            </w:pPr>
            <w:r w:rsidRPr="00202E68">
              <w:rPr>
                <w:rFonts w:cs="Calibri"/>
                <w:szCs w:val="22"/>
                <w:lang w:val="en-US" w:eastAsia="en-AU"/>
              </w:rPr>
              <w:t xml:space="preserve">Metcalfe 3: Use in your </w:t>
            </w:r>
            <w:proofErr w:type="spellStart"/>
            <w:r w:rsidRPr="00202E68">
              <w:rPr>
                <w:rFonts w:cs="Calibri"/>
                <w:szCs w:val="22"/>
                <w:lang w:val="en-US" w:eastAsia="en-AU"/>
              </w:rPr>
              <w:t>organisation</w:t>
            </w:r>
            <w:proofErr w:type="spellEnd"/>
          </w:p>
        </w:tc>
        <w:tc>
          <w:tcPr>
            <w:tcW w:w="1087" w:type="pct"/>
            <w:hideMark/>
          </w:tcPr>
          <w:p w14:paraId="0FA2802F" w14:textId="77777777" w:rsidR="00C13CFD" w:rsidRPr="00202E68" w:rsidRDefault="00C13CFD" w:rsidP="00804582">
            <w:pPr>
              <w:autoSpaceDE/>
              <w:autoSpaceDN/>
              <w:adjustRightInd/>
              <w:spacing w:line="276" w:lineRule="auto"/>
              <w:jc w:val="right"/>
              <w:cnfStyle w:val="000000000000" w:firstRow="0" w:lastRow="0" w:firstColumn="0" w:lastColumn="0" w:oddVBand="0" w:evenVBand="0" w:oddHBand="0" w:evenHBand="0" w:firstRowFirstColumn="0" w:firstRowLastColumn="0" w:lastRowFirstColumn="0" w:lastRowLastColumn="0"/>
              <w:rPr>
                <w:rFonts w:cs="Calibri"/>
                <w:szCs w:val="22"/>
                <w:lang w:eastAsia="en-AU"/>
              </w:rPr>
            </w:pPr>
            <w:r w:rsidRPr="00202E68">
              <w:rPr>
                <w:rFonts w:cs="Calibri"/>
                <w:szCs w:val="22"/>
                <w:lang w:val="en-US" w:eastAsia="en-AU"/>
              </w:rPr>
              <w:t>14,768</w:t>
            </w:r>
          </w:p>
        </w:tc>
        <w:tc>
          <w:tcPr>
            <w:tcW w:w="616" w:type="pct"/>
            <w:hideMark/>
          </w:tcPr>
          <w:p w14:paraId="681C5088" w14:textId="77777777" w:rsidR="00C13CFD" w:rsidRPr="00202E68" w:rsidRDefault="00C13CFD" w:rsidP="00804582">
            <w:pPr>
              <w:autoSpaceDE/>
              <w:autoSpaceDN/>
              <w:adjustRightInd/>
              <w:spacing w:line="276" w:lineRule="auto"/>
              <w:jc w:val="center"/>
              <w:cnfStyle w:val="000000000000" w:firstRow="0" w:lastRow="0" w:firstColumn="0" w:lastColumn="0" w:oddVBand="0" w:evenVBand="0" w:oddHBand="0" w:evenHBand="0" w:firstRowFirstColumn="0" w:firstRowLastColumn="0" w:lastRowFirstColumn="0" w:lastRowLastColumn="0"/>
              <w:rPr>
                <w:rFonts w:cs="Calibri"/>
                <w:bCs/>
                <w:szCs w:val="22"/>
                <w:lang w:eastAsia="en-AU"/>
              </w:rPr>
            </w:pPr>
            <w:r w:rsidRPr="00202E68">
              <w:rPr>
                <w:rFonts w:cs="Calibri"/>
                <w:bCs/>
                <w:szCs w:val="22"/>
                <w:lang w:eastAsia="en-AU"/>
              </w:rPr>
              <w:t>1.2</w:t>
            </w:r>
          </w:p>
        </w:tc>
      </w:tr>
      <w:tr w:rsidR="004213AE" w:rsidRPr="00124E7F" w14:paraId="2E262316" w14:textId="77777777" w:rsidTr="00202E6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297" w:type="pct"/>
            <w:hideMark/>
          </w:tcPr>
          <w:p w14:paraId="3C660857" w14:textId="77777777" w:rsidR="00C13CFD" w:rsidRPr="00202E68" w:rsidRDefault="00C13CFD" w:rsidP="00804582">
            <w:pPr>
              <w:autoSpaceDE/>
              <w:autoSpaceDN/>
              <w:adjustRightInd/>
              <w:spacing w:line="276" w:lineRule="auto"/>
              <w:rPr>
                <w:rFonts w:cs="Calibri"/>
                <w:szCs w:val="22"/>
                <w:lang w:eastAsia="en-AU"/>
              </w:rPr>
            </w:pPr>
            <w:r w:rsidRPr="00202E68">
              <w:rPr>
                <w:rFonts w:cs="Calibri"/>
                <w:szCs w:val="22"/>
                <w:lang w:val="en-US" w:eastAsia="en-AU"/>
              </w:rPr>
              <w:t>Metcalfe 4: Free copying</w:t>
            </w:r>
          </w:p>
        </w:tc>
        <w:tc>
          <w:tcPr>
            <w:tcW w:w="1087" w:type="pct"/>
            <w:hideMark/>
          </w:tcPr>
          <w:p w14:paraId="315ACD05" w14:textId="77777777" w:rsidR="00C13CFD" w:rsidRPr="00202E68" w:rsidRDefault="00C13CFD" w:rsidP="00804582">
            <w:pPr>
              <w:autoSpaceDE/>
              <w:autoSpaceDN/>
              <w:adjustRightInd/>
              <w:spacing w:line="276" w:lineRule="auto"/>
              <w:jc w:val="right"/>
              <w:cnfStyle w:val="000000100000" w:firstRow="0" w:lastRow="0" w:firstColumn="0" w:lastColumn="0" w:oddVBand="0" w:evenVBand="0" w:oddHBand="1" w:evenHBand="0" w:firstRowFirstColumn="0" w:firstRowLastColumn="0" w:lastRowFirstColumn="0" w:lastRowLastColumn="0"/>
              <w:rPr>
                <w:rFonts w:cs="Calibri"/>
                <w:szCs w:val="22"/>
                <w:lang w:eastAsia="en-AU"/>
              </w:rPr>
            </w:pPr>
            <w:r w:rsidRPr="00202E68">
              <w:rPr>
                <w:rFonts w:cs="Calibri"/>
                <w:szCs w:val="22"/>
                <w:lang w:val="en-US" w:eastAsia="en-AU"/>
              </w:rPr>
              <w:t>21,783</w:t>
            </w:r>
          </w:p>
        </w:tc>
        <w:tc>
          <w:tcPr>
            <w:tcW w:w="616" w:type="pct"/>
            <w:hideMark/>
          </w:tcPr>
          <w:p w14:paraId="03780360" w14:textId="77777777" w:rsidR="00C13CFD" w:rsidRPr="00202E68" w:rsidRDefault="00C13CFD" w:rsidP="00804582">
            <w:pPr>
              <w:autoSpaceDE/>
              <w:autoSpaceDN/>
              <w:adjustRightInd/>
              <w:spacing w:line="276" w:lineRule="auto"/>
              <w:jc w:val="center"/>
              <w:cnfStyle w:val="000000100000" w:firstRow="0" w:lastRow="0" w:firstColumn="0" w:lastColumn="0" w:oddVBand="0" w:evenVBand="0" w:oddHBand="1" w:evenHBand="0" w:firstRowFirstColumn="0" w:firstRowLastColumn="0" w:lastRowFirstColumn="0" w:lastRowLastColumn="0"/>
              <w:rPr>
                <w:rFonts w:cs="Calibri"/>
                <w:bCs/>
                <w:szCs w:val="22"/>
                <w:lang w:eastAsia="en-AU"/>
              </w:rPr>
            </w:pPr>
            <w:r w:rsidRPr="00202E68">
              <w:rPr>
                <w:rFonts w:cs="Calibri"/>
                <w:bCs/>
                <w:szCs w:val="22"/>
                <w:lang w:eastAsia="en-AU"/>
              </w:rPr>
              <w:t>1.8</w:t>
            </w:r>
          </w:p>
        </w:tc>
      </w:tr>
      <w:tr w:rsidR="004213AE" w:rsidRPr="00124E7F" w14:paraId="65EB499F" w14:textId="77777777" w:rsidTr="00202E68">
        <w:trPr>
          <w:trHeight w:val="113"/>
        </w:trPr>
        <w:tc>
          <w:tcPr>
            <w:cnfStyle w:val="001000000000" w:firstRow="0" w:lastRow="0" w:firstColumn="1" w:lastColumn="0" w:oddVBand="0" w:evenVBand="0" w:oddHBand="0" w:evenHBand="0" w:firstRowFirstColumn="0" w:firstRowLastColumn="0" w:lastRowFirstColumn="0" w:lastRowLastColumn="0"/>
            <w:tcW w:w="3297" w:type="pct"/>
            <w:hideMark/>
          </w:tcPr>
          <w:p w14:paraId="081CD917" w14:textId="77777777" w:rsidR="00C13CFD" w:rsidRPr="00202E68" w:rsidRDefault="00C13CFD" w:rsidP="00804582">
            <w:pPr>
              <w:autoSpaceDE/>
              <w:autoSpaceDN/>
              <w:adjustRightInd/>
              <w:spacing w:line="276" w:lineRule="auto"/>
              <w:rPr>
                <w:rFonts w:cs="Calibri"/>
                <w:szCs w:val="22"/>
                <w:lang w:eastAsia="en-AU"/>
              </w:rPr>
            </w:pPr>
            <w:r w:rsidRPr="00202E68">
              <w:rPr>
                <w:rFonts w:cs="Calibri"/>
                <w:szCs w:val="22"/>
                <w:lang w:val="en-US" w:eastAsia="en-AU"/>
              </w:rPr>
              <w:t>Metcalfe 5: Free for education</w:t>
            </w:r>
          </w:p>
        </w:tc>
        <w:tc>
          <w:tcPr>
            <w:tcW w:w="1087" w:type="pct"/>
            <w:hideMark/>
          </w:tcPr>
          <w:p w14:paraId="55C0EF84" w14:textId="77777777" w:rsidR="00C13CFD" w:rsidRPr="00202E68" w:rsidRDefault="00C13CFD" w:rsidP="00804582">
            <w:pPr>
              <w:autoSpaceDE/>
              <w:autoSpaceDN/>
              <w:adjustRightInd/>
              <w:spacing w:line="276" w:lineRule="auto"/>
              <w:jc w:val="right"/>
              <w:cnfStyle w:val="000000000000" w:firstRow="0" w:lastRow="0" w:firstColumn="0" w:lastColumn="0" w:oddVBand="0" w:evenVBand="0" w:oddHBand="0" w:evenHBand="0" w:firstRowFirstColumn="0" w:firstRowLastColumn="0" w:lastRowFirstColumn="0" w:lastRowLastColumn="0"/>
              <w:rPr>
                <w:rFonts w:cs="Calibri"/>
                <w:szCs w:val="22"/>
                <w:lang w:eastAsia="en-AU"/>
              </w:rPr>
            </w:pPr>
            <w:r w:rsidRPr="00202E68">
              <w:rPr>
                <w:rFonts w:cs="Calibri"/>
                <w:szCs w:val="22"/>
                <w:lang w:val="en-US" w:eastAsia="en-AU"/>
              </w:rPr>
              <w:t>52,948</w:t>
            </w:r>
          </w:p>
        </w:tc>
        <w:tc>
          <w:tcPr>
            <w:tcW w:w="616" w:type="pct"/>
            <w:hideMark/>
          </w:tcPr>
          <w:p w14:paraId="65B18294" w14:textId="77777777" w:rsidR="00C13CFD" w:rsidRPr="00202E68" w:rsidRDefault="00C13CFD" w:rsidP="00804582">
            <w:pPr>
              <w:autoSpaceDE/>
              <w:autoSpaceDN/>
              <w:adjustRightInd/>
              <w:spacing w:line="276" w:lineRule="auto"/>
              <w:jc w:val="center"/>
              <w:cnfStyle w:val="000000000000" w:firstRow="0" w:lastRow="0" w:firstColumn="0" w:lastColumn="0" w:oddVBand="0" w:evenVBand="0" w:oddHBand="0" w:evenHBand="0" w:firstRowFirstColumn="0" w:firstRowLastColumn="0" w:lastRowFirstColumn="0" w:lastRowLastColumn="0"/>
              <w:rPr>
                <w:rFonts w:cs="Calibri"/>
                <w:bCs/>
                <w:szCs w:val="22"/>
                <w:lang w:eastAsia="en-AU"/>
              </w:rPr>
            </w:pPr>
            <w:r w:rsidRPr="00202E68">
              <w:rPr>
                <w:rFonts w:cs="Calibri"/>
                <w:bCs/>
                <w:szCs w:val="22"/>
                <w:lang w:eastAsia="en-AU"/>
              </w:rPr>
              <w:t>4.4</w:t>
            </w:r>
          </w:p>
        </w:tc>
      </w:tr>
      <w:tr w:rsidR="004213AE" w:rsidRPr="00124E7F" w14:paraId="4AE43FB9" w14:textId="77777777" w:rsidTr="00202E6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297" w:type="pct"/>
            <w:hideMark/>
          </w:tcPr>
          <w:p w14:paraId="0E743B25" w14:textId="77777777" w:rsidR="00C13CFD" w:rsidRPr="00202E68" w:rsidRDefault="00C13CFD" w:rsidP="00804582">
            <w:pPr>
              <w:autoSpaceDE/>
              <w:autoSpaceDN/>
              <w:adjustRightInd/>
              <w:spacing w:line="276" w:lineRule="auto"/>
              <w:rPr>
                <w:rFonts w:cs="Calibri"/>
                <w:szCs w:val="22"/>
                <w:lang w:eastAsia="en-AU"/>
              </w:rPr>
            </w:pPr>
            <w:r w:rsidRPr="00202E68">
              <w:rPr>
                <w:rFonts w:cs="Calibri"/>
                <w:szCs w:val="22"/>
                <w:lang w:val="en-US" w:eastAsia="en-AU"/>
              </w:rPr>
              <w:t xml:space="preserve">Other – excluded </w:t>
            </w:r>
            <w:r w:rsidRPr="00202E68">
              <w:rPr>
                <w:rFonts w:cs="Calibri"/>
                <w:szCs w:val="22"/>
                <w:vertAlign w:val="superscript"/>
                <w:lang w:val="en-US" w:eastAsia="en-AU"/>
              </w:rPr>
              <w:t>2</w:t>
            </w:r>
          </w:p>
        </w:tc>
        <w:tc>
          <w:tcPr>
            <w:tcW w:w="1087" w:type="pct"/>
            <w:hideMark/>
          </w:tcPr>
          <w:p w14:paraId="1C0DC0E0" w14:textId="77777777" w:rsidR="00C13CFD" w:rsidRPr="00202E68" w:rsidRDefault="00C13CFD" w:rsidP="00804582">
            <w:pPr>
              <w:autoSpaceDE/>
              <w:autoSpaceDN/>
              <w:adjustRightInd/>
              <w:spacing w:line="276" w:lineRule="auto"/>
              <w:jc w:val="right"/>
              <w:cnfStyle w:val="000000100000" w:firstRow="0" w:lastRow="0" w:firstColumn="0" w:lastColumn="0" w:oddVBand="0" w:evenVBand="0" w:oddHBand="1" w:evenHBand="0" w:firstRowFirstColumn="0" w:firstRowLastColumn="0" w:lastRowFirstColumn="0" w:lastRowLastColumn="0"/>
              <w:rPr>
                <w:rFonts w:cs="Calibri"/>
                <w:szCs w:val="22"/>
                <w:lang w:eastAsia="en-AU"/>
              </w:rPr>
            </w:pPr>
            <w:r w:rsidRPr="00202E68">
              <w:rPr>
                <w:rFonts w:cs="Calibri"/>
                <w:szCs w:val="22"/>
                <w:lang w:val="en-US" w:eastAsia="en-AU"/>
              </w:rPr>
              <w:t>488,260</w:t>
            </w:r>
          </w:p>
        </w:tc>
        <w:tc>
          <w:tcPr>
            <w:tcW w:w="616" w:type="pct"/>
            <w:hideMark/>
          </w:tcPr>
          <w:p w14:paraId="56AD2153" w14:textId="77777777" w:rsidR="00C13CFD" w:rsidRPr="00202E68" w:rsidRDefault="00C13CFD" w:rsidP="00804582">
            <w:pPr>
              <w:autoSpaceDE/>
              <w:autoSpaceDN/>
              <w:adjustRightInd/>
              <w:spacing w:line="276" w:lineRule="auto"/>
              <w:jc w:val="center"/>
              <w:cnfStyle w:val="000000100000" w:firstRow="0" w:lastRow="0" w:firstColumn="0" w:lastColumn="0" w:oddVBand="0" w:evenVBand="0" w:oddHBand="1" w:evenHBand="0" w:firstRowFirstColumn="0" w:firstRowLastColumn="0" w:lastRowFirstColumn="0" w:lastRowLastColumn="0"/>
              <w:rPr>
                <w:rFonts w:cs="Calibri"/>
                <w:bCs/>
                <w:szCs w:val="22"/>
                <w:lang w:eastAsia="en-AU"/>
              </w:rPr>
            </w:pPr>
            <w:r w:rsidRPr="00202E68">
              <w:rPr>
                <w:rFonts w:cs="Calibri"/>
                <w:bCs/>
                <w:szCs w:val="22"/>
                <w:lang w:eastAsia="en-AU"/>
              </w:rPr>
              <w:t>40.8</w:t>
            </w:r>
          </w:p>
        </w:tc>
      </w:tr>
      <w:tr w:rsidR="004213AE" w:rsidRPr="00124E7F" w14:paraId="4910DB46" w14:textId="77777777" w:rsidTr="00202E68">
        <w:trPr>
          <w:trHeight w:val="113"/>
        </w:trPr>
        <w:tc>
          <w:tcPr>
            <w:cnfStyle w:val="001000000000" w:firstRow="0" w:lastRow="0" w:firstColumn="1" w:lastColumn="0" w:oddVBand="0" w:evenVBand="0" w:oddHBand="0" w:evenHBand="0" w:firstRowFirstColumn="0" w:firstRowLastColumn="0" w:lastRowFirstColumn="0" w:lastRowLastColumn="0"/>
            <w:tcW w:w="3297" w:type="pct"/>
            <w:tcBorders>
              <w:bottom w:val="single" w:sz="8" w:space="0" w:color="999999" w:themeColor="accent3"/>
            </w:tcBorders>
          </w:tcPr>
          <w:p w14:paraId="316D7C7E" w14:textId="77777777" w:rsidR="00C13CFD" w:rsidRPr="00202E68" w:rsidRDefault="00C13CFD" w:rsidP="00804582">
            <w:pPr>
              <w:autoSpaceDE/>
              <w:autoSpaceDN/>
              <w:adjustRightInd/>
              <w:spacing w:line="276" w:lineRule="auto"/>
              <w:jc w:val="right"/>
              <w:rPr>
                <w:rFonts w:cs="Calibri"/>
                <w:szCs w:val="22"/>
                <w:lang w:val="en-US" w:eastAsia="en-AU"/>
              </w:rPr>
            </w:pPr>
            <w:r w:rsidRPr="00202E68">
              <w:rPr>
                <w:rFonts w:cs="Calibri"/>
                <w:szCs w:val="22"/>
                <w:lang w:val="en-US" w:eastAsia="en-AU"/>
              </w:rPr>
              <w:t>SUB-TOTAL</w:t>
            </w:r>
          </w:p>
        </w:tc>
        <w:tc>
          <w:tcPr>
            <w:tcW w:w="1087" w:type="pct"/>
            <w:tcBorders>
              <w:bottom w:val="single" w:sz="8" w:space="0" w:color="999999" w:themeColor="accent3"/>
            </w:tcBorders>
          </w:tcPr>
          <w:p w14:paraId="504DB0E9" w14:textId="77777777" w:rsidR="00C13CFD" w:rsidRPr="00202E68" w:rsidRDefault="00C13CFD" w:rsidP="00804582">
            <w:pPr>
              <w:autoSpaceDE/>
              <w:autoSpaceDN/>
              <w:adjustRightInd/>
              <w:spacing w:line="276" w:lineRule="auto"/>
              <w:jc w:val="right"/>
              <w:cnfStyle w:val="000000000000" w:firstRow="0" w:lastRow="0" w:firstColumn="0" w:lastColumn="0" w:oddVBand="0" w:evenVBand="0" w:oddHBand="0" w:evenHBand="0" w:firstRowFirstColumn="0" w:firstRowLastColumn="0" w:lastRowFirstColumn="0" w:lastRowLastColumn="0"/>
              <w:rPr>
                <w:rFonts w:cs="Calibri"/>
                <w:b/>
                <w:szCs w:val="22"/>
                <w:lang w:val="en-US" w:eastAsia="en-AU"/>
              </w:rPr>
            </w:pPr>
            <w:r w:rsidRPr="00202E68">
              <w:rPr>
                <w:rFonts w:cs="Calibri"/>
                <w:b/>
                <w:szCs w:val="22"/>
                <w:lang w:val="en-US" w:eastAsia="en-AU"/>
              </w:rPr>
              <w:t>599,741</w:t>
            </w:r>
          </w:p>
        </w:tc>
        <w:tc>
          <w:tcPr>
            <w:tcW w:w="616" w:type="pct"/>
            <w:tcBorders>
              <w:bottom w:val="single" w:sz="8" w:space="0" w:color="999999" w:themeColor="accent3"/>
            </w:tcBorders>
          </w:tcPr>
          <w:p w14:paraId="4F88AAE4" w14:textId="77777777" w:rsidR="00C13CFD" w:rsidRPr="00202E68" w:rsidRDefault="00C13CFD" w:rsidP="00804582">
            <w:pPr>
              <w:autoSpaceDE/>
              <w:autoSpaceDN/>
              <w:adjustRightInd/>
              <w:spacing w:line="276" w:lineRule="auto"/>
              <w:jc w:val="center"/>
              <w:cnfStyle w:val="000000000000" w:firstRow="0" w:lastRow="0" w:firstColumn="0" w:lastColumn="0" w:oddVBand="0" w:evenVBand="0" w:oddHBand="0" w:evenHBand="0" w:firstRowFirstColumn="0" w:firstRowLastColumn="0" w:lastRowFirstColumn="0" w:lastRowLastColumn="0"/>
              <w:rPr>
                <w:rFonts w:cs="Calibri"/>
                <w:b/>
                <w:bCs/>
                <w:szCs w:val="22"/>
                <w:lang w:eastAsia="en-AU"/>
              </w:rPr>
            </w:pPr>
            <w:r w:rsidRPr="00202E68">
              <w:rPr>
                <w:rFonts w:cs="Calibri"/>
                <w:b/>
                <w:bCs/>
                <w:szCs w:val="22"/>
                <w:lang w:eastAsia="en-AU"/>
              </w:rPr>
              <w:t>50.1</w:t>
            </w:r>
          </w:p>
        </w:tc>
      </w:tr>
      <w:tr w:rsidR="00337AB5" w:rsidRPr="00124E7F" w14:paraId="589CA7C7" w14:textId="77777777" w:rsidTr="00202E6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297" w:type="pct"/>
            <w:tcBorders>
              <w:right w:val="nil"/>
            </w:tcBorders>
            <w:shd w:val="clear" w:color="auto" w:fill="C0C0C0"/>
            <w:hideMark/>
          </w:tcPr>
          <w:p w14:paraId="26B8DC3B" w14:textId="77777777" w:rsidR="00337AB5" w:rsidRPr="004213AE" w:rsidRDefault="00337AB5" w:rsidP="00804582">
            <w:pPr>
              <w:autoSpaceDE/>
              <w:autoSpaceDN/>
              <w:adjustRightInd/>
              <w:spacing w:line="276" w:lineRule="auto"/>
              <w:rPr>
                <w:rFonts w:cs="Calibri"/>
                <w:b w:val="0"/>
                <w:bCs w:val="0"/>
                <w:szCs w:val="22"/>
                <w:lang w:eastAsia="en-AU"/>
              </w:rPr>
            </w:pPr>
            <w:r w:rsidRPr="00202E68">
              <w:rPr>
                <w:rFonts w:cs="Calibri"/>
                <w:szCs w:val="22"/>
                <w:lang w:val="en-US" w:eastAsia="en-AU"/>
              </w:rPr>
              <w:t xml:space="preserve">Quarantined </w:t>
            </w:r>
            <w:r w:rsidRPr="00202E68">
              <w:rPr>
                <w:rFonts w:cs="Calibri"/>
                <w:szCs w:val="22"/>
                <w:vertAlign w:val="superscript"/>
                <w:lang w:val="en-US" w:eastAsia="en-AU"/>
              </w:rPr>
              <w:t>3</w:t>
            </w:r>
          </w:p>
        </w:tc>
        <w:tc>
          <w:tcPr>
            <w:tcW w:w="1087" w:type="pct"/>
            <w:tcBorders>
              <w:left w:val="nil"/>
              <w:right w:val="nil"/>
            </w:tcBorders>
            <w:shd w:val="clear" w:color="auto" w:fill="C0C0C0"/>
          </w:tcPr>
          <w:p w14:paraId="1CE58812" w14:textId="77777777" w:rsidR="00337AB5" w:rsidRPr="004213AE" w:rsidRDefault="00337AB5" w:rsidP="00804582">
            <w:pP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cs="Calibri"/>
                <w:b/>
                <w:bCs/>
                <w:szCs w:val="22"/>
                <w:lang w:eastAsia="en-AU"/>
              </w:rPr>
            </w:pPr>
          </w:p>
        </w:tc>
        <w:tc>
          <w:tcPr>
            <w:tcW w:w="616" w:type="pct"/>
            <w:tcBorders>
              <w:left w:val="nil"/>
            </w:tcBorders>
            <w:shd w:val="clear" w:color="auto" w:fill="C0C0C0"/>
          </w:tcPr>
          <w:p w14:paraId="2CA1DCB4" w14:textId="77777777" w:rsidR="00337AB5" w:rsidRPr="00202E68" w:rsidRDefault="00337AB5" w:rsidP="00804582">
            <w:pP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cs="Calibri"/>
                <w:szCs w:val="22"/>
                <w:lang w:eastAsia="en-AU"/>
              </w:rPr>
            </w:pPr>
          </w:p>
        </w:tc>
      </w:tr>
      <w:tr w:rsidR="004213AE" w:rsidRPr="00124E7F" w14:paraId="7B75D85E" w14:textId="77777777" w:rsidTr="00202E68">
        <w:trPr>
          <w:trHeight w:val="113"/>
        </w:trPr>
        <w:tc>
          <w:tcPr>
            <w:cnfStyle w:val="001000000000" w:firstRow="0" w:lastRow="0" w:firstColumn="1" w:lastColumn="0" w:oddVBand="0" w:evenVBand="0" w:oddHBand="0" w:evenHBand="0" w:firstRowFirstColumn="0" w:firstRowLastColumn="0" w:lastRowFirstColumn="0" w:lastRowLastColumn="0"/>
            <w:tcW w:w="3297" w:type="pct"/>
            <w:tcBorders>
              <w:bottom w:val="single" w:sz="4" w:space="0" w:color="808080" w:themeColor="background1" w:themeShade="80"/>
            </w:tcBorders>
            <w:hideMark/>
          </w:tcPr>
          <w:p w14:paraId="0CDD5496" w14:textId="77777777" w:rsidR="00C13CFD" w:rsidRPr="00202E68" w:rsidRDefault="00C13CFD" w:rsidP="00804582">
            <w:pPr>
              <w:autoSpaceDE/>
              <w:autoSpaceDN/>
              <w:adjustRightInd/>
              <w:spacing w:line="276" w:lineRule="auto"/>
              <w:rPr>
                <w:rFonts w:cs="Calibri"/>
                <w:szCs w:val="22"/>
                <w:lang w:eastAsia="en-AU"/>
              </w:rPr>
            </w:pPr>
            <w:r w:rsidRPr="00202E68">
              <w:rPr>
                <w:rFonts w:cs="Calibri"/>
                <w:szCs w:val="22"/>
                <w:lang w:eastAsia="en-AU"/>
              </w:rPr>
              <w:t>Quarantined items </w:t>
            </w:r>
          </w:p>
        </w:tc>
        <w:tc>
          <w:tcPr>
            <w:tcW w:w="1087" w:type="pct"/>
            <w:tcBorders>
              <w:bottom w:val="single" w:sz="4" w:space="0" w:color="808080" w:themeColor="background1" w:themeShade="80"/>
            </w:tcBorders>
            <w:hideMark/>
          </w:tcPr>
          <w:p w14:paraId="2202C96C" w14:textId="77777777" w:rsidR="00C13CFD" w:rsidRPr="00202E68" w:rsidRDefault="00C13CFD" w:rsidP="00804582">
            <w:pPr>
              <w:autoSpaceDE/>
              <w:autoSpaceDN/>
              <w:adjustRightInd/>
              <w:spacing w:line="276" w:lineRule="auto"/>
              <w:jc w:val="right"/>
              <w:cnfStyle w:val="000000000000" w:firstRow="0" w:lastRow="0" w:firstColumn="0" w:lastColumn="0" w:oddVBand="0" w:evenVBand="0" w:oddHBand="0" w:evenHBand="0" w:firstRowFirstColumn="0" w:firstRowLastColumn="0" w:lastRowFirstColumn="0" w:lastRowLastColumn="0"/>
              <w:rPr>
                <w:rFonts w:cs="Calibri"/>
                <w:szCs w:val="22"/>
                <w:lang w:eastAsia="en-AU"/>
              </w:rPr>
            </w:pPr>
            <w:r w:rsidRPr="00202E68">
              <w:rPr>
                <w:rFonts w:cs="Calibri"/>
                <w:szCs w:val="22"/>
                <w:lang w:val="en-US" w:eastAsia="en-AU"/>
              </w:rPr>
              <w:t>7,151</w:t>
            </w:r>
          </w:p>
        </w:tc>
        <w:tc>
          <w:tcPr>
            <w:tcW w:w="616" w:type="pct"/>
            <w:tcBorders>
              <w:bottom w:val="single" w:sz="4" w:space="0" w:color="808080" w:themeColor="background1" w:themeShade="80"/>
            </w:tcBorders>
            <w:hideMark/>
          </w:tcPr>
          <w:p w14:paraId="5FF60049" w14:textId="77777777" w:rsidR="00C13CFD" w:rsidRPr="00202E68" w:rsidRDefault="00C13CFD" w:rsidP="00804582">
            <w:pPr>
              <w:autoSpaceDE/>
              <w:autoSpaceDN/>
              <w:adjustRightInd/>
              <w:spacing w:line="276" w:lineRule="auto"/>
              <w:jc w:val="center"/>
              <w:cnfStyle w:val="000000000000" w:firstRow="0" w:lastRow="0" w:firstColumn="0" w:lastColumn="0" w:oddVBand="0" w:evenVBand="0" w:oddHBand="0" w:evenHBand="0" w:firstRowFirstColumn="0" w:firstRowLastColumn="0" w:lastRowFirstColumn="0" w:lastRowLastColumn="0"/>
              <w:rPr>
                <w:rFonts w:cs="Calibri"/>
                <w:bCs/>
                <w:szCs w:val="22"/>
                <w:lang w:eastAsia="en-AU"/>
              </w:rPr>
            </w:pPr>
            <w:r w:rsidRPr="00202E68">
              <w:rPr>
                <w:rFonts w:cs="Calibri"/>
                <w:bCs/>
                <w:szCs w:val="22"/>
                <w:lang w:eastAsia="en-AU"/>
              </w:rPr>
              <w:t>0.6</w:t>
            </w:r>
          </w:p>
        </w:tc>
      </w:tr>
      <w:tr w:rsidR="004213AE" w:rsidRPr="00124E7F" w14:paraId="2F302392" w14:textId="77777777" w:rsidTr="00202E6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297" w:type="pct"/>
            <w:tcBorders>
              <w:top w:val="single" w:sz="4" w:space="0" w:color="808080" w:themeColor="background1" w:themeShade="80"/>
              <w:bottom w:val="single" w:sz="4" w:space="0" w:color="808080" w:themeColor="background1" w:themeShade="80"/>
            </w:tcBorders>
            <w:shd w:val="clear" w:color="auto" w:fill="EAEAEA" w:themeFill="accent3" w:themeFillTint="33"/>
            <w:hideMark/>
          </w:tcPr>
          <w:p w14:paraId="72FA84E8" w14:textId="77777777" w:rsidR="00C13CFD" w:rsidRPr="00202E68" w:rsidRDefault="00C13CFD" w:rsidP="00804582">
            <w:pPr>
              <w:autoSpaceDE/>
              <w:autoSpaceDN/>
              <w:adjustRightInd/>
              <w:spacing w:line="276" w:lineRule="auto"/>
              <w:jc w:val="right"/>
              <w:rPr>
                <w:rFonts w:cs="Calibri"/>
                <w:szCs w:val="22"/>
                <w:lang w:eastAsia="en-AU"/>
              </w:rPr>
            </w:pPr>
            <w:r w:rsidRPr="00202E68">
              <w:rPr>
                <w:rFonts w:cs="Calibri"/>
                <w:szCs w:val="22"/>
                <w:lang w:eastAsia="en-AU"/>
              </w:rPr>
              <w:t>TOTAL</w:t>
            </w:r>
          </w:p>
        </w:tc>
        <w:tc>
          <w:tcPr>
            <w:tcW w:w="1087" w:type="pct"/>
            <w:tcBorders>
              <w:top w:val="single" w:sz="4" w:space="0" w:color="808080" w:themeColor="background1" w:themeShade="80"/>
              <w:bottom w:val="single" w:sz="4" w:space="0" w:color="808080" w:themeColor="background1" w:themeShade="80"/>
            </w:tcBorders>
            <w:shd w:val="clear" w:color="auto" w:fill="EAEAEA" w:themeFill="accent3" w:themeFillTint="33"/>
            <w:hideMark/>
          </w:tcPr>
          <w:p w14:paraId="0FC9B4BE" w14:textId="77777777" w:rsidR="00C13CFD" w:rsidRPr="00202E68" w:rsidRDefault="00C13CFD" w:rsidP="00804582">
            <w:pPr>
              <w:autoSpaceDE/>
              <w:autoSpaceDN/>
              <w:adjustRightInd/>
              <w:spacing w:line="276" w:lineRule="auto"/>
              <w:jc w:val="right"/>
              <w:cnfStyle w:val="000000100000" w:firstRow="0" w:lastRow="0" w:firstColumn="0" w:lastColumn="0" w:oddVBand="0" w:evenVBand="0" w:oddHBand="1" w:evenHBand="0" w:firstRowFirstColumn="0" w:firstRowLastColumn="0" w:lastRowFirstColumn="0" w:lastRowLastColumn="0"/>
              <w:rPr>
                <w:rFonts w:cs="Calibri"/>
                <w:b/>
                <w:szCs w:val="22"/>
                <w:lang w:eastAsia="en-AU"/>
              </w:rPr>
            </w:pPr>
            <w:r w:rsidRPr="00202E68">
              <w:rPr>
                <w:rFonts w:cs="Calibri"/>
                <w:b/>
                <w:szCs w:val="22"/>
                <w:lang w:eastAsia="en-AU"/>
              </w:rPr>
              <w:t>1,196,980</w:t>
            </w:r>
          </w:p>
        </w:tc>
        <w:tc>
          <w:tcPr>
            <w:tcW w:w="616" w:type="pct"/>
            <w:tcBorders>
              <w:top w:val="single" w:sz="4" w:space="0" w:color="808080" w:themeColor="background1" w:themeShade="80"/>
              <w:bottom w:val="single" w:sz="4" w:space="0" w:color="808080" w:themeColor="background1" w:themeShade="80"/>
            </w:tcBorders>
            <w:shd w:val="clear" w:color="auto" w:fill="EAEAEA" w:themeFill="accent3" w:themeFillTint="33"/>
            <w:hideMark/>
          </w:tcPr>
          <w:p w14:paraId="48278542" w14:textId="77777777" w:rsidR="00C13CFD" w:rsidRPr="00202E68" w:rsidRDefault="00C13CFD" w:rsidP="00804582">
            <w:pPr>
              <w:autoSpaceDE/>
              <w:autoSpaceDN/>
              <w:adjustRightInd/>
              <w:spacing w:line="276" w:lineRule="auto"/>
              <w:jc w:val="center"/>
              <w:cnfStyle w:val="000000100000" w:firstRow="0" w:lastRow="0" w:firstColumn="0" w:lastColumn="0" w:oddVBand="0" w:evenVBand="0" w:oddHBand="1" w:evenHBand="0" w:firstRowFirstColumn="0" w:firstRowLastColumn="0" w:lastRowFirstColumn="0" w:lastRowLastColumn="0"/>
              <w:rPr>
                <w:rFonts w:cs="Calibri"/>
                <w:b/>
                <w:bCs/>
                <w:szCs w:val="22"/>
                <w:lang w:eastAsia="en-AU"/>
              </w:rPr>
            </w:pPr>
            <w:r w:rsidRPr="00202E68">
              <w:rPr>
                <w:rFonts w:cs="Calibri"/>
                <w:b/>
                <w:bCs/>
                <w:szCs w:val="22"/>
                <w:lang w:eastAsia="en-AU"/>
              </w:rPr>
              <w:t>100.0</w:t>
            </w:r>
          </w:p>
        </w:tc>
      </w:tr>
    </w:tbl>
    <w:p w14:paraId="64D175C6" w14:textId="77777777" w:rsidR="00C13CFD" w:rsidRPr="00124E7F" w:rsidRDefault="00C13CFD" w:rsidP="00804582">
      <w:pPr>
        <w:pStyle w:val="EYSource"/>
        <w:rPr>
          <w:sz w:val="20"/>
          <w:szCs w:val="20"/>
        </w:rPr>
      </w:pPr>
      <w:r w:rsidRPr="00124E7F">
        <w:rPr>
          <w:sz w:val="20"/>
          <w:szCs w:val="20"/>
        </w:rPr>
        <w:t>Source: AMR, 2014 Australian Schools Electronic Use System – Draft Annual Review V.2. Table 12, p.26</w:t>
      </w:r>
    </w:p>
    <w:p w14:paraId="52A00FAF" w14:textId="77777777" w:rsidR="00C13CFD" w:rsidRPr="00124E7F" w:rsidRDefault="00C13CFD" w:rsidP="00804582">
      <w:pPr>
        <w:widowControl/>
        <w:autoSpaceDE/>
        <w:autoSpaceDN/>
        <w:adjustRightInd/>
        <w:spacing w:before="60" w:after="60" w:line="240" w:lineRule="auto"/>
        <w:rPr>
          <w:sz w:val="20"/>
        </w:rPr>
      </w:pPr>
      <w:r w:rsidRPr="00124E7F">
        <w:rPr>
          <w:sz w:val="20"/>
        </w:rPr>
        <w:t>[1] Includes digital non-web material e.g. scanning of a book.</w:t>
      </w:r>
    </w:p>
    <w:p w14:paraId="618695D9" w14:textId="77777777" w:rsidR="00C13CFD" w:rsidRPr="00124E7F" w:rsidRDefault="00C13CFD" w:rsidP="00804582">
      <w:pPr>
        <w:widowControl/>
        <w:autoSpaceDE/>
        <w:autoSpaceDN/>
        <w:adjustRightInd/>
        <w:spacing w:before="60" w:after="60" w:line="240" w:lineRule="auto"/>
        <w:ind w:left="284" w:hanging="284"/>
        <w:rPr>
          <w:sz w:val="20"/>
        </w:rPr>
      </w:pPr>
      <w:r w:rsidRPr="00124E7F">
        <w:rPr>
          <w:sz w:val="20"/>
        </w:rPr>
        <w:t>[2] Includes CAG Global Register, Individual Register, US Federal Government, Copyright Owner Notified Exclusion, NEALS Non-Remunerable, Out of scope, no further information.</w:t>
      </w:r>
    </w:p>
    <w:p w14:paraId="032F878B" w14:textId="77777777" w:rsidR="00C13CFD" w:rsidRPr="00124E7F" w:rsidRDefault="00C13CFD" w:rsidP="00804582">
      <w:pPr>
        <w:widowControl/>
        <w:autoSpaceDE/>
        <w:autoSpaceDN/>
        <w:adjustRightInd/>
        <w:spacing w:before="60" w:after="240" w:line="240" w:lineRule="auto"/>
        <w:rPr>
          <w:sz w:val="20"/>
        </w:rPr>
      </w:pPr>
      <w:r w:rsidRPr="00124E7F">
        <w:rPr>
          <w:sz w:val="20"/>
        </w:rPr>
        <w:t>[3] Quarantined items are those items submitted that comprise interactive material.</w:t>
      </w:r>
    </w:p>
    <w:p w14:paraId="516F8D94" w14:textId="77777777" w:rsidR="009E668B" w:rsidRPr="00124E7F" w:rsidRDefault="00D520FB" w:rsidP="00C8603F">
      <w:pPr>
        <w:pStyle w:val="EYBodytextwithparaspace"/>
      </w:pPr>
      <w:r w:rsidRPr="00124E7F">
        <w:t>According to</w:t>
      </w:r>
      <w:r w:rsidR="00E9493C" w:rsidRPr="00124E7F">
        <w:t xml:space="preserve"> </w:t>
      </w:r>
      <w:r w:rsidR="00C938DF" w:rsidRPr="00124E7F">
        <w:t>the Copyright Advisory Group (CAG)</w:t>
      </w:r>
      <w:r w:rsidR="00F21E14" w:rsidRPr="00124E7F">
        <w:t>, however, schools are still payin</w:t>
      </w:r>
      <w:r w:rsidR="008A13C4" w:rsidRPr="00124E7F">
        <w:t>g too much</w:t>
      </w:r>
      <w:r w:rsidR="00C938DF" w:rsidRPr="00124E7F">
        <w:t xml:space="preserve"> for online material. CAG argues</w:t>
      </w:r>
      <w:r w:rsidR="00E9493C" w:rsidRPr="00124E7F">
        <w:t xml:space="preserve"> that</w:t>
      </w:r>
      <w:r w:rsidR="008A13C4" w:rsidRPr="00124E7F">
        <w:t xml:space="preserve"> ‘much of this material is made available online for promotion or information, for which no one ever expected to be paid, and for which there is no commercial market’</w:t>
      </w:r>
      <w:r w:rsidR="002D4075" w:rsidRPr="00124E7F">
        <w:t>.</w:t>
      </w:r>
      <w:r w:rsidR="008A13C4" w:rsidRPr="00124E7F">
        <w:rPr>
          <w:vertAlign w:val="superscript"/>
        </w:rPr>
        <w:footnoteReference w:id="162"/>
      </w:r>
      <w:r w:rsidR="00822604" w:rsidRPr="00124E7F">
        <w:t xml:space="preserve"> </w:t>
      </w:r>
      <w:r w:rsidR="008648F3" w:rsidRPr="00124E7F">
        <w:t xml:space="preserve">If content is placed freely </w:t>
      </w:r>
      <w:r w:rsidR="00C11E59" w:rsidRPr="00124E7F">
        <w:t>online</w:t>
      </w:r>
      <w:r w:rsidR="008648F3" w:rsidRPr="00124E7F">
        <w:t xml:space="preserve">, it may be argued that there is an implicit </w:t>
      </w:r>
      <w:r w:rsidR="005D236A" w:rsidRPr="00124E7F">
        <w:t>licens</w:t>
      </w:r>
      <w:r w:rsidR="007D4AFF" w:rsidRPr="00124E7F">
        <w:t>e</w:t>
      </w:r>
      <w:r w:rsidR="008648F3" w:rsidRPr="00124E7F">
        <w:t xml:space="preserve"> for users to view and reproduce the content; unless the materials are protected by </w:t>
      </w:r>
      <w:r w:rsidR="00C11E59" w:rsidRPr="00124E7F">
        <w:t>TPMs</w:t>
      </w:r>
      <w:r w:rsidR="004115D0" w:rsidRPr="00124E7F">
        <w:t>,</w:t>
      </w:r>
      <w:r w:rsidR="008648F3" w:rsidRPr="00124E7F">
        <w:t xml:space="preserve"> include a clearly visible notice prohibiting certain uses</w:t>
      </w:r>
      <w:r w:rsidR="00F23656" w:rsidRPr="00124E7F">
        <w:t xml:space="preserve"> (not just a copyright </w:t>
      </w:r>
      <w:r w:rsidR="00822604" w:rsidRPr="00124E7F">
        <w:t>symbol</w:t>
      </w:r>
      <w:r w:rsidR="00F23656" w:rsidRPr="00124E7F">
        <w:t>)</w:t>
      </w:r>
      <w:r w:rsidR="004115D0" w:rsidRPr="00124E7F">
        <w:t>,</w:t>
      </w:r>
      <w:r w:rsidR="008648F3" w:rsidRPr="00124E7F">
        <w:t xml:space="preserve"> or are suspected of being </w:t>
      </w:r>
      <w:proofErr w:type="spellStart"/>
      <w:r w:rsidR="00822604" w:rsidRPr="00124E7F">
        <w:t>unauthorised</w:t>
      </w:r>
      <w:proofErr w:type="spellEnd"/>
      <w:r w:rsidR="00822604" w:rsidRPr="00124E7F">
        <w:t xml:space="preserve"> copies</w:t>
      </w:r>
      <w:r w:rsidR="008648F3" w:rsidRPr="00124E7F">
        <w:t xml:space="preserve"> themselves. </w:t>
      </w:r>
    </w:p>
    <w:p w14:paraId="3F973571" w14:textId="77777777" w:rsidR="00F26A80" w:rsidRPr="00124E7F" w:rsidRDefault="008648F3" w:rsidP="00C8603F">
      <w:pPr>
        <w:pStyle w:val="EYBodytextwithparaspace"/>
      </w:pPr>
      <w:r w:rsidRPr="00124E7F">
        <w:t xml:space="preserve">It is expected that the proposed arrangements would make it easier for </w:t>
      </w:r>
      <w:r w:rsidR="00F26A80" w:rsidRPr="00124E7F">
        <w:t xml:space="preserve">education </w:t>
      </w:r>
      <w:r w:rsidR="009E668B" w:rsidRPr="00124E7F">
        <w:t>institutions</w:t>
      </w:r>
      <w:r w:rsidRPr="00124E7F">
        <w:t xml:space="preserve"> to prove that unpaid uses of ‘freely available’ internet material do not harm a right</w:t>
      </w:r>
      <w:r w:rsidR="00C37ECD" w:rsidRPr="00124E7F">
        <w:t>s</w:t>
      </w:r>
      <w:r w:rsidRPr="00124E7F">
        <w:t xml:space="preserve"> holder’s market and therefore </w:t>
      </w:r>
      <w:r w:rsidR="009E668B" w:rsidRPr="00124E7F">
        <w:t>are</w:t>
      </w:r>
      <w:r w:rsidRPr="00124E7F">
        <w:t xml:space="preserve"> more likely to be fair. </w:t>
      </w:r>
      <w:r w:rsidR="00F26A80" w:rsidRPr="00124E7F">
        <w:t xml:space="preserve">However, what is ‘free’ is hotly debated. </w:t>
      </w:r>
      <w:r w:rsidR="00C938DF" w:rsidRPr="00124E7F">
        <w:t>Moreover, w</w:t>
      </w:r>
      <w:r w:rsidR="009E668B" w:rsidRPr="00124E7F">
        <w:t xml:space="preserve">hat is actually </w:t>
      </w:r>
      <w:r w:rsidR="006451A8" w:rsidRPr="00124E7F">
        <w:t xml:space="preserve">being </w:t>
      </w:r>
      <w:r w:rsidR="009E668B" w:rsidRPr="00124E7F">
        <w:t xml:space="preserve">paid for by education institutions for the use of online materials </w:t>
      </w:r>
      <w:r w:rsidR="000C69F8" w:rsidRPr="00124E7F">
        <w:t xml:space="preserve">is also a source of </w:t>
      </w:r>
      <w:proofErr w:type="gramStart"/>
      <w:r w:rsidR="000C69F8" w:rsidRPr="00124E7F">
        <w:t>contention</w:t>
      </w:r>
      <w:r w:rsidR="009E668B" w:rsidRPr="00124E7F">
        <w:t>.</w:t>
      </w:r>
      <w:proofErr w:type="gramEnd"/>
      <w:r w:rsidR="000C69F8" w:rsidRPr="00124E7F">
        <w:t xml:space="preserve"> </w:t>
      </w:r>
      <w:r w:rsidR="00F26A80" w:rsidRPr="00124E7F">
        <w:t xml:space="preserve">This makes it difficult to estimate impacts of the proposed </w:t>
      </w:r>
      <w:r w:rsidR="00E9493C" w:rsidRPr="00124E7F">
        <w:t xml:space="preserve">fair dealing </w:t>
      </w:r>
      <w:r w:rsidR="00C11E59" w:rsidRPr="00124E7F">
        <w:t>exception</w:t>
      </w:r>
      <w:r w:rsidR="00F26A80" w:rsidRPr="00124E7F">
        <w:t>.</w:t>
      </w:r>
    </w:p>
    <w:p w14:paraId="26EA1641" w14:textId="77777777" w:rsidR="00C11E59" w:rsidRPr="00124E7F" w:rsidRDefault="00F26A80" w:rsidP="00C8603F">
      <w:pPr>
        <w:pStyle w:val="EYBodytextwithparaspace"/>
      </w:pPr>
      <w:r w:rsidRPr="00124E7F">
        <w:t xml:space="preserve">Nevertheless, the following replicates analysis </w:t>
      </w:r>
      <w:r w:rsidR="00BD4ADD" w:rsidRPr="00124E7F">
        <w:t>provided</w:t>
      </w:r>
      <w:r w:rsidR="009E668B" w:rsidRPr="00124E7F">
        <w:t xml:space="preserve"> by CAG</w:t>
      </w:r>
      <w:r w:rsidR="0092363B" w:rsidRPr="00124E7F">
        <w:t xml:space="preserve"> </w:t>
      </w:r>
      <w:r w:rsidR="009E668B" w:rsidRPr="00124E7F">
        <w:t xml:space="preserve">of the expected reduction in </w:t>
      </w:r>
      <w:r w:rsidR="005D236A" w:rsidRPr="00124E7F">
        <w:t>licens</w:t>
      </w:r>
      <w:r w:rsidR="007D4AFF" w:rsidRPr="00124E7F">
        <w:t>ing</w:t>
      </w:r>
      <w:r w:rsidR="009E668B" w:rsidRPr="00124E7F">
        <w:t xml:space="preserve"> payments under a fair dealing exception, assuming </w:t>
      </w:r>
      <w:r w:rsidR="00DB09AC" w:rsidRPr="00124E7F">
        <w:t xml:space="preserve">educational </w:t>
      </w:r>
      <w:r w:rsidR="009E668B" w:rsidRPr="00124E7F">
        <w:t xml:space="preserve">uses of certain </w:t>
      </w:r>
      <w:r w:rsidR="00BD4ADD" w:rsidRPr="00124E7F">
        <w:t>websites</w:t>
      </w:r>
      <w:r w:rsidR="009E668B" w:rsidRPr="00124E7F">
        <w:t xml:space="preserve"> would be found fair. </w:t>
      </w:r>
      <w:r w:rsidR="00DB09AC" w:rsidRPr="00124E7F">
        <w:t>This analysis has been provided by CAG</w:t>
      </w:r>
      <w:r w:rsidR="009E668B" w:rsidRPr="00124E7F">
        <w:t xml:space="preserve"> ‘as a “best </w:t>
      </w:r>
      <w:proofErr w:type="spellStart"/>
      <w:r w:rsidR="009E668B" w:rsidRPr="00124E7F">
        <w:t>endeavour</w:t>
      </w:r>
      <w:proofErr w:type="spellEnd"/>
      <w:r w:rsidR="009E668B" w:rsidRPr="00124E7F">
        <w:t xml:space="preserve">” estimation of what proportion of annual </w:t>
      </w:r>
      <w:r w:rsidR="005D236A" w:rsidRPr="00124E7F">
        <w:t>licens</w:t>
      </w:r>
      <w:r w:rsidR="009E668B" w:rsidRPr="00124E7F">
        <w:t>e fees might be related to a particular activity’</w:t>
      </w:r>
      <w:r w:rsidR="00C11E59" w:rsidRPr="00124E7F">
        <w:rPr>
          <w:vertAlign w:val="superscript"/>
        </w:rPr>
        <w:footnoteReference w:id="163"/>
      </w:r>
      <w:r w:rsidR="009E668B" w:rsidRPr="00124E7F">
        <w:t>.</w:t>
      </w:r>
      <w:r w:rsidR="001A3BFA" w:rsidRPr="00124E7F">
        <w:t xml:space="preserve"> </w:t>
      </w:r>
      <w:r w:rsidR="009E668B" w:rsidRPr="00124E7F">
        <w:t xml:space="preserve">For example, </w:t>
      </w:r>
      <w:r w:rsidR="00E9493C" w:rsidRPr="00124E7F">
        <w:t xml:space="preserve">if total </w:t>
      </w:r>
      <w:r w:rsidR="005D236A" w:rsidRPr="00124E7F">
        <w:t>licens</w:t>
      </w:r>
      <w:r w:rsidR="00E9493C" w:rsidRPr="00124E7F">
        <w:t>e fees are $100 </w:t>
      </w:r>
      <w:r w:rsidR="009E668B" w:rsidRPr="00124E7F">
        <w:t>milli</w:t>
      </w:r>
      <w:r w:rsidR="00E9493C" w:rsidRPr="00124E7F">
        <w:t>on, and C</w:t>
      </w:r>
      <w:r w:rsidR="00C11E59" w:rsidRPr="00124E7F">
        <w:t xml:space="preserve">ategory </w:t>
      </w:r>
      <w:proofErr w:type="gramStart"/>
      <w:r w:rsidR="00C11E59" w:rsidRPr="00124E7F">
        <w:t>A</w:t>
      </w:r>
      <w:proofErr w:type="gramEnd"/>
      <w:r w:rsidR="00C11E59" w:rsidRPr="00124E7F">
        <w:t xml:space="preserve"> represents 5 per cent</w:t>
      </w:r>
      <w:r w:rsidR="009E668B" w:rsidRPr="00124E7F">
        <w:t xml:space="preserve"> of </w:t>
      </w:r>
      <w:r w:rsidR="00822604" w:rsidRPr="00124E7F">
        <w:t>pages copied</w:t>
      </w:r>
      <w:r w:rsidR="009E668B" w:rsidRPr="00124E7F">
        <w:t xml:space="preserve">, </w:t>
      </w:r>
      <w:r w:rsidR="00822604" w:rsidRPr="00124E7F">
        <w:t>CAG</w:t>
      </w:r>
      <w:r w:rsidR="00C11E59" w:rsidRPr="00124E7F">
        <w:t xml:space="preserve"> </w:t>
      </w:r>
      <w:r w:rsidR="00822604" w:rsidRPr="00124E7F">
        <w:t>assumes</w:t>
      </w:r>
      <w:r w:rsidR="00E9493C" w:rsidRPr="00124E7F">
        <w:t xml:space="preserve"> that</w:t>
      </w:r>
      <w:r w:rsidR="00C11E59" w:rsidRPr="00124E7F">
        <w:t xml:space="preserve"> $5 </w:t>
      </w:r>
      <w:r w:rsidR="009E668B" w:rsidRPr="00124E7F">
        <w:t>million</w:t>
      </w:r>
      <w:r w:rsidR="001A3BFA" w:rsidRPr="00124E7F">
        <w:t xml:space="preserve"> </w:t>
      </w:r>
      <w:r w:rsidR="00822604" w:rsidRPr="00124E7F">
        <w:t>in</w:t>
      </w:r>
      <w:r w:rsidR="001A3BFA" w:rsidRPr="00124E7F">
        <w:t xml:space="preserve"> fees</w:t>
      </w:r>
      <w:r w:rsidR="009E668B" w:rsidRPr="00124E7F">
        <w:t xml:space="preserve"> may be </w:t>
      </w:r>
      <w:r w:rsidR="001A3BFA" w:rsidRPr="00124E7F">
        <w:t xml:space="preserve">reasonably </w:t>
      </w:r>
      <w:r w:rsidR="009E668B" w:rsidRPr="00124E7F">
        <w:t xml:space="preserve">equated with </w:t>
      </w:r>
      <w:r w:rsidR="00822604" w:rsidRPr="00124E7F">
        <w:t>Category A uses</w:t>
      </w:r>
      <w:r w:rsidR="009E668B" w:rsidRPr="00124E7F">
        <w:t>.</w:t>
      </w:r>
      <w:r w:rsidR="00C11E59" w:rsidRPr="00124E7F">
        <w:t xml:space="preserve"> In practice, however, schools and collecting societies reach a commercial rate for all usage across the sector, and volume is just one of the commercial factors taken into account.</w:t>
      </w:r>
      <w:r w:rsidR="00DB09AC" w:rsidRPr="00124E7F">
        <w:t xml:space="preserve"> Therefore, estimates must be interpreted with care. </w:t>
      </w:r>
    </w:p>
    <w:p w14:paraId="7D648C28" w14:textId="77777777" w:rsidR="001A3BFA" w:rsidRPr="00124E7F" w:rsidRDefault="00DB09AC" w:rsidP="00961B30">
      <w:pPr>
        <w:pStyle w:val="EYBodytextwithparaspace"/>
      </w:pPr>
      <w:r w:rsidRPr="00124E7F">
        <w:t xml:space="preserve">In 2014, </w:t>
      </w:r>
      <w:r w:rsidR="004115D0" w:rsidRPr="00124E7F">
        <w:t>licensing</w:t>
      </w:r>
      <w:r w:rsidRPr="00124E7F">
        <w:t xml:space="preserve"> fees paid by schools under Part VB were </w:t>
      </w:r>
      <w:r w:rsidR="001A3BFA" w:rsidRPr="00124E7F">
        <w:t>around $</w:t>
      </w:r>
      <w:r w:rsidR="00AC03CC" w:rsidRPr="00124E7F">
        <w:t>60</w:t>
      </w:r>
      <w:r w:rsidR="001A3BFA" w:rsidRPr="00124E7F">
        <w:t xml:space="preserve"> million. CAG uses records allocated as Metcalfe category 1 (personal use), 6 (no terms and conditions but contains a copyright statement) and 7 (no terms </w:t>
      </w:r>
      <w:r w:rsidR="00EC5401" w:rsidRPr="00124E7F">
        <w:t xml:space="preserve">and conditions) as a proxy for </w:t>
      </w:r>
      <w:r w:rsidR="001A3BFA" w:rsidRPr="00124E7F">
        <w:t>freely available internet material. Overall,</w:t>
      </w:r>
      <w:r w:rsidR="009F5024" w:rsidRPr="00124E7F">
        <w:t xml:space="preserve"> </w:t>
      </w:r>
      <w:r w:rsidR="009F5024" w:rsidRPr="00124E7F">
        <w:fldChar w:fldCharType="begin"/>
      </w:r>
      <w:r w:rsidR="009F5024" w:rsidRPr="00124E7F">
        <w:instrText xml:space="preserve"> REF _Ref467765664 \h </w:instrText>
      </w:r>
      <w:r w:rsidR="009F5024" w:rsidRPr="00124E7F">
        <w:fldChar w:fldCharType="separate"/>
      </w:r>
      <w:r w:rsidR="0075700D" w:rsidRPr="00124E7F">
        <w:t xml:space="preserve">Table </w:t>
      </w:r>
      <w:r w:rsidR="0075700D">
        <w:rPr>
          <w:noProof/>
        </w:rPr>
        <w:t>11</w:t>
      </w:r>
      <w:r w:rsidR="009F5024" w:rsidRPr="00124E7F">
        <w:fldChar w:fldCharType="end"/>
      </w:r>
      <w:r w:rsidR="009F5024" w:rsidRPr="00124E7F">
        <w:t xml:space="preserve"> </w:t>
      </w:r>
      <w:r w:rsidR="001A3BFA" w:rsidRPr="00124E7F">
        <w:t xml:space="preserve">shows that 9 per cent of all </w:t>
      </w:r>
      <w:r w:rsidR="00EC5401" w:rsidRPr="00124E7F">
        <w:t>total multiplied (TM)</w:t>
      </w:r>
      <w:r w:rsidR="001A3BFA" w:rsidRPr="00124E7F">
        <w:t xml:space="preserve"> pages recorded in the electronic use and print surveys were </w:t>
      </w:r>
      <w:r w:rsidR="00EC5401" w:rsidRPr="00124E7F">
        <w:t>recorded</w:t>
      </w:r>
      <w:r w:rsidR="001A3BFA" w:rsidRPr="00124E7F">
        <w:t xml:space="preserve"> as either Metc</w:t>
      </w:r>
      <w:r w:rsidR="002D4075" w:rsidRPr="00124E7F">
        <w:t>alfe 1, 6 or 7</w:t>
      </w:r>
      <w:r w:rsidR="00EC5401" w:rsidRPr="00124E7F">
        <w:t>. This equates</w:t>
      </w:r>
      <w:r w:rsidR="00F75F80" w:rsidRPr="00124E7F">
        <w:t xml:space="preserve"> to </w:t>
      </w:r>
      <w:r w:rsidR="00F75F80" w:rsidRPr="00124E7F">
        <w:rPr>
          <w:b/>
        </w:rPr>
        <w:t>$5.</w:t>
      </w:r>
      <w:r w:rsidR="00AC03CC" w:rsidRPr="00124E7F">
        <w:rPr>
          <w:b/>
        </w:rPr>
        <w:t>6</w:t>
      </w:r>
      <w:r w:rsidR="001A3BFA" w:rsidRPr="00124E7F">
        <w:rPr>
          <w:b/>
        </w:rPr>
        <w:t> million</w:t>
      </w:r>
      <w:r w:rsidR="001A3BFA" w:rsidRPr="00124E7F">
        <w:t xml:space="preserve"> in </w:t>
      </w:r>
      <w:r w:rsidR="004115D0" w:rsidRPr="00124E7F">
        <w:t>licensing</w:t>
      </w:r>
      <w:r w:rsidR="001A3BFA" w:rsidRPr="00124E7F">
        <w:t xml:space="preserve"> revenues (i.e. $6</w:t>
      </w:r>
      <w:r w:rsidR="00742C41" w:rsidRPr="00124E7F">
        <w:t>0 </w:t>
      </w:r>
      <w:r w:rsidR="001A3BFA" w:rsidRPr="00124E7F">
        <w:t>mill</w:t>
      </w:r>
      <w:r w:rsidR="00EC5401" w:rsidRPr="00124E7F">
        <w:t xml:space="preserve">ion x 9%), which CAG argues could be attributed to uses of freely available internet material. </w:t>
      </w:r>
    </w:p>
    <w:p w14:paraId="1561E4DA" w14:textId="77777777" w:rsidR="00B830B8" w:rsidRPr="00124E7F" w:rsidRDefault="00B830B8" w:rsidP="00B830B8">
      <w:pPr>
        <w:pStyle w:val="Caption"/>
      </w:pPr>
      <w:bookmarkStart w:id="145" w:name="_Ref446829245"/>
      <w:bookmarkStart w:id="146" w:name="_Ref467765664"/>
      <w:r w:rsidRPr="00124E7F">
        <w:t xml:space="preserve">Table </w:t>
      </w:r>
      <w:bookmarkStart w:id="147" w:name="table11"/>
      <w:r w:rsidRPr="00124E7F">
        <w:fldChar w:fldCharType="begin"/>
      </w:r>
      <w:r w:rsidRPr="00124E7F">
        <w:instrText xml:space="preserve"> SEQ Table \* ARABIC </w:instrText>
      </w:r>
      <w:r w:rsidRPr="00124E7F">
        <w:fldChar w:fldCharType="separate"/>
      </w:r>
      <w:r w:rsidR="0075700D">
        <w:rPr>
          <w:noProof/>
        </w:rPr>
        <w:t>11</w:t>
      </w:r>
      <w:r w:rsidRPr="00124E7F">
        <w:fldChar w:fldCharType="end"/>
      </w:r>
      <w:bookmarkEnd w:id="145"/>
      <w:bookmarkEnd w:id="146"/>
      <w:r w:rsidRPr="00124E7F">
        <w:t>:</w:t>
      </w:r>
      <w:bookmarkEnd w:id="147"/>
      <w:r w:rsidRPr="00124E7F">
        <w:t xml:space="preserve"> Percentages of freely available material using the Metcalfe proxy – 2014 surveys</w:t>
      </w:r>
    </w:p>
    <w:tbl>
      <w:tblPr>
        <w:tblStyle w:val="LightList-Accent1"/>
        <w:tblW w:w="5000" w:type="pct"/>
        <w:tblBorders>
          <w:top w:val="none" w:sz="0" w:space="0" w:color="auto"/>
          <w:left w:val="none" w:sz="0" w:space="0" w:color="auto"/>
          <w:bottom w:val="none" w:sz="0" w:space="0" w:color="auto"/>
          <w:right w:val="none" w:sz="0" w:space="0" w:color="auto"/>
          <w:insideH w:val="single" w:sz="4" w:space="0" w:color="808080" w:themeColor="background1" w:themeShade="80"/>
        </w:tblBorders>
        <w:tblLook w:val="04A0" w:firstRow="1" w:lastRow="0" w:firstColumn="1" w:lastColumn="0" w:noHBand="0" w:noVBand="1"/>
        <w:tblCaption w:val="Table 11: Percentages of freely available material using the Metcalfe proxy – 2014 surveys"/>
        <w:tblDescription w:val="The table presents the percentages of freely available material (as proxied by Metcalfe category 1, 6 and 7 pages) from 2014 surveys as follows:                                                                                                    &#10;&#10;Electronic Usage Survey: Included pages (590,088), Metcalfe 1,6,7 pages (224,752), % Total Pages (38%)&#10;&#10;Print Survey: Included pages (4,711,359), Metcalfe 1,6,7 pages (267,959), % Total Pages (6%)&#10;&#10;Total: Included pages (5,301,447), Metcalfe 1,6,7 pages (492,708), % Total Pages (9%)&#10;"/>
      </w:tblPr>
      <w:tblGrid>
        <w:gridCol w:w="2893"/>
        <w:gridCol w:w="2026"/>
        <w:gridCol w:w="2443"/>
        <w:gridCol w:w="1667"/>
      </w:tblGrid>
      <w:tr w:rsidR="004213AE" w:rsidRPr="00124E7F" w14:paraId="288C7C29" w14:textId="77777777" w:rsidTr="00285F86">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602" w:type="pct"/>
            <w:shd w:val="clear" w:color="auto" w:fill="F0F0F0" w:themeFill="accent4"/>
            <w:vAlign w:val="center"/>
          </w:tcPr>
          <w:p w14:paraId="67953EA8" w14:textId="77777777" w:rsidR="00025F0C" w:rsidRPr="00124E7F" w:rsidRDefault="0092363B" w:rsidP="00025F0C">
            <w:pPr>
              <w:keepNext/>
              <w:keepLines/>
              <w:widowControl/>
              <w:autoSpaceDE/>
              <w:autoSpaceDN/>
              <w:adjustRightInd/>
              <w:spacing w:after="100" w:afterAutospacing="1" w:line="240" w:lineRule="auto"/>
              <w:jc w:val="center"/>
              <w:rPr>
                <w:color w:val="auto"/>
                <w:szCs w:val="22"/>
              </w:rPr>
            </w:pPr>
            <w:r w:rsidRPr="00124E7F">
              <w:rPr>
                <w:color w:val="auto"/>
                <w:szCs w:val="22"/>
              </w:rPr>
              <w:t>TM pages</w:t>
            </w:r>
          </w:p>
        </w:tc>
        <w:tc>
          <w:tcPr>
            <w:tcW w:w="1122" w:type="pct"/>
            <w:shd w:val="clear" w:color="auto" w:fill="F0F0F0" w:themeFill="accent4"/>
            <w:vAlign w:val="center"/>
          </w:tcPr>
          <w:p w14:paraId="6391AD76" w14:textId="77777777" w:rsidR="0092363B" w:rsidRPr="00124E7F" w:rsidRDefault="0092363B" w:rsidP="001C2071">
            <w:pPr>
              <w:keepNext/>
              <w:keepLines/>
              <w:widowControl/>
              <w:autoSpaceDE/>
              <w:autoSpaceDN/>
              <w:adjustRightInd/>
              <w:spacing w:after="100" w:afterAutospacing="1" w:line="240" w:lineRule="auto"/>
              <w:jc w:val="center"/>
              <w:cnfStyle w:val="100000000000" w:firstRow="1" w:lastRow="0" w:firstColumn="0" w:lastColumn="0" w:oddVBand="0" w:evenVBand="0" w:oddHBand="0" w:evenHBand="0" w:firstRowFirstColumn="0" w:firstRowLastColumn="0" w:lastRowFirstColumn="0" w:lastRowLastColumn="0"/>
              <w:rPr>
                <w:color w:val="auto"/>
                <w:szCs w:val="22"/>
              </w:rPr>
            </w:pPr>
            <w:r w:rsidRPr="00124E7F">
              <w:rPr>
                <w:color w:val="auto"/>
                <w:szCs w:val="22"/>
              </w:rPr>
              <w:t>‘Included’ pages</w:t>
            </w:r>
            <w:r w:rsidR="00BD4ADD" w:rsidRPr="00124E7F">
              <w:rPr>
                <w:color w:val="auto"/>
                <w:szCs w:val="22"/>
                <w:vertAlign w:val="superscript"/>
              </w:rPr>
              <w:t>1</w:t>
            </w:r>
          </w:p>
        </w:tc>
        <w:tc>
          <w:tcPr>
            <w:tcW w:w="1353" w:type="pct"/>
            <w:shd w:val="clear" w:color="auto" w:fill="F0F0F0" w:themeFill="accent4"/>
            <w:vAlign w:val="center"/>
          </w:tcPr>
          <w:p w14:paraId="66B8806D" w14:textId="77777777" w:rsidR="0092363B" w:rsidRPr="00124E7F" w:rsidRDefault="0092363B" w:rsidP="001C2071">
            <w:pPr>
              <w:keepNext/>
              <w:keepLines/>
              <w:widowControl/>
              <w:autoSpaceDE/>
              <w:autoSpaceDN/>
              <w:adjustRightInd/>
              <w:spacing w:after="100" w:afterAutospacing="1" w:line="240" w:lineRule="auto"/>
              <w:jc w:val="center"/>
              <w:cnfStyle w:val="100000000000" w:firstRow="1" w:lastRow="0" w:firstColumn="0" w:lastColumn="0" w:oddVBand="0" w:evenVBand="0" w:oddHBand="0" w:evenHBand="0" w:firstRowFirstColumn="0" w:firstRowLastColumn="0" w:lastRowFirstColumn="0" w:lastRowLastColumn="0"/>
              <w:rPr>
                <w:color w:val="auto"/>
                <w:szCs w:val="22"/>
              </w:rPr>
            </w:pPr>
            <w:r w:rsidRPr="00124E7F">
              <w:rPr>
                <w:color w:val="auto"/>
                <w:szCs w:val="22"/>
              </w:rPr>
              <w:t>Metcalfe 1,6</w:t>
            </w:r>
            <w:r w:rsidR="00BD4ADD" w:rsidRPr="00124E7F">
              <w:rPr>
                <w:color w:val="auto"/>
                <w:szCs w:val="22"/>
              </w:rPr>
              <w:t>,</w:t>
            </w:r>
            <w:r w:rsidRPr="00124E7F">
              <w:rPr>
                <w:color w:val="auto"/>
                <w:szCs w:val="22"/>
              </w:rPr>
              <w:t>7 pages</w:t>
            </w:r>
          </w:p>
        </w:tc>
        <w:tc>
          <w:tcPr>
            <w:tcW w:w="924" w:type="pct"/>
            <w:shd w:val="clear" w:color="auto" w:fill="F0F0F0" w:themeFill="accent4"/>
            <w:vAlign w:val="center"/>
          </w:tcPr>
          <w:p w14:paraId="4F23B967" w14:textId="77777777" w:rsidR="0092363B" w:rsidRPr="00124E7F" w:rsidRDefault="0092363B" w:rsidP="001C2071">
            <w:pPr>
              <w:keepNext/>
              <w:keepLines/>
              <w:widowControl/>
              <w:autoSpaceDE/>
              <w:autoSpaceDN/>
              <w:adjustRightInd/>
              <w:spacing w:after="100" w:afterAutospacing="1" w:line="240" w:lineRule="auto"/>
              <w:jc w:val="center"/>
              <w:cnfStyle w:val="100000000000" w:firstRow="1" w:lastRow="0" w:firstColumn="0" w:lastColumn="0" w:oddVBand="0" w:evenVBand="0" w:oddHBand="0" w:evenHBand="0" w:firstRowFirstColumn="0" w:firstRowLastColumn="0" w:lastRowFirstColumn="0" w:lastRowLastColumn="0"/>
              <w:rPr>
                <w:color w:val="auto"/>
                <w:szCs w:val="22"/>
              </w:rPr>
            </w:pPr>
            <w:r w:rsidRPr="00124E7F">
              <w:rPr>
                <w:color w:val="auto"/>
                <w:szCs w:val="22"/>
              </w:rPr>
              <w:t>% Total pages</w:t>
            </w:r>
          </w:p>
        </w:tc>
      </w:tr>
      <w:tr w:rsidR="004213AE" w:rsidRPr="00124E7F" w14:paraId="3BD1FEBA" w14:textId="77777777" w:rsidTr="00EA1EB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02" w:type="pct"/>
            <w:vAlign w:val="center"/>
          </w:tcPr>
          <w:p w14:paraId="3083FF45" w14:textId="77777777" w:rsidR="0092363B" w:rsidRPr="00124E7F" w:rsidRDefault="0092363B" w:rsidP="001C2071">
            <w:pPr>
              <w:keepNext/>
              <w:keepLines/>
              <w:widowControl/>
              <w:autoSpaceDE/>
              <w:autoSpaceDN/>
              <w:adjustRightInd/>
              <w:spacing w:after="100" w:afterAutospacing="1" w:line="240" w:lineRule="auto"/>
              <w:rPr>
                <w:szCs w:val="22"/>
              </w:rPr>
            </w:pPr>
            <w:r w:rsidRPr="00124E7F">
              <w:rPr>
                <w:szCs w:val="22"/>
              </w:rPr>
              <w:t>Electronic Usage Survey</w:t>
            </w:r>
            <w:r w:rsidR="00BD4ADD" w:rsidRPr="00124E7F">
              <w:rPr>
                <w:szCs w:val="22"/>
                <w:vertAlign w:val="superscript"/>
              </w:rPr>
              <w:t>2</w:t>
            </w:r>
            <w:r w:rsidRPr="00124E7F">
              <w:rPr>
                <w:szCs w:val="22"/>
              </w:rPr>
              <w:t xml:space="preserve"> </w:t>
            </w:r>
          </w:p>
        </w:tc>
        <w:tc>
          <w:tcPr>
            <w:tcW w:w="1122" w:type="pct"/>
            <w:vAlign w:val="center"/>
          </w:tcPr>
          <w:p w14:paraId="52E4D3C1" w14:textId="77777777" w:rsidR="0092363B" w:rsidRPr="00202E68" w:rsidRDefault="0092363B" w:rsidP="001C2071">
            <w:pPr>
              <w:keepNext/>
              <w:keepLines/>
              <w:widowControl/>
              <w:spacing w:after="100" w:afterAutospacing="1" w:line="240" w:lineRule="auto"/>
              <w:jc w:val="right"/>
              <w:cnfStyle w:val="000000100000" w:firstRow="0" w:lastRow="0" w:firstColumn="0" w:lastColumn="0" w:oddVBand="0" w:evenVBand="0" w:oddHBand="1" w:evenHBand="0" w:firstRowFirstColumn="0" w:firstRowLastColumn="0" w:lastRowFirstColumn="0" w:lastRowLastColumn="0"/>
              <w:rPr>
                <w:rFonts w:cs="Calibri"/>
                <w:szCs w:val="22"/>
              </w:rPr>
            </w:pPr>
            <w:r w:rsidRPr="00202E68">
              <w:rPr>
                <w:rFonts w:cs="Calibri"/>
                <w:szCs w:val="22"/>
              </w:rPr>
              <w:t>590,088</w:t>
            </w:r>
          </w:p>
        </w:tc>
        <w:tc>
          <w:tcPr>
            <w:tcW w:w="1353" w:type="pct"/>
            <w:vAlign w:val="center"/>
          </w:tcPr>
          <w:p w14:paraId="2F9C7D37" w14:textId="77777777" w:rsidR="0092363B" w:rsidRPr="00202E68" w:rsidRDefault="0092363B" w:rsidP="001C2071">
            <w:pPr>
              <w:keepNext/>
              <w:keepLines/>
              <w:widowControl/>
              <w:spacing w:after="100" w:afterAutospacing="1" w:line="240" w:lineRule="auto"/>
              <w:jc w:val="right"/>
              <w:cnfStyle w:val="000000100000" w:firstRow="0" w:lastRow="0" w:firstColumn="0" w:lastColumn="0" w:oddVBand="0" w:evenVBand="0" w:oddHBand="1" w:evenHBand="0" w:firstRowFirstColumn="0" w:firstRowLastColumn="0" w:lastRowFirstColumn="0" w:lastRowLastColumn="0"/>
              <w:rPr>
                <w:rFonts w:cs="Calibri"/>
                <w:szCs w:val="22"/>
              </w:rPr>
            </w:pPr>
            <w:r w:rsidRPr="00202E68">
              <w:rPr>
                <w:rFonts w:cs="Calibri"/>
                <w:szCs w:val="22"/>
              </w:rPr>
              <w:t>224,752</w:t>
            </w:r>
          </w:p>
        </w:tc>
        <w:tc>
          <w:tcPr>
            <w:tcW w:w="924" w:type="pct"/>
            <w:vAlign w:val="center"/>
          </w:tcPr>
          <w:p w14:paraId="217C6240" w14:textId="77777777" w:rsidR="0092363B" w:rsidRPr="00202E68" w:rsidRDefault="0092363B" w:rsidP="001C2071">
            <w:pPr>
              <w:keepNext/>
              <w:keepLines/>
              <w:widowControl/>
              <w:spacing w:after="100" w:afterAutospacing="1" w:line="240" w:lineRule="auto"/>
              <w:jc w:val="right"/>
              <w:cnfStyle w:val="000000100000" w:firstRow="0" w:lastRow="0" w:firstColumn="0" w:lastColumn="0" w:oddVBand="0" w:evenVBand="0" w:oddHBand="1" w:evenHBand="0" w:firstRowFirstColumn="0" w:firstRowLastColumn="0" w:lastRowFirstColumn="0" w:lastRowLastColumn="0"/>
              <w:rPr>
                <w:rFonts w:cs="Calibri"/>
                <w:szCs w:val="22"/>
              </w:rPr>
            </w:pPr>
            <w:r w:rsidRPr="00202E68">
              <w:rPr>
                <w:rFonts w:cs="Calibri"/>
                <w:szCs w:val="22"/>
              </w:rPr>
              <w:t>38%</w:t>
            </w:r>
          </w:p>
        </w:tc>
      </w:tr>
      <w:tr w:rsidR="004213AE" w:rsidRPr="00124E7F" w14:paraId="39201A0F" w14:textId="77777777" w:rsidTr="00EA1EB0">
        <w:trPr>
          <w:trHeight w:val="340"/>
        </w:trPr>
        <w:tc>
          <w:tcPr>
            <w:cnfStyle w:val="001000000000" w:firstRow="0" w:lastRow="0" w:firstColumn="1" w:lastColumn="0" w:oddVBand="0" w:evenVBand="0" w:oddHBand="0" w:evenHBand="0" w:firstRowFirstColumn="0" w:firstRowLastColumn="0" w:lastRowFirstColumn="0" w:lastRowLastColumn="0"/>
            <w:tcW w:w="1602" w:type="pct"/>
            <w:tcBorders>
              <w:bottom w:val="single" w:sz="4" w:space="0" w:color="808080" w:themeColor="background1" w:themeShade="80"/>
            </w:tcBorders>
            <w:vAlign w:val="center"/>
          </w:tcPr>
          <w:p w14:paraId="0225F85F" w14:textId="77777777" w:rsidR="0092363B" w:rsidRPr="00124E7F" w:rsidRDefault="0092363B" w:rsidP="001C2071">
            <w:pPr>
              <w:keepNext/>
              <w:keepLines/>
              <w:widowControl/>
              <w:autoSpaceDE/>
              <w:autoSpaceDN/>
              <w:adjustRightInd/>
              <w:spacing w:after="100" w:afterAutospacing="1" w:line="240" w:lineRule="auto"/>
              <w:rPr>
                <w:szCs w:val="22"/>
              </w:rPr>
            </w:pPr>
            <w:r w:rsidRPr="00124E7F">
              <w:rPr>
                <w:szCs w:val="22"/>
              </w:rPr>
              <w:t>Print Survey</w:t>
            </w:r>
            <w:r w:rsidR="00BD4ADD" w:rsidRPr="00124E7F">
              <w:rPr>
                <w:szCs w:val="22"/>
                <w:vertAlign w:val="superscript"/>
              </w:rPr>
              <w:t>3</w:t>
            </w:r>
          </w:p>
        </w:tc>
        <w:tc>
          <w:tcPr>
            <w:tcW w:w="1122" w:type="pct"/>
            <w:tcBorders>
              <w:bottom w:val="single" w:sz="4" w:space="0" w:color="808080" w:themeColor="background1" w:themeShade="80"/>
            </w:tcBorders>
            <w:vAlign w:val="center"/>
          </w:tcPr>
          <w:p w14:paraId="05B5FCFA" w14:textId="77777777" w:rsidR="0092363B" w:rsidRPr="00202E68" w:rsidRDefault="0092363B" w:rsidP="001C2071">
            <w:pPr>
              <w:keepNext/>
              <w:keepLines/>
              <w:widowControl/>
              <w:spacing w:after="100" w:afterAutospacing="1" w:line="240" w:lineRule="auto"/>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202E68">
              <w:rPr>
                <w:rFonts w:cs="Calibri"/>
                <w:szCs w:val="22"/>
              </w:rPr>
              <w:t>4,711,359</w:t>
            </w:r>
          </w:p>
        </w:tc>
        <w:tc>
          <w:tcPr>
            <w:tcW w:w="1353" w:type="pct"/>
            <w:tcBorders>
              <w:bottom w:val="single" w:sz="4" w:space="0" w:color="808080" w:themeColor="background1" w:themeShade="80"/>
            </w:tcBorders>
            <w:vAlign w:val="center"/>
          </w:tcPr>
          <w:p w14:paraId="31B6B999" w14:textId="77777777" w:rsidR="0092363B" w:rsidRPr="00202E68" w:rsidRDefault="0092363B" w:rsidP="001C2071">
            <w:pPr>
              <w:keepNext/>
              <w:keepLines/>
              <w:widowControl/>
              <w:spacing w:after="100" w:afterAutospacing="1" w:line="240" w:lineRule="auto"/>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202E68">
              <w:rPr>
                <w:rFonts w:cs="Calibri"/>
                <w:szCs w:val="22"/>
              </w:rPr>
              <w:t>267,956</w:t>
            </w:r>
          </w:p>
        </w:tc>
        <w:tc>
          <w:tcPr>
            <w:tcW w:w="924" w:type="pct"/>
            <w:tcBorders>
              <w:bottom w:val="single" w:sz="4" w:space="0" w:color="808080" w:themeColor="background1" w:themeShade="80"/>
            </w:tcBorders>
            <w:vAlign w:val="center"/>
          </w:tcPr>
          <w:p w14:paraId="49FAE496" w14:textId="77777777" w:rsidR="0092363B" w:rsidRPr="00202E68" w:rsidRDefault="0092363B" w:rsidP="001C2071">
            <w:pPr>
              <w:keepNext/>
              <w:keepLines/>
              <w:widowControl/>
              <w:spacing w:after="100" w:afterAutospacing="1" w:line="240" w:lineRule="auto"/>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202E68">
              <w:rPr>
                <w:rFonts w:cs="Calibri"/>
                <w:szCs w:val="22"/>
              </w:rPr>
              <w:t>6%</w:t>
            </w:r>
          </w:p>
        </w:tc>
      </w:tr>
      <w:tr w:rsidR="004213AE" w:rsidRPr="00124E7F" w14:paraId="7FBD59B3" w14:textId="77777777" w:rsidTr="00EA1EB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02" w:type="pct"/>
            <w:tcBorders>
              <w:top w:val="single" w:sz="4" w:space="0" w:color="808080" w:themeColor="background1" w:themeShade="80"/>
              <w:bottom w:val="single" w:sz="4" w:space="0" w:color="808080" w:themeColor="background1" w:themeShade="80"/>
            </w:tcBorders>
            <w:shd w:val="clear" w:color="auto" w:fill="EAEAEA" w:themeFill="accent3" w:themeFillTint="33"/>
            <w:vAlign w:val="center"/>
          </w:tcPr>
          <w:p w14:paraId="1F947F3A" w14:textId="77777777" w:rsidR="0092363B" w:rsidRPr="00124E7F" w:rsidRDefault="0092363B" w:rsidP="001C2071">
            <w:pPr>
              <w:keepNext/>
              <w:keepLines/>
              <w:widowControl/>
              <w:autoSpaceDE/>
              <w:autoSpaceDN/>
              <w:adjustRightInd/>
              <w:spacing w:after="100" w:afterAutospacing="1" w:line="240" w:lineRule="auto"/>
              <w:rPr>
                <w:szCs w:val="22"/>
              </w:rPr>
            </w:pPr>
            <w:r w:rsidRPr="00124E7F">
              <w:rPr>
                <w:szCs w:val="22"/>
              </w:rPr>
              <w:t>Total</w:t>
            </w:r>
          </w:p>
        </w:tc>
        <w:tc>
          <w:tcPr>
            <w:tcW w:w="1122" w:type="pct"/>
            <w:tcBorders>
              <w:top w:val="single" w:sz="4" w:space="0" w:color="808080" w:themeColor="background1" w:themeShade="80"/>
              <w:bottom w:val="single" w:sz="4" w:space="0" w:color="808080" w:themeColor="background1" w:themeShade="80"/>
            </w:tcBorders>
            <w:shd w:val="clear" w:color="auto" w:fill="EAEAEA" w:themeFill="accent3" w:themeFillTint="33"/>
            <w:vAlign w:val="center"/>
          </w:tcPr>
          <w:p w14:paraId="1EE19C61" w14:textId="77777777" w:rsidR="0092363B" w:rsidRPr="00202E68" w:rsidRDefault="0092363B" w:rsidP="001C2071">
            <w:pPr>
              <w:keepNext/>
              <w:keepLines/>
              <w:widowControl/>
              <w:spacing w:after="100" w:afterAutospacing="1" w:line="240" w:lineRule="auto"/>
              <w:jc w:val="right"/>
              <w:cnfStyle w:val="000000100000" w:firstRow="0" w:lastRow="0" w:firstColumn="0" w:lastColumn="0" w:oddVBand="0" w:evenVBand="0" w:oddHBand="1" w:evenHBand="0" w:firstRowFirstColumn="0" w:firstRowLastColumn="0" w:lastRowFirstColumn="0" w:lastRowLastColumn="0"/>
              <w:rPr>
                <w:rFonts w:cs="Calibri"/>
                <w:b/>
                <w:szCs w:val="22"/>
              </w:rPr>
            </w:pPr>
            <w:r w:rsidRPr="00202E68">
              <w:rPr>
                <w:rFonts w:cs="Calibri"/>
                <w:b/>
                <w:szCs w:val="22"/>
              </w:rPr>
              <w:t>5,301,447</w:t>
            </w:r>
          </w:p>
        </w:tc>
        <w:tc>
          <w:tcPr>
            <w:tcW w:w="1353" w:type="pct"/>
            <w:tcBorders>
              <w:top w:val="single" w:sz="4" w:space="0" w:color="808080" w:themeColor="background1" w:themeShade="80"/>
              <w:bottom w:val="single" w:sz="4" w:space="0" w:color="808080" w:themeColor="background1" w:themeShade="80"/>
            </w:tcBorders>
            <w:shd w:val="clear" w:color="auto" w:fill="EAEAEA" w:themeFill="accent3" w:themeFillTint="33"/>
            <w:vAlign w:val="center"/>
          </w:tcPr>
          <w:p w14:paraId="5038F394" w14:textId="77777777" w:rsidR="0092363B" w:rsidRPr="00202E68" w:rsidRDefault="0092363B" w:rsidP="001C2071">
            <w:pPr>
              <w:keepNext/>
              <w:keepLines/>
              <w:widowControl/>
              <w:spacing w:after="100" w:afterAutospacing="1" w:line="240" w:lineRule="auto"/>
              <w:jc w:val="right"/>
              <w:cnfStyle w:val="000000100000" w:firstRow="0" w:lastRow="0" w:firstColumn="0" w:lastColumn="0" w:oddVBand="0" w:evenVBand="0" w:oddHBand="1" w:evenHBand="0" w:firstRowFirstColumn="0" w:firstRowLastColumn="0" w:lastRowFirstColumn="0" w:lastRowLastColumn="0"/>
              <w:rPr>
                <w:rFonts w:cs="Calibri"/>
                <w:b/>
                <w:szCs w:val="22"/>
              </w:rPr>
            </w:pPr>
            <w:r w:rsidRPr="00202E68">
              <w:rPr>
                <w:rFonts w:cs="Calibri"/>
                <w:b/>
                <w:szCs w:val="22"/>
              </w:rPr>
              <w:t>492,708</w:t>
            </w:r>
          </w:p>
        </w:tc>
        <w:tc>
          <w:tcPr>
            <w:tcW w:w="924" w:type="pct"/>
            <w:tcBorders>
              <w:top w:val="single" w:sz="4" w:space="0" w:color="808080" w:themeColor="background1" w:themeShade="80"/>
              <w:bottom w:val="single" w:sz="4" w:space="0" w:color="808080" w:themeColor="background1" w:themeShade="80"/>
            </w:tcBorders>
            <w:shd w:val="clear" w:color="auto" w:fill="EAEAEA" w:themeFill="accent3" w:themeFillTint="33"/>
            <w:vAlign w:val="center"/>
          </w:tcPr>
          <w:p w14:paraId="33E55367" w14:textId="77777777" w:rsidR="0092363B" w:rsidRPr="00202E68" w:rsidRDefault="0092363B" w:rsidP="001C2071">
            <w:pPr>
              <w:keepNext/>
              <w:keepLines/>
              <w:widowControl/>
              <w:spacing w:after="100" w:afterAutospacing="1" w:line="240" w:lineRule="auto"/>
              <w:jc w:val="right"/>
              <w:cnfStyle w:val="000000100000" w:firstRow="0" w:lastRow="0" w:firstColumn="0" w:lastColumn="0" w:oddVBand="0" w:evenVBand="0" w:oddHBand="1" w:evenHBand="0" w:firstRowFirstColumn="0" w:firstRowLastColumn="0" w:lastRowFirstColumn="0" w:lastRowLastColumn="0"/>
              <w:rPr>
                <w:rFonts w:cs="Calibri"/>
                <w:b/>
                <w:szCs w:val="22"/>
              </w:rPr>
            </w:pPr>
            <w:r w:rsidRPr="00202E68">
              <w:rPr>
                <w:rFonts w:cs="Calibri"/>
                <w:b/>
                <w:szCs w:val="22"/>
              </w:rPr>
              <w:t>9%</w:t>
            </w:r>
          </w:p>
        </w:tc>
      </w:tr>
    </w:tbl>
    <w:p w14:paraId="1E272C94" w14:textId="77777777" w:rsidR="0092363B" w:rsidRPr="00124E7F" w:rsidRDefault="00BD4ADD" w:rsidP="00BD4ADD">
      <w:pPr>
        <w:spacing w:before="60" w:after="60" w:line="240" w:lineRule="auto"/>
        <w:rPr>
          <w:sz w:val="20"/>
        </w:rPr>
      </w:pPr>
      <w:r w:rsidRPr="00124E7F">
        <w:rPr>
          <w:sz w:val="20"/>
        </w:rPr>
        <w:t>Table notes</w:t>
      </w:r>
      <w:r w:rsidR="00F75F80" w:rsidRPr="00124E7F">
        <w:rPr>
          <w:sz w:val="20"/>
        </w:rPr>
        <w:t xml:space="preserve"> </w:t>
      </w:r>
    </w:p>
    <w:p w14:paraId="5FE5E9AE" w14:textId="77777777" w:rsidR="00BD4ADD" w:rsidRPr="00124E7F" w:rsidRDefault="00BD4ADD" w:rsidP="00BD4ADD">
      <w:pPr>
        <w:spacing w:before="60" w:after="60" w:line="240" w:lineRule="auto"/>
        <w:rPr>
          <w:sz w:val="20"/>
        </w:rPr>
      </w:pPr>
      <w:r w:rsidRPr="00124E7F">
        <w:rPr>
          <w:sz w:val="20"/>
        </w:rPr>
        <w:t>[1] ‘Included’ pages under Metcalfe categories 1, 6, 7, 8, 9 and 10.</w:t>
      </w:r>
    </w:p>
    <w:p w14:paraId="12428FBB" w14:textId="77777777" w:rsidR="0092363B" w:rsidRPr="00124E7F" w:rsidRDefault="00BD4ADD" w:rsidP="00056CA8">
      <w:pPr>
        <w:spacing w:before="60" w:after="60" w:line="240" w:lineRule="auto"/>
        <w:ind w:left="284" w:hanging="284"/>
        <w:rPr>
          <w:sz w:val="20"/>
        </w:rPr>
      </w:pPr>
      <w:r w:rsidRPr="00124E7F">
        <w:rPr>
          <w:sz w:val="20"/>
        </w:rPr>
        <w:t xml:space="preserve">[2] Sourced from AMR (2015), </w:t>
      </w:r>
      <w:r w:rsidRPr="00124E7F">
        <w:rPr>
          <w:i/>
          <w:sz w:val="20"/>
        </w:rPr>
        <w:t>2014 Australian Schools Electronic Use System – Draft Annual Review V.2</w:t>
      </w:r>
      <w:r w:rsidR="00F75F80" w:rsidRPr="00124E7F">
        <w:rPr>
          <w:i/>
          <w:sz w:val="20"/>
        </w:rPr>
        <w:t xml:space="preserve"> </w:t>
      </w:r>
      <w:r w:rsidR="00F75F80" w:rsidRPr="00124E7F">
        <w:rPr>
          <w:sz w:val="20"/>
        </w:rPr>
        <w:t>(raw data not validated by EY)</w:t>
      </w:r>
    </w:p>
    <w:p w14:paraId="1E90B268" w14:textId="77777777" w:rsidR="00BD4ADD" w:rsidRPr="00124E7F" w:rsidRDefault="00BD4ADD" w:rsidP="00822604">
      <w:pPr>
        <w:spacing w:before="60" w:after="240" w:line="240" w:lineRule="auto"/>
        <w:rPr>
          <w:sz w:val="20"/>
        </w:rPr>
      </w:pPr>
      <w:r w:rsidRPr="00124E7F">
        <w:rPr>
          <w:sz w:val="20"/>
        </w:rPr>
        <w:t xml:space="preserve">[3] Sourced from 2014 Print Survey Datasets </w:t>
      </w:r>
      <w:r w:rsidR="00F75F80" w:rsidRPr="00124E7F">
        <w:rPr>
          <w:sz w:val="20"/>
        </w:rPr>
        <w:t>(raw data not validated by EY)</w:t>
      </w:r>
    </w:p>
    <w:p w14:paraId="3018FF79" w14:textId="77777777" w:rsidR="006A0CBA" w:rsidRPr="00124E7F" w:rsidRDefault="006A0CBA" w:rsidP="005F191D">
      <w:pPr>
        <w:pStyle w:val="EYHeading4"/>
      </w:pPr>
      <w:r w:rsidRPr="00124E7F">
        <w:t>‘Technical copies’</w:t>
      </w:r>
    </w:p>
    <w:p w14:paraId="4A0D8791" w14:textId="77777777" w:rsidR="006A0CBA" w:rsidRPr="00124E7F" w:rsidRDefault="006A0CBA" w:rsidP="00955657">
      <w:pPr>
        <w:pStyle w:val="EYBodytextwithparaspace"/>
        <w:spacing w:after="140"/>
        <w:rPr>
          <w:szCs w:val="22"/>
          <w:vertAlign w:val="superscript"/>
        </w:rPr>
      </w:pPr>
      <w:r w:rsidRPr="00124E7F">
        <w:rPr>
          <w:szCs w:val="22"/>
        </w:rPr>
        <w:t xml:space="preserve">A second criticism by schools is that </w:t>
      </w:r>
      <w:r w:rsidR="009978DD" w:rsidRPr="00124E7F">
        <w:rPr>
          <w:szCs w:val="22"/>
        </w:rPr>
        <w:t xml:space="preserve">statutory </w:t>
      </w:r>
      <w:r w:rsidR="008D7BC8" w:rsidRPr="00124E7F">
        <w:rPr>
          <w:szCs w:val="22"/>
        </w:rPr>
        <w:t>licenses</w:t>
      </w:r>
      <w:r w:rsidRPr="00124E7F">
        <w:rPr>
          <w:szCs w:val="22"/>
        </w:rPr>
        <w:t xml:space="preserve"> impose a ’one-copy-one-view-one-payment’ model of remuneration, which does not reflect the realities of modern education institutions, where digital technologies require multiple acts of copying and communication – so-called technical or incidental uses.</w:t>
      </w:r>
      <w:r w:rsidRPr="00124E7F">
        <w:rPr>
          <w:szCs w:val="22"/>
          <w:vertAlign w:val="superscript"/>
        </w:rPr>
        <w:footnoteReference w:id="164"/>
      </w:r>
      <w:r w:rsidR="002D4075" w:rsidRPr="00124E7F">
        <w:rPr>
          <w:szCs w:val="22"/>
          <w:vertAlign w:val="superscript"/>
        </w:rPr>
        <w:t xml:space="preserve"> </w:t>
      </w:r>
      <w:r w:rsidRPr="00124E7F">
        <w:rPr>
          <w:szCs w:val="22"/>
        </w:rPr>
        <w:t xml:space="preserve">The ALRC has noted that use of copyright material by educational institutions purely for incidental or technical use should not be </w:t>
      </w:r>
      <w:r w:rsidR="004115D0" w:rsidRPr="00124E7F">
        <w:rPr>
          <w:szCs w:val="22"/>
        </w:rPr>
        <w:t>licensed</w:t>
      </w:r>
      <w:r w:rsidRPr="00124E7F">
        <w:rPr>
          <w:szCs w:val="22"/>
        </w:rPr>
        <w:t>.</w:t>
      </w:r>
      <w:r w:rsidRPr="00124E7F">
        <w:rPr>
          <w:szCs w:val="22"/>
          <w:vertAlign w:val="superscript"/>
        </w:rPr>
        <w:footnoteReference w:id="165"/>
      </w:r>
      <w:r w:rsidRPr="00124E7F">
        <w:rPr>
          <w:szCs w:val="22"/>
          <w:vertAlign w:val="superscript"/>
        </w:rPr>
        <w:t xml:space="preserve"> </w:t>
      </w:r>
      <w:r w:rsidRPr="00124E7F">
        <w:rPr>
          <w:szCs w:val="22"/>
        </w:rPr>
        <w:t>This means that the exception would be expected to lead to a transfer between right</w:t>
      </w:r>
      <w:r w:rsidR="00C37ECD" w:rsidRPr="00124E7F">
        <w:rPr>
          <w:szCs w:val="22"/>
        </w:rPr>
        <w:t>s</w:t>
      </w:r>
      <w:r w:rsidRPr="00124E7F">
        <w:rPr>
          <w:szCs w:val="22"/>
        </w:rPr>
        <w:t xml:space="preserve"> holders and </w:t>
      </w:r>
      <w:r w:rsidR="005D236A" w:rsidRPr="00124E7F">
        <w:rPr>
          <w:szCs w:val="22"/>
        </w:rPr>
        <w:t>licens</w:t>
      </w:r>
      <w:r w:rsidR="007D4AFF" w:rsidRPr="00124E7F">
        <w:rPr>
          <w:szCs w:val="22"/>
        </w:rPr>
        <w:t>e</w:t>
      </w:r>
      <w:r w:rsidRPr="00124E7F">
        <w:rPr>
          <w:szCs w:val="22"/>
        </w:rPr>
        <w:t xml:space="preserve">es </w:t>
      </w:r>
      <w:r w:rsidRPr="00124E7F">
        <w:rPr>
          <w:i/>
          <w:szCs w:val="22"/>
        </w:rPr>
        <w:t>up to</w:t>
      </w:r>
      <w:r w:rsidRPr="00124E7F">
        <w:rPr>
          <w:szCs w:val="22"/>
        </w:rPr>
        <w:t xml:space="preserve"> the amount currently paid for these uses. </w:t>
      </w:r>
    </w:p>
    <w:p w14:paraId="0416B1E0" w14:textId="77777777" w:rsidR="004819DE" w:rsidRPr="00124E7F" w:rsidRDefault="006A0CBA" w:rsidP="00955657">
      <w:pPr>
        <w:pStyle w:val="EYBodytextwithparaspace"/>
        <w:spacing w:after="180"/>
      </w:pPr>
      <w:r w:rsidRPr="00124E7F">
        <w:t xml:space="preserve">It has not been possible to obtain estimates of the </w:t>
      </w:r>
      <w:r w:rsidR="00EC5401" w:rsidRPr="00124E7F">
        <w:t xml:space="preserve">total </w:t>
      </w:r>
      <w:r w:rsidRPr="00124E7F">
        <w:t xml:space="preserve">amount currently paid in </w:t>
      </w:r>
      <w:r w:rsidR="005D236A" w:rsidRPr="00124E7F">
        <w:t>licens</w:t>
      </w:r>
      <w:r w:rsidR="007D4AFF" w:rsidRPr="00124E7F">
        <w:t>e</w:t>
      </w:r>
      <w:r w:rsidRPr="00124E7F">
        <w:t>s for these uses. However, one example of a classroom activity where use of copyright content is treated differently depending on the technological platform used is classroom performance. As discussed earlier, Section 28 of the Act permits schools to communicate and perform copyright material in class including music and films.</w:t>
      </w:r>
      <w:r w:rsidR="00395A5D" w:rsidRPr="00124E7F">
        <w:rPr>
          <w:vertAlign w:val="superscript"/>
        </w:rPr>
        <w:t xml:space="preserve"> </w:t>
      </w:r>
      <w:r w:rsidR="00395A5D" w:rsidRPr="00124E7F">
        <w:t>However, a</w:t>
      </w:r>
      <w:r w:rsidRPr="00124E7F">
        <w:t>ccording to CAG, the exception cannot be used to display some types of text in the classroom (e.g. on a whiteboard), even where what is displayed may constitute freely available internet materials.</w:t>
      </w:r>
      <w:r w:rsidRPr="00124E7F">
        <w:rPr>
          <w:vertAlign w:val="superscript"/>
        </w:rPr>
        <w:footnoteReference w:id="166"/>
      </w:r>
      <w:r w:rsidRPr="00124E7F">
        <w:rPr>
          <w:vertAlign w:val="superscript"/>
        </w:rPr>
        <w:t xml:space="preserve"> </w:t>
      </w:r>
      <w:r w:rsidRPr="00124E7F">
        <w:t xml:space="preserve">CAG provides examples of six teachers essentially performing the same act (i.e. classroom performance); however, only one of these uses (i.e. </w:t>
      </w:r>
      <w:r w:rsidR="00397077" w:rsidRPr="00124E7F">
        <w:t>a t</w:t>
      </w:r>
      <w:r w:rsidRPr="00124E7F">
        <w:t>eacher displaying a PDF from a USB drive on a screen in class) is potentially not covered by Section</w:t>
      </w:r>
      <w:r w:rsidR="00397077" w:rsidRPr="00124E7F">
        <w:t> </w:t>
      </w:r>
      <w:r w:rsidRPr="00124E7F">
        <w:t>28 (</w:t>
      </w:r>
      <w:r w:rsidR="00955657" w:rsidRPr="00124E7F">
        <w:fldChar w:fldCharType="begin"/>
      </w:r>
      <w:r w:rsidR="00955657" w:rsidRPr="00124E7F">
        <w:instrText xml:space="preserve"> REF _Ref467506700 \h </w:instrText>
      </w:r>
      <w:r w:rsidR="00955657" w:rsidRPr="00124E7F">
        <w:fldChar w:fldCharType="separate"/>
      </w:r>
      <w:r w:rsidR="0075700D" w:rsidRPr="00124E7F">
        <w:t xml:space="preserve">Box </w:t>
      </w:r>
      <w:r w:rsidR="0075700D">
        <w:rPr>
          <w:noProof/>
        </w:rPr>
        <w:t>8</w:t>
      </w:r>
      <w:r w:rsidR="00955657" w:rsidRPr="00124E7F">
        <w:fldChar w:fldCharType="end"/>
      </w:r>
      <w:r w:rsidRPr="00124E7F">
        <w:t xml:space="preserve">). Teachers are taught in EUS training materials that they are to record this activity under the ‘display/project’ category. </w:t>
      </w:r>
    </w:p>
    <w:p w14:paraId="75B29CF0" w14:textId="77777777" w:rsidR="006A0CBA" w:rsidRPr="00124E7F" w:rsidRDefault="009F5024" w:rsidP="009F5024">
      <w:pPr>
        <w:pStyle w:val="Caption"/>
        <w:pBdr>
          <w:top w:val="single" w:sz="4" w:space="1" w:color="808080" w:themeColor="background1" w:themeShade="80"/>
        </w:pBdr>
      </w:pPr>
      <w:bookmarkStart w:id="148" w:name="_Ref467506700"/>
      <w:bookmarkStart w:id="149" w:name="_Ref446835257"/>
      <w:r w:rsidRPr="00124E7F">
        <w:t xml:space="preserve">Box </w:t>
      </w:r>
      <w:r w:rsidRPr="00124E7F">
        <w:fldChar w:fldCharType="begin"/>
      </w:r>
      <w:r w:rsidRPr="00124E7F">
        <w:instrText xml:space="preserve"> SEQ Box \* ARABIC </w:instrText>
      </w:r>
      <w:r w:rsidRPr="00124E7F">
        <w:fldChar w:fldCharType="separate"/>
      </w:r>
      <w:r w:rsidR="0075700D">
        <w:rPr>
          <w:noProof/>
        </w:rPr>
        <w:t>8</w:t>
      </w:r>
      <w:r w:rsidRPr="00124E7F">
        <w:fldChar w:fldCharType="end"/>
      </w:r>
      <w:bookmarkEnd w:id="148"/>
      <w:r w:rsidR="00955657" w:rsidRPr="00124E7F">
        <w:t>:</w:t>
      </w:r>
      <w:bookmarkEnd w:id="149"/>
      <w:r w:rsidR="00955657" w:rsidRPr="00124E7F">
        <w:t xml:space="preserve"> </w:t>
      </w:r>
      <w:r w:rsidR="006A0CBA" w:rsidRPr="00124E7F">
        <w:t>Examples of classroom performance using different technology platforms</w:t>
      </w:r>
    </w:p>
    <w:p w14:paraId="603B96BA" w14:textId="77777777" w:rsidR="00752C1C" w:rsidRPr="00124E7F" w:rsidRDefault="00752C1C" w:rsidP="00F03200">
      <w:pPr>
        <w:pStyle w:val="EYBodytextwithparaspace"/>
        <w:spacing w:after="120"/>
      </w:pPr>
      <w:r w:rsidRPr="00124E7F">
        <w:rPr>
          <w:b/>
        </w:rPr>
        <w:t>Teacher A</w:t>
      </w:r>
      <w:r w:rsidRPr="00124E7F">
        <w:t xml:space="preserve"> is an English teacher.  She reads an extract from a novel out loud to her class.</w:t>
      </w:r>
    </w:p>
    <w:p w14:paraId="69123B01" w14:textId="77777777" w:rsidR="00752C1C" w:rsidRPr="00124E7F" w:rsidRDefault="00752C1C" w:rsidP="00F03200">
      <w:pPr>
        <w:pStyle w:val="EYBodytextwithparaspace"/>
        <w:spacing w:after="120"/>
      </w:pPr>
      <w:r w:rsidRPr="00124E7F">
        <w:rPr>
          <w:b/>
        </w:rPr>
        <w:t>Teacher B</w:t>
      </w:r>
      <w:r w:rsidRPr="00124E7F">
        <w:t xml:space="preserve"> is an art teacher.  He brings his laptop to class and plugs it into the classroom’s interactive whiteboard to show students some pictures of modern art works. </w:t>
      </w:r>
    </w:p>
    <w:p w14:paraId="7B6E829B" w14:textId="77777777" w:rsidR="00752C1C" w:rsidRPr="00124E7F" w:rsidRDefault="00752C1C" w:rsidP="00F03200">
      <w:pPr>
        <w:pStyle w:val="EYBodytextwithparaspace"/>
        <w:spacing w:after="120"/>
      </w:pPr>
      <w:r w:rsidRPr="00124E7F">
        <w:rPr>
          <w:b/>
        </w:rPr>
        <w:t>Teacher C</w:t>
      </w:r>
      <w:r w:rsidRPr="00124E7F">
        <w:t xml:space="preserve"> is a music teacher.  She plays a MP3 file from her iPod via </w:t>
      </w:r>
      <w:proofErr w:type="spellStart"/>
      <w:r w:rsidRPr="00124E7F">
        <w:t>bluetooth</w:t>
      </w:r>
      <w:proofErr w:type="spellEnd"/>
      <w:r w:rsidRPr="00124E7F">
        <w:t xml:space="preserve"> speakers to her class.</w:t>
      </w:r>
    </w:p>
    <w:p w14:paraId="59956E11" w14:textId="77777777" w:rsidR="00752C1C" w:rsidRPr="00124E7F" w:rsidRDefault="00752C1C" w:rsidP="00F03200">
      <w:pPr>
        <w:pStyle w:val="EYBodytextwithparaspace"/>
        <w:spacing w:after="120"/>
      </w:pPr>
      <w:r w:rsidRPr="00124E7F">
        <w:rPr>
          <w:b/>
        </w:rPr>
        <w:t>Teacher D</w:t>
      </w:r>
      <w:r w:rsidRPr="00124E7F">
        <w:t xml:space="preserve"> is a drama teacher.  He plays a DVD of a scene from a film to his students in class.</w:t>
      </w:r>
    </w:p>
    <w:p w14:paraId="54AC6275" w14:textId="77777777" w:rsidR="00752C1C" w:rsidRPr="00124E7F" w:rsidRDefault="00752C1C" w:rsidP="00F03200">
      <w:pPr>
        <w:pStyle w:val="EYBodytextwithparaspace"/>
        <w:spacing w:after="120"/>
      </w:pPr>
      <w:r w:rsidRPr="00124E7F">
        <w:rPr>
          <w:b/>
        </w:rPr>
        <w:t>Teacher E</w:t>
      </w:r>
      <w:r w:rsidRPr="00124E7F">
        <w:t xml:space="preserve"> is an economics teacher.  She brings her laptop to class and plugs it into the classroom’s interactive whiteboard to show students the text of a page from a freely available website that discusses recently released economics data. </w:t>
      </w:r>
    </w:p>
    <w:p w14:paraId="744A0C00" w14:textId="77777777" w:rsidR="00752C1C" w:rsidRDefault="00752C1C" w:rsidP="00F03200">
      <w:pPr>
        <w:pStyle w:val="EYBodytextwithparaspace"/>
        <w:pBdr>
          <w:bottom w:val="single" w:sz="4" w:space="1" w:color="808080" w:themeColor="background1" w:themeShade="80"/>
        </w:pBdr>
        <w:spacing w:after="0"/>
      </w:pPr>
      <w:r w:rsidRPr="00124E7F">
        <w:rPr>
          <w:b/>
        </w:rPr>
        <w:t>Teacher F</w:t>
      </w:r>
      <w:r w:rsidRPr="00124E7F">
        <w:t xml:space="preserve"> is a history teacher.   He found a copy of historical document on a website.  He saves a PDF copy of the text to his USB drive then plugs that into an interactive whiteboard to show his class on screen. </w:t>
      </w:r>
    </w:p>
    <w:p w14:paraId="57BB529C" w14:textId="77777777" w:rsidR="00730D0C" w:rsidRPr="00124E7F" w:rsidRDefault="00730D0C" w:rsidP="00F03200">
      <w:pPr>
        <w:pStyle w:val="EYBodytextwithparaspace"/>
        <w:pBdr>
          <w:bottom w:val="single" w:sz="4" w:space="1" w:color="808080" w:themeColor="background1" w:themeShade="80"/>
        </w:pBdr>
        <w:spacing w:after="0"/>
      </w:pPr>
    </w:p>
    <w:p w14:paraId="485D1931" w14:textId="77777777" w:rsidR="006A0CBA" w:rsidRPr="00124E7F" w:rsidRDefault="006A0CBA" w:rsidP="00056CA8">
      <w:pPr>
        <w:pStyle w:val="EYSource"/>
        <w:rPr>
          <w:sz w:val="20"/>
          <w:szCs w:val="20"/>
        </w:rPr>
      </w:pPr>
      <w:r w:rsidRPr="00124E7F">
        <w:rPr>
          <w:sz w:val="20"/>
          <w:szCs w:val="20"/>
        </w:rPr>
        <w:t>Source: National Copyright Unit, COAG Education Council (2015), p.10</w:t>
      </w:r>
    </w:p>
    <w:p w14:paraId="369C4392" w14:textId="77777777" w:rsidR="00955657" w:rsidRPr="00124E7F" w:rsidRDefault="00955657" w:rsidP="00955657"/>
    <w:p w14:paraId="23D8F88E" w14:textId="77777777" w:rsidR="006A0CBA" w:rsidRPr="00124E7F" w:rsidRDefault="006A0CBA" w:rsidP="00056CA8">
      <w:pPr>
        <w:pStyle w:val="EYBodytextwithparaspace"/>
      </w:pPr>
      <w:r w:rsidRPr="00124E7F">
        <w:t>CAG data shows that the ‘display/project’ category of use represented around 51 per cent of all TM pages recorded on the EUS.</w:t>
      </w:r>
      <w:r w:rsidRPr="00124E7F">
        <w:rPr>
          <w:vertAlign w:val="superscript"/>
        </w:rPr>
        <w:footnoteReference w:id="167"/>
      </w:r>
      <w:r w:rsidRPr="00124E7F">
        <w:rPr>
          <w:vertAlign w:val="superscript"/>
        </w:rPr>
        <w:t xml:space="preserve"> </w:t>
      </w:r>
      <w:r w:rsidRPr="00124E7F">
        <w:t xml:space="preserve">Given that the EUS component was around 11 per cent of total remunerable datasets in 2014, this means that around </w:t>
      </w:r>
      <w:r w:rsidRPr="00124E7F">
        <w:rPr>
          <w:b/>
        </w:rPr>
        <w:t>$3.5 million</w:t>
      </w:r>
      <w:r w:rsidRPr="00124E7F">
        <w:t xml:space="preserve"> in </w:t>
      </w:r>
      <w:r w:rsidR="005D236A" w:rsidRPr="00124E7F">
        <w:t>licens</w:t>
      </w:r>
      <w:r w:rsidR="007D4AFF" w:rsidRPr="00124E7F">
        <w:t>e</w:t>
      </w:r>
      <w:r w:rsidRPr="00124E7F">
        <w:t xml:space="preserve"> fees could be attributed to the ‘display/project’ category (i.e. $60 million x 11% x 51%)</w:t>
      </w:r>
      <w:r w:rsidR="002D4075" w:rsidRPr="00124E7F">
        <w:t>.</w:t>
      </w:r>
      <w:r w:rsidRPr="00124E7F">
        <w:rPr>
          <w:vertAlign w:val="superscript"/>
        </w:rPr>
        <w:footnoteReference w:id="168"/>
      </w:r>
      <w:r w:rsidRPr="00124E7F">
        <w:rPr>
          <w:vertAlign w:val="superscript"/>
        </w:rPr>
        <w:t>.</w:t>
      </w:r>
    </w:p>
    <w:p w14:paraId="55C4221F" w14:textId="77777777" w:rsidR="00BD7459" w:rsidRPr="00124E7F" w:rsidRDefault="00CA578F" w:rsidP="005F191D">
      <w:pPr>
        <w:pStyle w:val="EYHeading4"/>
      </w:pPr>
      <w:r w:rsidRPr="00124E7F">
        <w:t>Orphan works</w:t>
      </w:r>
    </w:p>
    <w:p w14:paraId="605DE47D" w14:textId="77777777" w:rsidR="00AC03CC" w:rsidRPr="00124E7F" w:rsidRDefault="009978DD" w:rsidP="00C13CFD">
      <w:pPr>
        <w:pStyle w:val="EYBodytextwithparaspace"/>
      </w:pPr>
      <w:r w:rsidRPr="00124E7F">
        <w:rPr>
          <w:rStyle w:val="AAnormalChar"/>
        </w:rPr>
        <w:t xml:space="preserve">Statutory </w:t>
      </w:r>
      <w:r w:rsidR="008D7BC8" w:rsidRPr="00124E7F">
        <w:rPr>
          <w:rStyle w:val="AAnormalChar"/>
        </w:rPr>
        <w:t>licenses</w:t>
      </w:r>
      <w:r w:rsidR="00F75F80" w:rsidRPr="00124E7F">
        <w:rPr>
          <w:rStyle w:val="AAnormalChar"/>
        </w:rPr>
        <w:t xml:space="preserve"> allow the copying and communication of materials for education, whether or not they are orphaned, subject to the payment of reasonable remuneration to the declared collecting societies. </w:t>
      </w:r>
      <w:r w:rsidR="00AC03CC" w:rsidRPr="00124E7F">
        <w:rPr>
          <w:rStyle w:val="AAnormalChar"/>
        </w:rPr>
        <w:t>Fees collected by the collecting societies from uses of an orphan work are held in a trust</w:t>
      </w:r>
      <w:r w:rsidR="00AC03CC" w:rsidRPr="00124E7F">
        <w:t xml:space="preserve"> for a period of four years. At the end of this period, if the right</w:t>
      </w:r>
      <w:r w:rsidR="00C37ECD" w:rsidRPr="00124E7F">
        <w:t>s</w:t>
      </w:r>
      <w:r w:rsidR="00AC03CC" w:rsidRPr="00124E7F">
        <w:t xml:space="preserve"> holder of this work has not been identified, or if the right</w:t>
      </w:r>
      <w:r w:rsidR="00C37ECD" w:rsidRPr="00124E7F">
        <w:t>s</w:t>
      </w:r>
      <w:r w:rsidR="00AC03CC" w:rsidRPr="00124E7F">
        <w:t xml:space="preserve"> holder is not a member of the collecting society, the fees are redistributed among the current members of the collecting society. </w:t>
      </w:r>
    </w:p>
    <w:p w14:paraId="0D137877" w14:textId="77777777" w:rsidR="00F75F80" w:rsidRPr="00124E7F" w:rsidRDefault="00AC03CC" w:rsidP="00056CA8">
      <w:pPr>
        <w:pStyle w:val="EYBodytextwithparaspace"/>
      </w:pPr>
      <w:r w:rsidRPr="00124E7F">
        <w:t xml:space="preserve">Under the proposed arrangements for orphan works (see Section 3.7), uses of works found to be orphaned following a reasonably diligent search, may no longer be remunerable. Therefore, </w:t>
      </w:r>
      <w:r w:rsidR="00B20B30" w:rsidRPr="00124E7F">
        <w:t>a transfer would be expected between right</w:t>
      </w:r>
      <w:r w:rsidR="00C37ECD" w:rsidRPr="00124E7F">
        <w:t>s</w:t>
      </w:r>
      <w:r w:rsidR="00B20B30" w:rsidRPr="00124E7F">
        <w:t xml:space="preserve"> holders and </w:t>
      </w:r>
      <w:r w:rsidR="005D236A" w:rsidRPr="00124E7F">
        <w:t>licens</w:t>
      </w:r>
      <w:r w:rsidR="007D4AFF" w:rsidRPr="00124E7F">
        <w:t>e</w:t>
      </w:r>
      <w:r w:rsidR="00B20B30" w:rsidRPr="00124E7F">
        <w:t xml:space="preserve">es up to the amount currently paid for these uses. </w:t>
      </w:r>
      <w:r w:rsidRPr="00124E7F">
        <w:fldChar w:fldCharType="begin"/>
      </w:r>
      <w:r w:rsidRPr="00124E7F">
        <w:instrText xml:space="preserve"> REF _Ref446830964 \h </w:instrText>
      </w:r>
      <w:r w:rsidR="0004373C" w:rsidRPr="00124E7F">
        <w:instrText xml:space="preserve"> \* MERGEFORMAT </w:instrText>
      </w:r>
      <w:r w:rsidRPr="00124E7F">
        <w:fldChar w:fldCharType="separate"/>
      </w:r>
      <w:r w:rsidR="0075700D" w:rsidRPr="00124E7F">
        <w:t xml:space="preserve">Table </w:t>
      </w:r>
      <w:r w:rsidR="0075700D">
        <w:rPr>
          <w:noProof/>
        </w:rPr>
        <w:t>12</w:t>
      </w:r>
      <w:r w:rsidRPr="00124E7F">
        <w:fldChar w:fldCharType="end"/>
      </w:r>
      <w:r w:rsidRPr="00124E7F">
        <w:t xml:space="preserve"> </w:t>
      </w:r>
      <w:r w:rsidR="00F75F80" w:rsidRPr="00124E7F">
        <w:t xml:space="preserve">shows that orphan works represented around 15 per cent of all </w:t>
      </w:r>
      <w:r w:rsidRPr="00124E7F">
        <w:t xml:space="preserve">TM </w:t>
      </w:r>
      <w:r w:rsidR="00F75F80" w:rsidRPr="00124E7F">
        <w:t xml:space="preserve">pages in the 2014 Part VB survey, equating to </w:t>
      </w:r>
      <w:r w:rsidR="005D236A" w:rsidRPr="00124E7F">
        <w:t>licens</w:t>
      </w:r>
      <w:r w:rsidR="007D4AFF" w:rsidRPr="00124E7F">
        <w:t>e</w:t>
      </w:r>
      <w:r w:rsidRPr="00124E7F">
        <w:t xml:space="preserve"> payments of around $9.2</w:t>
      </w:r>
      <w:r w:rsidR="00F75F80" w:rsidRPr="00124E7F">
        <w:t> million to the Copyright Agency (</w:t>
      </w:r>
      <w:r w:rsidRPr="00124E7F">
        <w:t>i.e. $6</w:t>
      </w:r>
      <w:r w:rsidR="00B20B30" w:rsidRPr="00124E7F">
        <w:t>0</w:t>
      </w:r>
      <w:r w:rsidRPr="00124E7F">
        <w:t> million x 15%)</w:t>
      </w:r>
      <w:r w:rsidR="00F75F80" w:rsidRPr="00124E7F">
        <w:t>.</w:t>
      </w:r>
      <w:r w:rsidR="00F75F80" w:rsidRPr="00124E7F">
        <w:rPr>
          <w:vertAlign w:val="superscript"/>
        </w:rPr>
        <w:footnoteReference w:id="169"/>
      </w:r>
    </w:p>
    <w:p w14:paraId="3F0113AB" w14:textId="77777777" w:rsidR="00A25555" w:rsidRPr="00124E7F" w:rsidRDefault="00A25555" w:rsidP="00A25555">
      <w:pPr>
        <w:pStyle w:val="Caption"/>
      </w:pPr>
      <w:bookmarkStart w:id="150" w:name="_Ref446830964"/>
      <w:r w:rsidRPr="00124E7F">
        <w:t xml:space="preserve">Table </w:t>
      </w:r>
      <w:r w:rsidRPr="00124E7F">
        <w:fldChar w:fldCharType="begin"/>
      </w:r>
      <w:r w:rsidRPr="00124E7F">
        <w:instrText xml:space="preserve"> SEQ Table \* ARABIC </w:instrText>
      </w:r>
      <w:r w:rsidRPr="00124E7F">
        <w:fldChar w:fldCharType="separate"/>
      </w:r>
      <w:r w:rsidR="0075700D">
        <w:rPr>
          <w:noProof/>
        </w:rPr>
        <w:t>12</w:t>
      </w:r>
      <w:r w:rsidRPr="00124E7F">
        <w:fldChar w:fldCharType="end"/>
      </w:r>
      <w:bookmarkEnd w:id="150"/>
      <w:r w:rsidR="003F51E2" w:rsidRPr="00124E7F">
        <w:t>:</w:t>
      </w:r>
      <w:r w:rsidRPr="00124E7F">
        <w:t xml:space="preserve"> Percentage of orphan works using ‘unknown’ pages – 2014 surveys</w:t>
      </w:r>
    </w:p>
    <w:tbl>
      <w:tblPr>
        <w:tblStyle w:val="LightList-Accent1"/>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Table 12: Percentage of orphan works using ‘unknown’ pages – 2014 surveys"/>
        <w:tblDescription w:val="TThe table shows the percentage of orphan works (proxied by 'unknown pages' from the 2014 surveys as follows:&#10;  &#10;From the Electronic Usage Survey:&#10; Total TM pages (590,088)&#10;Unknown TM pages (23,837)&#10;% Total Pages (4%)&#10;&#10;From the Print Survey: &#10;Included pages (4,711,359)&#10;Metcalfe 1,6,7 pages (785,526)&#10;% Total Pages (17%)&#10;&#10;For a total of: &#10;Included pages (5,301,447)&#10;Metcalfe 1,6,7 pages (809,363)&#10;% Total Pages (15%)&#10;                         "/>
      </w:tblPr>
      <w:tblGrid>
        <w:gridCol w:w="2918"/>
        <w:gridCol w:w="2178"/>
        <w:gridCol w:w="2270"/>
        <w:gridCol w:w="1663"/>
      </w:tblGrid>
      <w:tr w:rsidR="004213AE" w:rsidRPr="00124E7F" w14:paraId="7FF0AED9" w14:textId="77777777" w:rsidTr="00285F86">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616" w:type="pct"/>
            <w:shd w:val="clear" w:color="auto" w:fill="F0F0F0" w:themeFill="accent4"/>
            <w:vAlign w:val="center"/>
          </w:tcPr>
          <w:p w14:paraId="275C67EE" w14:textId="77777777" w:rsidR="00F75F80" w:rsidRPr="00124E7F" w:rsidRDefault="00F75F80" w:rsidP="00232630">
            <w:pPr>
              <w:widowControl/>
              <w:autoSpaceDE/>
              <w:autoSpaceDN/>
              <w:adjustRightInd/>
              <w:spacing w:after="100" w:afterAutospacing="1" w:line="240" w:lineRule="auto"/>
              <w:jc w:val="center"/>
              <w:rPr>
                <w:color w:val="auto"/>
                <w:szCs w:val="22"/>
              </w:rPr>
            </w:pPr>
            <w:r w:rsidRPr="00124E7F">
              <w:rPr>
                <w:color w:val="auto"/>
                <w:szCs w:val="22"/>
              </w:rPr>
              <w:t>TM pages</w:t>
            </w:r>
          </w:p>
        </w:tc>
        <w:tc>
          <w:tcPr>
            <w:tcW w:w="1206" w:type="pct"/>
            <w:shd w:val="clear" w:color="auto" w:fill="F0F0F0" w:themeFill="accent4"/>
            <w:vAlign w:val="center"/>
          </w:tcPr>
          <w:p w14:paraId="1F0BE304" w14:textId="77777777" w:rsidR="00F75F80" w:rsidRPr="00124E7F" w:rsidRDefault="00F75F80" w:rsidP="00232630">
            <w:pPr>
              <w:widowControl/>
              <w:autoSpaceDE/>
              <w:autoSpaceDN/>
              <w:adjustRightInd/>
              <w:spacing w:after="100" w:afterAutospacing="1" w:line="240" w:lineRule="auto"/>
              <w:jc w:val="center"/>
              <w:cnfStyle w:val="100000000000" w:firstRow="1" w:lastRow="0" w:firstColumn="0" w:lastColumn="0" w:oddVBand="0" w:evenVBand="0" w:oddHBand="0" w:evenHBand="0" w:firstRowFirstColumn="0" w:firstRowLastColumn="0" w:lastRowFirstColumn="0" w:lastRowLastColumn="0"/>
              <w:rPr>
                <w:color w:val="auto"/>
                <w:szCs w:val="22"/>
              </w:rPr>
            </w:pPr>
            <w:r w:rsidRPr="00124E7F">
              <w:rPr>
                <w:color w:val="auto"/>
                <w:szCs w:val="22"/>
              </w:rPr>
              <w:t>Total TM pages</w:t>
            </w:r>
          </w:p>
        </w:tc>
        <w:tc>
          <w:tcPr>
            <w:tcW w:w="1257" w:type="pct"/>
            <w:shd w:val="clear" w:color="auto" w:fill="F0F0F0" w:themeFill="accent4"/>
            <w:vAlign w:val="center"/>
          </w:tcPr>
          <w:p w14:paraId="2610C3DB" w14:textId="77777777" w:rsidR="00F75F80" w:rsidRPr="00124E7F" w:rsidRDefault="00F75F80" w:rsidP="00232630">
            <w:pPr>
              <w:widowControl/>
              <w:autoSpaceDE/>
              <w:autoSpaceDN/>
              <w:adjustRightInd/>
              <w:spacing w:after="100" w:afterAutospacing="1" w:line="240" w:lineRule="auto"/>
              <w:jc w:val="center"/>
              <w:cnfStyle w:val="100000000000" w:firstRow="1" w:lastRow="0" w:firstColumn="0" w:lastColumn="0" w:oddVBand="0" w:evenVBand="0" w:oddHBand="0" w:evenHBand="0" w:firstRowFirstColumn="0" w:firstRowLastColumn="0" w:lastRowFirstColumn="0" w:lastRowLastColumn="0"/>
              <w:rPr>
                <w:color w:val="auto"/>
                <w:szCs w:val="22"/>
              </w:rPr>
            </w:pPr>
            <w:r w:rsidRPr="00124E7F">
              <w:rPr>
                <w:color w:val="auto"/>
                <w:szCs w:val="22"/>
              </w:rPr>
              <w:t>Unknown TM pages</w:t>
            </w:r>
          </w:p>
        </w:tc>
        <w:tc>
          <w:tcPr>
            <w:tcW w:w="921" w:type="pct"/>
            <w:shd w:val="clear" w:color="auto" w:fill="F0F0F0" w:themeFill="accent4"/>
            <w:vAlign w:val="center"/>
          </w:tcPr>
          <w:p w14:paraId="6C367342" w14:textId="77777777" w:rsidR="00F75F80" w:rsidRPr="00124E7F" w:rsidRDefault="00F75F80" w:rsidP="00232630">
            <w:pPr>
              <w:widowControl/>
              <w:autoSpaceDE/>
              <w:autoSpaceDN/>
              <w:adjustRightInd/>
              <w:spacing w:after="100" w:afterAutospacing="1" w:line="240" w:lineRule="auto"/>
              <w:jc w:val="center"/>
              <w:cnfStyle w:val="100000000000" w:firstRow="1" w:lastRow="0" w:firstColumn="0" w:lastColumn="0" w:oddVBand="0" w:evenVBand="0" w:oddHBand="0" w:evenHBand="0" w:firstRowFirstColumn="0" w:firstRowLastColumn="0" w:lastRowFirstColumn="0" w:lastRowLastColumn="0"/>
              <w:rPr>
                <w:color w:val="auto"/>
                <w:szCs w:val="22"/>
              </w:rPr>
            </w:pPr>
            <w:r w:rsidRPr="00124E7F">
              <w:rPr>
                <w:color w:val="auto"/>
                <w:szCs w:val="22"/>
              </w:rPr>
              <w:t>% Total pages</w:t>
            </w:r>
          </w:p>
        </w:tc>
      </w:tr>
      <w:tr w:rsidR="004213AE" w:rsidRPr="00124E7F" w14:paraId="73035535" w14:textId="77777777" w:rsidTr="000D46A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16" w:type="pct"/>
            <w:vAlign w:val="center"/>
          </w:tcPr>
          <w:p w14:paraId="4F70AF0C" w14:textId="77777777" w:rsidR="00F75F80" w:rsidRPr="00124E7F" w:rsidRDefault="00F75F80" w:rsidP="00232630">
            <w:pPr>
              <w:widowControl/>
              <w:autoSpaceDE/>
              <w:autoSpaceDN/>
              <w:adjustRightInd/>
              <w:spacing w:after="100" w:afterAutospacing="1" w:line="240" w:lineRule="auto"/>
              <w:rPr>
                <w:szCs w:val="22"/>
              </w:rPr>
            </w:pPr>
            <w:r w:rsidRPr="00124E7F">
              <w:rPr>
                <w:szCs w:val="22"/>
              </w:rPr>
              <w:t>Electronic Usage Survey</w:t>
            </w:r>
            <w:r w:rsidRPr="00124E7F">
              <w:rPr>
                <w:szCs w:val="22"/>
                <w:vertAlign w:val="superscript"/>
              </w:rPr>
              <w:t>1</w:t>
            </w:r>
            <w:r w:rsidRPr="00124E7F">
              <w:rPr>
                <w:szCs w:val="22"/>
              </w:rPr>
              <w:t xml:space="preserve"> </w:t>
            </w:r>
          </w:p>
        </w:tc>
        <w:tc>
          <w:tcPr>
            <w:tcW w:w="1206" w:type="pct"/>
            <w:vAlign w:val="center"/>
          </w:tcPr>
          <w:p w14:paraId="30F82EB6" w14:textId="77777777" w:rsidR="00F75F80" w:rsidRPr="00202E68" w:rsidRDefault="00F75F80" w:rsidP="00232630">
            <w:pPr>
              <w:spacing w:after="100" w:afterAutospacing="1" w:line="240" w:lineRule="auto"/>
              <w:jc w:val="right"/>
              <w:cnfStyle w:val="000000100000" w:firstRow="0" w:lastRow="0" w:firstColumn="0" w:lastColumn="0" w:oddVBand="0" w:evenVBand="0" w:oddHBand="1" w:evenHBand="0" w:firstRowFirstColumn="0" w:firstRowLastColumn="0" w:lastRowFirstColumn="0" w:lastRowLastColumn="0"/>
              <w:rPr>
                <w:rFonts w:cs="Calibri"/>
                <w:szCs w:val="22"/>
              </w:rPr>
            </w:pPr>
            <w:r w:rsidRPr="00202E68">
              <w:rPr>
                <w:rFonts w:cs="Calibri"/>
                <w:szCs w:val="22"/>
              </w:rPr>
              <w:t xml:space="preserve">590,088 </w:t>
            </w:r>
          </w:p>
        </w:tc>
        <w:tc>
          <w:tcPr>
            <w:tcW w:w="1257" w:type="pct"/>
            <w:vAlign w:val="center"/>
          </w:tcPr>
          <w:p w14:paraId="3C24BD4E" w14:textId="77777777" w:rsidR="00F75F80" w:rsidRPr="00202E68" w:rsidRDefault="00F75F80" w:rsidP="00232630">
            <w:pPr>
              <w:spacing w:after="100" w:afterAutospacing="1" w:line="240" w:lineRule="auto"/>
              <w:jc w:val="right"/>
              <w:cnfStyle w:val="000000100000" w:firstRow="0" w:lastRow="0" w:firstColumn="0" w:lastColumn="0" w:oddVBand="0" w:evenVBand="0" w:oddHBand="1" w:evenHBand="0" w:firstRowFirstColumn="0" w:firstRowLastColumn="0" w:lastRowFirstColumn="0" w:lastRowLastColumn="0"/>
              <w:rPr>
                <w:rFonts w:cs="Calibri"/>
                <w:szCs w:val="22"/>
              </w:rPr>
            </w:pPr>
            <w:r w:rsidRPr="00202E68">
              <w:rPr>
                <w:rFonts w:cs="Calibri"/>
                <w:szCs w:val="22"/>
              </w:rPr>
              <w:t xml:space="preserve">23,837 </w:t>
            </w:r>
          </w:p>
        </w:tc>
        <w:tc>
          <w:tcPr>
            <w:tcW w:w="921" w:type="pct"/>
            <w:vAlign w:val="center"/>
          </w:tcPr>
          <w:p w14:paraId="687F3439" w14:textId="77777777" w:rsidR="00F75F80" w:rsidRPr="00202E68" w:rsidRDefault="00F75F80" w:rsidP="00232630">
            <w:pPr>
              <w:spacing w:after="100" w:afterAutospacing="1" w:line="240" w:lineRule="auto"/>
              <w:jc w:val="right"/>
              <w:cnfStyle w:val="000000100000" w:firstRow="0" w:lastRow="0" w:firstColumn="0" w:lastColumn="0" w:oddVBand="0" w:evenVBand="0" w:oddHBand="1" w:evenHBand="0" w:firstRowFirstColumn="0" w:firstRowLastColumn="0" w:lastRowFirstColumn="0" w:lastRowLastColumn="0"/>
              <w:rPr>
                <w:rFonts w:cs="Calibri"/>
                <w:szCs w:val="22"/>
              </w:rPr>
            </w:pPr>
            <w:r w:rsidRPr="00202E68">
              <w:rPr>
                <w:rFonts w:cs="Calibri"/>
                <w:szCs w:val="22"/>
              </w:rPr>
              <w:t xml:space="preserve">4% </w:t>
            </w:r>
          </w:p>
        </w:tc>
      </w:tr>
      <w:tr w:rsidR="004213AE" w:rsidRPr="00124E7F" w14:paraId="6AA36A01" w14:textId="77777777" w:rsidTr="000D46AE">
        <w:trPr>
          <w:trHeight w:val="340"/>
        </w:trPr>
        <w:tc>
          <w:tcPr>
            <w:cnfStyle w:val="001000000000" w:firstRow="0" w:lastRow="0" w:firstColumn="1" w:lastColumn="0" w:oddVBand="0" w:evenVBand="0" w:oddHBand="0" w:evenHBand="0" w:firstRowFirstColumn="0" w:firstRowLastColumn="0" w:lastRowFirstColumn="0" w:lastRowLastColumn="0"/>
            <w:tcW w:w="1616" w:type="pct"/>
            <w:vAlign w:val="center"/>
          </w:tcPr>
          <w:p w14:paraId="61E8BEAC" w14:textId="77777777" w:rsidR="00F75F80" w:rsidRPr="00124E7F" w:rsidRDefault="00F75F80" w:rsidP="00232630">
            <w:pPr>
              <w:widowControl/>
              <w:autoSpaceDE/>
              <w:autoSpaceDN/>
              <w:adjustRightInd/>
              <w:spacing w:after="100" w:afterAutospacing="1" w:line="240" w:lineRule="auto"/>
              <w:rPr>
                <w:szCs w:val="22"/>
              </w:rPr>
            </w:pPr>
            <w:r w:rsidRPr="00124E7F">
              <w:rPr>
                <w:szCs w:val="22"/>
              </w:rPr>
              <w:t>Print Survey</w:t>
            </w:r>
            <w:r w:rsidRPr="00124E7F">
              <w:rPr>
                <w:szCs w:val="22"/>
                <w:vertAlign w:val="superscript"/>
              </w:rPr>
              <w:t>2</w:t>
            </w:r>
          </w:p>
        </w:tc>
        <w:tc>
          <w:tcPr>
            <w:tcW w:w="1206" w:type="pct"/>
            <w:vAlign w:val="center"/>
          </w:tcPr>
          <w:p w14:paraId="38E7C665" w14:textId="77777777" w:rsidR="00F75F80" w:rsidRPr="00202E68" w:rsidRDefault="00F75F80" w:rsidP="00232630">
            <w:pPr>
              <w:spacing w:after="100" w:afterAutospacing="1" w:line="240" w:lineRule="auto"/>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202E68">
              <w:rPr>
                <w:rFonts w:cs="Calibri"/>
                <w:szCs w:val="22"/>
              </w:rPr>
              <w:t xml:space="preserve">4,711,359 </w:t>
            </w:r>
          </w:p>
        </w:tc>
        <w:tc>
          <w:tcPr>
            <w:tcW w:w="1257" w:type="pct"/>
            <w:vAlign w:val="center"/>
          </w:tcPr>
          <w:p w14:paraId="2EB2D879" w14:textId="77777777" w:rsidR="00F75F80" w:rsidRPr="00202E68" w:rsidRDefault="00F75F80" w:rsidP="00232630">
            <w:pPr>
              <w:spacing w:after="100" w:afterAutospacing="1" w:line="240" w:lineRule="auto"/>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202E68">
              <w:rPr>
                <w:rFonts w:cs="Calibri"/>
                <w:szCs w:val="22"/>
              </w:rPr>
              <w:t xml:space="preserve">785,526 </w:t>
            </w:r>
          </w:p>
        </w:tc>
        <w:tc>
          <w:tcPr>
            <w:tcW w:w="921" w:type="pct"/>
            <w:vAlign w:val="center"/>
          </w:tcPr>
          <w:p w14:paraId="1E27743F" w14:textId="77777777" w:rsidR="00F75F80" w:rsidRPr="00202E68" w:rsidRDefault="00F75F80" w:rsidP="00562091">
            <w:pPr>
              <w:spacing w:after="100" w:afterAutospacing="1" w:line="240" w:lineRule="auto"/>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202E68">
              <w:rPr>
                <w:rFonts w:cs="Calibri"/>
                <w:szCs w:val="22"/>
              </w:rPr>
              <w:t xml:space="preserve">17% </w:t>
            </w:r>
          </w:p>
        </w:tc>
      </w:tr>
      <w:tr w:rsidR="004213AE" w:rsidRPr="00124E7F" w14:paraId="473B9818" w14:textId="77777777" w:rsidTr="000D46A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16" w:type="pct"/>
            <w:tcBorders>
              <w:bottom w:val="single" w:sz="4" w:space="0" w:color="808080" w:themeColor="background1" w:themeShade="80"/>
            </w:tcBorders>
            <w:shd w:val="clear" w:color="auto" w:fill="EAEAEA" w:themeFill="accent3" w:themeFillTint="33"/>
            <w:vAlign w:val="center"/>
          </w:tcPr>
          <w:p w14:paraId="1A268F64" w14:textId="77777777" w:rsidR="00F75F80" w:rsidRPr="00124E7F" w:rsidRDefault="00F75F80" w:rsidP="00232630">
            <w:pPr>
              <w:widowControl/>
              <w:autoSpaceDE/>
              <w:autoSpaceDN/>
              <w:adjustRightInd/>
              <w:spacing w:after="100" w:afterAutospacing="1" w:line="240" w:lineRule="auto"/>
              <w:rPr>
                <w:szCs w:val="22"/>
              </w:rPr>
            </w:pPr>
            <w:r w:rsidRPr="00124E7F">
              <w:rPr>
                <w:szCs w:val="22"/>
              </w:rPr>
              <w:t>Total</w:t>
            </w:r>
          </w:p>
        </w:tc>
        <w:tc>
          <w:tcPr>
            <w:tcW w:w="1206" w:type="pct"/>
            <w:tcBorders>
              <w:bottom w:val="single" w:sz="4" w:space="0" w:color="808080" w:themeColor="background1" w:themeShade="80"/>
            </w:tcBorders>
            <w:shd w:val="clear" w:color="auto" w:fill="EAEAEA" w:themeFill="accent3" w:themeFillTint="33"/>
            <w:vAlign w:val="center"/>
          </w:tcPr>
          <w:p w14:paraId="5457BFCD" w14:textId="77777777" w:rsidR="00F75F80" w:rsidRPr="00202E68" w:rsidRDefault="00F75F80" w:rsidP="00232630">
            <w:pPr>
              <w:spacing w:after="100" w:afterAutospacing="1" w:line="240" w:lineRule="auto"/>
              <w:jc w:val="right"/>
              <w:cnfStyle w:val="000000100000" w:firstRow="0" w:lastRow="0" w:firstColumn="0" w:lastColumn="0" w:oddVBand="0" w:evenVBand="0" w:oddHBand="1" w:evenHBand="0" w:firstRowFirstColumn="0" w:firstRowLastColumn="0" w:lastRowFirstColumn="0" w:lastRowLastColumn="0"/>
              <w:rPr>
                <w:rFonts w:cs="Calibri"/>
                <w:b/>
                <w:szCs w:val="22"/>
              </w:rPr>
            </w:pPr>
            <w:r w:rsidRPr="00202E68">
              <w:rPr>
                <w:rFonts w:cs="Calibri"/>
                <w:b/>
                <w:szCs w:val="22"/>
              </w:rPr>
              <w:t xml:space="preserve">5,301,447 </w:t>
            </w:r>
          </w:p>
        </w:tc>
        <w:tc>
          <w:tcPr>
            <w:tcW w:w="1257" w:type="pct"/>
            <w:tcBorders>
              <w:bottom w:val="single" w:sz="4" w:space="0" w:color="808080" w:themeColor="background1" w:themeShade="80"/>
            </w:tcBorders>
            <w:shd w:val="clear" w:color="auto" w:fill="EAEAEA" w:themeFill="accent3" w:themeFillTint="33"/>
            <w:vAlign w:val="center"/>
          </w:tcPr>
          <w:p w14:paraId="4565F875" w14:textId="77777777" w:rsidR="00F75F80" w:rsidRPr="00202E68" w:rsidRDefault="00F75F80" w:rsidP="00F75F80">
            <w:pPr>
              <w:spacing w:after="100" w:afterAutospacing="1" w:line="240" w:lineRule="auto"/>
              <w:jc w:val="right"/>
              <w:cnfStyle w:val="000000100000" w:firstRow="0" w:lastRow="0" w:firstColumn="0" w:lastColumn="0" w:oddVBand="0" w:evenVBand="0" w:oddHBand="1" w:evenHBand="0" w:firstRowFirstColumn="0" w:firstRowLastColumn="0" w:lastRowFirstColumn="0" w:lastRowLastColumn="0"/>
              <w:rPr>
                <w:rFonts w:cs="Calibri"/>
                <w:b/>
                <w:szCs w:val="22"/>
              </w:rPr>
            </w:pPr>
            <w:r w:rsidRPr="00202E68">
              <w:rPr>
                <w:rFonts w:cs="Calibri"/>
                <w:b/>
                <w:szCs w:val="22"/>
              </w:rPr>
              <w:t xml:space="preserve">809,363 </w:t>
            </w:r>
          </w:p>
        </w:tc>
        <w:tc>
          <w:tcPr>
            <w:tcW w:w="921" w:type="pct"/>
            <w:tcBorders>
              <w:bottom w:val="single" w:sz="4" w:space="0" w:color="808080" w:themeColor="background1" w:themeShade="80"/>
            </w:tcBorders>
            <w:shd w:val="clear" w:color="auto" w:fill="EAEAEA" w:themeFill="accent3" w:themeFillTint="33"/>
            <w:vAlign w:val="center"/>
          </w:tcPr>
          <w:p w14:paraId="73F98A4D" w14:textId="77777777" w:rsidR="00F75F80" w:rsidRPr="00202E68" w:rsidRDefault="00F75F80" w:rsidP="00232630">
            <w:pPr>
              <w:spacing w:after="100" w:afterAutospacing="1" w:line="240" w:lineRule="auto"/>
              <w:jc w:val="right"/>
              <w:cnfStyle w:val="000000100000" w:firstRow="0" w:lastRow="0" w:firstColumn="0" w:lastColumn="0" w:oddVBand="0" w:evenVBand="0" w:oddHBand="1" w:evenHBand="0" w:firstRowFirstColumn="0" w:firstRowLastColumn="0" w:lastRowFirstColumn="0" w:lastRowLastColumn="0"/>
              <w:rPr>
                <w:rFonts w:cs="Calibri"/>
                <w:b/>
                <w:szCs w:val="22"/>
              </w:rPr>
            </w:pPr>
            <w:r w:rsidRPr="00202E68">
              <w:rPr>
                <w:rFonts w:cs="Calibri"/>
                <w:b/>
                <w:szCs w:val="22"/>
              </w:rPr>
              <w:t xml:space="preserve">15% </w:t>
            </w:r>
          </w:p>
        </w:tc>
      </w:tr>
    </w:tbl>
    <w:p w14:paraId="5446AEC1" w14:textId="77777777" w:rsidR="00F75F80" w:rsidRPr="00124E7F" w:rsidRDefault="00F75F80" w:rsidP="00F75F80">
      <w:pPr>
        <w:spacing w:before="60" w:after="60" w:line="240" w:lineRule="auto"/>
        <w:rPr>
          <w:i/>
          <w:sz w:val="20"/>
        </w:rPr>
      </w:pPr>
      <w:r w:rsidRPr="00124E7F">
        <w:rPr>
          <w:i/>
          <w:sz w:val="20"/>
        </w:rPr>
        <w:t xml:space="preserve">Table notes </w:t>
      </w:r>
    </w:p>
    <w:p w14:paraId="36AAFA61" w14:textId="77777777" w:rsidR="00F75F80" w:rsidRPr="00124E7F" w:rsidRDefault="00F75F80" w:rsidP="00F75F80">
      <w:pPr>
        <w:spacing w:before="60" w:after="60" w:line="240" w:lineRule="auto"/>
        <w:rPr>
          <w:i/>
          <w:sz w:val="20"/>
        </w:rPr>
      </w:pPr>
      <w:r w:rsidRPr="00124E7F">
        <w:rPr>
          <w:i/>
          <w:sz w:val="20"/>
        </w:rPr>
        <w:t>[1] Sourced from 2014 EUS Datasets (raw data not validated by EY)</w:t>
      </w:r>
      <w:r w:rsidR="00AC03CC" w:rsidRPr="00124E7F">
        <w:rPr>
          <w:i/>
          <w:sz w:val="20"/>
        </w:rPr>
        <w:t>.</w:t>
      </w:r>
    </w:p>
    <w:p w14:paraId="58543407" w14:textId="77777777" w:rsidR="00C25091" w:rsidRPr="00124E7F" w:rsidRDefault="00AC03CC" w:rsidP="00056CA8">
      <w:pPr>
        <w:spacing w:before="60" w:after="60" w:line="240" w:lineRule="auto"/>
        <w:ind w:left="284" w:hanging="284"/>
        <w:rPr>
          <w:i/>
          <w:sz w:val="20"/>
        </w:rPr>
      </w:pPr>
      <w:r w:rsidRPr="00124E7F">
        <w:rPr>
          <w:i/>
          <w:sz w:val="20"/>
        </w:rPr>
        <w:t>[2</w:t>
      </w:r>
      <w:r w:rsidR="00F75F80" w:rsidRPr="00124E7F">
        <w:rPr>
          <w:i/>
          <w:sz w:val="20"/>
        </w:rPr>
        <w:t>] Sourced from 2014 Print Datasets (raw data not validated by EY)</w:t>
      </w:r>
      <w:r w:rsidRPr="00124E7F">
        <w:rPr>
          <w:i/>
          <w:sz w:val="20"/>
        </w:rPr>
        <w:t>. Includes ‘Unknown Title – No URL – No Publisher’ and ‘Unknown Title – No URL – But publisher noted’.</w:t>
      </w:r>
    </w:p>
    <w:p w14:paraId="315CD3C0" w14:textId="77777777" w:rsidR="007667D9" w:rsidRPr="00124E7F" w:rsidRDefault="007667D9" w:rsidP="000061D4">
      <w:pPr>
        <w:pStyle w:val="EYSubheading"/>
        <w:rPr>
          <w:sz w:val="20"/>
          <w:szCs w:val="20"/>
        </w:rPr>
      </w:pPr>
    </w:p>
    <w:p w14:paraId="5134331B" w14:textId="77777777" w:rsidR="006A0CBA" w:rsidRPr="00124E7F" w:rsidRDefault="006A0CBA" w:rsidP="005F191D">
      <w:pPr>
        <w:pStyle w:val="EYHeading4"/>
      </w:pPr>
      <w:r w:rsidRPr="00124E7F">
        <w:t>Summary</w:t>
      </w:r>
    </w:p>
    <w:p w14:paraId="5A998227" w14:textId="77777777" w:rsidR="00803C55" w:rsidRPr="00124E7F" w:rsidRDefault="006A0CBA" w:rsidP="00C13CFD">
      <w:pPr>
        <w:pStyle w:val="EYBodytextwithparaspace"/>
      </w:pPr>
      <w:r w:rsidRPr="00124E7F">
        <w:rPr>
          <w:rStyle w:val="AAnormalChar"/>
        </w:rPr>
        <w:t>Together, the above analysis shows a potential transfer from right</w:t>
      </w:r>
      <w:r w:rsidR="00C37ECD" w:rsidRPr="00124E7F">
        <w:rPr>
          <w:rStyle w:val="AAnormalChar"/>
        </w:rPr>
        <w:t>s</w:t>
      </w:r>
      <w:r w:rsidRPr="00124E7F">
        <w:rPr>
          <w:rStyle w:val="AAnormalChar"/>
        </w:rPr>
        <w:t xml:space="preserve"> holders to </w:t>
      </w:r>
      <w:r w:rsidR="005D236A" w:rsidRPr="00124E7F">
        <w:rPr>
          <w:rStyle w:val="AAnormalChar"/>
        </w:rPr>
        <w:t>licens</w:t>
      </w:r>
      <w:r w:rsidR="007D4AFF" w:rsidRPr="00124E7F">
        <w:rPr>
          <w:rStyle w:val="AAnormalChar"/>
        </w:rPr>
        <w:t>e</w:t>
      </w:r>
      <w:r w:rsidRPr="00124E7F">
        <w:rPr>
          <w:rStyle w:val="AAnormalChar"/>
        </w:rPr>
        <w:t>es of around $18.3 million</w:t>
      </w:r>
      <w:r w:rsidR="00803C55" w:rsidRPr="00124E7F">
        <w:rPr>
          <w:rStyle w:val="AAnormalChar"/>
        </w:rPr>
        <w:t xml:space="preserve"> per annum</w:t>
      </w:r>
      <w:r w:rsidRPr="00124E7F">
        <w:rPr>
          <w:rStyle w:val="AAnormalChar"/>
        </w:rPr>
        <w:t xml:space="preserve"> (</w:t>
      </w:r>
      <w:r w:rsidR="00D20918" w:rsidRPr="00124E7F">
        <w:rPr>
          <w:rStyle w:val="AAnormalChar"/>
        </w:rPr>
        <w:t xml:space="preserve">or </w:t>
      </w:r>
      <w:r w:rsidRPr="00124E7F">
        <w:rPr>
          <w:rStyle w:val="AAnormalChar"/>
        </w:rPr>
        <w:t xml:space="preserve">around 30 per cent of </w:t>
      </w:r>
      <w:r w:rsidR="00803C55" w:rsidRPr="00124E7F">
        <w:rPr>
          <w:rStyle w:val="AAnormalChar"/>
        </w:rPr>
        <w:t xml:space="preserve">school </w:t>
      </w:r>
      <w:r w:rsidR="005D236A" w:rsidRPr="00124E7F">
        <w:rPr>
          <w:rStyle w:val="AAnormalChar"/>
        </w:rPr>
        <w:t>licens</w:t>
      </w:r>
      <w:r w:rsidR="007D4AFF" w:rsidRPr="00124E7F">
        <w:rPr>
          <w:rStyle w:val="AAnormalChar"/>
        </w:rPr>
        <w:t>ing</w:t>
      </w:r>
      <w:r w:rsidRPr="00124E7F">
        <w:rPr>
          <w:rStyle w:val="AAnormalChar"/>
        </w:rPr>
        <w:t xml:space="preserve"> payments</w:t>
      </w:r>
      <w:r w:rsidR="00803C55" w:rsidRPr="00124E7F">
        <w:rPr>
          <w:rStyle w:val="AAnormalChar"/>
        </w:rPr>
        <w:t xml:space="preserve"> in 2014 under the </w:t>
      </w:r>
      <w:r w:rsidR="00EC5401" w:rsidRPr="00124E7F">
        <w:rPr>
          <w:rStyle w:val="AAnormalChar"/>
        </w:rPr>
        <w:t xml:space="preserve">Part VA </w:t>
      </w:r>
      <w:r w:rsidR="005D236A" w:rsidRPr="00124E7F">
        <w:rPr>
          <w:rStyle w:val="AAnormalChar"/>
        </w:rPr>
        <w:t>licens</w:t>
      </w:r>
      <w:r w:rsidR="007D4AFF" w:rsidRPr="00124E7F">
        <w:rPr>
          <w:rStyle w:val="AAnormalChar"/>
        </w:rPr>
        <w:t>e</w:t>
      </w:r>
      <w:r w:rsidR="00EC5401" w:rsidRPr="00124E7F">
        <w:rPr>
          <w:rStyle w:val="AAnormalChar"/>
        </w:rPr>
        <w:t>).</w:t>
      </w:r>
      <w:r w:rsidRPr="00124E7F">
        <w:rPr>
          <w:rStyle w:val="AAnormalChar"/>
          <w:vertAlign w:val="superscript"/>
        </w:rPr>
        <w:footnoteReference w:id="170"/>
      </w:r>
      <w:r w:rsidR="00EC5401" w:rsidRPr="00124E7F">
        <w:rPr>
          <w:rStyle w:val="AAnormalChar"/>
          <w:vertAlign w:val="superscript"/>
        </w:rPr>
        <w:t xml:space="preserve"> </w:t>
      </w:r>
      <w:r w:rsidRPr="00124E7F">
        <w:rPr>
          <w:rStyle w:val="AAnormalChar"/>
        </w:rPr>
        <w:t xml:space="preserve">This should be interpreted as a very conservative estimate, given that equivalent data </w:t>
      </w:r>
      <w:r w:rsidR="00803C55" w:rsidRPr="00124E7F">
        <w:rPr>
          <w:rStyle w:val="AAnormalChar"/>
        </w:rPr>
        <w:t xml:space="preserve">could not be obtained from schools for the Part VB </w:t>
      </w:r>
      <w:r w:rsidR="005D236A" w:rsidRPr="00124E7F">
        <w:rPr>
          <w:rStyle w:val="AAnormalChar"/>
        </w:rPr>
        <w:t>licens</w:t>
      </w:r>
      <w:r w:rsidR="007D4AFF" w:rsidRPr="00124E7F">
        <w:rPr>
          <w:rStyle w:val="AAnormalChar"/>
        </w:rPr>
        <w:t>e</w:t>
      </w:r>
      <w:r w:rsidR="00803C55" w:rsidRPr="00124E7F">
        <w:rPr>
          <w:rStyle w:val="AAnormalChar"/>
        </w:rPr>
        <w:t xml:space="preserve"> nor from universities and TAFEs. The experience of Canada after the introduction of a similar fair dealing exception in 2012 </w:t>
      </w:r>
      <w:r w:rsidR="00D20918" w:rsidRPr="00124E7F">
        <w:rPr>
          <w:rStyle w:val="AAnormalChar"/>
        </w:rPr>
        <w:t xml:space="preserve">also </w:t>
      </w:r>
      <w:r w:rsidR="00803C55" w:rsidRPr="00124E7F">
        <w:rPr>
          <w:rStyle w:val="AAnormalChar"/>
        </w:rPr>
        <w:t xml:space="preserve">suggests that the transfer could be much larger. </w:t>
      </w:r>
      <w:r w:rsidR="001C213E" w:rsidRPr="00124E7F">
        <w:rPr>
          <w:rStyle w:val="AAnormalChar"/>
        </w:rPr>
        <w:t xml:space="preserve">In </w:t>
      </w:r>
      <w:r w:rsidR="00803C55" w:rsidRPr="00124E7F">
        <w:rPr>
          <w:rStyle w:val="AAnormalChar"/>
        </w:rPr>
        <w:t>February 2016, the Copyright Board of Canada</w:t>
      </w:r>
      <w:r w:rsidR="00E669E6" w:rsidRPr="00124E7F">
        <w:rPr>
          <w:rStyle w:val="AAnormalChar"/>
        </w:rPr>
        <w:t xml:space="preserve"> (the Board)</w:t>
      </w:r>
      <w:r w:rsidR="00803C55" w:rsidRPr="00124E7F">
        <w:rPr>
          <w:rStyle w:val="AAnormalChar"/>
        </w:rPr>
        <w:t xml:space="preserve"> released its decision in the case of </w:t>
      </w:r>
      <w:r w:rsidR="00176AF6" w:rsidRPr="00124E7F">
        <w:rPr>
          <w:rStyle w:val="AAnormalChar"/>
        </w:rPr>
        <w:t>Access Copyright versus Elementary and</w:t>
      </w:r>
      <w:r w:rsidR="00176AF6" w:rsidRPr="00124E7F">
        <w:t xml:space="preserve"> Secondary S</w:t>
      </w:r>
      <w:r w:rsidR="00803C55" w:rsidRPr="00124E7F">
        <w:t>chools</w:t>
      </w:r>
      <w:r w:rsidR="001C213E" w:rsidRPr="00124E7F">
        <w:t>,</w:t>
      </w:r>
      <w:r w:rsidR="00803C55" w:rsidRPr="00124E7F">
        <w:t xml:space="preserve"> finding that 98 per cent of copies made by schools constitute fair dealing.</w:t>
      </w:r>
      <w:r w:rsidR="00176AF6" w:rsidRPr="00124E7F">
        <w:rPr>
          <w:vertAlign w:val="superscript"/>
        </w:rPr>
        <w:footnoteReference w:id="171"/>
      </w:r>
      <w:r w:rsidR="00803C55" w:rsidRPr="00124E7F">
        <w:rPr>
          <w:vertAlign w:val="superscript"/>
        </w:rPr>
        <w:t xml:space="preserve"> </w:t>
      </w:r>
    </w:p>
    <w:p w14:paraId="4E22E8DC" w14:textId="77777777" w:rsidR="009B3A66" w:rsidRPr="00124E7F" w:rsidRDefault="009B3A66" w:rsidP="002469A6">
      <w:pPr>
        <w:pStyle w:val="AAHeading3"/>
      </w:pPr>
      <w:r w:rsidRPr="00124E7F">
        <w:t>Incentives to create new works</w:t>
      </w:r>
    </w:p>
    <w:p w14:paraId="2C4C1FD5" w14:textId="77777777" w:rsidR="00C94D85" w:rsidRPr="00124E7F" w:rsidRDefault="00C94D85" w:rsidP="002469A6">
      <w:pPr>
        <w:pStyle w:val="EYHeading4"/>
      </w:pPr>
      <w:r w:rsidRPr="00124E7F">
        <w:t>The Canada Case Study</w:t>
      </w:r>
    </w:p>
    <w:p w14:paraId="7F6DF508" w14:textId="77777777" w:rsidR="00803D9D" w:rsidRPr="00124E7F" w:rsidRDefault="00200DB2" w:rsidP="00FD76D7">
      <w:pPr>
        <w:pStyle w:val="EYBodytextwithparaspace"/>
      </w:pPr>
      <w:r w:rsidRPr="00124E7F">
        <w:rPr>
          <w:rStyle w:val="AAnormalChar"/>
        </w:rPr>
        <w:t xml:space="preserve">A recent report by PwC points to the experiences of Canada following the introduction of a fair dealing exception on education in 2012, and argues that similar impacts </w:t>
      </w:r>
      <w:r w:rsidR="009C02B6" w:rsidRPr="00124E7F">
        <w:rPr>
          <w:rStyle w:val="AAnormalChar"/>
        </w:rPr>
        <w:t>should</w:t>
      </w:r>
      <w:r w:rsidRPr="00124E7F">
        <w:rPr>
          <w:rStyle w:val="AAnormalChar"/>
        </w:rPr>
        <w:t xml:space="preserve"> be expected in Australia.</w:t>
      </w:r>
      <w:r w:rsidR="00274774" w:rsidRPr="00124E7F">
        <w:rPr>
          <w:rStyle w:val="AAnormalChar"/>
        </w:rPr>
        <w:t xml:space="preserve"> </w:t>
      </w:r>
      <w:r w:rsidR="009C02B6" w:rsidRPr="00124E7F">
        <w:rPr>
          <w:rStyle w:val="AAnormalChar"/>
        </w:rPr>
        <w:t xml:space="preserve">In the short run, </w:t>
      </w:r>
      <w:r w:rsidR="00FD76D7" w:rsidRPr="00124E7F">
        <w:rPr>
          <w:rStyle w:val="AAnormalChar"/>
        </w:rPr>
        <w:t xml:space="preserve">the report </w:t>
      </w:r>
      <w:r w:rsidR="00096E5D" w:rsidRPr="00124E7F">
        <w:rPr>
          <w:rStyle w:val="AAnormalChar"/>
        </w:rPr>
        <w:t>links the</w:t>
      </w:r>
      <w:r w:rsidR="00274774" w:rsidRPr="00124E7F">
        <w:rPr>
          <w:rStyle w:val="AAnormalChar"/>
        </w:rPr>
        <w:t xml:space="preserve"> reduction in revenues from the education sector </w:t>
      </w:r>
      <w:r w:rsidR="00096E5D" w:rsidRPr="00124E7F">
        <w:rPr>
          <w:rStyle w:val="AAnormalChar"/>
        </w:rPr>
        <w:t xml:space="preserve">to </w:t>
      </w:r>
      <w:r w:rsidR="00274774" w:rsidRPr="00124E7F">
        <w:rPr>
          <w:rStyle w:val="AAnormalChar"/>
        </w:rPr>
        <w:t xml:space="preserve">the closure of a number of </w:t>
      </w:r>
      <w:r w:rsidR="009C02B6" w:rsidRPr="00124E7F">
        <w:rPr>
          <w:rStyle w:val="AAnormalChar"/>
        </w:rPr>
        <w:t xml:space="preserve">Canadian </w:t>
      </w:r>
      <w:r w:rsidR="00274774" w:rsidRPr="00124E7F">
        <w:rPr>
          <w:rStyle w:val="AAnormalChar"/>
        </w:rPr>
        <w:t>publishers</w:t>
      </w:r>
      <w:r w:rsidR="00105C7F" w:rsidRPr="00124E7F">
        <w:rPr>
          <w:rStyle w:val="AAnormalChar"/>
        </w:rPr>
        <w:t xml:space="preserve"> and a collecting society</w:t>
      </w:r>
      <w:r w:rsidR="00274774" w:rsidRPr="00124E7F">
        <w:rPr>
          <w:rStyle w:val="AAnormalChar"/>
        </w:rPr>
        <w:t>.</w:t>
      </w:r>
      <w:r w:rsidR="00274774" w:rsidRPr="00124E7F">
        <w:rPr>
          <w:rStyle w:val="AAnormalChar"/>
          <w:vertAlign w:val="superscript"/>
        </w:rPr>
        <w:footnoteReference w:id="172"/>
      </w:r>
      <w:r w:rsidR="0004373C" w:rsidRPr="00124E7F">
        <w:rPr>
          <w:rStyle w:val="AAnormalChar"/>
        </w:rPr>
        <w:t xml:space="preserve"> </w:t>
      </w:r>
      <w:r w:rsidR="00274774" w:rsidRPr="00124E7F">
        <w:rPr>
          <w:rStyle w:val="AAnormalChar"/>
        </w:rPr>
        <w:t xml:space="preserve">In the long run, </w:t>
      </w:r>
      <w:r w:rsidR="00FD76D7" w:rsidRPr="00124E7F">
        <w:rPr>
          <w:rStyle w:val="AAnormalChar"/>
        </w:rPr>
        <w:t xml:space="preserve">the report links </w:t>
      </w:r>
      <w:r w:rsidR="00274774" w:rsidRPr="00124E7F">
        <w:rPr>
          <w:rStyle w:val="AAnormalChar"/>
        </w:rPr>
        <w:t xml:space="preserve">the loss of producer </w:t>
      </w:r>
      <w:r w:rsidR="003F2D5F" w:rsidRPr="00124E7F">
        <w:rPr>
          <w:rStyle w:val="AAnormalChar"/>
        </w:rPr>
        <w:t>surplus to reduce</w:t>
      </w:r>
      <w:r w:rsidR="00FD76D7" w:rsidRPr="00124E7F">
        <w:rPr>
          <w:rStyle w:val="AAnormalChar"/>
        </w:rPr>
        <w:t>d</w:t>
      </w:r>
      <w:r w:rsidR="003F2D5F" w:rsidRPr="00124E7F">
        <w:rPr>
          <w:rStyle w:val="AAnormalChar"/>
        </w:rPr>
        <w:t xml:space="preserve"> incentives </w:t>
      </w:r>
      <w:r w:rsidR="00FD76D7" w:rsidRPr="00124E7F">
        <w:rPr>
          <w:rStyle w:val="AAnormalChar"/>
        </w:rPr>
        <w:t xml:space="preserve">by </w:t>
      </w:r>
      <w:r w:rsidR="00274774" w:rsidRPr="00124E7F">
        <w:rPr>
          <w:rStyle w:val="AAnormalChar"/>
        </w:rPr>
        <w:t>creators and publishers to</w:t>
      </w:r>
      <w:r w:rsidR="00274774" w:rsidRPr="00124E7F">
        <w:t xml:space="preserve"> invest in new works</w:t>
      </w:r>
      <w:r w:rsidR="00104F4D" w:rsidRPr="00124E7F">
        <w:t>,</w:t>
      </w:r>
      <w:r w:rsidR="00274774" w:rsidRPr="00124E7F">
        <w:t xml:space="preserve"> impacting on the supply </w:t>
      </w:r>
      <w:r w:rsidR="009C02B6" w:rsidRPr="00124E7F">
        <w:t>of educational content</w:t>
      </w:r>
      <w:r w:rsidR="00274774" w:rsidRPr="00124E7F">
        <w:t>.</w:t>
      </w:r>
      <w:r w:rsidR="00274774" w:rsidRPr="00124E7F">
        <w:rPr>
          <w:vertAlign w:val="superscript"/>
        </w:rPr>
        <w:footnoteReference w:id="173"/>
      </w:r>
      <w:r w:rsidR="00274774" w:rsidRPr="00124E7F">
        <w:rPr>
          <w:vertAlign w:val="superscript"/>
        </w:rPr>
        <w:t xml:space="preserve"> </w:t>
      </w:r>
      <w:r w:rsidR="008D7593" w:rsidRPr="00124E7F">
        <w:t xml:space="preserve">The merits of each argument are worth considering separately. </w:t>
      </w:r>
    </w:p>
    <w:p w14:paraId="385E3F20" w14:textId="77777777" w:rsidR="00803D9D" w:rsidRPr="00124E7F" w:rsidRDefault="00803D9D" w:rsidP="002469A6">
      <w:pPr>
        <w:pStyle w:val="EYHeading4"/>
      </w:pPr>
      <w:r w:rsidRPr="00124E7F">
        <w:t>Closures in the book publishing industry</w:t>
      </w:r>
    </w:p>
    <w:p w14:paraId="12A874FC" w14:textId="77777777" w:rsidR="00232630" w:rsidRPr="00124E7F" w:rsidRDefault="008D7593" w:rsidP="00056CA8">
      <w:pPr>
        <w:pStyle w:val="EYBodytextwithparaspace"/>
      </w:pPr>
      <w:r w:rsidRPr="00124E7F">
        <w:t xml:space="preserve">Firstly, </w:t>
      </w:r>
      <w:r w:rsidR="00096E5D" w:rsidRPr="00124E7F">
        <w:t xml:space="preserve">the report </w:t>
      </w:r>
      <w:r w:rsidR="009C02B6" w:rsidRPr="00124E7F">
        <w:t>provides</w:t>
      </w:r>
      <w:r w:rsidR="00464A81" w:rsidRPr="00124E7F">
        <w:t xml:space="preserve"> evidence sho</w:t>
      </w:r>
      <w:r w:rsidR="009C02B6" w:rsidRPr="00124E7F">
        <w:t>wing that between 2011 and 2013</w:t>
      </w:r>
      <w:r w:rsidR="00464A81" w:rsidRPr="00124E7F">
        <w:t xml:space="preserve"> Canada’s education publishing sector saw its share of GDP decline by 16 per cent </w:t>
      </w:r>
      <w:r w:rsidR="009C02B6" w:rsidRPr="00124E7F">
        <w:t>from</w:t>
      </w:r>
      <w:r w:rsidR="00464A81" w:rsidRPr="00124E7F">
        <w:t xml:space="preserve"> $740 billion to $620 billion, </w:t>
      </w:r>
      <w:r w:rsidR="00E719CB" w:rsidRPr="00124E7F">
        <w:t>coinciding with the closure of a number of publishers.</w:t>
      </w:r>
      <w:r w:rsidR="00E719CB" w:rsidRPr="00124E7F">
        <w:rPr>
          <w:vertAlign w:val="superscript"/>
        </w:rPr>
        <w:footnoteReference w:id="174"/>
      </w:r>
      <w:r w:rsidR="00765D0A" w:rsidRPr="00124E7F">
        <w:t xml:space="preserve"> </w:t>
      </w:r>
      <w:r w:rsidR="00357789" w:rsidRPr="00124E7F">
        <w:fldChar w:fldCharType="begin"/>
      </w:r>
      <w:r w:rsidR="00357789" w:rsidRPr="00124E7F">
        <w:instrText xml:space="preserve"> REF _Ref446849057 \h </w:instrText>
      </w:r>
      <w:r w:rsidR="0004373C" w:rsidRPr="00124E7F">
        <w:instrText xml:space="preserve"> \* MERGEFORMAT </w:instrText>
      </w:r>
      <w:r w:rsidR="00357789" w:rsidRPr="00124E7F">
        <w:fldChar w:fldCharType="separate"/>
      </w:r>
      <w:r w:rsidR="0075700D" w:rsidRPr="00124E7F">
        <w:t xml:space="preserve">Figure </w:t>
      </w:r>
      <w:r w:rsidR="0075700D">
        <w:rPr>
          <w:noProof/>
        </w:rPr>
        <w:t>7</w:t>
      </w:r>
      <w:r w:rsidR="00357789" w:rsidRPr="00124E7F">
        <w:fldChar w:fldCharType="end"/>
      </w:r>
      <w:r w:rsidR="00357789" w:rsidRPr="00124E7F">
        <w:t xml:space="preserve"> </w:t>
      </w:r>
      <w:r w:rsidR="00A915D7" w:rsidRPr="00124E7F">
        <w:t xml:space="preserve">shows that sales of educational books in Canada had been falling long before 2012, suggesting that the industry was already </w:t>
      </w:r>
      <w:r w:rsidR="00B054A5" w:rsidRPr="00124E7F">
        <w:t>undergoing change</w:t>
      </w:r>
      <w:r w:rsidR="00803D9D" w:rsidRPr="00124E7F">
        <w:t xml:space="preserve"> when the exception was introduced</w:t>
      </w:r>
      <w:r w:rsidR="00A915D7" w:rsidRPr="00124E7F">
        <w:t xml:space="preserve">. </w:t>
      </w:r>
      <w:r w:rsidR="00232630" w:rsidRPr="00124E7F">
        <w:t xml:space="preserve">The question </w:t>
      </w:r>
      <w:r w:rsidR="00104F4D" w:rsidRPr="00124E7F">
        <w:t xml:space="preserve">then is </w:t>
      </w:r>
      <w:r w:rsidR="00464A81" w:rsidRPr="00124E7F">
        <w:t xml:space="preserve">whether </w:t>
      </w:r>
      <w:r w:rsidR="00104F4D" w:rsidRPr="00124E7F">
        <w:t xml:space="preserve">the decline in sales was related to copying </w:t>
      </w:r>
      <w:proofErr w:type="spellStart"/>
      <w:r w:rsidR="00104F4D" w:rsidRPr="00124E7F">
        <w:t>behaviour</w:t>
      </w:r>
      <w:proofErr w:type="spellEnd"/>
      <w:r w:rsidR="00104F4D" w:rsidRPr="00124E7F">
        <w:t xml:space="preserve"> post the exception or a </w:t>
      </w:r>
      <w:r w:rsidR="00464A81" w:rsidRPr="00124E7F">
        <w:t>continuation of sales trends</w:t>
      </w:r>
      <w:r w:rsidR="00104F4D" w:rsidRPr="00124E7F">
        <w:t>?</w:t>
      </w:r>
    </w:p>
    <w:p w14:paraId="639CB086" w14:textId="77777777" w:rsidR="009E509D" w:rsidRDefault="009E509D" w:rsidP="00056CA8">
      <w:pPr>
        <w:pStyle w:val="Caption"/>
        <w:keepNext/>
        <w:spacing w:after="120"/>
      </w:pPr>
      <w:bookmarkStart w:id="151" w:name="_Ref446849057"/>
      <w:r w:rsidRPr="00124E7F">
        <w:t xml:space="preserve">Figure </w:t>
      </w:r>
      <w:r w:rsidRPr="00124E7F">
        <w:fldChar w:fldCharType="begin"/>
      </w:r>
      <w:r w:rsidRPr="00124E7F">
        <w:instrText xml:space="preserve"> SEQ Figure \* ARABIC </w:instrText>
      </w:r>
      <w:r w:rsidRPr="00124E7F">
        <w:fldChar w:fldCharType="separate"/>
      </w:r>
      <w:r w:rsidR="0075700D">
        <w:rPr>
          <w:noProof/>
        </w:rPr>
        <w:t>7</w:t>
      </w:r>
      <w:r w:rsidRPr="00124E7F">
        <w:fldChar w:fldCharType="end"/>
      </w:r>
      <w:bookmarkEnd w:id="151"/>
      <w:r w:rsidR="00156580" w:rsidRPr="00124E7F">
        <w:t>:</w:t>
      </w:r>
      <w:r w:rsidR="00FD3A95" w:rsidRPr="00124E7F">
        <w:t xml:space="preserve"> Sales of educational b</w:t>
      </w:r>
      <w:r w:rsidRPr="00124E7F">
        <w:t xml:space="preserve">ooks </w:t>
      </w:r>
      <w:r w:rsidR="002F5F08" w:rsidRPr="00124E7F">
        <w:t>–</w:t>
      </w:r>
      <w:r w:rsidRPr="00124E7F">
        <w:t xml:space="preserve"> Canada</w:t>
      </w:r>
    </w:p>
    <w:p w14:paraId="61D8DCE9" w14:textId="492002C9" w:rsidR="002F5F08" w:rsidRPr="004213AE" w:rsidRDefault="00486A5C" w:rsidP="002F5F08">
      <w:r>
        <w:rPr>
          <w:noProof/>
          <w:lang w:eastAsia="zh-TW" w:bidi="hi-IN"/>
        </w:rPr>
        <w:drawing>
          <wp:inline distT="0" distB="0" distL="0" distR="0" wp14:anchorId="06D2429A" wp14:editId="4B51B3A2">
            <wp:extent cx="5733415" cy="2374520"/>
            <wp:effectExtent l="0" t="0" r="635" b="6985"/>
            <wp:docPr id="5" name="Picture 5" descr="The figure provides the number of sales of educational books for Canada as follows:&#10;&#10;2008&#10;Of publisher's own title: $455 million worth of sales&#10;As exclusive agent:: $219 million worth of sales&#10;&#10;2010&#10;Of publisher's own title: $473 million worth of book sales&#10;As exclusive agent:: $177 million worth of book sales&#10;&#10;2012&#10;Of publisher's own title: $423 million worth of book sales&#10;As exclusive agent:: $167 million worth of book sales&#10;&#10;The data was sourced from Statistics Canada, Book Publishers (87F0004X)" title="Figure 7: Sales of educational books –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3415" cy="2374520"/>
                    </a:xfrm>
                    <a:prstGeom prst="rect">
                      <a:avLst/>
                    </a:prstGeom>
                    <a:noFill/>
                  </pic:spPr>
                </pic:pic>
              </a:graphicData>
            </a:graphic>
          </wp:inline>
        </w:drawing>
      </w:r>
    </w:p>
    <w:p w14:paraId="579FBB7F" w14:textId="77777777" w:rsidR="00056CA8" w:rsidRPr="00124E7F" w:rsidRDefault="00357789" w:rsidP="00F72E3A">
      <w:pPr>
        <w:pStyle w:val="EYSource"/>
        <w:keepNext w:val="0"/>
        <w:widowControl w:val="0"/>
        <w:rPr>
          <w:sz w:val="20"/>
          <w:szCs w:val="20"/>
        </w:rPr>
      </w:pPr>
      <w:r w:rsidRPr="00124E7F">
        <w:rPr>
          <w:sz w:val="20"/>
          <w:szCs w:val="20"/>
        </w:rPr>
        <w:t>Source: Statistics Canada, Book Publishers (87F0004X)</w:t>
      </w:r>
    </w:p>
    <w:p w14:paraId="25E8E3B6" w14:textId="77777777" w:rsidR="002C267F" w:rsidRPr="00124E7F" w:rsidRDefault="002C267F" w:rsidP="002F5F08"/>
    <w:p w14:paraId="72747828" w14:textId="77777777" w:rsidR="00765D0A" w:rsidRPr="00124E7F" w:rsidRDefault="00232630" w:rsidP="00F72E3A">
      <w:pPr>
        <w:pStyle w:val="EYBodytextwithparaspace"/>
        <w:widowControl w:val="0"/>
      </w:pPr>
      <w:r w:rsidRPr="00124E7F">
        <w:t xml:space="preserve">Evidence presented to </w:t>
      </w:r>
      <w:r w:rsidR="009C02B6" w:rsidRPr="00124E7F">
        <w:t xml:space="preserve">the </w:t>
      </w:r>
      <w:r w:rsidR="002A12FB" w:rsidRPr="00124E7F">
        <w:t xml:space="preserve">Copyright </w:t>
      </w:r>
      <w:r w:rsidRPr="00124E7F">
        <w:t>Board</w:t>
      </w:r>
      <w:r w:rsidR="002A12FB" w:rsidRPr="00124E7F">
        <w:t xml:space="preserve"> of Canada (the Board)</w:t>
      </w:r>
      <w:r w:rsidRPr="00124E7F">
        <w:t xml:space="preserve"> </w:t>
      </w:r>
      <w:r w:rsidR="00E719CB" w:rsidRPr="00124E7F">
        <w:t>highlighted</w:t>
      </w:r>
      <w:r w:rsidRPr="00124E7F">
        <w:t xml:space="preserve"> a number of reasons to explain the declining trend in sales including ‘the use of open educational resources, the sharing of lessons by teachers, the creation of resources by teachers, the availability of free materials on the Internet as well as portals and repositories of educational material’.</w:t>
      </w:r>
      <w:r w:rsidRPr="00124E7F">
        <w:rPr>
          <w:vertAlign w:val="superscript"/>
        </w:rPr>
        <w:footnoteReference w:id="175"/>
      </w:r>
      <w:r w:rsidR="00E719CB" w:rsidRPr="00124E7F">
        <w:t xml:space="preserve"> While the Board was unable to separate these factors from the impact of the exception on </w:t>
      </w:r>
      <w:r w:rsidR="003F2D5F" w:rsidRPr="00124E7F">
        <w:t>the market for the works</w:t>
      </w:r>
      <w:r w:rsidR="00E719CB" w:rsidRPr="00124E7F">
        <w:t>, it found that only 20 per cent of copying done by education institutions ‘tended towards unfairness’.</w:t>
      </w:r>
      <w:r w:rsidR="00E719CB" w:rsidRPr="00124E7F">
        <w:rPr>
          <w:vertAlign w:val="superscript"/>
        </w:rPr>
        <w:footnoteReference w:id="176"/>
      </w:r>
      <w:r w:rsidR="00E719CB" w:rsidRPr="00124E7F">
        <w:t xml:space="preserve"> This suggests that the impact of copying on the </w:t>
      </w:r>
      <w:r w:rsidR="004D69CF" w:rsidRPr="00124E7F">
        <w:t xml:space="preserve">primary market for copyright owners was </w:t>
      </w:r>
      <w:r w:rsidR="00E719CB" w:rsidRPr="00124E7F">
        <w:t xml:space="preserve">relatively small. </w:t>
      </w:r>
    </w:p>
    <w:p w14:paraId="79329BD3" w14:textId="77777777" w:rsidR="00765D0A" w:rsidRPr="00124E7F" w:rsidRDefault="00765D0A" w:rsidP="002469A6">
      <w:pPr>
        <w:pStyle w:val="EYHeading4"/>
      </w:pPr>
      <w:r w:rsidRPr="00124E7F">
        <w:t xml:space="preserve">Impact of a reduction in </w:t>
      </w:r>
      <w:r w:rsidR="005D236A" w:rsidRPr="00124E7F">
        <w:t>licens</w:t>
      </w:r>
      <w:r w:rsidR="007D4AFF" w:rsidRPr="00124E7F">
        <w:t>ing</w:t>
      </w:r>
      <w:r w:rsidRPr="00124E7F">
        <w:t xml:space="preserve"> revenues on incentives</w:t>
      </w:r>
    </w:p>
    <w:p w14:paraId="2590F340" w14:textId="77777777" w:rsidR="00E669E6" w:rsidRPr="00124E7F" w:rsidRDefault="00E719CB" w:rsidP="00056CA8">
      <w:pPr>
        <w:pStyle w:val="EYBodytextwithparaspace"/>
      </w:pPr>
      <w:r w:rsidRPr="00124E7F">
        <w:t xml:space="preserve">Secondly, </w:t>
      </w:r>
      <w:r w:rsidR="00096E5D" w:rsidRPr="00124E7F">
        <w:t xml:space="preserve">the report </w:t>
      </w:r>
      <w:r w:rsidRPr="00124E7F">
        <w:t xml:space="preserve">provided evidence from three overseas </w:t>
      </w:r>
      <w:r w:rsidR="00E669E6" w:rsidRPr="00124E7F">
        <w:t xml:space="preserve">surveys (including one from Access Copyright in Canada) to show that </w:t>
      </w:r>
      <w:r w:rsidR="005D236A" w:rsidRPr="00124E7F">
        <w:t>licens</w:t>
      </w:r>
      <w:r w:rsidR="007D4AFF" w:rsidRPr="00124E7F">
        <w:t>ing</w:t>
      </w:r>
      <w:r w:rsidR="00E669E6" w:rsidRPr="00124E7F">
        <w:t xml:space="preserve"> revenues are important drivers of incentives for creation.</w:t>
      </w:r>
      <w:r w:rsidR="004D69CF" w:rsidRPr="00124E7F">
        <w:rPr>
          <w:vertAlign w:val="superscript"/>
        </w:rPr>
        <w:footnoteReference w:id="177"/>
      </w:r>
      <w:r w:rsidR="00E669E6" w:rsidRPr="00124E7F">
        <w:t xml:space="preserve"> However, Access Copyright presente</w:t>
      </w:r>
      <w:r w:rsidR="004D69CF" w:rsidRPr="00124E7F">
        <w:t xml:space="preserve">d similar survey evidence </w:t>
      </w:r>
      <w:r w:rsidR="00104F4D" w:rsidRPr="00124E7F">
        <w:t>as part of</w:t>
      </w:r>
      <w:r w:rsidR="004D69CF" w:rsidRPr="00124E7F">
        <w:t xml:space="preserve"> court proceedings, from which </w:t>
      </w:r>
      <w:r w:rsidR="00E669E6" w:rsidRPr="00124E7F">
        <w:t>the Board highlighted two significant findings:</w:t>
      </w:r>
    </w:p>
    <w:p w14:paraId="44D0B2FE" w14:textId="77777777" w:rsidR="00344D4A" w:rsidRPr="00124E7F" w:rsidRDefault="00104F4D" w:rsidP="00634BB4">
      <w:pPr>
        <w:pStyle w:val="EYBulletedText1"/>
      </w:pPr>
      <w:r w:rsidRPr="00124E7F">
        <w:t>C</w:t>
      </w:r>
      <w:r w:rsidR="00E669E6" w:rsidRPr="00124E7F">
        <w:t>reators surveyed received 21 per cent of their income as writers from Access royalty payments in 2012</w:t>
      </w:r>
    </w:p>
    <w:p w14:paraId="156FA4D3" w14:textId="77777777" w:rsidR="00E669E6" w:rsidRPr="00124E7F" w:rsidRDefault="00104F4D" w:rsidP="00634BB4">
      <w:pPr>
        <w:pStyle w:val="EYBulletedText1"/>
      </w:pPr>
      <w:r w:rsidRPr="00124E7F">
        <w:t>U</w:t>
      </w:r>
      <w:r w:rsidR="009E509D" w:rsidRPr="00124E7F">
        <w:t>nder the hypothetical scenario where creators would cease to receive royalties from Access, 60 per cent of respondents indicated that this would have no impact on the number of works they create, and 23 per cent indicate</w:t>
      </w:r>
      <w:r w:rsidRPr="00124E7F">
        <w:t>d</w:t>
      </w:r>
      <w:r w:rsidR="009E509D" w:rsidRPr="00124E7F">
        <w:t xml:space="preserve"> that they would reduce the number of works they create.</w:t>
      </w:r>
      <w:r w:rsidR="009E509D" w:rsidRPr="00124E7F">
        <w:rPr>
          <w:vertAlign w:val="superscript"/>
        </w:rPr>
        <w:footnoteReference w:id="178"/>
      </w:r>
    </w:p>
    <w:p w14:paraId="7712F15D" w14:textId="77777777" w:rsidR="009E509D" w:rsidRPr="00124E7F" w:rsidRDefault="009E509D" w:rsidP="00056CA8">
      <w:pPr>
        <w:pStyle w:val="EYBodytextwithparaspace"/>
      </w:pPr>
      <w:r w:rsidRPr="00124E7F">
        <w:t xml:space="preserve">The Board used this evidence to argue that the money earned from Access royalties are a relatively small proportion of </w:t>
      </w:r>
      <w:r w:rsidR="004D69CF" w:rsidRPr="00124E7F">
        <w:t xml:space="preserve">the </w:t>
      </w:r>
      <w:r w:rsidRPr="00124E7F">
        <w:t>overall income</w:t>
      </w:r>
      <w:r w:rsidR="004D69CF" w:rsidRPr="00124E7F">
        <w:t xml:space="preserve"> for writers</w:t>
      </w:r>
      <w:r w:rsidRPr="00124E7F">
        <w:t xml:space="preserve"> and that Access royalties do not have a strong effect on incentives to create new works.</w:t>
      </w:r>
      <w:r w:rsidR="00A83342" w:rsidRPr="00124E7F">
        <w:rPr>
          <w:vertAlign w:val="superscript"/>
        </w:rPr>
        <w:footnoteReference w:id="179"/>
      </w:r>
      <w:r w:rsidRPr="00124E7F">
        <w:t xml:space="preserve"> The Board concluded:</w:t>
      </w:r>
    </w:p>
    <w:p w14:paraId="2CC27E43" w14:textId="77777777" w:rsidR="003954D3" w:rsidRPr="00124E7F" w:rsidRDefault="009E509D" w:rsidP="00056CA8">
      <w:pPr>
        <w:pStyle w:val="EYIndent1"/>
        <w:rPr>
          <w:i/>
        </w:rPr>
      </w:pPr>
      <w:r w:rsidRPr="00124E7F">
        <w:rPr>
          <w:i/>
        </w:rPr>
        <w:t>According to this evidence, the impact of copying on the market for future works is small. Any individual copying event has a much smaller impact on the market than does the decision to stop paying royalties to Access. Even collectively, the impact of all the copying not being compensable is still relatively small.</w:t>
      </w:r>
      <w:r w:rsidRPr="00124E7F">
        <w:rPr>
          <w:i/>
          <w:vertAlign w:val="superscript"/>
        </w:rPr>
        <w:footnoteReference w:id="180"/>
      </w:r>
    </w:p>
    <w:p w14:paraId="3C72A562" w14:textId="77777777" w:rsidR="001B0619" w:rsidRDefault="00AF6249" w:rsidP="00056CA8">
      <w:pPr>
        <w:pStyle w:val="EYBodytextwithparaspace"/>
      </w:pPr>
      <w:r w:rsidRPr="00124E7F">
        <w:t xml:space="preserve">A similar </w:t>
      </w:r>
      <w:r w:rsidR="003954D3" w:rsidRPr="00124E7F">
        <w:t>argument</w:t>
      </w:r>
      <w:r w:rsidRPr="00124E7F">
        <w:t xml:space="preserve"> could be </w:t>
      </w:r>
      <w:r w:rsidR="003954D3" w:rsidRPr="00124E7F">
        <w:t>made on the basis of</w:t>
      </w:r>
      <w:r w:rsidRPr="00124E7F">
        <w:t xml:space="preserve"> resu</w:t>
      </w:r>
      <w:r w:rsidR="003954D3" w:rsidRPr="00124E7F">
        <w:t>lts from</w:t>
      </w:r>
      <w:r w:rsidRPr="00124E7F">
        <w:t xml:space="preserve"> a recent survey undertaken by Macquarie University into </w:t>
      </w:r>
      <w:r w:rsidR="001B0619" w:rsidRPr="00124E7F">
        <w:t>t</w:t>
      </w:r>
      <w:r w:rsidR="00071472" w:rsidRPr="00124E7F">
        <w:t xml:space="preserve">he Australian book industry. </w:t>
      </w:r>
      <w:r w:rsidR="001B0619" w:rsidRPr="00124E7F">
        <w:t>Of the 993 respondents, 47.6 per cent identified as members of the Copyright Agency Ltd (CAL), and 37 per cent had published an educational work.</w:t>
      </w:r>
      <w:r w:rsidR="00071472" w:rsidRPr="00124E7F">
        <w:rPr>
          <w:vertAlign w:val="superscript"/>
        </w:rPr>
        <w:footnoteReference w:id="181"/>
      </w:r>
      <w:r w:rsidR="00071472" w:rsidRPr="00124E7F">
        <w:t xml:space="preserve"> </w:t>
      </w:r>
      <w:r w:rsidR="005077C0" w:rsidRPr="00124E7F">
        <w:t>In 2013-14, t</w:t>
      </w:r>
      <w:r w:rsidR="00071472" w:rsidRPr="00124E7F">
        <w:t xml:space="preserve">he average gross income of an author </w:t>
      </w:r>
      <w:r w:rsidR="005077C0" w:rsidRPr="00124E7F">
        <w:t xml:space="preserve">in the education sector </w:t>
      </w:r>
      <w:r w:rsidR="00071472" w:rsidRPr="00124E7F">
        <w:t>was $143,000.</w:t>
      </w:r>
      <w:r w:rsidR="00071472" w:rsidRPr="00124E7F">
        <w:rPr>
          <w:vertAlign w:val="superscript"/>
        </w:rPr>
        <w:footnoteReference w:id="182"/>
      </w:r>
      <w:r w:rsidR="005077C0" w:rsidRPr="00124E7F">
        <w:t xml:space="preserve"> </w:t>
      </w:r>
      <w:r w:rsidR="00071472" w:rsidRPr="00124E7F">
        <w:fldChar w:fldCharType="begin"/>
      </w:r>
      <w:r w:rsidR="00071472" w:rsidRPr="00124E7F">
        <w:instrText xml:space="preserve"> REF _Ref446854889 \h </w:instrText>
      </w:r>
      <w:r w:rsidR="0004373C" w:rsidRPr="00124E7F">
        <w:instrText xml:space="preserve"> \* MERGEFORMAT </w:instrText>
      </w:r>
      <w:r w:rsidR="00071472" w:rsidRPr="00124E7F">
        <w:fldChar w:fldCharType="separate"/>
      </w:r>
      <w:r w:rsidR="0075700D" w:rsidRPr="00124E7F">
        <w:t xml:space="preserve">Figure </w:t>
      </w:r>
      <w:r w:rsidR="0075700D">
        <w:rPr>
          <w:noProof/>
        </w:rPr>
        <w:t>8</w:t>
      </w:r>
      <w:r w:rsidR="00071472" w:rsidRPr="00124E7F">
        <w:fldChar w:fldCharType="end"/>
      </w:r>
      <w:r w:rsidR="00071472" w:rsidRPr="00124E7F">
        <w:t xml:space="preserve"> shows that only 20.3 per cent of this income was gained from </w:t>
      </w:r>
      <w:proofErr w:type="spellStart"/>
      <w:r w:rsidR="009978DD" w:rsidRPr="00124E7F">
        <w:t>practis</w:t>
      </w:r>
      <w:r w:rsidR="00286E06" w:rsidRPr="00124E7F">
        <w:t>ing</w:t>
      </w:r>
      <w:proofErr w:type="spellEnd"/>
      <w:r w:rsidR="00071472" w:rsidRPr="00124E7F">
        <w:t xml:space="preserve"> as an author</w:t>
      </w:r>
      <w:r w:rsidR="00E709AE" w:rsidRPr="00124E7F">
        <w:t xml:space="preserve">, </w:t>
      </w:r>
      <w:r w:rsidR="004D69CF" w:rsidRPr="00124E7F">
        <w:t xml:space="preserve">roughly the same as writers in Canada. </w:t>
      </w:r>
    </w:p>
    <w:p w14:paraId="153F80AA" w14:textId="77777777" w:rsidR="00730D0C" w:rsidRDefault="00730D0C">
      <w:pPr>
        <w:widowControl/>
        <w:autoSpaceDE/>
        <w:autoSpaceDN/>
        <w:adjustRightInd/>
        <w:spacing w:line="240" w:lineRule="auto"/>
        <w:rPr>
          <w:kern w:val="12"/>
          <w:szCs w:val="24"/>
          <w:lang w:val="en-US"/>
        </w:rPr>
      </w:pPr>
      <w:r>
        <w:br w:type="page"/>
      </w:r>
    </w:p>
    <w:p w14:paraId="32347186" w14:textId="77777777" w:rsidR="00071472" w:rsidRDefault="00071472" w:rsidP="00071472">
      <w:pPr>
        <w:pStyle w:val="Caption"/>
        <w:keepNext/>
      </w:pPr>
      <w:bookmarkStart w:id="152" w:name="_Ref446854889"/>
      <w:r w:rsidRPr="00124E7F">
        <w:t xml:space="preserve">Figure </w:t>
      </w:r>
      <w:r w:rsidRPr="00124E7F">
        <w:fldChar w:fldCharType="begin"/>
      </w:r>
      <w:r w:rsidRPr="00124E7F">
        <w:instrText xml:space="preserve"> SEQ Figure \* ARABIC </w:instrText>
      </w:r>
      <w:r w:rsidRPr="00124E7F">
        <w:fldChar w:fldCharType="separate"/>
      </w:r>
      <w:r w:rsidR="0075700D">
        <w:rPr>
          <w:noProof/>
        </w:rPr>
        <w:t>8</w:t>
      </w:r>
      <w:r w:rsidRPr="00124E7F">
        <w:fldChar w:fldCharType="end"/>
      </w:r>
      <w:bookmarkEnd w:id="152"/>
      <w:r w:rsidR="00156580" w:rsidRPr="00124E7F">
        <w:t>:</w:t>
      </w:r>
      <w:r w:rsidRPr="00124E7F">
        <w:t xml:space="preserve"> </w:t>
      </w:r>
      <w:r w:rsidR="000F247A" w:rsidRPr="00124E7F">
        <w:t>Proportion of</w:t>
      </w:r>
      <w:r w:rsidR="00040E4F" w:rsidRPr="00124E7F">
        <w:t xml:space="preserve"> income from </w:t>
      </w:r>
      <w:r w:rsidR="000B2B30" w:rsidRPr="00124E7F">
        <w:t>practising</w:t>
      </w:r>
      <w:r w:rsidR="00040E4F" w:rsidRPr="00124E7F">
        <w:t xml:space="preserve"> as an </w:t>
      </w:r>
      <w:r w:rsidR="002B2D2E" w:rsidRPr="00124E7F">
        <w:t xml:space="preserve">education </w:t>
      </w:r>
      <w:r w:rsidR="00040E4F" w:rsidRPr="00124E7F">
        <w:t xml:space="preserve">author </w:t>
      </w:r>
      <w:r w:rsidR="002B2D2E" w:rsidRPr="00124E7F">
        <w:t>versus other sources</w:t>
      </w:r>
      <w:r w:rsidR="00040E4F" w:rsidRPr="00124E7F">
        <w:t>–2014-15</w:t>
      </w:r>
    </w:p>
    <w:p w14:paraId="48308F94" w14:textId="65706A0D" w:rsidR="001B0619" w:rsidRPr="00124E7F" w:rsidRDefault="00486A5C" w:rsidP="00202E68">
      <w:pPr>
        <w:ind w:left="1077"/>
      </w:pPr>
      <w:r>
        <w:rPr>
          <w:noProof/>
          <w:lang w:eastAsia="zh-TW" w:bidi="hi-IN"/>
        </w:rPr>
        <w:drawing>
          <wp:inline distT="0" distB="0" distL="0" distR="0" wp14:anchorId="4B0CBD66" wp14:editId="42CADFFA">
            <wp:extent cx="4907280" cy="2933700"/>
            <wp:effectExtent l="0" t="0" r="7620" b="0"/>
            <wp:docPr id="6" name="Picture 6" descr="The pie chart shows that income from practising as an education author versus other sources in 2014-15 was:&#10;39% income from occupation unrelated to writing&#10;20% income from practicing as an author&#10;20% other income&#10;18% income from another occupation related to writing&#10;3% income from creative practice in another field&#10;&#10;The data was sourced from Macquarie University (2015), Australian Authors – Industry Brief No.3: Author’s Income&#10;" title="Figure 8: Proportion of income from practising as an education author versus other sources–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07280" cy="2933700"/>
                    </a:xfrm>
                    <a:prstGeom prst="rect">
                      <a:avLst/>
                    </a:prstGeom>
                    <a:noFill/>
                  </pic:spPr>
                </pic:pic>
              </a:graphicData>
            </a:graphic>
          </wp:inline>
        </w:drawing>
      </w:r>
    </w:p>
    <w:p w14:paraId="0A00FCDB" w14:textId="77777777" w:rsidR="00071472" w:rsidRPr="00124E7F" w:rsidRDefault="00071472" w:rsidP="00374194">
      <w:pPr>
        <w:pStyle w:val="EYSource"/>
        <w:keepNext w:val="0"/>
        <w:widowControl w:val="0"/>
        <w:spacing w:after="240"/>
        <w:rPr>
          <w:sz w:val="20"/>
          <w:szCs w:val="20"/>
        </w:rPr>
      </w:pPr>
      <w:r w:rsidRPr="00124E7F">
        <w:rPr>
          <w:sz w:val="20"/>
          <w:szCs w:val="20"/>
        </w:rPr>
        <w:t>Source: Macquarie University (2015), Australian Authors – Industry Brief No.3: Author’s Income</w:t>
      </w:r>
    </w:p>
    <w:p w14:paraId="62F11A19" w14:textId="77777777" w:rsidR="00BB6498" w:rsidRPr="00124E7F" w:rsidRDefault="00BB6498" w:rsidP="00374194">
      <w:pPr>
        <w:pStyle w:val="EYBodytextwithparaspace"/>
        <w:widowControl w:val="0"/>
      </w:pPr>
      <w:r w:rsidRPr="00124E7F">
        <w:t xml:space="preserve">Moreover, of the income gained from </w:t>
      </w:r>
      <w:proofErr w:type="spellStart"/>
      <w:r w:rsidR="009978DD" w:rsidRPr="00124E7F">
        <w:t>practising</w:t>
      </w:r>
      <w:proofErr w:type="spellEnd"/>
      <w:r w:rsidR="009978DD" w:rsidRPr="00124E7F">
        <w:t xml:space="preserve"> </w:t>
      </w:r>
      <w:r w:rsidRPr="00124E7F">
        <w:t xml:space="preserve">as an author, the majority was obtained from royalties (59%), with only 9 per cent obtained as copyright payments directly from CAL or similar </w:t>
      </w:r>
      <w:proofErr w:type="spellStart"/>
      <w:r w:rsidRPr="00124E7F">
        <w:t>organisations</w:t>
      </w:r>
      <w:proofErr w:type="spellEnd"/>
      <w:r w:rsidRPr="00124E7F">
        <w:t xml:space="preserve"> (</w:t>
      </w:r>
      <w:r w:rsidR="003F51E2" w:rsidRPr="00124E7F">
        <w:t xml:space="preserve">Figure </w:t>
      </w:r>
      <w:r w:rsidR="003F51E2" w:rsidRPr="00124E7F">
        <w:fldChar w:fldCharType="begin"/>
      </w:r>
      <w:r w:rsidR="003F51E2" w:rsidRPr="00124E7F">
        <w:instrText xml:space="preserve"> REF figure9 \h </w:instrText>
      </w:r>
      <w:r w:rsidR="003F51E2" w:rsidRPr="00124E7F">
        <w:fldChar w:fldCharType="separate"/>
      </w:r>
      <w:r w:rsidR="0075700D">
        <w:rPr>
          <w:noProof/>
        </w:rPr>
        <w:t>9</w:t>
      </w:r>
      <w:r w:rsidR="003F51E2" w:rsidRPr="00124E7F">
        <w:fldChar w:fldCharType="end"/>
      </w:r>
      <w:r w:rsidRPr="00124E7F">
        <w:t xml:space="preserve">). </w:t>
      </w:r>
      <w:r w:rsidR="002D19CC" w:rsidRPr="00124E7F">
        <w:t xml:space="preserve">On average, this suggests that authors receive less than $3,000 in </w:t>
      </w:r>
      <w:r w:rsidR="005D236A" w:rsidRPr="00124E7F">
        <w:t>licens</w:t>
      </w:r>
      <w:r w:rsidR="007D4AFF" w:rsidRPr="00124E7F">
        <w:t>ing</w:t>
      </w:r>
      <w:r w:rsidR="002D19CC" w:rsidRPr="00124E7F">
        <w:t xml:space="preserve"> fees from collecting societies, per annum. </w:t>
      </w:r>
      <w:r w:rsidRPr="00124E7F">
        <w:t>It is not clear what proportion of the royalties may have been passed down by publishers indirec</w:t>
      </w:r>
      <w:r w:rsidR="00B46B5E" w:rsidRPr="00124E7F">
        <w:t xml:space="preserve">tly from collecting societies. </w:t>
      </w:r>
      <w:r w:rsidRPr="00124E7F">
        <w:t>Nevertheless, it is still</w:t>
      </w:r>
      <w:r w:rsidR="002D4075" w:rsidRPr="00124E7F">
        <w:t xml:space="preserve"> true that earnings from </w:t>
      </w:r>
      <w:proofErr w:type="spellStart"/>
      <w:r w:rsidR="009978DD" w:rsidRPr="00124E7F">
        <w:t>practising</w:t>
      </w:r>
      <w:proofErr w:type="spellEnd"/>
      <w:r w:rsidR="009978DD" w:rsidRPr="00124E7F">
        <w:t xml:space="preserve"> </w:t>
      </w:r>
      <w:r w:rsidRPr="00124E7F">
        <w:t xml:space="preserve">as an author, on average, comprise a small share of an author’s overall income. </w:t>
      </w:r>
    </w:p>
    <w:p w14:paraId="5683284B" w14:textId="77777777" w:rsidR="002B2D2E" w:rsidRDefault="002B2D2E" w:rsidP="002B2D2E">
      <w:pPr>
        <w:pStyle w:val="Caption"/>
        <w:keepNext/>
      </w:pPr>
      <w:bookmarkStart w:id="153" w:name="_Ref446857174"/>
      <w:r w:rsidRPr="00124E7F">
        <w:t xml:space="preserve">Figure </w:t>
      </w:r>
      <w:bookmarkStart w:id="154" w:name="figure9"/>
      <w:r w:rsidRPr="00124E7F">
        <w:fldChar w:fldCharType="begin"/>
      </w:r>
      <w:r w:rsidRPr="00124E7F">
        <w:instrText xml:space="preserve"> SEQ Figure \* ARABIC </w:instrText>
      </w:r>
      <w:r w:rsidRPr="00124E7F">
        <w:fldChar w:fldCharType="separate"/>
      </w:r>
      <w:r w:rsidR="0075700D">
        <w:rPr>
          <w:noProof/>
        </w:rPr>
        <w:t>9</w:t>
      </w:r>
      <w:r w:rsidRPr="00124E7F">
        <w:fldChar w:fldCharType="end"/>
      </w:r>
      <w:bookmarkEnd w:id="153"/>
      <w:bookmarkEnd w:id="154"/>
      <w:r w:rsidR="00156580" w:rsidRPr="00124E7F">
        <w:t>:</w:t>
      </w:r>
      <w:r w:rsidRPr="00124E7F">
        <w:t xml:space="preserve"> Proportion of income earned from </w:t>
      </w:r>
      <w:r w:rsidR="009978DD" w:rsidRPr="00124E7F">
        <w:t xml:space="preserve">practising </w:t>
      </w:r>
      <w:r w:rsidRPr="00124E7F">
        <w:t>as an education author – by source, 2014-15</w:t>
      </w:r>
    </w:p>
    <w:p w14:paraId="00AD9EB7" w14:textId="77777777" w:rsidR="00486A5C" w:rsidRPr="00486A5C" w:rsidRDefault="00486A5C" w:rsidP="00202E68">
      <w:r>
        <w:rPr>
          <w:noProof/>
          <w:lang w:eastAsia="zh-TW" w:bidi="hi-IN"/>
        </w:rPr>
        <w:drawing>
          <wp:inline distT="0" distB="0" distL="0" distR="0" wp14:anchorId="5111157D" wp14:editId="17723E6B">
            <wp:extent cx="5980686" cy="2937163"/>
            <wp:effectExtent l="0" t="0" r="1270" b="0"/>
            <wp:docPr id="7" name="Picture 7" descr="The pie chart shows the proportion of income earned from practicting as an education author in 2014-15 was:&#10;Royalties 59%&#10;Payments from CAL etc. 9%&#10;Self-publishing 8%&#10;PLR/ELR 7%&#10;Other income 7%&#10;Salary/wages 6%&#10;Advances 4% &#10;&#10;The data was sourced from Macquarie University (2015), Australian Authors – Industry Brief No.3: Author’s Income" title="Figure 9: Proportion of income earned from practising as an education author – by source,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99543" cy="2946424"/>
                    </a:xfrm>
                    <a:prstGeom prst="rect">
                      <a:avLst/>
                    </a:prstGeom>
                    <a:noFill/>
                  </pic:spPr>
                </pic:pic>
              </a:graphicData>
            </a:graphic>
          </wp:inline>
        </w:drawing>
      </w:r>
    </w:p>
    <w:p w14:paraId="04A3A1B3" w14:textId="77777777" w:rsidR="002B2D2E" w:rsidRPr="00124E7F" w:rsidRDefault="002B2D2E" w:rsidP="00056CA8">
      <w:pPr>
        <w:pStyle w:val="EYSource"/>
        <w:rPr>
          <w:sz w:val="20"/>
          <w:szCs w:val="20"/>
        </w:rPr>
      </w:pPr>
      <w:r w:rsidRPr="00124E7F">
        <w:rPr>
          <w:sz w:val="20"/>
          <w:szCs w:val="20"/>
        </w:rPr>
        <w:t>Source: Macquarie University (2015), Australian Authors – Industry Brief No.3: Author’s Income</w:t>
      </w:r>
    </w:p>
    <w:p w14:paraId="147F0185" w14:textId="77777777" w:rsidR="003F51E2" w:rsidRPr="00124E7F" w:rsidRDefault="003F51E2" w:rsidP="003F51E2">
      <w:pPr>
        <w:rPr>
          <w:vertAlign w:val="superscript"/>
        </w:rPr>
      </w:pPr>
    </w:p>
    <w:p w14:paraId="676A10F6" w14:textId="77777777" w:rsidR="0004021C" w:rsidRPr="00124E7F" w:rsidRDefault="005077C0" w:rsidP="00056CA8">
      <w:pPr>
        <w:pStyle w:val="EYBodytextwithparaspace"/>
        <w:rPr>
          <w:vertAlign w:val="superscript"/>
        </w:rPr>
      </w:pPr>
      <w:r w:rsidRPr="00124E7F">
        <w:t>Importantly,</w:t>
      </w:r>
      <w:r w:rsidR="00E709AE" w:rsidRPr="00124E7F">
        <w:t xml:space="preserve"> the Board argued that there appears to be an element of circularity in using the loss of </w:t>
      </w:r>
      <w:r w:rsidR="005D236A" w:rsidRPr="00124E7F">
        <w:t>licens</w:t>
      </w:r>
      <w:r w:rsidR="007D4AFF" w:rsidRPr="00124E7F">
        <w:t>ing</w:t>
      </w:r>
      <w:r w:rsidR="00E709AE" w:rsidRPr="00124E7F">
        <w:t xml:space="preserve"> revenue to argue market harm in a fair dealing context.</w:t>
      </w:r>
      <w:r w:rsidR="00FD3A95" w:rsidRPr="00124E7F">
        <w:t xml:space="preserve"> </w:t>
      </w:r>
      <w:r w:rsidR="00FD3A95" w:rsidRPr="00124E7F">
        <w:rPr>
          <w:vertAlign w:val="superscript"/>
        </w:rPr>
        <w:footnoteReference w:id="183"/>
      </w:r>
      <w:r w:rsidR="00FD3A95" w:rsidRPr="00124E7F">
        <w:t xml:space="preserve"> </w:t>
      </w:r>
      <w:r w:rsidR="00CA680D" w:rsidRPr="00124E7F">
        <w:t xml:space="preserve">In particular, </w:t>
      </w:r>
      <w:r w:rsidRPr="00124E7F">
        <w:t xml:space="preserve">the Board argued that </w:t>
      </w:r>
      <w:r w:rsidR="00CA680D" w:rsidRPr="00124E7F">
        <w:t xml:space="preserve">the non-payment of such </w:t>
      </w:r>
      <w:r w:rsidR="005D236A" w:rsidRPr="00124E7F">
        <w:t>licens</w:t>
      </w:r>
      <w:r w:rsidR="007D4AFF" w:rsidRPr="00124E7F">
        <w:t>ing</w:t>
      </w:r>
      <w:r w:rsidR="00CA680D" w:rsidRPr="00124E7F">
        <w:t xml:space="preserve"> fees should not be considered as an impact on its own as this would be a consequence from a finding of fairness, which already considers economic harm on the copyright owner’s </w:t>
      </w:r>
      <w:r w:rsidR="0004021C" w:rsidRPr="00124E7F">
        <w:t>market for original content</w:t>
      </w:r>
      <w:r w:rsidR="00CA680D" w:rsidRPr="00124E7F">
        <w:t>.</w:t>
      </w:r>
      <w:r w:rsidRPr="00124E7F">
        <w:rPr>
          <w:vertAlign w:val="superscript"/>
        </w:rPr>
        <w:footnoteReference w:id="184"/>
      </w:r>
      <w:r w:rsidR="00CA680D" w:rsidRPr="00124E7F">
        <w:rPr>
          <w:vertAlign w:val="superscript"/>
        </w:rPr>
        <w:t xml:space="preserve"> </w:t>
      </w:r>
    </w:p>
    <w:p w14:paraId="6B19940E" w14:textId="77777777" w:rsidR="00CA680D" w:rsidRPr="00124E7F" w:rsidRDefault="005077C0" w:rsidP="00056CA8">
      <w:pPr>
        <w:pStyle w:val="EYBodytextwithparaspace"/>
      </w:pPr>
      <w:r w:rsidRPr="00124E7F">
        <w:t>As an illustration of this argument we consider the impact on the primary market for right</w:t>
      </w:r>
      <w:r w:rsidR="00C37ECD" w:rsidRPr="00124E7F">
        <w:t>s</w:t>
      </w:r>
      <w:r w:rsidRPr="00124E7F">
        <w:t xml:space="preserve"> holders</w:t>
      </w:r>
      <w:r w:rsidR="00A4474E" w:rsidRPr="00124E7F">
        <w:t>,</w:t>
      </w:r>
      <w:r w:rsidRPr="00124E7F">
        <w:t xml:space="preserve"> </w:t>
      </w:r>
      <w:r w:rsidR="00A4474E" w:rsidRPr="00124E7F">
        <w:t>if</w:t>
      </w:r>
      <w:r w:rsidRPr="00124E7F">
        <w:t xml:space="preserve"> freely available internet materials </w:t>
      </w:r>
      <w:r w:rsidR="00A4474E" w:rsidRPr="00124E7F">
        <w:t>became fair for educational use</w:t>
      </w:r>
      <w:r w:rsidRPr="00124E7F">
        <w:t xml:space="preserve">. </w:t>
      </w:r>
      <w:r w:rsidR="00CA680D" w:rsidRPr="00124E7F">
        <w:t>The impact of</w:t>
      </w:r>
      <w:r w:rsidR="002260A4" w:rsidRPr="00124E7F">
        <w:t xml:space="preserve"> additional exceptions</w:t>
      </w:r>
      <w:r w:rsidR="006F5773" w:rsidRPr="00124E7F">
        <w:t xml:space="preserve"> for</w:t>
      </w:r>
      <w:r w:rsidR="00CA680D" w:rsidRPr="00124E7F">
        <w:t xml:space="preserve"> incidental or technical use (i.e. technical copies) and orphan works </w:t>
      </w:r>
      <w:r w:rsidR="00B53ABD" w:rsidRPr="00124E7F">
        <w:t>is</w:t>
      </w:r>
      <w:r w:rsidRPr="00124E7F">
        <w:t xml:space="preserve"> discussed</w:t>
      </w:r>
      <w:r w:rsidR="00CA680D" w:rsidRPr="00124E7F">
        <w:t xml:space="preserve"> in other section</w:t>
      </w:r>
      <w:r w:rsidRPr="00124E7F">
        <w:t>s, and found to have a negligible impact</w:t>
      </w:r>
      <w:r w:rsidR="00397077" w:rsidRPr="00124E7F">
        <w:t xml:space="preserve"> on the primary market for sales</w:t>
      </w:r>
      <w:r w:rsidRPr="00124E7F">
        <w:t xml:space="preserve">. </w:t>
      </w:r>
    </w:p>
    <w:p w14:paraId="4F51C7C9" w14:textId="77777777" w:rsidR="00C94D85" w:rsidRPr="00124E7F" w:rsidRDefault="0004021C" w:rsidP="002469A6">
      <w:pPr>
        <w:pStyle w:val="EYHeading4"/>
      </w:pPr>
      <w:r w:rsidRPr="00124E7F">
        <w:t>Freely available internet materials</w:t>
      </w:r>
    </w:p>
    <w:p w14:paraId="0F6A36AD" w14:textId="77777777" w:rsidR="00EF56D5" w:rsidRPr="00124E7F" w:rsidRDefault="0004021C" w:rsidP="00056CA8">
      <w:pPr>
        <w:pStyle w:val="EYBodytextwithparaspace"/>
      </w:pPr>
      <w:r w:rsidRPr="00124E7F">
        <w:t>A distinction must first be drawn betw</w:t>
      </w:r>
      <w:r w:rsidR="00A4474E" w:rsidRPr="00124E7F">
        <w:t>een non-education and education-</w:t>
      </w:r>
      <w:r w:rsidRPr="00124E7F">
        <w:t xml:space="preserve">specific </w:t>
      </w:r>
      <w:r w:rsidR="00A4474E" w:rsidRPr="00124E7F">
        <w:t>online materials</w:t>
      </w:r>
      <w:r w:rsidRPr="00124E7F">
        <w:t xml:space="preserve">. In the case of the former, reproductions and communications are much less likely to interfere with the market for the original content (and thereby incentives to create). </w:t>
      </w:r>
      <w:r w:rsidR="002260A4" w:rsidRPr="00124E7F">
        <w:t xml:space="preserve">For example, news and current affairs, which comprise </w:t>
      </w:r>
      <w:r w:rsidR="00D8301C" w:rsidRPr="00124E7F">
        <w:t>around 12</w:t>
      </w:r>
      <w:r w:rsidR="002260A4" w:rsidRPr="00124E7F">
        <w:t xml:space="preserve"> per cent of </w:t>
      </w:r>
      <w:r w:rsidR="00D8301C" w:rsidRPr="00124E7F">
        <w:t>audio-visual</w:t>
      </w:r>
      <w:r w:rsidR="002260A4" w:rsidRPr="00124E7F">
        <w:t xml:space="preserve"> material copied by education </w:t>
      </w:r>
      <w:r w:rsidR="00D8301C" w:rsidRPr="00124E7F">
        <w:t>institutions</w:t>
      </w:r>
      <w:r w:rsidR="00D8301C" w:rsidRPr="00124E7F">
        <w:rPr>
          <w:vertAlign w:val="superscript"/>
        </w:rPr>
        <w:footnoteReference w:id="185"/>
      </w:r>
      <w:r w:rsidR="00D8301C" w:rsidRPr="00124E7F">
        <w:t>,</w:t>
      </w:r>
      <w:r w:rsidR="002260A4" w:rsidRPr="00124E7F">
        <w:t xml:space="preserve"> </w:t>
      </w:r>
      <w:r w:rsidR="00D8301C" w:rsidRPr="00124E7F">
        <w:t>are</w:t>
      </w:r>
      <w:r w:rsidR="002260A4" w:rsidRPr="00124E7F">
        <w:t xml:space="preserve"> not made for educational purposes. </w:t>
      </w:r>
      <w:r w:rsidR="00D8301C" w:rsidRPr="00124E7F">
        <w:t xml:space="preserve">These programs will be produced whether or not schools pay to show them in class. Therefore, the educational use of news </w:t>
      </w:r>
      <w:r w:rsidR="00CB4D81" w:rsidRPr="00124E7F">
        <w:t xml:space="preserve">and current affairs programs </w:t>
      </w:r>
      <w:r w:rsidR="00D8301C" w:rsidRPr="00124E7F">
        <w:t xml:space="preserve">is </w:t>
      </w:r>
      <w:r w:rsidRPr="00124E7F">
        <w:t xml:space="preserve">more likely to be fair. </w:t>
      </w:r>
      <w:r w:rsidR="00D8301C" w:rsidRPr="00124E7F">
        <w:t>Conversely,</w:t>
      </w:r>
      <w:r w:rsidR="002260A4" w:rsidRPr="00124E7F">
        <w:t xml:space="preserve"> </w:t>
      </w:r>
      <w:r w:rsidR="00D8301C" w:rsidRPr="00124E7F">
        <w:t xml:space="preserve">creators and publishers of online education-specific content may be more significantly impacted. </w:t>
      </w:r>
      <w:r w:rsidRPr="00124E7F">
        <w:t>However, w</w:t>
      </w:r>
      <w:r w:rsidR="00D8301C" w:rsidRPr="00124E7F">
        <w:t>e would suggest</w:t>
      </w:r>
      <w:r w:rsidR="008532AF" w:rsidRPr="00124E7F">
        <w:t xml:space="preserve"> </w:t>
      </w:r>
      <w:r w:rsidR="009C02B6" w:rsidRPr="00124E7F">
        <w:t xml:space="preserve">that </w:t>
      </w:r>
      <w:r w:rsidRPr="00124E7F">
        <w:t>any</w:t>
      </w:r>
      <w:r w:rsidR="00D8301C" w:rsidRPr="00124E7F">
        <w:t xml:space="preserve"> impact on incentives</w:t>
      </w:r>
      <w:r w:rsidR="009C02B6" w:rsidRPr="00124E7F">
        <w:t xml:space="preserve"> to create </w:t>
      </w:r>
      <w:r w:rsidR="00D8301C" w:rsidRPr="00124E7F">
        <w:t xml:space="preserve">would be muted for a number of reasons. </w:t>
      </w:r>
    </w:p>
    <w:p w14:paraId="78C0375A" w14:textId="77777777" w:rsidR="00B5226F" w:rsidRPr="00124E7F" w:rsidRDefault="000A67D6" w:rsidP="00056CA8">
      <w:pPr>
        <w:pStyle w:val="EYBodytextwithparaspace"/>
      </w:pPr>
      <w:r w:rsidRPr="00124E7F">
        <w:t>First, t</w:t>
      </w:r>
      <w:r w:rsidR="006F5773" w:rsidRPr="00124E7F">
        <w:t>he question posed by creators and publishers under the new fair dealing exception</w:t>
      </w:r>
      <w:r w:rsidRPr="00124E7F">
        <w:t xml:space="preserve"> is less likely to be “h</w:t>
      </w:r>
      <w:r w:rsidR="006F5773" w:rsidRPr="00124E7F">
        <w:t xml:space="preserve">ow </w:t>
      </w:r>
      <w:r w:rsidRPr="00124E7F">
        <w:t>much new content will I create?” but “h</w:t>
      </w:r>
      <w:r w:rsidR="006F5773" w:rsidRPr="00124E7F">
        <w:t xml:space="preserve">ow much of it do I place online when I </w:t>
      </w:r>
      <w:r w:rsidRPr="00124E7F">
        <w:t>do?” Moreover, w</w:t>
      </w:r>
      <w:r w:rsidR="006F5773" w:rsidRPr="00124E7F">
        <w:t>here creators and publishers do not expect to be remunerated for the content, no impact would be expected on incentives.</w:t>
      </w:r>
    </w:p>
    <w:p w14:paraId="011873DB" w14:textId="77777777" w:rsidR="000A67D6" w:rsidRPr="00124E7F" w:rsidRDefault="000A67D6" w:rsidP="00056CA8">
      <w:pPr>
        <w:pStyle w:val="EYBodytextwithparaspace"/>
      </w:pPr>
      <w:r w:rsidRPr="00124E7F">
        <w:t>Second, w</w:t>
      </w:r>
      <w:r w:rsidR="00FD07F4" w:rsidRPr="00124E7F">
        <w:t xml:space="preserve">ith </w:t>
      </w:r>
      <w:r w:rsidR="00C94D85" w:rsidRPr="00124E7F">
        <w:t xml:space="preserve">EUS data from 2009 showing that </w:t>
      </w:r>
      <w:r w:rsidR="00FD07F4" w:rsidRPr="00124E7F">
        <w:t xml:space="preserve">64 per cent of </w:t>
      </w:r>
      <w:r w:rsidR="0056134A" w:rsidRPr="00124E7F">
        <w:t>remunerable</w:t>
      </w:r>
      <w:r w:rsidR="00FD07F4" w:rsidRPr="00124E7F">
        <w:t xml:space="preserve"> online material</w:t>
      </w:r>
      <w:r w:rsidR="0004021C" w:rsidRPr="00124E7F">
        <w:t xml:space="preserve"> </w:t>
      </w:r>
      <w:r w:rsidR="00FD07F4" w:rsidRPr="00124E7F">
        <w:t>copied</w:t>
      </w:r>
      <w:r w:rsidR="0004021C" w:rsidRPr="00124E7F">
        <w:t xml:space="preserve"> under the Part VA </w:t>
      </w:r>
      <w:r w:rsidR="005D236A" w:rsidRPr="00124E7F">
        <w:t>licens</w:t>
      </w:r>
      <w:r w:rsidR="007D4AFF" w:rsidRPr="00124E7F">
        <w:t>e</w:t>
      </w:r>
      <w:r w:rsidR="00FD07F4" w:rsidRPr="00124E7F">
        <w:t xml:space="preserve"> in schools </w:t>
      </w:r>
      <w:r w:rsidR="00C94D85" w:rsidRPr="00124E7F">
        <w:t xml:space="preserve">is </w:t>
      </w:r>
      <w:r w:rsidR="00FD07F4" w:rsidRPr="00124E7F">
        <w:t>sourced from international website</w:t>
      </w:r>
      <w:r w:rsidR="00C94D85" w:rsidRPr="00124E7F">
        <w:t>s</w:t>
      </w:r>
      <w:r w:rsidR="00FD07F4" w:rsidRPr="00124E7F">
        <w:t>, the question must be asked to what extent a relatively small market such as Australia’s can impact on incentives in a global context.</w:t>
      </w:r>
      <w:r w:rsidR="00FD07F4" w:rsidRPr="00124E7F">
        <w:rPr>
          <w:vertAlign w:val="superscript"/>
        </w:rPr>
        <w:footnoteReference w:id="186"/>
      </w:r>
      <w:r w:rsidR="00FD07F4" w:rsidRPr="00124E7F">
        <w:t xml:space="preserve"> </w:t>
      </w:r>
      <w:r w:rsidR="006F5773" w:rsidRPr="00124E7F">
        <w:t xml:space="preserve">Moreover, where online material originates from </w:t>
      </w:r>
      <w:r w:rsidR="00FD07F4" w:rsidRPr="00124E7F">
        <w:t>other English-</w:t>
      </w:r>
      <w:r w:rsidR="006F5773" w:rsidRPr="00124E7F">
        <w:t xml:space="preserve">speaking countries the UK, Canada and the US – these countries already have in place (to varying degrees) education exceptions covering the use of online material.  </w:t>
      </w:r>
    </w:p>
    <w:p w14:paraId="7252083C" w14:textId="77777777" w:rsidR="00790F40" w:rsidRPr="00124E7F" w:rsidRDefault="000A67D6" w:rsidP="00790F40">
      <w:pPr>
        <w:pStyle w:val="EYBodytextwithparaspace"/>
      </w:pPr>
      <w:r w:rsidRPr="00124E7F">
        <w:t xml:space="preserve">Third, </w:t>
      </w:r>
      <w:r w:rsidR="006451A8" w:rsidRPr="00124E7F">
        <w:t xml:space="preserve">publicly </w:t>
      </w:r>
      <w:r w:rsidR="006F5773" w:rsidRPr="00124E7F">
        <w:t>funded</w:t>
      </w:r>
      <w:r w:rsidR="003F717C" w:rsidRPr="00124E7F">
        <w:t xml:space="preserve"> </w:t>
      </w:r>
      <w:r w:rsidR="006F5773" w:rsidRPr="00124E7F">
        <w:t xml:space="preserve">content should also be considered separately. Government activity is not driven </w:t>
      </w:r>
      <w:r w:rsidR="0056134A" w:rsidRPr="00124E7F">
        <w:t xml:space="preserve">purely </w:t>
      </w:r>
      <w:r w:rsidR="006F5773" w:rsidRPr="00124E7F">
        <w:t xml:space="preserve">by profit motives but </w:t>
      </w:r>
      <w:r w:rsidR="0056134A" w:rsidRPr="00124E7F">
        <w:t>also</w:t>
      </w:r>
      <w:r w:rsidR="006F5773" w:rsidRPr="00124E7F">
        <w:t xml:space="preserve"> to serve the public good. </w:t>
      </w:r>
      <w:r w:rsidR="0004021C" w:rsidRPr="00124E7F">
        <w:t>For example, o</w:t>
      </w:r>
      <w:r w:rsidR="003F717C" w:rsidRPr="00124E7F">
        <w:t xml:space="preserve">ne of the specified functions of the ABC under the </w:t>
      </w:r>
      <w:r w:rsidR="003F717C" w:rsidRPr="00124E7F">
        <w:rPr>
          <w:i/>
        </w:rPr>
        <w:t>Australian Broadcasting Corporation Act 1983</w:t>
      </w:r>
      <w:r w:rsidR="003F717C" w:rsidRPr="00124E7F">
        <w:t xml:space="preserve"> is that it must provide high quality broadcasting programs of educational content</w:t>
      </w:r>
      <w:r w:rsidR="00B5226F" w:rsidRPr="00124E7F">
        <w:t>.</w:t>
      </w:r>
      <w:r w:rsidR="003F717C" w:rsidRPr="00124E7F">
        <w:rPr>
          <w:vertAlign w:val="superscript"/>
        </w:rPr>
        <w:footnoteReference w:id="187"/>
      </w:r>
      <w:r w:rsidR="00C94D85" w:rsidRPr="00124E7F">
        <w:t xml:space="preserve"> </w:t>
      </w:r>
      <w:r w:rsidR="00790F40" w:rsidRPr="00124E7F">
        <w:t>The SBS also has a charter obligation to, as far as practicable, inform, educate and entertain Australians in their preferred languages (</w:t>
      </w:r>
      <w:proofErr w:type="spellStart"/>
      <w:r w:rsidR="00790F40" w:rsidRPr="00124E7F">
        <w:t>ss</w:t>
      </w:r>
      <w:proofErr w:type="spellEnd"/>
      <w:r w:rsidR="00286E06" w:rsidRPr="00124E7F">
        <w:t> </w:t>
      </w:r>
      <w:r w:rsidR="00790F40" w:rsidRPr="00124E7F">
        <w:t>6(2</w:t>
      </w:r>
      <w:proofErr w:type="gramStart"/>
      <w:r w:rsidR="00790F40" w:rsidRPr="00124E7F">
        <w:t>)(</w:t>
      </w:r>
      <w:proofErr w:type="gramEnd"/>
      <w:r w:rsidR="00790F40" w:rsidRPr="00124E7F">
        <w:t xml:space="preserve">e) of the Special Broadcasting Service Act 1991). This is complimented by the commercial networks, for which the </w:t>
      </w:r>
      <w:r w:rsidR="00790F40" w:rsidRPr="00124E7F">
        <w:rPr>
          <w:i/>
        </w:rPr>
        <w:t>Children’s Television Standards 2005</w:t>
      </w:r>
      <w:r w:rsidR="00790F40" w:rsidRPr="00124E7F">
        <w:t xml:space="preserve"> determine minimum amounts and scheduling of children’s television programming.</w:t>
      </w:r>
    </w:p>
    <w:p w14:paraId="5012CD89" w14:textId="77777777" w:rsidR="009003F4" w:rsidRPr="00124E7F" w:rsidRDefault="008532AF" w:rsidP="00056CA8">
      <w:pPr>
        <w:pStyle w:val="EYHeading4"/>
      </w:pPr>
      <w:r w:rsidRPr="00124E7F">
        <w:t>Administration costs</w:t>
      </w:r>
    </w:p>
    <w:p w14:paraId="7C63DA01" w14:textId="77777777" w:rsidR="00BE5D63" w:rsidRPr="00124E7F" w:rsidRDefault="002214BA" w:rsidP="00BE5D63">
      <w:pPr>
        <w:pStyle w:val="EYBodytextwithparaspace"/>
      </w:pPr>
      <w:r w:rsidRPr="00124E7F">
        <w:t>A</w:t>
      </w:r>
      <w:r w:rsidR="00096E5D" w:rsidRPr="00124E7F">
        <w:t xml:space="preserve"> </w:t>
      </w:r>
      <w:r w:rsidR="00BE5D63" w:rsidRPr="00124E7F">
        <w:t>PwC</w:t>
      </w:r>
      <w:r w:rsidR="00096E5D" w:rsidRPr="00124E7F">
        <w:t xml:space="preserve"> report</w:t>
      </w:r>
      <w:r w:rsidR="00BE5D63" w:rsidRPr="00124E7F">
        <w:t xml:space="preserve"> recently </w:t>
      </w:r>
      <w:r w:rsidR="00096E5D" w:rsidRPr="00124E7F">
        <w:t xml:space="preserve">stated </w:t>
      </w:r>
      <w:r w:rsidR="00BE5D63" w:rsidRPr="00124E7F">
        <w:t>that implementing fair use would likely increase transaction and monitoring costs ‘through a loss of economies of scale  that would individually have to be borne by professional content creators, owners, and some users’.</w:t>
      </w:r>
      <w:r w:rsidR="00BE5D63" w:rsidRPr="00124E7F">
        <w:rPr>
          <w:vertAlign w:val="superscript"/>
        </w:rPr>
        <w:footnoteReference w:id="188"/>
      </w:r>
      <w:r w:rsidR="00BE5D63" w:rsidRPr="00124E7F">
        <w:t xml:space="preserve"> Though it is not clearly stated, the implication of this argument is that the fair use exception (and presumably the new fair dealing exception) would make collecting societies unviable; thus requiring right</w:t>
      </w:r>
      <w:r w:rsidR="00C37ECD" w:rsidRPr="00124E7F">
        <w:t>s</w:t>
      </w:r>
      <w:r w:rsidR="00BE5D63" w:rsidRPr="00124E7F">
        <w:t xml:space="preserve"> holders and users of copyright material to interact and operate in an ‘</w:t>
      </w:r>
      <w:proofErr w:type="spellStart"/>
      <w:r w:rsidR="00BE5D63" w:rsidRPr="00124E7F">
        <w:t>atomised</w:t>
      </w:r>
      <w:proofErr w:type="spellEnd"/>
      <w:r w:rsidR="00BE5D63" w:rsidRPr="00124E7F">
        <w:t xml:space="preserve">’ manner. Comparing the status quo to a scenario where collecting societies do not exist, </w:t>
      </w:r>
      <w:r w:rsidR="00096E5D" w:rsidRPr="00124E7F">
        <w:t xml:space="preserve">the modelling within the report </w:t>
      </w:r>
      <w:r w:rsidR="00BE5D63" w:rsidRPr="00124E7F">
        <w:t>estimated that collecting societies ‘save copyright owners and professional content creators a combined $940</w:t>
      </w:r>
      <w:r w:rsidR="00096E5D" w:rsidRPr="00124E7F">
        <w:t> </w:t>
      </w:r>
      <w:r w:rsidR="00BE5D63" w:rsidRPr="00124E7F">
        <w:t>million in administrative and transaction related costs annually’.</w:t>
      </w:r>
      <w:r w:rsidR="00BE5D63" w:rsidRPr="00124E7F">
        <w:rPr>
          <w:vertAlign w:val="superscript"/>
        </w:rPr>
        <w:footnoteReference w:id="189"/>
      </w:r>
    </w:p>
    <w:p w14:paraId="1DAF6561" w14:textId="77777777" w:rsidR="00BE5D63" w:rsidRPr="00124E7F" w:rsidRDefault="00BE5D63" w:rsidP="00BE5D63">
      <w:pPr>
        <w:pStyle w:val="EYBodytextwithparaspace"/>
      </w:pPr>
      <w:r w:rsidRPr="00124E7F">
        <w:t>In our view, the new fair dealing exception (or the fair use exception) could threaten the viability of a collecting society if:</w:t>
      </w:r>
    </w:p>
    <w:p w14:paraId="6CD10E61" w14:textId="77777777" w:rsidR="00BE5D63" w:rsidRPr="00124E7F" w:rsidRDefault="00BE5D63" w:rsidP="000061D4">
      <w:pPr>
        <w:pStyle w:val="EYBulletedText1"/>
      </w:pPr>
      <w:r w:rsidRPr="00124E7F">
        <w:t xml:space="preserve">The exception leads to a drop in the uses of copyright material managed by the collecting society (i.e. because the uses have been found to be ‘fair’) </w:t>
      </w:r>
    </w:p>
    <w:p w14:paraId="2B219EC5" w14:textId="77777777" w:rsidR="00BE5D63" w:rsidRPr="00124E7F" w:rsidRDefault="00BE5D63" w:rsidP="000061D4">
      <w:pPr>
        <w:pStyle w:val="EYBulletedText1"/>
      </w:pPr>
      <w:r w:rsidRPr="00124E7F">
        <w:t xml:space="preserve">This drop in managed uses is large enough that it causes the licensing income of the collecting society to fall below its operating costs. </w:t>
      </w:r>
    </w:p>
    <w:p w14:paraId="43D4A509" w14:textId="77777777" w:rsidR="00BE5D63" w:rsidRPr="00124E7F" w:rsidRDefault="00BE5D63" w:rsidP="00BE5D63">
      <w:pPr>
        <w:pStyle w:val="EYBodytextwithparaspace"/>
      </w:pPr>
      <w:r w:rsidRPr="00124E7F">
        <w:t xml:space="preserve">As discussed earlier, the available evidence suggests that the new fair dealing exception on education would likely lead to a reduction in the volume of copyright material managed by collecting societies. To explore the potential impacts associated with this reduction in managed uses, we created a simplified model. This model is: </w:t>
      </w:r>
    </w:p>
    <w:p w14:paraId="4FCC3052" w14:textId="77777777" w:rsidR="00BE5D63" w:rsidRPr="00124E7F" w:rsidRDefault="00BE5D63" w:rsidP="000061D4">
      <w:pPr>
        <w:pStyle w:val="EYBulletedText1"/>
      </w:pPr>
      <w:r w:rsidRPr="00124E7F">
        <w:t xml:space="preserve">Focused on the two collecting societies responsible for managing the </w:t>
      </w:r>
      <w:r w:rsidR="009978DD" w:rsidRPr="00124E7F">
        <w:t xml:space="preserve">statutory </w:t>
      </w:r>
      <w:r w:rsidR="008D7BC8" w:rsidRPr="00124E7F">
        <w:t>licenses</w:t>
      </w:r>
      <w:r w:rsidRPr="00124E7F">
        <w:t xml:space="preserve"> for education (i.e. Copyright Agency and </w:t>
      </w:r>
      <w:proofErr w:type="spellStart"/>
      <w:r w:rsidRPr="00124E7F">
        <w:t>Screenrights</w:t>
      </w:r>
      <w:proofErr w:type="spellEnd"/>
      <w:r w:rsidRPr="00124E7F">
        <w:t xml:space="preserve">). Between them, Copyright Agency and </w:t>
      </w:r>
      <w:proofErr w:type="spellStart"/>
      <w:r w:rsidRPr="00124E7F">
        <w:t>Screenrights</w:t>
      </w:r>
      <w:proofErr w:type="spellEnd"/>
      <w:r w:rsidRPr="00124E7F">
        <w:t xml:space="preserve"> account for approximately 90 per cent of the fees paid by the education sector to collecting societies</w:t>
      </w:r>
      <w:r w:rsidRPr="00124E7F">
        <w:rPr>
          <w:vertAlign w:val="superscript"/>
        </w:rPr>
        <w:footnoteReference w:id="190"/>
      </w:r>
    </w:p>
    <w:p w14:paraId="6766A2C3" w14:textId="77777777" w:rsidR="00BE5D63" w:rsidRPr="00124E7F" w:rsidRDefault="00BE5D63" w:rsidP="00BE5D63">
      <w:pPr>
        <w:pStyle w:val="EYBulletedText1"/>
      </w:pPr>
      <w:r w:rsidRPr="00124E7F">
        <w:t xml:space="preserve">Underpinned by publicly available data and the same assumptions used by </w:t>
      </w:r>
      <w:r w:rsidR="00096E5D" w:rsidRPr="00124E7F">
        <w:t xml:space="preserve">the report </w:t>
      </w:r>
      <w:r w:rsidRPr="00124E7F">
        <w:t xml:space="preserve">to estimate the value of transaction costs </w:t>
      </w:r>
    </w:p>
    <w:p w14:paraId="677EFF09" w14:textId="77777777" w:rsidR="00BE5D63" w:rsidRPr="00124E7F" w:rsidRDefault="00BE5D63" w:rsidP="00BE5D63">
      <w:pPr>
        <w:pStyle w:val="EYBulletedText1"/>
      </w:pPr>
      <w:r w:rsidRPr="00124E7F">
        <w:t xml:space="preserve">Deliberately conservative – in that it assumes: (1) the operating costs of Copyright Agency and </w:t>
      </w:r>
      <w:proofErr w:type="spellStart"/>
      <w:r w:rsidRPr="00124E7F">
        <w:t>Screenrights</w:t>
      </w:r>
      <w:proofErr w:type="spellEnd"/>
      <w:r w:rsidRPr="00124E7F">
        <w:t xml:space="preserve"> are fixed (and thus would not decrease commensurately with reductions in licensing income); and (2) that Copyright Agency and </w:t>
      </w:r>
      <w:proofErr w:type="spellStart"/>
      <w:r w:rsidRPr="00124E7F">
        <w:t>Screenrights</w:t>
      </w:r>
      <w:proofErr w:type="spellEnd"/>
      <w:r w:rsidRPr="00124E7F">
        <w:t xml:space="preserve"> would not </w:t>
      </w:r>
      <w:proofErr w:type="spellStart"/>
      <w:r w:rsidRPr="00124E7F">
        <w:t>subsidise</w:t>
      </w:r>
      <w:proofErr w:type="spellEnd"/>
      <w:r w:rsidRPr="00124E7F">
        <w:t xml:space="preserve"> (either in part or in full) the operation of the education </w:t>
      </w:r>
      <w:r w:rsidR="009978DD" w:rsidRPr="00124E7F">
        <w:t xml:space="preserve">statutory </w:t>
      </w:r>
      <w:r w:rsidR="008D7BC8" w:rsidRPr="00124E7F">
        <w:t>licenses</w:t>
      </w:r>
      <w:r w:rsidRPr="00124E7F">
        <w:t xml:space="preserve"> from other revenue streams. </w:t>
      </w:r>
    </w:p>
    <w:p w14:paraId="0E0AE134" w14:textId="77777777" w:rsidR="00BE5D63" w:rsidRPr="00124E7F" w:rsidRDefault="00BE5D63" w:rsidP="00BE5D63">
      <w:pPr>
        <w:pStyle w:val="EYBodytextwithparaspace"/>
      </w:pPr>
      <w:r w:rsidRPr="00124E7F">
        <w:t xml:space="preserve">Based on our simplified model, we found that: </w:t>
      </w:r>
    </w:p>
    <w:p w14:paraId="526E2EB4" w14:textId="77777777" w:rsidR="00BE5D63" w:rsidRPr="00124E7F" w:rsidRDefault="00BE5D63" w:rsidP="00BE5D63">
      <w:pPr>
        <w:pStyle w:val="EYBulletedText1"/>
      </w:pPr>
      <w:r w:rsidRPr="00124E7F">
        <w:t xml:space="preserve">A significant proportion (&gt;86 per cent) of the relevant uses of copyright material managed by Copyright Agency and </w:t>
      </w:r>
      <w:proofErr w:type="spellStart"/>
      <w:r w:rsidRPr="00124E7F">
        <w:t>Screenrights</w:t>
      </w:r>
      <w:proofErr w:type="spellEnd"/>
      <w:r w:rsidRPr="00124E7F">
        <w:t xml:space="preserve"> would need to be found to be ‘fair’ in order for the ‘education licensing income’</w:t>
      </w:r>
      <w:r w:rsidRPr="00124E7F">
        <w:rPr>
          <w:vertAlign w:val="superscript"/>
        </w:rPr>
        <w:footnoteReference w:id="191"/>
      </w:r>
      <w:r w:rsidRPr="00124E7F">
        <w:t xml:space="preserve"> of both entities to fall below their ‘education operating costs’</w:t>
      </w:r>
      <w:r w:rsidRPr="00124E7F">
        <w:rPr>
          <w:vertAlign w:val="superscript"/>
        </w:rPr>
        <w:footnoteReference w:id="192"/>
      </w:r>
      <w:r w:rsidRPr="00124E7F">
        <w:t xml:space="preserve"> (</w:t>
      </w:r>
      <w:r w:rsidRPr="00124E7F">
        <w:fldChar w:fldCharType="begin"/>
      </w:r>
      <w:r w:rsidRPr="00124E7F">
        <w:instrText xml:space="preserve"> REF _Ref453841384 \h </w:instrText>
      </w:r>
      <w:r w:rsidR="00633989" w:rsidRPr="00124E7F">
        <w:instrText xml:space="preserve"> \* MERGEFORMAT </w:instrText>
      </w:r>
      <w:r w:rsidRPr="00124E7F">
        <w:fldChar w:fldCharType="separate"/>
      </w:r>
      <w:r w:rsidR="0075700D" w:rsidRPr="00124E7F">
        <w:t xml:space="preserve">Figure </w:t>
      </w:r>
      <w:r w:rsidR="0075700D">
        <w:rPr>
          <w:noProof/>
        </w:rPr>
        <w:t>10</w:t>
      </w:r>
      <w:r w:rsidRPr="00124E7F">
        <w:fldChar w:fldCharType="end"/>
      </w:r>
      <w:r w:rsidRPr="00124E7F">
        <w:t>)</w:t>
      </w:r>
    </w:p>
    <w:p w14:paraId="68028CAD" w14:textId="77777777" w:rsidR="00BE5D63" w:rsidRPr="00124E7F" w:rsidRDefault="00BE5D63" w:rsidP="00BE5D63">
      <w:pPr>
        <w:pStyle w:val="EYBulletedText1"/>
      </w:pPr>
      <w:r w:rsidRPr="00124E7F">
        <w:t xml:space="preserve">If this did occur, and the education </w:t>
      </w:r>
      <w:r w:rsidR="009978DD" w:rsidRPr="00124E7F">
        <w:t xml:space="preserve">statutory </w:t>
      </w:r>
      <w:r w:rsidR="008D7BC8" w:rsidRPr="00124E7F">
        <w:t>licenses</w:t>
      </w:r>
      <w:r w:rsidRPr="00124E7F">
        <w:t xml:space="preserve"> ceased to operate, the additional administrative costs borne by rights holders and users (i.e. relative to the status quo) would likely be significantly less than that implied by </w:t>
      </w:r>
      <w:r w:rsidR="00B054A5" w:rsidRPr="00124E7F">
        <w:t>the modelling within the report</w:t>
      </w:r>
      <w:r w:rsidRPr="00124E7F">
        <w:t>. For instance:</w:t>
      </w:r>
    </w:p>
    <w:p w14:paraId="44DBA828" w14:textId="77777777" w:rsidR="00BE5D63" w:rsidRPr="00124E7F" w:rsidRDefault="00BE5D63" w:rsidP="003F51E2">
      <w:pPr>
        <w:pStyle w:val="EYBulletedText2"/>
      </w:pPr>
      <w:r w:rsidRPr="00124E7F">
        <w:t xml:space="preserve">If 86 per cent of relevant uses of copyright material were found to be ‘fair’, and the education </w:t>
      </w:r>
      <w:r w:rsidR="009978DD" w:rsidRPr="00124E7F">
        <w:t xml:space="preserve">statutory </w:t>
      </w:r>
      <w:r w:rsidR="008D7BC8" w:rsidRPr="00124E7F">
        <w:t>licenses</w:t>
      </w:r>
      <w:r w:rsidRPr="00124E7F">
        <w:t xml:space="preserve"> ceased to operate, we estimate that rights holders and users would incur an increase in transaction costs (relative to the status quo) of approximately $24 million annually (</w:t>
      </w:r>
      <w:r w:rsidR="000D46AE" w:rsidRPr="00124E7F">
        <w:t xml:space="preserve">Figure </w:t>
      </w:r>
      <w:r w:rsidR="000D46AE" w:rsidRPr="00124E7F">
        <w:fldChar w:fldCharType="begin"/>
      </w:r>
      <w:r w:rsidR="000D46AE" w:rsidRPr="00124E7F">
        <w:instrText xml:space="preserve"> REF figure11 \h </w:instrText>
      </w:r>
      <w:r w:rsidR="000D46AE" w:rsidRPr="00124E7F">
        <w:fldChar w:fldCharType="separate"/>
      </w:r>
      <w:r w:rsidR="0075700D">
        <w:rPr>
          <w:noProof/>
        </w:rPr>
        <w:t>11</w:t>
      </w:r>
      <w:r w:rsidR="000D46AE" w:rsidRPr="00124E7F">
        <w:fldChar w:fldCharType="end"/>
      </w:r>
      <w:r w:rsidRPr="00124E7F">
        <w:t>)</w:t>
      </w:r>
    </w:p>
    <w:p w14:paraId="39CEE22B" w14:textId="77777777" w:rsidR="000D46AE" w:rsidRDefault="00BE5D63" w:rsidP="000D46AE">
      <w:pPr>
        <w:pStyle w:val="EYBulletedText2"/>
      </w:pPr>
      <w:r w:rsidRPr="00124E7F">
        <w:t>If 98 per cent</w:t>
      </w:r>
      <w:r w:rsidRPr="00124E7F">
        <w:rPr>
          <w:rStyle w:val="FootnoteReference"/>
          <w:sz w:val="20"/>
        </w:rPr>
        <w:footnoteReference w:id="193"/>
      </w:r>
      <w:r w:rsidRPr="00124E7F">
        <w:t xml:space="preserve"> of relevant uses of copyright material were found to be ‘fair’, and the education </w:t>
      </w:r>
      <w:r w:rsidR="009978DD" w:rsidRPr="00124E7F">
        <w:t xml:space="preserve">statutory </w:t>
      </w:r>
      <w:r w:rsidR="008D7BC8" w:rsidRPr="00124E7F">
        <w:t>licenses</w:t>
      </w:r>
      <w:r w:rsidRPr="00124E7F">
        <w:t xml:space="preserve"> ceased to operate, we estimate that rights holders and users would enjoy a decrease in transaction costs (relative to the status quo) of approximately $9 million annually (</w:t>
      </w:r>
      <w:r w:rsidR="000D46AE" w:rsidRPr="00124E7F">
        <w:t xml:space="preserve">Figure </w:t>
      </w:r>
      <w:r w:rsidR="000D46AE" w:rsidRPr="00124E7F">
        <w:fldChar w:fldCharType="begin"/>
      </w:r>
      <w:r w:rsidR="000D46AE" w:rsidRPr="00124E7F">
        <w:instrText xml:space="preserve"> REF figure11 \h </w:instrText>
      </w:r>
      <w:r w:rsidR="000D46AE" w:rsidRPr="00124E7F">
        <w:fldChar w:fldCharType="separate"/>
      </w:r>
      <w:r w:rsidR="0075700D">
        <w:rPr>
          <w:noProof/>
        </w:rPr>
        <w:t>11</w:t>
      </w:r>
      <w:r w:rsidR="000D46AE" w:rsidRPr="00124E7F">
        <w:fldChar w:fldCharType="end"/>
      </w:r>
      <w:r w:rsidR="000D46AE" w:rsidRPr="00124E7F">
        <w:t>).</w:t>
      </w:r>
    </w:p>
    <w:p w14:paraId="0D63C7D8" w14:textId="33EFCFAA" w:rsidR="00804582" w:rsidRDefault="00804582">
      <w:pPr>
        <w:widowControl/>
        <w:autoSpaceDE/>
        <w:autoSpaceDN/>
        <w:adjustRightInd/>
        <w:spacing w:line="240" w:lineRule="auto"/>
        <w:rPr>
          <w:kern w:val="12"/>
          <w:szCs w:val="24"/>
          <w:lang w:val="en-US"/>
        </w:rPr>
      </w:pPr>
      <w:r>
        <w:br w:type="page"/>
      </w:r>
    </w:p>
    <w:p w14:paraId="47F65A52" w14:textId="77777777" w:rsidR="00BE5D63" w:rsidRDefault="00BE5D63" w:rsidP="000061D4">
      <w:pPr>
        <w:pStyle w:val="Caption"/>
        <w:keepNext/>
      </w:pPr>
      <w:bookmarkStart w:id="155" w:name="_Ref453841384"/>
      <w:r w:rsidRPr="00124E7F">
        <w:t xml:space="preserve">Figure </w:t>
      </w:r>
      <w:r w:rsidRPr="00124E7F">
        <w:fldChar w:fldCharType="begin"/>
      </w:r>
      <w:r w:rsidRPr="00124E7F">
        <w:instrText xml:space="preserve"> SEQ Figure \* ARABIC </w:instrText>
      </w:r>
      <w:r w:rsidRPr="00124E7F">
        <w:fldChar w:fldCharType="separate"/>
      </w:r>
      <w:r w:rsidR="0075700D">
        <w:rPr>
          <w:noProof/>
        </w:rPr>
        <w:t>10</w:t>
      </w:r>
      <w:r w:rsidRPr="00124E7F">
        <w:fldChar w:fldCharType="end"/>
      </w:r>
      <w:bookmarkEnd w:id="155"/>
      <w:r w:rsidRPr="00124E7F">
        <w:t xml:space="preserve">: Impact of a reduction in the volume of copyright material managed by Copyright Agency and </w:t>
      </w:r>
      <w:proofErr w:type="spellStart"/>
      <w:r w:rsidRPr="00124E7F">
        <w:t>Screenrights</w:t>
      </w:r>
      <w:proofErr w:type="spellEnd"/>
      <w:r w:rsidRPr="00124E7F">
        <w:t xml:space="preserve"> under the education </w:t>
      </w:r>
      <w:r w:rsidR="009978DD" w:rsidRPr="00124E7F">
        <w:t>statutory licences</w:t>
      </w:r>
      <w:r w:rsidRPr="00124E7F">
        <w:t xml:space="preserve"> </w:t>
      </w:r>
    </w:p>
    <w:p w14:paraId="50F3E61D" w14:textId="5E61D86E" w:rsidR="00B42199" w:rsidRPr="00B86CFA" w:rsidRDefault="0097568D" w:rsidP="00202E68">
      <w:r>
        <w:rPr>
          <w:noProof/>
          <w:lang w:eastAsia="zh-TW" w:bidi="hi-IN"/>
        </w:rPr>
        <w:drawing>
          <wp:inline distT="0" distB="0" distL="0" distR="0" wp14:anchorId="2A1271FD" wp14:editId="530BD17C">
            <wp:extent cx="5733415" cy="2647950"/>
            <wp:effectExtent l="0" t="0" r="635" b="0"/>
            <wp:docPr id="4" name="Picture 4" descr="The figure shows the impact of a reduction in the volume of copyright material managed by the Copyright Agency and Screenrights under the education statutory licenses. As the “Proportion of Relevant Uses of Copyright Material are Found to be ‘Fair’ ” increases, “Education Licensing Income” falls. However, “Education Licensing Income” only falls below the “Education Operating Costs” when more than 86 per cent of the relevant uses of copyright material managed by the Copyright Agency and Screenrights are found to be ‘fair’. This is described in the main text of the document above." title="Figure 10: Impact of a reduction in the volume of copyright material managed by Copyright Agency and Screenrights under the education statutory lic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33415" cy="2647950"/>
                    </a:xfrm>
                    <a:prstGeom prst="rect">
                      <a:avLst/>
                    </a:prstGeom>
                  </pic:spPr>
                </pic:pic>
              </a:graphicData>
            </a:graphic>
          </wp:inline>
        </w:drawing>
      </w:r>
    </w:p>
    <w:p w14:paraId="36A1253B" w14:textId="77777777" w:rsidR="00BE5D63" w:rsidRPr="00124E7F" w:rsidRDefault="00BE5D63">
      <w:pPr>
        <w:pStyle w:val="EYSource"/>
        <w:rPr>
          <w:sz w:val="20"/>
          <w:szCs w:val="20"/>
        </w:rPr>
      </w:pPr>
      <w:r w:rsidRPr="00124E7F">
        <w:rPr>
          <w:sz w:val="20"/>
          <w:szCs w:val="20"/>
        </w:rPr>
        <w:t>Sources: EY analysis</w:t>
      </w:r>
      <w:r w:rsidR="00BE2C15" w:rsidRPr="00124E7F">
        <w:rPr>
          <w:sz w:val="20"/>
          <w:szCs w:val="20"/>
        </w:rPr>
        <w:t xml:space="preserve">: </w:t>
      </w:r>
      <w:r w:rsidRPr="00124E7F">
        <w:rPr>
          <w:sz w:val="20"/>
          <w:szCs w:val="20"/>
        </w:rPr>
        <w:t xml:space="preserve"> Copyright Agency (2015), Annual Report 2014/15</w:t>
      </w:r>
      <w:proofErr w:type="gramStart"/>
      <w:r w:rsidRPr="00124E7F">
        <w:rPr>
          <w:sz w:val="20"/>
          <w:szCs w:val="20"/>
        </w:rPr>
        <w:t xml:space="preserve">;  </w:t>
      </w:r>
      <w:proofErr w:type="spellStart"/>
      <w:r w:rsidRPr="00124E7F">
        <w:rPr>
          <w:sz w:val="20"/>
          <w:szCs w:val="20"/>
        </w:rPr>
        <w:t>Screenrights</w:t>
      </w:r>
      <w:proofErr w:type="spellEnd"/>
      <w:proofErr w:type="gramEnd"/>
      <w:r w:rsidRPr="00124E7F">
        <w:rPr>
          <w:sz w:val="20"/>
          <w:szCs w:val="20"/>
        </w:rPr>
        <w:t xml:space="preserve"> (2015), Annual Report 2014/15.</w:t>
      </w:r>
    </w:p>
    <w:p w14:paraId="5F1E1C5A" w14:textId="77777777" w:rsidR="00BE5D63" w:rsidRPr="00124E7F" w:rsidRDefault="00BE5D63" w:rsidP="00BE5D63">
      <w:pPr>
        <w:spacing w:after="60" w:line="240" w:lineRule="auto"/>
        <w:rPr>
          <w:i/>
          <w:kern w:val="12"/>
          <w:sz w:val="20"/>
          <w:lang w:val="en-US"/>
        </w:rPr>
      </w:pPr>
      <w:r w:rsidRPr="00124E7F">
        <w:rPr>
          <w:i/>
          <w:kern w:val="12"/>
          <w:sz w:val="20"/>
          <w:lang w:val="en-US"/>
        </w:rPr>
        <w:t>Notes:</w:t>
      </w:r>
    </w:p>
    <w:p w14:paraId="21329352" w14:textId="77777777" w:rsidR="0085722F" w:rsidRPr="00124E7F" w:rsidRDefault="00BE5D63" w:rsidP="00374194">
      <w:pPr>
        <w:tabs>
          <w:tab w:val="left" w:pos="284"/>
        </w:tabs>
        <w:spacing w:after="60" w:line="240" w:lineRule="auto"/>
        <w:ind w:left="284" w:hanging="284"/>
        <w:rPr>
          <w:i/>
          <w:sz w:val="20"/>
          <w:lang w:val="en-US"/>
        </w:rPr>
      </w:pPr>
      <w:r w:rsidRPr="00124E7F">
        <w:rPr>
          <w:i/>
          <w:sz w:val="20"/>
          <w:lang w:val="en-US"/>
        </w:rPr>
        <w:tab/>
        <w:t xml:space="preserve">‘Education licensing income’ is derived from the 2014/15 annual reports of Copyright Agency and </w:t>
      </w:r>
      <w:proofErr w:type="spellStart"/>
      <w:r w:rsidRPr="00124E7F">
        <w:rPr>
          <w:i/>
          <w:sz w:val="20"/>
          <w:lang w:val="en-US"/>
        </w:rPr>
        <w:t>Screenrights</w:t>
      </w:r>
      <w:proofErr w:type="spellEnd"/>
      <w:r w:rsidRPr="00124E7F">
        <w:rPr>
          <w:i/>
          <w:sz w:val="20"/>
          <w:lang w:val="en-US"/>
        </w:rPr>
        <w:t xml:space="preserve">. ‘Education operating costs’ is derived from the 2014/15 annual reports of Copyright Agency and </w:t>
      </w:r>
      <w:proofErr w:type="spellStart"/>
      <w:r w:rsidRPr="00124E7F">
        <w:rPr>
          <w:i/>
          <w:sz w:val="20"/>
          <w:lang w:val="en-US"/>
        </w:rPr>
        <w:t>Screenrights</w:t>
      </w:r>
      <w:proofErr w:type="spellEnd"/>
      <w:r w:rsidRPr="00124E7F">
        <w:rPr>
          <w:i/>
          <w:sz w:val="20"/>
          <w:lang w:val="en-US"/>
        </w:rPr>
        <w:t>. I</w:t>
      </w:r>
      <w:r w:rsidRPr="00124E7F">
        <w:rPr>
          <w:i/>
          <w:sz w:val="20"/>
        </w:rPr>
        <w:t xml:space="preserve">t is based on education-related licensing income as a share of total licensing income. As we lacked information on fixed/variable cost ratios, we assumed that </w:t>
      </w:r>
      <w:r w:rsidRPr="00124E7F">
        <w:rPr>
          <w:i/>
          <w:sz w:val="20"/>
          <w:lang w:val="en-US"/>
        </w:rPr>
        <w:t>operating costs would remain unchanged across all scenarios.</w:t>
      </w:r>
    </w:p>
    <w:p w14:paraId="2C4A7679" w14:textId="77777777" w:rsidR="00BE5D63" w:rsidRPr="00124E7F" w:rsidRDefault="00BE5D63" w:rsidP="00BE5D63">
      <w:pPr>
        <w:tabs>
          <w:tab w:val="left" w:pos="284"/>
        </w:tabs>
        <w:spacing w:after="60" w:line="240" w:lineRule="auto"/>
        <w:ind w:left="284" w:hanging="284"/>
        <w:rPr>
          <w:i/>
          <w:sz w:val="20"/>
          <w:lang w:val="en-US"/>
        </w:rPr>
      </w:pPr>
      <w:r w:rsidRPr="00124E7F">
        <w:rPr>
          <w:i/>
          <w:sz w:val="20"/>
          <w:lang w:val="en-US"/>
        </w:rPr>
        <w:tab/>
        <w:t xml:space="preserve">We have assumed a linear relationship between uses of copyright material, and the value of licensing income associated with these uses. </w:t>
      </w:r>
    </w:p>
    <w:p w14:paraId="57D5FDB2" w14:textId="394A9BEC" w:rsidR="001D260D" w:rsidRDefault="001D260D">
      <w:pPr>
        <w:widowControl/>
        <w:autoSpaceDE/>
        <w:autoSpaceDN/>
        <w:adjustRightInd/>
        <w:spacing w:line="240" w:lineRule="auto"/>
        <w:rPr>
          <w:rFonts w:ascii="Arial" w:hAnsi="Arial"/>
          <w:kern w:val="12"/>
          <w:sz w:val="20"/>
          <w:szCs w:val="24"/>
          <w:lang w:val="en-US"/>
        </w:rPr>
      </w:pPr>
      <w:bookmarkStart w:id="156" w:name="_Ref446072797"/>
      <w:r>
        <w:br w:type="page"/>
      </w:r>
    </w:p>
    <w:p w14:paraId="7E4C7184" w14:textId="77777777" w:rsidR="00852EF7" w:rsidRPr="00124E7F" w:rsidRDefault="00852EF7" w:rsidP="00202E68">
      <w:pPr>
        <w:pStyle w:val="EYBodytextnoparaspace"/>
      </w:pPr>
    </w:p>
    <w:p w14:paraId="47727233" w14:textId="77777777" w:rsidR="00BE5D63" w:rsidRDefault="00BE5D63" w:rsidP="000061D4">
      <w:pPr>
        <w:pStyle w:val="Caption"/>
        <w:keepNext/>
        <w:spacing w:after="0"/>
      </w:pPr>
      <w:r w:rsidRPr="00124E7F">
        <w:t xml:space="preserve">Figure </w:t>
      </w:r>
      <w:bookmarkStart w:id="157" w:name="figure11"/>
      <w:r w:rsidRPr="00124E7F">
        <w:fldChar w:fldCharType="begin"/>
      </w:r>
      <w:r w:rsidRPr="00124E7F">
        <w:instrText xml:space="preserve"> SEQ Figure \* ARABIC </w:instrText>
      </w:r>
      <w:r w:rsidRPr="00124E7F">
        <w:fldChar w:fldCharType="separate"/>
      </w:r>
      <w:r w:rsidR="0075700D">
        <w:rPr>
          <w:noProof/>
        </w:rPr>
        <w:t>11</w:t>
      </w:r>
      <w:r w:rsidRPr="00124E7F">
        <w:fldChar w:fldCharType="end"/>
      </w:r>
      <w:bookmarkEnd w:id="156"/>
      <w:bookmarkEnd w:id="157"/>
      <w:r w:rsidRPr="00124E7F">
        <w:t xml:space="preserve">: Additional transaction costs (relative to the status quo) if the education </w:t>
      </w:r>
      <w:r w:rsidR="009978DD" w:rsidRPr="00124E7F">
        <w:t>statutory licences</w:t>
      </w:r>
      <w:r w:rsidRPr="00124E7F">
        <w:t xml:space="preserve"> ceased to operate</w:t>
      </w:r>
    </w:p>
    <w:p w14:paraId="0C93F4E2" w14:textId="77777777" w:rsidR="00B5409F" w:rsidRPr="00B86CFA" w:rsidRDefault="00C6307A" w:rsidP="00202E68">
      <w:r>
        <w:rPr>
          <w:noProof/>
          <w:lang w:eastAsia="zh-TW" w:bidi="hi-IN"/>
        </w:rPr>
        <w:drawing>
          <wp:inline distT="0" distB="0" distL="0" distR="0" wp14:anchorId="44DC8D2A" wp14:editId="5C20606B">
            <wp:extent cx="5779770" cy="2529840"/>
            <wp:effectExtent l="0" t="0" r="0" b="3810"/>
            <wp:docPr id="318" name="Picture 318" descr="The figure shows the impact on transaction costs borne by rights holders and users relative to the status quo, if education statutory licenses ceased to operate.&#10;&#10;Additional transaction costs peak at $24 million. That is, if 86 per cent of relevant uses of copyright material were found to be ‘fair’, and the education statutory licenses ceased to operate, the figure shows that rights holders and users would incur an increase in transaction costs (relative to the status quo) of approximately $24 million annually.&#10;&#10;As the proportion of ‘fair’ uses increases the additional transaction costs fall, until 95% of uses are found to be fair. At this point there would be savings in transaction costs to right holders and users of $0.7 million. Should 100% of uses be found to be fair, this would translate into transaction savings of $14.2 million. &#10;" title="Figure 11: Additional transaction costs (relative to the status quo) if the education statutory licences ceased to ope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79770" cy="2529840"/>
                    </a:xfrm>
                    <a:prstGeom prst="rect">
                      <a:avLst/>
                    </a:prstGeom>
                    <a:noFill/>
                  </pic:spPr>
                </pic:pic>
              </a:graphicData>
            </a:graphic>
          </wp:inline>
        </w:drawing>
      </w:r>
    </w:p>
    <w:p w14:paraId="0C94786C" w14:textId="77777777" w:rsidR="00BE5D63" w:rsidRPr="00124E7F" w:rsidRDefault="00BE5D63" w:rsidP="00202E68">
      <w:pPr>
        <w:pStyle w:val="EYSource"/>
        <w:rPr>
          <w:sz w:val="20"/>
          <w:szCs w:val="20"/>
        </w:rPr>
      </w:pPr>
      <w:r w:rsidRPr="004213AE">
        <w:rPr>
          <w:sz w:val="20"/>
          <w:szCs w:val="20"/>
        </w:rPr>
        <w:t xml:space="preserve">Source: EY analysis;  : Copyright Agency (2015), Annual Report 2014/15; PwC (2016), Understanding the costs and benefits of introducing a ‘fair use’ exception, prepared for APRA </w:t>
      </w:r>
      <w:r w:rsidRPr="00124E7F">
        <w:rPr>
          <w:sz w:val="20"/>
          <w:szCs w:val="20"/>
        </w:rPr>
        <w:t xml:space="preserve">AMCOS, PPCA, Copyright </w:t>
      </w:r>
      <w:proofErr w:type="spellStart"/>
      <w:r w:rsidRPr="00124E7F">
        <w:rPr>
          <w:sz w:val="20"/>
          <w:szCs w:val="20"/>
        </w:rPr>
        <w:t>Agency</w:t>
      </w:r>
      <w:r w:rsidRPr="00124E7F">
        <w:rPr>
          <w:rFonts w:ascii="Times New Roman" w:hAnsi="Times New Roman"/>
          <w:sz w:val="20"/>
          <w:szCs w:val="20"/>
        </w:rPr>
        <w:t>│</w:t>
      </w:r>
      <w:r w:rsidRPr="00124E7F">
        <w:rPr>
          <w:sz w:val="20"/>
          <w:szCs w:val="20"/>
        </w:rPr>
        <w:t>Viscopy</w:t>
      </w:r>
      <w:proofErr w:type="spellEnd"/>
      <w:r w:rsidRPr="00124E7F">
        <w:rPr>
          <w:sz w:val="20"/>
          <w:szCs w:val="20"/>
        </w:rPr>
        <w:t xml:space="preserve">, Foxtel, News Corp Australia and </w:t>
      </w:r>
      <w:proofErr w:type="spellStart"/>
      <w:r w:rsidRPr="00124E7F">
        <w:rPr>
          <w:sz w:val="20"/>
          <w:szCs w:val="20"/>
        </w:rPr>
        <w:t>Screenrights</w:t>
      </w:r>
      <w:proofErr w:type="spellEnd"/>
      <w:r w:rsidRPr="00124E7F">
        <w:rPr>
          <w:sz w:val="20"/>
          <w:szCs w:val="20"/>
        </w:rPr>
        <w:t xml:space="preserve">; </w:t>
      </w:r>
      <w:proofErr w:type="spellStart"/>
      <w:r w:rsidRPr="00124E7F">
        <w:rPr>
          <w:sz w:val="20"/>
          <w:szCs w:val="20"/>
        </w:rPr>
        <w:t>Screenrights</w:t>
      </w:r>
      <w:proofErr w:type="spellEnd"/>
      <w:r w:rsidRPr="00124E7F">
        <w:rPr>
          <w:sz w:val="20"/>
          <w:szCs w:val="20"/>
        </w:rPr>
        <w:t xml:space="preserve"> (2015), Annual Report 2014/15.</w:t>
      </w:r>
    </w:p>
    <w:p w14:paraId="36DC874D" w14:textId="77777777" w:rsidR="00BE5D63" w:rsidRPr="00124E7F" w:rsidRDefault="00BE5D63" w:rsidP="00374194">
      <w:pPr>
        <w:tabs>
          <w:tab w:val="left" w:pos="284"/>
        </w:tabs>
        <w:spacing w:after="60" w:line="240" w:lineRule="auto"/>
        <w:ind w:left="284" w:hanging="284"/>
        <w:rPr>
          <w:sz w:val="20"/>
        </w:rPr>
      </w:pPr>
      <w:r w:rsidRPr="00124E7F">
        <w:rPr>
          <w:i/>
          <w:sz w:val="20"/>
          <w:lang w:val="en-US"/>
        </w:rPr>
        <w:t xml:space="preserve">Notes: </w:t>
      </w:r>
    </w:p>
    <w:p w14:paraId="453F5410" w14:textId="77777777" w:rsidR="00BE5D63" w:rsidRPr="00124E7F" w:rsidRDefault="00BE5D63" w:rsidP="00374194">
      <w:pPr>
        <w:tabs>
          <w:tab w:val="left" w:pos="284"/>
        </w:tabs>
        <w:spacing w:after="60" w:line="240" w:lineRule="auto"/>
        <w:ind w:left="284" w:hanging="284"/>
        <w:rPr>
          <w:i/>
          <w:sz w:val="20"/>
          <w:lang w:val="en-US"/>
        </w:rPr>
      </w:pPr>
      <w:r w:rsidRPr="00124E7F">
        <w:rPr>
          <w:i/>
          <w:sz w:val="20"/>
          <w:lang w:val="en-US"/>
        </w:rPr>
        <w:tab/>
        <w:t>Our estimates of the value of transaction costs associated with the status quo is derived from PwC’s assumption that ‘roughly 78.3 percent of [collecting society] operating costs are related to supporting purely transaction related functions.’</w:t>
      </w:r>
    </w:p>
    <w:p w14:paraId="2988C168" w14:textId="77777777" w:rsidR="00BE5D63" w:rsidRPr="00124E7F" w:rsidRDefault="00BE5D63" w:rsidP="00374194">
      <w:pPr>
        <w:tabs>
          <w:tab w:val="left" w:pos="284"/>
        </w:tabs>
        <w:spacing w:after="60" w:line="240" w:lineRule="auto"/>
        <w:ind w:left="284" w:hanging="284"/>
        <w:rPr>
          <w:i/>
          <w:sz w:val="20"/>
          <w:lang w:val="en-US"/>
        </w:rPr>
      </w:pPr>
      <w:r w:rsidRPr="00124E7F">
        <w:rPr>
          <w:i/>
          <w:sz w:val="20"/>
          <w:lang w:val="en-US"/>
        </w:rPr>
        <w:tab/>
        <w:t xml:space="preserve">Our estimate of the value of transaction costs if the education </w:t>
      </w:r>
      <w:r w:rsidR="009978DD" w:rsidRPr="00124E7F">
        <w:rPr>
          <w:i/>
          <w:sz w:val="20"/>
          <w:lang w:val="en-US"/>
        </w:rPr>
        <w:t xml:space="preserve">statutory </w:t>
      </w:r>
      <w:r w:rsidR="008D7BC8" w:rsidRPr="00124E7F">
        <w:rPr>
          <w:i/>
          <w:sz w:val="20"/>
          <w:lang w:val="en-US"/>
        </w:rPr>
        <w:t>licenses</w:t>
      </w:r>
      <w:r w:rsidRPr="00124E7F">
        <w:rPr>
          <w:i/>
          <w:sz w:val="20"/>
          <w:lang w:val="en-US"/>
        </w:rPr>
        <w:t xml:space="preserve"> ceased to operate is derived from PwC’ assumption that ‘collecting societies reduce administrative duplication by over 18 times’. While the basis of this assumption has been questioned, it is used here only for illustrative purposes. Uses of copyright material found to be fair would not have any associated transaction and monitoring costs. </w:t>
      </w:r>
    </w:p>
    <w:p w14:paraId="7E707337" w14:textId="77777777" w:rsidR="00C13CFD" w:rsidRPr="00124E7F" w:rsidRDefault="00C13CFD" w:rsidP="00374194">
      <w:pPr>
        <w:tabs>
          <w:tab w:val="left" w:pos="284"/>
        </w:tabs>
        <w:spacing w:after="60" w:line="240" w:lineRule="auto"/>
        <w:ind w:left="284" w:hanging="284"/>
        <w:rPr>
          <w:i/>
          <w:sz w:val="20"/>
          <w:lang w:val="en-US"/>
        </w:rPr>
      </w:pPr>
    </w:p>
    <w:p w14:paraId="3B010D47" w14:textId="77777777" w:rsidR="008532AF" w:rsidRPr="00124E7F" w:rsidRDefault="001A2613" w:rsidP="00562091">
      <w:pPr>
        <w:pStyle w:val="EYHeading4"/>
      </w:pPr>
      <w:r w:rsidRPr="00124E7F">
        <w:t>Economy and society</w:t>
      </w:r>
    </w:p>
    <w:p w14:paraId="32671FDB" w14:textId="77777777" w:rsidR="001C0533" w:rsidRPr="00124E7F" w:rsidRDefault="001C0533" w:rsidP="00562091">
      <w:pPr>
        <w:pStyle w:val="EYBodytextwithparaspace"/>
      </w:pPr>
      <w:r w:rsidRPr="00124E7F">
        <w:t xml:space="preserve">Education has been highlighted by the ALRC as ‘one of the clearest examples of a strong public interest in limiting </w:t>
      </w:r>
      <w:r w:rsidR="00EE1D64" w:rsidRPr="00124E7F">
        <w:t>copyright protection’</w:t>
      </w:r>
      <w:r w:rsidR="002D4075" w:rsidRPr="00124E7F">
        <w:t>.</w:t>
      </w:r>
      <w:r w:rsidR="00EE1D64" w:rsidRPr="00124E7F">
        <w:rPr>
          <w:vertAlign w:val="superscript"/>
        </w:rPr>
        <w:footnoteReference w:id="194"/>
      </w:r>
      <w:r w:rsidR="002D4075" w:rsidRPr="00124E7F">
        <w:t xml:space="preserve"> </w:t>
      </w:r>
      <w:r w:rsidR="00EE1D64" w:rsidRPr="00124E7F">
        <w:t xml:space="preserve">The preamble of the World Intellectual Property </w:t>
      </w:r>
      <w:proofErr w:type="spellStart"/>
      <w:r w:rsidR="00EE1D64" w:rsidRPr="00124E7F">
        <w:t>Organisation</w:t>
      </w:r>
      <w:proofErr w:type="spellEnd"/>
      <w:r w:rsidR="00EE1D64" w:rsidRPr="00124E7F">
        <w:t xml:space="preserve"> Copyright Treaty refers to the ‘need to maintain a balance between the rights of authors and the larger public interest, particularly education, research and access to information’.</w:t>
      </w:r>
      <w:r w:rsidR="00EE1D64" w:rsidRPr="00124E7F">
        <w:rPr>
          <w:vertAlign w:val="superscript"/>
        </w:rPr>
        <w:footnoteReference w:id="195"/>
      </w:r>
      <w:r w:rsidR="00EE1D64" w:rsidRPr="00124E7F">
        <w:rPr>
          <w:vertAlign w:val="superscript"/>
        </w:rPr>
        <w:t xml:space="preserve"> </w:t>
      </w:r>
      <w:r w:rsidR="00EE1D64" w:rsidRPr="00124E7F">
        <w:t xml:space="preserve">It is in the context of statements such as these that the </w:t>
      </w:r>
      <w:proofErr w:type="spellStart"/>
      <w:r w:rsidR="00EE1D64" w:rsidRPr="00124E7F">
        <w:t>Franki</w:t>
      </w:r>
      <w:proofErr w:type="spellEnd"/>
      <w:r w:rsidR="00EE1D64" w:rsidRPr="00124E7F">
        <w:t xml:space="preserve"> Committee recommended the introduction of a statutory </w:t>
      </w:r>
      <w:r w:rsidR="005D236A" w:rsidRPr="00124E7F">
        <w:t>licens</w:t>
      </w:r>
      <w:r w:rsidR="007D4AFF" w:rsidRPr="00124E7F">
        <w:t>e</w:t>
      </w:r>
      <w:r w:rsidR="00EE1D64" w:rsidRPr="00124E7F">
        <w:t xml:space="preserve"> for education institutions: </w:t>
      </w:r>
    </w:p>
    <w:p w14:paraId="393DDDD7" w14:textId="77777777" w:rsidR="001C0533" w:rsidRPr="00124E7F" w:rsidRDefault="00507ECB" w:rsidP="00562091">
      <w:pPr>
        <w:pStyle w:val="EYIndent1"/>
        <w:rPr>
          <w:i/>
        </w:rPr>
      </w:pPr>
      <w:r w:rsidRPr="00124E7F">
        <w:rPr>
          <w:i/>
        </w:rPr>
        <w:t>T</w:t>
      </w:r>
      <w:r w:rsidR="001C0533" w:rsidRPr="00124E7F">
        <w:rPr>
          <w:i/>
        </w:rPr>
        <w:t xml:space="preserve">he very considerable element of public interest in education, together with the special difficulties that teachers and others face in Australia in obtaining copies of works needed for educational instruction, justifies the institution of a system of </w:t>
      </w:r>
      <w:r w:rsidR="009978DD" w:rsidRPr="00124E7F">
        <w:rPr>
          <w:i/>
        </w:rPr>
        <w:t xml:space="preserve">statutory </w:t>
      </w:r>
      <w:r w:rsidR="008D7BC8" w:rsidRPr="00124E7F">
        <w:rPr>
          <w:i/>
        </w:rPr>
        <w:t>licenses</w:t>
      </w:r>
      <w:r w:rsidR="001C0533" w:rsidRPr="00124E7F">
        <w:rPr>
          <w:i/>
        </w:rPr>
        <w:t xml:space="preserve"> in non-profit educational establishments.</w:t>
      </w:r>
      <w:r w:rsidR="00467498" w:rsidRPr="00124E7F">
        <w:rPr>
          <w:i/>
          <w:vertAlign w:val="superscript"/>
        </w:rPr>
        <w:footnoteReference w:id="196"/>
      </w:r>
    </w:p>
    <w:p w14:paraId="15744D4F" w14:textId="77777777" w:rsidR="00977380" w:rsidRPr="00124E7F" w:rsidRDefault="00EE1D64" w:rsidP="00562091">
      <w:pPr>
        <w:pStyle w:val="EYBodytextwithparaspace"/>
        <w:rPr>
          <w:vertAlign w:val="superscript"/>
        </w:rPr>
      </w:pPr>
      <w:r w:rsidRPr="00124E7F">
        <w:t xml:space="preserve">It would be hard to mount the argument that, when it comes to use of copyright content for instruction, </w:t>
      </w:r>
      <w:r w:rsidR="009978DD" w:rsidRPr="00124E7F">
        <w:t xml:space="preserve">statutory </w:t>
      </w:r>
      <w:r w:rsidR="008D7BC8" w:rsidRPr="00124E7F">
        <w:t>licenses</w:t>
      </w:r>
      <w:r w:rsidRPr="00124E7F">
        <w:t xml:space="preserve"> are anything but flexible. This is ably demonstrated by </w:t>
      </w:r>
      <w:proofErr w:type="spellStart"/>
      <w:r w:rsidR="00915C05" w:rsidRPr="00124E7F">
        <w:t>Screenrights</w:t>
      </w:r>
      <w:proofErr w:type="spellEnd"/>
      <w:r w:rsidR="00915C05" w:rsidRPr="00124E7F">
        <w:t xml:space="preserve"> in its traffic light comparison of educational uses of broadcast material permitted under Australian copyright legislation relative to other legal regimes.</w:t>
      </w:r>
      <w:r w:rsidR="00915C05" w:rsidRPr="00124E7F">
        <w:rPr>
          <w:vertAlign w:val="superscript"/>
        </w:rPr>
        <w:footnoteReference w:id="197"/>
      </w:r>
      <w:r w:rsidR="00915C05" w:rsidRPr="00124E7F">
        <w:rPr>
          <w:vertAlign w:val="superscript"/>
        </w:rPr>
        <w:t xml:space="preserve"> </w:t>
      </w:r>
    </w:p>
    <w:p w14:paraId="29C69F20" w14:textId="77777777" w:rsidR="00507ECB" w:rsidRPr="00124E7F" w:rsidRDefault="00507ECB" w:rsidP="00562091">
      <w:pPr>
        <w:pStyle w:val="EYBodytextwithparaspace"/>
      </w:pPr>
      <w:r w:rsidRPr="00124E7F">
        <w:t>However, the nature of teaching and learning is changing in the stead of new digital technologies. The NSW Government, for example, is investing over $1 billion t</w:t>
      </w:r>
      <w:r w:rsidR="00571064" w:rsidRPr="00124E7F">
        <w:t>o roll out new classroom technologies, described by the Sydney Morning H</w:t>
      </w:r>
      <w:r w:rsidRPr="00124E7F">
        <w:t>erald as the classroom of the future</w:t>
      </w:r>
      <w:r w:rsidR="00BA6207" w:rsidRPr="00124E7F">
        <w:t>:</w:t>
      </w:r>
    </w:p>
    <w:p w14:paraId="43D356C8" w14:textId="77777777" w:rsidR="00E3760E" w:rsidRPr="00124E7F" w:rsidRDefault="00507ECB" w:rsidP="00562091">
      <w:pPr>
        <w:pStyle w:val="EYIndent1"/>
        <w:rPr>
          <w:i/>
        </w:rPr>
      </w:pPr>
      <w:r w:rsidRPr="00124E7F">
        <w:rPr>
          <w:i/>
        </w:rPr>
        <w:t>Mobile touch sensitive screens, cloud computing across all devices, walls and desks upon which students can write, and Lego-style furniture that allows students to sit, stand, crouch or lay their way around a classroom will become standard.</w:t>
      </w:r>
      <w:r w:rsidRPr="00124E7F">
        <w:rPr>
          <w:i/>
          <w:vertAlign w:val="superscript"/>
        </w:rPr>
        <w:footnoteReference w:id="198"/>
      </w:r>
    </w:p>
    <w:p w14:paraId="1DB50D6D" w14:textId="77777777" w:rsidR="00571064" w:rsidRPr="00124E7F" w:rsidRDefault="00571064" w:rsidP="00562091">
      <w:pPr>
        <w:pStyle w:val="EYBodytextwithparaspace"/>
      </w:pPr>
      <w:r w:rsidRPr="00124E7F">
        <w:t>As stated by the ALRC, ‘d</w:t>
      </w:r>
      <w:r w:rsidR="00E3760E" w:rsidRPr="00124E7F">
        <w:t>igital technologies allow for new, innovative, and efficie</w:t>
      </w:r>
      <w:r w:rsidRPr="00124E7F">
        <w:t>nt uses of copyright material.'</w:t>
      </w:r>
      <w:r w:rsidRPr="00124E7F">
        <w:rPr>
          <w:vertAlign w:val="superscript"/>
        </w:rPr>
        <w:footnoteReference w:id="199"/>
      </w:r>
      <w:r w:rsidRPr="00124E7F">
        <w:t xml:space="preserve"> Many of these </w:t>
      </w:r>
      <w:r w:rsidR="004115D0" w:rsidRPr="00124E7F">
        <w:t>uses, however, rely on multiple</w:t>
      </w:r>
      <w:r w:rsidRPr="00124E7F">
        <w:t xml:space="preserve"> act</w:t>
      </w:r>
      <w:r w:rsidR="004115D0" w:rsidRPr="00124E7F">
        <w:t>s</w:t>
      </w:r>
      <w:r w:rsidRPr="00124E7F">
        <w:t xml:space="preserve"> of reproduction and communication</w:t>
      </w:r>
      <w:r w:rsidR="00E3760E" w:rsidRPr="00124E7F">
        <w:t>.</w:t>
      </w:r>
      <w:r w:rsidRPr="00124E7F">
        <w:t xml:space="preserve"> </w:t>
      </w:r>
      <w:r w:rsidR="00E3760E" w:rsidRPr="00124E7F">
        <w:t xml:space="preserve">To the extent that </w:t>
      </w:r>
      <w:r w:rsidR="009978DD" w:rsidRPr="00124E7F">
        <w:t xml:space="preserve">statutory </w:t>
      </w:r>
      <w:r w:rsidR="008D7BC8" w:rsidRPr="00124E7F">
        <w:t>licenses</w:t>
      </w:r>
      <w:r w:rsidR="00E3760E" w:rsidRPr="00124E7F">
        <w:t xml:space="preserve"> currently ac</w:t>
      </w:r>
      <w:r w:rsidR="00E3760E" w:rsidRPr="00124E7F">
        <w:rPr>
          <w:rStyle w:val="EYBodytextwithparaspaceChar"/>
        </w:rPr>
        <w:t>c</w:t>
      </w:r>
      <w:r w:rsidR="00E3760E" w:rsidRPr="00124E7F">
        <w:t>ount for each act in usage surveys, this comes at a cost of both effectiveness and efficiency.</w:t>
      </w:r>
      <w:r w:rsidR="00A9028D" w:rsidRPr="00124E7F">
        <w:t xml:space="preserve"> </w:t>
      </w:r>
      <w:r w:rsidR="00E3760E" w:rsidRPr="00124E7F">
        <w:t xml:space="preserve">Effectiveness with respect to the best </w:t>
      </w:r>
      <w:r w:rsidR="00AE6931" w:rsidRPr="00124E7F">
        <w:t>possible</w:t>
      </w:r>
      <w:r w:rsidRPr="00124E7F">
        <w:t xml:space="preserve"> use of </w:t>
      </w:r>
      <w:r w:rsidR="00E3760E" w:rsidRPr="00124E7F">
        <w:t xml:space="preserve">public funds </w:t>
      </w:r>
      <w:r w:rsidRPr="00124E7F">
        <w:t>to promote educational outcomes</w:t>
      </w:r>
      <w:r w:rsidR="00E3760E" w:rsidRPr="00124E7F">
        <w:t xml:space="preserve">. Efficiencies with respect </w:t>
      </w:r>
      <w:r w:rsidRPr="00124E7F">
        <w:t xml:space="preserve">to the extent educational institutions can take full advantage of digital technologies on a day to day basis. </w:t>
      </w:r>
    </w:p>
    <w:p w14:paraId="45D0CF1C" w14:textId="77777777" w:rsidR="00467498" w:rsidRPr="00124E7F" w:rsidRDefault="00EF13C3" w:rsidP="00562091">
      <w:pPr>
        <w:pStyle w:val="EYBodytextwithparaspace"/>
      </w:pPr>
      <w:r w:rsidRPr="00124E7F">
        <w:t xml:space="preserve">To the extent </w:t>
      </w:r>
      <w:r w:rsidR="00D76868" w:rsidRPr="00124E7F">
        <w:t xml:space="preserve">that a fair dealing exception </w:t>
      </w:r>
      <w:r w:rsidR="00467498" w:rsidRPr="00124E7F">
        <w:t xml:space="preserve">for education would mean that </w:t>
      </w:r>
      <w:r w:rsidR="00AE6931" w:rsidRPr="00124E7F">
        <w:t>some uses</w:t>
      </w:r>
      <w:r w:rsidR="00467498" w:rsidRPr="00124E7F">
        <w:t xml:space="preserve"> are no longer a remunerable act in usage surveys, this would be expected to lead to some increase in effectiveness (i.e. with which public funds are currently spent) and efficiency (i.e. in the use of digital technologies to facilitate access to copyright content). </w:t>
      </w:r>
    </w:p>
    <w:p w14:paraId="76A64E12" w14:textId="77777777" w:rsidR="00023832" w:rsidRPr="00124E7F" w:rsidRDefault="00023832">
      <w:pPr>
        <w:widowControl/>
        <w:autoSpaceDE/>
        <w:autoSpaceDN/>
        <w:adjustRightInd/>
        <w:spacing w:line="240" w:lineRule="auto"/>
        <w:rPr>
          <w:b/>
          <w:sz w:val="28"/>
          <w:szCs w:val="24"/>
          <w:lang w:val="en-US"/>
        </w:rPr>
      </w:pPr>
      <w:bookmarkStart w:id="158" w:name="_Toc451769115"/>
      <w:bookmarkStart w:id="159" w:name="_Toc467768612"/>
      <w:bookmarkStart w:id="160" w:name="_Toc467768664"/>
      <w:bookmarkStart w:id="161" w:name="_Toc467768956"/>
      <w:bookmarkStart w:id="162" w:name="_Toc467769085"/>
      <w:r w:rsidRPr="00124E7F">
        <w:br w:type="page"/>
      </w:r>
    </w:p>
    <w:p w14:paraId="650DEDC4" w14:textId="77777777" w:rsidR="003A74F9" w:rsidRPr="00124E7F" w:rsidRDefault="003A74F9" w:rsidP="00775257">
      <w:pPr>
        <w:pStyle w:val="EYHeading2"/>
        <w:tabs>
          <w:tab w:val="clear" w:pos="0"/>
        </w:tabs>
      </w:pPr>
      <w:bookmarkStart w:id="163" w:name="_Toc469644742"/>
      <w:r w:rsidRPr="00124E7F">
        <w:t>Libraries and archives</w:t>
      </w:r>
      <w:bookmarkEnd w:id="158"/>
      <w:bookmarkEnd w:id="159"/>
      <w:bookmarkEnd w:id="160"/>
      <w:bookmarkEnd w:id="161"/>
      <w:bookmarkEnd w:id="162"/>
      <w:bookmarkEnd w:id="163"/>
    </w:p>
    <w:p w14:paraId="62676153" w14:textId="77777777" w:rsidR="003A74F9" w:rsidRPr="00124E7F" w:rsidRDefault="003A74F9" w:rsidP="00562091">
      <w:pPr>
        <w:pStyle w:val="EYBodytextwithparaspace"/>
        <w:rPr>
          <w:b/>
        </w:rPr>
      </w:pPr>
      <w:r w:rsidRPr="00124E7F">
        <w:t xml:space="preserve">The figure below </w:t>
      </w:r>
      <w:proofErr w:type="spellStart"/>
      <w:r w:rsidRPr="00124E7F">
        <w:t>summarises</w:t>
      </w:r>
      <w:proofErr w:type="spellEnd"/>
      <w:r w:rsidRPr="00124E7F">
        <w:t xml:space="preserve"> the current versus the proposed provisions for libraries and archives, broken down at a high level by remunerated and unremunerated uses. Placing the arrangements side-by-side in this way, it is possible to see many similarities between the current and proposed arrangements for use by libraries and archives.</w:t>
      </w:r>
    </w:p>
    <w:p w14:paraId="330DA749" w14:textId="77777777" w:rsidR="003A74F9" w:rsidRPr="00124E7F" w:rsidRDefault="003A74F9" w:rsidP="00562091">
      <w:pPr>
        <w:pStyle w:val="EYBodytextwithparaspace"/>
        <w:rPr>
          <w:b/>
        </w:rPr>
      </w:pPr>
      <w:r w:rsidRPr="00124E7F">
        <w:t xml:space="preserve">Essentially, the only difference would be in the standards applied to the ‘flexible exceptions’ under the two arrangements (boxes highlighted in yellow). Currently, Section 200AB applies standards equivalent to the three step test found in the </w:t>
      </w:r>
      <w:r w:rsidRPr="00124E7F">
        <w:rPr>
          <w:i/>
        </w:rPr>
        <w:t>Agreement on Trade Related Aspects of Intellectual Property</w:t>
      </w:r>
      <w:r w:rsidRPr="00124E7F">
        <w:t xml:space="preserve"> Rights (Trade Agreement). The proposed fair dealing exception would codify a number of fairness standards that are already in use by the courts.</w:t>
      </w:r>
    </w:p>
    <w:p w14:paraId="2DD77835" w14:textId="77777777" w:rsidR="003A74F9" w:rsidRPr="00124E7F" w:rsidRDefault="003A74F9" w:rsidP="00562091">
      <w:pPr>
        <w:pStyle w:val="EYBodytextwithparaspace"/>
      </w:pPr>
      <w:r w:rsidRPr="00124E7F">
        <w:t xml:space="preserve">At their core, the current and proposed standards have distinct cross overs. For example, under both sets of standards, use will more likely found to be permissible if it does not compete with the way a copyright holder normally exploits (or makes a profit from) his or her work; non-commercial uses are viewed more </w:t>
      </w:r>
      <w:proofErr w:type="spellStart"/>
      <w:r w:rsidRPr="00124E7F">
        <w:t>favourably</w:t>
      </w:r>
      <w:proofErr w:type="spellEnd"/>
      <w:r w:rsidRPr="00124E7F">
        <w:t xml:space="preserve">; and the quantity of the material used is a factor considered.  </w:t>
      </w:r>
    </w:p>
    <w:p w14:paraId="3E2B572E" w14:textId="77777777" w:rsidR="00FB390B" w:rsidRPr="00124E7F" w:rsidRDefault="003A74F9" w:rsidP="00562091">
      <w:pPr>
        <w:pStyle w:val="EYBodytextwithparaspace"/>
      </w:pPr>
      <w:r w:rsidRPr="00124E7F">
        <w:t xml:space="preserve">The current Section 200AB standards have been </w:t>
      </w:r>
      <w:proofErr w:type="spellStart"/>
      <w:r w:rsidRPr="00124E7F">
        <w:t>criticised</w:t>
      </w:r>
      <w:proofErr w:type="spellEnd"/>
      <w:r w:rsidRPr="00124E7F">
        <w:t xml:space="preserve"> for being complex and ambiguous. Many cultural institutions view the exception as a failure and many have never relied on it. This has been cited both to support repealing s 200AB and as evidence against the introduction of another flexible exception – the new fair dealing exception. </w:t>
      </w:r>
      <w:r w:rsidR="00FB390B" w:rsidRPr="00124E7F">
        <w:t xml:space="preserve">Despite being widely </w:t>
      </w:r>
      <w:proofErr w:type="spellStart"/>
      <w:r w:rsidR="00FB390B" w:rsidRPr="00124E7F">
        <w:t>criticised</w:t>
      </w:r>
      <w:proofErr w:type="spellEnd"/>
      <w:r w:rsidR="00FB390B" w:rsidRPr="00124E7F">
        <w:t xml:space="preserve"> for its complexity, there is anecdotal evidence that libraries and archives are increasingly using Section 200AB as they gain comfort with guidelines and as precedents emerge. </w:t>
      </w:r>
    </w:p>
    <w:p w14:paraId="1FBC55F5" w14:textId="77777777" w:rsidR="003A74F9" w:rsidRPr="00124E7F" w:rsidRDefault="003A74F9" w:rsidP="00562091">
      <w:pPr>
        <w:pStyle w:val="EYBodytextwithparaspace"/>
      </w:pPr>
      <w:r w:rsidRPr="00124E7F">
        <w:t xml:space="preserve">Given the similarities between the two regimes and, until such time as the new fair dealing exception is tested in the courts and by cultural </w:t>
      </w:r>
      <w:r w:rsidR="005151FD" w:rsidRPr="00124E7F">
        <w:t>institutions</w:t>
      </w:r>
      <w:r w:rsidRPr="00124E7F">
        <w:t xml:space="preserve">, it is not possible to determine the impacts of moving to the new fair dealing exception for libraries and archives.  </w:t>
      </w:r>
    </w:p>
    <w:p w14:paraId="173A4E1B" w14:textId="77777777" w:rsidR="003A74F9" w:rsidRDefault="003A74F9" w:rsidP="003A74F9">
      <w:pPr>
        <w:pStyle w:val="Caption"/>
        <w:keepNext/>
      </w:pPr>
      <w:r w:rsidRPr="00124E7F">
        <w:t xml:space="preserve">Figure </w:t>
      </w:r>
      <w:r w:rsidRPr="00124E7F">
        <w:fldChar w:fldCharType="begin"/>
      </w:r>
      <w:r w:rsidRPr="00124E7F">
        <w:instrText xml:space="preserve"> SEQ Figure \* ARABIC </w:instrText>
      </w:r>
      <w:r w:rsidRPr="00124E7F">
        <w:fldChar w:fldCharType="separate"/>
      </w:r>
      <w:r w:rsidR="0075700D">
        <w:rPr>
          <w:noProof/>
        </w:rPr>
        <w:t>12</w:t>
      </w:r>
      <w:r w:rsidRPr="00124E7F">
        <w:fldChar w:fldCharType="end"/>
      </w:r>
      <w:r w:rsidR="00754476" w:rsidRPr="00124E7F">
        <w:t>:</w:t>
      </w:r>
      <w:r w:rsidRPr="00124E7F">
        <w:t xml:space="preserve"> Current versus proposed library exceptions</w:t>
      </w:r>
    </w:p>
    <w:p w14:paraId="32D31AD5" w14:textId="77777777" w:rsidR="005B5DD7" w:rsidRPr="00B86CFA" w:rsidRDefault="005B5DD7" w:rsidP="00202E68">
      <w:r>
        <w:rPr>
          <w:noProof/>
          <w:lang w:eastAsia="zh-TW" w:bidi="hi-IN"/>
        </w:rPr>
        <w:drawing>
          <wp:inline distT="0" distB="0" distL="0" distR="0" wp14:anchorId="0D2B5061" wp14:editId="51B7448C">
            <wp:extent cx="4680000" cy="3167776"/>
            <wp:effectExtent l="0" t="0" r="0" b="0"/>
            <wp:docPr id="2081" name="Picture 2081" descr="Figure 12  summarises the current versus proposed exceptions for libraries, broken down at a high level by remunerated and unremunerated uses. The main differences highlighted by the diagram are explained in the main text provided above." title="Figure 12: Current versus proposed library exce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80000" cy="3167776"/>
                    </a:xfrm>
                    <a:prstGeom prst="rect">
                      <a:avLst/>
                    </a:prstGeom>
                    <a:noFill/>
                  </pic:spPr>
                </pic:pic>
              </a:graphicData>
            </a:graphic>
          </wp:inline>
        </w:drawing>
      </w:r>
    </w:p>
    <w:p w14:paraId="2827DD08" w14:textId="77777777" w:rsidR="00DB672A" w:rsidRPr="00124E7F" w:rsidRDefault="00DB672A" w:rsidP="00775257">
      <w:pPr>
        <w:pStyle w:val="EYHeading2"/>
        <w:tabs>
          <w:tab w:val="clear" w:pos="0"/>
        </w:tabs>
      </w:pPr>
      <w:bookmarkStart w:id="164" w:name="_Toc469590889"/>
      <w:bookmarkStart w:id="165" w:name="_Toc469643041"/>
      <w:bookmarkStart w:id="166" w:name="_Toc469644743"/>
      <w:bookmarkStart w:id="167" w:name="_Toc469590890"/>
      <w:bookmarkStart w:id="168" w:name="_Toc469643042"/>
      <w:bookmarkStart w:id="169" w:name="_Toc469644744"/>
      <w:bookmarkStart w:id="170" w:name="_Toc451769116"/>
      <w:bookmarkStart w:id="171" w:name="_Toc467768613"/>
      <w:bookmarkStart w:id="172" w:name="_Toc467768665"/>
      <w:bookmarkStart w:id="173" w:name="_Toc467768957"/>
      <w:bookmarkStart w:id="174" w:name="_Toc467769086"/>
      <w:bookmarkStart w:id="175" w:name="_Toc469644745"/>
      <w:bookmarkEnd w:id="164"/>
      <w:bookmarkEnd w:id="165"/>
      <w:bookmarkEnd w:id="166"/>
      <w:bookmarkEnd w:id="167"/>
      <w:bookmarkEnd w:id="168"/>
      <w:bookmarkEnd w:id="169"/>
      <w:r w:rsidRPr="00124E7F">
        <w:t>Orphan works</w:t>
      </w:r>
      <w:bookmarkEnd w:id="170"/>
      <w:bookmarkEnd w:id="171"/>
      <w:bookmarkEnd w:id="172"/>
      <w:bookmarkEnd w:id="173"/>
      <w:bookmarkEnd w:id="174"/>
      <w:bookmarkEnd w:id="175"/>
    </w:p>
    <w:p w14:paraId="1C574F9B" w14:textId="77777777" w:rsidR="00DB672A" w:rsidRPr="00124E7F" w:rsidRDefault="00DB672A" w:rsidP="00562091">
      <w:pPr>
        <w:pStyle w:val="EYHeading3"/>
      </w:pPr>
      <w:r w:rsidRPr="00124E7F">
        <w:t>What are orphan works</w:t>
      </w:r>
    </w:p>
    <w:p w14:paraId="5C959CA9" w14:textId="77777777" w:rsidR="00DB672A" w:rsidRPr="00124E7F" w:rsidRDefault="00DB672A" w:rsidP="00562091">
      <w:pPr>
        <w:pStyle w:val="EYBodytextwithparaspace"/>
      </w:pPr>
      <w:r w:rsidRPr="00124E7F">
        <w:t>While the term “orphan work” is not defined by the Copyright Act, it is generally taken to mean a work that may be covered by copyright but for which no copyright owner can be identified or contacted for the purpose of obtaining permission to use the work.</w:t>
      </w:r>
      <w:r w:rsidRPr="00124E7F">
        <w:rPr>
          <w:vertAlign w:val="superscript"/>
        </w:rPr>
        <w:footnoteReference w:id="200"/>
      </w:r>
    </w:p>
    <w:p w14:paraId="72A7F7CD" w14:textId="77777777" w:rsidR="00DB672A" w:rsidRPr="00124E7F" w:rsidRDefault="00DB672A" w:rsidP="00562091">
      <w:pPr>
        <w:pStyle w:val="EYBodytextwithparaspace"/>
      </w:pPr>
      <w:r w:rsidRPr="00124E7F">
        <w:t xml:space="preserve">There are many different types of works that may come to be orphan works, including literary works, audio-visual materials and still photos. The scope of orphan works also encompasses both published and unpublished copyright material. The uses of orphan works are similarly diverse, impacting on sectors including cultural institutions; computer and internet industries; and photographers. Orphan works are also used for both commercial and non-commercial purposes. </w:t>
      </w:r>
    </w:p>
    <w:p w14:paraId="30DA6FB4" w14:textId="77777777" w:rsidR="00DB672A" w:rsidRPr="00124E7F" w:rsidRDefault="00DB672A" w:rsidP="00562091">
      <w:pPr>
        <w:pStyle w:val="EYHeading3"/>
      </w:pPr>
      <w:r w:rsidRPr="00124E7F">
        <w:t>Current law</w:t>
      </w:r>
    </w:p>
    <w:p w14:paraId="46FC2C86" w14:textId="77777777" w:rsidR="00C75D11" w:rsidRPr="00124E7F" w:rsidRDefault="00DB672A" w:rsidP="00023832">
      <w:pPr>
        <w:pStyle w:val="EYBodytextwithparaspace"/>
        <w:widowControl w:val="0"/>
      </w:pPr>
      <w:r w:rsidRPr="00124E7F">
        <w:t xml:space="preserve">There is currently no provision in the Copyright Act that specifically addresses orphan works. If an orphan work is used without permission, the user may be infringing the Act and may be liable to legal remedy should the copyright owner come forward at a later stage. However, there are several provisions within the Copyright Act that allow for the use of works, including orphan works, for specific uses. The main provisions are </w:t>
      </w:r>
      <w:proofErr w:type="spellStart"/>
      <w:r w:rsidRPr="00124E7F">
        <w:t>summarised</w:t>
      </w:r>
      <w:proofErr w:type="spellEnd"/>
      <w:r w:rsidRPr="00124E7F">
        <w:t xml:space="preserve"> below:</w:t>
      </w:r>
    </w:p>
    <w:p w14:paraId="5344EC3E" w14:textId="77777777" w:rsidR="00DB672A" w:rsidRPr="00124E7F" w:rsidRDefault="009978DD" w:rsidP="00023832">
      <w:pPr>
        <w:pStyle w:val="EYBulletedText1"/>
        <w:widowControl w:val="0"/>
      </w:pPr>
      <w:r w:rsidRPr="00124E7F">
        <w:rPr>
          <w:b/>
        </w:rPr>
        <w:t xml:space="preserve">Statutory </w:t>
      </w:r>
      <w:r w:rsidR="008D7BC8" w:rsidRPr="00124E7F">
        <w:rPr>
          <w:b/>
        </w:rPr>
        <w:t>licenses</w:t>
      </w:r>
      <w:r w:rsidR="00DB672A" w:rsidRPr="00124E7F">
        <w:t xml:space="preserve"> ‘allow for the copying and communication of materials for education, for government, to assist persons with disabilities, and for the retransmission of free-to-air broadcasts’.</w:t>
      </w:r>
      <w:r w:rsidR="00DB672A" w:rsidRPr="00124E7F">
        <w:rPr>
          <w:vertAlign w:val="superscript"/>
        </w:rPr>
        <w:footnoteReference w:id="201"/>
      </w:r>
      <w:r w:rsidR="00DB672A" w:rsidRPr="00124E7F">
        <w:t xml:space="preserve"> These </w:t>
      </w:r>
      <w:r w:rsidR="005D236A" w:rsidRPr="00124E7F">
        <w:t>licens</w:t>
      </w:r>
      <w:r w:rsidR="007D4AFF" w:rsidRPr="00124E7F">
        <w:t>e</w:t>
      </w:r>
      <w:r w:rsidR="00DB672A" w:rsidRPr="00124E7F">
        <w:t xml:space="preserve">s apply to all works (including orphan works) and are subject to the payment of reasonable remuneration to a declared collecting society. </w:t>
      </w:r>
    </w:p>
    <w:p w14:paraId="1627DF04" w14:textId="77777777" w:rsidR="00DB672A" w:rsidRPr="00124E7F" w:rsidRDefault="00DB672A" w:rsidP="00023832">
      <w:pPr>
        <w:pStyle w:val="EYBulletedText1"/>
        <w:widowControl w:val="0"/>
      </w:pPr>
      <w:r w:rsidRPr="00124E7F">
        <w:rPr>
          <w:b/>
        </w:rPr>
        <w:t xml:space="preserve">Fair dealing exceptions </w:t>
      </w:r>
      <w:r w:rsidRPr="00124E7F">
        <w:t xml:space="preserve">in sections 40 to 42 of the Copyright Act allow works to be used in certain circumstances for research or study; criticism or review; parody or satire; and reporting and news. These apply equally to all works, including orphan works. </w:t>
      </w:r>
    </w:p>
    <w:p w14:paraId="12A363CA" w14:textId="77777777" w:rsidR="00DB672A" w:rsidRPr="00124E7F" w:rsidRDefault="00DB672A" w:rsidP="00023832">
      <w:pPr>
        <w:pStyle w:val="EYBulletedText1"/>
        <w:widowControl w:val="0"/>
      </w:pPr>
      <w:r w:rsidRPr="00124E7F">
        <w:rPr>
          <w:b/>
        </w:rPr>
        <w:t>Section 200AB</w:t>
      </w:r>
      <w:r w:rsidRPr="00124E7F">
        <w:t xml:space="preserve"> of the Copyright Act may be used by libraries, archives and education institutions for the use of works in special cases, provided the use is not for commercial advantage or profit and would not unreasonably prejudice the interests of the copyright owner.</w:t>
      </w:r>
    </w:p>
    <w:p w14:paraId="2137ECDD" w14:textId="77777777" w:rsidR="00DB672A" w:rsidRPr="00124E7F" w:rsidRDefault="00DB672A" w:rsidP="00023832">
      <w:pPr>
        <w:pStyle w:val="EYBulletedText1"/>
        <w:widowControl w:val="0"/>
      </w:pPr>
      <w:r w:rsidRPr="00124E7F">
        <w:rPr>
          <w:b/>
        </w:rPr>
        <w:t>Other provisions</w:t>
      </w:r>
      <w:r w:rsidRPr="00124E7F">
        <w:t xml:space="preserve"> including library and archive specific provisions for preservation purposes and personal use provisions including format and time shifting exceptions. </w:t>
      </w:r>
    </w:p>
    <w:p w14:paraId="7986A1C3" w14:textId="77777777" w:rsidR="00DB672A" w:rsidRPr="00124E7F" w:rsidRDefault="00DB672A" w:rsidP="00562091">
      <w:pPr>
        <w:pStyle w:val="EYHeading3"/>
      </w:pPr>
      <w:bookmarkStart w:id="176" w:name="_Ref446068580"/>
      <w:r w:rsidRPr="00124E7F">
        <w:t>The problem</w:t>
      </w:r>
      <w:bookmarkEnd w:id="176"/>
      <w:r w:rsidRPr="00124E7F">
        <w:t xml:space="preserve"> </w:t>
      </w:r>
    </w:p>
    <w:p w14:paraId="3CF8C0FB" w14:textId="77777777" w:rsidR="00DB672A" w:rsidRPr="00124E7F" w:rsidRDefault="00DB672A" w:rsidP="00562091">
      <w:pPr>
        <w:pStyle w:val="EYBodytextwithparaspace"/>
      </w:pPr>
      <w:r w:rsidRPr="00124E7F">
        <w:t xml:space="preserve">In its review </w:t>
      </w:r>
      <w:r w:rsidRPr="00124E7F">
        <w:rPr>
          <w:i/>
        </w:rPr>
        <w:t xml:space="preserve">Orphan works: balancing the rights of owners with access to works, </w:t>
      </w:r>
      <w:r w:rsidRPr="00124E7F">
        <w:t>the Attorney</w:t>
      </w:r>
      <w:r w:rsidR="00D107BD" w:rsidRPr="00124E7F">
        <w:noBreakHyphen/>
      </w:r>
      <w:r w:rsidRPr="00124E7F">
        <w:t xml:space="preserve">General’s Department identified two main problems with the current application of the Copyright Act with respect to orphan works. </w:t>
      </w:r>
    </w:p>
    <w:p w14:paraId="2E1042DD" w14:textId="77777777" w:rsidR="00DB672A" w:rsidRPr="00124E7F" w:rsidRDefault="00DB672A" w:rsidP="00562091">
      <w:pPr>
        <w:pStyle w:val="EYBodytextwithparaspace"/>
      </w:pPr>
      <w:r w:rsidRPr="00124E7F">
        <w:t xml:space="preserve">Firstly, the current approach is piecemeal and inconsistent. While the use of orphan works may be incidentally covered by a large number of exceptions and </w:t>
      </w:r>
      <w:r w:rsidR="009978DD" w:rsidRPr="00124E7F">
        <w:t xml:space="preserve">statutory </w:t>
      </w:r>
      <w:r w:rsidR="008D7BC8" w:rsidRPr="00124E7F">
        <w:t>licenses</w:t>
      </w:r>
      <w:r w:rsidRPr="00124E7F">
        <w:t xml:space="preserve"> that generally apply to all works, orphan works are not directly addressed by the Copyright Act. This means that there are many potential uses of orphan works that are still restricted including use of orphan works for transformative and creative purposes; for personal and community use; and for broadcasts (where material is held in broadcasters’ collections).</w:t>
      </w:r>
      <w:r w:rsidRPr="00124E7F">
        <w:rPr>
          <w:vertAlign w:val="superscript"/>
        </w:rPr>
        <w:footnoteReference w:id="202"/>
      </w:r>
      <w:r w:rsidRPr="00124E7F">
        <w:rPr>
          <w:vertAlign w:val="superscript"/>
        </w:rPr>
        <w:t xml:space="preserve"> </w:t>
      </w:r>
    </w:p>
    <w:p w14:paraId="40E1DE6B" w14:textId="77777777" w:rsidR="00DB672A" w:rsidRPr="00124E7F" w:rsidRDefault="00DB672A" w:rsidP="00562091">
      <w:pPr>
        <w:pStyle w:val="EYBodytextwithparaspace"/>
      </w:pPr>
      <w:r w:rsidRPr="00124E7F">
        <w:t>Secondly, uncertainty in the wording of the Section 200AB provision is currently constraining its application by education institutions, libraries and archives to orphan works. In particular, the Australian Digital Alliance and the Australian Libraries Copyright Committee note that the ‘two main stumbling blocks to using flexible dealing for orphan works are the process for ascertaining whether a work is orphaned in order to assess normal exploitation and unreasonable prejudice, and whether the special case requirement permits large scale uses of specific collections.</w:t>
      </w:r>
      <w:r w:rsidRPr="00124E7F">
        <w:rPr>
          <w:vertAlign w:val="superscript"/>
        </w:rPr>
        <w:footnoteReference w:id="203"/>
      </w:r>
      <w:r w:rsidRPr="00124E7F">
        <w:rPr>
          <w:vertAlign w:val="superscript"/>
        </w:rPr>
        <w:t xml:space="preserve"> </w:t>
      </w:r>
    </w:p>
    <w:p w14:paraId="341E8950" w14:textId="77777777" w:rsidR="00C75D11" w:rsidRPr="00124E7F" w:rsidRDefault="00DB672A" w:rsidP="00023832">
      <w:pPr>
        <w:pStyle w:val="EYBodytextwithparaspace"/>
      </w:pPr>
      <w:r w:rsidRPr="00124E7F">
        <w:t xml:space="preserve">This orphan works problem is also exacerbated by a number of other factors including the mass </w:t>
      </w:r>
      <w:proofErr w:type="spellStart"/>
      <w:r w:rsidRPr="00124E7F">
        <w:t>digitisation</w:t>
      </w:r>
      <w:proofErr w:type="spellEnd"/>
      <w:r w:rsidRPr="00124E7F">
        <w:t xml:space="preserve"> of the collections of cultural institutions; the extension of the copyright term by 20 years, and the absence of term durations for unpublished works.</w:t>
      </w:r>
    </w:p>
    <w:p w14:paraId="12867EC2" w14:textId="77777777" w:rsidR="00DB672A" w:rsidRPr="00124E7F" w:rsidRDefault="00DB672A" w:rsidP="00562091">
      <w:pPr>
        <w:pStyle w:val="EYBodytextwithparaspace"/>
      </w:pPr>
      <w:r w:rsidRPr="00124E7F">
        <w:t xml:space="preserve">Some individuals and </w:t>
      </w:r>
      <w:proofErr w:type="spellStart"/>
      <w:r w:rsidRPr="00124E7F">
        <w:t>organisations</w:t>
      </w:r>
      <w:proofErr w:type="spellEnd"/>
      <w:r w:rsidRPr="00124E7F">
        <w:t xml:space="preserve"> have used orphan works by taking a ‘risk management’ approach, for example, by undertaking a diligent search for the creator before use of an orphan work or by setting money aside in case the rights holder comes forward.</w:t>
      </w:r>
      <w:r w:rsidRPr="00124E7F">
        <w:rPr>
          <w:vertAlign w:val="superscript"/>
        </w:rPr>
        <w:footnoteReference w:id="204"/>
      </w:r>
      <w:r w:rsidRPr="00124E7F">
        <w:t xml:space="preserve"> However, the larger the volume of orphan works involved with a particular use (e.g. mass </w:t>
      </w:r>
      <w:proofErr w:type="spellStart"/>
      <w:r w:rsidRPr="00124E7F">
        <w:t>digitisation</w:t>
      </w:r>
      <w:proofErr w:type="spellEnd"/>
      <w:r w:rsidRPr="00124E7F">
        <w:t>), the less likely such risk management approaches will be sufficient in the current legal landscape.</w:t>
      </w:r>
    </w:p>
    <w:p w14:paraId="4CB990E6" w14:textId="77777777" w:rsidR="00DB672A" w:rsidRPr="00124E7F" w:rsidRDefault="00DB672A" w:rsidP="00025AC4">
      <w:pPr>
        <w:pStyle w:val="EYBodytextwithparaspace"/>
      </w:pPr>
      <w:r w:rsidRPr="00124E7F">
        <w:t xml:space="preserve">A solution to the orphan works problem has been called for to avoid leaving large parts of content unavailable. The Attorney General’s </w:t>
      </w:r>
      <w:r w:rsidR="0085115D" w:rsidRPr="00124E7F">
        <w:t xml:space="preserve">Department </w:t>
      </w:r>
      <w:r w:rsidRPr="00124E7F">
        <w:t>review into orphan works (the AGD Orphan Works Review) noted that enabling uses of orphan works could contribute to ‘research, education, culture and to the creation of further transformative works’ as well as ‘commercial purposes, thus increasing the already considerable contribution of copyright industries to the Australian economy.</w:t>
      </w:r>
      <w:r w:rsidRPr="00124E7F">
        <w:rPr>
          <w:rStyle w:val="FootnoteReference"/>
          <w:position w:val="0"/>
          <w:sz w:val="20"/>
          <w:szCs w:val="24"/>
        </w:rPr>
        <w:footnoteReference w:id="205"/>
      </w:r>
    </w:p>
    <w:p w14:paraId="05F898C8" w14:textId="77777777" w:rsidR="00DB672A" w:rsidRPr="00124E7F" w:rsidRDefault="00DB672A" w:rsidP="00562091">
      <w:pPr>
        <w:pStyle w:val="EYHeading3"/>
      </w:pPr>
      <w:r w:rsidRPr="00124E7F">
        <w:t>The proposed policy options</w:t>
      </w:r>
    </w:p>
    <w:p w14:paraId="2D09E03D" w14:textId="77777777" w:rsidR="00DB672A" w:rsidRPr="00124E7F" w:rsidRDefault="00DB672A" w:rsidP="00C46978">
      <w:pPr>
        <w:pStyle w:val="EYNumber"/>
        <w:numPr>
          <w:ilvl w:val="0"/>
          <w:numId w:val="19"/>
        </w:numPr>
        <w:spacing w:line="276" w:lineRule="auto"/>
        <w:rPr>
          <w:b/>
        </w:rPr>
      </w:pPr>
      <w:r w:rsidRPr="00124E7F">
        <w:rPr>
          <w:b/>
        </w:rPr>
        <w:t xml:space="preserve">Option </w:t>
      </w:r>
      <w:r w:rsidR="00D107BD" w:rsidRPr="00124E7F">
        <w:rPr>
          <w:b/>
        </w:rPr>
        <w:t xml:space="preserve">1 </w:t>
      </w:r>
      <w:r w:rsidRPr="00124E7F">
        <w:rPr>
          <w:b/>
        </w:rPr>
        <w:t xml:space="preserve">– </w:t>
      </w:r>
      <w:r w:rsidR="00D107BD" w:rsidRPr="00124E7F">
        <w:rPr>
          <w:b/>
        </w:rPr>
        <w:t>Status quo</w:t>
      </w:r>
      <w:r w:rsidRPr="00124E7F">
        <w:rPr>
          <w:b/>
        </w:rPr>
        <w:t xml:space="preserve">. </w:t>
      </w:r>
      <w:r w:rsidRPr="00124E7F">
        <w:t xml:space="preserve">The use of ‘substantial parts’ of copyright orphan works would continue to infringe the Copyright Act unless the specific use is incidentally covered by current statutory </w:t>
      </w:r>
      <w:r w:rsidR="005D236A" w:rsidRPr="00124E7F">
        <w:t>licens</w:t>
      </w:r>
      <w:r w:rsidR="007D4AFF" w:rsidRPr="00124E7F">
        <w:t>ing</w:t>
      </w:r>
      <w:r w:rsidRPr="00124E7F">
        <w:t xml:space="preserve"> arrangements, fair dealing exceptions, section 200AB, or other provisions that apply generally to all works.</w:t>
      </w:r>
      <w:r w:rsidRPr="00124E7F">
        <w:rPr>
          <w:b/>
        </w:rPr>
        <w:t xml:space="preserve"> </w:t>
      </w:r>
    </w:p>
    <w:p w14:paraId="6EEC44BF" w14:textId="77777777" w:rsidR="00DB672A" w:rsidRPr="00124E7F" w:rsidRDefault="00DB672A" w:rsidP="00F72E3A">
      <w:pPr>
        <w:pStyle w:val="EYNumber"/>
        <w:spacing w:line="276" w:lineRule="auto"/>
      </w:pPr>
      <w:r w:rsidRPr="00124E7F">
        <w:rPr>
          <w:b/>
        </w:rPr>
        <w:t xml:space="preserve">Option </w:t>
      </w:r>
      <w:r w:rsidR="00D107BD" w:rsidRPr="00124E7F">
        <w:rPr>
          <w:b/>
        </w:rPr>
        <w:t xml:space="preserve">2 </w:t>
      </w:r>
      <w:r w:rsidRPr="00124E7F">
        <w:rPr>
          <w:b/>
        </w:rPr>
        <w:t>– Limited remedies where a reasonably diligent search has been undertaken.</w:t>
      </w:r>
      <w:r w:rsidRPr="00124E7F">
        <w:t xml:space="preserve"> The option has two parts:</w:t>
      </w:r>
    </w:p>
    <w:p w14:paraId="79164340" w14:textId="77777777" w:rsidR="00EE547B" w:rsidRPr="00124E7F" w:rsidRDefault="00DB672A" w:rsidP="00F72E3A">
      <w:pPr>
        <w:pStyle w:val="EYLetter"/>
        <w:spacing w:line="276" w:lineRule="auto"/>
      </w:pPr>
      <w:r w:rsidRPr="00124E7F">
        <w:t>The Copyright Act would be amended to limit the remedies available in an action of infringement of copyright, where it is established that, at the time of infringement:</w:t>
      </w:r>
    </w:p>
    <w:p w14:paraId="661EF5CB" w14:textId="77777777" w:rsidR="00DB672A" w:rsidRPr="00124E7F" w:rsidRDefault="00DB672A" w:rsidP="00754476">
      <w:pPr>
        <w:pStyle w:val="EYBulletedText3"/>
      </w:pPr>
      <w:r w:rsidRPr="00124E7F">
        <w:t>A reasonably diligent search for the right</w:t>
      </w:r>
      <w:r w:rsidR="00C37ECD" w:rsidRPr="00124E7F">
        <w:t>s</w:t>
      </w:r>
      <w:r w:rsidRPr="00124E7F">
        <w:t xml:space="preserve"> holder has been conducted and the </w:t>
      </w:r>
      <w:r w:rsidR="009C6310" w:rsidRPr="00124E7F">
        <w:t>right</w:t>
      </w:r>
      <w:r w:rsidR="00C37ECD" w:rsidRPr="00124E7F">
        <w:t>s</w:t>
      </w:r>
      <w:r w:rsidR="009C6310" w:rsidRPr="00124E7F">
        <w:t xml:space="preserve"> holder</w:t>
      </w:r>
      <w:r w:rsidRPr="00124E7F">
        <w:t xml:space="preserve"> has not been found; and</w:t>
      </w:r>
    </w:p>
    <w:p w14:paraId="4CC85D37" w14:textId="77777777" w:rsidR="00DB672A" w:rsidRPr="00124E7F" w:rsidRDefault="00DB672A" w:rsidP="00754476">
      <w:pPr>
        <w:pStyle w:val="EYBulletedText3"/>
      </w:pPr>
      <w:r w:rsidRPr="00124E7F">
        <w:t>As far as reasonably possible, the use of the work has clearly attributed it to the author.</w:t>
      </w:r>
    </w:p>
    <w:p w14:paraId="3DACD31C" w14:textId="77777777" w:rsidR="00DB672A" w:rsidRPr="00124E7F" w:rsidRDefault="00DB672A" w:rsidP="00F72E3A">
      <w:pPr>
        <w:pStyle w:val="EYLetter"/>
        <w:spacing w:line="276" w:lineRule="auto"/>
      </w:pPr>
      <w:r w:rsidRPr="00124E7F">
        <w:t>The Copyright Act would provide that, in determining whether a reasonably diligent search was conducted regard may be had to, among other things:</w:t>
      </w:r>
    </w:p>
    <w:p w14:paraId="2A2BA1A1" w14:textId="77777777" w:rsidR="00DB672A" w:rsidRPr="00124E7F" w:rsidRDefault="00DB672A" w:rsidP="00754476">
      <w:pPr>
        <w:pStyle w:val="EYBulletedText3"/>
      </w:pPr>
      <w:r w:rsidRPr="00124E7F">
        <w:t>The nature of the copyright material</w:t>
      </w:r>
    </w:p>
    <w:p w14:paraId="66E469C3" w14:textId="77777777" w:rsidR="00DB672A" w:rsidRPr="00124E7F" w:rsidRDefault="00DB672A" w:rsidP="00754476">
      <w:pPr>
        <w:pStyle w:val="EYBulletedText3"/>
      </w:pPr>
      <w:r w:rsidRPr="00124E7F">
        <w:t>How and by whom the search was conducted</w:t>
      </w:r>
    </w:p>
    <w:p w14:paraId="63BA5A98" w14:textId="77777777" w:rsidR="00DB672A" w:rsidRPr="00124E7F" w:rsidRDefault="00DB672A" w:rsidP="00754476">
      <w:pPr>
        <w:pStyle w:val="EYBulletedText3"/>
      </w:pPr>
      <w:r w:rsidRPr="00124E7F">
        <w:t xml:space="preserve">The search technologies, databases and </w:t>
      </w:r>
      <w:r w:rsidR="00284FF4" w:rsidRPr="00124E7F">
        <w:t>registers available at the time</w:t>
      </w:r>
      <w:r w:rsidRPr="00124E7F">
        <w:t xml:space="preserve"> </w:t>
      </w:r>
    </w:p>
    <w:p w14:paraId="7F32639D" w14:textId="77777777" w:rsidR="00DB672A" w:rsidRPr="00124E7F" w:rsidRDefault="00DB672A" w:rsidP="00754476">
      <w:pPr>
        <w:pStyle w:val="EYBulletedText3"/>
      </w:pPr>
      <w:r w:rsidRPr="00124E7F">
        <w:t xml:space="preserve">Any guidelines, protocols or industry practices about conducting diligent searches available at the time. </w:t>
      </w:r>
    </w:p>
    <w:p w14:paraId="4B247B8A" w14:textId="77777777" w:rsidR="00DB672A" w:rsidRPr="00124E7F" w:rsidRDefault="00DB672A" w:rsidP="00562091">
      <w:pPr>
        <w:pStyle w:val="EYHeading3"/>
      </w:pPr>
      <w:r w:rsidRPr="00124E7F">
        <w:t>Impact analysis</w:t>
      </w:r>
    </w:p>
    <w:p w14:paraId="51A44090" w14:textId="77777777" w:rsidR="00DB672A" w:rsidRPr="00124E7F" w:rsidRDefault="00DB672A" w:rsidP="00562091">
      <w:pPr>
        <w:pStyle w:val="EYHeading4"/>
      </w:pPr>
      <w:r w:rsidRPr="00124E7F">
        <w:t>Summary</w:t>
      </w:r>
    </w:p>
    <w:p w14:paraId="254DAF94" w14:textId="77777777" w:rsidR="001A4F6A" w:rsidRPr="00124E7F" w:rsidRDefault="001A4F6A" w:rsidP="0079271A">
      <w:pPr>
        <w:pStyle w:val="EYBodytextwithparaspace"/>
        <w:spacing w:line="276" w:lineRule="auto"/>
        <w:rPr>
          <w:b/>
        </w:rPr>
      </w:pPr>
      <w:r w:rsidRPr="00124E7F">
        <w:rPr>
          <w:b/>
        </w:rPr>
        <w:t xml:space="preserve">The main costs of Option 2 are the administration costs associated with </w:t>
      </w:r>
      <w:r w:rsidRPr="00124E7F">
        <w:rPr>
          <w:rStyle w:val="EYBodytextwithparaspaceChar"/>
          <w:b/>
        </w:rPr>
        <w:t>undertaking diligent searches. Given that a large proportion of orphan works reside in the coll</w:t>
      </w:r>
      <w:r w:rsidRPr="00124E7F">
        <w:rPr>
          <w:b/>
        </w:rPr>
        <w:t>ections of libraries and archives it is expected that much of these costs would be borne by these cultural institutions in order to aid access for research education and cultural heritage. The analysis estimates diligent search costs of between $10.3 million and $20.6 million per annum. This represents a conservative estimate of the likely searches as it does not include private searches (e.g. by academics) and commercial searches (e.g. by TV broadcasters) also likely to be undertaken under the legislation.</w:t>
      </w:r>
    </w:p>
    <w:p w14:paraId="30557D62" w14:textId="77777777" w:rsidR="00DB672A" w:rsidRPr="00124E7F" w:rsidRDefault="00DB672A" w:rsidP="00025AC4">
      <w:pPr>
        <w:pStyle w:val="EYBodytextwithparaspace"/>
      </w:pPr>
      <w:r w:rsidRPr="00124E7F">
        <w:t>The main benefit of Option </w:t>
      </w:r>
      <w:r w:rsidR="00D107BD" w:rsidRPr="00124E7F">
        <w:t xml:space="preserve">2 is </w:t>
      </w:r>
      <w:r w:rsidRPr="00124E7F">
        <w:t>the value to users of being able to use content that is currently orphaned. As we cannot accurately estimate the public benefits associated with these uses, we assume that orphan works would on</w:t>
      </w:r>
      <w:r w:rsidR="006E40A8" w:rsidRPr="00124E7F">
        <w:t xml:space="preserve">ly be cleared if an institution or </w:t>
      </w:r>
      <w:r w:rsidRPr="00124E7F">
        <w:t>user believed that the value of that activity was at least enough to cover the costs. Therefore, the benefit</w:t>
      </w:r>
      <w:r w:rsidR="006E40A8" w:rsidRPr="00124E7F">
        <w:t>s of an orphan works provision</w:t>
      </w:r>
      <w:r w:rsidRPr="00124E7F">
        <w:t xml:space="preserve"> would</w:t>
      </w:r>
      <w:r w:rsidR="006E40A8" w:rsidRPr="00124E7F">
        <w:t xml:space="preserve"> at least</w:t>
      </w:r>
      <w:r w:rsidRPr="00124E7F">
        <w:t xml:space="preserve"> equal the search costs </w:t>
      </w:r>
    </w:p>
    <w:p w14:paraId="5AB7F06B" w14:textId="77777777" w:rsidR="00DB672A" w:rsidRPr="00124E7F" w:rsidRDefault="00DB672A" w:rsidP="00025AC4">
      <w:pPr>
        <w:pStyle w:val="EYBodytextwithparaspace"/>
      </w:pPr>
      <w:r w:rsidRPr="00124E7F">
        <w:t xml:space="preserve">However, these are just the cost-based benefits. Enabling the use of orphan works to be unlocked for commercial and non-commercial purposes could assist the growth of Australian copyright industries. To put this into perspective, industry value-add for libraries and archives would only have to increase between 0.9 per cent and 1.7 per cent over 10 years in order to break even with the </w:t>
      </w:r>
      <w:r w:rsidR="00E6572F" w:rsidRPr="00124E7F">
        <w:t>estimated</w:t>
      </w:r>
      <w:r w:rsidRPr="00124E7F">
        <w:t xml:space="preserve"> search costs. </w:t>
      </w:r>
      <w:r w:rsidR="00284FF4" w:rsidRPr="00124E7F">
        <w:t>This would appear to be a feasible outcome</w:t>
      </w:r>
      <w:r w:rsidRPr="00124E7F">
        <w:t>, given the high proportion of orphans residing in the collections of libraries and archives</w:t>
      </w:r>
      <w:r w:rsidR="00966650" w:rsidRPr="00124E7F">
        <w:t xml:space="preserve"> </w:t>
      </w:r>
      <w:r w:rsidR="006E40A8" w:rsidRPr="00124E7F">
        <w:t>(around 40%)</w:t>
      </w:r>
      <w:r w:rsidRPr="00124E7F">
        <w:t>. To the extent that proposed changes reduce barriers to the use of orphan works, Option </w:t>
      </w:r>
      <w:r w:rsidR="00D107BD" w:rsidRPr="00124E7F">
        <w:t>2</w:t>
      </w:r>
      <w:r w:rsidRPr="00124E7F">
        <w:t xml:space="preserve"> would facilitate socially beneficial goals such as learning, cumulative knowledge creation, access to information, and innovation.</w:t>
      </w:r>
    </w:p>
    <w:p w14:paraId="5D8F0E37" w14:textId="77777777" w:rsidR="00DB672A" w:rsidRPr="00124E7F" w:rsidRDefault="00DB672A" w:rsidP="00025AC4">
      <w:pPr>
        <w:pStyle w:val="EYBodytextwithparaspace"/>
      </w:pPr>
      <w:r w:rsidRPr="00124E7F">
        <w:t>There is broad consensus that an orphan work, where there is no copyright owner and therefore no beneficiary of copyright, will not detrimentally affect a right</w:t>
      </w:r>
      <w:r w:rsidR="00C37ECD" w:rsidRPr="00124E7F">
        <w:t>s</w:t>
      </w:r>
      <w:r w:rsidRPr="00124E7F">
        <w:t xml:space="preserve"> holder’s revenue and thereby incentive to create new works. The ALRC heard concerns from photographers, whose works, once </w:t>
      </w:r>
      <w:proofErr w:type="spellStart"/>
      <w:r w:rsidRPr="00124E7F">
        <w:t>digitised</w:t>
      </w:r>
      <w:proofErr w:type="spellEnd"/>
      <w:r w:rsidRPr="00124E7F">
        <w:t xml:space="preserve">, are orphaned due to metadata being stripped from them, and appropriated by third parties for commercial gain. </w:t>
      </w:r>
      <w:r w:rsidR="00E6129E" w:rsidRPr="00124E7F">
        <w:t>The analysis argues that w</w:t>
      </w:r>
      <w:r w:rsidRPr="00124E7F">
        <w:t xml:space="preserve">hile the proposed changes would not prevent such activities, they are unlikely to exacerbate them either. </w:t>
      </w:r>
    </w:p>
    <w:p w14:paraId="1743CA56" w14:textId="77777777" w:rsidR="0074516E" w:rsidRPr="00124E7F" w:rsidRDefault="00754476" w:rsidP="00754476">
      <w:pPr>
        <w:pStyle w:val="Caption"/>
        <w:rPr>
          <w:kern w:val="12"/>
          <w:szCs w:val="24"/>
          <w:lang w:val="en-US"/>
        </w:rPr>
      </w:pPr>
      <w:r w:rsidRPr="00124E7F">
        <w:t xml:space="preserve">Table </w:t>
      </w:r>
      <w:r w:rsidRPr="00124E7F">
        <w:fldChar w:fldCharType="begin"/>
      </w:r>
      <w:r w:rsidRPr="00124E7F">
        <w:instrText xml:space="preserve"> SEQ Table \* ARABIC </w:instrText>
      </w:r>
      <w:r w:rsidRPr="00124E7F">
        <w:fldChar w:fldCharType="separate"/>
      </w:r>
      <w:r w:rsidR="0075700D">
        <w:rPr>
          <w:noProof/>
        </w:rPr>
        <w:t>13</w:t>
      </w:r>
      <w:r w:rsidRPr="00124E7F">
        <w:fldChar w:fldCharType="end"/>
      </w:r>
      <w:r w:rsidR="0079271A" w:rsidRPr="00124E7F">
        <w:t>:</w:t>
      </w:r>
      <w:r w:rsidRPr="00124E7F">
        <w:t xml:space="preserve"> Summary of costs and benefits of fair dealing provisions for orphan works</w:t>
      </w:r>
    </w:p>
    <w:tbl>
      <w:tblPr>
        <w:tblStyle w:val="LightShading-Accent3"/>
        <w:tblW w:w="5000" w:type="pct"/>
        <w:tblBorders>
          <w:top w:val="none" w:sz="0" w:space="0" w:color="auto"/>
          <w:bottom w:val="none" w:sz="0" w:space="0" w:color="auto"/>
          <w:insideH w:val="single" w:sz="4" w:space="0" w:color="808080" w:themeColor="background1" w:themeShade="80"/>
        </w:tblBorders>
        <w:tblLook w:val="0420" w:firstRow="1" w:lastRow="0" w:firstColumn="0" w:lastColumn="0" w:noHBand="0" w:noVBand="1"/>
        <w:tblCaption w:val="Table 13: Summary of costs and benefits of fair dealing provisions for orphan works"/>
        <w:tblDescription w:val="This table summarises the costs and benefits of the fair dealing provisions for orphan works"/>
      </w:tblPr>
      <w:tblGrid>
        <w:gridCol w:w="1691"/>
        <w:gridCol w:w="1450"/>
        <w:gridCol w:w="786"/>
        <w:gridCol w:w="2414"/>
        <w:gridCol w:w="1800"/>
        <w:gridCol w:w="888"/>
      </w:tblGrid>
      <w:tr w:rsidR="004213AE" w:rsidRPr="00124E7F" w14:paraId="4859F330" w14:textId="77777777" w:rsidTr="00202E68">
        <w:trPr>
          <w:cnfStyle w:val="100000000000" w:firstRow="1" w:lastRow="0" w:firstColumn="0" w:lastColumn="0" w:oddVBand="0" w:evenVBand="0" w:oddHBand="0" w:evenHBand="0" w:firstRowFirstColumn="0" w:firstRowLastColumn="0" w:lastRowFirstColumn="0" w:lastRowLastColumn="0"/>
          <w:trHeight w:val="397"/>
          <w:tblHeader/>
        </w:trPr>
        <w:tc>
          <w:tcPr>
            <w:tcW w:w="936" w:type="pct"/>
            <w:shd w:val="clear" w:color="auto" w:fill="F0F0F0" w:themeFill="accent4"/>
            <w:vAlign w:val="center"/>
            <w:hideMark/>
          </w:tcPr>
          <w:p w14:paraId="1EB5FCFE" w14:textId="77777777" w:rsidR="001134A2" w:rsidRPr="00124E7F" w:rsidRDefault="001134A2" w:rsidP="00023832">
            <w:pPr>
              <w:autoSpaceDE/>
              <w:autoSpaceDN/>
              <w:adjustRightInd/>
              <w:spacing w:line="240" w:lineRule="auto"/>
              <w:jc w:val="center"/>
              <w:rPr>
                <w:color w:val="auto"/>
              </w:rPr>
            </w:pPr>
            <w:r w:rsidRPr="00124E7F">
              <w:rPr>
                <w:color w:val="auto"/>
              </w:rPr>
              <w:t>Impact type</w:t>
            </w:r>
          </w:p>
        </w:tc>
        <w:tc>
          <w:tcPr>
            <w:tcW w:w="803" w:type="pct"/>
            <w:shd w:val="clear" w:color="auto" w:fill="F0F0F0" w:themeFill="accent4"/>
            <w:vAlign w:val="center"/>
            <w:hideMark/>
          </w:tcPr>
          <w:p w14:paraId="46B75525" w14:textId="77777777" w:rsidR="001134A2" w:rsidRPr="00124E7F" w:rsidRDefault="001134A2" w:rsidP="00023832">
            <w:pPr>
              <w:autoSpaceDE/>
              <w:autoSpaceDN/>
              <w:adjustRightInd/>
              <w:spacing w:line="240" w:lineRule="auto"/>
              <w:jc w:val="center"/>
              <w:rPr>
                <w:color w:val="auto"/>
              </w:rPr>
            </w:pPr>
            <w:r w:rsidRPr="00124E7F">
              <w:rPr>
                <w:color w:val="auto"/>
              </w:rPr>
              <w:t>Stakeholder Group</w:t>
            </w:r>
          </w:p>
        </w:tc>
        <w:tc>
          <w:tcPr>
            <w:tcW w:w="435" w:type="pct"/>
            <w:shd w:val="clear" w:color="auto" w:fill="F0F0F0" w:themeFill="accent4"/>
            <w:vAlign w:val="center"/>
            <w:hideMark/>
          </w:tcPr>
          <w:p w14:paraId="024A411D" w14:textId="77777777" w:rsidR="001134A2" w:rsidRPr="00124E7F" w:rsidRDefault="001134A2" w:rsidP="00023832">
            <w:pPr>
              <w:autoSpaceDE/>
              <w:autoSpaceDN/>
              <w:adjustRightInd/>
              <w:spacing w:line="240" w:lineRule="auto"/>
              <w:jc w:val="center"/>
              <w:rPr>
                <w:color w:val="auto"/>
              </w:rPr>
            </w:pPr>
            <w:r w:rsidRPr="00124E7F">
              <w:rPr>
                <w:color w:val="auto"/>
              </w:rPr>
              <w:t>Short or long-run</w:t>
            </w:r>
          </w:p>
        </w:tc>
        <w:tc>
          <w:tcPr>
            <w:tcW w:w="1337" w:type="pct"/>
            <w:shd w:val="clear" w:color="auto" w:fill="F0F0F0" w:themeFill="accent4"/>
            <w:vAlign w:val="center"/>
            <w:hideMark/>
          </w:tcPr>
          <w:p w14:paraId="75B0B2C0" w14:textId="77777777" w:rsidR="001134A2" w:rsidRPr="00124E7F" w:rsidRDefault="001134A2" w:rsidP="00023832">
            <w:pPr>
              <w:autoSpaceDE/>
              <w:autoSpaceDN/>
              <w:adjustRightInd/>
              <w:spacing w:line="240" w:lineRule="auto"/>
              <w:jc w:val="center"/>
              <w:rPr>
                <w:color w:val="auto"/>
              </w:rPr>
            </w:pPr>
            <w:r w:rsidRPr="00124E7F">
              <w:rPr>
                <w:color w:val="auto"/>
              </w:rPr>
              <w:t>Description of impact</w:t>
            </w:r>
          </w:p>
        </w:tc>
        <w:tc>
          <w:tcPr>
            <w:tcW w:w="997" w:type="pct"/>
            <w:shd w:val="clear" w:color="auto" w:fill="F0F0F0" w:themeFill="accent4"/>
            <w:vAlign w:val="center"/>
          </w:tcPr>
          <w:p w14:paraId="16C658F4" w14:textId="77777777" w:rsidR="001134A2" w:rsidRPr="00124E7F" w:rsidRDefault="001134A2" w:rsidP="00023832">
            <w:pPr>
              <w:autoSpaceDE/>
              <w:autoSpaceDN/>
              <w:adjustRightInd/>
              <w:spacing w:line="240" w:lineRule="auto"/>
              <w:jc w:val="center"/>
              <w:rPr>
                <w:color w:val="auto"/>
              </w:rPr>
            </w:pPr>
            <w:r w:rsidRPr="00124E7F">
              <w:rPr>
                <w:color w:val="auto"/>
              </w:rPr>
              <w:t>Magnitude of impact</w:t>
            </w:r>
          </w:p>
        </w:tc>
        <w:tc>
          <w:tcPr>
            <w:tcW w:w="492" w:type="pct"/>
            <w:shd w:val="clear" w:color="auto" w:fill="F0F0F0" w:themeFill="accent4"/>
            <w:vAlign w:val="center"/>
          </w:tcPr>
          <w:p w14:paraId="524F5418" w14:textId="77777777" w:rsidR="001134A2" w:rsidRPr="00124E7F" w:rsidRDefault="001134A2" w:rsidP="00023832">
            <w:pPr>
              <w:autoSpaceDE/>
              <w:autoSpaceDN/>
              <w:adjustRightInd/>
              <w:spacing w:line="240" w:lineRule="auto"/>
              <w:jc w:val="center"/>
              <w:rPr>
                <w:color w:val="auto"/>
              </w:rPr>
            </w:pPr>
            <w:r w:rsidRPr="00124E7F">
              <w:rPr>
                <w:color w:val="auto"/>
              </w:rPr>
              <w:t>Rating</w:t>
            </w:r>
          </w:p>
        </w:tc>
      </w:tr>
      <w:tr w:rsidR="00F5353E" w:rsidRPr="00124E7F" w14:paraId="4198F203" w14:textId="77777777" w:rsidTr="00F5353E">
        <w:trPr>
          <w:cnfStyle w:val="000000100000" w:firstRow="0" w:lastRow="0" w:firstColumn="0" w:lastColumn="0" w:oddVBand="0" w:evenVBand="0" w:oddHBand="1" w:evenHBand="0" w:firstRowFirstColumn="0" w:firstRowLastColumn="0" w:lastRowFirstColumn="0" w:lastRowLastColumn="0"/>
          <w:trHeight w:val="2894"/>
        </w:trPr>
        <w:tc>
          <w:tcPr>
            <w:tcW w:w="936" w:type="pct"/>
            <w:shd w:val="clear" w:color="auto" w:fill="auto"/>
            <w:vAlign w:val="center"/>
          </w:tcPr>
          <w:p w14:paraId="3DD34371" w14:textId="77777777" w:rsidR="00F5353E" w:rsidRDefault="00F5353E" w:rsidP="00023832">
            <w:pPr>
              <w:autoSpaceDE/>
              <w:autoSpaceDN/>
              <w:adjustRightInd/>
              <w:spacing w:line="240" w:lineRule="auto"/>
              <w:jc w:val="center"/>
            </w:pPr>
            <w:r>
              <w:t>Monopoly rents/</w:t>
            </w:r>
          </w:p>
          <w:p w14:paraId="6CCF1912" w14:textId="77777777" w:rsidR="00F5353E" w:rsidRDefault="00F5353E" w:rsidP="00023832">
            <w:pPr>
              <w:autoSpaceDE/>
              <w:autoSpaceDN/>
              <w:adjustRightInd/>
              <w:spacing w:line="240" w:lineRule="auto"/>
              <w:jc w:val="center"/>
            </w:pPr>
            <w:r>
              <w:t>Access costs</w:t>
            </w:r>
          </w:p>
        </w:tc>
        <w:tc>
          <w:tcPr>
            <w:tcW w:w="803" w:type="pct"/>
            <w:shd w:val="clear" w:color="auto" w:fill="auto"/>
            <w:vAlign w:val="center"/>
          </w:tcPr>
          <w:p w14:paraId="6001AB44" w14:textId="77777777" w:rsidR="00F5353E" w:rsidRDefault="00F5353E" w:rsidP="00023832">
            <w:pPr>
              <w:autoSpaceDE/>
              <w:autoSpaceDN/>
              <w:adjustRightInd/>
              <w:spacing w:line="240" w:lineRule="auto"/>
              <w:jc w:val="center"/>
            </w:pPr>
            <w:r>
              <w:t>Rights holders</w:t>
            </w:r>
          </w:p>
          <w:p w14:paraId="3B1446EA" w14:textId="77777777" w:rsidR="00F5353E" w:rsidRDefault="00F5353E" w:rsidP="00023832">
            <w:pPr>
              <w:autoSpaceDE/>
              <w:autoSpaceDN/>
              <w:adjustRightInd/>
              <w:spacing w:line="240" w:lineRule="auto"/>
              <w:jc w:val="center"/>
            </w:pPr>
            <w:r>
              <w:t>Users</w:t>
            </w:r>
          </w:p>
        </w:tc>
        <w:tc>
          <w:tcPr>
            <w:tcW w:w="435" w:type="pct"/>
            <w:shd w:val="clear" w:color="auto" w:fill="auto"/>
            <w:vAlign w:val="center"/>
          </w:tcPr>
          <w:p w14:paraId="13F1587A" w14:textId="77777777" w:rsidR="00F5353E" w:rsidRDefault="00F5353E" w:rsidP="00023832">
            <w:pPr>
              <w:spacing w:line="240" w:lineRule="auto"/>
              <w:jc w:val="center"/>
            </w:pPr>
            <w:r>
              <w:t>Short run</w:t>
            </w:r>
          </w:p>
        </w:tc>
        <w:tc>
          <w:tcPr>
            <w:tcW w:w="1337" w:type="pct"/>
            <w:shd w:val="clear" w:color="auto" w:fill="auto"/>
            <w:vAlign w:val="center"/>
          </w:tcPr>
          <w:p w14:paraId="2CDBEF27" w14:textId="77777777" w:rsidR="00F5353E" w:rsidRPr="00124E7F" w:rsidRDefault="00F5353E" w:rsidP="00023832">
            <w:pPr>
              <w:autoSpaceDE/>
              <w:autoSpaceDN/>
              <w:adjustRightInd/>
              <w:spacing w:line="240" w:lineRule="auto"/>
              <w:jc w:val="center"/>
            </w:pPr>
            <w:r w:rsidRPr="00124E7F">
              <w:rPr>
                <w:color w:val="auto"/>
              </w:rPr>
              <w:t>Where there is no copyright owner and therefore no beneficiary of copyright, Option 1 will not detrimentally affect a rights holder’s revenue and thereby incentive to create new works.</w:t>
            </w:r>
          </w:p>
        </w:tc>
        <w:tc>
          <w:tcPr>
            <w:tcW w:w="997" w:type="pct"/>
            <w:shd w:val="clear" w:color="auto" w:fill="auto"/>
            <w:vAlign w:val="center"/>
          </w:tcPr>
          <w:p w14:paraId="0C7272CE" w14:textId="77777777" w:rsidR="00F5353E" w:rsidRDefault="00F5353E" w:rsidP="00023832">
            <w:pPr>
              <w:autoSpaceDE/>
              <w:autoSpaceDN/>
              <w:adjustRightInd/>
              <w:spacing w:line="240" w:lineRule="auto"/>
              <w:jc w:val="center"/>
            </w:pPr>
            <w:r>
              <w:t>-</w:t>
            </w:r>
          </w:p>
        </w:tc>
        <w:tc>
          <w:tcPr>
            <w:tcW w:w="492" w:type="pct"/>
            <w:shd w:val="clear" w:color="auto" w:fill="auto"/>
            <w:vAlign w:val="center"/>
          </w:tcPr>
          <w:p w14:paraId="1DAAEED4" w14:textId="77777777" w:rsidR="00F5353E" w:rsidRDefault="00F5353E" w:rsidP="00023832">
            <w:pPr>
              <w:autoSpaceDE/>
              <w:autoSpaceDN/>
              <w:adjustRightInd/>
              <w:spacing w:line="240" w:lineRule="auto"/>
              <w:jc w:val="center"/>
            </w:pPr>
            <w:r>
              <w:t>0</w:t>
            </w:r>
          </w:p>
        </w:tc>
      </w:tr>
      <w:tr w:rsidR="00F5353E" w:rsidRPr="00124E7F" w14:paraId="5D4F422A" w14:textId="77777777" w:rsidTr="00F5353E">
        <w:trPr>
          <w:trHeight w:val="2894"/>
        </w:trPr>
        <w:tc>
          <w:tcPr>
            <w:tcW w:w="936" w:type="pct"/>
            <w:shd w:val="clear" w:color="auto" w:fill="auto"/>
            <w:vAlign w:val="center"/>
          </w:tcPr>
          <w:p w14:paraId="2389435E" w14:textId="77777777" w:rsidR="00F5353E" w:rsidRPr="00124E7F" w:rsidRDefault="00F5353E" w:rsidP="00023832">
            <w:pPr>
              <w:autoSpaceDE/>
              <w:autoSpaceDN/>
              <w:adjustRightInd/>
              <w:spacing w:line="240" w:lineRule="auto"/>
              <w:jc w:val="center"/>
            </w:pPr>
            <w:r>
              <w:t>Incentives to create new works</w:t>
            </w:r>
          </w:p>
        </w:tc>
        <w:tc>
          <w:tcPr>
            <w:tcW w:w="803" w:type="pct"/>
            <w:shd w:val="clear" w:color="auto" w:fill="auto"/>
            <w:vAlign w:val="center"/>
          </w:tcPr>
          <w:p w14:paraId="63EA44AA" w14:textId="77777777" w:rsidR="00F5353E" w:rsidRDefault="00F5353E" w:rsidP="00023832">
            <w:pPr>
              <w:autoSpaceDE/>
              <w:autoSpaceDN/>
              <w:adjustRightInd/>
              <w:spacing w:line="240" w:lineRule="auto"/>
              <w:jc w:val="center"/>
            </w:pPr>
            <w:r>
              <w:t>Rights holders</w:t>
            </w:r>
          </w:p>
          <w:p w14:paraId="2D590D98" w14:textId="77777777" w:rsidR="00F5353E" w:rsidRPr="00124E7F" w:rsidRDefault="00F5353E" w:rsidP="00023832">
            <w:pPr>
              <w:autoSpaceDE/>
              <w:autoSpaceDN/>
              <w:adjustRightInd/>
              <w:spacing w:line="240" w:lineRule="auto"/>
              <w:jc w:val="center"/>
            </w:pPr>
            <w:r>
              <w:t>Users</w:t>
            </w:r>
          </w:p>
        </w:tc>
        <w:tc>
          <w:tcPr>
            <w:tcW w:w="435" w:type="pct"/>
            <w:shd w:val="clear" w:color="auto" w:fill="auto"/>
            <w:vAlign w:val="center"/>
          </w:tcPr>
          <w:p w14:paraId="4C6B3FE8" w14:textId="77777777" w:rsidR="00F5353E" w:rsidRPr="00124E7F" w:rsidRDefault="00F5353E" w:rsidP="00023832">
            <w:pPr>
              <w:spacing w:line="240" w:lineRule="auto"/>
              <w:jc w:val="center"/>
            </w:pPr>
            <w:r>
              <w:t>Long Run</w:t>
            </w:r>
          </w:p>
        </w:tc>
        <w:tc>
          <w:tcPr>
            <w:tcW w:w="1337" w:type="pct"/>
            <w:shd w:val="clear" w:color="auto" w:fill="auto"/>
            <w:vAlign w:val="center"/>
          </w:tcPr>
          <w:p w14:paraId="497F9041" w14:textId="77777777" w:rsidR="00F5353E" w:rsidRPr="00124E7F" w:rsidRDefault="00F5353E" w:rsidP="00023832">
            <w:pPr>
              <w:autoSpaceDE/>
              <w:autoSpaceDN/>
              <w:adjustRightInd/>
              <w:spacing w:line="240" w:lineRule="auto"/>
              <w:jc w:val="center"/>
            </w:pPr>
            <w:r w:rsidRPr="00124E7F">
              <w:rPr>
                <w:color w:val="auto"/>
              </w:rPr>
              <w:t>Where there is no copyright owner and therefore no beneficiary of copyright, Option 1 will not detrimentally affect a rights holder’s revenue and thereby incentive to create new works.</w:t>
            </w:r>
          </w:p>
        </w:tc>
        <w:tc>
          <w:tcPr>
            <w:tcW w:w="997" w:type="pct"/>
            <w:shd w:val="clear" w:color="auto" w:fill="auto"/>
            <w:vAlign w:val="center"/>
          </w:tcPr>
          <w:p w14:paraId="3DCDF9CF" w14:textId="77777777" w:rsidR="00F5353E" w:rsidRPr="00124E7F" w:rsidRDefault="00F5353E" w:rsidP="00023832">
            <w:pPr>
              <w:autoSpaceDE/>
              <w:autoSpaceDN/>
              <w:adjustRightInd/>
              <w:spacing w:line="240" w:lineRule="auto"/>
              <w:jc w:val="center"/>
            </w:pPr>
            <w:r>
              <w:t>-</w:t>
            </w:r>
          </w:p>
        </w:tc>
        <w:tc>
          <w:tcPr>
            <w:tcW w:w="492" w:type="pct"/>
            <w:shd w:val="clear" w:color="auto" w:fill="auto"/>
            <w:vAlign w:val="center"/>
          </w:tcPr>
          <w:p w14:paraId="21F55F21" w14:textId="77777777" w:rsidR="00F5353E" w:rsidRPr="004213AE" w:rsidRDefault="00F5353E" w:rsidP="00023832">
            <w:pPr>
              <w:autoSpaceDE/>
              <w:autoSpaceDN/>
              <w:adjustRightInd/>
              <w:spacing w:line="240" w:lineRule="auto"/>
              <w:jc w:val="center"/>
            </w:pPr>
            <w:r>
              <w:t>0</w:t>
            </w:r>
          </w:p>
        </w:tc>
      </w:tr>
      <w:tr w:rsidR="004213AE" w:rsidRPr="00124E7F" w14:paraId="7414EDCF" w14:textId="77777777" w:rsidTr="00202E68">
        <w:trPr>
          <w:cnfStyle w:val="000000100000" w:firstRow="0" w:lastRow="0" w:firstColumn="0" w:lastColumn="0" w:oddVBand="0" w:evenVBand="0" w:oddHBand="1" w:evenHBand="0" w:firstRowFirstColumn="0" w:firstRowLastColumn="0" w:lastRowFirstColumn="0" w:lastRowLastColumn="0"/>
          <w:trHeight w:val="2894"/>
        </w:trPr>
        <w:tc>
          <w:tcPr>
            <w:tcW w:w="936" w:type="pct"/>
            <w:shd w:val="clear" w:color="auto" w:fill="auto"/>
            <w:vAlign w:val="center"/>
          </w:tcPr>
          <w:p w14:paraId="44AA228B" w14:textId="77777777" w:rsidR="001134A2" w:rsidRPr="00124E7F" w:rsidRDefault="001134A2" w:rsidP="00023832">
            <w:pPr>
              <w:autoSpaceDE/>
              <w:autoSpaceDN/>
              <w:adjustRightInd/>
              <w:spacing w:line="240" w:lineRule="auto"/>
              <w:jc w:val="center"/>
              <w:rPr>
                <w:color w:val="auto"/>
              </w:rPr>
            </w:pPr>
            <w:r w:rsidRPr="00124E7F">
              <w:rPr>
                <w:color w:val="auto"/>
              </w:rPr>
              <w:t>Administration costs/ transaction costs</w:t>
            </w:r>
          </w:p>
        </w:tc>
        <w:tc>
          <w:tcPr>
            <w:tcW w:w="803" w:type="pct"/>
            <w:shd w:val="clear" w:color="auto" w:fill="auto"/>
            <w:vAlign w:val="center"/>
          </w:tcPr>
          <w:p w14:paraId="4DFC0DCE" w14:textId="77777777" w:rsidR="001134A2" w:rsidRPr="00124E7F" w:rsidRDefault="001134A2" w:rsidP="00023832">
            <w:pPr>
              <w:autoSpaceDE/>
              <w:autoSpaceDN/>
              <w:adjustRightInd/>
              <w:spacing w:line="240" w:lineRule="auto"/>
              <w:jc w:val="center"/>
              <w:rPr>
                <w:color w:val="auto"/>
              </w:rPr>
            </w:pPr>
            <w:r w:rsidRPr="00124E7F">
              <w:rPr>
                <w:color w:val="auto"/>
              </w:rPr>
              <w:t>Rights holders</w:t>
            </w:r>
          </w:p>
          <w:p w14:paraId="59AA7379" w14:textId="77777777" w:rsidR="001134A2" w:rsidRPr="00124E7F" w:rsidRDefault="001134A2" w:rsidP="00023832">
            <w:pPr>
              <w:autoSpaceDE/>
              <w:autoSpaceDN/>
              <w:adjustRightInd/>
              <w:spacing w:line="240" w:lineRule="auto"/>
              <w:jc w:val="center"/>
              <w:rPr>
                <w:color w:val="auto"/>
              </w:rPr>
            </w:pPr>
            <w:r w:rsidRPr="00124E7F">
              <w:rPr>
                <w:color w:val="auto"/>
              </w:rPr>
              <w:t>Users</w:t>
            </w:r>
          </w:p>
        </w:tc>
        <w:tc>
          <w:tcPr>
            <w:tcW w:w="435" w:type="pct"/>
            <w:shd w:val="clear" w:color="auto" w:fill="auto"/>
            <w:vAlign w:val="center"/>
          </w:tcPr>
          <w:p w14:paraId="7B1CC86A" w14:textId="77777777" w:rsidR="001134A2" w:rsidRPr="00124E7F" w:rsidRDefault="001134A2" w:rsidP="00023832">
            <w:pPr>
              <w:spacing w:line="240" w:lineRule="auto"/>
              <w:jc w:val="center"/>
              <w:rPr>
                <w:color w:val="auto"/>
              </w:rPr>
            </w:pPr>
            <w:r w:rsidRPr="00124E7F">
              <w:rPr>
                <w:color w:val="auto"/>
              </w:rPr>
              <w:t>Short run</w:t>
            </w:r>
          </w:p>
        </w:tc>
        <w:tc>
          <w:tcPr>
            <w:tcW w:w="1337" w:type="pct"/>
            <w:shd w:val="clear" w:color="auto" w:fill="auto"/>
            <w:vAlign w:val="center"/>
          </w:tcPr>
          <w:p w14:paraId="1A417416" w14:textId="77777777" w:rsidR="001134A2" w:rsidRPr="00124E7F" w:rsidRDefault="001134A2" w:rsidP="00023832">
            <w:pPr>
              <w:autoSpaceDE/>
              <w:autoSpaceDN/>
              <w:adjustRightInd/>
              <w:spacing w:line="240" w:lineRule="auto"/>
              <w:jc w:val="center"/>
              <w:rPr>
                <w:color w:val="auto"/>
              </w:rPr>
            </w:pPr>
            <w:r w:rsidRPr="00124E7F">
              <w:rPr>
                <w:color w:val="auto"/>
              </w:rPr>
              <w:t>Given that a large proportion of orphan works reside in the collections or libraries and archives, it is expected that much of the search costs would be incurred by these cultural institutions in order to provide access to such works in their collections to aid research, education and access to cultural heritage.</w:t>
            </w:r>
          </w:p>
        </w:tc>
        <w:tc>
          <w:tcPr>
            <w:tcW w:w="997" w:type="pct"/>
            <w:shd w:val="clear" w:color="auto" w:fill="auto"/>
            <w:vAlign w:val="center"/>
          </w:tcPr>
          <w:p w14:paraId="5C0F20EB" w14:textId="77777777" w:rsidR="001134A2" w:rsidRPr="00202E68" w:rsidRDefault="001134A2" w:rsidP="00023832">
            <w:pPr>
              <w:autoSpaceDE/>
              <w:autoSpaceDN/>
              <w:adjustRightInd/>
              <w:spacing w:line="240" w:lineRule="auto"/>
              <w:jc w:val="center"/>
              <w:rPr>
                <w:color w:val="auto"/>
              </w:rPr>
            </w:pPr>
            <w:r w:rsidRPr="00124E7F">
              <w:rPr>
                <w:color w:val="auto"/>
              </w:rPr>
              <w:t>Between $10.3 and $20.6 million p.a.</w:t>
            </w:r>
          </w:p>
        </w:tc>
        <w:tc>
          <w:tcPr>
            <w:tcW w:w="492" w:type="pct"/>
            <w:shd w:val="clear" w:color="auto" w:fill="auto"/>
            <w:vAlign w:val="center"/>
          </w:tcPr>
          <w:p w14:paraId="4B6EC8AA" w14:textId="77777777" w:rsidR="001134A2" w:rsidRPr="004213AE" w:rsidRDefault="001134A2" w:rsidP="00023832">
            <w:pPr>
              <w:autoSpaceDE/>
              <w:autoSpaceDN/>
              <w:adjustRightInd/>
              <w:spacing w:line="240" w:lineRule="auto"/>
              <w:jc w:val="center"/>
              <w:rPr>
                <w:color w:val="auto"/>
              </w:rPr>
            </w:pPr>
            <w:r w:rsidRPr="004213AE">
              <w:rPr>
                <w:color w:val="auto"/>
              </w:rPr>
              <w:t>-</w:t>
            </w:r>
          </w:p>
        </w:tc>
      </w:tr>
      <w:tr w:rsidR="004213AE" w:rsidRPr="00124E7F" w14:paraId="445543EB" w14:textId="77777777" w:rsidTr="00202E68">
        <w:trPr>
          <w:trHeight w:val="804"/>
        </w:trPr>
        <w:tc>
          <w:tcPr>
            <w:tcW w:w="936" w:type="pct"/>
            <w:tcBorders>
              <w:top w:val="single" w:sz="4" w:space="0" w:color="808080" w:themeColor="background1" w:themeShade="80"/>
              <w:bottom w:val="single" w:sz="4" w:space="0" w:color="808080" w:themeColor="background1" w:themeShade="80"/>
            </w:tcBorders>
            <w:shd w:val="clear" w:color="auto" w:fill="auto"/>
            <w:vAlign w:val="center"/>
          </w:tcPr>
          <w:p w14:paraId="61F4060C" w14:textId="77777777" w:rsidR="001134A2" w:rsidRPr="00124E7F" w:rsidRDefault="001134A2" w:rsidP="00023832">
            <w:pPr>
              <w:autoSpaceDE/>
              <w:autoSpaceDN/>
              <w:adjustRightInd/>
              <w:spacing w:line="240" w:lineRule="auto"/>
              <w:jc w:val="center"/>
              <w:rPr>
                <w:color w:val="auto"/>
              </w:rPr>
            </w:pPr>
            <w:r w:rsidRPr="00124E7F">
              <w:rPr>
                <w:color w:val="auto"/>
              </w:rPr>
              <w:t>Incentives to invest in new uses of works</w:t>
            </w:r>
          </w:p>
        </w:tc>
        <w:tc>
          <w:tcPr>
            <w:tcW w:w="803" w:type="pct"/>
            <w:tcBorders>
              <w:top w:val="single" w:sz="4" w:space="0" w:color="808080" w:themeColor="background1" w:themeShade="80"/>
              <w:bottom w:val="single" w:sz="4" w:space="0" w:color="808080" w:themeColor="background1" w:themeShade="80"/>
            </w:tcBorders>
            <w:shd w:val="clear" w:color="auto" w:fill="auto"/>
            <w:vAlign w:val="center"/>
          </w:tcPr>
          <w:p w14:paraId="6998F145" w14:textId="77777777" w:rsidR="001134A2" w:rsidRPr="00124E7F" w:rsidRDefault="001134A2" w:rsidP="00023832">
            <w:pPr>
              <w:autoSpaceDE/>
              <w:autoSpaceDN/>
              <w:adjustRightInd/>
              <w:spacing w:line="240" w:lineRule="auto"/>
              <w:jc w:val="center"/>
              <w:rPr>
                <w:color w:val="auto"/>
              </w:rPr>
            </w:pPr>
            <w:r w:rsidRPr="00124E7F">
              <w:rPr>
                <w:color w:val="auto"/>
              </w:rPr>
              <w:t>Users</w:t>
            </w:r>
          </w:p>
        </w:tc>
        <w:tc>
          <w:tcPr>
            <w:tcW w:w="435" w:type="pct"/>
            <w:tcBorders>
              <w:top w:val="single" w:sz="4" w:space="0" w:color="808080" w:themeColor="background1" w:themeShade="80"/>
              <w:bottom w:val="single" w:sz="4" w:space="0" w:color="808080" w:themeColor="background1" w:themeShade="80"/>
            </w:tcBorders>
            <w:shd w:val="clear" w:color="auto" w:fill="auto"/>
            <w:vAlign w:val="center"/>
          </w:tcPr>
          <w:p w14:paraId="2B6CC806" w14:textId="77777777" w:rsidR="001134A2" w:rsidRPr="00124E7F" w:rsidRDefault="001134A2" w:rsidP="00023832">
            <w:pPr>
              <w:spacing w:line="240" w:lineRule="auto"/>
              <w:jc w:val="center"/>
              <w:rPr>
                <w:color w:val="auto"/>
              </w:rPr>
            </w:pPr>
            <w:r w:rsidRPr="00124E7F">
              <w:rPr>
                <w:color w:val="auto"/>
              </w:rPr>
              <w:t>Lon</w:t>
            </w:r>
            <w:r w:rsidR="004050D5" w:rsidRPr="00124E7F">
              <w:rPr>
                <w:color w:val="auto"/>
              </w:rPr>
              <w:t>g</w:t>
            </w:r>
            <w:r w:rsidRPr="00124E7F">
              <w:rPr>
                <w:color w:val="auto"/>
              </w:rPr>
              <w:t xml:space="preserve"> run</w:t>
            </w:r>
          </w:p>
        </w:tc>
        <w:tc>
          <w:tcPr>
            <w:tcW w:w="1337" w:type="pct"/>
            <w:shd w:val="clear" w:color="auto" w:fill="auto"/>
            <w:vAlign w:val="center"/>
          </w:tcPr>
          <w:p w14:paraId="07424D7F" w14:textId="77777777" w:rsidR="001134A2" w:rsidRPr="00124E7F" w:rsidRDefault="001134A2" w:rsidP="00023832">
            <w:pPr>
              <w:autoSpaceDE/>
              <w:autoSpaceDN/>
              <w:adjustRightInd/>
              <w:spacing w:line="240" w:lineRule="auto"/>
              <w:jc w:val="center"/>
              <w:rPr>
                <w:color w:val="auto"/>
              </w:rPr>
            </w:pPr>
            <w:r w:rsidRPr="00124E7F">
              <w:rPr>
                <w:color w:val="auto"/>
              </w:rPr>
              <w:t>-</w:t>
            </w:r>
          </w:p>
        </w:tc>
        <w:tc>
          <w:tcPr>
            <w:tcW w:w="997" w:type="pct"/>
            <w:shd w:val="clear" w:color="auto" w:fill="auto"/>
            <w:vAlign w:val="center"/>
          </w:tcPr>
          <w:p w14:paraId="15A3C746" w14:textId="77777777" w:rsidR="001134A2" w:rsidRPr="00202E68" w:rsidRDefault="001134A2" w:rsidP="00023832">
            <w:pPr>
              <w:autoSpaceDE/>
              <w:autoSpaceDN/>
              <w:adjustRightInd/>
              <w:spacing w:line="240" w:lineRule="auto"/>
              <w:jc w:val="center"/>
              <w:rPr>
                <w:color w:val="auto"/>
              </w:rPr>
            </w:pPr>
            <w:r w:rsidRPr="00124E7F">
              <w:rPr>
                <w:color w:val="auto"/>
              </w:rPr>
              <w:t>-</w:t>
            </w:r>
          </w:p>
        </w:tc>
        <w:tc>
          <w:tcPr>
            <w:tcW w:w="492" w:type="pct"/>
            <w:tcBorders>
              <w:top w:val="single" w:sz="4" w:space="0" w:color="808080" w:themeColor="background1" w:themeShade="80"/>
              <w:bottom w:val="single" w:sz="4" w:space="0" w:color="808080" w:themeColor="background1" w:themeShade="80"/>
            </w:tcBorders>
            <w:shd w:val="clear" w:color="auto" w:fill="auto"/>
            <w:vAlign w:val="center"/>
          </w:tcPr>
          <w:p w14:paraId="47207C81" w14:textId="77777777" w:rsidR="001134A2" w:rsidRPr="004213AE" w:rsidRDefault="001134A2" w:rsidP="00023832">
            <w:pPr>
              <w:autoSpaceDE/>
              <w:autoSpaceDN/>
              <w:adjustRightInd/>
              <w:spacing w:line="240" w:lineRule="auto"/>
              <w:jc w:val="center"/>
              <w:rPr>
                <w:color w:val="auto"/>
              </w:rPr>
            </w:pPr>
            <w:r w:rsidRPr="004213AE">
              <w:rPr>
                <w:color w:val="auto"/>
              </w:rPr>
              <w:t>0</w:t>
            </w:r>
          </w:p>
        </w:tc>
      </w:tr>
      <w:tr w:rsidR="004213AE" w:rsidRPr="00124E7F" w14:paraId="28A962A7" w14:textId="77777777" w:rsidTr="00202E68">
        <w:trPr>
          <w:cnfStyle w:val="000000100000" w:firstRow="0" w:lastRow="0" w:firstColumn="0" w:lastColumn="0" w:oddVBand="0" w:evenVBand="0" w:oddHBand="1" w:evenHBand="0" w:firstRowFirstColumn="0" w:firstRowLastColumn="0" w:lastRowFirstColumn="0" w:lastRowLastColumn="0"/>
          <w:trHeight w:val="3960"/>
        </w:trPr>
        <w:tc>
          <w:tcPr>
            <w:tcW w:w="936" w:type="pct"/>
            <w:tcBorders>
              <w:top w:val="single" w:sz="4" w:space="0" w:color="808080" w:themeColor="background1" w:themeShade="80"/>
            </w:tcBorders>
            <w:shd w:val="clear" w:color="auto" w:fill="auto"/>
            <w:vAlign w:val="center"/>
          </w:tcPr>
          <w:p w14:paraId="161B6D29" w14:textId="77777777" w:rsidR="001134A2" w:rsidRPr="00124E7F" w:rsidRDefault="001134A2" w:rsidP="00023832">
            <w:pPr>
              <w:autoSpaceDE/>
              <w:autoSpaceDN/>
              <w:adjustRightInd/>
              <w:spacing w:line="240" w:lineRule="auto"/>
              <w:jc w:val="center"/>
              <w:rPr>
                <w:color w:val="auto"/>
              </w:rPr>
            </w:pPr>
            <w:r w:rsidRPr="00124E7F">
              <w:rPr>
                <w:color w:val="auto"/>
              </w:rPr>
              <w:t>Enhanced use of existing works</w:t>
            </w:r>
          </w:p>
        </w:tc>
        <w:tc>
          <w:tcPr>
            <w:tcW w:w="803" w:type="pct"/>
            <w:tcBorders>
              <w:top w:val="single" w:sz="4" w:space="0" w:color="808080" w:themeColor="background1" w:themeShade="80"/>
            </w:tcBorders>
            <w:shd w:val="clear" w:color="auto" w:fill="auto"/>
            <w:vAlign w:val="center"/>
          </w:tcPr>
          <w:p w14:paraId="353768C1" w14:textId="77777777" w:rsidR="001134A2" w:rsidRPr="00124E7F" w:rsidRDefault="001134A2" w:rsidP="00023832">
            <w:pPr>
              <w:autoSpaceDE/>
              <w:autoSpaceDN/>
              <w:adjustRightInd/>
              <w:spacing w:line="240" w:lineRule="auto"/>
              <w:jc w:val="center"/>
              <w:rPr>
                <w:color w:val="auto"/>
              </w:rPr>
            </w:pPr>
            <w:r w:rsidRPr="00124E7F">
              <w:rPr>
                <w:color w:val="auto"/>
              </w:rPr>
              <w:t>Users</w:t>
            </w:r>
          </w:p>
        </w:tc>
        <w:tc>
          <w:tcPr>
            <w:tcW w:w="435" w:type="pct"/>
            <w:tcBorders>
              <w:top w:val="single" w:sz="4" w:space="0" w:color="808080" w:themeColor="background1" w:themeShade="80"/>
            </w:tcBorders>
            <w:shd w:val="clear" w:color="auto" w:fill="auto"/>
            <w:vAlign w:val="center"/>
          </w:tcPr>
          <w:p w14:paraId="29BA8A0F" w14:textId="77777777" w:rsidR="001134A2" w:rsidRPr="00124E7F" w:rsidRDefault="001134A2" w:rsidP="00023832">
            <w:pPr>
              <w:spacing w:line="240" w:lineRule="auto"/>
              <w:jc w:val="center"/>
              <w:rPr>
                <w:color w:val="auto"/>
              </w:rPr>
            </w:pPr>
            <w:r w:rsidRPr="00124E7F">
              <w:rPr>
                <w:color w:val="auto"/>
              </w:rPr>
              <w:t>Short run</w:t>
            </w:r>
          </w:p>
        </w:tc>
        <w:tc>
          <w:tcPr>
            <w:tcW w:w="1337" w:type="pct"/>
            <w:tcBorders>
              <w:top w:val="single" w:sz="4" w:space="0" w:color="808080" w:themeColor="background1" w:themeShade="80"/>
            </w:tcBorders>
            <w:shd w:val="clear" w:color="auto" w:fill="auto"/>
            <w:vAlign w:val="center"/>
          </w:tcPr>
          <w:p w14:paraId="744F2209" w14:textId="77777777" w:rsidR="001134A2" w:rsidRPr="00124E7F" w:rsidRDefault="001134A2" w:rsidP="00023832">
            <w:pPr>
              <w:pStyle w:val="AA-Normal"/>
              <w:numPr>
                <w:ilvl w:val="0"/>
                <w:numId w:val="11"/>
              </w:numPr>
              <w:spacing w:after="60" w:line="240" w:lineRule="auto"/>
              <w:rPr>
                <w:color w:val="auto"/>
              </w:rPr>
            </w:pPr>
            <w:r w:rsidRPr="00124E7F">
              <w:rPr>
                <w:color w:val="auto"/>
              </w:rPr>
              <w:t>Benefits would at least have to equal diligent search costs to warrant undertaking the voluntary searches in the first place.</w:t>
            </w:r>
          </w:p>
          <w:p w14:paraId="1AD9A324" w14:textId="77777777" w:rsidR="001134A2" w:rsidRPr="00124E7F" w:rsidRDefault="001134A2" w:rsidP="00023832">
            <w:pPr>
              <w:pStyle w:val="AA-Normal"/>
              <w:numPr>
                <w:ilvl w:val="0"/>
                <w:numId w:val="11"/>
              </w:numPr>
              <w:spacing w:after="60" w:line="240" w:lineRule="auto"/>
              <w:rPr>
                <w:color w:val="auto"/>
              </w:rPr>
            </w:pPr>
            <w:r w:rsidRPr="00124E7F">
              <w:rPr>
                <w:color w:val="auto"/>
              </w:rPr>
              <w:t>Enabling the use of orphan works to be unlocked for commercial and non-commercial purposes would assist the growth of Australian copyright industries.</w:t>
            </w:r>
          </w:p>
        </w:tc>
        <w:tc>
          <w:tcPr>
            <w:tcW w:w="997" w:type="pct"/>
            <w:tcBorders>
              <w:top w:val="single" w:sz="4" w:space="0" w:color="808080" w:themeColor="background1" w:themeShade="80"/>
            </w:tcBorders>
            <w:shd w:val="clear" w:color="auto" w:fill="auto"/>
            <w:vAlign w:val="center"/>
          </w:tcPr>
          <w:p w14:paraId="2A5456E6" w14:textId="77777777" w:rsidR="001134A2" w:rsidRPr="00202E68" w:rsidRDefault="001134A2" w:rsidP="00023832">
            <w:pPr>
              <w:autoSpaceDE/>
              <w:autoSpaceDN/>
              <w:adjustRightInd/>
              <w:spacing w:line="240" w:lineRule="auto"/>
              <w:jc w:val="center"/>
              <w:rPr>
                <w:color w:val="auto"/>
              </w:rPr>
            </w:pPr>
            <w:r w:rsidRPr="00124E7F">
              <w:rPr>
                <w:color w:val="auto"/>
              </w:rPr>
              <w:t xml:space="preserve">Between </w:t>
            </w:r>
            <w:r w:rsidR="00902032" w:rsidRPr="00124E7F">
              <w:rPr>
                <w:color w:val="auto"/>
              </w:rPr>
              <w:br/>
            </w:r>
            <w:r w:rsidRPr="00124E7F">
              <w:rPr>
                <w:color w:val="auto"/>
              </w:rPr>
              <w:t>$10.3</w:t>
            </w:r>
            <w:r w:rsidR="00902032" w:rsidRPr="00124E7F">
              <w:rPr>
                <w:color w:val="auto"/>
              </w:rPr>
              <w:t xml:space="preserve"> </w:t>
            </w:r>
            <w:r w:rsidRPr="00124E7F">
              <w:rPr>
                <w:color w:val="auto"/>
              </w:rPr>
              <w:t>and $20.6 million p.a.?</w:t>
            </w:r>
          </w:p>
        </w:tc>
        <w:tc>
          <w:tcPr>
            <w:tcW w:w="492" w:type="pct"/>
            <w:tcBorders>
              <w:top w:val="single" w:sz="4" w:space="0" w:color="808080" w:themeColor="background1" w:themeShade="80"/>
            </w:tcBorders>
            <w:shd w:val="clear" w:color="auto" w:fill="auto"/>
            <w:vAlign w:val="center"/>
          </w:tcPr>
          <w:p w14:paraId="00967F97" w14:textId="77777777" w:rsidR="001134A2" w:rsidRPr="004213AE" w:rsidRDefault="001134A2" w:rsidP="00023832">
            <w:pPr>
              <w:autoSpaceDE/>
              <w:autoSpaceDN/>
              <w:adjustRightInd/>
              <w:spacing w:line="240" w:lineRule="auto"/>
              <w:jc w:val="center"/>
              <w:rPr>
                <w:color w:val="auto"/>
              </w:rPr>
            </w:pPr>
            <w:r w:rsidRPr="004213AE">
              <w:rPr>
                <w:color w:val="auto"/>
              </w:rPr>
              <w:t>+</w:t>
            </w:r>
          </w:p>
        </w:tc>
      </w:tr>
      <w:tr w:rsidR="004213AE" w:rsidRPr="00124E7F" w14:paraId="76B816AF" w14:textId="77777777" w:rsidTr="00202E68">
        <w:trPr>
          <w:trHeight w:val="2835"/>
        </w:trPr>
        <w:tc>
          <w:tcPr>
            <w:tcW w:w="936" w:type="pct"/>
            <w:shd w:val="clear" w:color="auto" w:fill="auto"/>
            <w:vAlign w:val="center"/>
          </w:tcPr>
          <w:p w14:paraId="053A6D40" w14:textId="77777777" w:rsidR="001134A2" w:rsidRPr="00124E7F" w:rsidRDefault="001134A2" w:rsidP="00023832">
            <w:pPr>
              <w:autoSpaceDE/>
              <w:autoSpaceDN/>
              <w:adjustRightInd/>
              <w:spacing w:line="240" w:lineRule="auto"/>
              <w:jc w:val="center"/>
              <w:rPr>
                <w:color w:val="auto"/>
              </w:rPr>
            </w:pPr>
            <w:r w:rsidRPr="00124E7F">
              <w:rPr>
                <w:color w:val="auto"/>
              </w:rPr>
              <w:t>Economic and societal benefits</w:t>
            </w:r>
          </w:p>
        </w:tc>
        <w:tc>
          <w:tcPr>
            <w:tcW w:w="803" w:type="pct"/>
            <w:shd w:val="clear" w:color="auto" w:fill="auto"/>
            <w:vAlign w:val="center"/>
          </w:tcPr>
          <w:p w14:paraId="2D7DE14B" w14:textId="77777777" w:rsidR="001134A2" w:rsidRPr="00124E7F" w:rsidRDefault="001134A2" w:rsidP="00023832">
            <w:pPr>
              <w:autoSpaceDE/>
              <w:autoSpaceDN/>
              <w:adjustRightInd/>
              <w:spacing w:line="240" w:lineRule="auto"/>
              <w:jc w:val="center"/>
              <w:rPr>
                <w:color w:val="auto"/>
              </w:rPr>
            </w:pPr>
            <w:r w:rsidRPr="00124E7F">
              <w:rPr>
                <w:color w:val="auto"/>
              </w:rPr>
              <w:t>Economy/ Society</w:t>
            </w:r>
          </w:p>
        </w:tc>
        <w:tc>
          <w:tcPr>
            <w:tcW w:w="435" w:type="pct"/>
            <w:shd w:val="clear" w:color="auto" w:fill="auto"/>
            <w:vAlign w:val="center"/>
          </w:tcPr>
          <w:p w14:paraId="5138BC72" w14:textId="77777777" w:rsidR="001134A2" w:rsidRPr="00124E7F" w:rsidRDefault="001134A2" w:rsidP="00023832">
            <w:pPr>
              <w:spacing w:line="240" w:lineRule="auto"/>
              <w:jc w:val="center"/>
              <w:rPr>
                <w:color w:val="auto"/>
              </w:rPr>
            </w:pPr>
            <w:r w:rsidRPr="00124E7F">
              <w:rPr>
                <w:color w:val="auto"/>
              </w:rPr>
              <w:t>Both</w:t>
            </w:r>
          </w:p>
        </w:tc>
        <w:tc>
          <w:tcPr>
            <w:tcW w:w="1337" w:type="pct"/>
            <w:shd w:val="clear" w:color="auto" w:fill="auto"/>
            <w:vAlign w:val="center"/>
          </w:tcPr>
          <w:p w14:paraId="08A23A78" w14:textId="77777777" w:rsidR="001134A2" w:rsidRPr="00124E7F" w:rsidRDefault="001134A2" w:rsidP="00023832">
            <w:pPr>
              <w:autoSpaceDE/>
              <w:autoSpaceDN/>
              <w:adjustRightInd/>
              <w:spacing w:line="240" w:lineRule="auto"/>
              <w:jc w:val="center"/>
              <w:rPr>
                <w:color w:val="auto"/>
              </w:rPr>
            </w:pPr>
            <w:r w:rsidRPr="00124E7F">
              <w:rPr>
                <w:color w:val="auto"/>
              </w:rPr>
              <w:t>To the extent that proposed changes reduce barriers to the use of orphan works, Option 1 would facilitate socially beneficial goals such as learning, cumulative knowledge creation, access to information, and innovation.</w:t>
            </w:r>
          </w:p>
        </w:tc>
        <w:tc>
          <w:tcPr>
            <w:tcW w:w="997" w:type="pct"/>
            <w:shd w:val="clear" w:color="auto" w:fill="auto"/>
            <w:vAlign w:val="center"/>
          </w:tcPr>
          <w:p w14:paraId="52A9CFAE" w14:textId="77777777" w:rsidR="001134A2" w:rsidRPr="00202E68" w:rsidRDefault="001134A2" w:rsidP="00023832">
            <w:pPr>
              <w:autoSpaceDE/>
              <w:autoSpaceDN/>
              <w:adjustRightInd/>
              <w:spacing w:line="240" w:lineRule="auto"/>
              <w:jc w:val="center"/>
              <w:rPr>
                <w:color w:val="auto"/>
              </w:rPr>
            </w:pPr>
            <w:r w:rsidRPr="00124E7F">
              <w:rPr>
                <w:color w:val="auto"/>
              </w:rPr>
              <w:t>-</w:t>
            </w:r>
          </w:p>
        </w:tc>
        <w:tc>
          <w:tcPr>
            <w:tcW w:w="492" w:type="pct"/>
            <w:shd w:val="clear" w:color="auto" w:fill="auto"/>
            <w:vAlign w:val="center"/>
          </w:tcPr>
          <w:p w14:paraId="579127FE" w14:textId="77777777" w:rsidR="001134A2" w:rsidRPr="004213AE" w:rsidRDefault="001134A2" w:rsidP="00023832">
            <w:pPr>
              <w:autoSpaceDE/>
              <w:autoSpaceDN/>
              <w:adjustRightInd/>
              <w:spacing w:line="240" w:lineRule="auto"/>
              <w:jc w:val="center"/>
              <w:rPr>
                <w:color w:val="auto"/>
              </w:rPr>
            </w:pPr>
            <w:r w:rsidRPr="004213AE">
              <w:rPr>
                <w:color w:val="auto"/>
              </w:rPr>
              <w:t>+</w:t>
            </w:r>
          </w:p>
        </w:tc>
      </w:tr>
      <w:tr w:rsidR="00F83736" w:rsidRPr="00124E7F" w14:paraId="0B76733A" w14:textId="77777777" w:rsidTr="00F5353E">
        <w:trPr>
          <w:cnfStyle w:val="000000100000" w:firstRow="0" w:lastRow="0" w:firstColumn="0" w:lastColumn="0" w:oddVBand="0" w:evenVBand="0" w:oddHBand="1" w:evenHBand="0" w:firstRowFirstColumn="0" w:firstRowLastColumn="0" w:lastRowFirstColumn="0" w:lastRowLastColumn="0"/>
          <w:trHeight w:val="397"/>
        </w:trPr>
        <w:tc>
          <w:tcPr>
            <w:tcW w:w="936" w:type="pct"/>
            <w:tcBorders>
              <w:top w:val="single" w:sz="4" w:space="0" w:color="808080" w:themeColor="background1" w:themeShade="80"/>
              <w:bottom w:val="single" w:sz="4" w:space="0" w:color="808080" w:themeColor="background1" w:themeShade="80"/>
            </w:tcBorders>
            <w:shd w:val="clear" w:color="auto" w:fill="EAEAEA" w:themeFill="accent3" w:themeFillTint="33"/>
            <w:vAlign w:val="center"/>
            <w:hideMark/>
          </w:tcPr>
          <w:p w14:paraId="0F4B287F" w14:textId="77777777" w:rsidR="001134A2" w:rsidRPr="00124E7F" w:rsidRDefault="001134A2" w:rsidP="00023832">
            <w:pPr>
              <w:autoSpaceDE/>
              <w:autoSpaceDN/>
              <w:adjustRightInd/>
              <w:spacing w:line="240" w:lineRule="auto"/>
              <w:jc w:val="center"/>
              <w:rPr>
                <w:b/>
                <w:color w:val="auto"/>
              </w:rPr>
            </w:pPr>
            <w:r w:rsidRPr="00124E7F">
              <w:rPr>
                <w:b/>
                <w:color w:val="auto"/>
              </w:rPr>
              <w:t>Net expected impact</w:t>
            </w:r>
          </w:p>
        </w:tc>
        <w:tc>
          <w:tcPr>
            <w:tcW w:w="803" w:type="pct"/>
            <w:tcBorders>
              <w:top w:val="single" w:sz="4" w:space="0" w:color="808080" w:themeColor="background1" w:themeShade="80"/>
              <w:bottom w:val="single" w:sz="4" w:space="0" w:color="808080" w:themeColor="background1" w:themeShade="80"/>
            </w:tcBorders>
            <w:shd w:val="clear" w:color="auto" w:fill="EAEAEA" w:themeFill="accent3" w:themeFillTint="33"/>
            <w:vAlign w:val="center"/>
          </w:tcPr>
          <w:p w14:paraId="515D396C" w14:textId="77777777" w:rsidR="001134A2" w:rsidRPr="00124E7F" w:rsidRDefault="001134A2" w:rsidP="00023832">
            <w:pPr>
              <w:autoSpaceDE/>
              <w:autoSpaceDN/>
              <w:adjustRightInd/>
              <w:spacing w:line="240" w:lineRule="auto"/>
              <w:jc w:val="center"/>
              <w:rPr>
                <w:b/>
                <w:color w:val="auto"/>
              </w:rPr>
            </w:pPr>
          </w:p>
        </w:tc>
        <w:tc>
          <w:tcPr>
            <w:tcW w:w="435" w:type="pct"/>
            <w:tcBorders>
              <w:top w:val="single" w:sz="4" w:space="0" w:color="808080" w:themeColor="background1" w:themeShade="80"/>
              <w:bottom w:val="single" w:sz="4" w:space="0" w:color="808080" w:themeColor="background1" w:themeShade="80"/>
            </w:tcBorders>
            <w:shd w:val="clear" w:color="auto" w:fill="EAEAEA" w:themeFill="accent3" w:themeFillTint="33"/>
            <w:vAlign w:val="center"/>
          </w:tcPr>
          <w:p w14:paraId="0070C14D" w14:textId="77777777" w:rsidR="001134A2" w:rsidRPr="00124E7F" w:rsidRDefault="001134A2" w:rsidP="00023832">
            <w:pPr>
              <w:spacing w:line="240" w:lineRule="auto"/>
              <w:jc w:val="center"/>
              <w:rPr>
                <w:b/>
                <w:color w:val="auto"/>
              </w:rPr>
            </w:pPr>
          </w:p>
        </w:tc>
        <w:tc>
          <w:tcPr>
            <w:tcW w:w="1337" w:type="pct"/>
            <w:tcBorders>
              <w:top w:val="single" w:sz="4" w:space="0" w:color="808080" w:themeColor="background1" w:themeShade="80"/>
              <w:bottom w:val="single" w:sz="4" w:space="0" w:color="808080" w:themeColor="background1" w:themeShade="80"/>
            </w:tcBorders>
            <w:shd w:val="clear" w:color="auto" w:fill="EAEAEA" w:themeFill="accent3" w:themeFillTint="33"/>
            <w:vAlign w:val="center"/>
          </w:tcPr>
          <w:p w14:paraId="00B44B04" w14:textId="77777777" w:rsidR="001134A2" w:rsidRPr="00124E7F" w:rsidRDefault="001134A2" w:rsidP="00023832">
            <w:pPr>
              <w:autoSpaceDE/>
              <w:autoSpaceDN/>
              <w:adjustRightInd/>
              <w:spacing w:line="240" w:lineRule="auto"/>
              <w:jc w:val="center"/>
              <w:rPr>
                <w:b/>
                <w:color w:val="auto"/>
              </w:rPr>
            </w:pPr>
            <w:r w:rsidRPr="00124E7F">
              <w:rPr>
                <w:b/>
                <w:color w:val="auto"/>
              </w:rPr>
              <w:t>Positive</w:t>
            </w:r>
          </w:p>
        </w:tc>
        <w:tc>
          <w:tcPr>
            <w:tcW w:w="997" w:type="pct"/>
            <w:tcBorders>
              <w:top w:val="single" w:sz="4" w:space="0" w:color="808080" w:themeColor="background1" w:themeShade="80"/>
              <w:bottom w:val="single" w:sz="4" w:space="0" w:color="808080" w:themeColor="background1" w:themeShade="80"/>
            </w:tcBorders>
            <w:shd w:val="clear" w:color="auto" w:fill="EAEAEA" w:themeFill="accent3" w:themeFillTint="33"/>
          </w:tcPr>
          <w:p w14:paraId="1FAE9A18" w14:textId="77777777" w:rsidR="001134A2" w:rsidRPr="00202E68" w:rsidRDefault="001134A2" w:rsidP="00023832">
            <w:pPr>
              <w:autoSpaceDE/>
              <w:autoSpaceDN/>
              <w:adjustRightInd/>
              <w:spacing w:line="240" w:lineRule="auto"/>
              <w:jc w:val="center"/>
              <w:rPr>
                <w:b/>
                <w:color w:val="auto"/>
              </w:rPr>
            </w:pPr>
          </w:p>
        </w:tc>
        <w:tc>
          <w:tcPr>
            <w:tcW w:w="492" w:type="pct"/>
            <w:tcBorders>
              <w:top w:val="single" w:sz="4" w:space="0" w:color="808080" w:themeColor="background1" w:themeShade="80"/>
              <w:bottom w:val="single" w:sz="4" w:space="0" w:color="808080" w:themeColor="background1" w:themeShade="80"/>
            </w:tcBorders>
            <w:shd w:val="clear" w:color="auto" w:fill="EAEAEA" w:themeFill="accent3" w:themeFillTint="33"/>
            <w:vAlign w:val="center"/>
          </w:tcPr>
          <w:p w14:paraId="085A4E31" w14:textId="77777777" w:rsidR="001134A2" w:rsidRPr="004213AE" w:rsidRDefault="001134A2" w:rsidP="00023832">
            <w:pPr>
              <w:autoSpaceDE/>
              <w:autoSpaceDN/>
              <w:adjustRightInd/>
              <w:spacing w:line="240" w:lineRule="auto"/>
              <w:jc w:val="center"/>
              <w:rPr>
                <w:b/>
                <w:color w:val="auto"/>
              </w:rPr>
            </w:pPr>
            <w:r w:rsidRPr="004213AE">
              <w:rPr>
                <w:b/>
                <w:color w:val="auto"/>
              </w:rPr>
              <w:t>+</w:t>
            </w:r>
          </w:p>
        </w:tc>
      </w:tr>
    </w:tbl>
    <w:p w14:paraId="5A2F237D" w14:textId="77777777" w:rsidR="00754476" w:rsidRPr="00124E7F" w:rsidRDefault="00754476" w:rsidP="00754476"/>
    <w:p w14:paraId="5D71696F" w14:textId="77777777" w:rsidR="00DB672A" w:rsidRPr="00124E7F" w:rsidRDefault="00DB672A" w:rsidP="00025AC4">
      <w:pPr>
        <w:pStyle w:val="EYHeading4"/>
      </w:pPr>
      <w:r w:rsidRPr="00124E7F">
        <w:t xml:space="preserve">Administration costs of undertaking a reasonably diligent search </w:t>
      </w:r>
    </w:p>
    <w:p w14:paraId="62E6A296" w14:textId="77777777" w:rsidR="00DB672A" w:rsidRPr="00124E7F" w:rsidRDefault="00DB672A" w:rsidP="00025AC4">
      <w:pPr>
        <w:pStyle w:val="EYBodytextwithparaspace"/>
      </w:pPr>
      <w:r w:rsidRPr="00124E7F">
        <w:t>Option 1 would allow the use of orphan works provided a reasonably diligent search for the right</w:t>
      </w:r>
      <w:r w:rsidR="00C37ECD" w:rsidRPr="00124E7F">
        <w:t>s</w:t>
      </w:r>
      <w:r w:rsidRPr="00124E7F">
        <w:t xml:space="preserve"> holder has been conducted and the right</w:t>
      </w:r>
      <w:r w:rsidR="00C37ECD" w:rsidRPr="00124E7F">
        <w:t>s</w:t>
      </w:r>
      <w:r w:rsidRPr="00124E7F">
        <w:t xml:space="preserve"> holder has not been found. Searches are likely to be carried out by users of the orphan works, in accordance with non-binding industry guidelines.</w:t>
      </w:r>
    </w:p>
    <w:p w14:paraId="44F83779" w14:textId="77777777" w:rsidR="00DB672A" w:rsidRPr="00124E7F" w:rsidRDefault="00DB672A" w:rsidP="00025AC4">
      <w:pPr>
        <w:pStyle w:val="EYBodytextwithparaspace"/>
        <w:rPr>
          <w:u w:val="single"/>
        </w:rPr>
      </w:pPr>
      <w:r w:rsidRPr="00124E7F">
        <w:t>Submissions to the ALRC indicated a general willingness by stakeholders to cooperate on the development of such guidelines.</w:t>
      </w:r>
      <w:r w:rsidRPr="00124E7F">
        <w:rPr>
          <w:vertAlign w:val="superscript"/>
        </w:rPr>
        <w:footnoteReference w:id="206"/>
      </w:r>
      <w:r w:rsidRPr="00124E7F">
        <w:rPr>
          <w:vertAlign w:val="superscript"/>
        </w:rPr>
        <w:t xml:space="preserve"> </w:t>
      </w:r>
      <w:r w:rsidRPr="00124E7F">
        <w:t>It is also assumed that much of the work required to produce such guidelines has already been undertaken. For example, a position paper on ‘reasonable search on orphan works’ has already been published by National and State Libraries Australasia.</w:t>
      </w:r>
      <w:r w:rsidRPr="00124E7F">
        <w:rPr>
          <w:vertAlign w:val="superscript"/>
        </w:rPr>
        <w:footnoteReference w:id="207"/>
      </w:r>
      <w:r w:rsidRPr="00124E7F">
        <w:rPr>
          <w:vertAlign w:val="superscript"/>
        </w:rPr>
        <w:t xml:space="preserve"> </w:t>
      </w:r>
      <w:r w:rsidRPr="00124E7F">
        <w:t xml:space="preserve">These factors combined suggest that the costs of developing such guidelines would be negligible.  </w:t>
      </w:r>
    </w:p>
    <w:p w14:paraId="0174F4C7" w14:textId="77777777" w:rsidR="00DB672A" w:rsidRPr="00124E7F" w:rsidRDefault="00DB672A" w:rsidP="00B13A4A">
      <w:pPr>
        <w:pStyle w:val="EYHeading4"/>
      </w:pPr>
      <w:r w:rsidRPr="00124E7F">
        <w:t>Number of orphan works</w:t>
      </w:r>
    </w:p>
    <w:p w14:paraId="7EDF2545" w14:textId="77777777" w:rsidR="00DB672A" w:rsidRPr="00124E7F" w:rsidRDefault="00DB672A" w:rsidP="00025AC4">
      <w:pPr>
        <w:pStyle w:val="EYBodytextwithparaspace"/>
      </w:pPr>
      <w:r w:rsidRPr="00124E7F">
        <w:t xml:space="preserve">To estimate diligent search costs we need an estimate of how many items are likely to be searched under the new legislation. Given that a large proportion of orphan works reside in the collections or libraries and archives, it is expected that much of the search costs would be incurred by these cultural institutions in order to </w:t>
      </w:r>
      <w:proofErr w:type="spellStart"/>
      <w:r w:rsidRPr="00124E7F">
        <w:t>digitise</w:t>
      </w:r>
      <w:proofErr w:type="spellEnd"/>
      <w:r w:rsidRPr="00124E7F">
        <w:t xml:space="preserve"> and provide access to such works in their collections to aid research, education and access to cultural heritage. This represents a conservative estimate of the likely searches, as it does not include private searches (e.g. by academics) and commercial searches (e.g. by TV broadcasters) also likely to be undertaken under the legislation. </w:t>
      </w:r>
    </w:p>
    <w:p w14:paraId="51A5C400" w14:textId="77777777" w:rsidR="00DB672A" w:rsidRPr="00124E7F" w:rsidRDefault="00DB672A" w:rsidP="00025AC4">
      <w:pPr>
        <w:pStyle w:val="EYBodytextwithparaspace"/>
      </w:pPr>
      <w:r w:rsidRPr="00124E7F">
        <w:t>According to IBISWorld research, there were around 1,900 libraries and archives in 2014-15.</w:t>
      </w:r>
      <w:r w:rsidRPr="00124E7F">
        <w:rPr>
          <w:vertAlign w:val="superscript"/>
        </w:rPr>
        <w:footnoteReference w:id="208"/>
      </w:r>
      <w:r w:rsidRPr="00124E7F">
        <w:t xml:space="preserve"> The report does not provide information on the size of the collections held by these institutions. For this, we use the National and State Libraries Australasia (NSLA) bibliographic database, which estimated a total collection size for Australian libraries of around 52 million items in 2014-15 (</w:t>
      </w:r>
      <w:r w:rsidRPr="00124E7F">
        <w:fldChar w:fldCharType="begin"/>
      </w:r>
      <w:r w:rsidRPr="00124E7F">
        <w:instrText xml:space="preserve"> REF _Ref445987478 \h  \* MERGEFORMAT </w:instrText>
      </w:r>
      <w:r w:rsidRPr="00124E7F">
        <w:fldChar w:fldCharType="separate"/>
      </w:r>
      <w:r w:rsidR="0075700D" w:rsidRPr="00124E7F">
        <w:t xml:space="preserve">Figure </w:t>
      </w:r>
      <w:r w:rsidR="0075700D">
        <w:rPr>
          <w:noProof/>
        </w:rPr>
        <w:t>13</w:t>
      </w:r>
      <w:r w:rsidRPr="00124E7F">
        <w:fldChar w:fldCharType="end"/>
      </w:r>
      <w:r w:rsidRPr="00124E7F">
        <w:t xml:space="preserve">). The ANBD does not provide a further breakdown of holdings by content type. </w:t>
      </w:r>
    </w:p>
    <w:p w14:paraId="5F5D03A6" w14:textId="77777777" w:rsidR="00DB672A" w:rsidRDefault="00DB672A" w:rsidP="00DB672A">
      <w:pPr>
        <w:pStyle w:val="Caption"/>
        <w:keepNext/>
        <w:jc w:val="both"/>
      </w:pPr>
      <w:bookmarkStart w:id="177" w:name="_Ref445987478"/>
      <w:r w:rsidRPr="00124E7F">
        <w:t xml:space="preserve">Figure </w:t>
      </w:r>
      <w:r w:rsidRPr="00124E7F">
        <w:fldChar w:fldCharType="begin"/>
      </w:r>
      <w:r w:rsidRPr="00124E7F">
        <w:instrText xml:space="preserve"> SEQ Figure \* ARABIC </w:instrText>
      </w:r>
      <w:r w:rsidRPr="00124E7F">
        <w:fldChar w:fldCharType="separate"/>
      </w:r>
      <w:r w:rsidR="0075700D">
        <w:rPr>
          <w:noProof/>
        </w:rPr>
        <w:t>13</w:t>
      </w:r>
      <w:r w:rsidRPr="00124E7F">
        <w:fldChar w:fldCharType="end"/>
      </w:r>
      <w:bookmarkEnd w:id="177"/>
      <w:r w:rsidR="00754476" w:rsidRPr="00124E7F">
        <w:t>:</w:t>
      </w:r>
      <w:r w:rsidRPr="00124E7F">
        <w:t xml:space="preserve"> ANBD holdings by library type – 2014-15</w:t>
      </w:r>
    </w:p>
    <w:p w14:paraId="5A1CE48D" w14:textId="23510F55" w:rsidR="00DB672A" w:rsidRPr="00124E7F" w:rsidRDefault="00EC2492" w:rsidP="00202E68">
      <w:r>
        <w:rPr>
          <w:noProof/>
          <w:lang w:eastAsia="zh-TW" w:bidi="hi-IN"/>
        </w:rPr>
        <w:drawing>
          <wp:inline distT="0" distB="0" distL="0" distR="0" wp14:anchorId="7EAD409C" wp14:editId="11B6A6FE">
            <wp:extent cx="4743450" cy="2828925"/>
            <wp:effectExtent l="0" t="0" r="0" b="9525"/>
            <wp:docPr id="8" name="Picture 8" descr="The pie chart provides a break-down of the estimated total collection size for Australian libraries by library type for 2014-15 as follows:&#10;• University libraries: 45%&#10;• Public libraries: 24%&#10;• National and state libraries: 22%&#10;• Special libraries: 7%&#10;• TAFE libraries: 2%&#10;" title="Figure 13: ANBD holdings by library type –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743450" cy="2828925"/>
                    </a:xfrm>
                    <a:prstGeom prst="rect">
                      <a:avLst/>
                    </a:prstGeom>
                  </pic:spPr>
                </pic:pic>
              </a:graphicData>
            </a:graphic>
          </wp:inline>
        </w:drawing>
      </w:r>
    </w:p>
    <w:p w14:paraId="2178DD3A" w14:textId="77777777" w:rsidR="00DB672A" w:rsidRPr="00124E7F" w:rsidRDefault="00DB672A" w:rsidP="00025AC4">
      <w:pPr>
        <w:pStyle w:val="EYSource"/>
        <w:rPr>
          <w:sz w:val="20"/>
          <w:szCs w:val="20"/>
        </w:rPr>
      </w:pPr>
      <w:r w:rsidRPr="00124E7F">
        <w:rPr>
          <w:sz w:val="20"/>
          <w:szCs w:val="20"/>
        </w:rPr>
        <w:t>Source: Australian National Bibliographic Database, EY Analysis</w:t>
      </w:r>
    </w:p>
    <w:p w14:paraId="34CBB20B" w14:textId="77777777" w:rsidR="0014223B" w:rsidRPr="00124E7F" w:rsidRDefault="0014223B" w:rsidP="0014223B">
      <w:pPr>
        <w:rPr>
          <w:lang w:val="en-US"/>
        </w:rPr>
      </w:pPr>
    </w:p>
    <w:p w14:paraId="79079D75" w14:textId="77777777" w:rsidR="00804582" w:rsidRDefault="00804582">
      <w:pPr>
        <w:widowControl/>
        <w:autoSpaceDE/>
        <w:autoSpaceDN/>
        <w:adjustRightInd/>
        <w:spacing w:line="240" w:lineRule="auto"/>
        <w:rPr>
          <w:kern w:val="12"/>
          <w:szCs w:val="24"/>
          <w:lang w:val="en-US"/>
        </w:rPr>
      </w:pPr>
      <w:r>
        <w:br w:type="page"/>
      </w:r>
    </w:p>
    <w:p w14:paraId="057A1DC7" w14:textId="690ED4D3" w:rsidR="00DB672A" w:rsidRPr="00124E7F" w:rsidRDefault="00DB672A" w:rsidP="00025AC4">
      <w:pPr>
        <w:pStyle w:val="EYBodytextwithparaspace"/>
      </w:pPr>
      <w:r w:rsidRPr="00124E7F">
        <w:t>In preparation for the ALRC review, the NSLA conducted a survey of orphan works in their members’ collections. Depending on the types of works collected by each institution, the survey showed that library collections could comprise between 10 to 70 per cent of unpublished orphan works (40 per cent on average across all works).</w:t>
      </w:r>
      <w:r w:rsidRPr="00124E7F">
        <w:rPr>
          <w:vertAlign w:val="superscript"/>
        </w:rPr>
        <w:footnoteReference w:id="209"/>
      </w:r>
      <w:r w:rsidRPr="00124E7F">
        <w:t xml:space="preserve"> The survey did not include published orphan works, musical works, or other literary ephemera. </w:t>
      </w:r>
      <w:r w:rsidR="00580D37" w:rsidRPr="00124E7F">
        <w:t>Nonetheless</w:t>
      </w:r>
      <w:r w:rsidRPr="00124E7F">
        <w:t xml:space="preserve">, its findings were broadly in line with a mass </w:t>
      </w:r>
      <w:proofErr w:type="spellStart"/>
      <w:r w:rsidRPr="00124E7F">
        <w:t>digitisation</w:t>
      </w:r>
      <w:proofErr w:type="spellEnd"/>
      <w:r w:rsidRPr="00124E7F">
        <w:t xml:space="preserve"> project undertaken in the UK, which showed that of the total number of potentially in-copyright works around 40 per cent were orphan works.</w:t>
      </w:r>
      <w:r w:rsidRPr="00124E7F">
        <w:rPr>
          <w:vertAlign w:val="superscript"/>
        </w:rPr>
        <w:footnoteReference w:id="210"/>
      </w:r>
      <w:r w:rsidRPr="00124E7F">
        <w:rPr>
          <w:vertAlign w:val="superscript"/>
        </w:rPr>
        <w:t xml:space="preserve"> </w:t>
      </w:r>
      <w:r w:rsidRPr="00124E7F">
        <w:t xml:space="preserve">Using this assumption, gives us an estimate of around 21 million orphans held by libraries and archives. </w:t>
      </w:r>
    </w:p>
    <w:p w14:paraId="38D4FD3C" w14:textId="77777777" w:rsidR="00DB672A" w:rsidRPr="00124E7F" w:rsidRDefault="00DB672A" w:rsidP="00B13A4A">
      <w:pPr>
        <w:pStyle w:val="EYHeading4"/>
      </w:pPr>
      <w:r w:rsidRPr="00124E7F">
        <w:t xml:space="preserve">Cost of searching </w:t>
      </w:r>
    </w:p>
    <w:p w14:paraId="5E03CB80" w14:textId="77777777" w:rsidR="00DB672A" w:rsidRPr="00124E7F" w:rsidRDefault="00DB672A" w:rsidP="00023832">
      <w:pPr>
        <w:pStyle w:val="EYBodytextwithparaspace"/>
      </w:pPr>
      <w:r w:rsidRPr="00124E7F">
        <w:t>To establish the costs of undertaking a diligent search, we take assumptions used by the Intellectual Property Office, informing its own impact assessment of the UK’s orphan works system (</w:t>
      </w:r>
      <w:r w:rsidR="00B13A4A" w:rsidRPr="00124E7F">
        <w:t xml:space="preserve">Table </w:t>
      </w:r>
      <w:r w:rsidR="00B13A4A" w:rsidRPr="00124E7F">
        <w:fldChar w:fldCharType="begin"/>
      </w:r>
      <w:r w:rsidR="00B13A4A" w:rsidRPr="00124E7F">
        <w:instrText xml:space="preserve"> REF table14 \h </w:instrText>
      </w:r>
      <w:r w:rsidR="00B13A4A" w:rsidRPr="00124E7F">
        <w:fldChar w:fldCharType="separate"/>
      </w:r>
      <w:r w:rsidR="0075700D">
        <w:rPr>
          <w:noProof/>
        </w:rPr>
        <w:t>14</w:t>
      </w:r>
      <w:r w:rsidR="00B13A4A" w:rsidRPr="00124E7F">
        <w:fldChar w:fldCharType="end"/>
      </w:r>
      <w:r w:rsidRPr="00124E7F">
        <w:t>).</w:t>
      </w:r>
      <w:r w:rsidRPr="00124E7F">
        <w:rPr>
          <w:vertAlign w:val="superscript"/>
        </w:rPr>
        <w:footnoteReference w:id="211"/>
      </w:r>
      <w:r w:rsidRPr="00124E7F">
        <w:t xml:space="preserve"> Given the absence of a breakdown of orphan works by content type, we use the average search time of 3.2 hours per item. To get an hourly cost of </w:t>
      </w:r>
      <w:proofErr w:type="spellStart"/>
      <w:r w:rsidRPr="00124E7F">
        <w:t>labour</w:t>
      </w:r>
      <w:proofErr w:type="spellEnd"/>
      <w:r w:rsidRPr="00124E7F">
        <w:t xml:space="preserve"> we use the 2014 Survey of Employee Earnings and Hours for administrative and support services, inflated by the Wage Price Index.</w:t>
      </w:r>
    </w:p>
    <w:p w14:paraId="4A7E1E00" w14:textId="55ABCB6A" w:rsidR="00754476" w:rsidRPr="00124E7F" w:rsidRDefault="00754476" w:rsidP="00754476">
      <w:pPr>
        <w:pStyle w:val="Caption"/>
      </w:pPr>
      <w:bookmarkStart w:id="178" w:name="_Ref445991819"/>
      <w:r w:rsidRPr="00124E7F">
        <w:t xml:space="preserve">Table </w:t>
      </w:r>
      <w:bookmarkStart w:id="179" w:name="table12"/>
      <w:bookmarkStart w:id="180" w:name="table14"/>
      <w:r w:rsidRPr="00124E7F">
        <w:fldChar w:fldCharType="begin"/>
      </w:r>
      <w:r w:rsidRPr="00124E7F">
        <w:instrText xml:space="preserve"> SEQ Table \* ARABIC </w:instrText>
      </w:r>
      <w:r w:rsidRPr="00124E7F">
        <w:fldChar w:fldCharType="separate"/>
      </w:r>
      <w:r w:rsidR="0075700D">
        <w:rPr>
          <w:noProof/>
        </w:rPr>
        <w:t>14</w:t>
      </w:r>
      <w:r w:rsidRPr="00124E7F">
        <w:fldChar w:fldCharType="end"/>
      </w:r>
      <w:bookmarkEnd w:id="178"/>
      <w:bookmarkEnd w:id="179"/>
      <w:bookmarkEnd w:id="180"/>
      <w:r w:rsidRPr="00124E7F">
        <w:t>: Estimated hours to undertake a diligent</w:t>
      </w:r>
      <w:r w:rsidR="00A279A3" w:rsidRPr="00124E7F">
        <w:t xml:space="preserve"> search</w:t>
      </w:r>
    </w:p>
    <w:tbl>
      <w:tblPr>
        <w:tblStyle w:val="LightList-Accent3"/>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Caption w:val="Table 14: Estimated hours to undertake a diligent search"/>
        <w:tblDescription w:val="The table provides a high and low estimate of the time taken to undertake a diligent search by content type as follows:&#10;&#10;TV and Radio&#10;• Low estimate: 3.3 hours to clear&#10;• High estimate: 6.5 hours to clear&#10;&#10;Still photos: 3.5 hours to clear&#10;&#10;Sundry items&#10;• Low estimate: 1.0 hours to clear&#10;• High estimate: 3.5 hours to clear&#10;&#10;Newspapers: 3.5 hours to clear&#10;&#10;Books&#10;• Low estimate: 1.0 hours to clear&#10;• High estimate: 3.5 hours to clear&#10;&#10;The data was sourced from the UK Intellectual Property Office &#10;"/>
      </w:tblPr>
      <w:tblGrid>
        <w:gridCol w:w="3009"/>
        <w:gridCol w:w="3010"/>
        <w:gridCol w:w="3010"/>
      </w:tblGrid>
      <w:tr w:rsidR="00B86CFA" w:rsidRPr="00124E7F" w14:paraId="16251E90" w14:textId="77777777" w:rsidTr="00202E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6" w:type="pct"/>
            <w:tcBorders>
              <w:top w:val="nil"/>
              <w:left w:val="nil"/>
              <w:bottom w:val="single" w:sz="4" w:space="0" w:color="808080" w:themeColor="background1" w:themeShade="80"/>
              <w:right w:val="nil"/>
            </w:tcBorders>
            <w:shd w:val="clear" w:color="auto" w:fill="F0F0F0" w:themeFill="accent4"/>
          </w:tcPr>
          <w:p w14:paraId="6351C42F" w14:textId="77777777" w:rsidR="00B86CFA" w:rsidRPr="00124E7F" w:rsidRDefault="00B86CFA" w:rsidP="000869A3">
            <w:pPr>
              <w:keepNext/>
              <w:keepLines/>
              <w:widowControl/>
              <w:jc w:val="both"/>
              <w:rPr>
                <w:b w:val="0"/>
                <w:bCs w:val="0"/>
                <w:szCs w:val="22"/>
              </w:rPr>
            </w:pPr>
            <w:r w:rsidRPr="00124E7F">
              <w:rPr>
                <w:color w:val="auto"/>
                <w:szCs w:val="22"/>
              </w:rPr>
              <w:t>Content</w:t>
            </w:r>
          </w:p>
        </w:tc>
        <w:tc>
          <w:tcPr>
            <w:tcW w:w="1667" w:type="pct"/>
            <w:tcBorders>
              <w:top w:val="nil"/>
              <w:left w:val="nil"/>
              <w:bottom w:val="single" w:sz="4" w:space="0" w:color="808080" w:themeColor="background1" w:themeShade="80"/>
              <w:right w:val="nil"/>
            </w:tcBorders>
            <w:shd w:val="clear" w:color="auto" w:fill="F0F0F0" w:themeFill="accent4"/>
          </w:tcPr>
          <w:p w14:paraId="52E02547" w14:textId="77777777" w:rsidR="00B86CFA" w:rsidRPr="00124E7F" w:rsidRDefault="00B86CFA" w:rsidP="000869A3">
            <w:pPr>
              <w:keepNext/>
              <w:keepLines/>
              <w:widowControl/>
              <w:jc w:val="both"/>
              <w:cnfStyle w:val="100000000000" w:firstRow="1" w:lastRow="0" w:firstColumn="0" w:lastColumn="0" w:oddVBand="0" w:evenVBand="0" w:oddHBand="0" w:evenHBand="0" w:firstRowFirstColumn="0" w:firstRowLastColumn="0" w:lastRowFirstColumn="0" w:lastRowLastColumn="0"/>
              <w:rPr>
                <w:color w:val="auto"/>
                <w:szCs w:val="22"/>
              </w:rPr>
            </w:pPr>
          </w:p>
        </w:tc>
        <w:tc>
          <w:tcPr>
            <w:tcW w:w="1667" w:type="pct"/>
            <w:tcBorders>
              <w:top w:val="nil"/>
              <w:left w:val="nil"/>
              <w:bottom w:val="single" w:sz="4" w:space="0" w:color="808080" w:themeColor="background1" w:themeShade="80"/>
              <w:right w:val="nil"/>
            </w:tcBorders>
            <w:shd w:val="clear" w:color="auto" w:fill="F0F0F0" w:themeFill="accent4"/>
          </w:tcPr>
          <w:p w14:paraId="7C02E556" w14:textId="77777777" w:rsidR="00B86CFA" w:rsidRPr="00124E7F" w:rsidRDefault="00B86CFA" w:rsidP="00754476">
            <w:pPr>
              <w:keepNext/>
              <w:keepLines/>
              <w:widowControl/>
              <w:jc w:val="right"/>
              <w:cnfStyle w:val="100000000000" w:firstRow="1" w:lastRow="0" w:firstColumn="0" w:lastColumn="0" w:oddVBand="0" w:evenVBand="0" w:oddHBand="0" w:evenHBand="0" w:firstRowFirstColumn="0" w:firstRowLastColumn="0" w:lastRowFirstColumn="0" w:lastRowLastColumn="0"/>
              <w:rPr>
                <w:color w:val="auto"/>
                <w:szCs w:val="22"/>
              </w:rPr>
            </w:pPr>
            <w:r w:rsidRPr="00124E7F">
              <w:rPr>
                <w:color w:val="auto"/>
                <w:szCs w:val="22"/>
              </w:rPr>
              <w:t>Hours to clear</w:t>
            </w:r>
          </w:p>
        </w:tc>
      </w:tr>
      <w:tr w:rsidR="00B86CFA" w:rsidRPr="00124E7F" w14:paraId="1C7E10FE" w14:textId="77777777" w:rsidTr="00F837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Borders>
              <w:left w:val="nil"/>
              <w:right w:val="nil"/>
            </w:tcBorders>
            <w:vAlign w:val="center"/>
          </w:tcPr>
          <w:p w14:paraId="291239C7" w14:textId="77777777" w:rsidR="00B86CFA" w:rsidRPr="00124E7F" w:rsidRDefault="00B86CFA" w:rsidP="000869A3">
            <w:pPr>
              <w:keepNext/>
              <w:keepLines/>
              <w:widowControl/>
              <w:rPr>
                <w:szCs w:val="22"/>
              </w:rPr>
            </w:pPr>
            <w:r w:rsidRPr="00124E7F">
              <w:rPr>
                <w:szCs w:val="22"/>
              </w:rPr>
              <w:t>TV &amp; radio</w:t>
            </w:r>
          </w:p>
        </w:tc>
        <w:tc>
          <w:tcPr>
            <w:tcW w:w="1667" w:type="pct"/>
            <w:tcBorders>
              <w:top w:val="single" w:sz="4" w:space="0" w:color="808080" w:themeColor="background1" w:themeShade="80"/>
              <w:left w:val="nil"/>
              <w:bottom w:val="single" w:sz="4" w:space="0" w:color="808080" w:themeColor="background1" w:themeShade="80"/>
              <w:right w:val="nil"/>
            </w:tcBorders>
          </w:tcPr>
          <w:p w14:paraId="3B3F5B5D" w14:textId="77777777" w:rsidR="00B86CFA" w:rsidRPr="00124E7F" w:rsidRDefault="00B86CFA" w:rsidP="000869A3">
            <w:pPr>
              <w:keepNext/>
              <w:keepLines/>
              <w:widowControl/>
              <w:jc w:val="both"/>
              <w:cnfStyle w:val="000000100000" w:firstRow="0" w:lastRow="0" w:firstColumn="0" w:lastColumn="0" w:oddVBand="0" w:evenVBand="0" w:oddHBand="1" w:evenHBand="0" w:firstRowFirstColumn="0" w:firstRowLastColumn="0" w:lastRowFirstColumn="0" w:lastRowLastColumn="0"/>
              <w:rPr>
                <w:szCs w:val="22"/>
              </w:rPr>
            </w:pPr>
            <w:r w:rsidRPr="00124E7F">
              <w:rPr>
                <w:szCs w:val="22"/>
              </w:rPr>
              <w:t>Low estimate</w:t>
            </w:r>
          </w:p>
        </w:tc>
        <w:tc>
          <w:tcPr>
            <w:tcW w:w="1667" w:type="pct"/>
            <w:tcBorders>
              <w:top w:val="single" w:sz="4" w:space="0" w:color="808080" w:themeColor="background1" w:themeShade="80"/>
              <w:left w:val="nil"/>
              <w:bottom w:val="single" w:sz="4" w:space="0" w:color="808080" w:themeColor="background1" w:themeShade="80"/>
              <w:right w:val="nil"/>
            </w:tcBorders>
          </w:tcPr>
          <w:p w14:paraId="08A0D0FC" w14:textId="77777777" w:rsidR="00B86CFA" w:rsidRPr="00124E7F" w:rsidRDefault="00B86CFA" w:rsidP="000869A3">
            <w:pPr>
              <w:keepNext/>
              <w:keepLines/>
              <w:widowControl/>
              <w:jc w:val="right"/>
              <w:cnfStyle w:val="000000100000" w:firstRow="0" w:lastRow="0" w:firstColumn="0" w:lastColumn="0" w:oddVBand="0" w:evenVBand="0" w:oddHBand="1" w:evenHBand="0" w:firstRowFirstColumn="0" w:firstRowLastColumn="0" w:lastRowFirstColumn="0" w:lastRowLastColumn="0"/>
              <w:rPr>
                <w:szCs w:val="22"/>
              </w:rPr>
            </w:pPr>
            <w:r w:rsidRPr="00124E7F">
              <w:rPr>
                <w:szCs w:val="22"/>
              </w:rPr>
              <w:t>3.3</w:t>
            </w:r>
          </w:p>
        </w:tc>
      </w:tr>
      <w:tr w:rsidR="00B86CFA" w:rsidRPr="00124E7F" w14:paraId="7D5B58AB" w14:textId="77777777" w:rsidTr="00F83736">
        <w:tc>
          <w:tcPr>
            <w:cnfStyle w:val="001000000000" w:firstRow="0" w:lastRow="0" w:firstColumn="1" w:lastColumn="0" w:oddVBand="0" w:evenVBand="0" w:oddHBand="0" w:evenHBand="0" w:firstRowFirstColumn="0" w:firstRowLastColumn="0" w:lastRowFirstColumn="0" w:lastRowLastColumn="0"/>
            <w:tcW w:w="1666" w:type="pct"/>
            <w:tcBorders>
              <w:left w:val="nil"/>
              <w:bottom w:val="single" w:sz="8" w:space="0" w:color="999999" w:themeColor="accent3"/>
              <w:right w:val="nil"/>
            </w:tcBorders>
            <w:vAlign w:val="center"/>
          </w:tcPr>
          <w:p w14:paraId="2B5E91A7" w14:textId="77777777" w:rsidR="00B86CFA" w:rsidRPr="00124E7F" w:rsidRDefault="00B86CFA" w:rsidP="000869A3">
            <w:pPr>
              <w:keepNext/>
              <w:keepLines/>
              <w:widowControl/>
              <w:rPr>
                <w:szCs w:val="22"/>
              </w:rPr>
            </w:pPr>
            <w:r w:rsidRPr="00124E7F">
              <w:rPr>
                <w:szCs w:val="22"/>
              </w:rPr>
              <w:t>TV &amp; radio</w:t>
            </w:r>
          </w:p>
        </w:tc>
        <w:tc>
          <w:tcPr>
            <w:tcW w:w="1667" w:type="pct"/>
            <w:tcBorders>
              <w:top w:val="single" w:sz="4" w:space="0" w:color="808080" w:themeColor="background1" w:themeShade="80"/>
              <w:left w:val="nil"/>
              <w:bottom w:val="single" w:sz="4" w:space="0" w:color="808080" w:themeColor="background1" w:themeShade="80"/>
              <w:right w:val="nil"/>
            </w:tcBorders>
          </w:tcPr>
          <w:p w14:paraId="6606820A" w14:textId="77777777" w:rsidR="00B86CFA" w:rsidRPr="00124E7F" w:rsidRDefault="00B86CFA" w:rsidP="000869A3">
            <w:pPr>
              <w:keepNext/>
              <w:keepLines/>
              <w:widowControl/>
              <w:jc w:val="both"/>
              <w:cnfStyle w:val="000000000000" w:firstRow="0" w:lastRow="0" w:firstColumn="0" w:lastColumn="0" w:oddVBand="0" w:evenVBand="0" w:oddHBand="0" w:evenHBand="0" w:firstRowFirstColumn="0" w:firstRowLastColumn="0" w:lastRowFirstColumn="0" w:lastRowLastColumn="0"/>
              <w:rPr>
                <w:szCs w:val="22"/>
              </w:rPr>
            </w:pPr>
            <w:r w:rsidRPr="00124E7F">
              <w:rPr>
                <w:szCs w:val="22"/>
              </w:rPr>
              <w:t>High estimate</w:t>
            </w:r>
          </w:p>
        </w:tc>
        <w:tc>
          <w:tcPr>
            <w:tcW w:w="1667" w:type="pct"/>
            <w:tcBorders>
              <w:top w:val="single" w:sz="4" w:space="0" w:color="808080" w:themeColor="background1" w:themeShade="80"/>
              <w:left w:val="nil"/>
              <w:bottom w:val="single" w:sz="4" w:space="0" w:color="808080" w:themeColor="background1" w:themeShade="80"/>
              <w:right w:val="nil"/>
            </w:tcBorders>
          </w:tcPr>
          <w:p w14:paraId="22B7B9B0" w14:textId="77777777" w:rsidR="00B86CFA" w:rsidRPr="00124E7F" w:rsidRDefault="00B86CFA" w:rsidP="000869A3">
            <w:pPr>
              <w:keepNext/>
              <w:keepLines/>
              <w:widowControl/>
              <w:jc w:val="right"/>
              <w:cnfStyle w:val="000000000000" w:firstRow="0" w:lastRow="0" w:firstColumn="0" w:lastColumn="0" w:oddVBand="0" w:evenVBand="0" w:oddHBand="0" w:evenHBand="0" w:firstRowFirstColumn="0" w:firstRowLastColumn="0" w:lastRowFirstColumn="0" w:lastRowLastColumn="0"/>
              <w:rPr>
                <w:szCs w:val="22"/>
              </w:rPr>
            </w:pPr>
            <w:r w:rsidRPr="00124E7F">
              <w:rPr>
                <w:szCs w:val="22"/>
              </w:rPr>
              <w:t>6.5</w:t>
            </w:r>
          </w:p>
        </w:tc>
      </w:tr>
      <w:tr w:rsidR="004213AE" w:rsidRPr="00124E7F" w14:paraId="70DA0C32" w14:textId="77777777" w:rsidTr="00202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Borders>
              <w:left w:val="nil"/>
              <w:right w:val="nil"/>
            </w:tcBorders>
            <w:vAlign w:val="center"/>
          </w:tcPr>
          <w:p w14:paraId="3465A01E" w14:textId="77777777" w:rsidR="00DB672A" w:rsidRPr="00124E7F" w:rsidRDefault="00DB672A" w:rsidP="000869A3">
            <w:pPr>
              <w:keepNext/>
              <w:keepLines/>
              <w:widowControl/>
              <w:rPr>
                <w:szCs w:val="22"/>
              </w:rPr>
            </w:pPr>
            <w:r w:rsidRPr="00124E7F">
              <w:rPr>
                <w:szCs w:val="22"/>
              </w:rPr>
              <w:t>Still photos</w:t>
            </w:r>
          </w:p>
        </w:tc>
        <w:tc>
          <w:tcPr>
            <w:tcW w:w="1667" w:type="pct"/>
            <w:tcBorders>
              <w:top w:val="single" w:sz="4" w:space="0" w:color="808080" w:themeColor="background1" w:themeShade="80"/>
              <w:left w:val="nil"/>
              <w:bottom w:val="single" w:sz="4" w:space="0" w:color="808080" w:themeColor="background1" w:themeShade="80"/>
              <w:right w:val="nil"/>
            </w:tcBorders>
          </w:tcPr>
          <w:p w14:paraId="39BC6C73" w14:textId="77777777" w:rsidR="00DB672A" w:rsidRPr="00124E7F" w:rsidRDefault="00DB672A" w:rsidP="000869A3">
            <w:pPr>
              <w:keepNext/>
              <w:keepLines/>
              <w:widowControl/>
              <w:jc w:val="both"/>
              <w:cnfStyle w:val="000000100000" w:firstRow="0" w:lastRow="0" w:firstColumn="0" w:lastColumn="0" w:oddVBand="0" w:evenVBand="0" w:oddHBand="1" w:evenHBand="0" w:firstRowFirstColumn="0" w:firstRowLastColumn="0" w:lastRowFirstColumn="0" w:lastRowLastColumn="0"/>
              <w:rPr>
                <w:szCs w:val="22"/>
              </w:rPr>
            </w:pPr>
          </w:p>
        </w:tc>
        <w:tc>
          <w:tcPr>
            <w:tcW w:w="1667" w:type="pct"/>
            <w:tcBorders>
              <w:top w:val="single" w:sz="4" w:space="0" w:color="808080" w:themeColor="background1" w:themeShade="80"/>
              <w:left w:val="nil"/>
              <w:bottom w:val="single" w:sz="4" w:space="0" w:color="808080" w:themeColor="background1" w:themeShade="80"/>
              <w:right w:val="nil"/>
            </w:tcBorders>
          </w:tcPr>
          <w:p w14:paraId="0C99518B" w14:textId="77777777" w:rsidR="00DB672A" w:rsidRPr="00124E7F" w:rsidRDefault="00DB672A" w:rsidP="000869A3">
            <w:pPr>
              <w:keepNext/>
              <w:keepLines/>
              <w:widowControl/>
              <w:jc w:val="right"/>
              <w:cnfStyle w:val="000000100000" w:firstRow="0" w:lastRow="0" w:firstColumn="0" w:lastColumn="0" w:oddVBand="0" w:evenVBand="0" w:oddHBand="1" w:evenHBand="0" w:firstRowFirstColumn="0" w:firstRowLastColumn="0" w:lastRowFirstColumn="0" w:lastRowLastColumn="0"/>
              <w:rPr>
                <w:szCs w:val="22"/>
              </w:rPr>
            </w:pPr>
            <w:r w:rsidRPr="00124E7F">
              <w:rPr>
                <w:szCs w:val="22"/>
              </w:rPr>
              <w:t>3.5</w:t>
            </w:r>
          </w:p>
        </w:tc>
      </w:tr>
      <w:tr w:rsidR="004213AE" w:rsidRPr="00124E7F" w14:paraId="6E3D293D" w14:textId="77777777" w:rsidTr="00B86CFA">
        <w:tc>
          <w:tcPr>
            <w:cnfStyle w:val="001000000000" w:firstRow="0" w:lastRow="0" w:firstColumn="1" w:lastColumn="0" w:oddVBand="0" w:evenVBand="0" w:oddHBand="0" w:evenHBand="0" w:firstRowFirstColumn="0" w:firstRowLastColumn="0" w:lastRowFirstColumn="0" w:lastRowLastColumn="0"/>
            <w:tcW w:w="1666" w:type="pct"/>
            <w:tcBorders>
              <w:left w:val="nil"/>
              <w:right w:val="nil"/>
            </w:tcBorders>
            <w:vAlign w:val="center"/>
          </w:tcPr>
          <w:p w14:paraId="7812DE09" w14:textId="77777777" w:rsidR="00DB672A" w:rsidRPr="00124E7F" w:rsidRDefault="00DB672A" w:rsidP="000869A3">
            <w:pPr>
              <w:keepNext/>
              <w:keepLines/>
              <w:widowControl/>
              <w:rPr>
                <w:szCs w:val="22"/>
              </w:rPr>
            </w:pPr>
            <w:r w:rsidRPr="00124E7F">
              <w:rPr>
                <w:szCs w:val="22"/>
              </w:rPr>
              <w:t>Sundry items</w:t>
            </w:r>
          </w:p>
        </w:tc>
        <w:tc>
          <w:tcPr>
            <w:tcW w:w="1667" w:type="pct"/>
            <w:tcBorders>
              <w:top w:val="single" w:sz="4" w:space="0" w:color="808080" w:themeColor="background1" w:themeShade="80"/>
              <w:left w:val="nil"/>
              <w:bottom w:val="single" w:sz="4" w:space="0" w:color="808080" w:themeColor="background1" w:themeShade="80"/>
              <w:right w:val="nil"/>
            </w:tcBorders>
          </w:tcPr>
          <w:p w14:paraId="06DCF37D" w14:textId="77777777" w:rsidR="00DB672A" w:rsidRPr="00124E7F" w:rsidRDefault="00DB672A" w:rsidP="000869A3">
            <w:pPr>
              <w:keepNext/>
              <w:keepLines/>
              <w:widowControl/>
              <w:jc w:val="both"/>
              <w:cnfStyle w:val="000000000000" w:firstRow="0" w:lastRow="0" w:firstColumn="0" w:lastColumn="0" w:oddVBand="0" w:evenVBand="0" w:oddHBand="0" w:evenHBand="0" w:firstRowFirstColumn="0" w:firstRowLastColumn="0" w:lastRowFirstColumn="0" w:lastRowLastColumn="0"/>
              <w:rPr>
                <w:szCs w:val="22"/>
              </w:rPr>
            </w:pPr>
            <w:r w:rsidRPr="00124E7F">
              <w:rPr>
                <w:szCs w:val="22"/>
              </w:rPr>
              <w:t>Low estimate</w:t>
            </w:r>
          </w:p>
        </w:tc>
        <w:tc>
          <w:tcPr>
            <w:tcW w:w="1667" w:type="pct"/>
            <w:tcBorders>
              <w:top w:val="single" w:sz="4" w:space="0" w:color="808080" w:themeColor="background1" w:themeShade="80"/>
              <w:left w:val="nil"/>
              <w:bottom w:val="single" w:sz="4" w:space="0" w:color="808080" w:themeColor="background1" w:themeShade="80"/>
              <w:right w:val="nil"/>
            </w:tcBorders>
          </w:tcPr>
          <w:p w14:paraId="6575AB65" w14:textId="77777777" w:rsidR="00DB672A" w:rsidRPr="00124E7F" w:rsidRDefault="00DB672A" w:rsidP="000869A3">
            <w:pPr>
              <w:keepNext/>
              <w:keepLines/>
              <w:widowControl/>
              <w:jc w:val="right"/>
              <w:cnfStyle w:val="000000000000" w:firstRow="0" w:lastRow="0" w:firstColumn="0" w:lastColumn="0" w:oddVBand="0" w:evenVBand="0" w:oddHBand="0" w:evenHBand="0" w:firstRowFirstColumn="0" w:firstRowLastColumn="0" w:lastRowFirstColumn="0" w:lastRowLastColumn="0"/>
              <w:rPr>
                <w:szCs w:val="22"/>
              </w:rPr>
            </w:pPr>
            <w:r w:rsidRPr="00124E7F">
              <w:rPr>
                <w:szCs w:val="22"/>
              </w:rPr>
              <w:t>1.0</w:t>
            </w:r>
          </w:p>
        </w:tc>
      </w:tr>
      <w:tr w:rsidR="004213AE" w:rsidRPr="00124E7F" w14:paraId="568BDF25" w14:textId="77777777" w:rsidTr="00B86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Borders>
              <w:left w:val="nil"/>
              <w:right w:val="nil"/>
            </w:tcBorders>
            <w:vAlign w:val="center"/>
          </w:tcPr>
          <w:p w14:paraId="3B640A69" w14:textId="77777777" w:rsidR="00DB672A" w:rsidRPr="00124E7F" w:rsidRDefault="00B86CFA" w:rsidP="000869A3">
            <w:pPr>
              <w:keepNext/>
              <w:keepLines/>
              <w:widowControl/>
              <w:rPr>
                <w:szCs w:val="22"/>
              </w:rPr>
            </w:pPr>
            <w:r w:rsidRPr="00124E7F">
              <w:rPr>
                <w:szCs w:val="22"/>
              </w:rPr>
              <w:t>Sundry items</w:t>
            </w:r>
          </w:p>
        </w:tc>
        <w:tc>
          <w:tcPr>
            <w:tcW w:w="1667" w:type="pct"/>
            <w:tcBorders>
              <w:top w:val="single" w:sz="4" w:space="0" w:color="808080" w:themeColor="background1" w:themeShade="80"/>
              <w:left w:val="nil"/>
              <w:bottom w:val="single" w:sz="4" w:space="0" w:color="808080" w:themeColor="background1" w:themeShade="80"/>
              <w:right w:val="nil"/>
            </w:tcBorders>
          </w:tcPr>
          <w:p w14:paraId="07F044BA" w14:textId="77777777" w:rsidR="00DB672A" w:rsidRPr="00124E7F" w:rsidRDefault="00DB672A" w:rsidP="000869A3">
            <w:pPr>
              <w:keepNext/>
              <w:keepLines/>
              <w:widowControl/>
              <w:jc w:val="both"/>
              <w:cnfStyle w:val="000000100000" w:firstRow="0" w:lastRow="0" w:firstColumn="0" w:lastColumn="0" w:oddVBand="0" w:evenVBand="0" w:oddHBand="1" w:evenHBand="0" w:firstRowFirstColumn="0" w:firstRowLastColumn="0" w:lastRowFirstColumn="0" w:lastRowLastColumn="0"/>
              <w:rPr>
                <w:szCs w:val="22"/>
              </w:rPr>
            </w:pPr>
            <w:r w:rsidRPr="00124E7F">
              <w:rPr>
                <w:szCs w:val="22"/>
              </w:rPr>
              <w:t>High estimate</w:t>
            </w:r>
          </w:p>
        </w:tc>
        <w:tc>
          <w:tcPr>
            <w:tcW w:w="1667" w:type="pct"/>
            <w:tcBorders>
              <w:top w:val="single" w:sz="4" w:space="0" w:color="808080" w:themeColor="background1" w:themeShade="80"/>
              <w:left w:val="nil"/>
              <w:bottom w:val="single" w:sz="4" w:space="0" w:color="808080" w:themeColor="background1" w:themeShade="80"/>
              <w:right w:val="nil"/>
            </w:tcBorders>
          </w:tcPr>
          <w:p w14:paraId="27893A3C" w14:textId="77777777" w:rsidR="00DB672A" w:rsidRPr="00124E7F" w:rsidRDefault="00DB672A" w:rsidP="000869A3">
            <w:pPr>
              <w:keepNext/>
              <w:keepLines/>
              <w:widowControl/>
              <w:jc w:val="right"/>
              <w:cnfStyle w:val="000000100000" w:firstRow="0" w:lastRow="0" w:firstColumn="0" w:lastColumn="0" w:oddVBand="0" w:evenVBand="0" w:oddHBand="1" w:evenHBand="0" w:firstRowFirstColumn="0" w:firstRowLastColumn="0" w:lastRowFirstColumn="0" w:lastRowLastColumn="0"/>
              <w:rPr>
                <w:szCs w:val="22"/>
              </w:rPr>
            </w:pPr>
            <w:r w:rsidRPr="00124E7F">
              <w:rPr>
                <w:szCs w:val="22"/>
              </w:rPr>
              <w:t>3.5</w:t>
            </w:r>
          </w:p>
        </w:tc>
      </w:tr>
      <w:tr w:rsidR="004213AE" w:rsidRPr="00124E7F" w14:paraId="4178DA1D" w14:textId="77777777" w:rsidTr="00202E68">
        <w:tc>
          <w:tcPr>
            <w:cnfStyle w:val="001000000000" w:firstRow="0" w:lastRow="0" w:firstColumn="1" w:lastColumn="0" w:oddVBand="0" w:evenVBand="0" w:oddHBand="0" w:evenHBand="0" w:firstRowFirstColumn="0" w:firstRowLastColumn="0" w:lastRowFirstColumn="0" w:lastRowLastColumn="0"/>
            <w:tcW w:w="1666" w:type="pct"/>
            <w:tcBorders>
              <w:left w:val="nil"/>
              <w:right w:val="nil"/>
            </w:tcBorders>
            <w:vAlign w:val="center"/>
          </w:tcPr>
          <w:p w14:paraId="4EFC75FE" w14:textId="77777777" w:rsidR="00DB672A" w:rsidRPr="00124E7F" w:rsidRDefault="00DB672A" w:rsidP="000869A3">
            <w:pPr>
              <w:keepNext/>
              <w:keepLines/>
              <w:widowControl/>
              <w:rPr>
                <w:szCs w:val="22"/>
              </w:rPr>
            </w:pPr>
            <w:r w:rsidRPr="00124E7F">
              <w:rPr>
                <w:szCs w:val="22"/>
              </w:rPr>
              <w:t>Newspapers</w:t>
            </w:r>
          </w:p>
        </w:tc>
        <w:tc>
          <w:tcPr>
            <w:tcW w:w="1667" w:type="pct"/>
            <w:tcBorders>
              <w:top w:val="single" w:sz="4" w:space="0" w:color="808080" w:themeColor="background1" w:themeShade="80"/>
              <w:left w:val="nil"/>
              <w:bottom w:val="single" w:sz="4" w:space="0" w:color="808080" w:themeColor="background1" w:themeShade="80"/>
              <w:right w:val="nil"/>
            </w:tcBorders>
          </w:tcPr>
          <w:p w14:paraId="46476C29" w14:textId="77777777" w:rsidR="00DB672A" w:rsidRPr="00124E7F" w:rsidRDefault="00DB672A" w:rsidP="000869A3">
            <w:pPr>
              <w:keepNext/>
              <w:keepLines/>
              <w:widowControl/>
              <w:jc w:val="both"/>
              <w:cnfStyle w:val="000000000000" w:firstRow="0" w:lastRow="0" w:firstColumn="0" w:lastColumn="0" w:oddVBand="0" w:evenVBand="0" w:oddHBand="0" w:evenHBand="0" w:firstRowFirstColumn="0" w:firstRowLastColumn="0" w:lastRowFirstColumn="0" w:lastRowLastColumn="0"/>
              <w:rPr>
                <w:szCs w:val="22"/>
              </w:rPr>
            </w:pPr>
          </w:p>
        </w:tc>
        <w:tc>
          <w:tcPr>
            <w:tcW w:w="1667" w:type="pct"/>
            <w:tcBorders>
              <w:top w:val="single" w:sz="4" w:space="0" w:color="808080" w:themeColor="background1" w:themeShade="80"/>
              <w:left w:val="nil"/>
              <w:bottom w:val="single" w:sz="4" w:space="0" w:color="808080" w:themeColor="background1" w:themeShade="80"/>
              <w:right w:val="nil"/>
            </w:tcBorders>
          </w:tcPr>
          <w:p w14:paraId="3D0D4766" w14:textId="77777777" w:rsidR="00DB672A" w:rsidRPr="00124E7F" w:rsidRDefault="00DB672A" w:rsidP="000869A3">
            <w:pPr>
              <w:keepNext/>
              <w:keepLines/>
              <w:widowControl/>
              <w:jc w:val="right"/>
              <w:cnfStyle w:val="000000000000" w:firstRow="0" w:lastRow="0" w:firstColumn="0" w:lastColumn="0" w:oddVBand="0" w:evenVBand="0" w:oddHBand="0" w:evenHBand="0" w:firstRowFirstColumn="0" w:firstRowLastColumn="0" w:lastRowFirstColumn="0" w:lastRowLastColumn="0"/>
              <w:rPr>
                <w:szCs w:val="22"/>
              </w:rPr>
            </w:pPr>
            <w:r w:rsidRPr="00124E7F">
              <w:rPr>
                <w:szCs w:val="22"/>
              </w:rPr>
              <w:t>3.5</w:t>
            </w:r>
          </w:p>
        </w:tc>
      </w:tr>
      <w:tr w:rsidR="004213AE" w:rsidRPr="00124E7F" w14:paraId="0D07903E" w14:textId="77777777" w:rsidTr="00B86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Borders>
              <w:left w:val="nil"/>
              <w:right w:val="nil"/>
            </w:tcBorders>
            <w:vAlign w:val="center"/>
          </w:tcPr>
          <w:p w14:paraId="54545E01" w14:textId="77777777" w:rsidR="00DB672A" w:rsidRPr="00124E7F" w:rsidRDefault="00DB672A" w:rsidP="000869A3">
            <w:pPr>
              <w:keepNext/>
              <w:keepLines/>
              <w:widowControl/>
              <w:rPr>
                <w:szCs w:val="22"/>
              </w:rPr>
            </w:pPr>
            <w:r w:rsidRPr="00124E7F">
              <w:rPr>
                <w:szCs w:val="22"/>
              </w:rPr>
              <w:t>Books</w:t>
            </w:r>
          </w:p>
        </w:tc>
        <w:tc>
          <w:tcPr>
            <w:tcW w:w="1667" w:type="pct"/>
            <w:tcBorders>
              <w:top w:val="single" w:sz="4" w:space="0" w:color="808080" w:themeColor="background1" w:themeShade="80"/>
              <w:left w:val="nil"/>
              <w:bottom w:val="single" w:sz="4" w:space="0" w:color="808080" w:themeColor="background1" w:themeShade="80"/>
              <w:right w:val="nil"/>
            </w:tcBorders>
          </w:tcPr>
          <w:p w14:paraId="43A7338A" w14:textId="77777777" w:rsidR="00DB672A" w:rsidRPr="00124E7F" w:rsidRDefault="00DB672A" w:rsidP="000869A3">
            <w:pPr>
              <w:keepNext/>
              <w:keepLines/>
              <w:widowControl/>
              <w:jc w:val="both"/>
              <w:cnfStyle w:val="000000100000" w:firstRow="0" w:lastRow="0" w:firstColumn="0" w:lastColumn="0" w:oddVBand="0" w:evenVBand="0" w:oddHBand="1" w:evenHBand="0" w:firstRowFirstColumn="0" w:firstRowLastColumn="0" w:lastRowFirstColumn="0" w:lastRowLastColumn="0"/>
              <w:rPr>
                <w:szCs w:val="22"/>
              </w:rPr>
            </w:pPr>
            <w:r w:rsidRPr="00124E7F">
              <w:rPr>
                <w:szCs w:val="22"/>
              </w:rPr>
              <w:t>Low estimate</w:t>
            </w:r>
          </w:p>
        </w:tc>
        <w:tc>
          <w:tcPr>
            <w:tcW w:w="1667" w:type="pct"/>
            <w:tcBorders>
              <w:top w:val="single" w:sz="4" w:space="0" w:color="808080" w:themeColor="background1" w:themeShade="80"/>
              <w:left w:val="nil"/>
              <w:bottom w:val="single" w:sz="4" w:space="0" w:color="808080" w:themeColor="background1" w:themeShade="80"/>
              <w:right w:val="nil"/>
            </w:tcBorders>
          </w:tcPr>
          <w:p w14:paraId="0071138C" w14:textId="77777777" w:rsidR="00DB672A" w:rsidRPr="00124E7F" w:rsidRDefault="00DB672A" w:rsidP="000869A3">
            <w:pPr>
              <w:keepNext/>
              <w:keepLines/>
              <w:widowControl/>
              <w:jc w:val="right"/>
              <w:cnfStyle w:val="000000100000" w:firstRow="0" w:lastRow="0" w:firstColumn="0" w:lastColumn="0" w:oddVBand="0" w:evenVBand="0" w:oddHBand="1" w:evenHBand="0" w:firstRowFirstColumn="0" w:firstRowLastColumn="0" w:lastRowFirstColumn="0" w:lastRowLastColumn="0"/>
              <w:rPr>
                <w:szCs w:val="22"/>
              </w:rPr>
            </w:pPr>
            <w:r w:rsidRPr="00124E7F">
              <w:rPr>
                <w:szCs w:val="22"/>
              </w:rPr>
              <w:t>1.0</w:t>
            </w:r>
          </w:p>
        </w:tc>
      </w:tr>
      <w:tr w:rsidR="004213AE" w:rsidRPr="00124E7F" w14:paraId="12DE6CEB" w14:textId="77777777" w:rsidTr="00B86CFA">
        <w:tc>
          <w:tcPr>
            <w:cnfStyle w:val="001000000000" w:firstRow="0" w:lastRow="0" w:firstColumn="1" w:lastColumn="0" w:oddVBand="0" w:evenVBand="0" w:oddHBand="0" w:evenHBand="0" w:firstRowFirstColumn="0" w:firstRowLastColumn="0" w:lastRowFirstColumn="0" w:lastRowLastColumn="0"/>
            <w:tcW w:w="1666" w:type="pct"/>
            <w:tcBorders>
              <w:left w:val="nil"/>
              <w:bottom w:val="single" w:sz="4" w:space="0" w:color="808080" w:themeColor="background1" w:themeShade="80"/>
              <w:right w:val="nil"/>
            </w:tcBorders>
          </w:tcPr>
          <w:p w14:paraId="76355EB5" w14:textId="77777777" w:rsidR="00DB672A" w:rsidRPr="00124E7F" w:rsidRDefault="00B86CFA" w:rsidP="000869A3">
            <w:pPr>
              <w:keepNext/>
              <w:keepLines/>
              <w:widowControl/>
              <w:jc w:val="both"/>
              <w:rPr>
                <w:szCs w:val="22"/>
              </w:rPr>
            </w:pPr>
            <w:r w:rsidRPr="00124E7F">
              <w:rPr>
                <w:szCs w:val="22"/>
              </w:rPr>
              <w:t>Books</w:t>
            </w:r>
          </w:p>
        </w:tc>
        <w:tc>
          <w:tcPr>
            <w:tcW w:w="1667" w:type="pct"/>
            <w:tcBorders>
              <w:top w:val="single" w:sz="4" w:space="0" w:color="808080" w:themeColor="background1" w:themeShade="80"/>
              <w:left w:val="nil"/>
              <w:bottom w:val="single" w:sz="4" w:space="0" w:color="808080" w:themeColor="background1" w:themeShade="80"/>
              <w:right w:val="nil"/>
            </w:tcBorders>
          </w:tcPr>
          <w:p w14:paraId="787F3655" w14:textId="77777777" w:rsidR="00DB672A" w:rsidRPr="00124E7F" w:rsidRDefault="00DB672A" w:rsidP="000869A3">
            <w:pPr>
              <w:keepNext/>
              <w:keepLines/>
              <w:widowControl/>
              <w:jc w:val="both"/>
              <w:cnfStyle w:val="000000000000" w:firstRow="0" w:lastRow="0" w:firstColumn="0" w:lastColumn="0" w:oddVBand="0" w:evenVBand="0" w:oddHBand="0" w:evenHBand="0" w:firstRowFirstColumn="0" w:firstRowLastColumn="0" w:lastRowFirstColumn="0" w:lastRowLastColumn="0"/>
              <w:rPr>
                <w:szCs w:val="22"/>
              </w:rPr>
            </w:pPr>
            <w:r w:rsidRPr="00124E7F">
              <w:rPr>
                <w:szCs w:val="22"/>
              </w:rPr>
              <w:t>High estimate</w:t>
            </w:r>
          </w:p>
        </w:tc>
        <w:tc>
          <w:tcPr>
            <w:tcW w:w="1667" w:type="pct"/>
            <w:tcBorders>
              <w:top w:val="single" w:sz="4" w:space="0" w:color="808080" w:themeColor="background1" w:themeShade="80"/>
              <w:left w:val="nil"/>
              <w:bottom w:val="single" w:sz="4" w:space="0" w:color="808080" w:themeColor="background1" w:themeShade="80"/>
              <w:right w:val="nil"/>
            </w:tcBorders>
          </w:tcPr>
          <w:p w14:paraId="435444C1" w14:textId="77777777" w:rsidR="00DB672A" w:rsidRPr="00124E7F" w:rsidRDefault="00DB672A" w:rsidP="000869A3">
            <w:pPr>
              <w:keepNext/>
              <w:keepLines/>
              <w:widowControl/>
              <w:jc w:val="right"/>
              <w:cnfStyle w:val="000000000000" w:firstRow="0" w:lastRow="0" w:firstColumn="0" w:lastColumn="0" w:oddVBand="0" w:evenVBand="0" w:oddHBand="0" w:evenHBand="0" w:firstRowFirstColumn="0" w:firstRowLastColumn="0" w:lastRowFirstColumn="0" w:lastRowLastColumn="0"/>
              <w:rPr>
                <w:szCs w:val="22"/>
              </w:rPr>
            </w:pPr>
            <w:r w:rsidRPr="00124E7F">
              <w:rPr>
                <w:szCs w:val="22"/>
              </w:rPr>
              <w:t>3.5</w:t>
            </w:r>
          </w:p>
        </w:tc>
      </w:tr>
      <w:tr w:rsidR="00B86CFA" w:rsidRPr="00124E7F" w14:paraId="22378892" w14:textId="77777777" w:rsidTr="00202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08080" w:themeColor="background1" w:themeShade="80"/>
              <w:left w:val="nil"/>
              <w:bottom w:val="single" w:sz="4" w:space="0" w:color="808080" w:themeColor="background1" w:themeShade="80"/>
              <w:right w:val="nil"/>
            </w:tcBorders>
            <w:shd w:val="clear" w:color="auto" w:fill="EAEAEA" w:themeFill="accent3" w:themeFillTint="33"/>
          </w:tcPr>
          <w:p w14:paraId="7A052DD0" w14:textId="21251469" w:rsidR="00B86CFA" w:rsidRPr="00124E7F" w:rsidRDefault="00B86CFA" w:rsidP="000869A3">
            <w:pPr>
              <w:keepNext/>
              <w:keepLines/>
              <w:widowControl/>
              <w:jc w:val="right"/>
              <w:rPr>
                <w:b w:val="0"/>
                <w:bCs w:val="0"/>
                <w:szCs w:val="22"/>
              </w:rPr>
            </w:pPr>
          </w:p>
        </w:tc>
        <w:tc>
          <w:tcPr>
            <w:tcW w:w="1667" w:type="pct"/>
            <w:tcBorders>
              <w:top w:val="single" w:sz="4" w:space="0" w:color="808080" w:themeColor="background1" w:themeShade="80"/>
              <w:left w:val="nil"/>
              <w:bottom w:val="single" w:sz="4" w:space="0" w:color="808080" w:themeColor="background1" w:themeShade="80"/>
              <w:right w:val="nil"/>
            </w:tcBorders>
            <w:shd w:val="clear" w:color="auto" w:fill="EAEAEA" w:themeFill="accent3" w:themeFillTint="33"/>
          </w:tcPr>
          <w:p w14:paraId="33BB787A" w14:textId="77777777" w:rsidR="00B86CFA" w:rsidRPr="00202E68" w:rsidRDefault="00B86CFA" w:rsidP="000869A3">
            <w:pPr>
              <w:keepNext/>
              <w:keepLines/>
              <w:widowControl/>
              <w:jc w:val="right"/>
              <w:cnfStyle w:val="000000100000" w:firstRow="0" w:lastRow="0" w:firstColumn="0" w:lastColumn="0" w:oddVBand="0" w:evenVBand="0" w:oddHBand="1" w:evenHBand="0" w:firstRowFirstColumn="0" w:firstRowLastColumn="0" w:lastRowFirstColumn="0" w:lastRowLastColumn="0"/>
              <w:rPr>
                <w:b/>
                <w:szCs w:val="22"/>
              </w:rPr>
            </w:pPr>
            <w:r w:rsidRPr="00202E68">
              <w:rPr>
                <w:b/>
                <w:szCs w:val="22"/>
              </w:rPr>
              <w:t>Average</w:t>
            </w:r>
          </w:p>
        </w:tc>
        <w:tc>
          <w:tcPr>
            <w:tcW w:w="1667" w:type="pct"/>
            <w:tcBorders>
              <w:top w:val="single" w:sz="4" w:space="0" w:color="808080" w:themeColor="background1" w:themeShade="80"/>
              <w:left w:val="nil"/>
              <w:bottom w:val="single" w:sz="4" w:space="0" w:color="808080" w:themeColor="background1" w:themeShade="80"/>
              <w:right w:val="nil"/>
            </w:tcBorders>
            <w:shd w:val="clear" w:color="auto" w:fill="EAEAEA" w:themeFill="accent3" w:themeFillTint="33"/>
          </w:tcPr>
          <w:p w14:paraId="3A09BA29" w14:textId="77777777" w:rsidR="00B86CFA" w:rsidRPr="00124E7F" w:rsidRDefault="00B86CFA" w:rsidP="000869A3">
            <w:pPr>
              <w:keepNext/>
              <w:keepLines/>
              <w:widowControl/>
              <w:jc w:val="right"/>
              <w:cnfStyle w:val="000000100000" w:firstRow="0" w:lastRow="0" w:firstColumn="0" w:lastColumn="0" w:oddVBand="0" w:evenVBand="0" w:oddHBand="1" w:evenHBand="0" w:firstRowFirstColumn="0" w:firstRowLastColumn="0" w:lastRowFirstColumn="0" w:lastRowLastColumn="0"/>
              <w:rPr>
                <w:b/>
                <w:szCs w:val="22"/>
              </w:rPr>
            </w:pPr>
            <w:r w:rsidRPr="00124E7F">
              <w:rPr>
                <w:b/>
                <w:szCs w:val="22"/>
              </w:rPr>
              <w:t>3.2</w:t>
            </w:r>
          </w:p>
        </w:tc>
      </w:tr>
    </w:tbl>
    <w:p w14:paraId="477EFC11" w14:textId="77777777" w:rsidR="00DB672A" w:rsidRPr="00124E7F" w:rsidRDefault="00DB672A" w:rsidP="00025AC4">
      <w:pPr>
        <w:pStyle w:val="EYSource"/>
        <w:rPr>
          <w:sz w:val="20"/>
          <w:szCs w:val="20"/>
        </w:rPr>
      </w:pPr>
      <w:r w:rsidRPr="00124E7F">
        <w:rPr>
          <w:sz w:val="20"/>
          <w:szCs w:val="20"/>
        </w:rPr>
        <w:t xml:space="preserve">Source: UK Intellectual Property Office (2012). </w:t>
      </w:r>
    </w:p>
    <w:p w14:paraId="6D98E666" w14:textId="77777777" w:rsidR="00025AC4" w:rsidRPr="00124E7F" w:rsidRDefault="00025AC4" w:rsidP="00025AC4">
      <w:pPr>
        <w:pStyle w:val="EYBodytextwithoutparaspace"/>
      </w:pPr>
    </w:p>
    <w:p w14:paraId="1DCBC92C" w14:textId="77777777" w:rsidR="00025AC4" w:rsidRPr="00124E7F" w:rsidRDefault="00DB672A" w:rsidP="007B0604">
      <w:pPr>
        <w:pStyle w:val="EYBodytextwithparaspace"/>
      </w:pPr>
      <w:r w:rsidRPr="00124E7F">
        <w:t xml:space="preserve">Our estimates of search costs are highly dependent on </w:t>
      </w:r>
      <w:r w:rsidR="00580D37" w:rsidRPr="00124E7F">
        <w:t xml:space="preserve">the </w:t>
      </w:r>
      <w:r w:rsidRPr="00124E7F">
        <w:t xml:space="preserve">assumptions </w:t>
      </w:r>
      <w:r w:rsidR="00580D37" w:rsidRPr="00124E7F">
        <w:t>in</w:t>
      </w:r>
      <w:r w:rsidR="00C33531" w:rsidRPr="00124E7F">
        <w:t xml:space="preserve"> Table </w:t>
      </w:r>
      <w:r w:rsidR="00C33531" w:rsidRPr="00124E7F">
        <w:fldChar w:fldCharType="begin"/>
      </w:r>
      <w:r w:rsidR="00C33531" w:rsidRPr="00124E7F">
        <w:instrText xml:space="preserve"> REF table12 \h </w:instrText>
      </w:r>
      <w:r w:rsidR="00C33531" w:rsidRPr="00124E7F">
        <w:fldChar w:fldCharType="separate"/>
      </w:r>
      <w:r w:rsidR="0075700D">
        <w:rPr>
          <w:noProof/>
        </w:rPr>
        <w:t>14</w:t>
      </w:r>
      <w:r w:rsidR="00C33531" w:rsidRPr="00124E7F">
        <w:fldChar w:fldCharType="end"/>
      </w:r>
      <w:r w:rsidR="00C33531" w:rsidRPr="00124E7F">
        <w:t xml:space="preserve"> </w:t>
      </w:r>
      <w:r w:rsidRPr="00124E7F">
        <w:t xml:space="preserve">. As observed by the ALRC, what constitutes a diligent search will vary by a number of factors including the age, type of work and amount of identifying information. </w:t>
      </w:r>
      <w:r w:rsidRPr="00124E7F">
        <w:rPr>
          <w:vertAlign w:val="superscript"/>
        </w:rPr>
        <w:footnoteReference w:id="212"/>
      </w:r>
      <w:r w:rsidRPr="00124E7F">
        <w:t xml:space="preserve"> </w:t>
      </w:r>
      <w:r w:rsidR="00580D37" w:rsidRPr="00124E7F">
        <w:t>E</w:t>
      </w:r>
      <w:r w:rsidRPr="00124E7F">
        <w:t>arly results of a three-year research project (</w:t>
      </w:r>
      <w:proofErr w:type="spellStart"/>
      <w:r w:rsidRPr="00124E7F">
        <w:t>EnDOW</w:t>
      </w:r>
      <w:proofErr w:type="spellEnd"/>
      <w:r w:rsidRPr="00124E7F">
        <w:t xml:space="preserve">) in the UK, Netherlands and Italy has shown that the diligent search requirement established by the Orphan Works </w:t>
      </w:r>
      <w:r w:rsidR="00580D37" w:rsidRPr="00124E7F">
        <w:t>Directive</w:t>
      </w:r>
      <w:r w:rsidRPr="00124E7F">
        <w:t xml:space="preserve"> ‘has been proving more burdensome to satisfy than expected’.</w:t>
      </w:r>
      <w:r w:rsidRPr="00124E7F">
        <w:rPr>
          <w:vertAlign w:val="superscript"/>
        </w:rPr>
        <w:footnoteReference w:id="213"/>
      </w:r>
      <w:r w:rsidRPr="00124E7F">
        <w:t xml:space="preserve"> This is because of the large and diverse sources of information that must be consulted and the fact that a sizeable share of these resources </w:t>
      </w:r>
      <w:r w:rsidR="00284FF4" w:rsidRPr="00124E7F">
        <w:t>is</w:t>
      </w:r>
      <w:r w:rsidR="00025AC4" w:rsidRPr="00124E7F">
        <w:t xml:space="preserve"> not easily accessible.</w:t>
      </w:r>
    </w:p>
    <w:p w14:paraId="2DF1690A" w14:textId="77777777" w:rsidR="00DB672A" w:rsidRPr="00124E7F" w:rsidRDefault="00DB672A" w:rsidP="00025AC4">
      <w:pPr>
        <w:pStyle w:val="EYBodytextwithparaspace"/>
      </w:pPr>
      <w:r w:rsidRPr="00124E7F">
        <w:t xml:space="preserve">However, the time required to undertake a diligent search could be cut down significantly through technological means and by creating databases such as the UK’s </w:t>
      </w:r>
      <w:r w:rsidRPr="00124E7F">
        <w:rPr>
          <w:i/>
        </w:rPr>
        <w:t>Accessible Registries of Rights and Orphan Works</w:t>
      </w:r>
      <w:r w:rsidRPr="00124E7F">
        <w:t xml:space="preserve"> (ARROW) or the UK’s </w:t>
      </w:r>
      <w:r w:rsidRPr="00124E7F">
        <w:rPr>
          <w:i/>
        </w:rPr>
        <w:t>Copyright Hub</w:t>
      </w:r>
      <w:r w:rsidRPr="00124E7F">
        <w:t>. The objective of these projects is to assist users in finding ways to identify right</w:t>
      </w:r>
      <w:r w:rsidR="00C37ECD" w:rsidRPr="00124E7F">
        <w:t>s</w:t>
      </w:r>
      <w:r w:rsidRPr="00124E7F">
        <w:t xml:space="preserve"> holders, clarify the rights status of works, and facilitate the permissions process. A report prepared by the British Library found that </w:t>
      </w:r>
      <w:r w:rsidRPr="00124E7F">
        <w:rPr>
          <w:lang w:val="en"/>
        </w:rPr>
        <w:t>‘whilst it could take 1,000</w:t>
      </w:r>
      <w:r w:rsidR="0074516E" w:rsidRPr="00124E7F">
        <w:rPr>
          <w:lang w:val="en"/>
        </w:rPr>
        <w:t> </w:t>
      </w:r>
      <w:r w:rsidRPr="00124E7F">
        <w:rPr>
          <w:lang w:val="en"/>
        </w:rPr>
        <w:t xml:space="preserve">years for one person to clear the rights of just 500,000 books manually – equating to 4 hours per book - the use of the ARROW system would reduce this dramatically to less than 5 minutes per title to upload the catalogue records and check </w:t>
      </w:r>
      <w:r w:rsidRPr="00124E7F">
        <w:t>the results’.</w:t>
      </w:r>
      <w:r w:rsidRPr="00124E7F">
        <w:rPr>
          <w:vertAlign w:val="superscript"/>
        </w:rPr>
        <w:footnoteReference w:id="214"/>
      </w:r>
      <w:r w:rsidRPr="00124E7F">
        <w:rPr>
          <w:vertAlign w:val="superscript"/>
        </w:rPr>
        <w:t xml:space="preserve"> </w:t>
      </w:r>
      <w:r w:rsidRPr="00124E7F">
        <w:t>While the ALRC acknowledges the benefits of these tools, it does not recommend the</w:t>
      </w:r>
      <w:r w:rsidRPr="00124E7F">
        <w:rPr>
          <w:lang w:val="en"/>
        </w:rPr>
        <w:t xml:space="preserve"> implementation of such a register or database.</w:t>
      </w:r>
    </w:p>
    <w:p w14:paraId="2157661F" w14:textId="77777777" w:rsidR="00DB672A" w:rsidRPr="00124E7F" w:rsidRDefault="00DB672A" w:rsidP="004050D5">
      <w:pPr>
        <w:pStyle w:val="EYHeading4"/>
      </w:pPr>
      <w:r w:rsidRPr="00124E7F">
        <w:t xml:space="preserve">Adjusting search costs </w:t>
      </w:r>
    </w:p>
    <w:p w14:paraId="30F583A9" w14:textId="77777777" w:rsidR="00DB672A" w:rsidRPr="00124E7F" w:rsidRDefault="00DB672A" w:rsidP="00025AC4">
      <w:pPr>
        <w:pStyle w:val="EYBodytextwithparaspace"/>
      </w:pPr>
      <w:r w:rsidRPr="00124E7F">
        <w:t>Finally, a number of assumptions are made to account for:</w:t>
      </w:r>
    </w:p>
    <w:p w14:paraId="55C8C069" w14:textId="77777777" w:rsidR="00DB672A" w:rsidRPr="00124E7F" w:rsidRDefault="00DB672A" w:rsidP="00F72E3A">
      <w:pPr>
        <w:pStyle w:val="EYBulletedText1"/>
      </w:pPr>
      <w:r w:rsidRPr="00124E7F">
        <w:t xml:space="preserve">The proportion of orphan works that would be cleared per annum. For any given institution, it is not expected that such a large task would be undertaken immediately and would not cover the entire archive. In the absence of data on current activities, we make the conservative assumption that over 10 years libraries and archives would clear between 5 per cent and 10 per cent of all orphan works. </w:t>
      </w:r>
    </w:p>
    <w:p w14:paraId="118A6A11" w14:textId="77777777" w:rsidR="00DB672A" w:rsidRPr="00124E7F" w:rsidRDefault="00DB672A" w:rsidP="00F72E3A">
      <w:pPr>
        <w:pStyle w:val="EYBulletedText1"/>
      </w:pPr>
      <w:r w:rsidRPr="00124E7F">
        <w:t xml:space="preserve">The number of searches that are currently undertaken. For example, the National Gallery of Australia submitted that </w:t>
      </w:r>
      <w:r w:rsidR="00580D37" w:rsidRPr="00124E7F">
        <w:t>it</w:t>
      </w:r>
      <w:r w:rsidRPr="00124E7F">
        <w:t xml:space="preserve"> already adopts a ‘risk management’ approach by undertaking a diligent search before using an orphan work.</w:t>
      </w:r>
      <w:r w:rsidRPr="00124E7F">
        <w:rPr>
          <w:vertAlign w:val="superscript"/>
        </w:rPr>
        <w:footnoteReference w:id="215"/>
      </w:r>
      <w:r w:rsidRPr="00124E7F">
        <w:rPr>
          <w:vertAlign w:val="superscript"/>
        </w:rPr>
        <w:t xml:space="preserve"> </w:t>
      </w:r>
      <w:r w:rsidRPr="00124E7F">
        <w:t>Similarly, in a Statement on Orphan Works released in 2011, the SBS noted the use of ‘reasonable searches’ to use archival content.</w:t>
      </w:r>
      <w:r w:rsidRPr="00124E7F">
        <w:rPr>
          <w:vertAlign w:val="superscript"/>
        </w:rPr>
        <w:footnoteReference w:id="216"/>
      </w:r>
      <w:r w:rsidRPr="00124E7F">
        <w:rPr>
          <w:vertAlign w:val="superscript"/>
        </w:rPr>
        <w:t xml:space="preserve">  </w:t>
      </w:r>
      <w:r w:rsidRPr="00124E7F">
        <w:t>Others (i.e. education institutions, libraries and archives) might currently rely on Section 200AB for the legal use of orphan works. As this requires users to assess potential market harm to the right</w:t>
      </w:r>
      <w:r w:rsidR="00C37ECD" w:rsidRPr="00124E7F">
        <w:t>s</w:t>
      </w:r>
      <w:r w:rsidRPr="00124E7F">
        <w:t xml:space="preserve"> holder, it is assumed that a reasonable search for the right</w:t>
      </w:r>
      <w:r w:rsidR="00C37ECD" w:rsidRPr="00124E7F">
        <w:t>s</w:t>
      </w:r>
      <w:r w:rsidRPr="00124E7F">
        <w:t xml:space="preserve"> holder would be undertaken as part of this test. To account for searches that would be undertaken anyway, we reduce the search cost by 10 per cent. </w:t>
      </w:r>
    </w:p>
    <w:p w14:paraId="0613D390" w14:textId="77777777" w:rsidR="00DB672A" w:rsidRPr="00124E7F" w:rsidRDefault="00DB672A" w:rsidP="00025AC4">
      <w:pPr>
        <w:pStyle w:val="EYBodytextwithparaspace"/>
      </w:pPr>
      <w:r w:rsidRPr="00124E7F">
        <w:t xml:space="preserve">Taken together, the above suggest diligent search costs of between $10.3 million and $20.6 million per annum. </w:t>
      </w:r>
    </w:p>
    <w:p w14:paraId="41A7F66E" w14:textId="77777777" w:rsidR="00DB672A" w:rsidRPr="00124E7F" w:rsidRDefault="00E6572F" w:rsidP="00025AC4">
      <w:pPr>
        <w:pStyle w:val="EYHeading4"/>
      </w:pPr>
      <w:r w:rsidRPr="00124E7F">
        <w:t>Economic and societal benefits</w:t>
      </w:r>
    </w:p>
    <w:p w14:paraId="63A5BFDD" w14:textId="77777777" w:rsidR="00025AC4" w:rsidRPr="00124E7F" w:rsidRDefault="00DB672A" w:rsidP="00200265">
      <w:pPr>
        <w:pStyle w:val="EYBodytextwithparaspace"/>
      </w:pPr>
      <w:r w:rsidRPr="00124E7F">
        <w:t>As discussed in Section </w:t>
      </w:r>
      <w:r w:rsidRPr="00124E7F">
        <w:fldChar w:fldCharType="begin"/>
      </w:r>
      <w:r w:rsidRPr="00124E7F">
        <w:instrText xml:space="preserve"> REF _Ref446068580 \r \h </w:instrText>
      </w:r>
      <w:r w:rsidR="00EE547B" w:rsidRPr="00124E7F">
        <w:instrText xml:space="preserve"> \* MERGEFORMAT </w:instrText>
      </w:r>
      <w:r w:rsidRPr="00124E7F">
        <w:fldChar w:fldCharType="separate"/>
      </w:r>
      <w:r w:rsidR="0075700D">
        <w:t>3.7.3</w:t>
      </w:r>
      <w:r w:rsidRPr="00124E7F">
        <w:fldChar w:fldCharType="end"/>
      </w:r>
      <w:r w:rsidRPr="00124E7F">
        <w:t xml:space="preserve">, there is currently much uncertainty around the use of orphan works by libraries and archives. The provision of a framework around diligent searches and the limitation of remedies available (in an action of copyright infringement) when such searches have been undertaken would be expected to increase legal certainty. This would remove the ‘legal risk premium’ currently associated with use of orphan works in Australia, and remove the need for institutions to keep money aside in case </w:t>
      </w:r>
      <w:r w:rsidR="00C37ECD" w:rsidRPr="00124E7F">
        <w:t xml:space="preserve">rights </w:t>
      </w:r>
      <w:r w:rsidR="009C6310" w:rsidRPr="00124E7F">
        <w:t>holders</w:t>
      </w:r>
      <w:r w:rsidR="00200265" w:rsidRPr="00124E7F">
        <w:t xml:space="preserve"> later come forward. </w:t>
      </w:r>
    </w:p>
    <w:p w14:paraId="68BE5C52" w14:textId="77777777" w:rsidR="00DB672A" w:rsidRPr="00124E7F" w:rsidRDefault="00DB672A" w:rsidP="00025AC4">
      <w:pPr>
        <w:pStyle w:val="EYBodytextwithparaspace"/>
      </w:pPr>
      <w:r w:rsidRPr="00124E7F">
        <w:t xml:space="preserve">To the extent that proposed changes reduce barriers to the use of orphan works, Option 1 would facilitate socially beneficial goals such as learning, cumulative knowledge creation, access to information, and innovation. The AGD Orphan Works Review noted that enabling uses of orphan works could contribute to research, education, </w:t>
      </w:r>
      <w:proofErr w:type="gramStart"/>
      <w:r w:rsidRPr="00124E7F">
        <w:t>culture</w:t>
      </w:r>
      <w:proofErr w:type="gramEnd"/>
      <w:r w:rsidRPr="00124E7F">
        <w:t xml:space="preserve"> and to the creation of further transformative works. </w:t>
      </w:r>
      <w:r w:rsidRPr="00124E7F">
        <w:rPr>
          <w:vertAlign w:val="superscript"/>
        </w:rPr>
        <w:footnoteReference w:id="217"/>
      </w:r>
      <w:r w:rsidRPr="00124E7F">
        <w:t xml:space="preserve"> It may also buttress commercial reuses of lost works.</w:t>
      </w:r>
      <w:r w:rsidRPr="00124E7F">
        <w:rPr>
          <w:vertAlign w:val="superscript"/>
        </w:rPr>
        <w:footnoteReference w:id="218"/>
      </w:r>
      <w:r w:rsidRPr="00124E7F">
        <w:rPr>
          <w:vertAlign w:val="superscript"/>
        </w:rPr>
        <w:t xml:space="preserve"> </w:t>
      </w:r>
      <w:r w:rsidRPr="00124E7F">
        <w:t xml:space="preserve">In the digital environment, reducing barriers to orphan works could facilitate other socially beneficial uses such as </w:t>
      </w:r>
      <w:r w:rsidR="00793726" w:rsidRPr="00124E7F">
        <w:t>DTM</w:t>
      </w:r>
      <w:r w:rsidRPr="00124E7F">
        <w:t xml:space="preserve"> and mass </w:t>
      </w:r>
      <w:proofErr w:type="spellStart"/>
      <w:r w:rsidRPr="00124E7F">
        <w:t>digitisation</w:t>
      </w:r>
      <w:proofErr w:type="spellEnd"/>
      <w:r w:rsidRPr="00124E7F">
        <w:t>.</w:t>
      </w:r>
      <w:r w:rsidRPr="00124E7F">
        <w:rPr>
          <w:vertAlign w:val="superscript"/>
        </w:rPr>
        <w:footnoteReference w:id="219"/>
      </w:r>
    </w:p>
    <w:p w14:paraId="69E8AA3A" w14:textId="77777777" w:rsidR="00DB672A" w:rsidRPr="00124E7F" w:rsidRDefault="00DB672A" w:rsidP="00025AC4">
      <w:pPr>
        <w:pStyle w:val="EYBodytextwithparaspace"/>
      </w:pPr>
      <w:r w:rsidRPr="00124E7F">
        <w:t xml:space="preserve">Orphan works schemes in Canada and the UK may provide an indication of potential users and uses of orphan works in Australia. In Canada, where </w:t>
      </w:r>
      <w:r w:rsidR="005D236A" w:rsidRPr="00124E7F">
        <w:t>licens</w:t>
      </w:r>
      <w:r w:rsidR="007D4AFF" w:rsidRPr="00124E7F">
        <w:t>e</w:t>
      </w:r>
      <w:r w:rsidRPr="00124E7F">
        <w:t>s for use of published orphan works are administered by the Canadian Copyright Board, 49 per cent of applications between 1990 and 2009 were for commercial uses. Commercial enterprises accounted for 37 per cent of all applications, while individual applicants followed closely at 31 per cent (</w:t>
      </w:r>
      <w:r w:rsidRPr="00124E7F">
        <w:fldChar w:fldCharType="begin"/>
      </w:r>
      <w:r w:rsidRPr="00124E7F">
        <w:instrText xml:space="preserve"> REF _Ref446150372 \h </w:instrText>
      </w:r>
      <w:r w:rsidR="00EE547B" w:rsidRPr="00124E7F">
        <w:instrText xml:space="preserve"> \* MERGEFORMAT </w:instrText>
      </w:r>
      <w:r w:rsidRPr="00124E7F">
        <w:fldChar w:fldCharType="separate"/>
      </w:r>
      <w:r w:rsidR="0075700D" w:rsidRPr="00124E7F">
        <w:t xml:space="preserve">Figure </w:t>
      </w:r>
      <w:r w:rsidR="0075700D">
        <w:rPr>
          <w:noProof/>
        </w:rPr>
        <w:t>14</w:t>
      </w:r>
      <w:r w:rsidRPr="00124E7F">
        <w:fldChar w:fldCharType="end"/>
      </w:r>
      <w:r w:rsidRPr="00124E7F">
        <w:t>). The majority of applications were received for literary and artistic works (over 60%, combined) followed by architectural plans (19%).</w:t>
      </w:r>
    </w:p>
    <w:p w14:paraId="1DD75740" w14:textId="53076FD7" w:rsidR="00DB672A" w:rsidRDefault="00DB672A" w:rsidP="00DB672A">
      <w:pPr>
        <w:pStyle w:val="Caption"/>
        <w:keepNext/>
      </w:pPr>
      <w:bookmarkStart w:id="181" w:name="_Ref446150372"/>
      <w:r w:rsidRPr="00124E7F">
        <w:t xml:space="preserve">Figure </w:t>
      </w:r>
      <w:r w:rsidRPr="00124E7F">
        <w:fldChar w:fldCharType="begin"/>
      </w:r>
      <w:r w:rsidRPr="00124E7F">
        <w:instrText xml:space="preserve"> SEQ Figure \* ARABIC </w:instrText>
      </w:r>
      <w:r w:rsidRPr="00124E7F">
        <w:fldChar w:fldCharType="separate"/>
      </w:r>
      <w:r w:rsidR="0075700D">
        <w:rPr>
          <w:noProof/>
        </w:rPr>
        <w:t>14</w:t>
      </w:r>
      <w:r w:rsidRPr="00124E7F">
        <w:fldChar w:fldCharType="end"/>
      </w:r>
      <w:bookmarkEnd w:id="181"/>
      <w:r w:rsidR="00754476" w:rsidRPr="00124E7F">
        <w:t>:</w:t>
      </w:r>
      <w:r w:rsidRPr="00124E7F">
        <w:t xml:space="preserve"> Applications by content type (LHS) and by user (RHS)</w:t>
      </w:r>
      <w:r w:rsidR="004171BE" w:rsidRPr="00124E7F">
        <w:t xml:space="preserve">, 1990 </w:t>
      </w:r>
      <w:r w:rsidR="00E91668">
        <w:t>–</w:t>
      </w:r>
      <w:r w:rsidR="004171BE" w:rsidRPr="00124E7F">
        <w:t xml:space="preserve"> 2009</w:t>
      </w:r>
    </w:p>
    <w:p w14:paraId="187409BB" w14:textId="24806D01" w:rsidR="00DB672A" w:rsidRPr="00124E7F" w:rsidRDefault="00E91668" w:rsidP="00202E68">
      <w:r>
        <w:rPr>
          <w:noProof/>
          <w:lang w:eastAsia="zh-TW" w:bidi="hi-IN"/>
        </w:rPr>
        <w:drawing>
          <wp:inline distT="0" distB="0" distL="0" distR="0" wp14:anchorId="39B26236" wp14:editId="0B6E914E">
            <wp:extent cx="5760000" cy="2044655"/>
            <wp:effectExtent l="0" t="0" r="0" b="0"/>
            <wp:docPr id="12" name="Picture 12" descr="The figure shows the proportion of applications made to the Canadian Copyright Board for the use of orphan works between 1990 and 2009 by content type and by user type.&#10;&#10;By content type, the breakdown of applications is as follows:&#10;• Literary 39%&#10;• Artistic 19%&#10;• Architectural plans 19%&#10;• Musical 11%&#10;• Other 5%&#10;• Audio-visual 4%&#10;• Dramatic 1%&#10;&#10;By user, the breakdown of applications is as follows:&#10;• Commercial 37%&#10;• Individual 31%&#10;• Educational 13%&#10;• Government 11%&#10;• Community organisation 4%&#10;•  Gallery/Museum 3%&#10;• Charitable 1%&#10;" title="Figure 14: Applications by content type (LHS) and by user (RHS), 1990 –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000" cy="2044655"/>
                    </a:xfrm>
                    <a:prstGeom prst="rect">
                      <a:avLst/>
                    </a:prstGeom>
                    <a:noFill/>
                  </pic:spPr>
                </pic:pic>
              </a:graphicData>
            </a:graphic>
          </wp:inline>
        </w:drawing>
      </w:r>
    </w:p>
    <w:p w14:paraId="36A60022" w14:textId="77777777" w:rsidR="00DB672A" w:rsidRPr="00124E7F" w:rsidRDefault="00DB672A" w:rsidP="00025AC4">
      <w:pPr>
        <w:pStyle w:val="EYSource"/>
        <w:rPr>
          <w:sz w:val="20"/>
          <w:szCs w:val="20"/>
        </w:rPr>
      </w:pPr>
      <w:r w:rsidRPr="00124E7F">
        <w:rPr>
          <w:sz w:val="20"/>
          <w:szCs w:val="20"/>
        </w:rPr>
        <w:t xml:space="preserve">Source: De Beer J and M Bouchard (2009), Canada’s ‘orphan works’ regime: </w:t>
      </w:r>
      <w:proofErr w:type="spellStart"/>
      <w:r w:rsidRPr="00124E7F">
        <w:rPr>
          <w:sz w:val="20"/>
          <w:szCs w:val="20"/>
        </w:rPr>
        <w:t>Unlocatable</w:t>
      </w:r>
      <w:proofErr w:type="spellEnd"/>
      <w:r w:rsidRPr="00124E7F">
        <w:rPr>
          <w:sz w:val="20"/>
          <w:szCs w:val="20"/>
        </w:rPr>
        <w:t xml:space="preserve"> copyright owners and the copyright board. </w:t>
      </w:r>
    </w:p>
    <w:p w14:paraId="195FF0D8" w14:textId="77777777" w:rsidR="00025AC4" w:rsidRPr="00124E7F" w:rsidRDefault="00025AC4" w:rsidP="00754476"/>
    <w:p w14:paraId="10A755CE" w14:textId="77777777" w:rsidR="00DB672A" w:rsidRPr="00124E7F" w:rsidRDefault="00DB672A" w:rsidP="00025AC4">
      <w:pPr>
        <w:pStyle w:val="EYBodytextwithparaspace"/>
      </w:pPr>
      <w:r w:rsidRPr="00124E7F">
        <w:t xml:space="preserve">In the UK, a 12 month review into the country’s online </w:t>
      </w:r>
      <w:r w:rsidR="004115D0" w:rsidRPr="00124E7F">
        <w:t>licensing</w:t>
      </w:r>
      <w:r w:rsidRPr="00124E7F">
        <w:t xml:space="preserve"> system for published and unpublished orphan works found that 26 per cent of </w:t>
      </w:r>
      <w:r w:rsidR="005D236A" w:rsidRPr="00124E7F">
        <w:t>licens</w:t>
      </w:r>
      <w:r w:rsidR="007D4AFF" w:rsidRPr="00124E7F">
        <w:t>e</w:t>
      </w:r>
      <w:r w:rsidRPr="00124E7F">
        <w:t>s granted were for commercial uses. The majority of applications were received for still works (78%), with the remaining applications received for written works (16%).</w:t>
      </w:r>
      <w:r w:rsidRPr="00124E7F">
        <w:rPr>
          <w:vertAlign w:val="superscript"/>
        </w:rPr>
        <w:footnoteReference w:id="220"/>
      </w:r>
    </w:p>
    <w:p w14:paraId="7E937050" w14:textId="77777777" w:rsidR="00793726" w:rsidRPr="00124E7F" w:rsidRDefault="00DB672A" w:rsidP="00025AC4">
      <w:pPr>
        <w:pStyle w:val="EYBodytextwithparaspace"/>
      </w:pPr>
      <w:r w:rsidRPr="00124E7F">
        <w:t>As we cannot accurately estimate the public benefits associated with these uses, we assume that orphan works would only be cleared if an institutio</w:t>
      </w:r>
      <w:r w:rsidR="00793726" w:rsidRPr="00124E7F">
        <w:t xml:space="preserve">n or </w:t>
      </w:r>
      <w:r w:rsidRPr="00124E7F">
        <w:t xml:space="preserve">user believed that the value of that activity was </w:t>
      </w:r>
      <w:r w:rsidR="00793726" w:rsidRPr="00124E7F">
        <w:t>sufficient</w:t>
      </w:r>
      <w:r w:rsidRPr="00124E7F">
        <w:t xml:space="preserve"> to cover the costs. Therefore, the benef</w:t>
      </w:r>
      <w:r w:rsidR="00793726" w:rsidRPr="00124E7F">
        <w:t>it would equal the search costs.</w:t>
      </w:r>
    </w:p>
    <w:p w14:paraId="79489AE7" w14:textId="77777777" w:rsidR="00284FF4" w:rsidRDefault="00DB672A" w:rsidP="00025AC4">
      <w:pPr>
        <w:pStyle w:val="EYBodytextwithparaspace"/>
      </w:pPr>
      <w:r w:rsidRPr="00124E7F">
        <w:t>However, these are just the cost-based benefits. Enabling the use of orphan works to be unlocked for commercial and non-commercial purposes could assist the growth of Australian copyright industries. In 2014 Australia’s core copyright industries contributed $7.4 billion to Australia’s economy and 4.7 per cent of gross domestic product, and employed more than 600,000</w:t>
      </w:r>
      <w:r w:rsidR="0074516E" w:rsidRPr="00124E7F">
        <w:t> </w:t>
      </w:r>
      <w:r w:rsidRPr="00124E7F">
        <w:t>people.</w:t>
      </w:r>
      <w:r w:rsidRPr="00124E7F">
        <w:rPr>
          <w:vertAlign w:val="superscript"/>
        </w:rPr>
        <w:footnoteReference w:id="221"/>
      </w:r>
      <w:r w:rsidRPr="00124E7F">
        <w:t>The industry value add of libraries and archives alone (i.e. contribution of the sector to overall GDP) was $1.2 billion in 2014-15</w:t>
      </w:r>
      <w:r w:rsidR="00D107BD" w:rsidRPr="00124E7F">
        <w:t xml:space="preserve">. To put the search costs into perspective, the industry value-add of libraries and archives would only have to increase between 0.9 per cent and 1.7 per cent over 10 years in order to break even with the estimated search costs. Given the high proportion of orphans residing in the collections of libraries and archives (estimated to be around 40 per cent), this is an entirely feasible outcome. </w:t>
      </w:r>
      <w:r w:rsidR="00CA2BA6" w:rsidRPr="00124E7F">
        <w:t>The UK’s impact assessment placed the potential benefit of orphan works between £50million and £130 million per annum.</w:t>
      </w:r>
      <w:r w:rsidR="00CA2BA6" w:rsidRPr="00124E7F">
        <w:rPr>
          <w:vertAlign w:val="superscript"/>
        </w:rPr>
        <w:footnoteReference w:id="222"/>
      </w:r>
      <w:bookmarkStart w:id="182" w:name="_Ref446067632"/>
    </w:p>
    <w:p w14:paraId="2F88AFFB" w14:textId="77777777" w:rsidR="00DB672A" w:rsidRDefault="00DB672A" w:rsidP="00DB672A">
      <w:pPr>
        <w:pStyle w:val="Caption"/>
        <w:keepNext/>
      </w:pPr>
      <w:r w:rsidRPr="00124E7F">
        <w:t xml:space="preserve">Figure </w:t>
      </w:r>
      <w:r w:rsidRPr="00124E7F">
        <w:fldChar w:fldCharType="begin"/>
      </w:r>
      <w:r w:rsidRPr="00124E7F">
        <w:instrText xml:space="preserve"> SEQ Figure \* ARABIC </w:instrText>
      </w:r>
      <w:r w:rsidRPr="00124E7F">
        <w:fldChar w:fldCharType="separate"/>
      </w:r>
      <w:r w:rsidR="0075700D">
        <w:rPr>
          <w:noProof/>
        </w:rPr>
        <w:t>15</w:t>
      </w:r>
      <w:r w:rsidRPr="00124E7F">
        <w:fldChar w:fldCharType="end"/>
      </w:r>
      <w:bookmarkEnd w:id="182"/>
      <w:r w:rsidR="00754476" w:rsidRPr="00124E7F">
        <w:t>:</w:t>
      </w:r>
      <w:r w:rsidRPr="00124E7F">
        <w:t xml:space="preserve"> Number of institutions and total industry value add over time – Libraries and Archives</w:t>
      </w:r>
    </w:p>
    <w:p w14:paraId="4210ADB6" w14:textId="7503AF58" w:rsidR="00DB672A" w:rsidRPr="00124E7F" w:rsidRDefault="00186644" w:rsidP="00202E68">
      <w:r>
        <w:rPr>
          <w:noProof/>
          <w:lang w:eastAsia="zh-TW" w:bidi="hi-IN"/>
        </w:rPr>
        <w:drawing>
          <wp:inline distT="0" distB="0" distL="0" distR="0" wp14:anchorId="5AF8CCB3" wp14:editId="15D1DB00">
            <wp:extent cx="5760000" cy="2442423"/>
            <wp:effectExtent l="0" t="0" r="0" b="0"/>
            <wp:docPr id="294" name="Picture 294" descr="The graph shows the number of libraries and archives in Australia over time on one axis and the total industry value add over time on the other axis. &#10;&#10;The graph shows steady growth in the industry value add of these institutions between 2006 and 2016, with this trend expected to continue until 2020.&#10;&#10;In comparison, the number of institutions has been more volatile over time. The number of libraries and archives fell to a low in 2006 with a steady recovery experienced thereafter until 2013 when the trend reversed. The number of institutions is forecast to continue falling until 2020.&#10;" title="Figure 15: Number of institutions and total industry value add over time – Libraries and Arch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000" cy="2442423"/>
                    </a:xfrm>
                    <a:prstGeom prst="rect">
                      <a:avLst/>
                    </a:prstGeom>
                    <a:noFill/>
                  </pic:spPr>
                </pic:pic>
              </a:graphicData>
            </a:graphic>
          </wp:inline>
        </w:drawing>
      </w:r>
    </w:p>
    <w:p w14:paraId="14E4FB6F" w14:textId="77777777" w:rsidR="00DB672A" w:rsidRPr="00124E7F" w:rsidRDefault="00DB672A" w:rsidP="00025AC4">
      <w:pPr>
        <w:pStyle w:val="EYSource"/>
        <w:rPr>
          <w:sz w:val="20"/>
          <w:szCs w:val="20"/>
        </w:rPr>
      </w:pPr>
      <w:r w:rsidRPr="00124E7F">
        <w:rPr>
          <w:sz w:val="20"/>
          <w:szCs w:val="20"/>
        </w:rPr>
        <w:t>Source: IBISWorld Industry Report J6010: Libraries and archives in Australia.</w:t>
      </w:r>
    </w:p>
    <w:p w14:paraId="2F8E7C69" w14:textId="77777777" w:rsidR="0014223B" w:rsidRPr="00124E7F" w:rsidRDefault="0014223B" w:rsidP="0014223B">
      <w:pPr>
        <w:rPr>
          <w:lang w:val="en-US"/>
        </w:rPr>
      </w:pPr>
    </w:p>
    <w:p w14:paraId="08478CA2" w14:textId="77777777" w:rsidR="00DB672A" w:rsidRPr="00124E7F" w:rsidRDefault="00DB672A" w:rsidP="008C0A7F">
      <w:pPr>
        <w:pStyle w:val="EYHeading4"/>
      </w:pPr>
      <w:r w:rsidRPr="00124E7F">
        <w:t>Impact on right</w:t>
      </w:r>
      <w:r w:rsidR="00C37ECD" w:rsidRPr="00124E7F">
        <w:t>s</w:t>
      </w:r>
      <w:r w:rsidRPr="00124E7F">
        <w:t xml:space="preserve"> holder’s revenue and incentives to create new works</w:t>
      </w:r>
    </w:p>
    <w:p w14:paraId="3BEAD714" w14:textId="77777777" w:rsidR="00DB672A" w:rsidRPr="00124E7F" w:rsidRDefault="00DB672A" w:rsidP="00025AC4">
      <w:pPr>
        <w:pStyle w:val="EYBodytextwithparaspace"/>
      </w:pPr>
      <w:r w:rsidRPr="00124E7F">
        <w:t>There is broad consensus that an orphan work, where there is no copyright owner and therefore no beneficiary of copyright, will not detrimentally affect a right</w:t>
      </w:r>
      <w:r w:rsidR="00C37ECD" w:rsidRPr="00124E7F">
        <w:t>s</w:t>
      </w:r>
      <w:r w:rsidRPr="00124E7F">
        <w:t xml:space="preserve"> holder’s revenue and thereby incentive to create new works. Professor Jennifer Urban submitted to the ALRC that:</w:t>
      </w:r>
    </w:p>
    <w:p w14:paraId="3B49E4E5" w14:textId="77777777" w:rsidR="00DB672A" w:rsidRPr="00124E7F" w:rsidRDefault="00DB672A" w:rsidP="00025AC4">
      <w:pPr>
        <w:pStyle w:val="EYIndent1"/>
        <w:rPr>
          <w:i/>
        </w:rPr>
      </w:pPr>
      <w:r w:rsidRPr="00124E7F">
        <w:rPr>
          <w:i/>
        </w:rPr>
        <w:t xml:space="preserve">If a reasonably diligent search has been conducted and the copyright owner cannot be found, there is a high probability that the work has been ‘economically abandoned’. In a case where the work can truly be said to be an orphan, there is little difference between it and one in which the copyright holders would allow free use, such as through a creative commons </w:t>
      </w:r>
      <w:r w:rsidR="005D236A" w:rsidRPr="00124E7F">
        <w:rPr>
          <w:i/>
        </w:rPr>
        <w:t>licens</w:t>
      </w:r>
      <w:r w:rsidR="007D4AFF" w:rsidRPr="00124E7F">
        <w:rPr>
          <w:i/>
        </w:rPr>
        <w:t>e</w:t>
      </w:r>
      <w:r w:rsidRPr="00124E7F">
        <w:rPr>
          <w:i/>
        </w:rPr>
        <w:t>.</w:t>
      </w:r>
      <w:r w:rsidRPr="00124E7F">
        <w:rPr>
          <w:i/>
          <w:vertAlign w:val="superscript"/>
        </w:rPr>
        <w:footnoteReference w:id="223"/>
      </w:r>
      <w:r w:rsidRPr="00124E7F">
        <w:rPr>
          <w:i/>
          <w:vertAlign w:val="superscript"/>
        </w:rPr>
        <w:t xml:space="preserve"> </w:t>
      </w:r>
    </w:p>
    <w:p w14:paraId="1CDEFBBC" w14:textId="77777777" w:rsidR="00025AC4" w:rsidRPr="00124E7F" w:rsidRDefault="00DB672A" w:rsidP="0014223B">
      <w:pPr>
        <w:pStyle w:val="EYBodytextwithparaspace"/>
      </w:pPr>
      <w:r w:rsidRPr="00124E7F">
        <w:t>There may be some perverse incentives created</w:t>
      </w:r>
      <w:r w:rsidR="00793726" w:rsidRPr="00124E7F">
        <w:t xml:space="preserve"> by the proposed changes</w:t>
      </w:r>
      <w:r w:rsidRPr="00124E7F">
        <w:t xml:space="preserve">, whereby </w:t>
      </w:r>
      <w:r w:rsidR="00793726" w:rsidRPr="00124E7F">
        <w:t xml:space="preserve">orphan works might be chosen over </w:t>
      </w:r>
      <w:r w:rsidRPr="00124E7F">
        <w:t>copyright works where the user has to pay. However, this would largely depend on ho</w:t>
      </w:r>
      <w:r w:rsidR="0014223B" w:rsidRPr="00124E7F">
        <w:t xml:space="preserve">w substitutable the works are. </w:t>
      </w:r>
    </w:p>
    <w:p w14:paraId="316C2D45" w14:textId="77777777" w:rsidR="00DB672A" w:rsidRPr="00124E7F" w:rsidRDefault="00DB672A" w:rsidP="00025AC4">
      <w:pPr>
        <w:pStyle w:val="EYBodytextwithparaspace"/>
      </w:pPr>
      <w:r w:rsidRPr="00124E7F">
        <w:t xml:space="preserve">The ALRC also heard concerns from photographers, whose works, once </w:t>
      </w:r>
      <w:proofErr w:type="spellStart"/>
      <w:r w:rsidRPr="00124E7F">
        <w:t>d</w:t>
      </w:r>
      <w:r w:rsidRPr="00124E7F">
        <w:rPr>
          <w:rStyle w:val="EYBodytextwithparaspaceChar"/>
        </w:rPr>
        <w:t>igitised</w:t>
      </w:r>
      <w:proofErr w:type="spellEnd"/>
      <w:r w:rsidRPr="00124E7F">
        <w:rPr>
          <w:rStyle w:val="EYBodytextwithparaspaceChar"/>
        </w:rPr>
        <w:t>, are orphaned due to metadata being stripped from them, and appropriated by third parties</w:t>
      </w:r>
      <w:r w:rsidRPr="00124E7F">
        <w:t xml:space="preserve"> for commercial gain. The proposed changes would not prevent such abuse of copyright, but neither should </w:t>
      </w:r>
      <w:r w:rsidR="00793726" w:rsidRPr="00124E7F">
        <w:t>they</w:t>
      </w:r>
      <w:r w:rsidRPr="00124E7F">
        <w:t xml:space="preserve"> exacerbate the problem. Option 1 would only allow the use of orphan works provided a reasonably diligent search for the right</w:t>
      </w:r>
      <w:r w:rsidR="00C37ECD" w:rsidRPr="00124E7F">
        <w:t>s</w:t>
      </w:r>
      <w:r w:rsidRPr="00124E7F">
        <w:t xml:space="preserve"> holder has been conducted and the right</w:t>
      </w:r>
      <w:r w:rsidR="00C37ECD" w:rsidRPr="00124E7F">
        <w:t>s</w:t>
      </w:r>
      <w:r w:rsidRPr="00124E7F">
        <w:t xml:space="preserve"> holder has not been found. Where infringement occurs despite a diligent search having been undertaken, a right</w:t>
      </w:r>
      <w:r w:rsidR="00C37ECD" w:rsidRPr="00124E7F">
        <w:t>s</w:t>
      </w:r>
      <w:r w:rsidRPr="00124E7F">
        <w:t xml:space="preserve"> holder will still be able to claim ‘reasonable compensation’. Experience of </w:t>
      </w:r>
      <w:r w:rsidR="007B45EB" w:rsidRPr="00124E7F">
        <w:t>licensing</w:t>
      </w:r>
      <w:r w:rsidRPr="00124E7F">
        <w:t xml:space="preserve"> orphan works in Canada has shown that 22 per cent of applications do not need to be pursued as the search process identifies the rights-holder.</w:t>
      </w:r>
      <w:r w:rsidRPr="00124E7F">
        <w:rPr>
          <w:vertAlign w:val="superscript"/>
        </w:rPr>
        <w:footnoteReference w:id="224"/>
      </w:r>
      <w:r w:rsidRPr="00124E7F">
        <w:rPr>
          <w:vertAlign w:val="superscript"/>
        </w:rPr>
        <w:t xml:space="preserve"> </w:t>
      </w:r>
      <w:r w:rsidRPr="00124E7F">
        <w:t xml:space="preserve">As commented by the </w:t>
      </w:r>
      <w:r w:rsidR="006B2E08" w:rsidRPr="00124E7F">
        <w:t>ALRC</w:t>
      </w:r>
      <w:r w:rsidRPr="00124E7F">
        <w:t xml:space="preserve"> therefore, ‘rather than harming markets, searches for the creators of orphan works may, in some instances, reunite copyright owners with their works and thereby revive the market and provide new streams of work’</w:t>
      </w:r>
      <w:r w:rsidR="00284FF4" w:rsidRPr="00124E7F">
        <w:t>.</w:t>
      </w:r>
      <w:r w:rsidRPr="00124E7F">
        <w:rPr>
          <w:vertAlign w:val="superscript"/>
        </w:rPr>
        <w:footnoteReference w:id="225"/>
      </w:r>
    </w:p>
    <w:p w14:paraId="1E117EF8" w14:textId="77777777" w:rsidR="00DB672A" w:rsidRPr="00124E7F" w:rsidRDefault="00DB672A" w:rsidP="000061D4">
      <w:pPr>
        <w:pStyle w:val="EYHeading4"/>
      </w:pPr>
      <w:r w:rsidRPr="00124E7F">
        <w:t xml:space="preserve">Relationship between </w:t>
      </w:r>
      <w:r w:rsidR="009978DD" w:rsidRPr="00124E7F">
        <w:t xml:space="preserve">statutory </w:t>
      </w:r>
      <w:r w:rsidR="008D7BC8" w:rsidRPr="00124E7F">
        <w:t>licenses</w:t>
      </w:r>
      <w:r w:rsidR="00CA2BA6" w:rsidRPr="00124E7F">
        <w:t xml:space="preserve"> </w:t>
      </w:r>
      <w:r w:rsidRPr="00124E7F">
        <w:t>and the proposed orphan works arrangements</w:t>
      </w:r>
    </w:p>
    <w:p w14:paraId="2040ADD6" w14:textId="77777777" w:rsidR="005E42F0" w:rsidRPr="00124E7F" w:rsidRDefault="009978DD" w:rsidP="00025AC4">
      <w:pPr>
        <w:pStyle w:val="EYBodytextwithparaspace"/>
      </w:pPr>
      <w:r w:rsidRPr="00124E7F">
        <w:t xml:space="preserve">Statutory </w:t>
      </w:r>
      <w:r w:rsidR="008D7BC8" w:rsidRPr="00124E7F">
        <w:t>licenses</w:t>
      </w:r>
      <w:r w:rsidR="00DB672A" w:rsidRPr="00124E7F">
        <w:t xml:space="preserve"> under </w:t>
      </w:r>
      <w:r w:rsidR="00EA0CB2" w:rsidRPr="00124E7F">
        <w:t>P</w:t>
      </w:r>
      <w:r w:rsidR="00DB672A" w:rsidRPr="00124E7F">
        <w:t xml:space="preserve">arts VA and VB of the Copyright Act allow the copying and communication of materials for education, whether or not they are orphaned, subject to the payment of reasonable remuneration to the declared collecting societies. </w:t>
      </w:r>
      <w:r w:rsidR="00EA0CB2" w:rsidRPr="00124E7F">
        <w:t>For example, d</w:t>
      </w:r>
      <w:r w:rsidR="005E42F0" w:rsidRPr="00124E7F">
        <w:t xml:space="preserve">ata submitted by </w:t>
      </w:r>
      <w:r w:rsidR="00EA0CB2" w:rsidRPr="00124E7F">
        <w:t>the COAG Education Council</w:t>
      </w:r>
      <w:r w:rsidR="005E42F0" w:rsidRPr="00124E7F">
        <w:t xml:space="preserve">, shows that orphan works represented around 20 per cent of all pages in the </w:t>
      </w:r>
      <w:r w:rsidR="00EA0CB2" w:rsidRPr="00124E7F">
        <w:t xml:space="preserve">2014 </w:t>
      </w:r>
      <w:r w:rsidR="005E42F0" w:rsidRPr="00124E7F">
        <w:t xml:space="preserve">Part VB survey, equating to </w:t>
      </w:r>
      <w:r w:rsidR="005D236A" w:rsidRPr="00124E7F">
        <w:t>licens</w:t>
      </w:r>
      <w:r w:rsidR="007D4AFF" w:rsidRPr="00124E7F">
        <w:t>e</w:t>
      </w:r>
      <w:r w:rsidR="00EA0CB2" w:rsidRPr="00124E7F">
        <w:t xml:space="preserve"> payments of around $9.2 million to the Copyright Agency.</w:t>
      </w:r>
      <w:r w:rsidR="00EA0CB2" w:rsidRPr="00124E7F">
        <w:rPr>
          <w:vertAlign w:val="superscript"/>
        </w:rPr>
        <w:footnoteReference w:id="226"/>
      </w:r>
    </w:p>
    <w:p w14:paraId="6C59B7FE" w14:textId="77777777" w:rsidR="005E42F0" w:rsidRPr="00124E7F" w:rsidRDefault="00DB672A" w:rsidP="00025AC4">
      <w:pPr>
        <w:pStyle w:val="EYBodytextwithparaspace"/>
      </w:pPr>
      <w:r w:rsidRPr="00124E7F">
        <w:t xml:space="preserve">Fees collected </w:t>
      </w:r>
      <w:r w:rsidR="00EA0CB2" w:rsidRPr="00124E7F">
        <w:t xml:space="preserve">by the collecting societies </w:t>
      </w:r>
      <w:r w:rsidRPr="00124E7F">
        <w:t>from uses of an orphan work are held in a trust for a period of four years. At the end of this period, if the right</w:t>
      </w:r>
      <w:r w:rsidR="00C37ECD" w:rsidRPr="00124E7F">
        <w:t>s</w:t>
      </w:r>
      <w:r w:rsidRPr="00124E7F">
        <w:t xml:space="preserve"> holder of this work has not been identified, or if the right</w:t>
      </w:r>
      <w:r w:rsidR="00C37ECD" w:rsidRPr="00124E7F">
        <w:t>s</w:t>
      </w:r>
      <w:r w:rsidRPr="00124E7F">
        <w:t xml:space="preserve"> holder is not a member of the collecting society, the fees are redistributed among the current members of the collecting society. </w:t>
      </w:r>
    </w:p>
    <w:p w14:paraId="48F46F87" w14:textId="77777777" w:rsidR="00DB672A" w:rsidRPr="00124E7F" w:rsidRDefault="00DB672A" w:rsidP="00025AC4">
      <w:pPr>
        <w:pStyle w:val="EYBodytextwithparaspace"/>
      </w:pPr>
      <w:r w:rsidRPr="00124E7F">
        <w:t xml:space="preserve">Under the proposed arrangements, uses of works found to be orphaned following a reasonably diligent search, may no longer </w:t>
      </w:r>
      <w:r w:rsidR="00793726" w:rsidRPr="00124E7F">
        <w:t xml:space="preserve">be </w:t>
      </w:r>
      <w:r w:rsidR="005E42F0" w:rsidRPr="00124E7F">
        <w:t>remunerable</w:t>
      </w:r>
      <w:r w:rsidRPr="00124E7F">
        <w:t>. Therefore, there would be a transfer of income from right</w:t>
      </w:r>
      <w:r w:rsidR="00C37ECD" w:rsidRPr="00124E7F">
        <w:t>s</w:t>
      </w:r>
      <w:r w:rsidRPr="00124E7F">
        <w:t xml:space="preserve"> holders to users equal to the amount currently paid for these uses. However, even where money is held in a trust and redistributed to copyright holders, the recipients may have no connection with the orphan work, which is inconsistent with copyright’s purpose of providing an incentive to create by remunerating the author of a work. </w:t>
      </w:r>
    </w:p>
    <w:p w14:paraId="64676961" w14:textId="77777777" w:rsidR="00DB672A" w:rsidRPr="00124E7F" w:rsidRDefault="00EA0CB2" w:rsidP="00025AC4">
      <w:pPr>
        <w:pStyle w:val="EYBodytextwithparaspace"/>
      </w:pPr>
      <w:r w:rsidRPr="00124E7F">
        <w:t xml:space="preserve">This impact is considered in Section 3.5 – Education. </w:t>
      </w:r>
    </w:p>
    <w:p w14:paraId="6E42982F" w14:textId="77777777" w:rsidR="00A30052" w:rsidRPr="00202E68" w:rsidRDefault="00A30052" w:rsidP="00536578">
      <w:pPr>
        <w:pStyle w:val="EYHeading1"/>
        <w:rPr>
          <w:color w:val="auto"/>
        </w:rPr>
      </w:pPr>
      <w:bookmarkStart w:id="183" w:name="_Toc451769117"/>
      <w:bookmarkStart w:id="184" w:name="_Toc467768614"/>
      <w:bookmarkStart w:id="185" w:name="_Toc467768666"/>
      <w:bookmarkStart w:id="186" w:name="_Toc467768958"/>
      <w:bookmarkStart w:id="187" w:name="_Toc469644746"/>
      <w:r w:rsidRPr="00202E68">
        <w:rPr>
          <w:color w:val="auto"/>
        </w:rPr>
        <w:t>Fair dealing and fair use compared</w:t>
      </w:r>
      <w:bookmarkEnd w:id="183"/>
      <w:bookmarkEnd w:id="184"/>
      <w:bookmarkEnd w:id="185"/>
      <w:bookmarkEnd w:id="186"/>
      <w:bookmarkEnd w:id="187"/>
    </w:p>
    <w:p w14:paraId="0BD53D23" w14:textId="77777777" w:rsidR="005F55CE" w:rsidRPr="004213AE" w:rsidRDefault="005F55CE" w:rsidP="000869A3">
      <w:pPr>
        <w:pStyle w:val="EYHeading2"/>
        <w:tabs>
          <w:tab w:val="clear" w:pos="0"/>
        </w:tabs>
      </w:pPr>
      <w:bookmarkStart w:id="188" w:name="_Toc451769118"/>
      <w:bookmarkStart w:id="189" w:name="_Toc467768615"/>
      <w:bookmarkStart w:id="190" w:name="_Toc467768667"/>
      <w:bookmarkStart w:id="191" w:name="_Toc467768959"/>
      <w:bookmarkStart w:id="192" w:name="_Toc467769087"/>
      <w:bookmarkStart w:id="193" w:name="_Toc469644747"/>
      <w:r w:rsidRPr="004213AE">
        <w:t>Certainty</w:t>
      </w:r>
      <w:bookmarkEnd w:id="188"/>
      <w:bookmarkEnd w:id="189"/>
      <w:bookmarkEnd w:id="190"/>
      <w:bookmarkEnd w:id="191"/>
      <w:bookmarkEnd w:id="192"/>
      <w:bookmarkEnd w:id="193"/>
      <w:r w:rsidRPr="004213AE">
        <w:t xml:space="preserve"> </w:t>
      </w:r>
    </w:p>
    <w:p w14:paraId="0E971726" w14:textId="77777777" w:rsidR="005F55CE" w:rsidRPr="00124E7F" w:rsidRDefault="005F55CE" w:rsidP="00025AC4">
      <w:pPr>
        <w:pStyle w:val="EYHeading3"/>
      </w:pPr>
      <w:r w:rsidRPr="00124E7F">
        <w:t xml:space="preserve">Fair use exception </w:t>
      </w:r>
    </w:p>
    <w:p w14:paraId="555FBF75" w14:textId="77777777" w:rsidR="005F55CE" w:rsidRPr="00124E7F" w:rsidRDefault="005F55CE" w:rsidP="00025AC4">
      <w:pPr>
        <w:pStyle w:val="EYBodytextwithparaspace"/>
      </w:pPr>
      <w:r w:rsidRPr="00124E7F">
        <w:t xml:space="preserve">There is a view that the fair use exception would be less certain than the current fair dealing exceptions. More specifically, it is argued that moving from the status quo (which is </w:t>
      </w:r>
      <w:proofErr w:type="spellStart"/>
      <w:r w:rsidRPr="00124E7F">
        <w:t>characterised</w:t>
      </w:r>
      <w:proofErr w:type="spellEnd"/>
      <w:r w:rsidRPr="00124E7F">
        <w:t xml:space="preserve"> by a closed list of prescriptive exceptions) to the fair use exception (which would be </w:t>
      </w:r>
      <w:proofErr w:type="spellStart"/>
      <w:r w:rsidRPr="00124E7F">
        <w:t>characterised</w:t>
      </w:r>
      <w:proofErr w:type="spellEnd"/>
      <w:r w:rsidRPr="00124E7F">
        <w:t xml:space="preserve"> by an open-ended, principle-based exception) would reduce certainty on what constitutes infringement of copyright material. </w:t>
      </w:r>
      <w:r w:rsidR="0025340F" w:rsidRPr="00124E7F">
        <w:t>Stakeholders maintain that t</w:t>
      </w:r>
      <w:r w:rsidRPr="00124E7F">
        <w:t xml:space="preserve">he impacts of this reduction in certainty could include:  </w:t>
      </w:r>
    </w:p>
    <w:p w14:paraId="5540BD40" w14:textId="77777777" w:rsidR="005F55CE" w:rsidRPr="00124E7F" w:rsidRDefault="005F55CE" w:rsidP="00634BB4">
      <w:pPr>
        <w:pStyle w:val="EYBulletedText1"/>
      </w:pPr>
      <w:r w:rsidRPr="00124E7F">
        <w:rPr>
          <w:b/>
        </w:rPr>
        <w:t>Increased monitoring and enforcement costs</w:t>
      </w:r>
      <w:r w:rsidRPr="00124E7F">
        <w:t xml:space="preserve"> – less certainty could lead to an actual or perceived increase in </w:t>
      </w:r>
      <w:proofErr w:type="spellStart"/>
      <w:r w:rsidRPr="00124E7F">
        <w:t>unauthorised</w:t>
      </w:r>
      <w:proofErr w:type="spellEnd"/>
      <w:r w:rsidRPr="00124E7F">
        <w:t xml:space="preserve"> use. As a consequence, </w:t>
      </w:r>
      <w:r w:rsidR="009C6310" w:rsidRPr="00124E7F">
        <w:t>right</w:t>
      </w:r>
      <w:r w:rsidR="00C37ECD" w:rsidRPr="00124E7F">
        <w:t>s</w:t>
      </w:r>
      <w:r w:rsidR="009C6310" w:rsidRPr="00124E7F">
        <w:t xml:space="preserve"> holders</w:t>
      </w:r>
      <w:r w:rsidRPr="00124E7F">
        <w:t xml:space="preserve"> may increase their monitoring activities, and initiate more undertakings to enforce their copyrights. Less certainty could also increase the likelihood that enforcement</w:t>
      </w:r>
      <w:r w:rsidR="00CB11AE" w:rsidRPr="00124E7F">
        <w:t xml:space="preserve"> undertakings proceed to trial, </w:t>
      </w:r>
      <w:r w:rsidRPr="00124E7F">
        <w:t>as the parties involved may have different interpretations of their respect</w:t>
      </w:r>
      <w:r w:rsidR="00CB11AE" w:rsidRPr="00124E7F">
        <w:t>ive chances of winning at trial</w:t>
      </w:r>
      <w:r w:rsidRPr="00124E7F">
        <w:t>. The perceived difference in litigation rates and costs between the American copyright system (based on fair use) and</w:t>
      </w:r>
      <w:r w:rsidR="00F12F74" w:rsidRPr="00124E7F">
        <w:t>,</w:t>
      </w:r>
      <w:r w:rsidRPr="00124E7F">
        <w:t xml:space="preserve"> more prescriptive copyright systems (such as those of the United Kingdom and Australia)</w:t>
      </w:r>
      <w:r w:rsidR="00F12F74" w:rsidRPr="00124E7F">
        <w:t>,</w:t>
      </w:r>
      <w:r w:rsidRPr="00124E7F">
        <w:t xml:space="preserve"> is typically seen as evidence of the greater uncertainty associated with fair use. Such comparisons are also used to inform estimates of the potential increase in enforcement costs that </w:t>
      </w:r>
      <w:r w:rsidR="009C6310" w:rsidRPr="00124E7F">
        <w:t>right</w:t>
      </w:r>
      <w:r w:rsidR="00C37ECD" w:rsidRPr="00124E7F">
        <w:t>s</w:t>
      </w:r>
      <w:r w:rsidR="009C6310" w:rsidRPr="00124E7F">
        <w:t xml:space="preserve"> holders</w:t>
      </w:r>
      <w:r w:rsidRPr="00124E7F">
        <w:t xml:space="preserve"> and users in Australia would experience</w:t>
      </w:r>
      <w:r w:rsidR="00F12F74" w:rsidRPr="00124E7F">
        <w:t>,</w:t>
      </w:r>
      <w:r w:rsidRPr="00124E7F">
        <w:t xml:space="preserve"> if fair use was adopted. For instance, PwC recently estimated that implementing fair use could increase legal costs fivefold – based on a comparison of the numb</w:t>
      </w:r>
      <w:r w:rsidR="00CB11AE" w:rsidRPr="00124E7F">
        <w:t>er of fair dealing and fair use</w:t>
      </w:r>
      <w:r w:rsidRPr="00124E7F">
        <w:t xml:space="preserve"> cases in the United Kingdom and the United States, respectively.</w:t>
      </w:r>
      <w:r w:rsidRPr="00124E7F">
        <w:rPr>
          <w:rStyle w:val="FootnoteReference"/>
          <w:position w:val="0"/>
          <w:sz w:val="20"/>
        </w:rPr>
        <w:footnoteReference w:id="227"/>
      </w:r>
      <w:r w:rsidRPr="00124E7F">
        <w:rPr>
          <w:vertAlign w:val="superscript"/>
        </w:rPr>
        <w:t xml:space="preserve"> </w:t>
      </w:r>
    </w:p>
    <w:p w14:paraId="2FA9209C" w14:textId="77777777" w:rsidR="005F55CE" w:rsidRPr="00124E7F" w:rsidRDefault="005F55CE" w:rsidP="00634BB4">
      <w:pPr>
        <w:pStyle w:val="EYBulletedText1"/>
      </w:pPr>
      <w:r w:rsidRPr="00124E7F">
        <w:rPr>
          <w:b/>
        </w:rPr>
        <w:t>Reduced incentives for the creation and distribution of copyright material</w:t>
      </w:r>
      <w:r w:rsidRPr="00124E7F">
        <w:t xml:space="preserve"> – as the ALRC states, ‘if </w:t>
      </w:r>
      <w:r w:rsidR="009C6310" w:rsidRPr="00124E7F">
        <w:t>right</w:t>
      </w:r>
      <w:r w:rsidR="00C37ECD" w:rsidRPr="00124E7F">
        <w:t>s</w:t>
      </w:r>
      <w:r w:rsidR="009C6310" w:rsidRPr="00124E7F">
        <w:t xml:space="preserve"> holders</w:t>
      </w:r>
      <w:r w:rsidRPr="00124E7F">
        <w:t xml:space="preserve"> are unsure whether they will be able to exploit their rights exclusively, this could inhibit creation and distribution.’</w:t>
      </w:r>
      <w:r w:rsidRPr="00124E7F">
        <w:rPr>
          <w:rStyle w:val="FootnoteReference"/>
          <w:position w:val="0"/>
          <w:sz w:val="20"/>
        </w:rPr>
        <w:footnoteReference w:id="228"/>
      </w:r>
    </w:p>
    <w:p w14:paraId="0654CAC8" w14:textId="77777777" w:rsidR="005F55CE" w:rsidRPr="00124E7F" w:rsidRDefault="005F55CE" w:rsidP="00634BB4">
      <w:pPr>
        <w:pStyle w:val="EYBulletedText1"/>
      </w:pPr>
      <w:r w:rsidRPr="00124E7F">
        <w:rPr>
          <w:b/>
        </w:rPr>
        <w:t>Reduced follow-on innovation</w:t>
      </w:r>
      <w:r w:rsidRPr="00124E7F">
        <w:t xml:space="preserve"> – as </w:t>
      </w:r>
      <w:proofErr w:type="spellStart"/>
      <w:r w:rsidRPr="00124E7F">
        <w:t>Palmedo</w:t>
      </w:r>
      <w:proofErr w:type="spellEnd"/>
      <w:r w:rsidRPr="00124E7F">
        <w:t xml:space="preserve"> states, ‘if companies and innovators do not know in advance whether new types of uses would be found “fair” in a potential court case, they will not take advantage of flexibilities offered by the letter of the law.’</w:t>
      </w:r>
      <w:r w:rsidRPr="00124E7F">
        <w:rPr>
          <w:rStyle w:val="FootnoteReference"/>
          <w:position w:val="0"/>
          <w:sz w:val="20"/>
        </w:rPr>
        <w:footnoteReference w:id="229"/>
      </w:r>
    </w:p>
    <w:p w14:paraId="14C0F7B1" w14:textId="77777777" w:rsidR="00701ED1" w:rsidRPr="00124E7F" w:rsidRDefault="00701ED1" w:rsidP="00025AC4">
      <w:pPr>
        <w:pStyle w:val="EYBodytextwithparaspace"/>
      </w:pPr>
      <w:r w:rsidRPr="00124E7F">
        <w:t>In our view, it is reasonable to expect that imple</w:t>
      </w:r>
      <w:r w:rsidR="00CB11AE" w:rsidRPr="00124E7F">
        <w:t xml:space="preserve">menting the fair use exception, </w:t>
      </w:r>
      <w:r w:rsidRPr="00124E7F">
        <w:t xml:space="preserve">like any major reform to an </w:t>
      </w:r>
      <w:r w:rsidR="00EF032C" w:rsidRPr="00124E7F">
        <w:t xml:space="preserve">established </w:t>
      </w:r>
      <w:r w:rsidR="00CB11AE" w:rsidRPr="00124E7F">
        <w:t>legislative framework,</w:t>
      </w:r>
      <w:r w:rsidRPr="00124E7F">
        <w:t xml:space="preserve"> would increase uncertainty for key stakeholders in the short term. The increased uncertainty could lead to:  </w:t>
      </w:r>
    </w:p>
    <w:p w14:paraId="49EB0DA7" w14:textId="77777777" w:rsidR="00701ED1" w:rsidRPr="00124E7F" w:rsidRDefault="00701ED1" w:rsidP="00634BB4">
      <w:pPr>
        <w:pStyle w:val="EYBulletedText1"/>
      </w:pPr>
      <w:r w:rsidRPr="00124E7F">
        <w:t xml:space="preserve">Increased monitoring and enforcement costs – a number of stakeholders maintained during our interviews that adopting fair use could trigger a spike in litigation as </w:t>
      </w:r>
      <w:r w:rsidR="009C6310" w:rsidRPr="00124E7F">
        <w:t>right</w:t>
      </w:r>
      <w:r w:rsidR="00C37ECD" w:rsidRPr="00124E7F">
        <w:t>s</w:t>
      </w:r>
      <w:r w:rsidR="009C6310" w:rsidRPr="00124E7F">
        <w:t xml:space="preserve"> holders</w:t>
      </w:r>
      <w:r w:rsidRPr="00124E7F">
        <w:t xml:space="preserve"> and users of copyright material sought to test the boundaries of the new exception and establish precedent </w:t>
      </w:r>
    </w:p>
    <w:p w14:paraId="59779D07" w14:textId="77777777" w:rsidR="00682F51" w:rsidRPr="00124E7F" w:rsidRDefault="00682F51" w:rsidP="00634BB4">
      <w:pPr>
        <w:pStyle w:val="EYBulletedText1"/>
      </w:pPr>
      <w:r w:rsidRPr="00124E7F">
        <w:t xml:space="preserve">A reduction </w:t>
      </w:r>
      <w:r w:rsidR="00EF032C" w:rsidRPr="00124E7F">
        <w:t xml:space="preserve">or stagnation </w:t>
      </w:r>
      <w:r w:rsidRPr="00124E7F">
        <w:t xml:space="preserve">in the creation of copyright material and follow-up innovation based on </w:t>
      </w:r>
      <w:r w:rsidR="00084A14" w:rsidRPr="00124E7F">
        <w:t xml:space="preserve">copyright material. </w:t>
      </w:r>
    </w:p>
    <w:p w14:paraId="5CCFFBD2" w14:textId="77777777" w:rsidR="00014E39" w:rsidRPr="00124E7F" w:rsidRDefault="00701ED1" w:rsidP="00025AC4">
      <w:pPr>
        <w:pStyle w:val="EYBodytextwithparaspace"/>
      </w:pPr>
      <w:r w:rsidRPr="00124E7F">
        <w:t>The magnitude of these impacts is difficult to estimate</w:t>
      </w:r>
      <w:r w:rsidR="003C303A" w:rsidRPr="00124E7F">
        <w:t xml:space="preserve">. Their significance </w:t>
      </w:r>
      <w:r w:rsidRPr="00124E7F">
        <w:t>would be dependent on how the fair use exception was</w:t>
      </w:r>
      <w:r w:rsidR="0065659D" w:rsidRPr="00124E7F">
        <w:t xml:space="preserve"> implemented </w:t>
      </w:r>
      <w:r w:rsidR="0065659D" w:rsidRPr="00124E7F">
        <w:noBreakHyphen/>
        <w:t xml:space="preserve"> </w:t>
      </w:r>
      <w:r w:rsidRPr="00124E7F">
        <w:t>particularly in relation to the quantity and quality of guidance material developed by government,</w:t>
      </w:r>
      <w:r w:rsidR="0065659D" w:rsidRPr="00124E7F">
        <w:t xml:space="preserve"> </w:t>
      </w:r>
      <w:r w:rsidR="009C6310" w:rsidRPr="00124E7F">
        <w:t>right</w:t>
      </w:r>
      <w:r w:rsidR="00C37ECD" w:rsidRPr="00124E7F">
        <w:t>s</w:t>
      </w:r>
      <w:r w:rsidR="009C6310" w:rsidRPr="00124E7F">
        <w:t xml:space="preserve"> holders</w:t>
      </w:r>
      <w:r w:rsidR="0065659D" w:rsidRPr="00124E7F">
        <w:t xml:space="preserve"> and user bodies</w:t>
      </w:r>
      <w:r w:rsidRPr="00124E7F">
        <w:t xml:space="preserve">. </w:t>
      </w:r>
    </w:p>
    <w:p w14:paraId="31FC7ECE" w14:textId="77777777" w:rsidR="00014E39" w:rsidRPr="00124E7F" w:rsidRDefault="003C303A" w:rsidP="00025AC4">
      <w:pPr>
        <w:pStyle w:val="EYBodytextwithparaspace"/>
      </w:pPr>
      <w:r w:rsidRPr="00124E7F">
        <w:t xml:space="preserve">International experience suggests that guidance material can play a strong role in increasing stakeholder understanding </w:t>
      </w:r>
      <w:r w:rsidR="0065659D" w:rsidRPr="00124E7F">
        <w:t xml:space="preserve">of fair use and </w:t>
      </w:r>
      <w:r w:rsidRPr="00124E7F">
        <w:t xml:space="preserve">providing greater certainty about its application. For instance, a number of stakeholders highlighted the example of the </w:t>
      </w:r>
      <w:r w:rsidRPr="00124E7F">
        <w:rPr>
          <w:i/>
        </w:rPr>
        <w:t>Documentary Filmmakers Statement of Best Practices in Fair Use</w:t>
      </w:r>
      <w:r w:rsidRPr="00124E7F">
        <w:t xml:space="preserve">. </w:t>
      </w:r>
      <w:r w:rsidR="00014E39" w:rsidRPr="00124E7F">
        <w:t xml:space="preserve">Released in November 2005, this guidance material is widely seen as providing clear </w:t>
      </w:r>
      <w:r w:rsidR="00DA1D39" w:rsidRPr="00124E7F">
        <w:t>direction</w:t>
      </w:r>
      <w:r w:rsidR="00014E39" w:rsidRPr="00124E7F">
        <w:t xml:space="preserve"> on how documentary filmmakers could apply fair use, as well as enabling complaint films to secure ‘errors and omissions’ insurance and expand their distribution.</w:t>
      </w:r>
      <w:r w:rsidR="00014E39" w:rsidRPr="00124E7F">
        <w:rPr>
          <w:vertAlign w:val="superscript"/>
        </w:rPr>
        <w:footnoteReference w:id="230"/>
      </w:r>
      <w:r w:rsidR="00014E39" w:rsidRPr="00124E7F">
        <w:t xml:space="preserve"> </w:t>
      </w:r>
    </w:p>
    <w:p w14:paraId="3E9984AB" w14:textId="77777777" w:rsidR="00014E39" w:rsidRPr="00124E7F" w:rsidRDefault="00014E39" w:rsidP="00025AC4">
      <w:pPr>
        <w:pStyle w:val="EYBodytextwithparaspace"/>
      </w:pPr>
      <w:r w:rsidRPr="00124E7F">
        <w:t>It is important to note that not all guidance material developed in the United States has proved successful in enhancing stakeholder understanding of the application of fair use.</w:t>
      </w:r>
      <w:r w:rsidR="0065659D" w:rsidRPr="00124E7F">
        <w:rPr>
          <w:vertAlign w:val="superscript"/>
        </w:rPr>
        <w:footnoteReference w:id="231"/>
      </w:r>
      <w:r w:rsidRPr="00124E7F">
        <w:rPr>
          <w:vertAlign w:val="superscript"/>
        </w:rPr>
        <w:t xml:space="preserve"> </w:t>
      </w:r>
      <w:r w:rsidR="0065659D" w:rsidRPr="00124E7F">
        <w:t xml:space="preserve">This notwithstanding, the American experience does provide a number of lessons on how to </w:t>
      </w:r>
      <w:proofErr w:type="spellStart"/>
      <w:r w:rsidR="0065659D" w:rsidRPr="00124E7F">
        <w:t>maximise</w:t>
      </w:r>
      <w:proofErr w:type="spellEnd"/>
      <w:r w:rsidR="0065659D" w:rsidRPr="00124E7F">
        <w:t xml:space="preserve"> the effectiveness of guidance material. As </w:t>
      </w:r>
      <w:proofErr w:type="spellStart"/>
      <w:r w:rsidR="0065659D" w:rsidRPr="00124E7F">
        <w:t>Hinze</w:t>
      </w:r>
      <w:proofErr w:type="spellEnd"/>
      <w:r w:rsidR="0065659D" w:rsidRPr="00124E7F">
        <w:t xml:space="preserve"> et al recently stated: </w:t>
      </w:r>
    </w:p>
    <w:p w14:paraId="22837A2D" w14:textId="77777777" w:rsidR="0065659D" w:rsidRPr="00124E7F" w:rsidRDefault="0065659D" w:rsidP="00ED7528">
      <w:pPr>
        <w:pStyle w:val="EYIndent1"/>
        <w:rPr>
          <w:i/>
        </w:rPr>
      </w:pPr>
      <w:r w:rsidRPr="00124E7F">
        <w:rPr>
          <w:i/>
        </w:rPr>
        <w:t>‘The United States experience under the Copyright Act of 1976 indicates voluntary guidance documents can be a means by which to achieve greater levels of certainty, and provide predictability and normative guidance to users. In our experience, such voluntary guidance documents have proven most useful when they have (</w:t>
      </w:r>
      <w:proofErr w:type="spellStart"/>
      <w:r w:rsidRPr="00124E7F">
        <w:rPr>
          <w:i/>
        </w:rPr>
        <w:t>i</w:t>
      </w:r>
      <w:proofErr w:type="spellEnd"/>
      <w:r w:rsidRPr="00124E7F">
        <w:rPr>
          <w:i/>
        </w:rPr>
        <w:t>) evolved organically (rather than being developed in the context of a legislative reference or government facilitation), (ii) been perceived as being balanced (rather than, for instance, reflective of only one side of the copyright balance), (iii) been widely accepted by the copyright user community, and (iv) been widely adopted in that communities’ actual practice.’</w:t>
      </w:r>
      <w:r w:rsidRPr="00124E7F">
        <w:rPr>
          <w:rStyle w:val="AAnormalChar"/>
          <w:i/>
          <w:vertAlign w:val="superscript"/>
        </w:rPr>
        <w:footnoteReference w:id="232"/>
      </w:r>
      <w:r w:rsidRPr="00124E7F">
        <w:rPr>
          <w:rStyle w:val="AAnormalChar"/>
          <w:i/>
          <w:vertAlign w:val="superscript"/>
        </w:rPr>
        <w:t xml:space="preserve"> </w:t>
      </w:r>
    </w:p>
    <w:p w14:paraId="0693ED34" w14:textId="77777777" w:rsidR="0065659D" w:rsidRPr="00124E7F" w:rsidRDefault="0065659D" w:rsidP="00025AC4">
      <w:pPr>
        <w:pStyle w:val="EYBodytextwithparaspace"/>
      </w:pPr>
      <w:r w:rsidRPr="00124E7F">
        <w:t xml:space="preserve">Beyond implementation, it is unlikely that the fair use exception, by its inherent nature, would reduce certainty for </w:t>
      </w:r>
      <w:r w:rsidR="009C6310" w:rsidRPr="00124E7F">
        <w:t>right</w:t>
      </w:r>
      <w:r w:rsidR="00C37ECD" w:rsidRPr="00124E7F">
        <w:t>s</w:t>
      </w:r>
      <w:r w:rsidR="009C6310" w:rsidRPr="00124E7F">
        <w:t xml:space="preserve"> holders</w:t>
      </w:r>
      <w:r w:rsidRPr="00124E7F">
        <w:t xml:space="preserve"> and users of copyright material compared to the status quo. This </w:t>
      </w:r>
      <w:r w:rsidR="000D0E04" w:rsidRPr="00124E7F">
        <w:t xml:space="preserve">contention is based on the following three observations: </w:t>
      </w:r>
    </w:p>
    <w:p w14:paraId="73FFA274" w14:textId="77777777" w:rsidR="005F55CE" w:rsidRPr="00124E7F" w:rsidRDefault="005F55CE" w:rsidP="00C46978">
      <w:pPr>
        <w:pStyle w:val="EYNumber"/>
        <w:numPr>
          <w:ilvl w:val="0"/>
          <w:numId w:val="20"/>
        </w:numPr>
      </w:pPr>
      <w:r w:rsidRPr="00124E7F">
        <w:t xml:space="preserve">The status quo itself is relatively uncertain </w:t>
      </w:r>
    </w:p>
    <w:p w14:paraId="31082FAE" w14:textId="77777777" w:rsidR="005F55CE" w:rsidRPr="00124E7F" w:rsidRDefault="005F55CE" w:rsidP="00025AC4">
      <w:pPr>
        <w:pStyle w:val="EYNumber"/>
      </w:pPr>
      <w:r w:rsidRPr="00124E7F">
        <w:t xml:space="preserve">The fair use exception is likely to be relatively predictable </w:t>
      </w:r>
    </w:p>
    <w:p w14:paraId="221A03A6" w14:textId="77777777" w:rsidR="005F55CE" w:rsidRPr="00124E7F" w:rsidRDefault="005F55CE" w:rsidP="00025AC4">
      <w:pPr>
        <w:pStyle w:val="EYNumber"/>
      </w:pPr>
      <w:r w:rsidRPr="00124E7F">
        <w:t xml:space="preserve">The relationship between fair use and increased enforcement costs is unclear. </w:t>
      </w:r>
    </w:p>
    <w:p w14:paraId="5B0ABE2F" w14:textId="77777777" w:rsidR="008F0883" w:rsidRPr="00124E7F" w:rsidRDefault="008F0883" w:rsidP="008F0883"/>
    <w:p w14:paraId="462F0AD5" w14:textId="77777777" w:rsidR="005F55CE" w:rsidRPr="00124E7F" w:rsidRDefault="005F55CE" w:rsidP="00025AC4">
      <w:pPr>
        <w:pStyle w:val="EYHeading4"/>
      </w:pPr>
      <w:r w:rsidRPr="00124E7F">
        <w:t xml:space="preserve">The relative uncertainty of the status quo </w:t>
      </w:r>
    </w:p>
    <w:p w14:paraId="15BF6D97" w14:textId="77777777" w:rsidR="00EF032C" w:rsidRPr="00124E7F" w:rsidRDefault="005F55CE" w:rsidP="00025AC4">
      <w:pPr>
        <w:pStyle w:val="EYBodytextwithparaspace"/>
      </w:pPr>
      <w:r w:rsidRPr="00124E7F">
        <w:t>It is clear from stakeholder feedback that the current fair dealing exceptions provide sufficient certainty to some stakeholders.</w:t>
      </w:r>
      <w:r w:rsidR="008F0883" w:rsidRPr="00124E7F">
        <w:t xml:space="preserve"> </w:t>
      </w:r>
      <w:r w:rsidR="008F0883" w:rsidRPr="00124E7F">
        <w:fldChar w:fldCharType="begin"/>
      </w:r>
      <w:r w:rsidR="008F0883" w:rsidRPr="00124E7F">
        <w:instrText xml:space="preserve"> REF _Ref467507402 \h </w:instrText>
      </w:r>
      <w:r w:rsidR="008F0883" w:rsidRPr="00124E7F">
        <w:fldChar w:fldCharType="separate"/>
      </w:r>
      <w:r w:rsidR="0075700D" w:rsidRPr="00124E7F">
        <w:t xml:space="preserve">Box </w:t>
      </w:r>
      <w:r w:rsidR="0075700D">
        <w:rPr>
          <w:noProof/>
        </w:rPr>
        <w:t>9</w:t>
      </w:r>
      <w:r w:rsidR="008F0883" w:rsidRPr="00124E7F">
        <w:fldChar w:fldCharType="end"/>
      </w:r>
      <w:r w:rsidRPr="00124E7F">
        <w:t xml:space="preserve"> provides a sample of stakeholder views to this effect. </w:t>
      </w:r>
    </w:p>
    <w:p w14:paraId="6BDBF605" w14:textId="77777777" w:rsidR="00EF032C" w:rsidRPr="00124E7F" w:rsidRDefault="00660B6E" w:rsidP="00660B6E">
      <w:pPr>
        <w:pStyle w:val="Caption"/>
        <w:pBdr>
          <w:top w:val="single" w:sz="4" w:space="1" w:color="808080" w:themeColor="background1" w:themeShade="80"/>
        </w:pBdr>
      </w:pPr>
      <w:bookmarkStart w:id="194" w:name="_Ref467507402"/>
      <w:bookmarkStart w:id="195" w:name="_Ref449101053"/>
      <w:r w:rsidRPr="00124E7F">
        <w:t xml:space="preserve">Box </w:t>
      </w:r>
      <w:r w:rsidRPr="00124E7F">
        <w:fldChar w:fldCharType="begin"/>
      </w:r>
      <w:r w:rsidRPr="00124E7F">
        <w:instrText xml:space="preserve"> SEQ Box \* ARABIC </w:instrText>
      </w:r>
      <w:r w:rsidRPr="00124E7F">
        <w:fldChar w:fldCharType="separate"/>
      </w:r>
      <w:r w:rsidR="0075700D">
        <w:rPr>
          <w:noProof/>
        </w:rPr>
        <w:t>9</w:t>
      </w:r>
      <w:r w:rsidRPr="00124E7F">
        <w:fldChar w:fldCharType="end"/>
      </w:r>
      <w:bookmarkEnd w:id="194"/>
      <w:r w:rsidR="008F0883" w:rsidRPr="00124E7F">
        <w:t>:</w:t>
      </w:r>
      <w:bookmarkEnd w:id="195"/>
      <w:r w:rsidR="008F0883" w:rsidRPr="00124E7F">
        <w:t xml:space="preserve"> </w:t>
      </w:r>
      <w:r w:rsidR="00EF032C" w:rsidRPr="00124E7F">
        <w:t>Select stakeholder feedback on the certainty provided by the current fair dealing exceptions</w:t>
      </w:r>
    </w:p>
    <w:p w14:paraId="707A188C" w14:textId="77777777" w:rsidR="008F0883" w:rsidRPr="00124E7F" w:rsidRDefault="008F0883" w:rsidP="008F0883">
      <w:pPr>
        <w:pStyle w:val="EYBodytextwithparaspace"/>
      </w:pPr>
      <w:r w:rsidRPr="00124E7F">
        <w:rPr>
          <w:rFonts w:ascii="Times New Roman" w:hAnsi="Times New Roman"/>
        </w:rPr>
        <w:t>‘</w:t>
      </w:r>
      <w:r w:rsidRPr="00124E7F">
        <w:t>The current [fair dealing] exceptions, as drafted, together with the guidance provided by judicial interpretation of these exceptions, provide sufficient certainty as to the respective rights of content producers and users. The existing exceptions also strike an appropriate balance between the interests of copyright owners and those who have a legitimate basis for using copyright material without consent.</w:t>
      </w:r>
    </w:p>
    <w:p w14:paraId="170CA115" w14:textId="77777777" w:rsidR="008F0883" w:rsidRPr="00124E7F" w:rsidRDefault="008F0883" w:rsidP="00153245">
      <w:pPr>
        <w:pStyle w:val="EYBodytextwithparaspace"/>
        <w:jc w:val="right"/>
        <w:rPr>
          <w:i/>
        </w:rPr>
      </w:pPr>
      <w:r w:rsidRPr="00124E7F">
        <w:rPr>
          <w:i/>
        </w:rPr>
        <w:t xml:space="preserve">Australian Associated Press (2012), ALRC submission </w:t>
      </w:r>
    </w:p>
    <w:p w14:paraId="5A8C5D99" w14:textId="77777777" w:rsidR="008F0883" w:rsidRPr="00124E7F" w:rsidRDefault="008F0883" w:rsidP="008F0883">
      <w:pPr>
        <w:pStyle w:val="EYBodytextwithparaspace"/>
      </w:pPr>
      <w:r w:rsidRPr="00124E7F">
        <w:t>‘There is no evidence that the current exceptions in Australia’s law are either difficult to understand or unworkable in practice. Had this been the case, it would have been expected to feature in decisions of the Courts. In practice there are very few cases in which copyright exceptions have been tested. Where they have been tested, the user has frequently succeeded in relying on the exceptions. Absent empirical evidence to suggest that the system is not working, the evidence points to the system operating efficiently and with sufficient clarity for copyright owners and users.’</w:t>
      </w:r>
    </w:p>
    <w:p w14:paraId="55EF8E8C" w14:textId="77777777" w:rsidR="008F0883" w:rsidRPr="00124E7F" w:rsidRDefault="008F0883" w:rsidP="00153245">
      <w:pPr>
        <w:pStyle w:val="EYBodytextwithparaspace"/>
        <w:jc w:val="right"/>
        <w:rPr>
          <w:i/>
        </w:rPr>
      </w:pPr>
      <w:r w:rsidRPr="00124E7F">
        <w:rPr>
          <w:i/>
        </w:rPr>
        <w:t>Australian Film/TV bodies (2015), Productivity Commission submission</w:t>
      </w:r>
    </w:p>
    <w:p w14:paraId="623C7423" w14:textId="77777777" w:rsidR="008F0883" w:rsidRPr="00124E7F" w:rsidRDefault="008F0883" w:rsidP="008F0883">
      <w:pPr>
        <w:pStyle w:val="EYBodytextwithparaspace"/>
      </w:pPr>
      <w:r w:rsidRPr="00124E7F">
        <w:t>‘Members of Free TV rely upon fair dealing for criticism and review, parody and satire and most importantly, reporting of news, on a daily basis in compiling programming. These exceptions provide clarity and certainty for broadcasters around the uses of copyright material that can be made for free and should not be removed.’</w:t>
      </w:r>
    </w:p>
    <w:p w14:paraId="44405667" w14:textId="77777777" w:rsidR="008F0883" w:rsidRPr="00124E7F" w:rsidRDefault="008F0883" w:rsidP="00153245">
      <w:pPr>
        <w:pStyle w:val="EYBodytextwithparaspace"/>
        <w:pBdr>
          <w:bottom w:val="single" w:sz="4" w:space="1" w:color="808080" w:themeColor="background1" w:themeShade="80"/>
        </w:pBdr>
        <w:jc w:val="right"/>
        <w:rPr>
          <w:i/>
        </w:rPr>
      </w:pPr>
      <w:r w:rsidRPr="00124E7F">
        <w:rPr>
          <w:i/>
        </w:rPr>
        <w:t>Free TV Australia (2015), Productivity Commission submission</w:t>
      </w:r>
    </w:p>
    <w:p w14:paraId="69CFA2A5" w14:textId="77777777" w:rsidR="005F55CE" w:rsidRPr="00124E7F" w:rsidRDefault="005F55CE" w:rsidP="00025AC4">
      <w:pPr>
        <w:pStyle w:val="EYBodytextwithparaspace"/>
      </w:pPr>
      <w:r w:rsidRPr="00124E7F">
        <w:t xml:space="preserve">On the whole, however, it is unlikely that the current fair dealing exceptions provide sufficient certainty to all stakeholders. </w:t>
      </w:r>
      <w:r w:rsidR="0065659D" w:rsidRPr="00124E7F">
        <w:t xml:space="preserve">The reasons for this are </w:t>
      </w:r>
      <w:r w:rsidR="000D0E04" w:rsidRPr="00124E7F">
        <w:t>threefold</w:t>
      </w:r>
      <w:r w:rsidRPr="00124E7F">
        <w:t>. First, in contrast with the opinions outlined in</w:t>
      </w:r>
      <w:r w:rsidR="00EF032C" w:rsidRPr="00124E7F">
        <w:t xml:space="preserve"> </w:t>
      </w:r>
      <w:r w:rsidR="008F0883" w:rsidRPr="00124E7F">
        <w:fldChar w:fldCharType="begin"/>
      </w:r>
      <w:r w:rsidR="008F0883" w:rsidRPr="00124E7F">
        <w:instrText xml:space="preserve"> REF _Ref467507402 \h </w:instrText>
      </w:r>
      <w:r w:rsidR="008F0883" w:rsidRPr="00124E7F">
        <w:fldChar w:fldCharType="separate"/>
      </w:r>
      <w:r w:rsidR="0075700D" w:rsidRPr="00124E7F">
        <w:t xml:space="preserve">Box </w:t>
      </w:r>
      <w:r w:rsidR="0075700D">
        <w:rPr>
          <w:noProof/>
        </w:rPr>
        <w:t>9</w:t>
      </w:r>
      <w:r w:rsidR="008F0883" w:rsidRPr="00124E7F">
        <w:fldChar w:fldCharType="end"/>
      </w:r>
      <w:r w:rsidRPr="00124E7F">
        <w:t>, a number of stakeholders have questioned the certainty provided by the status quo – either in general (e.g. ‘existing Australian fair dealing jurisprudence is anything but certain’</w:t>
      </w:r>
      <w:r w:rsidRPr="00124E7F">
        <w:rPr>
          <w:vertAlign w:val="superscript"/>
        </w:rPr>
        <w:footnoteReference w:id="233"/>
      </w:r>
      <w:r w:rsidRPr="00124E7F">
        <w:t>) or in relation to specific uses of copyright material (including data and text mining, education, incidental and technical use, libraries and archives, and time and format shifting</w:t>
      </w:r>
      <w:r w:rsidRPr="00124E7F">
        <w:rPr>
          <w:vertAlign w:val="superscript"/>
        </w:rPr>
        <w:footnoteReference w:id="234"/>
      </w:r>
      <w:r w:rsidRPr="00124E7F">
        <w:t>).</w:t>
      </w:r>
    </w:p>
    <w:p w14:paraId="5D9F707A" w14:textId="77777777" w:rsidR="005F55CE" w:rsidRPr="00124E7F" w:rsidRDefault="005F55CE" w:rsidP="003F51E2">
      <w:pPr>
        <w:pStyle w:val="EYBodytextwithparaspace"/>
      </w:pPr>
      <w:r w:rsidRPr="00124E7F">
        <w:t xml:space="preserve">Second, the Copyright Act </w:t>
      </w:r>
      <w:r w:rsidR="00744DF6" w:rsidRPr="00124E7F">
        <w:t xml:space="preserve">and its exceptions are </w:t>
      </w:r>
      <w:r w:rsidRPr="00124E7F">
        <w:t>complex. This complexity is likely to limit the predictability of the law for non-specialists and those that lack the resources to invest in understanding the law.</w:t>
      </w:r>
      <w:r w:rsidRPr="00124E7F">
        <w:rPr>
          <w:vertAlign w:val="superscript"/>
        </w:rPr>
        <w:footnoteReference w:id="235"/>
      </w:r>
      <w:r w:rsidRPr="00124E7F">
        <w:rPr>
          <w:vertAlign w:val="superscript"/>
        </w:rPr>
        <w:t xml:space="preserve"> </w:t>
      </w:r>
      <w:r w:rsidRPr="00124E7F">
        <w:t>The complexity of the Copyright Act is evident from expert opinion</w:t>
      </w:r>
      <w:r w:rsidR="007B45EB" w:rsidRPr="00124E7F">
        <w:t>,</w:t>
      </w:r>
      <w:r w:rsidRPr="00124E7F">
        <w:rPr>
          <w:vertAlign w:val="superscript"/>
        </w:rPr>
        <w:footnoteReference w:id="236"/>
      </w:r>
      <w:r w:rsidRPr="00124E7F">
        <w:t xml:space="preserve"> observed deficiencies in the drafting of the law</w:t>
      </w:r>
      <w:r w:rsidR="007B45EB" w:rsidRPr="00124E7F">
        <w:t>,</w:t>
      </w:r>
      <w:r w:rsidRPr="00124E7F">
        <w:rPr>
          <w:vertAlign w:val="superscript"/>
        </w:rPr>
        <w:footnoteReference w:id="237"/>
      </w:r>
      <w:r w:rsidRPr="00124E7F">
        <w:t xml:space="preserve"> and international comparisons. With reference to the last point, a quick comparison reveals that the Copyright Act has, on average, 3.5 times more sections and 3 times more pages than the copyright laws of New Zealand, the United Kingdom, the United States and Canada (</w:t>
      </w:r>
      <w:r w:rsidR="000D46AE" w:rsidRPr="00124E7F">
        <w:br/>
        <w:t xml:space="preserve">Table </w:t>
      </w:r>
      <w:r w:rsidR="000D46AE" w:rsidRPr="00124E7F">
        <w:fldChar w:fldCharType="begin"/>
      </w:r>
      <w:r w:rsidR="000D46AE" w:rsidRPr="00124E7F">
        <w:instrText xml:space="preserve"> REF table15 \h </w:instrText>
      </w:r>
      <w:r w:rsidR="000D46AE" w:rsidRPr="00124E7F">
        <w:fldChar w:fldCharType="separate"/>
      </w:r>
      <w:r w:rsidR="0075700D">
        <w:rPr>
          <w:noProof/>
        </w:rPr>
        <w:t>15</w:t>
      </w:r>
      <w:r w:rsidR="000D46AE" w:rsidRPr="00124E7F">
        <w:fldChar w:fldCharType="end"/>
      </w:r>
      <w:r w:rsidRPr="00124E7F">
        <w:t>). It was based on a similar comparison that led Sainsbury to conclude in 2011: ‘a case can be made that the Australian Copyright Act is the most complex in its form in the common law world.’</w:t>
      </w:r>
      <w:r w:rsidRPr="00124E7F">
        <w:rPr>
          <w:vertAlign w:val="superscript"/>
        </w:rPr>
        <w:footnoteReference w:id="238"/>
      </w:r>
    </w:p>
    <w:p w14:paraId="48AADEAC" w14:textId="77777777" w:rsidR="005F55CE" w:rsidRPr="00124E7F" w:rsidRDefault="008F0883" w:rsidP="008F0883">
      <w:pPr>
        <w:pStyle w:val="Caption"/>
      </w:pPr>
      <w:bookmarkStart w:id="196" w:name="_Ref446420908"/>
      <w:r w:rsidRPr="00124E7F">
        <w:t xml:space="preserve">Table </w:t>
      </w:r>
      <w:bookmarkStart w:id="197" w:name="table15"/>
      <w:r w:rsidRPr="00124E7F">
        <w:fldChar w:fldCharType="begin"/>
      </w:r>
      <w:r w:rsidRPr="00124E7F">
        <w:instrText xml:space="preserve"> SEQ Table \* ARABIC </w:instrText>
      </w:r>
      <w:r w:rsidRPr="00124E7F">
        <w:fldChar w:fldCharType="separate"/>
      </w:r>
      <w:r w:rsidR="0075700D">
        <w:rPr>
          <w:noProof/>
        </w:rPr>
        <w:t>15</w:t>
      </w:r>
      <w:r w:rsidRPr="00124E7F">
        <w:fldChar w:fldCharType="end"/>
      </w:r>
      <w:bookmarkEnd w:id="196"/>
      <w:bookmarkEnd w:id="197"/>
      <w:r w:rsidRPr="00124E7F">
        <w:t>: Comparison of copyright laws in select common law countries</w:t>
      </w:r>
    </w:p>
    <w:tbl>
      <w:tblPr>
        <w:tblStyle w:val="TableGrid"/>
        <w:tblW w:w="0" w:type="auto"/>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Description w:val="The table provides a comparison of copyright laws in select common law countries (as at 1 March 2016), as follows:&#10;&#10;Australia: &#10;• Legislation†: Copyright Act 1968&#10;• Number of sections: 740&#10;• Number of pages: 671&#10;&#10;New Zealand: &#10;• Legislation†: Copyright Act 1994&#10;• Number of sections: 338&#10;• Number of pages: 237&#10;&#10;United Kingdom: &#10;• Legislation†: Copyright, Designs and Patents Act 1988*&#10;• Number of sections: 229&#10;• Number of pages: 98&#10;&#10;United States: &#10;• Legislation†: Copyright Act of 1976&#10;• Number of sections: 136^&#10;• Number of pages: 366&#10;&#10;Canada: &#10;• Legislation†: Copyright Act, RSC 1985, c. C-42&#10;• Number of sections: 99&#10;• Number of pages: 164&#10;&#10;Table Note: † accessed 1 March 2016;  ‡ based on PDF version, excluding notes;  * limited to Part 1 and Schedule 1;  ^ excludes two repealed sections (509 and 601). &#10;"/>
      </w:tblPr>
      <w:tblGrid>
        <w:gridCol w:w="1696"/>
        <w:gridCol w:w="3686"/>
        <w:gridCol w:w="1772"/>
        <w:gridCol w:w="1772"/>
      </w:tblGrid>
      <w:tr w:rsidR="004213AE" w:rsidRPr="00124E7F" w14:paraId="116A4658" w14:textId="77777777" w:rsidTr="000D46AE">
        <w:trPr>
          <w:tblHeader/>
        </w:trPr>
        <w:tc>
          <w:tcPr>
            <w:tcW w:w="1696" w:type="dxa"/>
            <w:shd w:val="clear" w:color="auto" w:fill="F0F0F0" w:themeFill="accent4"/>
            <w:vAlign w:val="center"/>
          </w:tcPr>
          <w:p w14:paraId="5E2D4AF8" w14:textId="77777777" w:rsidR="005F55CE" w:rsidRPr="00124E7F" w:rsidRDefault="005F55CE" w:rsidP="00DD45BB">
            <w:pPr>
              <w:pStyle w:val="EYTableHeadingWhite"/>
              <w:keepNext/>
              <w:keepLines/>
              <w:jc w:val="center"/>
              <w:rPr>
                <w:rFonts w:ascii="EYInterstate Light" w:hAnsi="EYInterstate Light"/>
                <w:b/>
                <w:color w:val="auto"/>
                <w:sz w:val="22"/>
                <w:szCs w:val="22"/>
              </w:rPr>
            </w:pPr>
            <w:r w:rsidRPr="00124E7F">
              <w:rPr>
                <w:rFonts w:ascii="EYInterstate Light" w:hAnsi="EYInterstate Light"/>
                <w:b/>
                <w:color w:val="auto"/>
                <w:sz w:val="22"/>
                <w:szCs w:val="22"/>
              </w:rPr>
              <w:t>Jurisdiction</w:t>
            </w:r>
          </w:p>
        </w:tc>
        <w:tc>
          <w:tcPr>
            <w:tcW w:w="3686" w:type="dxa"/>
            <w:shd w:val="clear" w:color="auto" w:fill="F0F0F0" w:themeFill="accent4"/>
            <w:vAlign w:val="center"/>
          </w:tcPr>
          <w:p w14:paraId="0AA1E7CF" w14:textId="77777777" w:rsidR="005F55CE" w:rsidRPr="00124E7F" w:rsidRDefault="005F55CE" w:rsidP="00DD45BB">
            <w:pPr>
              <w:pStyle w:val="EYTableHeadingWhite"/>
              <w:keepNext/>
              <w:keepLines/>
              <w:jc w:val="center"/>
              <w:rPr>
                <w:rFonts w:ascii="EYInterstate Light" w:hAnsi="EYInterstate Light"/>
                <w:b/>
                <w:color w:val="auto"/>
                <w:sz w:val="22"/>
                <w:szCs w:val="22"/>
              </w:rPr>
            </w:pPr>
            <w:r w:rsidRPr="00124E7F">
              <w:rPr>
                <w:rFonts w:ascii="EYInterstate Light" w:hAnsi="EYInterstate Light"/>
                <w:b/>
                <w:color w:val="auto"/>
                <w:sz w:val="22"/>
                <w:szCs w:val="22"/>
              </w:rPr>
              <w:t>Legislation</w:t>
            </w:r>
            <w:r w:rsidRPr="00124E7F">
              <w:rPr>
                <w:rFonts w:ascii="EYInterstate Light" w:hAnsi="EYInterstate Light"/>
                <w:b/>
                <w:color w:val="auto"/>
                <w:sz w:val="22"/>
                <w:szCs w:val="22"/>
                <w:vertAlign w:val="superscript"/>
              </w:rPr>
              <w:t>†</w:t>
            </w:r>
          </w:p>
        </w:tc>
        <w:tc>
          <w:tcPr>
            <w:tcW w:w="1772" w:type="dxa"/>
            <w:shd w:val="clear" w:color="auto" w:fill="F0F0F0" w:themeFill="accent4"/>
            <w:vAlign w:val="center"/>
          </w:tcPr>
          <w:p w14:paraId="0046B044" w14:textId="77777777" w:rsidR="005F55CE" w:rsidRPr="00124E7F" w:rsidRDefault="005F55CE" w:rsidP="00DD45BB">
            <w:pPr>
              <w:pStyle w:val="EYTableHeadingWhite"/>
              <w:keepNext/>
              <w:keepLines/>
              <w:jc w:val="center"/>
              <w:rPr>
                <w:rFonts w:ascii="EYInterstate Light" w:hAnsi="EYInterstate Light"/>
                <w:b/>
                <w:color w:val="auto"/>
                <w:sz w:val="22"/>
                <w:szCs w:val="22"/>
              </w:rPr>
            </w:pPr>
            <w:r w:rsidRPr="00124E7F">
              <w:rPr>
                <w:rFonts w:ascii="EYInterstate Light" w:hAnsi="EYInterstate Light"/>
                <w:b/>
                <w:color w:val="auto"/>
                <w:sz w:val="22"/>
                <w:szCs w:val="22"/>
              </w:rPr>
              <w:t>Number of sections</w:t>
            </w:r>
          </w:p>
        </w:tc>
        <w:tc>
          <w:tcPr>
            <w:tcW w:w="1772" w:type="dxa"/>
            <w:shd w:val="clear" w:color="auto" w:fill="F0F0F0" w:themeFill="accent4"/>
            <w:vAlign w:val="center"/>
          </w:tcPr>
          <w:p w14:paraId="32E4DFCB" w14:textId="77777777" w:rsidR="005F55CE" w:rsidRPr="00124E7F" w:rsidRDefault="005F55CE" w:rsidP="00DD45BB">
            <w:pPr>
              <w:pStyle w:val="EYTableHeadingWhite"/>
              <w:keepNext/>
              <w:keepLines/>
              <w:jc w:val="center"/>
              <w:rPr>
                <w:rFonts w:ascii="EYInterstate Light" w:hAnsi="EYInterstate Light"/>
                <w:b/>
                <w:color w:val="auto"/>
                <w:sz w:val="22"/>
                <w:szCs w:val="22"/>
              </w:rPr>
            </w:pPr>
            <w:r w:rsidRPr="00124E7F">
              <w:rPr>
                <w:rFonts w:ascii="EYInterstate Light" w:hAnsi="EYInterstate Light"/>
                <w:b/>
                <w:color w:val="auto"/>
                <w:sz w:val="22"/>
                <w:szCs w:val="22"/>
              </w:rPr>
              <w:t>Number of pages</w:t>
            </w:r>
            <w:r w:rsidRPr="00124E7F">
              <w:rPr>
                <w:rFonts w:ascii="EYInterstate Light" w:hAnsi="EYInterstate Light"/>
                <w:b/>
                <w:color w:val="auto"/>
                <w:sz w:val="22"/>
                <w:szCs w:val="22"/>
                <w:vertAlign w:val="superscript"/>
              </w:rPr>
              <w:t>‡</w:t>
            </w:r>
          </w:p>
        </w:tc>
      </w:tr>
      <w:tr w:rsidR="004213AE" w:rsidRPr="00124E7F" w14:paraId="72A8FF86" w14:textId="77777777" w:rsidTr="000D46AE">
        <w:tc>
          <w:tcPr>
            <w:tcW w:w="1696" w:type="dxa"/>
          </w:tcPr>
          <w:p w14:paraId="3519466E" w14:textId="77777777" w:rsidR="005F55CE" w:rsidRPr="00124E7F" w:rsidRDefault="005F55CE" w:rsidP="00DD45BB">
            <w:pPr>
              <w:pStyle w:val="EYTableText"/>
              <w:keepNext/>
              <w:keepLines/>
              <w:rPr>
                <w:sz w:val="22"/>
                <w:szCs w:val="22"/>
              </w:rPr>
            </w:pPr>
            <w:r w:rsidRPr="00124E7F">
              <w:rPr>
                <w:sz w:val="22"/>
                <w:szCs w:val="22"/>
              </w:rPr>
              <w:t xml:space="preserve">Australia </w:t>
            </w:r>
          </w:p>
        </w:tc>
        <w:tc>
          <w:tcPr>
            <w:tcW w:w="3686" w:type="dxa"/>
          </w:tcPr>
          <w:p w14:paraId="25AFC719" w14:textId="77777777" w:rsidR="005F55CE" w:rsidRPr="00124E7F" w:rsidRDefault="005F55CE" w:rsidP="00DD45BB">
            <w:pPr>
              <w:pStyle w:val="EYTableText"/>
              <w:keepNext/>
              <w:keepLines/>
              <w:rPr>
                <w:i/>
                <w:sz w:val="22"/>
                <w:szCs w:val="22"/>
              </w:rPr>
            </w:pPr>
            <w:r w:rsidRPr="00124E7F">
              <w:rPr>
                <w:i/>
                <w:sz w:val="22"/>
                <w:szCs w:val="22"/>
              </w:rPr>
              <w:t>Copyright Act 1968</w:t>
            </w:r>
          </w:p>
        </w:tc>
        <w:tc>
          <w:tcPr>
            <w:tcW w:w="1772" w:type="dxa"/>
            <w:vAlign w:val="bottom"/>
          </w:tcPr>
          <w:p w14:paraId="6375DB74" w14:textId="77777777" w:rsidR="005F55CE" w:rsidRPr="00124E7F" w:rsidRDefault="005F55CE" w:rsidP="00DD45BB">
            <w:pPr>
              <w:pStyle w:val="EYTableText"/>
              <w:keepNext/>
              <w:keepLines/>
              <w:ind w:right="530"/>
              <w:jc w:val="right"/>
              <w:rPr>
                <w:sz w:val="22"/>
                <w:szCs w:val="22"/>
              </w:rPr>
            </w:pPr>
            <w:r w:rsidRPr="00124E7F">
              <w:rPr>
                <w:sz w:val="22"/>
                <w:szCs w:val="22"/>
              </w:rPr>
              <w:t>740</w:t>
            </w:r>
          </w:p>
        </w:tc>
        <w:tc>
          <w:tcPr>
            <w:tcW w:w="1772" w:type="dxa"/>
            <w:vAlign w:val="bottom"/>
          </w:tcPr>
          <w:p w14:paraId="3B70D505" w14:textId="77777777" w:rsidR="005F55CE" w:rsidRPr="00124E7F" w:rsidRDefault="005F55CE" w:rsidP="00DD45BB">
            <w:pPr>
              <w:pStyle w:val="EYTableText"/>
              <w:keepNext/>
              <w:keepLines/>
              <w:ind w:right="530"/>
              <w:jc w:val="right"/>
              <w:rPr>
                <w:sz w:val="22"/>
                <w:szCs w:val="22"/>
              </w:rPr>
            </w:pPr>
            <w:r w:rsidRPr="00124E7F">
              <w:rPr>
                <w:sz w:val="22"/>
                <w:szCs w:val="22"/>
              </w:rPr>
              <w:t>671</w:t>
            </w:r>
          </w:p>
        </w:tc>
      </w:tr>
      <w:tr w:rsidR="004213AE" w:rsidRPr="00124E7F" w14:paraId="0752AFA9" w14:textId="77777777" w:rsidTr="000D46AE">
        <w:tc>
          <w:tcPr>
            <w:tcW w:w="1696" w:type="dxa"/>
          </w:tcPr>
          <w:p w14:paraId="585FA84C" w14:textId="77777777" w:rsidR="005F55CE" w:rsidRPr="00124E7F" w:rsidRDefault="005F55CE" w:rsidP="00DD45BB">
            <w:pPr>
              <w:pStyle w:val="EYTableText"/>
              <w:keepNext/>
              <w:keepLines/>
              <w:rPr>
                <w:sz w:val="22"/>
                <w:szCs w:val="22"/>
              </w:rPr>
            </w:pPr>
            <w:r w:rsidRPr="00124E7F">
              <w:rPr>
                <w:sz w:val="22"/>
                <w:szCs w:val="22"/>
              </w:rPr>
              <w:t>New Zealand</w:t>
            </w:r>
          </w:p>
        </w:tc>
        <w:tc>
          <w:tcPr>
            <w:tcW w:w="3686" w:type="dxa"/>
          </w:tcPr>
          <w:p w14:paraId="68C845BF" w14:textId="77777777" w:rsidR="005F55CE" w:rsidRPr="00124E7F" w:rsidRDefault="005F55CE" w:rsidP="00DD45BB">
            <w:pPr>
              <w:pStyle w:val="EYTableText"/>
              <w:keepNext/>
              <w:keepLines/>
              <w:rPr>
                <w:i/>
                <w:sz w:val="22"/>
                <w:szCs w:val="22"/>
              </w:rPr>
            </w:pPr>
            <w:r w:rsidRPr="00124E7F">
              <w:rPr>
                <w:i/>
                <w:sz w:val="22"/>
                <w:szCs w:val="22"/>
              </w:rPr>
              <w:t>Copyright Act 1994</w:t>
            </w:r>
          </w:p>
        </w:tc>
        <w:tc>
          <w:tcPr>
            <w:tcW w:w="1772" w:type="dxa"/>
            <w:vAlign w:val="bottom"/>
          </w:tcPr>
          <w:p w14:paraId="66289DEE" w14:textId="77777777" w:rsidR="005F55CE" w:rsidRPr="00124E7F" w:rsidRDefault="005F55CE" w:rsidP="00DD45BB">
            <w:pPr>
              <w:pStyle w:val="EYTableText"/>
              <w:keepNext/>
              <w:keepLines/>
              <w:ind w:right="530"/>
              <w:jc w:val="right"/>
              <w:rPr>
                <w:sz w:val="22"/>
                <w:szCs w:val="22"/>
              </w:rPr>
            </w:pPr>
            <w:r w:rsidRPr="00124E7F">
              <w:rPr>
                <w:sz w:val="22"/>
                <w:szCs w:val="22"/>
              </w:rPr>
              <w:t>338</w:t>
            </w:r>
          </w:p>
        </w:tc>
        <w:tc>
          <w:tcPr>
            <w:tcW w:w="1772" w:type="dxa"/>
            <w:vAlign w:val="bottom"/>
          </w:tcPr>
          <w:p w14:paraId="3F3FA2BB" w14:textId="77777777" w:rsidR="005F55CE" w:rsidRPr="00124E7F" w:rsidRDefault="005F55CE" w:rsidP="00DD45BB">
            <w:pPr>
              <w:pStyle w:val="EYTableText"/>
              <w:keepNext/>
              <w:keepLines/>
              <w:ind w:right="530"/>
              <w:jc w:val="right"/>
              <w:rPr>
                <w:sz w:val="22"/>
                <w:szCs w:val="22"/>
              </w:rPr>
            </w:pPr>
            <w:r w:rsidRPr="00124E7F">
              <w:rPr>
                <w:sz w:val="22"/>
                <w:szCs w:val="22"/>
              </w:rPr>
              <w:t>237</w:t>
            </w:r>
          </w:p>
        </w:tc>
      </w:tr>
      <w:tr w:rsidR="004213AE" w:rsidRPr="00124E7F" w14:paraId="4208F0D0" w14:textId="77777777" w:rsidTr="000D46AE">
        <w:tc>
          <w:tcPr>
            <w:tcW w:w="1696" w:type="dxa"/>
          </w:tcPr>
          <w:p w14:paraId="0A29A410" w14:textId="77777777" w:rsidR="005F55CE" w:rsidRPr="00124E7F" w:rsidRDefault="005F55CE" w:rsidP="00DD45BB">
            <w:pPr>
              <w:pStyle w:val="EYTableText"/>
              <w:keepNext/>
              <w:keepLines/>
              <w:rPr>
                <w:sz w:val="22"/>
                <w:szCs w:val="22"/>
              </w:rPr>
            </w:pPr>
            <w:r w:rsidRPr="00124E7F">
              <w:rPr>
                <w:sz w:val="22"/>
                <w:szCs w:val="22"/>
              </w:rPr>
              <w:t xml:space="preserve">United Kingdom </w:t>
            </w:r>
          </w:p>
        </w:tc>
        <w:tc>
          <w:tcPr>
            <w:tcW w:w="3686" w:type="dxa"/>
          </w:tcPr>
          <w:p w14:paraId="7A87C018" w14:textId="77777777" w:rsidR="005F55CE" w:rsidRPr="00124E7F" w:rsidRDefault="005F55CE" w:rsidP="00DD45BB">
            <w:pPr>
              <w:pStyle w:val="EYTableText"/>
              <w:keepNext/>
              <w:keepLines/>
              <w:rPr>
                <w:i/>
                <w:sz w:val="22"/>
                <w:szCs w:val="22"/>
              </w:rPr>
            </w:pPr>
            <w:r w:rsidRPr="00124E7F">
              <w:rPr>
                <w:i/>
                <w:sz w:val="22"/>
                <w:szCs w:val="22"/>
              </w:rPr>
              <w:t>Copyright, Designs and Patents Act 1988*</w:t>
            </w:r>
          </w:p>
        </w:tc>
        <w:tc>
          <w:tcPr>
            <w:tcW w:w="1772" w:type="dxa"/>
            <w:vAlign w:val="bottom"/>
          </w:tcPr>
          <w:p w14:paraId="44E14118" w14:textId="77777777" w:rsidR="005F55CE" w:rsidRPr="00124E7F" w:rsidRDefault="005F55CE" w:rsidP="00DD45BB">
            <w:pPr>
              <w:pStyle w:val="EYTableText"/>
              <w:keepNext/>
              <w:keepLines/>
              <w:ind w:right="530"/>
              <w:jc w:val="right"/>
              <w:rPr>
                <w:sz w:val="22"/>
                <w:szCs w:val="22"/>
              </w:rPr>
            </w:pPr>
            <w:r w:rsidRPr="00124E7F">
              <w:rPr>
                <w:sz w:val="22"/>
                <w:szCs w:val="22"/>
              </w:rPr>
              <w:t>229</w:t>
            </w:r>
          </w:p>
        </w:tc>
        <w:tc>
          <w:tcPr>
            <w:tcW w:w="1772" w:type="dxa"/>
            <w:vAlign w:val="bottom"/>
          </w:tcPr>
          <w:p w14:paraId="108B109C" w14:textId="77777777" w:rsidR="005F55CE" w:rsidRPr="00124E7F" w:rsidRDefault="005F55CE" w:rsidP="00DD45BB">
            <w:pPr>
              <w:pStyle w:val="EYTableText"/>
              <w:keepNext/>
              <w:keepLines/>
              <w:ind w:right="530"/>
              <w:jc w:val="right"/>
              <w:rPr>
                <w:sz w:val="22"/>
                <w:szCs w:val="22"/>
              </w:rPr>
            </w:pPr>
            <w:r w:rsidRPr="00124E7F">
              <w:rPr>
                <w:sz w:val="22"/>
                <w:szCs w:val="22"/>
              </w:rPr>
              <w:t>98</w:t>
            </w:r>
          </w:p>
        </w:tc>
      </w:tr>
      <w:tr w:rsidR="004213AE" w:rsidRPr="00124E7F" w14:paraId="67062A28" w14:textId="77777777" w:rsidTr="000D46AE">
        <w:tc>
          <w:tcPr>
            <w:tcW w:w="1696" w:type="dxa"/>
            <w:tcBorders>
              <w:bottom w:val="single" w:sz="4" w:space="0" w:color="808080" w:themeColor="background1" w:themeShade="80"/>
            </w:tcBorders>
          </w:tcPr>
          <w:p w14:paraId="6C0B219E" w14:textId="77777777" w:rsidR="005F55CE" w:rsidRPr="00124E7F" w:rsidRDefault="005F55CE" w:rsidP="00DD45BB">
            <w:pPr>
              <w:pStyle w:val="EYTableText"/>
              <w:keepNext/>
              <w:keepLines/>
              <w:rPr>
                <w:sz w:val="22"/>
                <w:szCs w:val="22"/>
              </w:rPr>
            </w:pPr>
            <w:r w:rsidRPr="00124E7F">
              <w:rPr>
                <w:sz w:val="22"/>
                <w:szCs w:val="22"/>
              </w:rPr>
              <w:t xml:space="preserve">United States </w:t>
            </w:r>
          </w:p>
        </w:tc>
        <w:tc>
          <w:tcPr>
            <w:tcW w:w="3686" w:type="dxa"/>
            <w:tcBorders>
              <w:bottom w:val="single" w:sz="4" w:space="0" w:color="808080" w:themeColor="background1" w:themeShade="80"/>
            </w:tcBorders>
          </w:tcPr>
          <w:p w14:paraId="0215A43C" w14:textId="77777777" w:rsidR="005F55CE" w:rsidRPr="00124E7F" w:rsidRDefault="005F55CE" w:rsidP="00DD45BB">
            <w:pPr>
              <w:pStyle w:val="EYTableText"/>
              <w:keepNext/>
              <w:keepLines/>
              <w:rPr>
                <w:i/>
                <w:sz w:val="22"/>
                <w:szCs w:val="22"/>
              </w:rPr>
            </w:pPr>
            <w:r w:rsidRPr="00124E7F">
              <w:rPr>
                <w:i/>
                <w:sz w:val="22"/>
                <w:szCs w:val="22"/>
              </w:rPr>
              <w:t>Copyright Act of 1976</w:t>
            </w:r>
          </w:p>
        </w:tc>
        <w:tc>
          <w:tcPr>
            <w:tcW w:w="1772" w:type="dxa"/>
            <w:tcBorders>
              <w:bottom w:val="single" w:sz="4" w:space="0" w:color="808080" w:themeColor="background1" w:themeShade="80"/>
            </w:tcBorders>
            <w:vAlign w:val="bottom"/>
          </w:tcPr>
          <w:p w14:paraId="134A52C3" w14:textId="77777777" w:rsidR="005F55CE" w:rsidRPr="00124E7F" w:rsidRDefault="005F55CE" w:rsidP="00DD45BB">
            <w:pPr>
              <w:pStyle w:val="EYTableText"/>
              <w:keepNext/>
              <w:keepLines/>
              <w:ind w:right="530"/>
              <w:jc w:val="right"/>
              <w:rPr>
                <w:sz w:val="22"/>
                <w:szCs w:val="22"/>
              </w:rPr>
            </w:pPr>
            <w:r w:rsidRPr="00124E7F">
              <w:rPr>
                <w:sz w:val="22"/>
                <w:szCs w:val="22"/>
              </w:rPr>
              <w:t>136</w:t>
            </w:r>
            <w:r w:rsidRPr="00124E7F">
              <w:rPr>
                <w:sz w:val="22"/>
                <w:szCs w:val="22"/>
                <w:vertAlign w:val="superscript"/>
              </w:rPr>
              <w:t>^</w:t>
            </w:r>
          </w:p>
        </w:tc>
        <w:tc>
          <w:tcPr>
            <w:tcW w:w="1772" w:type="dxa"/>
            <w:tcBorders>
              <w:bottom w:val="single" w:sz="4" w:space="0" w:color="808080" w:themeColor="background1" w:themeShade="80"/>
            </w:tcBorders>
            <w:vAlign w:val="bottom"/>
          </w:tcPr>
          <w:p w14:paraId="2555C8D4" w14:textId="77777777" w:rsidR="005F55CE" w:rsidRPr="00124E7F" w:rsidRDefault="005F55CE" w:rsidP="00DD45BB">
            <w:pPr>
              <w:pStyle w:val="EYTableText"/>
              <w:keepNext/>
              <w:keepLines/>
              <w:ind w:right="530"/>
              <w:jc w:val="right"/>
              <w:rPr>
                <w:sz w:val="22"/>
                <w:szCs w:val="22"/>
              </w:rPr>
            </w:pPr>
            <w:r w:rsidRPr="00124E7F">
              <w:rPr>
                <w:sz w:val="22"/>
                <w:szCs w:val="22"/>
              </w:rPr>
              <w:t>366</w:t>
            </w:r>
          </w:p>
        </w:tc>
      </w:tr>
      <w:tr w:rsidR="004213AE" w:rsidRPr="00124E7F" w14:paraId="299D1C84" w14:textId="77777777" w:rsidTr="000D46AE">
        <w:tc>
          <w:tcPr>
            <w:tcW w:w="1696" w:type="dxa"/>
            <w:tcBorders>
              <w:top w:val="single" w:sz="4" w:space="0" w:color="808080" w:themeColor="background1" w:themeShade="80"/>
              <w:bottom w:val="single" w:sz="4" w:space="0" w:color="808080" w:themeColor="background1" w:themeShade="80"/>
            </w:tcBorders>
          </w:tcPr>
          <w:p w14:paraId="728C22C2" w14:textId="77777777" w:rsidR="005F55CE" w:rsidRPr="00124E7F" w:rsidRDefault="005F55CE" w:rsidP="00DD45BB">
            <w:pPr>
              <w:pStyle w:val="EYTableText"/>
              <w:keepNext/>
              <w:keepLines/>
              <w:rPr>
                <w:sz w:val="22"/>
                <w:szCs w:val="22"/>
              </w:rPr>
            </w:pPr>
            <w:r w:rsidRPr="00124E7F">
              <w:rPr>
                <w:sz w:val="22"/>
                <w:szCs w:val="22"/>
              </w:rPr>
              <w:t xml:space="preserve">Canada </w:t>
            </w:r>
          </w:p>
        </w:tc>
        <w:tc>
          <w:tcPr>
            <w:tcW w:w="3686" w:type="dxa"/>
            <w:tcBorders>
              <w:top w:val="single" w:sz="4" w:space="0" w:color="808080" w:themeColor="background1" w:themeShade="80"/>
              <w:bottom w:val="single" w:sz="4" w:space="0" w:color="808080" w:themeColor="background1" w:themeShade="80"/>
            </w:tcBorders>
          </w:tcPr>
          <w:p w14:paraId="051E71B4" w14:textId="77777777" w:rsidR="005F55CE" w:rsidRPr="00124E7F" w:rsidRDefault="005F55CE" w:rsidP="00DD45BB">
            <w:pPr>
              <w:pStyle w:val="EYTableText"/>
              <w:keepNext/>
              <w:keepLines/>
              <w:rPr>
                <w:i/>
                <w:sz w:val="22"/>
                <w:szCs w:val="22"/>
              </w:rPr>
            </w:pPr>
            <w:r w:rsidRPr="00124E7F">
              <w:rPr>
                <w:i/>
                <w:sz w:val="22"/>
                <w:szCs w:val="22"/>
              </w:rPr>
              <w:t>Copyright Act, RSC 1985, c. C-42</w:t>
            </w:r>
          </w:p>
        </w:tc>
        <w:tc>
          <w:tcPr>
            <w:tcW w:w="1772" w:type="dxa"/>
            <w:tcBorders>
              <w:top w:val="single" w:sz="4" w:space="0" w:color="808080" w:themeColor="background1" w:themeShade="80"/>
              <w:bottom w:val="single" w:sz="4" w:space="0" w:color="808080" w:themeColor="background1" w:themeShade="80"/>
            </w:tcBorders>
            <w:vAlign w:val="bottom"/>
          </w:tcPr>
          <w:p w14:paraId="7BFCB85D" w14:textId="77777777" w:rsidR="005F55CE" w:rsidRPr="00124E7F" w:rsidRDefault="005F55CE" w:rsidP="00DD45BB">
            <w:pPr>
              <w:pStyle w:val="EYTableText"/>
              <w:keepNext/>
              <w:keepLines/>
              <w:ind w:right="530"/>
              <w:jc w:val="right"/>
              <w:rPr>
                <w:sz w:val="22"/>
                <w:szCs w:val="22"/>
              </w:rPr>
            </w:pPr>
            <w:r w:rsidRPr="00124E7F">
              <w:rPr>
                <w:sz w:val="22"/>
                <w:szCs w:val="22"/>
              </w:rPr>
              <w:t>99</w:t>
            </w:r>
          </w:p>
        </w:tc>
        <w:tc>
          <w:tcPr>
            <w:tcW w:w="1772" w:type="dxa"/>
            <w:tcBorders>
              <w:top w:val="single" w:sz="4" w:space="0" w:color="808080" w:themeColor="background1" w:themeShade="80"/>
              <w:bottom w:val="single" w:sz="4" w:space="0" w:color="808080" w:themeColor="background1" w:themeShade="80"/>
            </w:tcBorders>
            <w:vAlign w:val="bottom"/>
          </w:tcPr>
          <w:p w14:paraId="2939CDE9" w14:textId="77777777" w:rsidR="005F55CE" w:rsidRPr="00124E7F" w:rsidRDefault="005F55CE" w:rsidP="00DD45BB">
            <w:pPr>
              <w:pStyle w:val="EYTableText"/>
              <w:keepNext/>
              <w:keepLines/>
              <w:ind w:right="530"/>
              <w:jc w:val="right"/>
              <w:rPr>
                <w:sz w:val="22"/>
                <w:szCs w:val="22"/>
              </w:rPr>
            </w:pPr>
            <w:r w:rsidRPr="00124E7F">
              <w:rPr>
                <w:sz w:val="22"/>
                <w:szCs w:val="22"/>
              </w:rPr>
              <w:t>164</w:t>
            </w:r>
          </w:p>
        </w:tc>
      </w:tr>
    </w:tbl>
    <w:p w14:paraId="0B5BC8A0" w14:textId="77777777" w:rsidR="0061337C" w:rsidRPr="00124E7F" w:rsidRDefault="005F55CE" w:rsidP="00852EF7">
      <w:pPr>
        <w:pStyle w:val="EYSource"/>
        <w:rPr>
          <w:sz w:val="20"/>
          <w:szCs w:val="20"/>
        </w:rPr>
      </w:pPr>
      <w:r w:rsidRPr="00124E7F">
        <w:rPr>
          <w:sz w:val="20"/>
          <w:szCs w:val="20"/>
        </w:rPr>
        <w:t xml:space="preserve">Note: </w:t>
      </w:r>
      <w:r w:rsidRPr="00124E7F">
        <w:rPr>
          <w:sz w:val="20"/>
          <w:szCs w:val="20"/>
          <w:vertAlign w:val="superscript"/>
        </w:rPr>
        <w:t xml:space="preserve">† </w:t>
      </w:r>
      <w:r w:rsidRPr="00124E7F">
        <w:rPr>
          <w:sz w:val="20"/>
          <w:szCs w:val="20"/>
        </w:rPr>
        <w:t>accessed 1 March 2016</w:t>
      </w:r>
      <w:proofErr w:type="gramStart"/>
      <w:r w:rsidRPr="00124E7F">
        <w:rPr>
          <w:sz w:val="20"/>
          <w:szCs w:val="20"/>
        </w:rPr>
        <w:t xml:space="preserve">;  </w:t>
      </w:r>
      <w:r w:rsidRPr="00124E7F">
        <w:rPr>
          <w:sz w:val="20"/>
          <w:szCs w:val="20"/>
          <w:vertAlign w:val="superscript"/>
        </w:rPr>
        <w:t>‡</w:t>
      </w:r>
      <w:proofErr w:type="gramEnd"/>
      <w:r w:rsidRPr="00124E7F">
        <w:rPr>
          <w:sz w:val="20"/>
          <w:szCs w:val="20"/>
        </w:rPr>
        <w:t xml:space="preserve"> based on PDF version, excluding notes;  * limited to Part 1 and Schedule 1;  </w:t>
      </w:r>
      <w:r w:rsidRPr="00124E7F">
        <w:rPr>
          <w:sz w:val="20"/>
          <w:szCs w:val="20"/>
          <w:vertAlign w:val="superscript"/>
        </w:rPr>
        <w:t>^</w:t>
      </w:r>
      <w:r w:rsidRPr="00124E7F">
        <w:rPr>
          <w:sz w:val="20"/>
          <w:szCs w:val="20"/>
        </w:rPr>
        <w:t xml:space="preserve"> excludes two re</w:t>
      </w:r>
      <w:r w:rsidR="00852EF7" w:rsidRPr="00124E7F">
        <w:rPr>
          <w:sz w:val="20"/>
          <w:szCs w:val="20"/>
        </w:rPr>
        <w:t xml:space="preserve">pealed sections (509 and 601). </w:t>
      </w:r>
    </w:p>
    <w:p w14:paraId="5B2C5F57" w14:textId="77777777" w:rsidR="008F0883" w:rsidRPr="00124E7F" w:rsidRDefault="008F0883">
      <w:pPr>
        <w:widowControl/>
        <w:autoSpaceDE/>
        <w:autoSpaceDN/>
        <w:adjustRightInd/>
        <w:spacing w:line="240" w:lineRule="auto"/>
        <w:rPr>
          <w:kern w:val="12"/>
          <w:szCs w:val="24"/>
          <w:lang w:val="en-US"/>
        </w:rPr>
      </w:pPr>
    </w:p>
    <w:p w14:paraId="067E3A94" w14:textId="77777777" w:rsidR="00562ED8" w:rsidRPr="00124E7F" w:rsidRDefault="00562ED8" w:rsidP="00025AC4">
      <w:pPr>
        <w:pStyle w:val="EYBodytextwithparaspace"/>
      </w:pPr>
      <w:r w:rsidRPr="00124E7F">
        <w:t>Third, the nature of the current fair dealing exceptions is likely to engender uncertainty in relation to new uses of copyright material. Under the status quo, exceptions are both prescriptive and exhaustive</w:t>
      </w:r>
      <w:r w:rsidRPr="00124E7F">
        <w:rPr>
          <w:vertAlign w:val="superscript"/>
        </w:rPr>
        <w:footnoteReference w:id="239"/>
      </w:r>
      <w:r w:rsidRPr="00124E7F">
        <w:t xml:space="preserve"> – that is, they only provide a </w:t>
      </w:r>
      <w:proofErr w:type="spellStart"/>
      <w:r w:rsidRPr="00124E7F">
        <w:t>defence</w:t>
      </w:r>
      <w:proofErr w:type="spellEnd"/>
      <w:r w:rsidRPr="00124E7F">
        <w:t xml:space="preserve"> to infringement for uses that are explicitly referenced in the exception. While such specificity may provide certainty in relation to specified uses, its utility is limited in relation to uses that were not foreseen at the time of drafting the exceptions. As </w:t>
      </w:r>
      <w:proofErr w:type="spellStart"/>
      <w:r w:rsidRPr="00124E7F">
        <w:t>Weatherall</w:t>
      </w:r>
      <w:proofErr w:type="spellEnd"/>
      <w:r w:rsidRPr="00124E7F">
        <w:t xml:space="preserve"> and Hudson state: </w:t>
      </w:r>
    </w:p>
    <w:p w14:paraId="3399F1F8" w14:textId="77777777" w:rsidR="00562ED8" w:rsidRPr="00124E7F" w:rsidRDefault="00562ED8" w:rsidP="00ED7528">
      <w:pPr>
        <w:pStyle w:val="EYIndent1"/>
        <w:rPr>
          <w:i/>
        </w:rPr>
      </w:pPr>
      <w:r w:rsidRPr="00124E7F">
        <w:rPr>
          <w:i/>
        </w:rPr>
        <w:t>‘In a rapidly changing technological environment, the search for certainty through specificity … is destined to fail. Beyond a certain point, specificity leads to more uncertainty for most stakeholders in the copyright system, because it is unclear whether specific exceptions apply to new technologies or analogous uses.’</w:t>
      </w:r>
      <w:r w:rsidRPr="00124E7F">
        <w:rPr>
          <w:i/>
          <w:vertAlign w:val="superscript"/>
        </w:rPr>
        <w:footnoteReference w:id="240"/>
      </w:r>
      <w:r w:rsidRPr="00124E7F">
        <w:rPr>
          <w:i/>
          <w:vertAlign w:val="superscript"/>
        </w:rPr>
        <w:t xml:space="preserve"> </w:t>
      </w:r>
    </w:p>
    <w:p w14:paraId="33E48565" w14:textId="77777777" w:rsidR="00562ED8" w:rsidRPr="00124E7F" w:rsidRDefault="00562ED8" w:rsidP="00025AC4">
      <w:pPr>
        <w:pStyle w:val="EYBodytextwithparaspace"/>
      </w:pPr>
      <w:r w:rsidRPr="00124E7F">
        <w:t>It is worth noting that the pace of technological change appears to be increasing – a trend that will likely place further st</w:t>
      </w:r>
      <w:r w:rsidR="007B45EB" w:rsidRPr="00124E7F">
        <w:t>r</w:t>
      </w:r>
      <w:r w:rsidRPr="00124E7F">
        <w:t xml:space="preserve">ain on the ability of the current fair dealing exceptions to provide certainty to stakeholders. The growth in technological change is evident from: </w:t>
      </w:r>
    </w:p>
    <w:p w14:paraId="60DE4669" w14:textId="77777777" w:rsidR="00562ED8" w:rsidRPr="00124E7F" w:rsidRDefault="00562ED8" w:rsidP="00634BB4">
      <w:pPr>
        <w:pStyle w:val="EYBulletedText1"/>
      </w:pPr>
      <w:r w:rsidRPr="00124E7F">
        <w:rPr>
          <w:b/>
        </w:rPr>
        <w:t>The expansion of the digital economy</w:t>
      </w:r>
      <w:r w:rsidRPr="00124E7F">
        <w:t xml:space="preserve"> – according to Deloitte Access Economics, the value of Australia’s digital economy increased by a compound annual growth rate (CAGR) of 12.1 per cent from 2009/10 to 2013/14</w:t>
      </w:r>
      <w:r w:rsidRPr="00124E7F">
        <w:rPr>
          <w:vertAlign w:val="superscript"/>
        </w:rPr>
        <w:footnoteReference w:id="241"/>
      </w:r>
      <w:r w:rsidRPr="00124E7F">
        <w:t>, compared to 2.7 per cent for the economy as a whole</w:t>
      </w:r>
      <w:r w:rsidRPr="00124E7F">
        <w:rPr>
          <w:vertAlign w:val="superscript"/>
        </w:rPr>
        <w:footnoteReference w:id="242"/>
      </w:r>
    </w:p>
    <w:p w14:paraId="4A40185D" w14:textId="77777777" w:rsidR="00562ED8" w:rsidRPr="00124E7F" w:rsidRDefault="00562ED8" w:rsidP="00634BB4">
      <w:pPr>
        <w:pStyle w:val="EYBulletedText1"/>
      </w:pPr>
      <w:r w:rsidRPr="00124E7F">
        <w:rPr>
          <w:b/>
        </w:rPr>
        <w:t>The increase in diffusion of new technologies</w:t>
      </w:r>
      <w:r w:rsidRPr="00124E7F">
        <w:t xml:space="preserve"> – according to Comin and </w:t>
      </w:r>
      <w:proofErr w:type="spellStart"/>
      <w:r w:rsidRPr="00124E7F">
        <w:t>Mestieri</w:t>
      </w:r>
      <w:proofErr w:type="spellEnd"/>
      <w:r w:rsidRPr="00124E7F">
        <w:t>, adoption lags for key technological breakthroughs have declined significantly over the past 200 years (</w:t>
      </w:r>
      <w:r w:rsidRPr="00124E7F">
        <w:fldChar w:fldCharType="begin"/>
      </w:r>
      <w:r w:rsidRPr="00124E7F">
        <w:instrText xml:space="preserve"> REF _Ref449186471 \h </w:instrText>
      </w:r>
      <w:r w:rsidR="00633989" w:rsidRPr="00124E7F">
        <w:instrText xml:space="preserve"> \* MERGEFORMAT </w:instrText>
      </w:r>
      <w:r w:rsidRPr="00124E7F">
        <w:fldChar w:fldCharType="separate"/>
      </w:r>
      <w:r w:rsidR="0075700D" w:rsidRPr="00124E7F">
        <w:t xml:space="preserve">Figure </w:t>
      </w:r>
      <w:r w:rsidR="0075700D">
        <w:rPr>
          <w:noProof/>
        </w:rPr>
        <w:t>16</w:t>
      </w:r>
      <w:r w:rsidRPr="00124E7F">
        <w:fldChar w:fldCharType="end"/>
      </w:r>
      <w:r w:rsidRPr="00124E7F">
        <w:t>)</w:t>
      </w:r>
      <w:r w:rsidRPr="00124E7F">
        <w:rPr>
          <w:vertAlign w:val="superscript"/>
        </w:rPr>
        <w:footnoteReference w:id="243"/>
      </w:r>
      <w:r w:rsidRPr="00124E7F">
        <w:rPr>
          <w:vertAlign w:val="superscript"/>
        </w:rPr>
        <w:t xml:space="preserve"> </w:t>
      </w:r>
    </w:p>
    <w:p w14:paraId="17F3890B" w14:textId="77777777" w:rsidR="00562ED8" w:rsidRPr="00124E7F" w:rsidRDefault="00562ED8" w:rsidP="00634BB4">
      <w:pPr>
        <w:pStyle w:val="EYBulletedText1"/>
      </w:pPr>
      <w:r w:rsidRPr="00124E7F">
        <w:rPr>
          <w:b/>
        </w:rPr>
        <w:t>The increase in patent fillings</w:t>
      </w:r>
      <w:r w:rsidRPr="00124E7F">
        <w:t xml:space="preserve"> – data published by the World Intellectual Property Office indicates that global patent fillings have nearly doubled in per capita terms since the late-1990s (</w:t>
      </w:r>
      <w:r w:rsidRPr="00124E7F">
        <w:fldChar w:fldCharType="begin"/>
      </w:r>
      <w:r w:rsidRPr="00124E7F">
        <w:instrText xml:space="preserve"> REF _Ref449185483 \h </w:instrText>
      </w:r>
      <w:r w:rsidR="00633989" w:rsidRPr="00124E7F">
        <w:instrText xml:space="preserve"> \* MERGEFORMAT </w:instrText>
      </w:r>
      <w:r w:rsidRPr="00124E7F">
        <w:fldChar w:fldCharType="separate"/>
      </w:r>
      <w:r w:rsidR="0075700D" w:rsidRPr="00124E7F">
        <w:t xml:space="preserve">Figure </w:t>
      </w:r>
      <w:r w:rsidR="0075700D">
        <w:rPr>
          <w:noProof/>
        </w:rPr>
        <w:t>17</w:t>
      </w:r>
      <w:r w:rsidRPr="00124E7F">
        <w:fldChar w:fldCharType="end"/>
      </w:r>
      <w:r w:rsidRPr="00124E7F">
        <w:t xml:space="preserve">). </w:t>
      </w:r>
    </w:p>
    <w:p w14:paraId="74DD3BFE" w14:textId="77777777" w:rsidR="00562ED8" w:rsidRDefault="00562ED8" w:rsidP="00562ED8">
      <w:pPr>
        <w:pStyle w:val="Caption"/>
        <w:keepNext/>
      </w:pPr>
      <w:bookmarkStart w:id="198" w:name="_Ref449186471"/>
      <w:r w:rsidRPr="00124E7F">
        <w:t xml:space="preserve">Figure </w:t>
      </w:r>
      <w:r w:rsidRPr="00124E7F">
        <w:fldChar w:fldCharType="begin"/>
      </w:r>
      <w:r w:rsidRPr="00124E7F">
        <w:instrText xml:space="preserve"> SEQ Figure \* ARABIC </w:instrText>
      </w:r>
      <w:r w:rsidRPr="00124E7F">
        <w:fldChar w:fldCharType="separate"/>
      </w:r>
      <w:r w:rsidR="0075700D">
        <w:rPr>
          <w:noProof/>
        </w:rPr>
        <w:t>16</w:t>
      </w:r>
      <w:r w:rsidRPr="00124E7F">
        <w:fldChar w:fldCharType="end"/>
      </w:r>
      <w:bookmarkEnd w:id="198"/>
      <w:r w:rsidRPr="00124E7F">
        <w:t xml:space="preserve">: Adoption lags of 25 select technological breakthroughs </w:t>
      </w:r>
    </w:p>
    <w:p w14:paraId="2896C7CD" w14:textId="1B1C2A2A" w:rsidR="00562ED8" w:rsidRPr="00124E7F" w:rsidRDefault="00186644" w:rsidP="00202E68">
      <w:r>
        <w:rPr>
          <w:noProof/>
          <w:lang w:eastAsia="zh-TW" w:bidi="hi-IN"/>
        </w:rPr>
        <w:drawing>
          <wp:inline distT="0" distB="0" distL="0" distR="0" wp14:anchorId="3D516902" wp14:editId="7736353C">
            <wp:extent cx="5773420" cy="2889885"/>
            <wp:effectExtent l="0" t="0" r="0" b="5715"/>
            <wp:docPr id="24" name="Picture 24" descr="This chart illustrates how the lag in adoption rates between Western and non-Westen countries for technological breakthroughs has declined over the past two centuries.  &#10;Mean adoption lags have decreased from 119 years (in the case of Spindles, invented in 1779) to 59 years (in the case of tractors, invented in 1892) to 38 years (in the case of sythentic fiber, invented in 1924) to 7 years (in the case of the internet, invented in 1983). " title="Figure 16: Adoption lags of 25 select technological breakthroug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73420" cy="2889885"/>
                    </a:xfrm>
                    <a:prstGeom prst="rect">
                      <a:avLst/>
                    </a:prstGeom>
                    <a:noFill/>
                  </pic:spPr>
                </pic:pic>
              </a:graphicData>
            </a:graphic>
          </wp:inline>
        </w:drawing>
      </w:r>
    </w:p>
    <w:p w14:paraId="3B7BCBDB" w14:textId="77777777" w:rsidR="00562ED8" w:rsidRPr="00124E7F" w:rsidRDefault="00562ED8" w:rsidP="0061337C">
      <w:pPr>
        <w:pStyle w:val="EYSource"/>
        <w:rPr>
          <w:sz w:val="20"/>
          <w:szCs w:val="20"/>
        </w:rPr>
      </w:pPr>
      <w:r w:rsidRPr="00124E7F">
        <w:rPr>
          <w:sz w:val="20"/>
          <w:szCs w:val="20"/>
        </w:rPr>
        <w:t xml:space="preserve">Source: Diego Comin and Martı </w:t>
      </w:r>
      <w:proofErr w:type="spellStart"/>
      <w:r w:rsidRPr="00124E7F">
        <w:rPr>
          <w:sz w:val="20"/>
          <w:szCs w:val="20"/>
        </w:rPr>
        <w:t>Mestieri</w:t>
      </w:r>
      <w:proofErr w:type="spellEnd"/>
      <w:r w:rsidRPr="00124E7F">
        <w:rPr>
          <w:sz w:val="20"/>
          <w:szCs w:val="20"/>
        </w:rPr>
        <w:t xml:space="preserve"> (2013), ‘If Technology has Arrived Everywhere, why Has Income Diverged?</w:t>
      </w:r>
      <w:proofErr w:type="gramStart"/>
      <w:r w:rsidRPr="00124E7F">
        <w:rPr>
          <w:sz w:val="20"/>
          <w:szCs w:val="20"/>
        </w:rPr>
        <w:t>’,</w:t>
      </w:r>
      <w:proofErr w:type="gramEnd"/>
      <w:r w:rsidRPr="00124E7F">
        <w:rPr>
          <w:sz w:val="20"/>
          <w:szCs w:val="20"/>
        </w:rPr>
        <w:t xml:space="preserve"> May. </w:t>
      </w:r>
    </w:p>
    <w:p w14:paraId="174855DF" w14:textId="77777777" w:rsidR="00562ED8" w:rsidRPr="00124E7F" w:rsidRDefault="00562ED8" w:rsidP="00173103">
      <w:pPr>
        <w:pStyle w:val="EYBodytextwithparaspace"/>
      </w:pPr>
    </w:p>
    <w:p w14:paraId="4D130029" w14:textId="77777777" w:rsidR="00562ED8" w:rsidRDefault="00562ED8" w:rsidP="00562ED8">
      <w:pPr>
        <w:pStyle w:val="Caption"/>
        <w:keepNext/>
      </w:pPr>
      <w:bookmarkStart w:id="199" w:name="_Ref449185483"/>
      <w:r w:rsidRPr="00124E7F">
        <w:t xml:space="preserve">Figure </w:t>
      </w:r>
      <w:r w:rsidRPr="00124E7F">
        <w:fldChar w:fldCharType="begin"/>
      </w:r>
      <w:r w:rsidRPr="00124E7F">
        <w:instrText xml:space="preserve"> SEQ Figure \* ARABIC </w:instrText>
      </w:r>
      <w:r w:rsidRPr="00124E7F">
        <w:fldChar w:fldCharType="separate"/>
      </w:r>
      <w:r w:rsidR="0075700D">
        <w:rPr>
          <w:noProof/>
        </w:rPr>
        <w:t>17</w:t>
      </w:r>
      <w:r w:rsidRPr="00124E7F">
        <w:fldChar w:fldCharType="end"/>
      </w:r>
      <w:bookmarkEnd w:id="199"/>
      <w:r w:rsidRPr="00124E7F">
        <w:t xml:space="preserve">: Global patent applications, per 100,000 people </w:t>
      </w:r>
    </w:p>
    <w:p w14:paraId="501B2809" w14:textId="18A49EB3" w:rsidR="00562ED8" w:rsidRPr="00124E7F" w:rsidRDefault="00186644" w:rsidP="00202E68">
      <w:r>
        <w:rPr>
          <w:noProof/>
          <w:lang w:eastAsia="zh-TW" w:bidi="hi-IN"/>
        </w:rPr>
        <w:drawing>
          <wp:inline distT="0" distB="0" distL="0" distR="0" wp14:anchorId="52F3A115" wp14:editId="677782FC">
            <wp:extent cx="5773420" cy="2889885"/>
            <wp:effectExtent l="0" t="0" r="0" b="5715"/>
            <wp:docPr id="291" name="Picture 291" descr="This chart illustrates how patent applications across the globe have increased over the past 30 years. &#10;Global patent applications increased from 19.0 per 100,000 people in 1985 to 21.0 per 100,000 people in 1999 to 36.9 per 100,000 people in 2014. " title="Figure 17: Global patent applications, per 100,000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73420" cy="2889885"/>
                    </a:xfrm>
                    <a:prstGeom prst="rect">
                      <a:avLst/>
                    </a:prstGeom>
                    <a:noFill/>
                  </pic:spPr>
                </pic:pic>
              </a:graphicData>
            </a:graphic>
          </wp:inline>
        </w:drawing>
      </w:r>
    </w:p>
    <w:p w14:paraId="3CDBB304" w14:textId="77777777" w:rsidR="00562ED8" w:rsidRPr="00124E7F" w:rsidRDefault="00562ED8" w:rsidP="0061337C">
      <w:pPr>
        <w:pStyle w:val="EYSource"/>
        <w:rPr>
          <w:sz w:val="20"/>
          <w:szCs w:val="20"/>
        </w:rPr>
      </w:pPr>
      <w:r w:rsidRPr="00124E7F">
        <w:rPr>
          <w:sz w:val="20"/>
          <w:szCs w:val="20"/>
        </w:rPr>
        <w:t xml:space="preserve">Source: World Intellectual Property Office (2016), WIPO statistics database. </w:t>
      </w:r>
    </w:p>
    <w:p w14:paraId="536F80CF" w14:textId="77777777" w:rsidR="00852EF7" w:rsidRPr="00124E7F" w:rsidRDefault="00852EF7" w:rsidP="00852EF7">
      <w:pPr>
        <w:rPr>
          <w:lang w:val="en-US"/>
        </w:rPr>
      </w:pPr>
    </w:p>
    <w:p w14:paraId="5487ED3F" w14:textId="77777777" w:rsidR="005F55CE" w:rsidRPr="00124E7F" w:rsidRDefault="005F55CE" w:rsidP="008C0A7F">
      <w:pPr>
        <w:pStyle w:val="EYHeading4"/>
      </w:pPr>
      <w:r w:rsidRPr="00124E7F">
        <w:t xml:space="preserve">The relative predictability of fair use </w:t>
      </w:r>
    </w:p>
    <w:p w14:paraId="7DA578B4" w14:textId="77777777" w:rsidR="005F55CE" w:rsidRPr="00124E7F" w:rsidRDefault="005F55CE" w:rsidP="0061337C">
      <w:pPr>
        <w:pStyle w:val="EYBodytextwithparaspace"/>
      </w:pPr>
      <w:r w:rsidRPr="00124E7F">
        <w:t xml:space="preserve">Fair use is often portrayed as being synonymous with uncertainty. The available evidence, however, suggests that the fair use exception would be relatively predictable, and should support effective decision-making by both </w:t>
      </w:r>
      <w:r w:rsidR="009C6310" w:rsidRPr="00124E7F">
        <w:t>right</w:t>
      </w:r>
      <w:r w:rsidR="00C37ECD" w:rsidRPr="00124E7F">
        <w:t>s</w:t>
      </w:r>
      <w:r w:rsidR="009C6310" w:rsidRPr="00124E7F">
        <w:t xml:space="preserve"> holders</w:t>
      </w:r>
      <w:r w:rsidRPr="00124E7F">
        <w:t xml:space="preserve"> and users of copyright material. </w:t>
      </w:r>
      <w:r w:rsidR="00F12F74" w:rsidRPr="00124E7F">
        <w:t>The reasons for this are twof</w:t>
      </w:r>
      <w:r w:rsidR="000D0E04" w:rsidRPr="00124E7F">
        <w:t>old.</w:t>
      </w:r>
    </w:p>
    <w:p w14:paraId="50148408" w14:textId="77777777" w:rsidR="005F55CE" w:rsidRPr="00124E7F" w:rsidRDefault="005F55CE" w:rsidP="0061337C">
      <w:pPr>
        <w:pStyle w:val="EYBodytextwithparaspace"/>
      </w:pPr>
      <w:r w:rsidRPr="00124E7F">
        <w:t xml:space="preserve">First, the fair use exception would, to some extent, involve a continuation of the status quo. As the ALRC noted in its final report: </w:t>
      </w:r>
    </w:p>
    <w:p w14:paraId="3E19FD73" w14:textId="77777777" w:rsidR="005F55CE" w:rsidRPr="00124E7F" w:rsidRDefault="005F55CE" w:rsidP="00ED7528">
      <w:pPr>
        <w:pStyle w:val="EYIndent1"/>
        <w:rPr>
          <w:i/>
        </w:rPr>
      </w:pPr>
      <w:r w:rsidRPr="00124E7F">
        <w:rPr>
          <w:i/>
        </w:rPr>
        <w:t>‘The test of fairness is also not novel in Australian law. The existing fair dealing exceptions require the application of a fairness test and the fairness factors that [underpin the fair use exception] are substantially the same as those currently provided in the fair dealing exceptions for research or study.’</w:t>
      </w:r>
      <w:r w:rsidRPr="00124E7F">
        <w:rPr>
          <w:i/>
          <w:vertAlign w:val="superscript"/>
        </w:rPr>
        <w:footnoteReference w:id="244"/>
      </w:r>
    </w:p>
    <w:p w14:paraId="061CF6C1" w14:textId="77777777" w:rsidR="005F55CE" w:rsidRPr="00124E7F" w:rsidRDefault="005F55CE" w:rsidP="0061337C">
      <w:pPr>
        <w:pStyle w:val="EYBodytextwithparaspace"/>
      </w:pPr>
      <w:r w:rsidRPr="00124E7F">
        <w:t>Second, empirical and system-level studies of the operation of the f</w:t>
      </w:r>
      <w:r w:rsidR="00F7317E" w:rsidRPr="00124E7F">
        <w:t>air use exception in the United </w:t>
      </w:r>
      <w:r w:rsidRPr="00124E7F">
        <w:t>States indicate that fair use is relatively predictable. This research includes:</w:t>
      </w:r>
    </w:p>
    <w:p w14:paraId="2032F2A7" w14:textId="77777777" w:rsidR="005F55CE" w:rsidRPr="00124E7F" w:rsidRDefault="005F55CE" w:rsidP="00634BB4">
      <w:pPr>
        <w:pStyle w:val="EYBulletedText1"/>
      </w:pPr>
      <w:r w:rsidRPr="00124E7F">
        <w:t>Beebe’s 2008 empirical study of 306 opinions that made substantial use of fair use between 1978 and 2005. Beebe found, among other things, that ‘fair use case law … has not been marked by especially high reversal, dissent or appeal rates’, ‘judges do not generally stampede the factor outcomes’</w:t>
      </w:r>
      <w:r w:rsidRPr="00124E7F">
        <w:rPr>
          <w:vertAlign w:val="superscript"/>
        </w:rPr>
        <w:footnoteReference w:id="245"/>
      </w:r>
      <w:r w:rsidR="00EE547B" w:rsidRPr="00124E7F">
        <w:rPr>
          <w:vertAlign w:val="superscript"/>
        </w:rPr>
        <w:t xml:space="preserve"> </w:t>
      </w:r>
      <w:r w:rsidRPr="00124E7F">
        <w:t>, and certain sub-factors (e.g. non-commerciality) ‘were far more important to the outcome of the fair use test than is generally thought’.</w:t>
      </w:r>
      <w:r w:rsidRPr="00124E7F">
        <w:rPr>
          <w:vertAlign w:val="superscript"/>
        </w:rPr>
        <w:footnoteReference w:id="246"/>
      </w:r>
      <w:r w:rsidRPr="00124E7F">
        <w:rPr>
          <w:vertAlign w:val="superscript"/>
        </w:rPr>
        <w:t xml:space="preserve"> </w:t>
      </w:r>
      <w:r w:rsidRPr="00124E7F">
        <w:t>Beebe recently reaffirmed his original findings, based on an empirical analysis of 460 opinions that made substantial use of fair use between 1978 and 2014.</w:t>
      </w:r>
      <w:r w:rsidRPr="00124E7F">
        <w:rPr>
          <w:vertAlign w:val="superscript"/>
        </w:rPr>
        <w:footnoteReference w:id="247"/>
      </w:r>
      <w:r w:rsidRPr="00124E7F">
        <w:rPr>
          <w:vertAlign w:val="superscript"/>
        </w:rPr>
        <w:t xml:space="preserve"> </w:t>
      </w:r>
    </w:p>
    <w:p w14:paraId="5D93AE68" w14:textId="77777777" w:rsidR="005F55CE" w:rsidRPr="00124E7F" w:rsidRDefault="005F55CE" w:rsidP="00634BB4">
      <w:pPr>
        <w:pStyle w:val="EYBulletedText1"/>
      </w:pPr>
      <w:r w:rsidRPr="00124E7F">
        <w:t>Samuelson’s 2009 qualitative assessment of fair use case law, which involved grouping decisions into policy-relevant clusters. Samuelson concluded that ‘if one analyses putative fair uses in light of cases previously decided in the same policy cluster, it is generally possible to predict whether a use is likely to be fair or unfair’.</w:t>
      </w:r>
      <w:r w:rsidRPr="00124E7F">
        <w:rPr>
          <w:vertAlign w:val="superscript"/>
        </w:rPr>
        <w:footnoteReference w:id="248"/>
      </w:r>
    </w:p>
    <w:p w14:paraId="0596BF66" w14:textId="77777777" w:rsidR="005F55CE" w:rsidRPr="00124E7F" w:rsidRDefault="005F55CE" w:rsidP="00634BB4">
      <w:pPr>
        <w:pStyle w:val="EYBulletedText1"/>
      </w:pPr>
      <w:proofErr w:type="spellStart"/>
      <w:r w:rsidRPr="00124E7F">
        <w:t>Netanel’s</w:t>
      </w:r>
      <w:proofErr w:type="spellEnd"/>
      <w:r w:rsidRPr="00124E7F">
        <w:t xml:space="preserve"> 2011 quantitative analysis of fair use case law from 1995, which highlighted the growing dominance (and predictability) of the transformative use paradigm. He concluded that ‘[</w:t>
      </w:r>
      <w:proofErr w:type="spellStart"/>
      <w:r w:rsidRPr="00124E7F">
        <w:t>i</w:t>
      </w:r>
      <w:proofErr w:type="spellEnd"/>
      <w:r w:rsidRPr="00124E7F">
        <w:t>]f the use is transformative and the defendant has not copied excessively in light of the transformative purpose, the use will most likely be held to be a fair use’.</w:t>
      </w:r>
      <w:r w:rsidRPr="00124E7F">
        <w:rPr>
          <w:vertAlign w:val="superscript"/>
        </w:rPr>
        <w:footnoteReference w:id="249"/>
      </w:r>
    </w:p>
    <w:p w14:paraId="4CA2441A" w14:textId="77777777" w:rsidR="005F55CE" w:rsidRPr="00124E7F" w:rsidRDefault="005F55CE" w:rsidP="00634BB4">
      <w:pPr>
        <w:pStyle w:val="EYBulletedText1"/>
      </w:pPr>
      <w:r w:rsidRPr="00124E7F">
        <w:t xml:space="preserve">Sag’s 2012 quantitative assessment of the predictability of fair use outcomes (based on a dataset of 280 fair use cases decided between 1978 and 2011). Sag found (among other things) that transformative use and the amount and substantiality of the defendant’s </w:t>
      </w:r>
      <w:proofErr w:type="spellStart"/>
      <w:r w:rsidRPr="00124E7F">
        <w:t>unauthorised</w:t>
      </w:r>
      <w:proofErr w:type="spellEnd"/>
      <w:r w:rsidRPr="00124E7F">
        <w:t xml:space="preserve"> use are important predictors of a finding of fair use. He concluded that, ‘while there are many shades of </w:t>
      </w:r>
      <w:r w:rsidR="00F7317E" w:rsidRPr="00124E7F">
        <w:t>grey</w:t>
      </w:r>
      <w:r w:rsidRPr="00124E7F">
        <w:t xml:space="preserve"> in fair use litigation, there are also consistent patterns that can assist individuals, businesses, and lawyers in assessing the merits of particular claims to fair use protection’</w:t>
      </w:r>
      <w:r w:rsidR="00284FF4" w:rsidRPr="00124E7F">
        <w:t>.</w:t>
      </w:r>
      <w:r w:rsidRPr="00124E7F">
        <w:rPr>
          <w:vertAlign w:val="superscript"/>
        </w:rPr>
        <w:footnoteReference w:id="250"/>
      </w:r>
    </w:p>
    <w:p w14:paraId="081B7577" w14:textId="77777777" w:rsidR="005F55CE" w:rsidRPr="00124E7F" w:rsidRDefault="005F55CE" w:rsidP="0061337C">
      <w:pPr>
        <w:pStyle w:val="EYBodytextwithparaspace"/>
        <w:rPr>
          <w:rStyle w:val="AAnormalChar"/>
        </w:rPr>
      </w:pPr>
      <w:r w:rsidRPr="00124E7F">
        <w:rPr>
          <w:rStyle w:val="AAnormalChar"/>
        </w:rPr>
        <w:t xml:space="preserve">Some recent studies have questioned the predictability of fair use in the American context. For instance, in connection with the ALRC inquiry, the </w:t>
      </w:r>
      <w:proofErr w:type="spellStart"/>
      <w:r w:rsidRPr="00124E7F">
        <w:rPr>
          <w:rStyle w:val="AAnormalChar"/>
        </w:rPr>
        <w:t>Kernochan</w:t>
      </w:r>
      <w:proofErr w:type="spellEnd"/>
      <w:r w:rsidRPr="00124E7F">
        <w:rPr>
          <w:rStyle w:val="AAnormalChar"/>
        </w:rPr>
        <w:t xml:space="preserve"> Center for Law, Media and the Arts at Columbia University School of Law conducted a review of the American fair use provisions (‘the </w:t>
      </w:r>
      <w:proofErr w:type="spellStart"/>
      <w:r w:rsidRPr="00124E7F">
        <w:rPr>
          <w:rStyle w:val="AAnormalChar"/>
        </w:rPr>
        <w:t>Kernochan</w:t>
      </w:r>
      <w:proofErr w:type="spellEnd"/>
      <w:r w:rsidRPr="00124E7F">
        <w:rPr>
          <w:rStyle w:val="AAnormalChar"/>
        </w:rPr>
        <w:t xml:space="preserve"> Review’). This review concluded that ‘[f]air use is not entirely unpredictable. But it cannot be denied that fair use is sometimes difficult to assess — even for attorneys — and</w:t>
      </w:r>
      <w:r w:rsidRPr="00124E7F">
        <w:t xml:space="preserve"> </w:t>
      </w:r>
      <w:r w:rsidRPr="00124E7F">
        <w:rPr>
          <w:rStyle w:val="AAnormalChar"/>
        </w:rPr>
        <w:t>reasonable, knowledgeable people often disagree’.</w:t>
      </w:r>
      <w:r w:rsidRPr="00124E7F">
        <w:rPr>
          <w:rStyle w:val="AAnormalChar"/>
          <w:vertAlign w:val="superscript"/>
        </w:rPr>
        <w:footnoteReference w:id="251"/>
      </w:r>
      <w:r w:rsidRPr="00124E7F">
        <w:rPr>
          <w:rStyle w:val="AAnormalChar"/>
          <w:vertAlign w:val="superscript"/>
        </w:rPr>
        <w:t xml:space="preserve"> </w:t>
      </w:r>
      <w:r w:rsidRPr="00124E7F">
        <w:rPr>
          <w:rStyle w:val="AAnormalChar"/>
        </w:rPr>
        <w:t>In our view, this conclusion carries less weight than the results of the studies outlined above because:</w:t>
      </w:r>
    </w:p>
    <w:p w14:paraId="2075FC72" w14:textId="77777777" w:rsidR="005F55CE" w:rsidRPr="00124E7F" w:rsidRDefault="005F55CE" w:rsidP="00634BB4">
      <w:pPr>
        <w:pStyle w:val="EYBulletedText1"/>
      </w:pPr>
      <w:r w:rsidRPr="00124E7F">
        <w:t xml:space="preserve">It holds fair use to an unreasonably high standard – as </w:t>
      </w:r>
      <w:proofErr w:type="spellStart"/>
      <w:r w:rsidRPr="00124E7F">
        <w:t>Hinze</w:t>
      </w:r>
      <w:proofErr w:type="spellEnd"/>
      <w:r w:rsidRPr="00124E7F">
        <w:t xml:space="preserve"> et al stated in response to the </w:t>
      </w:r>
      <w:proofErr w:type="spellStart"/>
      <w:r w:rsidRPr="00124E7F">
        <w:t>Kernochan</w:t>
      </w:r>
      <w:proofErr w:type="spellEnd"/>
      <w:r w:rsidRPr="00124E7F">
        <w:t xml:space="preserve"> Review: </w:t>
      </w:r>
    </w:p>
    <w:p w14:paraId="69626D50" w14:textId="77777777" w:rsidR="005F55CE" w:rsidRPr="00124E7F" w:rsidRDefault="005F55CE" w:rsidP="000061D4">
      <w:pPr>
        <w:pStyle w:val="EYBulletedText2"/>
        <w:rPr>
          <w:i/>
        </w:rPr>
      </w:pPr>
      <w:r w:rsidRPr="00124E7F">
        <w:rPr>
          <w:i/>
        </w:rPr>
        <w:t>‘For a legal doctrine to be predictable does not require an absolute consensus on its application to contested facts in every individual case. Like the common law, it is helpful to think of fair use as both a mechanism for generating decisions about particular issues (i.e., as a system) and as a collection of actual decisions (i.e., as a body of case law). At a system level, the last 30 years of case law have generated a fairly coherent set of principles that lend themselves to forward-looking application. At the level of individual cases, it is true that no copyright expert agrees with every court decision on fair use, but we are not aware that such consensus exists in any other significant area of the law.’</w:t>
      </w:r>
      <w:r w:rsidRPr="00124E7F">
        <w:rPr>
          <w:i/>
          <w:vertAlign w:val="superscript"/>
        </w:rPr>
        <w:footnoteReference w:id="252"/>
      </w:r>
    </w:p>
    <w:p w14:paraId="00089658" w14:textId="77777777" w:rsidR="005F55CE" w:rsidRPr="00124E7F" w:rsidRDefault="005F55CE" w:rsidP="00634BB4">
      <w:pPr>
        <w:pStyle w:val="EYBulletedText1"/>
      </w:pPr>
      <w:r w:rsidRPr="00124E7F">
        <w:t xml:space="preserve">It is seemingly based on ‘anecdata’ (i.e. examples of complex fair use cases), rather than empirical analysis of the broader case law. </w:t>
      </w:r>
    </w:p>
    <w:p w14:paraId="647C603E" w14:textId="77777777" w:rsidR="005F55CE" w:rsidRPr="00124E7F" w:rsidRDefault="005F55CE" w:rsidP="008C0A7F">
      <w:pPr>
        <w:pStyle w:val="EYHeading4"/>
      </w:pPr>
      <w:r w:rsidRPr="00124E7F">
        <w:t xml:space="preserve">The unclear relationship between fair use and increased enforcement costs </w:t>
      </w:r>
    </w:p>
    <w:p w14:paraId="12852629" w14:textId="77777777" w:rsidR="005F55CE" w:rsidRPr="00124E7F" w:rsidRDefault="005F55CE" w:rsidP="0061337C">
      <w:pPr>
        <w:pStyle w:val="EYBodytextwithparaspace"/>
      </w:pPr>
      <w:r w:rsidRPr="00124E7F">
        <w:t xml:space="preserve">As we note above, the perceived differences in litigation rates and costs between the American copyright system and more prescriptive copyright systems is typically seen as evidence of the greater uncertainty associated with fair use. An examination of the available evidence, however, suggests that the relationship between fair use and higher enforcement costs is unclear (and seemingly less strong than is commonly assumed). </w:t>
      </w:r>
    </w:p>
    <w:p w14:paraId="1915A8C5" w14:textId="77777777" w:rsidR="005F55CE" w:rsidRPr="00124E7F" w:rsidRDefault="005F55CE" w:rsidP="0061337C">
      <w:pPr>
        <w:pStyle w:val="EYBodytextwithparaspace"/>
      </w:pPr>
      <w:r w:rsidRPr="00124E7F">
        <w:t xml:space="preserve">The sections below explore the enforcement costs of the status quo, before </w:t>
      </w:r>
      <w:proofErr w:type="spellStart"/>
      <w:r w:rsidRPr="00124E7F">
        <w:t>analysing</w:t>
      </w:r>
      <w:proofErr w:type="spellEnd"/>
      <w:r w:rsidRPr="00124E7F">
        <w:t xml:space="preserve"> enforcement-related data fro</w:t>
      </w:r>
      <w:r w:rsidR="00ED7528" w:rsidRPr="00124E7F">
        <w:t xml:space="preserve">m Singapore, the United Kingdom, </w:t>
      </w:r>
      <w:r w:rsidRPr="00124E7F">
        <w:t>the United States, and Australia</w:t>
      </w:r>
      <w:r w:rsidR="00ED7528" w:rsidRPr="00124E7F">
        <w:t>.</w:t>
      </w:r>
      <w:r w:rsidRPr="00124E7F">
        <w:t xml:space="preserve"> </w:t>
      </w:r>
    </w:p>
    <w:p w14:paraId="6EF8580B" w14:textId="77777777" w:rsidR="005F55CE" w:rsidRPr="00124E7F" w:rsidRDefault="005F55CE" w:rsidP="00B13A4A">
      <w:pPr>
        <w:pStyle w:val="EYHeading4"/>
      </w:pPr>
      <w:r w:rsidRPr="00124E7F">
        <w:t xml:space="preserve">Status quo </w:t>
      </w:r>
    </w:p>
    <w:p w14:paraId="48568CF7" w14:textId="77777777" w:rsidR="005F55CE" w:rsidRPr="00124E7F" w:rsidRDefault="005F55CE" w:rsidP="0061337C">
      <w:pPr>
        <w:pStyle w:val="EYBodytextwithparaspace"/>
      </w:pPr>
      <w:r w:rsidRPr="00124E7F">
        <w:t xml:space="preserve">Copyrights can be enforced through both criminal and civil litigation. As we have excluded government costs from our analysis, we focus here primarily on the costs associated with civil litigation. </w:t>
      </w:r>
    </w:p>
    <w:p w14:paraId="3B6ABA05" w14:textId="77777777" w:rsidR="005F55CE" w:rsidRPr="00124E7F" w:rsidRDefault="005F55CE" w:rsidP="007B0604">
      <w:pPr>
        <w:pStyle w:val="EYBodytextwithparaspace"/>
      </w:pPr>
      <w:r w:rsidRPr="00124E7F">
        <w:t>Civil copyright cases are typically handled by the Federal Court of Australia (FCA) and the Federal Circuit Court of Australia (FCCA) (formerly the Federal Magistrates Court). Based on our analysis of annual reports and judgments published by both institutions (see</w:t>
      </w:r>
      <w:r w:rsidR="00C33531" w:rsidRPr="00124E7F">
        <w:t xml:space="preserve"> </w:t>
      </w:r>
      <w:r w:rsidR="00C33531" w:rsidRPr="00124E7F">
        <w:br/>
        <w:t xml:space="preserve">Figure </w:t>
      </w:r>
      <w:r w:rsidR="00C33531" w:rsidRPr="00124E7F">
        <w:fldChar w:fldCharType="begin"/>
      </w:r>
      <w:r w:rsidR="00C33531" w:rsidRPr="00124E7F">
        <w:instrText xml:space="preserve"> REF figure18 \h </w:instrText>
      </w:r>
      <w:r w:rsidR="00C33531" w:rsidRPr="00124E7F">
        <w:fldChar w:fldCharType="separate"/>
      </w:r>
      <w:r w:rsidR="0075700D">
        <w:rPr>
          <w:noProof/>
        </w:rPr>
        <w:t>18</w:t>
      </w:r>
      <w:r w:rsidR="00C33531" w:rsidRPr="00124E7F">
        <w:fldChar w:fldCharType="end"/>
      </w:r>
      <w:r w:rsidRPr="00124E7F">
        <w:t xml:space="preserve">), we estimate that there was an annual average of 106 copyright case filings from 2005 to 2014, compared to an annual average of 87 trade mark case filings and 71 patent case filings over the same period. </w:t>
      </w:r>
    </w:p>
    <w:p w14:paraId="086F26F0" w14:textId="77777777" w:rsidR="00F83736" w:rsidRDefault="00F83736">
      <w:pPr>
        <w:widowControl/>
        <w:autoSpaceDE/>
        <w:autoSpaceDN/>
        <w:adjustRightInd/>
        <w:spacing w:line="240" w:lineRule="auto"/>
        <w:rPr>
          <w:b/>
          <w:bCs/>
          <w:sz w:val="24"/>
          <w:szCs w:val="18"/>
        </w:rPr>
      </w:pPr>
      <w:bookmarkStart w:id="200" w:name="_Ref445211406"/>
      <w:r>
        <w:br w:type="page"/>
      </w:r>
    </w:p>
    <w:p w14:paraId="2B3585DA" w14:textId="4AA905C7" w:rsidR="005F55CE" w:rsidRDefault="005F55CE" w:rsidP="00810A90">
      <w:pPr>
        <w:pStyle w:val="Caption"/>
        <w:keepNext/>
        <w:spacing w:after="120"/>
      </w:pPr>
      <w:r w:rsidRPr="00124E7F">
        <w:t xml:space="preserve">Figure </w:t>
      </w:r>
      <w:bookmarkStart w:id="201" w:name="figure18"/>
      <w:r w:rsidRPr="00124E7F">
        <w:fldChar w:fldCharType="begin"/>
      </w:r>
      <w:r w:rsidRPr="00124E7F">
        <w:instrText xml:space="preserve"> SEQ Figure \* ARABIC </w:instrText>
      </w:r>
      <w:r w:rsidRPr="00124E7F">
        <w:fldChar w:fldCharType="separate"/>
      </w:r>
      <w:r w:rsidR="0075700D">
        <w:rPr>
          <w:noProof/>
        </w:rPr>
        <w:t>18</w:t>
      </w:r>
      <w:r w:rsidRPr="00124E7F">
        <w:fldChar w:fldCharType="end"/>
      </w:r>
      <w:bookmarkEnd w:id="200"/>
      <w:bookmarkEnd w:id="201"/>
      <w:r w:rsidRPr="00124E7F">
        <w:t xml:space="preserve">: Number of intellectual property cases filed in the FCA and FCCA, 2005 </w:t>
      </w:r>
      <w:r w:rsidR="006944BB">
        <w:t>–</w:t>
      </w:r>
      <w:r w:rsidRPr="00124E7F">
        <w:t xml:space="preserve"> 2014</w:t>
      </w:r>
    </w:p>
    <w:p w14:paraId="6624991B" w14:textId="1254C2DE" w:rsidR="005F55CE" w:rsidRPr="00124E7F" w:rsidRDefault="006944BB" w:rsidP="00202E68">
      <w:r>
        <w:rPr>
          <w:noProof/>
          <w:lang w:eastAsia="zh-TW" w:bidi="hi-IN"/>
        </w:rPr>
        <w:drawing>
          <wp:inline distT="0" distB="0" distL="0" distR="0" wp14:anchorId="0A97AB97" wp14:editId="779E65D7">
            <wp:extent cx="5895340" cy="2603500"/>
            <wp:effectExtent l="0" t="0" r="0" b="6350"/>
            <wp:docPr id="295" name="Picture 295" descr="This chart illustrates trends in the number of intellectual property cases filed in the Federal Court of Australia and Federal Circut Court of Australia over the past decade. &#10;It shows that: (1) copyright case filings decreased from 108 in 2005 to 73 in 2006, increased to 149 in 2007 and then decreased over the next seven years to 89 in 2014; (2) patent case filings decreased from 95 in 2005 to 47 in 2009, and then increased to 86 in 2014; and (3) trade mark case filings increased from 52 in 2005 to 123 in 2006, decreased to 49 in 2007, increased to 122 in 2011, decreased to 56 in 2013, and increased to 106 in 2014." title="Figure 18: Number of intellectual property cases filed in the FCA and FCCA, 2005 –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95340" cy="2603500"/>
                    </a:xfrm>
                    <a:prstGeom prst="rect">
                      <a:avLst/>
                    </a:prstGeom>
                    <a:noFill/>
                  </pic:spPr>
                </pic:pic>
              </a:graphicData>
            </a:graphic>
          </wp:inline>
        </w:drawing>
      </w:r>
    </w:p>
    <w:p w14:paraId="25128A9C" w14:textId="77777777" w:rsidR="00C740D3" w:rsidRPr="00124E7F" w:rsidRDefault="005F55CE" w:rsidP="00374194">
      <w:pPr>
        <w:pStyle w:val="EYSource"/>
        <w:spacing w:after="0"/>
        <w:rPr>
          <w:sz w:val="20"/>
          <w:szCs w:val="20"/>
        </w:rPr>
      </w:pPr>
      <w:r w:rsidRPr="00124E7F">
        <w:rPr>
          <w:sz w:val="20"/>
          <w:szCs w:val="20"/>
        </w:rPr>
        <w:t>Source: FCA Annual Reports, available at: http://www.fedcourt.gov.au/publications/annual-reports</w:t>
      </w:r>
      <w:proofErr w:type="gramStart"/>
      <w:r w:rsidRPr="00124E7F">
        <w:rPr>
          <w:sz w:val="20"/>
          <w:szCs w:val="20"/>
        </w:rPr>
        <w:t>;  FCCA</w:t>
      </w:r>
      <w:proofErr w:type="gramEnd"/>
      <w:r w:rsidRPr="00124E7F">
        <w:rPr>
          <w:sz w:val="20"/>
          <w:szCs w:val="20"/>
        </w:rPr>
        <w:t xml:space="preserve"> Annual Reports, available at: http://www.federalcircuitcourt.gov.au/wps/wcm/connect/fccweb/reports-and-publications/annual-reports/;  LexisNexis AU, accessed on 7 March 2016. </w:t>
      </w:r>
      <w:r w:rsidRPr="00124E7F">
        <w:rPr>
          <w:sz w:val="20"/>
          <w:szCs w:val="20"/>
        </w:rPr>
        <w:br/>
      </w:r>
    </w:p>
    <w:p w14:paraId="535C486E" w14:textId="77777777" w:rsidR="005F55CE" w:rsidRPr="00124E7F" w:rsidRDefault="005F55CE" w:rsidP="00810A90">
      <w:pPr>
        <w:pStyle w:val="EYSource"/>
        <w:spacing w:after="240"/>
        <w:rPr>
          <w:sz w:val="20"/>
          <w:szCs w:val="20"/>
        </w:rPr>
      </w:pPr>
      <w:r w:rsidRPr="00124E7F">
        <w:rPr>
          <w:sz w:val="20"/>
          <w:szCs w:val="20"/>
        </w:rPr>
        <w:t xml:space="preserve">Note: The FCA does not publish data on copyright case filings. To derive estimates for copyright, patent and trade mark case filings, we: (1) used LexisNexis AU to identify all copyright, patent, trade mark, design and circuit layout judgments published by the FCA per calendar year from 2005 to 2014; and (2) then applied the proportion of copyright, patent and trade mark judgments (relative to the total number of intellectual property judgments, and accounting for duplicate entries) to the intellectual property case filing data published by the FCA. We used a similar method to estimate copyright and trade mark case filings for the FCCA; but only for 2014, as the FCCA (and its predecessor) published copyright case filing data from 2004/05 to 2012/13. We identified judgments in LexisNexis AU using the relevant act in the ‘legislation considered’ search field (e.g. Copyright Act 1968) and the relevant term in the catchword search field (e.g. copyright). </w:t>
      </w:r>
    </w:p>
    <w:p w14:paraId="1CAC0C09" w14:textId="77777777" w:rsidR="005F55CE" w:rsidRPr="00124E7F" w:rsidRDefault="005F55CE" w:rsidP="0061337C">
      <w:pPr>
        <w:pStyle w:val="EYBodytextwithparaspace"/>
      </w:pPr>
      <w:r w:rsidRPr="00124E7F">
        <w:t>Both plaintiffs and defendants incur costs as a result of civil litigation. These costs include:</w:t>
      </w:r>
    </w:p>
    <w:p w14:paraId="0F566BD2" w14:textId="77777777" w:rsidR="005F55CE" w:rsidRPr="00124E7F" w:rsidRDefault="005F55CE" w:rsidP="00634BB4">
      <w:pPr>
        <w:pStyle w:val="EYBulletedText1"/>
      </w:pPr>
      <w:r w:rsidRPr="00124E7F">
        <w:t xml:space="preserve">Administrative costs (e.g. staff time spent collecting information and attending hearings) </w:t>
      </w:r>
    </w:p>
    <w:p w14:paraId="017313C3" w14:textId="77777777" w:rsidR="005F55CE" w:rsidRPr="00124E7F" w:rsidRDefault="005F55CE" w:rsidP="00634BB4">
      <w:pPr>
        <w:pStyle w:val="EYBulletedText1"/>
      </w:pPr>
      <w:r w:rsidRPr="00124E7F">
        <w:t xml:space="preserve">Professional services costs (e.g. costs associated with purchasing legal advice and representation) </w:t>
      </w:r>
    </w:p>
    <w:p w14:paraId="36C9C35B" w14:textId="77777777" w:rsidR="005F55CE" w:rsidRPr="00124E7F" w:rsidRDefault="005F55CE" w:rsidP="00634BB4">
      <w:pPr>
        <w:pStyle w:val="EYBulletedText1"/>
      </w:pPr>
      <w:r w:rsidRPr="00124E7F">
        <w:t xml:space="preserve">Opportunity costs (e.g. lost investment and sales opportunities associated with legal uncertainty). </w:t>
      </w:r>
    </w:p>
    <w:p w14:paraId="755857A4" w14:textId="77777777" w:rsidR="005F55CE" w:rsidRPr="00124E7F" w:rsidRDefault="005F55CE" w:rsidP="0061337C">
      <w:pPr>
        <w:pStyle w:val="EYBodytextwithparaspace"/>
      </w:pPr>
      <w:r w:rsidRPr="00124E7F">
        <w:t>Estimates of the costs associated with copyright civil litigation are typically drawn from the report of the Standing Committee on Legal and Constitutional Affairs’ inquiry into the enforcement of copyright in Australia. During this inquiry (which was conducted in 2000), a number of stakeholders estimated that the average cost of infringement proceedings ranged from $23,000 to $150,000 (adjusted for inflation).</w:t>
      </w:r>
      <w:r w:rsidRPr="00124E7F">
        <w:rPr>
          <w:vertAlign w:val="superscript"/>
        </w:rPr>
        <w:footnoteReference w:id="253"/>
      </w:r>
      <w:r w:rsidRPr="00124E7F">
        <w:rPr>
          <w:vertAlign w:val="superscript"/>
        </w:rPr>
        <w:t xml:space="preserve"> </w:t>
      </w:r>
      <w:r w:rsidRPr="00124E7F">
        <w:t xml:space="preserve">It is likely (though not certain based on the data available) that these estimates only encompass professional services costs (as opposed to administrative costs and opportunity costs). </w:t>
      </w:r>
    </w:p>
    <w:p w14:paraId="59273539" w14:textId="77777777" w:rsidR="005F55CE" w:rsidRPr="00124E7F" w:rsidRDefault="005F55CE" w:rsidP="0061337C">
      <w:pPr>
        <w:pStyle w:val="EYBodytextwithparaspace"/>
      </w:pPr>
      <w:r w:rsidRPr="00124E7F">
        <w:t xml:space="preserve">Based on the information above, we estimate that the annual cost of copyright proceedings under the status quo is between $2.5 million and $16 million. This estimate is likely to be conservative, given the questions of data completeness raised above. </w:t>
      </w:r>
    </w:p>
    <w:p w14:paraId="5031B548" w14:textId="77777777" w:rsidR="005F55CE" w:rsidRPr="00124E7F" w:rsidRDefault="005F55CE" w:rsidP="0061337C">
      <w:pPr>
        <w:pStyle w:val="EYBodytextwithparaspace"/>
      </w:pPr>
      <w:r w:rsidRPr="00124E7F">
        <w:t>It is important to note that not all enforcement costs are incurred through copyright proceedings. Costs are also incurred through enforcement undertakings that are resolved before proceedings are commenced. A number of estimates exist on the likely scope of such undertakings.</w:t>
      </w:r>
      <w:r w:rsidRPr="00124E7F">
        <w:rPr>
          <w:vertAlign w:val="superscript"/>
        </w:rPr>
        <w:footnoteReference w:id="254"/>
      </w:r>
      <w:r w:rsidRPr="00124E7F">
        <w:rPr>
          <w:vertAlign w:val="superscript"/>
        </w:rPr>
        <w:t xml:space="preserve"> </w:t>
      </w:r>
      <w:r w:rsidRPr="00124E7F">
        <w:t xml:space="preserve">There are, however, no reliable estimates of the average costs incurred during copyright enforcement undertakings that do not result in a court filing. </w:t>
      </w:r>
    </w:p>
    <w:p w14:paraId="1E046260" w14:textId="77777777" w:rsidR="005F55CE" w:rsidRPr="00124E7F" w:rsidRDefault="005F55CE" w:rsidP="00B13A4A">
      <w:pPr>
        <w:pStyle w:val="EYHeading4"/>
      </w:pPr>
      <w:r w:rsidRPr="00124E7F">
        <w:t>Singapore’s experience with fair use</w:t>
      </w:r>
    </w:p>
    <w:p w14:paraId="293EC0D6" w14:textId="77777777" w:rsidR="005F55CE" w:rsidRPr="00124E7F" w:rsidRDefault="005F55CE" w:rsidP="0061337C">
      <w:pPr>
        <w:pStyle w:val="EYBodytextwithparaspace"/>
      </w:pPr>
      <w:r w:rsidRPr="00124E7F">
        <w:t>The Singaporean Government introduced new copyright legislation in 1987. This included some fair dealing exceptions, but these ‘were limited to very specific purposes: (a) private study or research; (b) criticism or review; and (c) reporting current events or news’.</w:t>
      </w:r>
      <w:r w:rsidRPr="00124E7F">
        <w:rPr>
          <w:vertAlign w:val="superscript"/>
        </w:rPr>
        <w:footnoteReference w:id="255"/>
      </w:r>
      <w:r w:rsidRPr="00124E7F">
        <w:rPr>
          <w:vertAlign w:val="superscript"/>
        </w:rPr>
        <w:t xml:space="preserve"> </w:t>
      </w:r>
      <w:r w:rsidRPr="00124E7F">
        <w:t>In 2005, the Singapore Government amended its copyright legislation to add a clause that ‘strongly echoes’ the fair use clause of American copyright legislation.</w:t>
      </w:r>
      <w:r w:rsidRPr="00124E7F">
        <w:rPr>
          <w:vertAlign w:val="superscript"/>
        </w:rPr>
        <w:footnoteReference w:id="256"/>
      </w:r>
      <w:r w:rsidRPr="00124E7F">
        <w:rPr>
          <w:vertAlign w:val="superscript"/>
        </w:rPr>
        <w:t xml:space="preserve"> </w:t>
      </w:r>
    </w:p>
    <w:p w14:paraId="6778A1EA" w14:textId="77777777" w:rsidR="005F55CE" w:rsidRPr="00124E7F" w:rsidRDefault="005F55CE" w:rsidP="0061337C">
      <w:pPr>
        <w:pStyle w:val="EYBodytextwithparaspace"/>
      </w:pPr>
      <w:r w:rsidRPr="00124E7F">
        <w:fldChar w:fldCharType="begin"/>
      </w:r>
      <w:r w:rsidRPr="00124E7F">
        <w:instrText xml:space="preserve"> REF _Ref445378117 \h </w:instrText>
      </w:r>
      <w:r w:rsidR="00EE547B" w:rsidRPr="00124E7F">
        <w:instrText xml:space="preserve"> \* MERGEFORMAT </w:instrText>
      </w:r>
      <w:r w:rsidRPr="00124E7F">
        <w:fldChar w:fldCharType="separate"/>
      </w:r>
      <w:r w:rsidR="0075700D" w:rsidRPr="00124E7F">
        <w:t xml:space="preserve">Figure </w:t>
      </w:r>
      <w:r w:rsidR="0075700D">
        <w:t>19</w:t>
      </w:r>
      <w:r w:rsidRPr="00124E7F">
        <w:fldChar w:fldCharType="end"/>
      </w:r>
      <w:r w:rsidRPr="00124E7F">
        <w:t xml:space="preserve"> outlines the number of copyright decisions in Singapore (excluding public prosecutions), and the number of decisions per million people, from 1987 to 2014. This figure illustrates that: </w:t>
      </w:r>
    </w:p>
    <w:p w14:paraId="19E8757D" w14:textId="77777777" w:rsidR="005F55CE" w:rsidRPr="00124E7F" w:rsidRDefault="005F55CE" w:rsidP="00634BB4">
      <w:pPr>
        <w:pStyle w:val="EYBulletedText1"/>
      </w:pPr>
      <w:r w:rsidRPr="00124E7F">
        <w:t>There was an increase in the number of copyright decisions following the 2005 amendment – from 1987 to 2004, the average number of decisions was 1.44. This increased to 1.80 from 2005 to 2014</w:t>
      </w:r>
    </w:p>
    <w:p w14:paraId="05EFE9F8" w14:textId="77777777" w:rsidR="005F55CE" w:rsidRDefault="005F55CE" w:rsidP="00634BB4">
      <w:pPr>
        <w:pStyle w:val="EYBulletedText1"/>
      </w:pPr>
      <w:r w:rsidRPr="00124E7F">
        <w:t>Controlling for population, there was a slight decrease in the number of copyright decisions following the 2005 amendment – from 1987 to 2004, the average number of decisions per million people was 0.42. This dropped to 0.36 from 2005 to 2014.</w:t>
      </w:r>
    </w:p>
    <w:p w14:paraId="5FEF935A" w14:textId="77777777" w:rsidR="005F7DA9" w:rsidRDefault="005F7DA9">
      <w:pPr>
        <w:widowControl/>
        <w:autoSpaceDE/>
        <w:autoSpaceDN/>
        <w:adjustRightInd/>
        <w:spacing w:line="240" w:lineRule="auto"/>
        <w:rPr>
          <w:szCs w:val="24"/>
          <w:lang w:val="en-US"/>
        </w:rPr>
      </w:pPr>
      <w:r>
        <w:br w:type="page"/>
      </w:r>
    </w:p>
    <w:p w14:paraId="3ED28304" w14:textId="36EE717F" w:rsidR="005F55CE" w:rsidRDefault="005F55CE" w:rsidP="00810A90">
      <w:pPr>
        <w:pStyle w:val="Caption"/>
        <w:keepNext/>
        <w:spacing w:after="120"/>
      </w:pPr>
      <w:bookmarkStart w:id="202" w:name="_Ref445378117"/>
      <w:r w:rsidRPr="00124E7F">
        <w:t xml:space="preserve">Figure </w:t>
      </w:r>
      <w:r w:rsidRPr="00124E7F">
        <w:fldChar w:fldCharType="begin"/>
      </w:r>
      <w:r w:rsidRPr="00124E7F">
        <w:instrText xml:space="preserve"> SEQ Figure \* ARABIC </w:instrText>
      </w:r>
      <w:r w:rsidRPr="00124E7F">
        <w:fldChar w:fldCharType="separate"/>
      </w:r>
      <w:r w:rsidR="0075700D">
        <w:rPr>
          <w:noProof/>
        </w:rPr>
        <w:t>19</w:t>
      </w:r>
      <w:r w:rsidRPr="00124E7F">
        <w:fldChar w:fldCharType="end"/>
      </w:r>
      <w:bookmarkEnd w:id="202"/>
      <w:r w:rsidRPr="00124E7F">
        <w:t xml:space="preserve">: Number of copyright decisions and decisions per million people, Singapore, 1987 </w:t>
      </w:r>
      <w:r w:rsidR="006944BB">
        <w:t>–</w:t>
      </w:r>
      <w:r w:rsidRPr="00124E7F">
        <w:t xml:space="preserve"> 2014</w:t>
      </w:r>
    </w:p>
    <w:p w14:paraId="6863188C" w14:textId="22D3479E" w:rsidR="005F55CE" w:rsidRPr="00124E7F" w:rsidRDefault="006944BB" w:rsidP="00202E68">
      <w:r>
        <w:rPr>
          <w:noProof/>
          <w:lang w:eastAsia="zh-TW" w:bidi="hi-IN"/>
        </w:rPr>
        <w:drawing>
          <wp:inline distT="0" distB="0" distL="0" distR="0" wp14:anchorId="2FCC3F81" wp14:editId="49AD0F74">
            <wp:extent cx="5822315" cy="2627630"/>
            <wp:effectExtent l="0" t="0" r="6985" b="1270"/>
            <wp:docPr id="296" name="Picture 296" descr="This chart illustates the number of copyright decisions and copyright decisions per million people in Singapore from 1987 to 2014. &#10;In terms of number of decisions, the data is volatile (increasing and decreasing per year), put shows a gradual upward trend (from an average of 1.44 decisions over 1987 to 2004, to an average of 1.80 decisions over 2005 to 2014. &#10;In terms of decisions per million people, the chart remains volatile, put shows a gradual downward trend (from an average of 0.42 decisions per million people  over 1987 to 2004, to an average of 0.36 decisions per million people over 2005 to 2014." title="Figure 19: Number of copyright decisions and decisions per million people, Singapore, 1987 –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22315" cy="2627630"/>
                    </a:xfrm>
                    <a:prstGeom prst="rect">
                      <a:avLst/>
                    </a:prstGeom>
                    <a:noFill/>
                  </pic:spPr>
                </pic:pic>
              </a:graphicData>
            </a:graphic>
          </wp:inline>
        </w:drawing>
      </w:r>
    </w:p>
    <w:p w14:paraId="3CB19936" w14:textId="29185A71" w:rsidR="005F55CE" w:rsidRPr="00124E7F" w:rsidRDefault="005F55CE" w:rsidP="00C740D3">
      <w:pPr>
        <w:pStyle w:val="EYSource"/>
        <w:keepNext w:val="0"/>
        <w:widowControl w:val="0"/>
        <w:spacing w:after="240"/>
        <w:rPr>
          <w:sz w:val="20"/>
          <w:szCs w:val="20"/>
        </w:rPr>
      </w:pPr>
      <w:r w:rsidRPr="00124E7F">
        <w:rPr>
          <w:sz w:val="20"/>
          <w:szCs w:val="20"/>
        </w:rPr>
        <w:t xml:space="preserve">Source: </w:t>
      </w:r>
      <w:proofErr w:type="spellStart"/>
      <w:r w:rsidRPr="00124E7F">
        <w:rPr>
          <w:sz w:val="20"/>
          <w:szCs w:val="20"/>
        </w:rPr>
        <w:t>LawNet</w:t>
      </w:r>
      <w:proofErr w:type="spellEnd"/>
      <w:r w:rsidRPr="00124E7F">
        <w:rPr>
          <w:sz w:val="20"/>
          <w:szCs w:val="20"/>
        </w:rPr>
        <w:t xml:space="preserve"> (2016), ‘Legal research basic module’, available at: </w:t>
      </w:r>
      <w:r w:rsidR="00F5353E" w:rsidRPr="00202E68">
        <w:t>https://www.lawnet.sg</w:t>
      </w:r>
      <w:r w:rsidRPr="00124E7F">
        <w:rPr>
          <w:sz w:val="20"/>
          <w:szCs w:val="20"/>
        </w:rPr>
        <w:t xml:space="preserve">; The World Bank (2016), ‘Population, total’, available at: </w:t>
      </w:r>
      <w:r w:rsidR="00F5353E" w:rsidRPr="00202E68">
        <w:t>http://data.worldbank.org/</w:t>
      </w:r>
      <w:r w:rsidRPr="00124E7F">
        <w:rPr>
          <w:sz w:val="20"/>
          <w:szCs w:val="20"/>
        </w:rPr>
        <w:t xml:space="preserve">. </w:t>
      </w:r>
      <w:r w:rsidRPr="00124E7F">
        <w:rPr>
          <w:sz w:val="20"/>
          <w:szCs w:val="20"/>
        </w:rPr>
        <w:br/>
        <w:t xml:space="preserve">Note: Copyright decisions were identified using </w:t>
      </w:r>
      <w:proofErr w:type="spellStart"/>
      <w:r w:rsidRPr="00124E7F">
        <w:rPr>
          <w:sz w:val="20"/>
          <w:szCs w:val="20"/>
        </w:rPr>
        <w:t>LawNet</w:t>
      </w:r>
      <w:proofErr w:type="spellEnd"/>
      <w:r w:rsidRPr="00124E7F">
        <w:rPr>
          <w:sz w:val="20"/>
          <w:szCs w:val="20"/>
        </w:rPr>
        <w:t xml:space="preserve"> categories. Cases involving pub</w:t>
      </w:r>
      <w:r w:rsidR="00810A90" w:rsidRPr="00124E7F">
        <w:rPr>
          <w:sz w:val="20"/>
          <w:szCs w:val="20"/>
        </w:rPr>
        <w:t xml:space="preserve">lic prosecutors were excluded. </w:t>
      </w:r>
    </w:p>
    <w:p w14:paraId="7A984027" w14:textId="77777777" w:rsidR="005F55CE" w:rsidRPr="00124E7F" w:rsidRDefault="005F55CE" w:rsidP="00B13A4A">
      <w:pPr>
        <w:pStyle w:val="EYHeading4"/>
      </w:pPr>
      <w:r w:rsidRPr="00124E7F">
        <w:t xml:space="preserve">The United Kingdom and the United States </w:t>
      </w:r>
    </w:p>
    <w:p w14:paraId="3DE224F5" w14:textId="77777777" w:rsidR="005F55CE" w:rsidRPr="00124E7F" w:rsidRDefault="005F55CE" w:rsidP="0061337C">
      <w:pPr>
        <w:pStyle w:val="EYBodytextwithparaspace"/>
      </w:pPr>
      <w:r w:rsidRPr="00124E7F">
        <w:t xml:space="preserve">To support its submission to the Hargreaves review of intellectual property and growth, the British Copyright Council (BCC) engaged Taylor </w:t>
      </w:r>
      <w:proofErr w:type="spellStart"/>
      <w:r w:rsidRPr="00124E7F">
        <w:t>Wessing</w:t>
      </w:r>
      <w:proofErr w:type="spellEnd"/>
      <w:r w:rsidRPr="00124E7F">
        <w:t xml:space="preserve"> LLP to prepare a comparison of the British and American copyright regimes. This comparison made two key findings. First, that from 1978 to 2010, there were approximately four-to-five times more reported fair use decisions/opinions made under American copyright legislation</w:t>
      </w:r>
      <w:r w:rsidRPr="00124E7F">
        <w:rPr>
          <w:vertAlign w:val="superscript"/>
        </w:rPr>
        <w:footnoteReference w:id="257"/>
      </w:r>
      <w:r w:rsidRPr="00124E7F">
        <w:rPr>
          <w:vertAlign w:val="superscript"/>
        </w:rPr>
        <w:t xml:space="preserve"> </w:t>
      </w:r>
      <w:r w:rsidRPr="00124E7F">
        <w:t>than reported fair dealing decisions made under British legislation.</w:t>
      </w:r>
      <w:r w:rsidRPr="00124E7F">
        <w:rPr>
          <w:vertAlign w:val="superscript"/>
        </w:rPr>
        <w:footnoteReference w:id="258"/>
      </w:r>
      <w:r w:rsidRPr="00124E7F">
        <w:t xml:space="preserve"> The significance of this finding, however, is unclear; given that, over the same period:</w:t>
      </w:r>
    </w:p>
    <w:p w14:paraId="27B0B089" w14:textId="77777777" w:rsidR="005F55CE" w:rsidRPr="00124E7F" w:rsidRDefault="005F55CE" w:rsidP="00634BB4">
      <w:pPr>
        <w:pStyle w:val="EYBulletedText1"/>
      </w:pPr>
      <w:r w:rsidRPr="00124E7F">
        <w:t>The population of the United States was, on average, four-to-five times bigger than that of the United Kingdom</w:t>
      </w:r>
      <w:r w:rsidRPr="00124E7F">
        <w:rPr>
          <w:vertAlign w:val="superscript"/>
        </w:rPr>
        <w:footnoteReference w:id="259"/>
      </w:r>
      <w:r w:rsidRPr="00124E7F">
        <w:rPr>
          <w:vertAlign w:val="superscript"/>
        </w:rPr>
        <w:t xml:space="preserve"> </w:t>
      </w:r>
    </w:p>
    <w:p w14:paraId="40712FF7" w14:textId="77777777" w:rsidR="005F55CE" w:rsidRPr="00124E7F" w:rsidRDefault="005F55CE" w:rsidP="00634BB4">
      <w:pPr>
        <w:pStyle w:val="EYBulletedText1"/>
      </w:pPr>
      <w:r w:rsidRPr="00124E7F">
        <w:t>The gross domestic product (GDP) of the United States was, on average, six times bigger than that of the United Kingdom.</w:t>
      </w:r>
      <w:r w:rsidRPr="00124E7F">
        <w:rPr>
          <w:vertAlign w:val="superscript"/>
        </w:rPr>
        <w:footnoteReference w:id="260"/>
      </w:r>
      <w:r w:rsidRPr="00124E7F">
        <w:rPr>
          <w:vertAlign w:val="superscript"/>
        </w:rPr>
        <w:t xml:space="preserve"> </w:t>
      </w:r>
    </w:p>
    <w:p w14:paraId="5149F969" w14:textId="77777777" w:rsidR="00810A90" w:rsidRPr="00124E7F" w:rsidRDefault="005F55CE" w:rsidP="0061337C">
      <w:pPr>
        <w:pStyle w:val="EYBodytextwithparaspace"/>
        <w:rPr>
          <w:rStyle w:val="AAnormalChar"/>
        </w:rPr>
      </w:pPr>
      <w:r w:rsidRPr="00124E7F">
        <w:rPr>
          <w:rStyle w:val="AAnormalChar"/>
        </w:rPr>
        <w:t xml:space="preserve">The second key finding was that ‘the costs of bringing or defending a copyright case which goes to a full trial and a reported decision is likely to be somewhere between £250,000 and £500,000 </w:t>
      </w:r>
      <w:r w:rsidR="003A1366" w:rsidRPr="00124E7F">
        <w:rPr>
          <w:rStyle w:val="AAnormalChar"/>
        </w:rPr>
        <w:t>[US$350,000 and US$700,000]</w:t>
      </w:r>
      <w:r w:rsidR="003A1366" w:rsidRPr="00124E7F">
        <w:rPr>
          <w:rStyle w:val="AAnormalChar"/>
          <w:vertAlign w:val="superscript"/>
        </w:rPr>
        <w:footnoteReference w:id="261"/>
      </w:r>
      <w:r w:rsidR="003A1366" w:rsidRPr="00124E7F">
        <w:rPr>
          <w:rStyle w:val="AAnormalChar"/>
        </w:rPr>
        <w:t xml:space="preserve"> </w:t>
      </w:r>
      <w:r w:rsidRPr="00124E7F">
        <w:rPr>
          <w:rStyle w:val="AAnormalChar"/>
        </w:rPr>
        <w:t>(excluding any appeals)’; whereas ‘the average cost to defend a copyright case [in the United States]</w:t>
      </w:r>
      <w:r w:rsidRPr="00124E7F">
        <w:t xml:space="preserve"> </w:t>
      </w:r>
      <w:r w:rsidRPr="00124E7F">
        <w:rPr>
          <w:rStyle w:val="AAnormalChar"/>
        </w:rPr>
        <w:t>is just under [US</w:t>
      </w:r>
      <w:proofErr w:type="gramStart"/>
      <w:r w:rsidRPr="00124E7F">
        <w:rPr>
          <w:rStyle w:val="AAnormalChar"/>
        </w:rPr>
        <w:t>]$</w:t>
      </w:r>
      <w:proofErr w:type="gramEnd"/>
      <w:r w:rsidRPr="00124E7F">
        <w:rPr>
          <w:rStyle w:val="AAnormalChar"/>
        </w:rPr>
        <w:t>1 million’.</w:t>
      </w:r>
      <w:r w:rsidRPr="00124E7F">
        <w:rPr>
          <w:rStyle w:val="AAnormalChar"/>
          <w:vertAlign w:val="superscript"/>
        </w:rPr>
        <w:footnoteReference w:id="262"/>
      </w:r>
      <w:r w:rsidRPr="00124E7F">
        <w:rPr>
          <w:rStyle w:val="AAnormalChar"/>
        </w:rPr>
        <w:t xml:space="preserve"> </w:t>
      </w:r>
    </w:p>
    <w:p w14:paraId="1DF21374" w14:textId="77777777" w:rsidR="005F55CE" w:rsidRPr="00124E7F" w:rsidRDefault="005F55CE" w:rsidP="0061337C">
      <w:pPr>
        <w:pStyle w:val="EYBodytextwithparaspace"/>
        <w:rPr>
          <w:rStyle w:val="AAnormalChar"/>
        </w:rPr>
      </w:pPr>
      <w:r w:rsidRPr="00124E7F">
        <w:rPr>
          <w:rStyle w:val="AAnormalChar"/>
        </w:rPr>
        <w:t>Assuming these estimates are reliable</w:t>
      </w:r>
      <w:r w:rsidRPr="00124E7F">
        <w:rPr>
          <w:rStyle w:val="AAnormalChar"/>
          <w:vertAlign w:val="superscript"/>
        </w:rPr>
        <w:footnoteReference w:id="263"/>
      </w:r>
      <w:r w:rsidRPr="00124E7F">
        <w:rPr>
          <w:rStyle w:val="AAnormalChar"/>
        </w:rPr>
        <w:t xml:space="preserve">, it remains unclear the extent to which the variation in litigation costs between the United Kingdom and the United States is attributable to differences in copyright regimes, as opposed to other factors (such as differences in legal systems and the relative importance of the American market to global copyright industries).  </w:t>
      </w:r>
    </w:p>
    <w:p w14:paraId="5613F661" w14:textId="77777777" w:rsidR="005F55CE" w:rsidRPr="00124E7F" w:rsidRDefault="005F55CE" w:rsidP="00B13A4A">
      <w:pPr>
        <w:pStyle w:val="EYHeading4"/>
      </w:pPr>
      <w:r w:rsidRPr="00124E7F">
        <w:t xml:space="preserve">Australia and the United States </w:t>
      </w:r>
    </w:p>
    <w:p w14:paraId="56DFB995" w14:textId="77777777" w:rsidR="005F55CE" w:rsidRPr="00124E7F" w:rsidRDefault="005F55CE" w:rsidP="007B0604">
      <w:pPr>
        <w:pStyle w:val="EYBodytextwithparaspace"/>
      </w:pPr>
      <w:r w:rsidRPr="00124E7F">
        <w:t>As noted above, we estimate there was an annual average of 106 copyright case filings in Australia from 2005 to 2014. In contrast, there was an annual average of 3,469 copyright case f</w:t>
      </w:r>
      <w:r w:rsidR="003A1366" w:rsidRPr="00124E7F">
        <w:t>i</w:t>
      </w:r>
      <w:r w:rsidRPr="00124E7F">
        <w:t>lings in the United States over the same period.</w:t>
      </w:r>
      <w:r w:rsidRPr="00124E7F">
        <w:rPr>
          <w:vertAlign w:val="superscript"/>
        </w:rPr>
        <w:footnoteReference w:id="264"/>
      </w:r>
      <w:r w:rsidRPr="00124E7F">
        <w:rPr>
          <w:vertAlign w:val="superscript"/>
        </w:rPr>
        <w:t xml:space="preserve"> </w:t>
      </w:r>
      <w:r w:rsidRPr="00124E7F">
        <w:t>Controlling for population, there were approximately 2.5 times more copyright case filings in the United States (an annual average of 11.3 per million people) compared to Australia (an annual average of 4.9 per million people) from 2005 to 2014 (</w:t>
      </w:r>
      <w:r w:rsidR="00C33531" w:rsidRPr="00124E7F">
        <w:t xml:space="preserve">Figure </w:t>
      </w:r>
      <w:r w:rsidR="00C33531" w:rsidRPr="00124E7F">
        <w:fldChar w:fldCharType="begin"/>
      </w:r>
      <w:r w:rsidR="00C33531" w:rsidRPr="00124E7F">
        <w:instrText xml:space="preserve"> REF figure20 \h </w:instrText>
      </w:r>
      <w:r w:rsidR="00C33531" w:rsidRPr="00124E7F">
        <w:fldChar w:fldCharType="separate"/>
      </w:r>
      <w:r w:rsidR="0075700D">
        <w:rPr>
          <w:noProof/>
        </w:rPr>
        <w:t>20</w:t>
      </w:r>
      <w:r w:rsidR="00C33531" w:rsidRPr="00124E7F">
        <w:fldChar w:fldCharType="end"/>
      </w:r>
      <w:r w:rsidRPr="00124E7F">
        <w:t xml:space="preserve">). </w:t>
      </w:r>
    </w:p>
    <w:p w14:paraId="5FDF7ADE" w14:textId="77777777" w:rsidR="00F83736" w:rsidRDefault="00F83736">
      <w:pPr>
        <w:widowControl/>
        <w:autoSpaceDE/>
        <w:autoSpaceDN/>
        <w:adjustRightInd/>
        <w:spacing w:line="240" w:lineRule="auto"/>
        <w:rPr>
          <w:b/>
          <w:bCs/>
          <w:sz w:val="24"/>
          <w:szCs w:val="18"/>
        </w:rPr>
      </w:pPr>
      <w:bookmarkStart w:id="203" w:name="_Ref445386151"/>
      <w:r>
        <w:br w:type="page"/>
      </w:r>
    </w:p>
    <w:p w14:paraId="1B798C83" w14:textId="77777777" w:rsidR="005F55CE" w:rsidRDefault="005F55CE" w:rsidP="00C33531">
      <w:pPr>
        <w:pStyle w:val="Caption"/>
        <w:keepNext/>
        <w:spacing w:after="60"/>
      </w:pPr>
      <w:r w:rsidRPr="00124E7F">
        <w:t xml:space="preserve">Figure </w:t>
      </w:r>
      <w:bookmarkStart w:id="204" w:name="figure20"/>
      <w:r w:rsidRPr="00124E7F">
        <w:fldChar w:fldCharType="begin"/>
      </w:r>
      <w:r w:rsidRPr="00124E7F">
        <w:instrText xml:space="preserve"> SEQ Figure \* ARABIC </w:instrText>
      </w:r>
      <w:r w:rsidRPr="00124E7F">
        <w:fldChar w:fldCharType="separate"/>
      </w:r>
      <w:r w:rsidR="0075700D">
        <w:rPr>
          <w:noProof/>
        </w:rPr>
        <w:t>20</w:t>
      </w:r>
      <w:r w:rsidRPr="00124E7F">
        <w:fldChar w:fldCharType="end"/>
      </w:r>
      <w:bookmarkEnd w:id="203"/>
      <w:bookmarkEnd w:id="204"/>
      <w:r w:rsidRPr="00124E7F">
        <w:t>: Number of copyright cases filed per million people, Australia and the United States, 2005-2014</w:t>
      </w:r>
    </w:p>
    <w:p w14:paraId="23F241E1" w14:textId="06DD18DC" w:rsidR="00FE2D46" w:rsidRPr="004213AE" w:rsidRDefault="00917B04" w:rsidP="002E24CA">
      <w:r>
        <w:rPr>
          <w:noProof/>
          <w:lang w:eastAsia="zh-TW" w:bidi="hi-IN"/>
        </w:rPr>
        <w:drawing>
          <wp:inline distT="0" distB="0" distL="0" distR="0" wp14:anchorId="20CDCE09" wp14:editId="1265F196">
            <wp:extent cx="5773420" cy="2529840"/>
            <wp:effectExtent l="0" t="0" r="0" b="3810"/>
            <wp:docPr id="297" name="Picture 297" descr="This chart compares copyright case filings in Australia and the United States (after controlling for population). It shows that: (1) copyright case filings in the US decreased from ~18 per million people in 2005 to ~6 per million people in 2009, before increasing again to ~13 in 2014; and (2) copyroight case filings in Australia increased from ~5.5 per million people in 2005 to ~7 per million people in 2007, before decreasing to ~4 per million people in 2014. " title="Figure 20: Number of copyright cases filed per million people, Australia and the United States, 2005-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73420" cy="2529840"/>
                    </a:xfrm>
                    <a:prstGeom prst="rect">
                      <a:avLst/>
                    </a:prstGeom>
                    <a:noFill/>
                  </pic:spPr>
                </pic:pic>
              </a:graphicData>
            </a:graphic>
          </wp:inline>
        </w:drawing>
      </w:r>
    </w:p>
    <w:p w14:paraId="5982FEA8" w14:textId="77777777" w:rsidR="0075700D" w:rsidRDefault="005F55CE" w:rsidP="0075700D">
      <w:pPr>
        <w:pStyle w:val="EYSource"/>
        <w:rPr>
          <w:b/>
          <w:bCs/>
          <w:sz w:val="24"/>
          <w:szCs w:val="18"/>
        </w:rPr>
      </w:pPr>
      <w:r w:rsidRPr="00124E7F">
        <w:rPr>
          <w:sz w:val="20"/>
          <w:szCs w:val="20"/>
        </w:rPr>
        <w:t xml:space="preserve">Source: EY analysis (see </w:t>
      </w:r>
      <w:r w:rsidRPr="00124E7F">
        <w:rPr>
          <w:sz w:val="20"/>
          <w:szCs w:val="20"/>
        </w:rPr>
        <w:fldChar w:fldCharType="begin"/>
      </w:r>
      <w:r w:rsidRPr="00124E7F">
        <w:rPr>
          <w:sz w:val="20"/>
          <w:szCs w:val="20"/>
        </w:rPr>
        <w:instrText xml:space="preserve"> REF _Ref445211406 \h </w:instrText>
      </w:r>
      <w:r w:rsidR="00EE547B" w:rsidRPr="00124E7F">
        <w:rPr>
          <w:sz w:val="20"/>
          <w:szCs w:val="20"/>
        </w:rPr>
        <w:instrText xml:space="preserve"> \* MERGEFORMAT </w:instrText>
      </w:r>
      <w:r w:rsidRPr="00124E7F">
        <w:rPr>
          <w:sz w:val="20"/>
          <w:szCs w:val="20"/>
        </w:rPr>
      </w:r>
      <w:r w:rsidRPr="00124E7F">
        <w:rPr>
          <w:sz w:val="20"/>
          <w:szCs w:val="20"/>
        </w:rPr>
        <w:fldChar w:fldCharType="separate"/>
      </w:r>
      <w:r w:rsidR="0075700D" w:rsidRPr="0075700D">
        <w:rPr>
          <w:sz w:val="20"/>
          <w:szCs w:val="20"/>
        </w:rPr>
        <w:br w:type="page"/>
      </w:r>
    </w:p>
    <w:p w14:paraId="1FD613C1" w14:textId="77777777" w:rsidR="00C740D3" w:rsidRPr="00124E7F" w:rsidRDefault="0075700D" w:rsidP="00374194">
      <w:pPr>
        <w:pStyle w:val="EYSource"/>
        <w:spacing w:after="0"/>
        <w:rPr>
          <w:sz w:val="20"/>
          <w:szCs w:val="20"/>
        </w:rPr>
      </w:pPr>
      <w:r w:rsidRPr="00124E7F">
        <w:rPr>
          <w:noProof/>
        </w:rPr>
        <w:t>Figure</w:t>
      </w:r>
      <w:r w:rsidRPr="00124E7F">
        <w:t xml:space="preserve"> </w:t>
      </w:r>
      <w:r>
        <w:rPr>
          <w:noProof/>
        </w:rPr>
        <w:t>18</w:t>
      </w:r>
      <w:r w:rsidR="005F55CE" w:rsidRPr="00124E7F">
        <w:rPr>
          <w:sz w:val="20"/>
          <w:szCs w:val="20"/>
        </w:rPr>
        <w:fldChar w:fldCharType="end"/>
      </w:r>
      <w:r w:rsidR="005F55CE" w:rsidRPr="00124E7F">
        <w:rPr>
          <w:sz w:val="20"/>
          <w:szCs w:val="20"/>
        </w:rPr>
        <w:t xml:space="preserve"> for more detail); Matthew Sag (2016), ‘Dataset - IP Litigation in US District Courts 2015 Update’, available at: http://matthewsag.com/?page_id=19; The World Bank (2016), ‘Population, total’, available at: http://data.worldbank.org/.</w:t>
      </w:r>
      <w:r w:rsidR="005F55CE" w:rsidRPr="00124E7F">
        <w:rPr>
          <w:sz w:val="20"/>
          <w:szCs w:val="20"/>
        </w:rPr>
        <w:br/>
      </w:r>
    </w:p>
    <w:p w14:paraId="72C0A3BC" w14:textId="77777777" w:rsidR="005F55CE" w:rsidRPr="00124E7F" w:rsidRDefault="005F55CE" w:rsidP="00810A90">
      <w:pPr>
        <w:pStyle w:val="EYSource"/>
        <w:spacing w:after="240"/>
        <w:rPr>
          <w:sz w:val="20"/>
          <w:szCs w:val="20"/>
        </w:rPr>
      </w:pPr>
      <w:r w:rsidRPr="00124E7F">
        <w:rPr>
          <w:sz w:val="20"/>
          <w:szCs w:val="20"/>
        </w:rPr>
        <w:t>Note: The Australian data is based on cases filed in the FCA and FCCA. The American data is based on cases filed in 94 U.S. federal district courts in all 50 states, the District of Columbia, Puerto Rico, the Virgin Islands, Guam, and the Northern Mariana Islands.</w:t>
      </w:r>
    </w:p>
    <w:p w14:paraId="63564E38" w14:textId="77777777" w:rsidR="005F55CE" w:rsidRPr="00124E7F" w:rsidRDefault="005F55CE" w:rsidP="0061337C">
      <w:pPr>
        <w:pStyle w:val="EYBodytextwithparaspace"/>
      </w:pPr>
      <w:r w:rsidRPr="00124E7F">
        <w:t xml:space="preserve">Interestingly, this ratio appears to be slightly less than that for all civil </w:t>
      </w:r>
      <w:proofErr w:type="spellStart"/>
      <w:r w:rsidR="00F7317E" w:rsidRPr="00124E7F">
        <w:t>lodgements</w:t>
      </w:r>
      <w:proofErr w:type="spellEnd"/>
      <w:r w:rsidRPr="00124E7F">
        <w:t xml:space="preserve"> in both countries. For instance, a 2010 study found that, controlling for population, there were approximately 3.8 more civil </w:t>
      </w:r>
      <w:proofErr w:type="spellStart"/>
      <w:r w:rsidR="00F7317E" w:rsidRPr="00124E7F">
        <w:t>lodgements</w:t>
      </w:r>
      <w:proofErr w:type="spellEnd"/>
      <w:r w:rsidRPr="00124E7F">
        <w:t xml:space="preserve"> </w:t>
      </w:r>
      <w:r w:rsidR="003A1366" w:rsidRPr="00124E7F">
        <w:t xml:space="preserve">(per 100,000 people) </w:t>
      </w:r>
      <w:r w:rsidRPr="00124E7F">
        <w:t>in the United States than Australia in 2006.</w:t>
      </w:r>
      <w:r w:rsidRPr="00124E7F">
        <w:rPr>
          <w:vertAlign w:val="superscript"/>
        </w:rPr>
        <w:footnoteReference w:id="265"/>
      </w:r>
      <w:r w:rsidRPr="00124E7F">
        <w:rPr>
          <w:vertAlign w:val="superscript"/>
        </w:rPr>
        <w:t xml:space="preserve"> </w:t>
      </w:r>
      <w:r w:rsidRPr="00124E7F">
        <w:t xml:space="preserve">Our own analysis, meanwhile, found that, controlling for population, there were approximately 2.6 more civil </w:t>
      </w:r>
      <w:proofErr w:type="spellStart"/>
      <w:r w:rsidR="00F7317E" w:rsidRPr="00124E7F">
        <w:t>lodgements</w:t>
      </w:r>
      <w:proofErr w:type="spellEnd"/>
      <w:r w:rsidRPr="00124E7F">
        <w:t xml:space="preserve"> </w:t>
      </w:r>
      <w:r w:rsidR="003A1366" w:rsidRPr="00124E7F">
        <w:t xml:space="preserve">(per million people) </w:t>
      </w:r>
      <w:r w:rsidRPr="00124E7F">
        <w:t>in the United States than Australia in 2013.</w:t>
      </w:r>
      <w:r w:rsidRPr="00124E7F">
        <w:rPr>
          <w:vertAlign w:val="superscript"/>
        </w:rPr>
        <w:footnoteReference w:id="266"/>
      </w:r>
      <w:r w:rsidRPr="00124E7F">
        <w:rPr>
          <w:vertAlign w:val="superscript"/>
        </w:rPr>
        <w:t xml:space="preserve"> </w:t>
      </w:r>
      <w:r w:rsidRPr="00124E7F">
        <w:t xml:space="preserve">These findings indicate that factors beyond prescriptive/flexible exceptions may play a larger role in explaining the variation in copyright litigation rates between both countries. </w:t>
      </w:r>
    </w:p>
    <w:p w14:paraId="01039BFB" w14:textId="77777777" w:rsidR="005F55CE" w:rsidRPr="00124E7F" w:rsidRDefault="005F55CE" w:rsidP="0061337C">
      <w:pPr>
        <w:pStyle w:val="EYBodytextwithparaspace"/>
      </w:pPr>
      <w:r w:rsidRPr="00124E7F">
        <w:t xml:space="preserve">As part of its submission to the ALRC inquiry, the Copyright Agency | </w:t>
      </w:r>
      <w:proofErr w:type="spellStart"/>
      <w:r w:rsidRPr="00124E7F">
        <w:t>Viscopy</w:t>
      </w:r>
      <w:proofErr w:type="spellEnd"/>
      <w:r w:rsidRPr="00124E7F">
        <w:t xml:space="preserve"> conducted an analysis of 94 reported cases from single judges of the FCA from 1 July 2006 to 30 June 2012. Of these cases, the Copyright Agency | </w:t>
      </w:r>
      <w:proofErr w:type="spellStart"/>
      <w:r w:rsidRPr="00124E7F">
        <w:t>Viscopy</w:t>
      </w:r>
      <w:proofErr w:type="spellEnd"/>
      <w:r w:rsidRPr="00124E7F">
        <w:t xml:space="preserve"> identified four where ‘the operation of an exception [was] a key issue’</w:t>
      </w:r>
      <w:r w:rsidRPr="00124E7F">
        <w:rPr>
          <w:vertAlign w:val="superscript"/>
        </w:rPr>
        <w:footnoteReference w:id="267"/>
      </w:r>
      <w:r w:rsidRPr="00124E7F">
        <w:t xml:space="preserve"> – equal to 0.7 cases a year. In its submission to the Productivity Commission inquiry, the Copyright Agency | </w:t>
      </w:r>
      <w:proofErr w:type="spellStart"/>
      <w:r w:rsidRPr="00124E7F">
        <w:t>Viscopy</w:t>
      </w:r>
      <w:proofErr w:type="spellEnd"/>
      <w:r w:rsidRPr="00124E7F">
        <w:t xml:space="preserve"> highlighted recent analysis conducted by Beebe, which found that there were approximately 154 copyright decisions that made substantial use of fair use in the United States from 2006 to 2014</w:t>
      </w:r>
      <w:r w:rsidRPr="00124E7F">
        <w:rPr>
          <w:vertAlign w:val="superscript"/>
        </w:rPr>
        <w:footnoteReference w:id="268"/>
      </w:r>
      <w:r w:rsidRPr="00124E7F">
        <w:t xml:space="preserve"> – equal to 17.1 cases per year. Even accounting for population and GDP differences, these findings indicate there is greater fair use litigation in the United States compared to copyright exception litigation in Australia</w:t>
      </w:r>
      <w:r w:rsidR="00EF2FA8" w:rsidRPr="00124E7F">
        <w:t xml:space="preserve"> (approximately two times more)</w:t>
      </w:r>
      <w:r w:rsidRPr="00124E7F">
        <w:t>.</w:t>
      </w:r>
      <w:r w:rsidRPr="00124E7F">
        <w:rPr>
          <w:rStyle w:val="AA-NormalChar"/>
          <w:vertAlign w:val="superscript"/>
        </w:rPr>
        <w:t xml:space="preserve"> </w:t>
      </w:r>
      <w:r w:rsidRPr="00124E7F">
        <w:t>It is not clear from the available data, however, how much of this variation is driven by the nature of each country’s respective copyright syst</w:t>
      </w:r>
      <w:r w:rsidR="00B04652" w:rsidRPr="00124E7F">
        <w:t xml:space="preserve">ems, rather than other factors </w:t>
      </w:r>
      <w:r w:rsidRPr="00124E7F">
        <w:t>such as legal systems, culture and the relative importance of the American market</w:t>
      </w:r>
      <w:r w:rsidR="00B04652" w:rsidRPr="00124E7F">
        <w:t xml:space="preserve"> to global copyright industries</w:t>
      </w:r>
      <w:r w:rsidRPr="00124E7F">
        <w:t xml:space="preserve">. </w:t>
      </w:r>
    </w:p>
    <w:p w14:paraId="0283934D" w14:textId="77777777" w:rsidR="005F55CE" w:rsidRPr="00124E7F" w:rsidRDefault="005F55CE" w:rsidP="0061337C">
      <w:pPr>
        <w:pStyle w:val="EYHeading3"/>
      </w:pPr>
      <w:r w:rsidRPr="00124E7F">
        <w:t xml:space="preserve">New fair dealing exception </w:t>
      </w:r>
    </w:p>
    <w:p w14:paraId="0CB69D69" w14:textId="77777777" w:rsidR="005F55CE" w:rsidRPr="00124E7F" w:rsidRDefault="005F55CE" w:rsidP="0061337C">
      <w:pPr>
        <w:pStyle w:val="EYBodytextwithparaspace"/>
      </w:pPr>
      <w:r w:rsidRPr="00124E7F">
        <w:t xml:space="preserve">Few stakeholders have commented on the relative certainty of the new fair dealing exception compared to either the status quo or the fair use exception. The scant evidence that does exist, however, suggests that the new fair dealing exception would be, at the very least, as certain as the fair use exception. </w:t>
      </w:r>
    </w:p>
    <w:p w14:paraId="54C1791B" w14:textId="77777777" w:rsidR="006600B9" w:rsidRPr="00124E7F" w:rsidRDefault="005F55CE" w:rsidP="0061337C">
      <w:pPr>
        <w:pStyle w:val="EYBodytextwithparaspace"/>
      </w:pPr>
      <w:r w:rsidRPr="00124E7F">
        <w:t>On the one hand, as the ALRC noted, ‘it can … be argued that the new fair dealing exception is more certain than fair use, because it is clear that any use not for one of the listed purposes, cannot be found to be fair’.</w:t>
      </w:r>
      <w:r w:rsidRPr="00124E7F">
        <w:rPr>
          <w:vertAlign w:val="superscript"/>
        </w:rPr>
        <w:footnoteReference w:id="269"/>
      </w:r>
      <w:r w:rsidRPr="00124E7F">
        <w:rPr>
          <w:vertAlign w:val="superscript"/>
        </w:rPr>
        <w:t xml:space="preserve"> </w:t>
      </w:r>
      <w:r w:rsidRPr="00124E7F">
        <w:t xml:space="preserve">Conversely, it can also be argued that the new fair dealing exception (because of its prescriptive nature) would provide less certainty in relation to new and emerging uses of copyright material compared to the </w:t>
      </w:r>
      <w:r w:rsidR="00A34865" w:rsidRPr="00124E7F">
        <w:t xml:space="preserve">open-ended fair use exception. </w:t>
      </w:r>
    </w:p>
    <w:p w14:paraId="1D4FD59A" w14:textId="77777777" w:rsidR="00304D2B" w:rsidRPr="00124E7F" w:rsidRDefault="00304D2B">
      <w:pPr>
        <w:widowControl/>
        <w:autoSpaceDE/>
        <w:autoSpaceDN/>
        <w:adjustRightInd/>
        <w:spacing w:line="240" w:lineRule="auto"/>
        <w:rPr>
          <w:b/>
          <w:sz w:val="28"/>
          <w:szCs w:val="24"/>
          <w:lang w:val="en-US"/>
        </w:rPr>
      </w:pPr>
      <w:bookmarkStart w:id="205" w:name="_Toc451769119"/>
      <w:bookmarkStart w:id="206" w:name="_Toc467768616"/>
      <w:bookmarkStart w:id="207" w:name="_Toc467768668"/>
      <w:bookmarkStart w:id="208" w:name="_Toc467768960"/>
      <w:bookmarkStart w:id="209" w:name="_Toc467769088"/>
      <w:r w:rsidRPr="00124E7F">
        <w:br w:type="page"/>
      </w:r>
    </w:p>
    <w:p w14:paraId="1AC238AF" w14:textId="77777777" w:rsidR="005F55CE" w:rsidRPr="00124E7F" w:rsidRDefault="005F55CE" w:rsidP="00410DA4">
      <w:pPr>
        <w:pStyle w:val="EYHeading2"/>
        <w:tabs>
          <w:tab w:val="clear" w:pos="0"/>
        </w:tabs>
      </w:pPr>
      <w:bookmarkStart w:id="210" w:name="_Toc469644748"/>
      <w:r w:rsidRPr="00124E7F">
        <w:t>Flexibility</w:t>
      </w:r>
      <w:bookmarkEnd w:id="205"/>
      <w:bookmarkEnd w:id="206"/>
      <w:bookmarkEnd w:id="207"/>
      <w:bookmarkEnd w:id="208"/>
      <w:bookmarkEnd w:id="209"/>
      <w:bookmarkEnd w:id="210"/>
      <w:r w:rsidRPr="00124E7F">
        <w:t xml:space="preserve"> </w:t>
      </w:r>
    </w:p>
    <w:p w14:paraId="28054CD8" w14:textId="77777777" w:rsidR="005F55CE" w:rsidRPr="00124E7F" w:rsidRDefault="005F55CE" w:rsidP="0061337C">
      <w:pPr>
        <w:pStyle w:val="EYHeading3"/>
      </w:pPr>
      <w:r w:rsidRPr="00124E7F">
        <w:t xml:space="preserve">Fair use exception </w:t>
      </w:r>
    </w:p>
    <w:p w14:paraId="6E61C7F1" w14:textId="77777777" w:rsidR="005F55CE" w:rsidRPr="00124E7F" w:rsidRDefault="005F55CE" w:rsidP="0061337C">
      <w:pPr>
        <w:pStyle w:val="EYBodytextwithparaspace"/>
      </w:pPr>
      <w:r w:rsidRPr="00124E7F">
        <w:t>There is a view that the fair use exception would be more flexible than the current fair dealing exceptions. More specifically, it is argued that, because the fair use exception would require ‘the consideration of principles or factors in an assessment of fairness, rather than setting out in detail the precise circumstances in which the exception [would] apply’</w:t>
      </w:r>
      <w:r w:rsidRPr="00124E7F">
        <w:rPr>
          <w:vertAlign w:val="superscript"/>
        </w:rPr>
        <w:footnoteReference w:id="270"/>
      </w:r>
      <w:r w:rsidRPr="00124E7F">
        <w:t>, it would be able to accommodate new technologies and uses of copyright material more easily and without the nee</w:t>
      </w:r>
      <w:r w:rsidR="008B0AA0" w:rsidRPr="00124E7F">
        <w:t xml:space="preserve">d for legislative intervention. </w:t>
      </w:r>
      <w:r w:rsidRPr="00124E7F">
        <w:t xml:space="preserve">It is maintained that this increase in flexibility would stimulate innovation; which, in turn, would lead to broader economic benefits. </w:t>
      </w:r>
    </w:p>
    <w:p w14:paraId="384061B6" w14:textId="77777777" w:rsidR="005F55CE" w:rsidRPr="00124E7F" w:rsidRDefault="005F55CE" w:rsidP="0061337C">
      <w:pPr>
        <w:pStyle w:val="EYBodytextwithparaspace"/>
      </w:pPr>
      <w:r w:rsidRPr="00124E7F">
        <w:t xml:space="preserve">In our view, it is </w:t>
      </w:r>
      <w:r w:rsidR="002D19CC" w:rsidRPr="00124E7F">
        <w:t>difficult to dispute</w:t>
      </w:r>
      <w:r w:rsidRPr="00124E7F">
        <w:t xml:space="preserve"> that the fair use exception would be more flexible than the status quo. From a theoretical perspective, principles-based regulation (i.e. the fair use exception) should be more flexible than rules-based regulation (i.e. the current fair dealing exceptions).</w:t>
      </w:r>
      <w:r w:rsidRPr="00124E7F">
        <w:rPr>
          <w:vertAlign w:val="superscript"/>
        </w:rPr>
        <w:footnoteReference w:id="271"/>
      </w:r>
      <w:r w:rsidRPr="00124E7F">
        <w:rPr>
          <w:vertAlign w:val="superscript"/>
        </w:rPr>
        <w:t xml:space="preserve"> </w:t>
      </w:r>
      <w:r w:rsidRPr="00124E7F">
        <w:t>From a practical perspective, it is clear that the status quo has been relatively slow at adapting to new technologies and uses of copyright material (particularly compared to fair use copyright regimes internationally). As the ALRC noted in its final report, ‘[a] copyright exception permitting time shifting was not enacted in Australia until 22 years after time shifting had been found to be fair use in the US. The exception for parody and satire came 12 years later, and for reverse engineering of computer programs, seven years’.</w:t>
      </w:r>
      <w:r w:rsidRPr="00124E7F">
        <w:rPr>
          <w:vertAlign w:val="superscript"/>
        </w:rPr>
        <w:footnoteReference w:id="272"/>
      </w:r>
      <w:r w:rsidRPr="00124E7F">
        <w:rPr>
          <w:vertAlign w:val="superscript"/>
        </w:rPr>
        <w:t xml:space="preserve"> </w:t>
      </w:r>
      <w:r w:rsidRPr="00124E7F">
        <w:t xml:space="preserve">Furthermore, it is fair to say that the vast majority of stakeholders accept that the fair use exception would be more flexible than the status quo – though some stakeholders </w:t>
      </w:r>
      <w:r w:rsidR="009D7626" w:rsidRPr="00124E7F">
        <w:t>have questioned</w:t>
      </w:r>
      <w:r w:rsidRPr="00124E7F">
        <w:t xml:space="preserve"> the extent of flexibility a fair use exception would provide.</w:t>
      </w:r>
      <w:r w:rsidRPr="00124E7F">
        <w:rPr>
          <w:vertAlign w:val="superscript"/>
        </w:rPr>
        <w:footnoteReference w:id="273"/>
      </w:r>
      <w:r w:rsidRPr="00124E7F">
        <w:rPr>
          <w:vertAlign w:val="superscript"/>
        </w:rPr>
        <w:t xml:space="preserve"> </w:t>
      </w:r>
    </w:p>
    <w:p w14:paraId="18F15205" w14:textId="77777777" w:rsidR="005F55CE" w:rsidRPr="00124E7F" w:rsidRDefault="005F55CE" w:rsidP="0061337C">
      <w:pPr>
        <w:pStyle w:val="EYBodytextwithparaspace"/>
      </w:pPr>
      <w:r w:rsidRPr="00124E7F">
        <w:t xml:space="preserve">The question, however, of whether the increased flexibility associated with the fair use exception would stimulate innovation (and lead, in turn, to broader economic benefits) is more complicated. This is primarily due to two, interrelated factors. First, while it is broadly </w:t>
      </w:r>
      <w:proofErr w:type="spellStart"/>
      <w:r w:rsidRPr="00124E7F">
        <w:t>recognised</w:t>
      </w:r>
      <w:proofErr w:type="spellEnd"/>
      <w:r w:rsidRPr="00124E7F">
        <w:t xml:space="preserve"> that copyright is important to innovation, isolating the contribution of copyright flexibility to innovation from other factors (both related – such as enforcement – and unrelated – such as investor culture and market size) is difficult. Second, empirical research on the relationship between copyright flexibility and innovation/economic growth is both limited and inconclusive (see </w:t>
      </w:r>
      <w:r w:rsidR="00491A88" w:rsidRPr="00124E7F">
        <w:fldChar w:fldCharType="begin"/>
      </w:r>
      <w:r w:rsidR="00491A88" w:rsidRPr="00124E7F">
        <w:instrText xml:space="preserve"> REF _Ref467507669 \h </w:instrText>
      </w:r>
      <w:r w:rsidR="00491A88" w:rsidRPr="00124E7F">
        <w:fldChar w:fldCharType="separate"/>
      </w:r>
      <w:r w:rsidR="0075700D" w:rsidRPr="00124E7F">
        <w:t xml:space="preserve">Box </w:t>
      </w:r>
      <w:r w:rsidR="0075700D">
        <w:rPr>
          <w:noProof/>
        </w:rPr>
        <w:t>10</w:t>
      </w:r>
      <w:r w:rsidR="00491A88" w:rsidRPr="00124E7F">
        <w:fldChar w:fldCharType="end"/>
      </w:r>
      <w:r w:rsidR="00491A88" w:rsidRPr="00124E7F">
        <w:t xml:space="preserve"> </w:t>
      </w:r>
      <w:r w:rsidRPr="00124E7F">
        <w:t xml:space="preserve">for a summary). </w:t>
      </w:r>
    </w:p>
    <w:p w14:paraId="7CE4478E" w14:textId="77777777" w:rsidR="00491A88" w:rsidRPr="00124E7F" w:rsidRDefault="00491A88">
      <w:pPr>
        <w:widowControl/>
        <w:autoSpaceDE/>
        <w:autoSpaceDN/>
        <w:adjustRightInd/>
        <w:spacing w:line="240" w:lineRule="auto"/>
        <w:rPr>
          <w:b/>
          <w:bCs/>
          <w:sz w:val="24"/>
          <w:szCs w:val="18"/>
        </w:rPr>
      </w:pPr>
      <w:bookmarkStart w:id="211" w:name="_Ref446944840"/>
      <w:r w:rsidRPr="00124E7F">
        <w:br w:type="page"/>
      </w:r>
    </w:p>
    <w:p w14:paraId="5C9A0633" w14:textId="77777777" w:rsidR="005F55CE" w:rsidRPr="00124E7F" w:rsidRDefault="00660B6E" w:rsidP="00E12DC4">
      <w:pPr>
        <w:pStyle w:val="Caption"/>
        <w:pBdr>
          <w:top w:val="single" w:sz="4" w:space="1" w:color="808080" w:themeColor="background1" w:themeShade="80"/>
        </w:pBdr>
      </w:pPr>
      <w:bookmarkStart w:id="212" w:name="_Ref467507669"/>
      <w:r w:rsidRPr="00124E7F">
        <w:t xml:space="preserve">Box </w:t>
      </w:r>
      <w:r w:rsidRPr="00124E7F">
        <w:fldChar w:fldCharType="begin"/>
      </w:r>
      <w:r w:rsidRPr="00124E7F">
        <w:instrText xml:space="preserve"> SEQ Box \* ARABIC </w:instrText>
      </w:r>
      <w:r w:rsidRPr="00124E7F">
        <w:fldChar w:fldCharType="separate"/>
      </w:r>
      <w:r w:rsidR="0075700D">
        <w:rPr>
          <w:noProof/>
        </w:rPr>
        <w:t>10</w:t>
      </w:r>
      <w:r w:rsidRPr="00124E7F">
        <w:fldChar w:fldCharType="end"/>
      </w:r>
      <w:bookmarkEnd w:id="211"/>
      <w:bookmarkEnd w:id="212"/>
      <w:r w:rsidR="005F55CE" w:rsidRPr="00124E7F">
        <w:t xml:space="preserve">: Summary of empirical analysis on the relationship between copyright flexibility and innovation/economic growth </w:t>
      </w:r>
    </w:p>
    <w:p w14:paraId="1BECB6DC" w14:textId="77777777" w:rsidR="00491A88" w:rsidRPr="00124E7F" w:rsidRDefault="00491A88" w:rsidP="00D21857">
      <w:pPr>
        <w:pStyle w:val="EYTableHeading"/>
        <w:spacing w:before="120" w:after="120"/>
        <w:rPr>
          <w:color w:val="auto"/>
          <w:sz w:val="22"/>
          <w:szCs w:val="22"/>
        </w:rPr>
      </w:pPr>
      <w:r w:rsidRPr="00124E7F">
        <w:rPr>
          <w:color w:val="auto"/>
          <w:sz w:val="22"/>
          <w:szCs w:val="22"/>
        </w:rPr>
        <w:t>Impacts of copyright protection strength (various studies)</w:t>
      </w:r>
    </w:p>
    <w:p w14:paraId="632FD1B6" w14:textId="77777777" w:rsidR="00491A88" w:rsidRPr="00124E7F" w:rsidRDefault="00491A88" w:rsidP="00491A88">
      <w:pPr>
        <w:pStyle w:val="EYBodytextwithparaspace"/>
      </w:pPr>
      <w:r w:rsidRPr="00124E7F">
        <w:t>A number of studies</w:t>
      </w:r>
      <w:r w:rsidRPr="00124E7F">
        <w:rPr>
          <w:vertAlign w:val="superscript"/>
        </w:rPr>
        <w:footnoteReference w:id="274"/>
      </w:r>
      <w:r w:rsidRPr="00124E7F">
        <w:t xml:space="preserve"> have examined the economic impact of copyright protection strength (in relation to productivity, research and development, foreign-direct investment and technology transfers) across countries. While comprehensive, these studies provide only limited insight on the relationship between copyright flexibility and innovation/economic growth. This is because the studies are: (1) primarily focused on the strength of copyright regimes, rather than their quality; and (2) based on unweighted indices of copyright strength that comprise four factors – only one of which relates to usage/exceptions (and then sometimes only partly). </w:t>
      </w:r>
    </w:p>
    <w:p w14:paraId="3C8D315F" w14:textId="77777777" w:rsidR="00491A88" w:rsidRPr="00124E7F" w:rsidRDefault="00491A88" w:rsidP="00D21857">
      <w:pPr>
        <w:pStyle w:val="EYTableHeading"/>
        <w:spacing w:before="120" w:after="120"/>
        <w:rPr>
          <w:color w:val="auto"/>
          <w:sz w:val="22"/>
          <w:szCs w:val="22"/>
        </w:rPr>
      </w:pPr>
      <w:r w:rsidRPr="00124E7F">
        <w:rPr>
          <w:color w:val="auto"/>
          <w:sz w:val="22"/>
          <w:szCs w:val="22"/>
        </w:rPr>
        <w:t>The Economic Value of Fair Use in Copyright Law (2012)</w:t>
      </w:r>
    </w:p>
    <w:p w14:paraId="0FABE5D4" w14:textId="77777777" w:rsidR="00491A88" w:rsidRPr="00124E7F" w:rsidRDefault="00491A88" w:rsidP="00491A88">
      <w:pPr>
        <w:pStyle w:val="EYBodytextwithparaspace"/>
      </w:pPr>
      <w:r w:rsidRPr="00124E7F">
        <w:t>This study uses a difference-in-differences methodology to evaluate counterfactually ‘the impact on selected industrial groups of flexible fair use amendments introduced in Singapore in 2005’.</w:t>
      </w:r>
      <w:r w:rsidRPr="00124E7F">
        <w:rPr>
          <w:vertAlign w:val="superscript"/>
        </w:rPr>
        <w:footnoteReference w:id="275"/>
      </w:r>
      <w:r w:rsidRPr="00124E7F">
        <w:t xml:space="preserve"> It found that ‘five years after the policy intervention, Singapore’s fair use amendments are correlated with a 3.33% increase in value-added (as % of GDP) for private copyright technology industries’, and ‘a -0.23% reduction in value-added (as % of GDP) for copyright industries’.</w:t>
      </w:r>
      <w:r w:rsidRPr="00124E7F">
        <w:rPr>
          <w:vertAlign w:val="superscript"/>
        </w:rPr>
        <w:footnoteReference w:id="276"/>
      </w:r>
      <w:r w:rsidRPr="00124E7F">
        <w:rPr>
          <w:vertAlign w:val="superscript"/>
        </w:rPr>
        <w:t xml:space="preserve"> </w:t>
      </w:r>
      <w:r w:rsidRPr="00124E7F">
        <w:t>According to the authors, these results ‘show that fair use policy is correlated with higher growth rates in private copying technology industries while having a very limited impact on copyright industries’.</w:t>
      </w:r>
      <w:r w:rsidRPr="00124E7F">
        <w:rPr>
          <w:vertAlign w:val="superscript"/>
        </w:rPr>
        <w:footnoteReference w:id="277"/>
      </w:r>
    </w:p>
    <w:p w14:paraId="509CA119" w14:textId="77777777" w:rsidR="00491A88" w:rsidRPr="00124E7F" w:rsidRDefault="00491A88" w:rsidP="00491A88">
      <w:pPr>
        <w:pStyle w:val="EYBodytextwithparaspace"/>
      </w:pPr>
      <w:r w:rsidRPr="00124E7F">
        <w:t>The reliability of these findings, however, are questioned by criticisms raised by Barker</w:t>
      </w:r>
      <w:r w:rsidRPr="00124E7F">
        <w:rPr>
          <w:vertAlign w:val="superscript"/>
        </w:rPr>
        <w:footnoteReference w:id="278"/>
      </w:r>
      <w:r w:rsidRPr="00124E7F">
        <w:rPr>
          <w:vertAlign w:val="superscript"/>
        </w:rPr>
        <w:t xml:space="preserve"> </w:t>
      </w:r>
      <w:r w:rsidRPr="00124E7F">
        <w:t>and Ford</w:t>
      </w:r>
      <w:r w:rsidRPr="00124E7F">
        <w:rPr>
          <w:vertAlign w:val="superscript"/>
        </w:rPr>
        <w:footnoteReference w:id="279"/>
      </w:r>
      <w:r w:rsidRPr="00124E7F">
        <w:t xml:space="preserve"> – particularly in relation to the proper use of the difference-in-differences methodology, and the difficulty of isolating the impact of the fair use amendment from other </w:t>
      </w:r>
      <w:proofErr w:type="spellStart"/>
      <w:r w:rsidRPr="00124E7F">
        <w:t>reformas</w:t>
      </w:r>
      <w:proofErr w:type="spellEnd"/>
      <w:r w:rsidRPr="00124E7F">
        <w:t xml:space="preserve"> and economic ‘shocks’ over the study period. </w:t>
      </w:r>
    </w:p>
    <w:p w14:paraId="762B530C" w14:textId="77777777" w:rsidR="00491A88" w:rsidRPr="00124E7F" w:rsidRDefault="00491A88" w:rsidP="00D21857">
      <w:pPr>
        <w:pStyle w:val="EYTableHeading"/>
        <w:spacing w:before="120" w:after="120"/>
        <w:rPr>
          <w:color w:val="auto"/>
          <w:sz w:val="22"/>
          <w:szCs w:val="22"/>
        </w:rPr>
      </w:pPr>
      <w:r w:rsidRPr="00124E7F">
        <w:rPr>
          <w:color w:val="auto"/>
          <w:sz w:val="22"/>
          <w:szCs w:val="22"/>
        </w:rPr>
        <w:t>Intellectual Property and Economic Growth Index (2015)</w:t>
      </w:r>
    </w:p>
    <w:p w14:paraId="771DE459" w14:textId="77777777" w:rsidR="00491A88" w:rsidRPr="00124E7F" w:rsidRDefault="00491A88" w:rsidP="00491A88">
      <w:pPr>
        <w:pStyle w:val="EYBodytextwithparaspace"/>
      </w:pPr>
      <w:r w:rsidRPr="00124E7F">
        <w:t>This study examined the ‘relationship between exceptions and limitations to exclusive rights in copyright law and economic growth in leading, intellectual property producing countries [i.e. the United States, the United Kingdom, Germany, Sweden, Spain, the Netherlands, Japan and France]’.</w:t>
      </w:r>
      <w:r w:rsidRPr="00124E7F">
        <w:rPr>
          <w:vertAlign w:val="superscript"/>
        </w:rPr>
        <w:footnoteReference w:id="280"/>
      </w:r>
      <w:r w:rsidRPr="00124E7F">
        <w:rPr>
          <w:vertAlign w:val="superscript"/>
        </w:rPr>
        <w:t xml:space="preserve"> </w:t>
      </w:r>
      <w:r w:rsidRPr="00124E7F">
        <w:t>It found that:</w:t>
      </w:r>
    </w:p>
    <w:p w14:paraId="50CE273D" w14:textId="77777777" w:rsidR="00491A88" w:rsidRPr="00124E7F" w:rsidRDefault="00491A88" w:rsidP="00491A88">
      <w:pPr>
        <w:pStyle w:val="EYBulletedText1"/>
      </w:pPr>
      <w:r w:rsidRPr="00124E7F">
        <w:t>‘Countries that employ a broadly “flexible” regime of exceptions in copyright also saw higher rates of growth in value-added output throughout their economy.</w:t>
      </w:r>
    </w:p>
    <w:p w14:paraId="0FC42136" w14:textId="77777777" w:rsidR="00491A88" w:rsidRPr="00124E7F" w:rsidRDefault="00491A88" w:rsidP="00491A88">
      <w:pPr>
        <w:pStyle w:val="EYBulletedText1"/>
      </w:pPr>
      <w:r w:rsidRPr="00124E7F">
        <w:t>‘Countries with broader flexibility in their copyright regimes also saw higher levels of compensation in the overall economy, and specifically in information and communication technology goods and services and consumer manufacturing sectors</w:t>
      </w:r>
    </w:p>
    <w:p w14:paraId="723AC41E" w14:textId="77777777" w:rsidR="00491A88" w:rsidRPr="00124E7F" w:rsidRDefault="00491A88" w:rsidP="00491A88">
      <w:pPr>
        <w:pStyle w:val="EYBulletedText1"/>
      </w:pPr>
      <w:r w:rsidRPr="00124E7F">
        <w:t>‘Greater scope and flexibility of exceptions to copyright have valuable positive externalities, specifically in the promotion of education, independent research, free-speech, user generated content and text and data mining’.</w:t>
      </w:r>
      <w:r w:rsidRPr="00124E7F">
        <w:rPr>
          <w:vertAlign w:val="superscript"/>
        </w:rPr>
        <w:footnoteReference w:id="281"/>
      </w:r>
    </w:p>
    <w:p w14:paraId="5382B93E" w14:textId="77777777" w:rsidR="00491A88" w:rsidRPr="00124E7F" w:rsidRDefault="00491A88" w:rsidP="00153245">
      <w:pPr>
        <w:pStyle w:val="EYBodytextwithparaspace"/>
      </w:pPr>
      <w:r w:rsidRPr="00124E7F">
        <w:t>The reliability of these findings, however, are questioned by criticisms raised by Ford</w:t>
      </w:r>
      <w:r w:rsidRPr="00124E7F">
        <w:rPr>
          <w:vertAlign w:val="superscript"/>
        </w:rPr>
        <w:footnoteReference w:id="282"/>
      </w:r>
      <w:r w:rsidRPr="00124E7F">
        <w:t xml:space="preserve">  – particularly in relation to the study’s sample size, statistical techniques and treatment of data.</w:t>
      </w:r>
    </w:p>
    <w:p w14:paraId="59097396" w14:textId="77777777" w:rsidR="00491A88" w:rsidRPr="00124E7F" w:rsidRDefault="00491A88" w:rsidP="00D21857">
      <w:pPr>
        <w:pStyle w:val="EYTableHeading"/>
        <w:spacing w:before="120" w:after="120"/>
        <w:rPr>
          <w:color w:val="auto"/>
          <w:sz w:val="22"/>
          <w:szCs w:val="22"/>
        </w:rPr>
      </w:pPr>
      <w:r w:rsidRPr="00124E7F">
        <w:rPr>
          <w:color w:val="auto"/>
          <w:sz w:val="22"/>
          <w:szCs w:val="22"/>
        </w:rPr>
        <w:t xml:space="preserve">Firm Performance in Countries </w:t>
      </w:r>
      <w:proofErr w:type="gramStart"/>
      <w:r w:rsidRPr="00124E7F">
        <w:rPr>
          <w:color w:val="auto"/>
          <w:sz w:val="22"/>
          <w:szCs w:val="22"/>
        </w:rPr>
        <w:t>With</w:t>
      </w:r>
      <w:proofErr w:type="gramEnd"/>
      <w:r w:rsidRPr="00124E7F">
        <w:rPr>
          <w:color w:val="auto"/>
          <w:sz w:val="22"/>
          <w:szCs w:val="22"/>
        </w:rPr>
        <w:t xml:space="preserve"> and Without Open Copyright Exceptions (2015)</w:t>
      </w:r>
    </w:p>
    <w:p w14:paraId="5AA42931" w14:textId="77777777" w:rsidR="00491A88" w:rsidRPr="00124E7F" w:rsidRDefault="00491A88" w:rsidP="00153245">
      <w:pPr>
        <w:pStyle w:val="EYBodytextwithparaspace"/>
      </w:pPr>
      <w:r w:rsidRPr="00124E7F">
        <w:t>In 2015, researchers from American University posted preliminary findings from an ongoing study on how country’s copyright exceptions affect economic outcomes. Specifically, they found that ‘adoption of fair use clauses modeled on U.S. law is associated with positive outcomes for the firms in our dataset, both those that may be more dependent on copyright exceptions, and those that may be more dependent on copyright protection’.</w:t>
      </w:r>
      <w:r w:rsidRPr="00124E7F">
        <w:rPr>
          <w:vertAlign w:val="superscript"/>
        </w:rPr>
        <w:footnoteReference w:id="283"/>
      </w:r>
      <w:r w:rsidRPr="00124E7F">
        <w:t xml:space="preserve"> Further information is required, however, to determine the validity and reliability of these findings. </w:t>
      </w:r>
    </w:p>
    <w:p w14:paraId="66CD25A0" w14:textId="77777777" w:rsidR="00491A88" w:rsidRPr="00124E7F" w:rsidRDefault="00491A88" w:rsidP="00D21857">
      <w:pPr>
        <w:pStyle w:val="EYTableHeading"/>
        <w:spacing w:before="120" w:after="120"/>
        <w:rPr>
          <w:color w:val="auto"/>
          <w:sz w:val="22"/>
          <w:szCs w:val="22"/>
        </w:rPr>
      </w:pPr>
      <w:r w:rsidRPr="00124E7F">
        <w:rPr>
          <w:color w:val="auto"/>
          <w:sz w:val="22"/>
          <w:szCs w:val="22"/>
        </w:rPr>
        <w:t>Understanding the Costs and Benefits of Introducing a ‘Fair Use’ Exception (2016)</w:t>
      </w:r>
    </w:p>
    <w:p w14:paraId="67294962" w14:textId="77777777" w:rsidR="00491A88" w:rsidRPr="00124E7F" w:rsidRDefault="00491A88" w:rsidP="00153245">
      <w:pPr>
        <w:pStyle w:val="EYBodytextwithparaspace"/>
        <w:pBdr>
          <w:bottom w:val="single" w:sz="4" w:space="1" w:color="808080" w:themeColor="background1" w:themeShade="80"/>
        </w:pBdr>
      </w:pPr>
      <w:r w:rsidRPr="00124E7F">
        <w:t>As part of its broader analysis of the costs and benefits associated with introducing the fair use exception, PwC conducted a regression analysis of the relationship between copyright flexibility and: (1) GDP per capita; and (2) investment per capita.</w:t>
      </w:r>
      <w:r w:rsidRPr="00124E7F">
        <w:rPr>
          <w:vertAlign w:val="superscript"/>
        </w:rPr>
        <w:footnoteReference w:id="284"/>
      </w:r>
      <w:r w:rsidRPr="00124E7F">
        <w:rPr>
          <w:vertAlign w:val="superscript"/>
        </w:rPr>
        <w:t xml:space="preserve"> </w:t>
      </w:r>
      <w:r w:rsidRPr="00124E7F">
        <w:t xml:space="preserve">This analysis suggested a weak relationship in the case of the former, and a positive relationship in the case of the latter. </w:t>
      </w:r>
    </w:p>
    <w:p w14:paraId="3B9EB305" w14:textId="77777777" w:rsidR="00804582" w:rsidRDefault="00804582">
      <w:pPr>
        <w:widowControl/>
        <w:autoSpaceDE/>
        <w:autoSpaceDN/>
        <w:adjustRightInd/>
        <w:spacing w:line="240" w:lineRule="auto"/>
        <w:rPr>
          <w:kern w:val="12"/>
          <w:szCs w:val="24"/>
          <w:lang w:val="en-US"/>
        </w:rPr>
      </w:pPr>
      <w:r>
        <w:br w:type="page"/>
      </w:r>
    </w:p>
    <w:p w14:paraId="35F121C6" w14:textId="44A651D8" w:rsidR="005F55CE" w:rsidRPr="00124E7F" w:rsidRDefault="005F55CE" w:rsidP="0061337C">
      <w:pPr>
        <w:pStyle w:val="EYBodytextwithparaspace"/>
      </w:pPr>
      <w:r w:rsidRPr="00124E7F">
        <w:t>The above notwithstanding, we believe it is reasonable to expect that the flexibility associated with the fair use exception would stimulate more innovation (and, in turn, economic growth) than the status quo. The reasons for this ar</w:t>
      </w:r>
      <w:r w:rsidR="0061337C" w:rsidRPr="00124E7F">
        <w:t>e threefold.</w:t>
      </w:r>
    </w:p>
    <w:p w14:paraId="7EA9755A" w14:textId="77777777" w:rsidR="00E72080" w:rsidRPr="00124E7F" w:rsidRDefault="00E72080" w:rsidP="0061337C">
      <w:pPr>
        <w:pStyle w:val="EYBodytextwithparaspace"/>
      </w:pPr>
      <w:r w:rsidRPr="00124E7F">
        <w:t xml:space="preserve">First, the flexibility of the fair use exception would enable individuals and </w:t>
      </w:r>
      <w:proofErr w:type="spellStart"/>
      <w:r w:rsidRPr="00124E7F">
        <w:t>organisations</w:t>
      </w:r>
      <w:proofErr w:type="spellEnd"/>
      <w:r w:rsidRPr="00124E7F">
        <w:t xml:space="preserve"> to respond more quickly to changes in tec</w:t>
      </w:r>
      <w:r w:rsidR="00B04652" w:rsidRPr="00124E7F">
        <w:t xml:space="preserve">hnology and consumer </w:t>
      </w:r>
      <w:proofErr w:type="spellStart"/>
      <w:r w:rsidR="00B04652" w:rsidRPr="00124E7F">
        <w:t>behaviour</w:t>
      </w:r>
      <w:proofErr w:type="spellEnd"/>
      <w:r w:rsidR="00B04652" w:rsidRPr="00124E7F">
        <w:t xml:space="preserve"> </w:t>
      </w:r>
      <w:r w:rsidRPr="00124E7F">
        <w:t xml:space="preserve">or, as </w:t>
      </w:r>
      <w:proofErr w:type="spellStart"/>
      <w:r w:rsidRPr="00124E7F">
        <w:t>Dnes</w:t>
      </w:r>
      <w:proofErr w:type="spellEnd"/>
      <w:r w:rsidRPr="00124E7F">
        <w:t xml:space="preserve"> states, ‘to absorb high-tech developments as they unfold’</w:t>
      </w:r>
      <w:r w:rsidRPr="00124E7F">
        <w:rPr>
          <w:vertAlign w:val="superscript"/>
        </w:rPr>
        <w:footnoteReference w:id="285"/>
      </w:r>
      <w:r w:rsidRPr="00124E7F">
        <w:t xml:space="preserve">. This enhanced responsiveness would provide greater opportunities for experimentation, as well as the </w:t>
      </w:r>
      <w:proofErr w:type="spellStart"/>
      <w:r w:rsidRPr="00124E7F">
        <w:t>commercialisation</w:t>
      </w:r>
      <w:proofErr w:type="spellEnd"/>
      <w:r w:rsidRPr="00124E7F">
        <w:t xml:space="preserve"> of new business models, products and services, in relation to technologies and uses of copyright material not yet covered by an existing fair dealing exception. It would also likely bolster the competitiveness of Australian businesses competing in markets based on technologies and uses of copyright material not yet covered by an ex</w:t>
      </w:r>
      <w:r w:rsidR="00EE547B" w:rsidRPr="00124E7F">
        <w:t xml:space="preserve">isting fair dealing exception. </w:t>
      </w:r>
    </w:p>
    <w:p w14:paraId="46080863" w14:textId="77777777" w:rsidR="005848CA" w:rsidRPr="00124E7F" w:rsidRDefault="0066105D" w:rsidP="0061337C">
      <w:pPr>
        <w:pStyle w:val="EYBodytextwithparaspace"/>
      </w:pPr>
      <w:r w:rsidRPr="00124E7F">
        <w:t xml:space="preserve">Second, the flexibility of the fair use exception would enable greater third party uses of copyright material. In this context, third party use refers to ‘the </w:t>
      </w:r>
      <w:r w:rsidR="00EF032C" w:rsidRPr="00124E7F">
        <w:t>unlicensed</w:t>
      </w:r>
      <w:r w:rsidRPr="00124E7F">
        <w:t xml:space="preserve"> use of copyright material by third parties to deliver a service, sometimes for profit, in circumstances where the same use by the “end user” would be permitted under a </w:t>
      </w:r>
      <w:r w:rsidR="005D236A" w:rsidRPr="00124E7F">
        <w:t>licens</w:t>
      </w:r>
      <w:r w:rsidRPr="00124E7F">
        <w:t>e or unremunerated exception’.</w:t>
      </w:r>
      <w:r w:rsidRPr="00124E7F">
        <w:rPr>
          <w:rStyle w:val="FootnoteReference"/>
          <w:position w:val="0"/>
          <w:sz w:val="20"/>
          <w:szCs w:val="24"/>
        </w:rPr>
        <w:footnoteReference w:id="286"/>
      </w:r>
      <w:r w:rsidRPr="00124E7F">
        <w:t xml:space="preserve"> </w:t>
      </w:r>
      <w:r w:rsidR="005848CA" w:rsidRPr="00124E7F">
        <w:t>Third party uses are not only innovations themselves, but are seen by a number of stakeholders as crucial to supporting further innovation and economic growth. A prominent example is cloud computing services. Most cloud services are considered third party uses, as they involve facilitating end user access to copyright material. According to the Australian Competition and Consumer Commission, cloud services are ‘important to the emergence and sustainability of competitive digital services industries’.</w:t>
      </w:r>
      <w:r w:rsidR="005848CA" w:rsidRPr="00124E7F">
        <w:rPr>
          <w:rStyle w:val="FootnoteReference"/>
          <w:position w:val="0"/>
          <w:sz w:val="20"/>
          <w:szCs w:val="24"/>
        </w:rPr>
        <w:footnoteReference w:id="287"/>
      </w:r>
      <w:r w:rsidR="005848CA" w:rsidRPr="00124E7F">
        <w:t xml:space="preserve"> By allowing end users to share computing resources and achieve economies of scale, cloud services have the potential to be a driver of both productive and dynamic efficiency.</w:t>
      </w:r>
      <w:r w:rsidR="005848CA" w:rsidRPr="00124E7F">
        <w:rPr>
          <w:rStyle w:val="FootnoteReference"/>
          <w:position w:val="0"/>
          <w:sz w:val="20"/>
          <w:szCs w:val="24"/>
        </w:rPr>
        <w:footnoteReference w:id="288"/>
      </w:r>
    </w:p>
    <w:p w14:paraId="3D36A032" w14:textId="77777777" w:rsidR="0066105D" w:rsidRPr="00124E7F" w:rsidRDefault="0066105D" w:rsidP="0061337C">
      <w:pPr>
        <w:pStyle w:val="EYBodytextwithparaspace"/>
      </w:pPr>
      <w:r w:rsidRPr="00124E7F">
        <w:t>While the current fair dealing exceptions do not prohibit third party use, they do hinder such use. Under the status quo, third party use is only permissible if the purpose of the use of the copyright material by both the third party and the end user matches a specified purpose listed in an exception. This can be difficult to establish, given:</w:t>
      </w:r>
    </w:p>
    <w:p w14:paraId="73AC7D05" w14:textId="77777777" w:rsidR="0066105D" w:rsidRPr="00124E7F" w:rsidRDefault="0066105D" w:rsidP="00634BB4">
      <w:pPr>
        <w:pStyle w:val="EYBulletedText1"/>
      </w:pPr>
      <w:r w:rsidRPr="00124E7F">
        <w:t>The prescriptive nature of the current fair dealing exceptions</w:t>
      </w:r>
      <w:r w:rsidRPr="00124E7F">
        <w:rPr>
          <w:vertAlign w:val="superscript"/>
        </w:rPr>
        <w:footnoteReference w:id="289"/>
      </w:r>
      <w:r w:rsidRPr="00124E7F">
        <w:t xml:space="preserve"> </w:t>
      </w:r>
    </w:p>
    <w:p w14:paraId="3B45275F" w14:textId="77777777" w:rsidR="0066105D" w:rsidRPr="00124E7F" w:rsidRDefault="0066105D" w:rsidP="00634BB4">
      <w:pPr>
        <w:pStyle w:val="EYBulletedText1"/>
      </w:pPr>
      <w:r w:rsidRPr="00124E7F">
        <w:t xml:space="preserve">That the purpose of the use of copyright material by a third party is typically different to that of the end user. </w:t>
      </w:r>
    </w:p>
    <w:p w14:paraId="67043968" w14:textId="77777777" w:rsidR="00614CD7" w:rsidRPr="00124E7F" w:rsidRDefault="00614CD7" w:rsidP="0061337C">
      <w:pPr>
        <w:pStyle w:val="EYBodytextwithparaspace"/>
      </w:pPr>
      <w:r w:rsidRPr="00124E7F">
        <w:t xml:space="preserve">Such difficulties are less likely under the fair use exception, due to its open-ended nature. This does not mean that all third party uses would be found to be fair under fair use. It does mean, however, that the fairness of a third party use would determine its permissibility, rather than its purpose. </w:t>
      </w:r>
    </w:p>
    <w:p w14:paraId="281B3914" w14:textId="77777777" w:rsidR="001C6219" w:rsidRPr="00124E7F" w:rsidRDefault="00ED3BD2" w:rsidP="0061337C">
      <w:pPr>
        <w:pStyle w:val="EYBodytextwithparaspace"/>
      </w:pPr>
      <w:r w:rsidRPr="00124E7F">
        <w:t>Fair use has played an instrumental role in the United States in enabling the emergence of third party uses that have created new markets, as well as enhanced the value of copyright works. A key example is the rise of videocassette recorders (VCRs). In 1984, in response to a lawsuit filed by Universal City Studios, the United States Supreme Court ruled that private copying of television broadcasts for time-shifting purposes constituted a fair use, and that manufacturers of VCRs could not be found liable for copyright infringement.</w:t>
      </w:r>
      <w:r w:rsidR="006B3B4A" w:rsidRPr="00124E7F">
        <w:rPr>
          <w:rStyle w:val="FootnoteReference"/>
          <w:position w:val="0"/>
          <w:sz w:val="20"/>
        </w:rPr>
        <w:footnoteReference w:id="290"/>
      </w:r>
      <w:r w:rsidRPr="00124E7F">
        <w:t xml:space="preserve"> </w:t>
      </w:r>
      <w:r w:rsidR="001C6219" w:rsidRPr="00124E7F">
        <w:t xml:space="preserve">This decision not only allowed the market for VCRs to flourish, but it also facilitated the creation of new markets – both for new technologies (such as video cameras) and uses of copyright material (i.e. home viewing of movies). As von </w:t>
      </w:r>
      <w:proofErr w:type="spellStart"/>
      <w:r w:rsidR="001C6219" w:rsidRPr="00124E7F">
        <w:t>Lohmann</w:t>
      </w:r>
      <w:proofErr w:type="spellEnd"/>
      <w:r w:rsidR="001C6219" w:rsidRPr="00124E7F">
        <w:t xml:space="preserve"> states, ‘[t]he VCR made possible the home video market, a market which today generates more than double the revenues collected at the box office—at a time when box office admissions have also shown strong growth’.</w:t>
      </w:r>
      <w:r w:rsidR="001C6219" w:rsidRPr="00124E7F">
        <w:rPr>
          <w:rStyle w:val="FootnoteReference"/>
          <w:position w:val="0"/>
          <w:sz w:val="20"/>
        </w:rPr>
        <w:footnoteReference w:id="291"/>
      </w:r>
      <w:r w:rsidR="001C6219" w:rsidRPr="00124E7F">
        <w:t xml:space="preserve"> Lee estimates that ‘consumer spending on rentals and sales of videotapes and DVDs alone </w:t>
      </w:r>
      <w:r w:rsidR="00B04652" w:rsidRPr="00124E7F">
        <w:t>total</w:t>
      </w:r>
      <w:r w:rsidR="003A068D" w:rsidRPr="00124E7F">
        <w:t>ed</w:t>
      </w:r>
      <w:r w:rsidR="001C6219" w:rsidRPr="00124E7F">
        <w:t xml:space="preserve"> a staggering $343.2 billion between 1981 and 2006’.</w:t>
      </w:r>
      <w:r w:rsidR="001C6219" w:rsidRPr="00124E7F">
        <w:rPr>
          <w:rStyle w:val="FootnoteReference"/>
          <w:position w:val="0"/>
          <w:sz w:val="20"/>
        </w:rPr>
        <w:footnoteReference w:id="292"/>
      </w:r>
    </w:p>
    <w:p w14:paraId="37697621" w14:textId="77777777" w:rsidR="00FC31DE" w:rsidRPr="00124E7F" w:rsidRDefault="00FC31DE" w:rsidP="0061337C">
      <w:pPr>
        <w:pStyle w:val="EYBodytextwithparaspace"/>
      </w:pPr>
      <w:r w:rsidRPr="00124E7F">
        <w:t>Available research</w:t>
      </w:r>
      <w:r w:rsidR="00C13CAF" w:rsidRPr="00124E7F">
        <w:t xml:space="preserve"> also suggests that fair use has helped stimulate investment in cloud computing companies in the United States. </w:t>
      </w:r>
      <w:r w:rsidRPr="00124E7F">
        <w:t xml:space="preserve">For instance, Lerner and </w:t>
      </w:r>
      <w:proofErr w:type="spellStart"/>
      <w:r w:rsidRPr="00124E7F">
        <w:t>Rafert</w:t>
      </w:r>
      <w:proofErr w:type="spellEnd"/>
      <w:r w:rsidRPr="00124E7F">
        <w:t xml:space="preserve"> recently used a difference-in-differences methodology to explore the impact of the United States Second Circuit Court of Appeals’ decision </w:t>
      </w:r>
      <w:r w:rsidRPr="00124E7F">
        <w:rPr>
          <w:i/>
        </w:rPr>
        <w:t xml:space="preserve">The Cartoon Network, et al. v. Cablevision </w:t>
      </w:r>
      <w:r w:rsidRPr="00124E7F">
        <w:t>(‘which was widely perceived as enhancing the property rights of cloud computing companies relative to the content owners such as major movie studios and publishers’), as well as court rulings in Germany and France (which took a narrower view of the property rights of cloud computing companies).</w:t>
      </w:r>
      <w:r w:rsidRPr="00124E7F">
        <w:rPr>
          <w:vertAlign w:val="superscript"/>
        </w:rPr>
        <w:footnoteReference w:id="293"/>
      </w:r>
      <w:r w:rsidRPr="00124E7F">
        <w:rPr>
          <w:vertAlign w:val="superscript"/>
        </w:rPr>
        <w:t xml:space="preserve"> </w:t>
      </w:r>
      <w:r w:rsidRPr="00124E7F">
        <w:t xml:space="preserve">Lerner and </w:t>
      </w:r>
      <w:proofErr w:type="spellStart"/>
      <w:r w:rsidRPr="00124E7F">
        <w:t>Rafert</w:t>
      </w:r>
      <w:proofErr w:type="spellEnd"/>
      <w:r w:rsidRPr="00124E7F">
        <w:t xml:space="preserve"> found that:</w:t>
      </w:r>
    </w:p>
    <w:p w14:paraId="63E59CDD" w14:textId="77777777" w:rsidR="00FC31DE" w:rsidRPr="00124E7F" w:rsidRDefault="00FC31DE" w:rsidP="00634BB4">
      <w:pPr>
        <w:pStyle w:val="EYBulletedText1"/>
      </w:pPr>
      <w:r w:rsidRPr="00124E7F">
        <w:t>‘VC investment in cloud computing firms increased significantly in the U.S. relative to the EU after the Cablevision decision, particularly in the geographies and sectors most affected by the decision’ – the value of the additional incremental investment was estimated to range from ‘[US]$728 million to approximately [US]$1.3 billion over the two-and-a-half years after the decision’</w:t>
      </w:r>
      <w:r w:rsidRPr="00124E7F">
        <w:rPr>
          <w:rStyle w:val="FootnoteReference"/>
          <w:position w:val="0"/>
          <w:sz w:val="20"/>
        </w:rPr>
        <w:footnoteReference w:id="294"/>
      </w:r>
    </w:p>
    <w:p w14:paraId="7ABFB20F" w14:textId="77777777" w:rsidR="00FC31DE" w:rsidRPr="00124E7F" w:rsidRDefault="00FC31DE" w:rsidP="00634BB4">
      <w:pPr>
        <w:pStyle w:val="EYBulletedText1"/>
      </w:pPr>
      <w:r w:rsidRPr="00124E7F">
        <w:t>The court rulings in Germany and France ‘had significant negative impacts on investment. Specifically, we find that VC investment in cloud computing firms declined in Germany and France, relative to the rest of the EU, after the French and German rulings’.</w:t>
      </w:r>
      <w:r w:rsidRPr="00124E7F">
        <w:rPr>
          <w:rStyle w:val="FootnoteReference"/>
          <w:position w:val="0"/>
          <w:sz w:val="20"/>
        </w:rPr>
        <w:footnoteReference w:id="295"/>
      </w:r>
    </w:p>
    <w:p w14:paraId="271ED93E" w14:textId="77777777" w:rsidR="00113F7F" w:rsidRPr="00124E7F" w:rsidRDefault="0061337C" w:rsidP="0061337C">
      <w:pPr>
        <w:pStyle w:val="EYHeading3"/>
      </w:pPr>
      <w:r w:rsidRPr="00124E7F">
        <w:t>New fair dealing exception</w:t>
      </w:r>
    </w:p>
    <w:p w14:paraId="6580F9A9" w14:textId="77777777" w:rsidR="00D0111C" w:rsidRPr="00124E7F" w:rsidRDefault="00D0111C" w:rsidP="0061337C">
      <w:pPr>
        <w:pStyle w:val="EYBodytextwithparaspace"/>
      </w:pPr>
      <w:r w:rsidRPr="00124E7F">
        <w:t>The new fair dealing exception would be more flexible than the status quo. While it would be based on specified purposes, these purposes would be more broadly defined – making them ‘more flexible and adaptive to new technologies and services than detailed, prescriptive exceptions, such as the [current] time shifting exception’.</w:t>
      </w:r>
      <w:r w:rsidRPr="00124E7F">
        <w:rPr>
          <w:vertAlign w:val="superscript"/>
        </w:rPr>
        <w:footnoteReference w:id="296"/>
      </w:r>
      <w:r w:rsidRPr="00124E7F">
        <w:t xml:space="preserve"> </w:t>
      </w:r>
    </w:p>
    <w:p w14:paraId="1FF6B5F1" w14:textId="77777777" w:rsidR="00D0111C" w:rsidRPr="00124E7F" w:rsidRDefault="00D0111C" w:rsidP="0061337C">
      <w:pPr>
        <w:pStyle w:val="EYBodytextwithparaspace"/>
      </w:pPr>
      <w:r w:rsidRPr="00124E7F">
        <w:t xml:space="preserve">The </w:t>
      </w:r>
      <w:r w:rsidR="001730A8" w:rsidRPr="00124E7F">
        <w:t>new fair dealing exception, however, would be less flexible than the fair use exception. While the specified purposes of the new fair dealing exception are broad</w:t>
      </w:r>
      <w:r w:rsidR="00055231" w:rsidRPr="00124E7F">
        <w:t xml:space="preserve"> and intended to be technologically neutral, they do (like the current fair dealing exceptions) place constraints on the ability of the Copyright Act to adapt to new technologies and uses of copyright material. </w:t>
      </w:r>
    </w:p>
    <w:p w14:paraId="56AEA774" w14:textId="77777777" w:rsidR="00055231" w:rsidRPr="00124E7F" w:rsidRDefault="00055231" w:rsidP="0061337C">
      <w:pPr>
        <w:pStyle w:val="EYBodytextwithparaspace"/>
      </w:pPr>
      <w:r w:rsidRPr="00124E7F">
        <w:t>The new fair dealing exception is also less likely to enable third party use of copyright material compared to the fair use exception. As the ALRC noted in its final report:</w:t>
      </w:r>
    </w:p>
    <w:p w14:paraId="055B033B" w14:textId="77777777" w:rsidR="00055231" w:rsidRPr="00124E7F" w:rsidRDefault="00055231" w:rsidP="0061337C">
      <w:pPr>
        <w:pStyle w:val="EYIndent1"/>
        <w:rPr>
          <w:i/>
        </w:rPr>
      </w:pPr>
      <w:r w:rsidRPr="00124E7F">
        <w:rPr>
          <w:i/>
        </w:rPr>
        <w:t>‘</w:t>
      </w:r>
      <w:proofErr w:type="gramStart"/>
      <w:r w:rsidRPr="00124E7F">
        <w:rPr>
          <w:i/>
        </w:rPr>
        <w:t>the</w:t>
      </w:r>
      <w:proofErr w:type="gramEnd"/>
      <w:r w:rsidRPr="00124E7F">
        <w:rPr>
          <w:i/>
        </w:rPr>
        <w:t xml:space="preserve"> new fair dealing exception leaves less room for </w:t>
      </w:r>
      <w:r w:rsidR="00CA2BA6" w:rsidRPr="00124E7F">
        <w:rPr>
          <w:i/>
        </w:rPr>
        <w:t>unlicensed</w:t>
      </w:r>
      <w:r w:rsidRPr="00124E7F">
        <w:rPr>
          <w:i/>
        </w:rPr>
        <w:t xml:space="preserve"> third parties to use copyright material in circumstances where they facilitate private uses. This is because the new fair dealing exception is confined to uses for specified purposes. Sometimes the purpose of a third party use will be nearly indistinguishable from the purpose of the end user. At other times, the third party use may be quite different.’</w:t>
      </w:r>
      <w:r w:rsidRPr="00124E7F">
        <w:rPr>
          <w:rStyle w:val="AAnormalChar"/>
          <w:i/>
          <w:vertAlign w:val="superscript"/>
        </w:rPr>
        <w:footnoteReference w:id="297"/>
      </w:r>
    </w:p>
    <w:p w14:paraId="0F97AC1A" w14:textId="77777777" w:rsidR="00073F08" w:rsidRPr="00124E7F" w:rsidRDefault="00073F08" w:rsidP="00B84F07">
      <w:pPr>
        <w:rPr>
          <w:lang w:val="en-US"/>
        </w:rPr>
        <w:sectPr w:rsidR="00073F08" w:rsidRPr="00124E7F" w:rsidSect="00F07D6B">
          <w:pgSz w:w="11909" w:h="16834" w:code="9"/>
          <w:pgMar w:top="1440" w:right="1440" w:bottom="1134" w:left="1440" w:header="720" w:footer="425" w:gutter="0"/>
          <w:cols w:space="720"/>
          <w:docGrid w:linePitch="360"/>
        </w:sectPr>
      </w:pPr>
    </w:p>
    <w:p w14:paraId="48B227BA" w14:textId="77777777" w:rsidR="008665DC" w:rsidRPr="00202E68" w:rsidRDefault="008665DC" w:rsidP="008665DC">
      <w:pPr>
        <w:pStyle w:val="EYAppendix"/>
        <w:rPr>
          <w:color w:val="auto"/>
        </w:rPr>
      </w:pPr>
      <w:bookmarkStart w:id="213" w:name="_Toc447063753"/>
      <w:bookmarkStart w:id="214" w:name="_Toc451769120"/>
      <w:bookmarkStart w:id="215" w:name="_Toc467768617"/>
      <w:bookmarkStart w:id="216" w:name="_Toc467768669"/>
      <w:bookmarkStart w:id="217" w:name="_Toc467768890"/>
      <w:bookmarkStart w:id="218" w:name="_Toc467768961"/>
      <w:bookmarkStart w:id="219" w:name="_Toc469644749"/>
      <w:r w:rsidRPr="00202E68">
        <w:rPr>
          <w:color w:val="auto"/>
        </w:rPr>
        <w:t>Stakeholder Consultation Plan</w:t>
      </w:r>
      <w:bookmarkEnd w:id="213"/>
      <w:bookmarkEnd w:id="214"/>
      <w:bookmarkEnd w:id="215"/>
      <w:bookmarkEnd w:id="216"/>
      <w:bookmarkEnd w:id="217"/>
      <w:bookmarkEnd w:id="218"/>
      <w:bookmarkEnd w:id="219"/>
    </w:p>
    <w:tbl>
      <w:tblPr>
        <w:tblW w:w="5000" w:type="pct"/>
        <w:tblBorders>
          <w:insideH w:val="single" w:sz="4" w:space="0" w:color="808080" w:themeColor="background1" w:themeShade="80"/>
        </w:tblBorders>
        <w:tblLook w:val="04A0" w:firstRow="1" w:lastRow="0" w:firstColumn="1" w:lastColumn="0" w:noHBand="0" w:noVBand="1"/>
        <w:tblCaption w:val="Appendix A Stakeholder Consultation Plan"/>
        <w:tblDescription w:val="The following stakeholders were consultated with either by by phone or face to face,  including collecting societies, right holder representatives, copyright users/consumer representatives, telecommunications/internet service providers or advocates, government and other:&#10;&#10;APRA/AMCOS &#10;PPCA (same as ARIA)&#10;Copyright Agency|Viscopy&#10;Screenrights&#10;iGEA&#10;Arts Law Centre &#10;APA&#10;News Limited&#10;Australian Copyright Council&#10;ADA/ALCC&#10;ACCAN&#10;AIMIA&#10;Copyright Advisory Group&#10;Universities Australia&#10;Google&#10;Telstra&#10;Free TV Australia&#10;Communications Alliance&#10;Commercial Radio Austraia&#10;Department of Education&#10;Ministry for the Arts&#10;ACCC&#10;K Weatherall&#10;Cyberspace Law &amp; Policy Centre&#10;Law Council of Australia&#10;"/>
      </w:tblPr>
      <w:tblGrid>
        <w:gridCol w:w="3910"/>
        <w:gridCol w:w="1594"/>
        <w:gridCol w:w="2587"/>
        <w:gridCol w:w="6169"/>
      </w:tblGrid>
      <w:tr w:rsidR="004213AE" w:rsidRPr="00124E7F" w14:paraId="12423D29" w14:textId="77777777" w:rsidTr="003B7373">
        <w:tc>
          <w:tcPr>
            <w:tcW w:w="1371" w:type="pct"/>
            <w:shd w:val="clear" w:color="auto" w:fill="EAEAEA" w:themeFill="accent3" w:themeFillTint="33"/>
            <w:noWrap/>
            <w:vAlign w:val="center"/>
            <w:hideMark/>
          </w:tcPr>
          <w:p w14:paraId="75AAF2F1" w14:textId="77777777" w:rsidR="001738A3" w:rsidRPr="00202E68" w:rsidRDefault="001738A3" w:rsidP="001738A3">
            <w:pPr>
              <w:widowControl/>
              <w:autoSpaceDE/>
              <w:autoSpaceDN/>
              <w:adjustRightInd/>
              <w:spacing w:before="20" w:after="20"/>
              <w:rPr>
                <w:rFonts w:cs="Calibri"/>
                <w:b/>
                <w:bCs/>
                <w:szCs w:val="22"/>
                <w:lang w:eastAsia="en-AU"/>
              </w:rPr>
            </w:pPr>
            <w:r w:rsidRPr="00202E68">
              <w:rPr>
                <w:rFonts w:cs="Calibri"/>
                <w:b/>
                <w:bCs/>
                <w:szCs w:val="22"/>
                <w:lang w:eastAsia="en-AU"/>
              </w:rPr>
              <w:t>Stakeholder</w:t>
            </w:r>
          </w:p>
        </w:tc>
        <w:tc>
          <w:tcPr>
            <w:tcW w:w="559" w:type="pct"/>
            <w:shd w:val="clear" w:color="auto" w:fill="EAEAEA" w:themeFill="accent3" w:themeFillTint="33"/>
            <w:noWrap/>
            <w:vAlign w:val="center"/>
            <w:hideMark/>
          </w:tcPr>
          <w:p w14:paraId="3A3708BA" w14:textId="77777777" w:rsidR="001738A3" w:rsidRPr="00202E68" w:rsidRDefault="001738A3" w:rsidP="001738A3">
            <w:pPr>
              <w:widowControl/>
              <w:autoSpaceDE/>
              <w:autoSpaceDN/>
              <w:adjustRightInd/>
              <w:spacing w:before="20" w:after="20"/>
              <w:rPr>
                <w:rFonts w:cs="Calibri"/>
                <w:b/>
                <w:bCs/>
                <w:szCs w:val="22"/>
                <w:lang w:eastAsia="en-AU"/>
              </w:rPr>
            </w:pPr>
            <w:r w:rsidRPr="00202E68">
              <w:rPr>
                <w:rFonts w:cs="Calibri"/>
                <w:b/>
                <w:bCs/>
                <w:szCs w:val="22"/>
                <w:lang w:eastAsia="en-AU"/>
              </w:rPr>
              <w:t>Location</w:t>
            </w:r>
          </w:p>
        </w:tc>
        <w:tc>
          <w:tcPr>
            <w:tcW w:w="907" w:type="pct"/>
            <w:shd w:val="clear" w:color="auto" w:fill="EAEAEA" w:themeFill="accent3" w:themeFillTint="33"/>
            <w:noWrap/>
            <w:vAlign w:val="center"/>
            <w:hideMark/>
          </w:tcPr>
          <w:p w14:paraId="6C56A71A" w14:textId="77777777" w:rsidR="001738A3" w:rsidRPr="00202E68" w:rsidRDefault="001738A3" w:rsidP="001738A3">
            <w:pPr>
              <w:widowControl/>
              <w:autoSpaceDE/>
              <w:autoSpaceDN/>
              <w:adjustRightInd/>
              <w:spacing w:before="20" w:after="20"/>
              <w:rPr>
                <w:rFonts w:cs="Calibri"/>
                <w:b/>
                <w:bCs/>
                <w:szCs w:val="22"/>
                <w:lang w:eastAsia="en-AU"/>
              </w:rPr>
            </w:pPr>
            <w:r w:rsidRPr="00202E68">
              <w:rPr>
                <w:rFonts w:cs="Calibri"/>
                <w:b/>
                <w:bCs/>
                <w:szCs w:val="22"/>
                <w:lang w:eastAsia="en-AU"/>
              </w:rPr>
              <w:t>Consultation method</w:t>
            </w:r>
          </w:p>
        </w:tc>
        <w:tc>
          <w:tcPr>
            <w:tcW w:w="2163" w:type="pct"/>
            <w:shd w:val="clear" w:color="auto" w:fill="EAEAEA" w:themeFill="accent3" w:themeFillTint="33"/>
            <w:noWrap/>
            <w:vAlign w:val="center"/>
            <w:hideMark/>
          </w:tcPr>
          <w:p w14:paraId="535580FD" w14:textId="77777777" w:rsidR="001738A3" w:rsidRPr="00202E68" w:rsidRDefault="001738A3" w:rsidP="001738A3">
            <w:pPr>
              <w:widowControl/>
              <w:autoSpaceDE/>
              <w:autoSpaceDN/>
              <w:adjustRightInd/>
              <w:spacing w:before="20" w:after="20"/>
              <w:rPr>
                <w:rFonts w:cs="Calibri"/>
                <w:b/>
                <w:bCs/>
                <w:szCs w:val="22"/>
                <w:lang w:eastAsia="en-AU"/>
              </w:rPr>
            </w:pPr>
            <w:r w:rsidRPr="00202E68">
              <w:rPr>
                <w:rFonts w:cs="Calibri"/>
                <w:b/>
                <w:bCs/>
                <w:szCs w:val="22"/>
                <w:lang w:eastAsia="en-AU"/>
              </w:rPr>
              <w:t>Stakeholder type</w:t>
            </w:r>
          </w:p>
        </w:tc>
      </w:tr>
      <w:tr w:rsidR="004213AE" w:rsidRPr="00124E7F" w14:paraId="57CEADFD" w14:textId="77777777" w:rsidTr="001738A3">
        <w:tc>
          <w:tcPr>
            <w:tcW w:w="1371" w:type="pct"/>
            <w:shd w:val="clear" w:color="auto" w:fill="auto"/>
            <w:noWrap/>
            <w:vAlign w:val="bottom"/>
            <w:hideMark/>
          </w:tcPr>
          <w:p w14:paraId="1230F9CE"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 xml:space="preserve">APRA/AMCOS </w:t>
            </w:r>
          </w:p>
        </w:tc>
        <w:tc>
          <w:tcPr>
            <w:tcW w:w="559" w:type="pct"/>
            <w:shd w:val="clear" w:color="auto" w:fill="auto"/>
            <w:noWrap/>
            <w:vAlign w:val="bottom"/>
            <w:hideMark/>
          </w:tcPr>
          <w:p w14:paraId="7BEC183E"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Sydney</w:t>
            </w:r>
          </w:p>
        </w:tc>
        <w:tc>
          <w:tcPr>
            <w:tcW w:w="907" w:type="pct"/>
            <w:shd w:val="clear" w:color="auto" w:fill="auto"/>
            <w:noWrap/>
            <w:vAlign w:val="bottom"/>
            <w:hideMark/>
          </w:tcPr>
          <w:p w14:paraId="2B6AFC82"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Face to face</w:t>
            </w:r>
          </w:p>
        </w:tc>
        <w:tc>
          <w:tcPr>
            <w:tcW w:w="2163" w:type="pct"/>
            <w:shd w:val="clear" w:color="auto" w:fill="auto"/>
            <w:noWrap/>
            <w:vAlign w:val="bottom"/>
            <w:hideMark/>
          </w:tcPr>
          <w:p w14:paraId="4265D5FA"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Collecting Society</w:t>
            </w:r>
          </w:p>
        </w:tc>
      </w:tr>
      <w:tr w:rsidR="004213AE" w:rsidRPr="00124E7F" w14:paraId="4079BC0C" w14:textId="77777777" w:rsidTr="001738A3">
        <w:tc>
          <w:tcPr>
            <w:tcW w:w="1371" w:type="pct"/>
            <w:shd w:val="clear" w:color="auto" w:fill="auto"/>
            <w:noWrap/>
            <w:vAlign w:val="bottom"/>
            <w:hideMark/>
          </w:tcPr>
          <w:p w14:paraId="2EF59868"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PPCA (same as ARIA)</w:t>
            </w:r>
          </w:p>
        </w:tc>
        <w:tc>
          <w:tcPr>
            <w:tcW w:w="559" w:type="pct"/>
            <w:shd w:val="clear" w:color="auto" w:fill="auto"/>
            <w:noWrap/>
            <w:vAlign w:val="bottom"/>
            <w:hideMark/>
          </w:tcPr>
          <w:p w14:paraId="1EE48AED"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Sydney</w:t>
            </w:r>
          </w:p>
        </w:tc>
        <w:tc>
          <w:tcPr>
            <w:tcW w:w="907" w:type="pct"/>
            <w:shd w:val="clear" w:color="auto" w:fill="auto"/>
            <w:noWrap/>
            <w:vAlign w:val="bottom"/>
            <w:hideMark/>
          </w:tcPr>
          <w:p w14:paraId="40B261F7"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Face to face</w:t>
            </w:r>
          </w:p>
        </w:tc>
        <w:tc>
          <w:tcPr>
            <w:tcW w:w="2163" w:type="pct"/>
            <w:shd w:val="clear" w:color="auto" w:fill="auto"/>
            <w:noWrap/>
            <w:vAlign w:val="bottom"/>
            <w:hideMark/>
          </w:tcPr>
          <w:p w14:paraId="16651F98"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Collecting Society</w:t>
            </w:r>
          </w:p>
        </w:tc>
      </w:tr>
      <w:tr w:rsidR="004213AE" w:rsidRPr="00124E7F" w14:paraId="5D918ADA" w14:textId="77777777" w:rsidTr="001738A3">
        <w:tc>
          <w:tcPr>
            <w:tcW w:w="1371" w:type="pct"/>
            <w:shd w:val="clear" w:color="auto" w:fill="auto"/>
            <w:noWrap/>
            <w:vAlign w:val="bottom"/>
            <w:hideMark/>
          </w:tcPr>
          <w:p w14:paraId="192FEA2F"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 xml:space="preserve">Copyright </w:t>
            </w:r>
            <w:proofErr w:type="spellStart"/>
            <w:r w:rsidRPr="00202E68">
              <w:rPr>
                <w:rFonts w:cs="Calibri"/>
                <w:szCs w:val="22"/>
                <w:lang w:eastAsia="en-AU"/>
              </w:rPr>
              <w:t>Agency|Viscopy</w:t>
            </w:r>
            <w:proofErr w:type="spellEnd"/>
          </w:p>
        </w:tc>
        <w:tc>
          <w:tcPr>
            <w:tcW w:w="559" w:type="pct"/>
            <w:shd w:val="clear" w:color="auto" w:fill="auto"/>
            <w:noWrap/>
            <w:vAlign w:val="bottom"/>
            <w:hideMark/>
          </w:tcPr>
          <w:p w14:paraId="5E37CE09"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Sydney</w:t>
            </w:r>
          </w:p>
        </w:tc>
        <w:tc>
          <w:tcPr>
            <w:tcW w:w="907" w:type="pct"/>
            <w:shd w:val="clear" w:color="auto" w:fill="auto"/>
            <w:noWrap/>
            <w:vAlign w:val="bottom"/>
            <w:hideMark/>
          </w:tcPr>
          <w:p w14:paraId="1DE81B9E"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Face to face</w:t>
            </w:r>
          </w:p>
        </w:tc>
        <w:tc>
          <w:tcPr>
            <w:tcW w:w="2163" w:type="pct"/>
            <w:shd w:val="clear" w:color="auto" w:fill="auto"/>
            <w:noWrap/>
            <w:vAlign w:val="bottom"/>
            <w:hideMark/>
          </w:tcPr>
          <w:p w14:paraId="6C7848E6"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Collecting Society</w:t>
            </w:r>
          </w:p>
        </w:tc>
      </w:tr>
      <w:tr w:rsidR="004213AE" w:rsidRPr="00124E7F" w14:paraId="5EE868B5" w14:textId="77777777" w:rsidTr="001738A3">
        <w:tc>
          <w:tcPr>
            <w:tcW w:w="1371" w:type="pct"/>
            <w:shd w:val="clear" w:color="auto" w:fill="auto"/>
            <w:noWrap/>
            <w:vAlign w:val="bottom"/>
            <w:hideMark/>
          </w:tcPr>
          <w:p w14:paraId="3388AB3B" w14:textId="77777777" w:rsidR="001738A3" w:rsidRPr="00202E68" w:rsidRDefault="001738A3" w:rsidP="001738A3">
            <w:pPr>
              <w:widowControl/>
              <w:autoSpaceDE/>
              <w:autoSpaceDN/>
              <w:adjustRightInd/>
              <w:spacing w:before="20" w:after="20"/>
              <w:rPr>
                <w:rFonts w:cs="Calibri"/>
                <w:szCs w:val="22"/>
                <w:lang w:eastAsia="en-AU"/>
              </w:rPr>
            </w:pPr>
            <w:proofErr w:type="spellStart"/>
            <w:r w:rsidRPr="00202E68">
              <w:rPr>
                <w:rFonts w:cs="Calibri"/>
                <w:szCs w:val="22"/>
                <w:lang w:eastAsia="en-AU"/>
              </w:rPr>
              <w:t>Screenrights</w:t>
            </w:r>
            <w:proofErr w:type="spellEnd"/>
          </w:p>
        </w:tc>
        <w:tc>
          <w:tcPr>
            <w:tcW w:w="559" w:type="pct"/>
            <w:shd w:val="clear" w:color="auto" w:fill="auto"/>
            <w:noWrap/>
            <w:vAlign w:val="bottom"/>
            <w:hideMark/>
          </w:tcPr>
          <w:p w14:paraId="1D1DCEB4"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Sydney</w:t>
            </w:r>
          </w:p>
        </w:tc>
        <w:tc>
          <w:tcPr>
            <w:tcW w:w="907" w:type="pct"/>
            <w:shd w:val="clear" w:color="auto" w:fill="auto"/>
            <w:noWrap/>
            <w:vAlign w:val="bottom"/>
            <w:hideMark/>
          </w:tcPr>
          <w:p w14:paraId="1B8F81D2"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Face to face</w:t>
            </w:r>
          </w:p>
        </w:tc>
        <w:tc>
          <w:tcPr>
            <w:tcW w:w="2163" w:type="pct"/>
            <w:shd w:val="clear" w:color="auto" w:fill="auto"/>
            <w:noWrap/>
            <w:vAlign w:val="bottom"/>
            <w:hideMark/>
          </w:tcPr>
          <w:p w14:paraId="6B741221"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Collecting Society</w:t>
            </w:r>
          </w:p>
        </w:tc>
      </w:tr>
      <w:tr w:rsidR="004213AE" w:rsidRPr="00124E7F" w14:paraId="4EDDCE10" w14:textId="77777777" w:rsidTr="001738A3">
        <w:tc>
          <w:tcPr>
            <w:tcW w:w="1371" w:type="pct"/>
            <w:shd w:val="clear" w:color="auto" w:fill="auto"/>
            <w:noWrap/>
            <w:vAlign w:val="bottom"/>
            <w:hideMark/>
          </w:tcPr>
          <w:p w14:paraId="1505D72D" w14:textId="77777777" w:rsidR="001738A3" w:rsidRPr="00202E68" w:rsidRDefault="001738A3" w:rsidP="001738A3">
            <w:pPr>
              <w:widowControl/>
              <w:autoSpaceDE/>
              <w:autoSpaceDN/>
              <w:adjustRightInd/>
              <w:spacing w:before="20" w:after="20"/>
              <w:rPr>
                <w:rFonts w:cs="Calibri"/>
                <w:szCs w:val="22"/>
                <w:lang w:eastAsia="en-AU"/>
              </w:rPr>
            </w:pPr>
            <w:proofErr w:type="spellStart"/>
            <w:r w:rsidRPr="00202E68">
              <w:rPr>
                <w:rFonts w:cs="Calibri"/>
                <w:szCs w:val="22"/>
                <w:lang w:eastAsia="en-AU"/>
              </w:rPr>
              <w:t>iGEA</w:t>
            </w:r>
            <w:proofErr w:type="spellEnd"/>
          </w:p>
        </w:tc>
        <w:tc>
          <w:tcPr>
            <w:tcW w:w="559" w:type="pct"/>
            <w:shd w:val="clear" w:color="auto" w:fill="auto"/>
            <w:noWrap/>
            <w:vAlign w:val="bottom"/>
            <w:hideMark/>
          </w:tcPr>
          <w:p w14:paraId="1C1C90A6"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Sydney</w:t>
            </w:r>
          </w:p>
        </w:tc>
        <w:tc>
          <w:tcPr>
            <w:tcW w:w="907" w:type="pct"/>
            <w:shd w:val="clear" w:color="auto" w:fill="auto"/>
            <w:noWrap/>
            <w:vAlign w:val="bottom"/>
            <w:hideMark/>
          </w:tcPr>
          <w:p w14:paraId="0EE5E5BB"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Face to face</w:t>
            </w:r>
          </w:p>
        </w:tc>
        <w:tc>
          <w:tcPr>
            <w:tcW w:w="2163" w:type="pct"/>
            <w:shd w:val="clear" w:color="auto" w:fill="auto"/>
            <w:noWrap/>
            <w:vAlign w:val="bottom"/>
            <w:hideMark/>
          </w:tcPr>
          <w:p w14:paraId="24AAFDF8"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Right holders representatives</w:t>
            </w:r>
          </w:p>
        </w:tc>
      </w:tr>
      <w:tr w:rsidR="004213AE" w:rsidRPr="00124E7F" w14:paraId="0FAE24E4" w14:textId="77777777" w:rsidTr="001738A3">
        <w:tc>
          <w:tcPr>
            <w:tcW w:w="1371" w:type="pct"/>
            <w:shd w:val="clear" w:color="auto" w:fill="auto"/>
            <w:noWrap/>
            <w:vAlign w:val="bottom"/>
            <w:hideMark/>
          </w:tcPr>
          <w:p w14:paraId="2E3713C8"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 xml:space="preserve">Arts Law Centre </w:t>
            </w:r>
          </w:p>
        </w:tc>
        <w:tc>
          <w:tcPr>
            <w:tcW w:w="559" w:type="pct"/>
            <w:shd w:val="clear" w:color="auto" w:fill="auto"/>
            <w:noWrap/>
            <w:vAlign w:val="bottom"/>
            <w:hideMark/>
          </w:tcPr>
          <w:p w14:paraId="11FE9C93"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Sydney</w:t>
            </w:r>
          </w:p>
        </w:tc>
        <w:tc>
          <w:tcPr>
            <w:tcW w:w="907" w:type="pct"/>
            <w:shd w:val="clear" w:color="auto" w:fill="auto"/>
            <w:noWrap/>
            <w:vAlign w:val="bottom"/>
            <w:hideMark/>
          </w:tcPr>
          <w:p w14:paraId="6FC980BA"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Face to face</w:t>
            </w:r>
          </w:p>
        </w:tc>
        <w:tc>
          <w:tcPr>
            <w:tcW w:w="2163" w:type="pct"/>
            <w:shd w:val="clear" w:color="auto" w:fill="auto"/>
            <w:noWrap/>
            <w:vAlign w:val="bottom"/>
            <w:hideMark/>
          </w:tcPr>
          <w:p w14:paraId="205C4ACC"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Right holders representatives</w:t>
            </w:r>
          </w:p>
        </w:tc>
      </w:tr>
      <w:tr w:rsidR="004213AE" w:rsidRPr="00124E7F" w14:paraId="163B5A3E" w14:textId="77777777" w:rsidTr="001738A3">
        <w:tc>
          <w:tcPr>
            <w:tcW w:w="1371" w:type="pct"/>
            <w:shd w:val="clear" w:color="auto" w:fill="auto"/>
            <w:noWrap/>
            <w:vAlign w:val="bottom"/>
            <w:hideMark/>
          </w:tcPr>
          <w:p w14:paraId="26C9FBD2"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APA</w:t>
            </w:r>
          </w:p>
        </w:tc>
        <w:tc>
          <w:tcPr>
            <w:tcW w:w="559" w:type="pct"/>
            <w:shd w:val="clear" w:color="auto" w:fill="auto"/>
            <w:noWrap/>
            <w:vAlign w:val="bottom"/>
            <w:hideMark/>
          </w:tcPr>
          <w:p w14:paraId="2DCE7B96"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Sydney</w:t>
            </w:r>
          </w:p>
        </w:tc>
        <w:tc>
          <w:tcPr>
            <w:tcW w:w="907" w:type="pct"/>
            <w:shd w:val="clear" w:color="auto" w:fill="auto"/>
            <w:noWrap/>
            <w:vAlign w:val="bottom"/>
            <w:hideMark/>
          </w:tcPr>
          <w:p w14:paraId="6567EA3A"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Face to face</w:t>
            </w:r>
          </w:p>
        </w:tc>
        <w:tc>
          <w:tcPr>
            <w:tcW w:w="2163" w:type="pct"/>
            <w:shd w:val="clear" w:color="auto" w:fill="auto"/>
            <w:noWrap/>
            <w:vAlign w:val="bottom"/>
            <w:hideMark/>
          </w:tcPr>
          <w:p w14:paraId="5E91B0E0"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Right holders representatives</w:t>
            </w:r>
          </w:p>
        </w:tc>
      </w:tr>
      <w:tr w:rsidR="004213AE" w:rsidRPr="00124E7F" w14:paraId="527C6523" w14:textId="77777777" w:rsidTr="001738A3">
        <w:tc>
          <w:tcPr>
            <w:tcW w:w="1371" w:type="pct"/>
            <w:shd w:val="clear" w:color="auto" w:fill="auto"/>
            <w:noWrap/>
            <w:vAlign w:val="bottom"/>
            <w:hideMark/>
          </w:tcPr>
          <w:p w14:paraId="7E01C055"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News Limited</w:t>
            </w:r>
          </w:p>
        </w:tc>
        <w:tc>
          <w:tcPr>
            <w:tcW w:w="559" w:type="pct"/>
            <w:shd w:val="clear" w:color="auto" w:fill="auto"/>
            <w:noWrap/>
            <w:vAlign w:val="bottom"/>
            <w:hideMark/>
          </w:tcPr>
          <w:p w14:paraId="243C657B"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Sydney</w:t>
            </w:r>
          </w:p>
        </w:tc>
        <w:tc>
          <w:tcPr>
            <w:tcW w:w="907" w:type="pct"/>
            <w:shd w:val="clear" w:color="auto" w:fill="auto"/>
            <w:noWrap/>
            <w:vAlign w:val="bottom"/>
            <w:hideMark/>
          </w:tcPr>
          <w:p w14:paraId="3C0DE90A"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Face to face</w:t>
            </w:r>
          </w:p>
        </w:tc>
        <w:tc>
          <w:tcPr>
            <w:tcW w:w="2163" w:type="pct"/>
            <w:shd w:val="clear" w:color="auto" w:fill="auto"/>
            <w:noWrap/>
            <w:vAlign w:val="bottom"/>
            <w:hideMark/>
          </w:tcPr>
          <w:p w14:paraId="7CB1F7CD"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Right holders representatives</w:t>
            </w:r>
          </w:p>
        </w:tc>
      </w:tr>
      <w:tr w:rsidR="004213AE" w:rsidRPr="00124E7F" w14:paraId="553E3BAF" w14:textId="77777777" w:rsidTr="001738A3">
        <w:tc>
          <w:tcPr>
            <w:tcW w:w="1371" w:type="pct"/>
            <w:shd w:val="clear" w:color="auto" w:fill="auto"/>
            <w:noWrap/>
            <w:vAlign w:val="bottom"/>
            <w:hideMark/>
          </w:tcPr>
          <w:p w14:paraId="0940DEB0"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Australian Copyright Council</w:t>
            </w:r>
          </w:p>
        </w:tc>
        <w:tc>
          <w:tcPr>
            <w:tcW w:w="559" w:type="pct"/>
            <w:shd w:val="clear" w:color="auto" w:fill="auto"/>
            <w:noWrap/>
            <w:vAlign w:val="bottom"/>
            <w:hideMark/>
          </w:tcPr>
          <w:p w14:paraId="18ABB9CA"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Sydney</w:t>
            </w:r>
          </w:p>
        </w:tc>
        <w:tc>
          <w:tcPr>
            <w:tcW w:w="907" w:type="pct"/>
            <w:shd w:val="clear" w:color="auto" w:fill="auto"/>
            <w:noWrap/>
            <w:vAlign w:val="bottom"/>
            <w:hideMark/>
          </w:tcPr>
          <w:p w14:paraId="0F034889"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Face to face</w:t>
            </w:r>
          </w:p>
        </w:tc>
        <w:tc>
          <w:tcPr>
            <w:tcW w:w="2163" w:type="pct"/>
            <w:shd w:val="clear" w:color="auto" w:fill="auto"/>
            <w:noWrap/>
            <w:vAlign w:val="bottom"/>
            <w:hideMark/>
          </w:tcPr>
          <w:p w14:paraId="0C02748F"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Right holders representatives</w:t>
            </w:r>
          </w:p>
        </w:tc>
      </w:tr>
      <w:tr w:rsidR="004213AE" w:rsidRPr="00124E7F" w14:paraId="1C264D14" w14:textId="77777777" w:rsidTr="001738A3">
        <w:tc>
          <w:tcPr>
            <w:tcW w:w="1371" w:type="pct"/>
            <w:shd w:val="clear" w:color="auto" w:fill="auto"/>
            <w:noWrap/>
            <w:vAlign w:val="bottom"/>
            <w:hideMark/>
          </w:tcPr>
          <w:p w14:paraId="4F848915"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ADA/ALCC</w:t>
            </w:r>
          </w:p>
        </w:tc>
        <w:tc>
          <w:tcPr>
            <w:tcW w:w="559" w:type="pct"/>
            <w:shd w:val="clear" w:color="auto" w:fill="auto"/>
            <w:noWrap/>
            <w:vAlign w:val="bottom"/>
            <w:hideMark/>
          </w:tcPr>
          <w:p w14:paraId="2A8BC2AC"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Canberra</w:t>
            </w:r>
          </w:p>
        </w:tc>
        <w:tc>
          <w:tcPr>
            <w:tcW w:w="907" w:type="pct"/>
            <w:shd w:val="clear" w:color="auto" w:fill="auto"/>
            <w:noWrap/>
            <w:vAlign w:val="bottom"/>
            <w:hideMark/>
          </w:tcPr>
          <w:p w14:paraId="4EB8045E"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Face to face / telephone</w:t>
            </w:r>
          </w:p>
        </w:tc>
        <w:tc>
          <w:tcPr>
            <w:tcW w:w="2163" w:type="pct"/>
            <w:shd w:val="clear" w:color="auto" w:fill="auto"/>
            <w:noWrap/>
            <w:vAlign w:val="bottom"/>
            <w:hideMark/>
          </w:tcPr>
          <w:p w14:paraId="048C79B8"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 xml:space="preserve">Copyright users/consumers representatives </w:t>
            </w:r>
          </w:p>
        </w:tc>
      </w:tr>
      <w:tr w:rsidR="004213AE" w:rsidRPr="00124E7F" w14:paraId="2AB908BF" w14:textId="77777777" w:rsidTr="001738A3">
        <w:tc>
          <w:tcPr>
            <w:tcW w:w="1371" w:type="pct"/>
            <w:shd w:val="clear" w:color="auto" w:fill="auto"/>
            <w:noWrap/>
            <w:vAlign w:val="bottom"/>
            <w:hideMark/>
          </w:tcPr>
          <w:p w14:paraId="0467CBD1"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ACCAN</w:t>
            </w:r>
          </w:p>
        </w:tc>
        <w:tc>
          <w:tcPr>
            <w:tcW w:w="559" w:type="pct"/>
            <w:shd w:val="clear" w:color="auto" w:fill="auto"/>
            <w:noWrap/>
            <w:vAlign w:val="bottom"/>
            <w:hideMark/>
          </w:tcPr>
          <w:p w14:paraId="1D02B259"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Sydney</w:t>
            </w:r>
          </w:p>
        </w:tc>
        <w:tc>
          <w:tcPr>
            <w:tcW w:w="907" w:type="pct"/>
            <w:shd w:val="clear" w:color="auto" w:fill="auto"/>
            <w:noWrap/>
            <w:vAlign w:val="bottom"/>
            <w:hideMark/>
          </w:tcPr>
          <w:p w14:paraId="0B80B443"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Face to face</w:t>
            </w:r>
          </w:p>
        </w:tc>
        <w:tc>
          <w:tcPr>
            <w:tcW w:w="2163" w:type="pct"/>
            <w:shd w:val="clear" w:color="auto" w:fill="auto"/>
            <w:noWrap/>
            <w:vAlign w:val="bottom"/>
            <w:hideMark/>
          </w:tcPr>
          <w:p w14:paraId="63901D18"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 xml:space="preserve">Copyright users/consumers representatives </w:t>
            </w:r>
          </w:p>
        </w:tc>
      </w:tr>
      <w:tr w:rsidR="004213AE" w:rsidRPr="00124E7F" w14:paraId="53D9DC00" w14:textId="77777777" w:rsidTr="001738A3">
        <w:tc>
          <w:tcPr>
            <w:tcW w:w="1371" w:type="pct"/>
            <w:shd w:val="clear" w:color="auto" w:fill="auto"/>
            <w:noWrap/>
            <w:vAlign w:val="bottom"/>
            <w:hideMark/>
          </w:tcPr>
          <w:p w14:paraId="179157DD"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AIMIA</w:t>
            </w:r>
          </w:p>
        </w:tc>
        <w:tc>
          <w:tcPr>
            <w:tcW w:w="559" w:type="pct"/>
            <w:shd w:val="clear" w:color="auto" w:fill="auto"/>
            <w:noWrap/>
            <w:vAlign w:val="bottom"/>
            <w:hideMark/>
          </w:tcPr>
          <w:p w14:paraId="3DE46FE9"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Sydney</w:t>
            </w:r>
          </w:p>
        </w:tc>
        <w:tc>
          <w:tcPr>
            <w:tcW w:w="907" w:type="pct"/>
            <w:shd w:val="clear" w:color="auto" w:fill="auto"/>
            <w:noWrap/>
            <w:vAlign w:val="bottom"/>
            <w:hideMark/>
          </w:tcPr>
          <w:p w14:paraId="7FA60114"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Face to face</w:t>
            </w:r>
          </w:p>
        </w:tc>
        <w:tc>
          <w:tcPr>
            <w:tcW w:w="2163" w:type="pct"/>
            <w:shd w:val="clear" w:color="auto" w:fill="auto"/>
            <w:noWrap/>
            <w:vAlign w:val="bottom"/>
            <w:hideMark/>
          </w:tcPr>
          <w:p w14:paraId="1E844864"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 xml:space="preserve">Copyright users/consumers representatives </w:t>
            </w:r>
          </w:p>
        </w:tc>
      </w:tr>
      <w:tr w:rsidR="004213AE" w:rsidRPr="00124E7F" w14:paraId="4AE6A97A" w14:textId="77777777" w:rsidTr="001738A3">
        <w:tc>
          <w:tcPr>
            <w:tcW w:w="1371" w:type="pct"/>
            <w:shd w:val="clear" w:color="auto" w:fill="auto"/>
            <w:noWrap/>
            <w:vAlign w:val="bottom"/>
            <w:hideMark/>
          </w:tcPr>
          <w:p w14:paraId="67D9C443"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Copyright Advisory Group</w:t>
            </w:r>
          </w:p>
        </w:tc>
        <w:tc>
          <w:tcPr>
            <w:tcW w:w="559" w:type="pct"/>
            <w:shd w:val="clear" w:color="auto" w:fill="auto"/>
            <w:noWrap/>
            <w:vAlign w:val="bottom"/>
            <w:hideMark/>
          </w:tcPr>
          <w:p w14:paraId="284B3D7F"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Sydney</w:t>
            </w:r>
          </w:p>
        </w:tc>
        <w:tc>
          <w:tcPr>
            <w:tcW w:w="907" w:type="pct"/>
            <w:shd w:val="clear" w:color="auto" w:fill="auto"/>
            <w:noWrap/>
            <w:vAlign w:val="bottom"/>
            <w:hideMark/>
          </w:tcPr>
          <w:p w14:paraId="6982EDFA"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Face to face</w:t>
            </w:r>
          </w:p>
        </w:tc>
        <w:tc>
          <w:tcPr>
            <w:tcW w:w="2163" w:type="pct"/>
            <w:shd w:val="clear" w:color="auto" w:fill="auto"/>
            <w:noWrap/>
            <w:vAlign w:val="bottom"/>
            <w:hideMark/>
          </w:tcPr>
          <w:p w14:paraId="5EF07C8A"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 xml:space="preserve">Copyright users/consumers representatives </w:t>
            </w:r>
          </w:p>
        </w:tc>
      </w:tr>
      <w:tr w:rsidR="004213AE" w:rsidRPr="00124E7F" w14:paraId="0060D0AD" w14:textId="77777777" w:rsidTr="001738A3">
        <w:tc>
          <w:tcPr>
            <w:tcW w:w="1371" w:type="pct"/>
            <w:shd w:val="clear" w:color="auto" w:fill="auto"/>
            <w:noWrap/>
            <w:vAlign w:val="bottom"/>
            <w:hideMark/>
          </w:tcPr>
          <w:p w14:paraId="0E008404"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Universities Australia</w:t>
            </w:r>
          </w:p>
        </w:tc>
        <w:tc>
          <w:tcPr>
            <w:tcW w:w="559" w:type="pct"/>
            <w:shd w:val="clear" w:color="auto" w:fill="auto"/>
            <w:noWrap/>
            <w:vAlign w:val="bottom"/>
            <w:hideMark/>
          </w:tcPr>
          <w:p w14:paraId="44D54700"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Canberra</w:t>
            </w:r>
          </w:p>
        </w:tc>
        <w:tc>
          <w:tcPr>
            <w:tcW w:w="907" w:type="pct"/>
            <w:shd w:val="clear" w:color="auto" w:fill="auto"/>
            <w:noWrap/>
            <w:vAlign w:val="bottom"/>
            <w:hideMark/>
          </w:tcPr>
          <w:p w14:paraId="451191A8"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Face to face / telephone</w:t>
            </w:r>
          </w:p>
        </w:tc>
        <w:tc>
          <w:tcPr>
            <w:tcW w:w="2163" w:type="pct"/>
            <w:shd w:val="clear" w:color="auto" w:fill="auto"/>
            <w:noWrap/>
            <w:vAlign w:val="bottom"/>
            <w:hideMark/>
          </w:tcPr>
          <w:p w14:paraId="4E0DBEE2"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 xml:space="preserve">Copyright users/consumers representatives </w:t>
            </w:r>
          </w:p>
        </w:tc>
      </w:tr>
      <w:tr w:rsidR="004213AE" w:rsidRPr="00124E7F" w14:paraId="75E38ACF" w14:textId="77777777" w:rsidTr="001738A3">
        <w:tc>
          <w:tcPr>
            <w:tcW w:w="1371" w:type="pct"/>
            <w:shd w:val="clear" w:color="auto" w:fill="auto"/>
            <w:noWrap/>
            <w:vAlign w:val="bottom"/>
            <w:hideMark/>
          </w:tcPr>
          <w:p w14:paraId="1D3237E5"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Google</w:t>
            </w:r>
          </w:p>
        </w:tc>
        <w:tc>
          <w:tcPr>
            <w:tcW w:w="559" w:type="pct"/>
            <w:shd w:val="clear" w:color="auto" w:fill="auto"/>
            <w:noWrap/>
            <w:vAlign w:val="bottom"/>
            <w:hideMark/>
          </w:tcPr>
          <w:p w14:paraId="2A9704C4"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Sydney</w:t>
            </w:r>
          </w:p>
        </w:tc>
        <w:tc>
          <w:tcPr>
            <w:tcW w:w="907" w:type="pct"/>
            <w:shd w:val="clear" w:color="auto" w:fill="auto"/>
            <w:noWrap/>
            <w:vAlign w:val="bottom"/>
            <w:hideMark/>
          </w:tcPr>
          <w:p w14:paraId="7E9E9A62"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Face to face/ telephone</w:t>
            </w:r>
          </w:p>
        </w:tc>
        <w:tc>
          <w:tcPr>
            <w:tcW w:w="2163" w:type="pct"/>
            <w:shd w:val="clear" w:color="auto" w:fill="auto"/>
            <w:noWrap/>
            <w:vAlign w:val="bottom"/>
            <w:hideMark/>
          </w:tcPr>
          <w:p w14:paraId="259590DF"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Telecommunications/internet service providers or advocates</w:t>
            </w:r>
          </w:p>
        </w:tc>
      </w:tr>
      <w:tr w:rsidR="004213AE" w:rsidRPr="00124E7F" w14:paraId="4301EC5D" w14:textId="77777777" w:rsidTr="001738A3">
        <w:tc>
          <w:tcPr>
            <w:tcW w:w="1371" w:type="pct"/>
            <w:shd w:val="clear" w:color="auto" w:fill="auto"/>
            <w:noWrap/>
            <w:vAlign w:val="bottom"/>
            <w:hideMark/>
          </w:tcPr>
          <w:p w14:paraId="35511233"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Telstra</w:t>
            </w:r>
          </w:p>
        </w:tc>
        <w:tc>
          <w:tcPr>
            <w:tcW w:w="559" w:type="pct"/>
            <w:shd w:val="clear" w:color="auto" w:fill="auto"/>
            <w:noWrap/>
            <w:vAlign w:val="bottom"/>
            <w:hideMark/>
          </w:tcPr>
          <w:p w14:paraId="0233F0B1"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Sydney</w:t>
            </w:r>
          </w:p>
        </w:tc>
        <w:tc>
          <w:tcPr>
            <w:tcW w:w="907" w:type="pct"/>
            <w:shd w:val="clear" w:color="auto" w:fill="auto"/>
            <w:noWrap/>
            <w:vAlign w:val="bottom"/>
            <w:hideMark/>
          </w:tcPr>
          <w:p w14:paraId="1DA578B1"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Face to face</w:t>
            </w:r>
          </w:p>
        </w:tc>
        <w:tc>
          <w:tcPr>
            <w:tcW w:w="2163" w:type="pct"/>
            <w:shd w:val="clear" w:color="auto" w:fill="auto"/>
            <w:noWrap/>
            <w:vAlign w:val="bottom"/>
            <w:hideMark/>
          </w:tcPr>
          <w:p w14:paraId="7013CF3B"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Telecommunications/internet service providers or advocates</w:t>
            </w:r>
          </w:p>
        </w:tc>
      </w:tr>
      <w:tr w:rsidR="004213AE" w:rsidRPr="00124E7F" w14:paraId="4918C313" w14:textId="77777777" w:rsidTr="001738A3">
        <w:tc>
          <w:tcPr>
            <w:tcW w:w="1371" w:type="pct"/>
            <w:shd w:val="clear" w:color="auto" w:fill="auto"/>
            <w:noWrap/>
            <w:vAlign w:val="bottom"/>
            <w:hideMark/>
          </w:tcPr>
          <w:p w14:paraId="3BD59536"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Free TV Australia</w:t>
            </w:r>
          </w:p>
        </w:tc>
        <w:tc>
          <w:tcPr>
            <w:tcW w:w="559" w:type="pct"/>
            <w:shd w:val="clear" w:color="auto" w:fill="auto"/>
            <w:noWrap/>
            <w:vAlign w:val="bottom"/>
            <w:hideMark/>
          </w:tcPr>
          <w:p w14:paraId="0BCA01E7"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Sydney</w:t>
            </w:r>
          </w:p>
        </w:tc>
        <w:tc>
          <w:tcPr>
            <w:tcW w:w="907" w:type="pct"/>
            <w:shd w:val="clear" w:color="auto" w:fill="auto"/>
            <w:noWrap/>
            <w:vAlign w:val="bottom"/>
            <w:hideMark/>
          </w:tcPr>
          <w:p w14:paraId="5FB7A0C1"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Face to face</w:t>
            </w:r>
          </w:p>
        </w:tc>
        <w:tc>
          <w:tcPr>
            <w:tcW w:w="2163" w:type="pct"/>
            <w:shd w:val="clear" w:color="auto" w:fill="auto"/>
            <w:noWrap/>
            <w:vAlign w:val="bottom"/>
            <w:hideMark/>
          </w:tcPr>
          <w:p w14:paraId="229F01E7"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Telecommunications/internet service providers or advocates</w:t>
            </w:r>
          </w:p>
        </w:tc>
      </w:tr>
      <w:tr w:rsidR="004213AE" w:rsidRPr="00124E7F" w14:paraId="652DB6AF" w14:textId="77777777" w:rsidTr="001738A3">
        <w:tc>
          <w:tcPr>
            <w:tcW w:w="1371" w:type="pct"/>
            <w:shd w:val="clear" w:color="auto" w:fill="auto"/>
            <w:noWrap/>
            <w:vAlign w:val="bottom"/>
            <w:hideMark/>
          </w:tcPr>
          <w:p w14:paraId="560086AB"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Communications Alliance</w:t>
            </w:r>
          </w:p>
        </w:tc>
        <w:tc>
          <w:tcPr>
            <w:tcW w:w="559" w:type="pct"/>
            <w:shd w:val="clear" w:color="auto" w:fill="auto"/>
            <w:noWrap/>
            <w:vAlign w:val="bottom"/>
            <w:hideMark/>
          </w:tcPr>
          <w:p w14:paraId="6D3B34FF"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Sydney</w:t>
            </w:r>
          </w:p>
        </w:tc>
        <w:tc>
          <w:tcPr>
            <w:tcW w:w="907" w:type="pct"/>
            <w:shd w:val="clear" w:color="auto" w:fill="auto"/>
            <w:noWrap/>
            <w:vAlign w:val="bottom"/>
            <w:hideMark/>
          </w:tcPr>
          <w:p w14:paraId="136D038A"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Face to face</w:t>
            </w:r>
          </w:p>
        </w:tc>
        <w:tc>
          <w:tcPr>
            <w:tcW w:w="2163" w:type="pct"/>
            <w:shd w:val="clear" w:color="auto" w:fill="auto"/>
            <w:noWrap/>
            <w:vAlign w:val="bottom"/>
            <w:hideMark/>
          </w:tcPr>
          <w:p w14:paraId="582D83FF"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Telecommunications/internet service providers or advocates</w:t>
            </w:r>
          </w:p>
        </w:tc>
      </w:tr>
      <w:tr w:rsidR="004213AE" w:rsidRPr="00124E7F" w14:paraId="47A0A6F5" w14:textId="77777777" w:rsidTr="001738A3">
        <w:tc>
          <w:tcPr>
            <w:tcW w:w="1371" w:type="pct"/>
            <w:shd w:val="clear" w:color="auto" w:fill="auto"/>
            <w:noWrap/>
            <w:vAlign w:val="bottom"/>
            <w:hideMark/>
          </w:tcPr>
          <w:p w14:paraId="25C64ABE"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 xml:space="preserve">Commercial Radio </w:t>
            </w:r>
            <w:proofErr w:type="spellStart"/>
            <w:r w:rsidRPr="00202E68">
              <w:rPr>
                <w:rFonts w:cs="Calibri"/>
                <w:szCs w:val="22"/>
                <w:lang w:eastAsia="en-AU"/>
              </w:rPr>
              <w:t>Austraia</w:t>
            </w:r>
            <w:proofErr w:type="spellEnd"/>
          </w:p>
        </w:tc>
        <w:tc>
          <w:tcPr>
            <w:tcW w:w="559" w:type="pct"/>
            <w:shd w:val="clear" w:color="auto" w:fill="auto"/>
            <w:noWrap/>
            <w:vAlign w:val="bottom"/>
            <w:hideMark/>
          </w:tcPr>
          <w:p w14:paraId="432E1578"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Sydney</w:t>
            </w:r>
          </w:p>
        </w:tc>
        <w:tc>
          <w:tcPr>
            <w:tcW w:w="907" w:type="pct"/>
            <w:shd w:val="clear" w:color="auto" w:fill="auto"/>
            <w:noWrap/>
            <w:vAlign w:val="bottom"/>
            <w:hideMark/>
          </w:tcPr>
          <w:p w14:paraId="59FA6A25"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Face to face</w:t>
            </w:r>
          </w:p>
        </w:tc>
        <w:tc>
          <w:tcPr>
            <w:tcW w:w="2163" w:type="pct"/>
            <w:shd w:val="clear" w:color="auto" w:fill="auto"/>
            <w:noWrap/>
            <w:vAlign w:val="bottom"/>
            <w:hideMark/>
          </w:tcPr>
          <w:p w14:paraId="76C6E734"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Telecommunications/internet service providers or advocates</w:t>
            </w:r>
          </w:p>
        </w:tc>
      </w:tr>
      <w:tr w:rsidR="004213AE" w:rsidRPr="00124E7F" w14:paraId="751E357D" w14:textId="77777777" w:rsidTr="001738A3">
        <w:tc>
          <w:tcPr>
            <w:tcW w:w="1371" w:type="pct"/>
            <w:shd w:val="clear" w:color="auto" w:fill="auto"/>
            <w:noWrap/>
            <w:vAlign w:val="bottom"/>
            <w:hideMark/>
          </w:tcPr>
          <w:p w14:paraId="7931E296"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Department of Education</w:t>
            </w:r>
          </w:p>
        </w:tc>
        <w:tc>
          <w:tcPr>
            <w:tcW w:w="559" w:type="pct"/>
            <w:shd w:val="clear" w:color="auto" w:fill="auto"/>
            <w:noWrap/>
            <w:vAlign w:val="bottom"/>
            <w:hideMark/>
          </w:tcPr>
          <w:p w14:paraId="09CE8FAE"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Canberra</w:t>
            </w:r>
          </w:p>
        </w:tc>
        <w:tc>
          <w:tcPr>
            <w:tcW w:w="907" w:type="pct"/>
            <w:shd w:val="clear" w:color="auto" w:fill="auto"/>
            <w:noWrap/>
            <w:vAlign w:val="bottom"/>
            <w:hideMark/>
          </w:tcPr>
          <w:p w14:paraId="546AAB00"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Face to face / telephone</w:t>
            </w:r>
          </w:p>
        </w:tc>
        <w:tc>
          <w:tcPr>
            <w:tcW w:w="2163" w:type="pct"/>
            <w:shd w:val="clear" w:color="auto" w:fill="auto"/>
            <w:noWrap/>
            <w:vAlign w:val="bottom"/>
            <w:hideMark/>
          </w:tcPr>
          <w:p w14:paraId="1B2EFFF6"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Government</w:t>
            </w:r>
          </w:p>
        </w:tc>
      </w:tr>
      <w:tr w:rsidR="004213AE" w:rsidRPr="00124E7F" w14:paraId="460413A8" w14:textId="77777777" w:rsidTr="001738A3">
        <w:tc>
          <w:tcPr>
            <w:tcW w:w="1371" w:type="pct"/>
            <w:shd w:val="clear" w:color="auto" w:fill="auto"/>
            <w:noWrap/>
            <w:vAlign w:val="bottom"/>
            <w:hideMark/>
          </w:tcPr>
          <w:p w14:paraId="22F6F44C"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Ministry for the Arts</w:t>
            </w:r>
          </w:p>
        </w:tc>
        <w:tc>
          <w:tcPr>
            <w:tcW w:w="559" w:type="pct"/>
            <w:shd w:val="clear" w:color="auto" w:fill="auto"/>
            <w:noWrap/>
            <w:vAlign w:val="bottom"/>
            <w:hideMark/>
          </w:tcPr>
          <w:p w14:paraId="7706D30F"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Canberra</w:t>
            </w:r>
          </w:p>
        </w:tc>
        <w:tc>
          <w:tcPr>
            <w:tcW w:w="907" w:type="pct"/>
            <w:shd w:val="clear" w:color="auto" w:fill="auto"/>
            <w:noWrap/>
            <w:vAlign w:val="bottom"/>
            <w:hideMark/>
          </w:tcPr>
          <w:p w14:paraId="5BDBE347"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Face to face / telephone</w:t>
            </w:r>
          </w:p>
        </w:tc>
        <w:tc>
          <w:tcPr>
            <w:tcW w:w="2163" w:type="pct"/>
            <w:shd w:val="clear" w:color="auto" w:fill="auto"/>
            <w:noWrap/>
            <w:vAlign w:val="bottom"/>
            <w:hideMark/>
          </w:tcPr>
          <w:p w14:paraId="1DAB0C50"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Government</w:t>
            </w:r>
          </w:p>
        </w:tc>
      </w:tr>
      <w:tr w:rsidR="004213AE" w:rsidRPr="00124E7F" w14:paraId="160FBCE1" w14:textId="77777777" w:rsidTr="001738A3">
        <w:tc>
          <w:tcPr>
            <w:tcW w:w="1371" w:type="pct"/>
            <w:shd w:val="clear" w:color="auto" w:fill="auto"/>
            <w:noWrap/>
            <w:vAlign w:val="bottom"/>
            <w:hideMark/>
          </w:tcPr>
          <w:p w14:paraId="2572EF85"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ACCC</w:t>
            </w:r>
          </w:p>
        </w:tc>
        <w:tc>
          <w:tcPr>
            <w:tcW w:w="559" w:type="pct"/>
            <w:shd w:val="clear" w:color="auto" w:fill="auto"/>
            <w:noWrap/>
            <w:vAlign w:val="bottom"/>
            <w:hideMark/>
          </w:tcPr>
          <w:p w14:paraId="455B92D7"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Melbourne</w:t>
            </w:r>
          </w:p>
        </w:tc>
        <w:tc>
          <w:tcPr>
            <w:tcW w:w="907" w:type="pct"/>
            <w:shd w:val="clear" w:color="auto" w:fill="auto"/>
            <w:noWrap/>
            <w:vAlign w:val="bottom"/>
            <w:hideMark/>
          </w:tcPr>
          <w:p w14:paraId="651D0D8E"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Face to face / telephone</w:t>
            </w:r>
          </w:p>
        </w:tc>
        <w:tc>
          <w:tcPr>
            <w:tcW w:w="2163" w:type="pct"/>
            <w:shd w:val="clear" w:color="auto" w:fill="auto"/>
            <w:noWrap/>
            <w:vAlign w:val="bottom"/>
            <w:hideMark/>
          </w:tcPr>
          <w:p w14:paraId="269DFD6B"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Government</w:t>
            </w:r>
          </w:p>
        </w:tc>
      </w:tr>
      <w:tr w:rsidR="004213AE" w:rsidRPr="00124E7F" w14:paraId="7E77DF0F" w14:textId="77777777" w:rsidTr="001738A3">
        <w:tc>
          <w:tcPr>
            <w:tcW w:w="1371" w:type="pct"/>
            <w:shd w:val="clear" w:color="auto" w:fill="auto"/>
            <w:noWrap/>
            <w:vAlign w:val="bottom"/>
            <w:hideMark/>
          </w:tcPr>
          <w:p w14:paraId="74CDB065"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 xml:space="preserve">K </w:t>
            </w:r>
            <w:proofErr w:type="spellStart"/>
            <w:r w:rsidRPr="00202E68">
              <w:rPr>
                <w:rFonts w:cs="Calibri"/>
                <w:szCs w:val="22"/>
                <w:lang w:eastAsia="en-AU"/>
              </w:rPr>
              <w:t>Weatherall</w:t>
            </w:r>
            <w:proofErr w:type="spellEnd"/>
          </w:p>
        </w:tc>
        <w:tc>
          <w:tcPr>
            <w:tcW w:w="559" w:type="pct"/>
            <w:shd w:val="clear" w:color="auto" w:fill="auto"/>
            <w:noWrap/>
            <w:vAlign w:val="bottom"/>
            <w:hideMark/>
          </w:tcPr>
          <w:p w14:paraId="11F4F66D"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Sydney</w:t>
            </w:r>
          </w:p>
        </w:tc>
        <w:tc>
          <w:tcPr>
            <w:tcW w:w="907" w:type="pct"/>
            <w:shd w:val="clear" w:color="auto" w:fill="auto"/>
            <w:noWrap/>
            <w:vAlign w:val="bottom"/>
            <w:hideMark/>
          </w:tcPr>
          <w:p w14:paraId="7D9E5E14"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Face to face</w:t>
            </w:r>
          </w:p>
        </w:tc>
        <w:tc>
          <w:tcPr>
            <w:tcW w:w="2163" w:type="pct"/>
            <w:shd w:val="clear" w:color="auto" w:fill="auto"/>
            <w:noWrap/>
            <w:vAlign w:val="bottom"/>
            <w:hideMark/>
          </w:tcPr>
          <w:p w14:paraId="3F8C2518"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Other</w:t>
            </w:r>
          </w:p>
        </w:tc>
      </w:tr>
      <w:tr w:rsidR="004213AE" w:rsidRPr="00124E7F" w14:paraId="0649967D" w14:textId="77777777" w:rsidTr="001738A3">
        <w:tc>
          <w:tcPr>
            <w:tcW w:w="1371" w:type="pct"/>
            <w:tcBorders>
              <w:bottom w:val="single" w:sz="4" w:space="0" w:color="808080" w:themeColor="background1" w:themeShade="80"/>
            </w:tcBorders>
            <w:shd w:val="clear" w:color="auto" w:fill="auto"/>
            <w:noWrap/>
            <w:vAlign w:val="bottom"/>
            <w:hideMark/>
          </w:tcPr>
          <w:p w14:paraId="57B53E61"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Cyberspace Law &amp; Policy Centre</w:t>
            </w:r>
          </w:p>
        </w:tc>
        <w:tc>
          <w:tcPr>
            <w:tcW w:w="559" w:type="pct"/>
            <w:tcBorders>
              <w:bottom w:val="single" w:sz="4" w:space="0" w:color="808080" w:themeColor="background1" w:themeShade="80"/>
            </w:tcBorders>
            <w:shd w:val="clear" w:color="auto" w:fill="auto"/>
            <w:noWrap/>
            <w:vAlign w:val="bottom"/>
            <w:hideMark/>
          </w:tcPr>
          <w:p w14:paraId="5F26F9DC"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Sydney</w:t>
            </w:r>
          </w:p>
        </w:tc>
        <w:tc>
          <w:tcPr>
            <w:tcW w:w="907" w:type="pct"/>
            <w:tcBorders>
              <w:bottom w:val="single" w:sz="4" w:space="0" w:color="808080" w:themeColor="background1" w:themeShade="80"/>
            </w:tcBorders>
            <w:shd w:val="clear" w:color="auto" w:fill="auto"/>
            <w:noWrap/>
            <w:vAlign w:val="bottom"/>
            <w:hideMark/>
          </w:tcPr>
          <w:p w14:paraId="754C58F7"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Face to face</w:t>
            </w:r>
          </w:p>
        </w:tc>
        <w:tc>
          <w:tcPr>
            <w:tcW w:w="2163" w:type="pct"/>
            <w:tcBorders>
              <w:bottom w:val="single" w:sz="4" w:space="0" w:color="808080" w:themeColor="background1" w:themeShade="80"/>
            </w:tcBorders>
            <w:shd w:val="clear" w:color="auto" w:fill="auto"/>
            <w:noWrap/>
            <w:vAlign w:val="bottom"/>
            <w:hideMark/>
          </w:tcPr>
          <w:p w14:paraId="0CFDF917"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Other</w:t>
            </w:r>
          </w:p>
        </w:tc>
      </w:tr>
      <w:tr w:rsidR="004213AE" w:rsidRPr="00124E7F" w14:paraId="27CF8FA0" w14:textId="77777777" w:rsidTr="001738A3">
        <w:tc>
          <w:tcPr>
            <w:tcW w:w="1371" w:type="pct"/>
            <w:tcBorders>
              <w:top w:val="single" w:sz="4" w:space="0" w:color="808080" w:themeColor="background1" w:themeShade="80"/>
              <w:bottom w:val="single" w:sz="4" w:space="0" w:color="808080" w:themeColor="background1" w:themeShade="80"/>
            </w:tcBorders>
            <w:shd w:val="clear" w:color="auto" w:fill="auto"/>
            <w:noWrap/>
            <w:vAlign w:val="bottom"/>
            <w:hideMark/>
          </w:tcPr>
          <w:p w14:paraId="501EF68D"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Law Council of Australia</w:t>
            </w:r>
          </w:p>
        </w:tc>
        <w:tc>
          <w:tcPr>
            <w:tcW w:w="559" w:type="pct"/>
            <w:tcBorders>
              <w:top w:val="single" w:sz="4" w:space="0" w:color="808080" w:themeColor="background1" w:themeShade="80"/>
              <w:bottom w:val="single" w:sz="4" w:space="0" w:color="808080" w:themeColor="background1" w:themeShade="80"/>
            </w:tcBorders>
            <w:shd w:val="clear" w:color="auto" w:fill="auto"/>
            <w:noWrap/>
            <w:vAlign w:val="bottom"/>
            <w:hideMark/>
          </w:tcPr>
          <w:p w14:paraId="4EE56174"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Canberra</w:t>
            </w:r>
          </w:p>
        </w:tc>
        <w:tc>
          <w:tcPr>
            <w:tcW w:w="907" w:type="pct"/>
            <w:tcBorders>
              <w:top w:val="single" w:sz="4" w:space="0" w:color="808080" w:themeColor="background1" w:themeShade="80"/>
              <w:bottom w:val="single" w:sz="4" w:space="0" w:color="808080" w:themeColor="background1" w:themeShade="80"/>
            </w:tcBorders>
            <w:shd w:val="clear" w:color="auto" w:fill="auto"/>
            <w:noWrap/>
            <w:vAlign w:val="bottom"/>
            <w:hideMark/>
          </w:tcPr>
          <w:p w14:paraId="50D87E00"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Face to face / telephone</w:t>
            </w:r>
          </w:p>
        </w:tc>
        <w:tc>
          <w:tcPr>
            <w:tcW w:w="2163" w:type="pct"/>
            <w:tcBorders>
              <w:top w:val="single" w:sz="4" w:space="0" w:color="808080" w:themeColor="background1" w:themeShade="80"/>
              <w:bottom w:val="single" w:sz="4" w:space="0" w:color="808080" w:themeColor="background1" w:themeShade="80"/>
            </w:tcBorders>
            <w:shd w:val="clear" w:color="auto" w:fill="auto"/>
            <w:noWrap/>
            <w:vAlign w:val="bottom"/>
            <w:hideMark/>
          </w:tcPr>
          <w:p w14:paraId="1C669E31" w14:textId="77777777" w:rsidR="001738A3" w:rsidRPr="00202E68" w:rsidRDefault="001738A3" w:rsidP="001738A3">
            <w:pPr>
              <w:widowControl/>
              <w:autoSpaceDE/>
              <w:autoSpaceDN/>
              <w:adjustRightInd/>
              <w:spacing w:before="20" w:after="20"/>
              <w:rPr>
                <w:rFonts w:cs="Calibri"/>
                <w:szCs w:val="22"/>
                <w:lang w:eastAsia="en-AU"/>
              </w:rPr>
            </w:pPr>
            <w:r w:rsidRPr="00202E68">
              <w:rPr>
                <w:rFonts w:cs="Calibri"/>
                <w:szCs w:val="22"/>
                <w:lang w:eastAsia="en-AU"/>
              </w:rPr>
              <w:t>Other</w:t>
            </w:r>
          </w:p>
        </w:tc>
      </w:tr>
    </w:tbl>
    <w:p w14:paraId="60C5AE16" w14:textId="77777777" w:rsidR="001738A3" w:rsidRPr="00124E7F" w:rsidRDefault="001738A3" w:rsidP="00B264BF">
      <w:pPr>
        <w:sectPr w:rsidR="001738A3" w:rsidRPr="00124E7F" w:rsidSect="003B7373">
          <w:footerReference w:type="default" r:id="rId82"/>
          <w:pgSz w:w="16834" w:h="11909" w:orient="landscape" w:code="9"/>
          <w:pgMar w:top="1134" w:right="1134" w:bottom="1134" w:left="1440" w:header="720" w:footer="425" w:gutter="0"/>
          <w:cols w:space="720"/>
          <w:docGrid w:linePitch="360"/>
        </w:sectPr>
      </w:pPr>
    </w:p>
    <w:p w14:paraId="01B78312" w14:textId="77777777" w:rsidR="004538AD" w:rsidRPr="00AC60E0" w:rsidRDefault="004538AD" w:rsidP="001E1D77">
      <w:pPr>
        <w:spacing w:line="240" w:lineRule="auto"/>
        <w:ind w:right="2933"/>
      </w:pPr>
      <w:r w:rsidRPr="00AC60E0">
        <w:rPr>
          <w:b/>
        </w:rPr>
        <w:t>EY</w:t>
      </w:r>
      <w:r w:rsidRPr="00AC60E0">
        <w:t xml:space="preserve"> | Assurance | Tax | Transactions | Advisory</w:t>
      </w:r>
    </w:p>
    <w:p w14:paraId="782BFDE9" w14:textId="77777777" w:rsidR="004538AD" w:rsidRPr="00AC60E0" w:rsidRDefault="004538AD" w:rsidP="001E1D77">
      <w:pPr>
        <w:spacing w:line="240" w:lineRule="auto"/>
        <w:ind w:right="2933"/>
      </w:pPr>
    </w:p>
    <w:p w14:paraId="4AB8D293" w14:textId="77777777" w:rsidR="004538AD" w:rsidRPr="00AC60E0" w:rsidRDefault="004538AD" w:rsidP="001E1D77">
      <w:pPr>
        <w:spacing w:line="240" w:lineRule="auto"/>
        <w:ind w:right="2933"/>
      </w:pPr>
      <w:r w:rsidRPr="00AC60E0">
        <w:t>About EY</w:t>
      </w:r>
    </w:p>
    <w:p w14:paraId="2F7336C8" w14:textId="77777777" w:rsidR="004538AD" w:rsidRPr="00AC60E0" w:rsidRDefault="004538AD" w:rsidP="001E1D77">
      <w:pPr>
        <w:spacing w:after="105" w:line="240" w:lineRule="auto"/>
        <w:ind w:right="2933"/>
        <w:rPr>
          <w:rFonts w:cs="Arial"/>
          <w:sz w:val="16"/>
        </w:rPr>
      </w:pPr>
      <w:r w:rsidRPr="00AC60E0">
        <w:rPr>
          <w:rFonts w:cs="Arial"/>
          <w:sz w:val="16"/>
        </w:rPr>
        <w:t>EY is a global leader in assurance, tax, transaction and advisory services. The insights and quality services we deliver help build trust and confidence in the capital markets and in economies the world over. We develop outstanding leaders who team to deliver on our promises to all of our stakeholders. In so doing, we play a critical role in building a better working world for our people, for our clients and for our communities.</w:t>
      </w:r>
    </w:p>
    <w:p w14:paraId="72096747" w14:textId="77777777" w:rsidR="004538AD" w:rsidRPr="00AC60E0" w:rsidRDefault="004538AD" w:rsidP="001E1D77">
      <w:pPr>
        <w:spacing w:after="105" w:line="240" w:lineRule="auto"/>
        <w:ind w:right="2933"/>
        <w:rPr>
          <w:rFonts w:cs="Arial"/>
          <w:sz w:val="16"/>
        </w:rPr>
      </w:pPr>
      <w:r w:rsidRPr="00AC60E0">
        <w:rPr>
          <w:rFonts w:cs="Arial"/>
          <w:sz w:val="16"/>
        </w:rPr>
        <w:t>EY refers to the global organisation and may refer to one or more of the member firms of Ernst &amp; Young Global Limited, each of which is a separate legal entity. Ernst &amp; Young Global Limited, a UK company limited by guarantee, does not provide services to clients. For more information about our organisation, please visit ey.com.</w:t>
      </w:r>
    </w:p>
    <w:p w14:paraId="6DCBF9B7" w14:textId="77777777" w:rsidR="004538AD" w:rsidRPr="00AC60E0" w:rsidRDefault="004538AD" w:rsidP="001E1D77">
      <w:pPr>
        <w:spacing w:after="105" w:line="240" w:lineRule="auto"/>
        <w:ind w:right="2933"/>
        <w:rPr>
          <w:rFonts w:cs="Arial"/>
          <w:sz w:val="16"/>
        </w:rPr>
      </w:pPr>
      <w:r w:rsidRPr="00AC60E0">
        <w:rPr>
          <w:rFonts w:cs="Arial"/>
          <w:sz w:val="16"/>
        </w:rPr>
        <w:t>© 2016 Ernst &amp; Young, Australia</w:t>
      </w:r>
      <w:r w:rsidRPr="00AC60E0">
        <w:rPr>
          <w:rFonts w:cs="Arial"/>
          <w:sz w:val="16"/>
        </w:rPr>
        <w:br/>
        <w:t>All Rights Reserved.</w:t>
      </w:r>
    </w:p>
    <w:p w14:paraId="4537C31D" w14:textId="77777777" w:rsidR="004538AD" w:rsidRPr="00AC60E0" w:rsidRDefault="004538AD" w:rsidP="001E1D77">
      <w:pPr>
        <w:spacing w:line="240" w:lineRule="auto"/>
        <w:ind w:right="2933"/>
      </w:pPr>
      <w:r w:rsidRPr="00AC60E0">
        <w:t>ey.com</w:t>
      </w:r>
    </w:p>
    <w:p w14:paraId="1AB46E57" w14:textId="77E40598" w:rsidR="003D1199" w:rsidRPr="004213AE" w:rsidRDefault="003D1199" w:rsidP="001E1D77">
      <w:pPr>
        <w:ind w:right="2933"/>
      </w:pPr>
    </w:p>
    <w:sectPr w:rsidR="003D1199" w:rsidRPr="004213AE" w:rsidSect="00173BC9">
      <w:headerReference w:type="default" r:id="rId83"/>
      <w:footerReference w:type="default" r:id="rId84"/>
      <w:pgSz w:w="11909" w:h="16834"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9BE9CE" w14:textId="2517C67E" w:rsidR="00730D0C" w:rsidRDefault="00730D0C">
      <w:r>
        <w:separator/>
      </w:r>
    </w:p>
    <w:p w14:paraId="7D6564B7" w14:textId="77777777" w:rsidR="00730D0C" w:rsidRDefault="00730D0C"/>
  </w:endnote>
  <w:endnote w:type="continuationSeparator" w:id="0">
    <w:p w14:paraId="09E0168A" w14:textId="1C268593" w:rsidR="00730D0C" w:rsidRDefault="00730D0C">
      <w:r>
        <w:continuationSeparator/>
      </w:r>
      <w:bookmarkStart w:id="0" w:name="_GoBack"/>
      <w:bookmarkEnd w:id="0"/>
    </w:p>
    <w:p w14:paraId="74CD6DB1" w14:textId="77777777" w:rsidR="00730D0C" w:rsidRDefault="00730D0C"/>
  </w:endnote>
  <w:endnote w:type="continuationNotice" w:id="1">
    <w:p w14:paraId="07C48DF5" w14:textId="77777777" w:rsidR="00730D0C" w:rsidRDefault="00730D0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EYInterstate">
    <w:altName w:val="Corbel"/>
    <w:charset w:val="00"/>
    <w:family w:val="auto"/>
    <w:pitch w:val="variable"/>
    <w:sig w:usb0="800002AF" w:usb1="5000204A"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EYInterstate Light">
    <w:altName w:val="Franklin Gothic Medium Cond"/>
    <w:charset w:val="00"/>
    <w:family w:val="auto"/>
    <w:pitch w:val="variable"/>
    <w:sig w:usb0="A00002AF" w:usb1="5000206A"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EYInterstate Regular">
    <w:altName w:val="Corbel"/>
    <w:charset w:val="00"/>
    <w:family w:val="auto"/>
    <w:pitch w:val="variable"/>
    <w:sig w:usb0="00000001" w:usb1="5000206A" w:usb2="00000000" w:usb3="00000000" w:csb0="0000009F" w:csb1="00000000"/>
  </w:font>
  <w:font w:name="Tahoma">
    <w:panose1 w:val="020B0604030504040204"/>
    <w:charset w:val="00"/>
    <w:family w:val="swiss"/>
    <w:pitch w:val="variable"/>
    <w:sig w:usb0="E1002EFF" w:usb1="C000605B" w:usb2="00000029" w:usb3="00000000" w:csb0="000101FF" w:csb1="00000000"/>
  </w:font>
  <w:font w:name="EYInterstate-Regular">
    <w:altName w:val="EYInterstate Regular"/>
    <w:panose1 w:val="00000000000000000000"/>
    <w:charset w:val="4D"/>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EYInterstate-Light">
    <w:altName w:val="EYInterstate Light"/>
    <w:panose1 w:val="00000000000000000000"/>
    <w:charset w:val="4D"/>
    <w:family w:val="auto"/>
    <w:notTrueType/>
    <w:pitch w:val="default"/>
    <w:sig w:usb0="00000003" w:usb1="00000000" w:usb2="00000000" w:usb3="00000000" w:csb0="00000001" w:csb1="00000000"/>
  </w:font>
  <w:font w:name="EYInterstate-LightItalic">
    <w:altName w:val="EYInterstate Light Italic"/>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ItalicMT">
    <w:altName w:val="Times New Roman"/>
    <w:panose1 w:val="00000000000000000000"/>
    <w:charset w:val="B1"/>
    <w:family w:val="auto"/>
    <w:notTrueType/>
    <w:pitch w:val="default"/>
    <w:sig w:usb0="00000801" w:usb1="00000000" w:usb2="00000000" w:usb3="00000000" w:csb0="00000020" w:csb1="00000000"/>
  </w:font>
  <w:font w:name="ArialMT">
    <w:altName w:val="Times New Roman"/>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3AD4F" w14:textId="77777777" w:rsidR="00730D0C" w:rsidRPr="00692790" w:rsidRDefault="00730D0C" w:rsidP="00692790">
    <w:pPr>
      <w:pStyle w:val="Footer"/>
      <w:spacing w:line="240" w:lineRule="auto"/>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Look w:val="0000" w:firstRow="0" w:lastRow="0" w:firstColumn="0" w:lastColumn="0" w:noHBand="0" w:noVBand="0"/>
    </w:tblPr>
    <w:tblGrid>
      <w:gridCol w:w="7371"/>
      <w:gridCol w:w="1658"/>
    </w:tblGrid>
    <w:tr w:rsidR="00730D0C" w:rsidRPr="00692790" w14:paraId="1F07540A" w14:textId="77777777" w:rsidTr="000061D4">
      <w:trPr>
        <w:trHeight w:val="187"/>
        <w:jc w:val="right"/>
      </w:trPr>
      <w:tc>
        <w:tcPr>
          <w:tcW w:w="7460" w:type="dxa"/>
        </w:tcPr>
        <w:p w14:paraId="14F9F1DE" w14:textId="77777777" w:rsidR="00730D0C" w:rsidRPr="00692790" w:rsidRDefault="00730D0C" w:rsidP="00692790">
          <w:pPr>
            <w:tabs>
              <w:tab w:val="center" w:pos="4320"/>
              <w:tab w:val="right" w:pos="8640"/>
            </w:tabs>
            <w:spacing w:line="240" w:lineRule="auto"/>
            <w:rPr>
              <w:sz w:val="16"/>
              <w:szCs w:val="16"/>
              <w:lang w:val="en-US"/>
            </w:rPr>
          </w:pPr>
          <w:r w:rsidRPr="00692790">
            <w:rPr>
              <w:sz w:val="16"/>
              <w:szCs w:val="24"/>
              <w:lang w:val="en-US"/>
            </w:rPr>
            <w:t xml:space="preserve">Cost benefit analysis of changes to the </w:t>
          </w:r>
          <w:r w:rsidRPr="00692790">
            <w:rPr>
              <w:i/>
              <w:sz w:val="16"/>
              <w:szCs w:val="24"/>
              <w:lang w:val="en-US"/>
            </w:rPr>
            <w:t>Copyright Act 1968</w:t>
          </w:r>
        </w:p>
      </w:tc>
      <w:tc>
        <w:tcPr>
          <w:tcW w:w="1677" w:type="dxa"/>
        </w:tcPr>
        <w:p w14:paraId="53C09B01" w14:textId="77777777" w:rsidR="00730D0C" w:rsidRPr="00692790" w:rsidRDefault="00730D0C" w:rsidP="00692790">
          <w:pPr>
            <w:tabs>
              <w:tab w:val="center" w:pos="4320"/>
              <w:tab w:val="right" w:pos="8640"/>
            </w:tabs>
            <w:spacing w:line="240" w:lineRule="auto"/>
            <w:rPr>
              <w:sz w:val="16"/>
              <w:szCs w:val="16"/>
              <w:lang w:val="en-US"/>
            </w:rPr>
          </w:pPr>
        </w:p>
      </w:tc>
    </w:tr>
    <w:tr w:rsidR="00730D0C" w:rsidRPr="00692790" w14:paraId="3CA567D3" w14:textId="77777777" w:rsidTr="000061D4">
      <w:trPr>
        <w:trHeight w:val="187"/>
        <w:jc w:val="right"/>
      </w:trPr>
      <w:tc>
        <w:tcPr>
          <w:tcW w:w="7460" w:type="dxa"/>
        </w:tcPr>
        <w:p w14:paraId="772FB72E" w14:textId="77777777" w:rsidR="00730D0C" w:rsidRPr="00692790" w:rsidRDefault="00730D0C" w:rsidP="00692790">
          <w:pPr>
            <w:tabs>
              <w:tab w:val="center" w:pos="4320"/>
              <w:tab w:val="right" w:pos="8640"/>
            </w:tabs>
            <w:spacing w:line="240" w:lineRule="auto"/>
            <w:rPr>
              <w:sz w:val="16"/>
              <w:szCs w:val="16"/>
              <w:lang w:val="en-US"/>
            </w:rPr>
          </w:pPr>
          <w:r w:rsidRPr="00692790">
            <w:rPr>
              <w:sz w:val="16"/>
              <w:szCs w:val="16"/>
              <w:lang w:val="en-US"/>
            </w:rPr>
            <w:t>Department of Communications and the Arts</w:t>
          </w:r>
        </w:p>
      </w:tc>
      <w:tc>
        <w:tcPr>
          <w:tcW w:w="1677" w:type="dxa"/>
        </w:tcPr>
        <w:p w14:paraId="7C935EB6" w14:textId="77777777" w:rsidR="00730D0C" w:rsidRPr="00692790" w:rsidRDefault="00730D0C" w:rsidP="008510F7">
          <w:pPr>
            <w:tabs>
              <w:tab w:val="center" w:pos="4320"/>
              <w:tab w:val="right" w:pos="8640"/>
            </w:tabs>
            <w:spacing w:line="240" w:lineRule="auto"/>
            <w:jc w:val="right"/>
            <w:rPr>
              <w:sz w:val="16"/>
              <w:szCs w:val="16"/>
              <w:lang w:val="en-US"/>
            </w:rPr>
          </w:pPr>
          <w:r w:rsidRPr="00692790">
            <w:rPr>
              <w:sz w:val="16"/>
              <w:szCs w:val="16"/>
              <w:lang w:val="en-US"/>
            </w:rPr>
            <w:t xml:space="preserve">EY </w:t>
          </w:r>
          <w:r w:rsidRPr="00692790">
            <w:rPr>
              <w:sz w:val="16"/>
              <w:szCs w:val="16"/>
              <w:lang w:val="en-US"/>
            </w:rPr>
            <w:sym w:font="Symbol" w:char="F0F7"/>
          </w:r>
          <w:r w:rsidRPr="00692790">
            <w:rPr>
              <w:sz w:val="16"/>
              <w:szCs w:val="16"/>
              <w:lang w:val="en-US"/>
            </w:rPr>
            <w:t xml:space="preserve">  </w:t>
          </w:r>
          <w:r w:rsidRPr="008510F7">
            <w:rPr>
              <w:sz w:val="16"/>
              <w:szCs w:val="16"/>
              <w:lang w:val="en-US"/>
            </w:rPr>
            <w:fldChar w:fldCharType="begin"/>
          </w:r>
          <w:r w:rsidRPr="008510F7">
            <w:rPr>
              <w:sz w:val="16"/>
              <w:szCs w:val="16"/>
              <w:lang w:val="en-US"/>
            </w:rPr>
            <w:instrText xml:space="preserve"> PAGE   \* MERGEFORMAT </w:instrText>
          </w:r>
          <w:r w:rsidRPr="008510F7">
            <w:rPr>
              <w:sz w:val="16"/>
              <w:szCs w:val="16"/>
              <w:lang w:val="en-US"/>
            </w:rPr>
            <w:fldChar w:fldCharType="separate"/>
          </w:r>
          <w:r w:rsidR="0075700D" w:rsidRPr="0075700D">
            <w:rPr>
              <w:noProof/>
              <w:sz w:val="16"/>
              <w:lang w:val="en-US"/>
            </w:rPr>
            <w:t>i</w:t>
          </w:r>
          <w:r w:rsidRPr="008510F7">
            <w:rPr>
              <w:noProof/>
              <w:sz w:val="16"/>
              <w:szCs w:val="16"/>
              <w:lang w:val="en-US"/>
            </w:rPr>
            <w:fldChar w:fldCharType="end"/>
          </w:r>
        </w:p>
      </w:tc>
    </w:tr>
  </w:tbl>
  <w:p w14:paraId="308CDF4C" w14:textId="77777777" w:rsidR="00730D0C" w:rsidRPr="00692790" w:rsidRDefault="00730D0C" w:rsidP="00692790">
    <w:pPr>
      <w:pStyle w:val="Footer"/>
      <w:spacing w:line="240" w:lineRule="auto"/>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Look w:val="0000" w:firstRow="0" w:lastRow="0" w:firstColumn="0" w:lastColumn="0" w:noHBand="0" w:noVBand="0"/>
    </w:tblPr>
    <w:tblGrid>
      <w:gridCol w:w="7371"/>
      <w:gridCol w:w="1658"/>
    </w:tblGrid>
    <w:tr w:rsidR="00730D0C" w:rsidRPr="00692790" w14:paraId="514AA4CA" w14:textId="77777777" w:rsidTr="000061D4">
      <w:trPr>
        <w:trHeight w:val="187"/>
        <w:jc w:val="right"/>
      </w:trPr>
      <w:tc>
        <w:tcPr>
          <w:tcW w:w="7460" w:type="dxa"/>
        </w:tcPr>
        <w:p w14:paraId="0E2075E5" w14:textId="77777777" w:rsidR="00730D0C" w:rsidRPr="00692790" w:rsidRDefault="00730D0C" w:rsidP="008510F7">
          <w:pPr>
            <w:tabs>
              <w:tab w:val="center" w:pos="4320"/>
              <w:tab w:val="right" w:pos="8640"/>
            </w:tabs>
            <w:spacing w:line="240" w:lineRule="auto"/>
            <w:rPr>
              <w:sz w:val="16"/>
              <w:szCs w:val="16"/>
              <w:lang w:val="en-US"/>
            </w:rPr>
          </w:pPr>
          <w:r w:rsidRPr="00692790">
            <w:rPr>
              <w:sz w:val="16"/>
              <w:szCs w:val="24"/>
              <w:lang w:val="en-US"/>
            </w:rPr>
            <w:t xml:space="preserve">Cost benefit analysis of changes to the </w:t>
          </w:r>
          <w:r w:rsidRPr="00692790">
            <w:rPr>
              <w:i/>
              <w:sz w:val="16"/>
              <w:szCs w:val="24"/>
              <w:lang w:val="en-US"/>
            </w:rPr>
            <w:t>Copyright Act 1968</w:t>
          </w:r>
        </w:p>
      </w:tc>
      <w:tc>
        <w:tcPr>
          <w:tcW w:w="1677" w:type="dxa"/>
        </w:tcPr>
        <w:p w14:paraId="0E57970E" w14:textId="77777777" w:rsidR="00730D0C" w:rsidRPr="00692790" w:rsidRDefault="00730D0C" w:rsidP="008510F7">
          <w:pPr>
            <w:tabs>
              <w:tab w:val="center" w:pos="4320"/>
              <w:tab w:val="right" w:pos="8640"/>
            </w:tabs>
            <w:spacing w:line="240" w:lineRule="auto"/>
            <w:rPr>
              <w:sz w:val="16"/>
              <w:szCs w:val="16"/>
              <w:lang w:val="en-US"/>
            </w:rPr>
          </w:pPr>
        </w:p>
      </w:tc>
    </w:tr>
    <w:tr w:rsidR="00730D0C" w:rsidRPr="00692790" w14:paraId="213369EA" w14:textId="77777777" w:rsidTr="000061D4">
      <w:trPr>
        <w:trHeight w:val="187"/>
        <w:jc w:val="right"/>
      </w:trPr>
      <w:tc>
        <w:tcPr>
          <w:tcW w:w="7460" w:type="dxa"/>
        </w:tcPr>
        <w:p w14:paraId="37A0B5C5" w14:textId="77777777" w:rsidR="00730D0C" w:rsidRPr="00692790" w:rsidRDefault="00730D0C" w:rsidP="008510F7">
          <w:pPr>
            <w:tabs>
              <w:tab w:val="center" w:pos="4320"/>
              <w:tab w:val="right" w:pos="8640"/>
            </w:tabs>
            <w:spacing w:line="240" w:lineRule="auto"/>
            <w:rPr>
              <w:sz w:val="16"/>
              <w:szCs w:val="16"/>
              <w:lang w:val="en-US"/>
            </w:rPr>
          </w:pPr>
          <w:r w:rsidRPr="00692790">
            <w:rPr>
              <w:sz w:val="16"/>
              <w:szCs w:val="16"/>
              <w:lang w:val="en-US"/>
            </w:rPr>
            <w:t>Department of Communications and the Arts</w:t>
          </w:r>
        </w:p>
      </w:tc>
      <w:tc>
        <w:tcPr>
          <w:tcW w:w="1677" w:type="dxa"/>
        </w:tcPr>
        <w:p w14:paraId="2B6A1EFC" w14:textId="77777777" w:rsidR="00730D0C" w:rsidRPr="00692790" w:rsidRDefault="00730D0C" w:rsidP="008510F7">
          <w:pPr>
            <w:tabs>
              <w:tab w:val="center" w:pos="4320"/>
              <w:tab w:val="right" w:pos="8640"/>
            </w:tabs>
            <w:spacing w:line="240" w:lineRule="auto"/>
            <w:jc w:val="right"/>
            <w:rPr>
              <w:sz w:val="16"/>
              <w:szCs w:val="16"/>
              <w:lang w:val="en-US"/>
            </w:rPr>
          </w:pPr>
          <w:r w:rsidRPr="00692790">
            <w:rPr>
              <w:sz w:val="16"/>
              <w:szCs w:val="16"/>
              <w:lang w:val="en-US"/>
            </w:rPr>
            <w:t xml:space="preserve">EY </w:t>
          </w:r>
          <w:r w:rsidRPr="00692790">
            <w:rPr>
              <w:sz w:val="16"/>
              <w:szCs w:val="16"/>
              <w:lang w:val="en-US"/>
            </w:rPr>
            <w:sym w:font="Symbol" w:char="F0F7"/>
          </w:r>
          <w:r w:rsidRPr="00692790">
            <w:rPr>
              <w:sz w:val="16"/>
              <w:szCs w:val="16"/>
              <w:lang w:val="en-US"/>
            </w:rPr>
            <w:t xml:space="preserve">  </w:t>
          </w:r>
          <w:r w:rsidRPr="008510F7">
            <w:rPr>
              <w:sz w:val="16"/>
              <w:szCs w:val="16"/>
              <w:lang w:val="en-US"/>
            </w:rPr>
            <w:fldChar w:fldCharType="begin"/>
          </w:r>
          <w:r w:rsidRPr="008510F7">
            <w:rPr>
              <w:sz w:val="16"/>
              <w:szCs w:val="16"/>
              <w:lang w:val="en-US"/>
            </w:rPr>
            <w:instrText xml:space="preserve"> PAGE   \* MERGEFORMAT </w:instrText>
          </w:r>
          <w:r w:rsidRPr="008510F7">
            <w:rPr>
              <w:sz w:val="16"/>
              <w:szCs w:val="16"/>
              <w:lang w:val="en-US"/>
            </w:rPr>
            <w:fldChar w:fldCharType="separate"/>
          </w:r>
          <w:r w:rsidR="0075700D" w:rsidRPr="0075700D">
            <w:rPr>
              <w:noProof/>
              <w:sz w:val="16"/>
              <w:lang w:val="en-US"/>
            </w:rPr>
            <w:t>viii</w:t>
          </w:r>
          <w:r w:rsidRPr="008510F7">
            <w:rPr>
              <w:noProof/>
              <w:sz w:val="16"/>
              <w:szCs w:val="16"/>
              <w:lang w:val="en-US"/>
            </w:rPr>
            <w:fldChar w:fldCharType="end"/>
          </w:r>
        </w:p>
      </w:tc>
    </w:tr>
  </w:tbl>
  <w:p w14:paraId="4C72EA9B" w14:textId="77777777" w:rsidR="00730D0C" w:rsidRPr="00692790" w:rsidRDefault="00730D0C" w:rsidP="008510F7">
    <w:pPr>
      <w:pStyle w:val="Footer"/>
      <w:spacing w:line="240" w:lineRule="auto"/>
      <w:rPr>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Look w:val="0000" w:firstRow="0" w:lastRow="0" w:firstColumn="0" w:lastColumn="0" w:noHBand="0" w:noVBand="0"/>
    </w:tblPr>
    <w:tblGrid>
      <w:gridCol w:w="11393"/>
      <w:gridCol w:w="2561"/>
    </w:tblGrid>
    <w:tr w:rsidR="00730D0C" w:rsidRPr="00692790" w14:paraId="37026F78" w14:textId="77777777" w:rsidTr="000061D4">
      <w:trPr>
        <w:trHeight w:val="187"/>
        <w:jc w:val="right"/>
      </w:trPr>
      <w:tc>
        <w:tcPr>
          <w:tcW w:w="7460" w:type="dxa"/>
        </w:tcPr>
        <w:p w14:paraId="48129F98" w14:textId="77777777" w:rsidR="00730D0C" w:rsidRPr="00692790" w:rsidRDefault="00730D0C" w:rsidP="008510F7">
          <w:pPr>
            <w:tabs>
              <w:tab w:val="center" w:pos="4320"/>
              <w:tab w:val="right" w:pos="8640"/>
            </w:tabs>
            <w:spacing w:line="240" w:lineRule="auto"/>
            <w:rPr>
              <w:sz w:val="16"/>
              <w:szCs w:val="16"/>
              <w:lang w:val="en-US"/>
            </w:rPr>
          </w:pPr>
          <w:r w:rsidRPr="00692790">
            <w:rPr>
              <w:sz w:val="16"/>
              <w:szCs w:val="24"/>
              <w:lang w:val="en-US"/>
            </w:rPr>
            <w:t xml:space="preserve">Cost benefit analysis of changes to the </w:t>
          </w:r>
          <w:r w:rsidRPr="00692790">
            <w:rPr>
              <w:i/>
              <w:sz w:val="16"/>
              <w:szCs w:val="24"/>
              <w:lang w:val="en-US"/>
            </w:rPr>
            <w:t>Copyright Act 1968</w:t>
          </w:r>
        </w:p>
      </w:tc>
      <w:tc>
        <w:tcPr>
          <w:tcW w:w="1677" w:type="dxa"/>
        </w:tcPr>
        <w:p w14:paraId="0D815E11" w14:textId="77777777" w:rsidR="00730D0C" w:rsidRPr="00692790" w:rsidRDefault="00730D0C" w:rsidP="008510F7">
          <w:pPr>
            <w:tabs>
              <w:tab w:val="center" w:pos="4320"/>
              <w:tab w:val="right" w:pos="8640"/>
            </w:tabs>
            <w:spacing w:line="240" w:lineRule="auto"/>
            <w:rPr>
              <w:sz w:val="16"/>
              <w:szCs w:val="16"/>
              <w:lang w:val="en-US"/>
            </w:rPr>
          </w:pPr>
        </w:p>
      </w:tc>
    </w:tr>
    <w:tr w:rsidR="00730D0C" w:rsidRPr="00692790" w14:paraId="1555BA6D" w14:textId="77777777" w:rsidTr="000061D4">
      <w:trPr>
        <w:trHeight w:val="187"/>
        <w:jc w:val="right"/>
      </w:trPr>
      <w:tc>
        <w:tcPr>
          <w:tcW w:w="7460" w:type="dxa"/>
        </w:tcPr>
        <w:p w14:paraId="737B1865" w14:textId="77777777" w:rsidR="00730D0C" w:rsidRPr="00692790" w:rsidRDefault="00730D0C" w:rsidP="008510F7">
          <w:pPr>
            <w:tabs>
              <w:tab w:val="center" w:pos="4320"/>
              <w:tab w:val="right" w:pos="8640"/>
            </w:tabs>
            <w:spacing w:line="240" w:lineRule="auto"/>
            <w:rPr>
              <w:sz w:val="16"/>
              <w:szCs w:val="16"/>
              <w:lang w:val="en-US"/>
            </w:rPr>
          </w:pPr>
          <w:r w:rsidRPr="00692790">
            <w:rPr>
              <w:sz w:val="16"/>
              <w:szCs w:val="16"/>
              <w:lang w:val="en-US"/>
            </w:rPr>
            <w:t>Department of Communications and the Arts</w:t>
          </w:r>
        </w:p>
      </w:tc>
      <w:tc>
        <w:tcPr>
          <w:tcW w:w="1677" w:type="dxa"/>
        </w:tcPr>
        <w:p w14:paraId="5463D7AC" w14:textId="77777777" w:rsidR="00730D0C" w:rsidRPr="00692790" w:rsidRDefault="00730D0C" w:rsidP="008510F7">
          <w:pPr>
            <w:tabs>
              <w:tab w:val="center" w:pos="4320"/>
              <w:tab w:val="right" w:pos="8640"/>
            </w:tabs>
            <w:spacing w:line="240" w:lineRule="auto"/>
            <w:jc w:val="right"/>
            <w:rPr>
              <w:sz w:val="16"/>
              <w:szCs w:val="16"/>
              <w:lang w:val="en-US"/>
            </w:rPr>
          </w:pPr>
          <w:r w:rsidRPr="00692790">
            <w:rPr>
              <w:sz w:val="16"/>
              <w:szCs w:val="16"/>
              <w:lang w:val="en-US"/>
            </w:rPr>
            <w:t xml:space="preserve">EY </w:t>
          </w:r>
          <w:r w:rsidRPr="00692790">
            <w:rPr>
              <w:sz w:val="16"/>
              <w:szCs w:val="16"/>
              <w:lang w:val="en-US"/>
            </w:rPr>
            <w:sym w:font="Symbol" w:char="F0F7"/>
          </w:r>
          <w:r w:rsidRPr="00692790">
            <w:rPr>
              <w:sz w:val="16"/>
              <w:szCs w:val="16"/>
              <w:lang w:val="en-US"/>
            </w:rPr>
            <w:t xml:space="preserve">  </w:t>
          </w:r>
          <w:r w:rsidRPr="008510F7">
            <w:rPr>
              <w:sz w:val="16"/>
              <w:szCs w:val="16"/>
              <w:lang w:val="en-US"/>
            </w:rPr>
            <w:fldChar w:fldCharType="begin"/>
          </w:r>
          <w:r w:rsidRPr="008510F7">
            <w:rPr>
              <w:sz w:val="16"/>
              <w:szCs w:val="16"/>
              <w:lang w:val="en-US"/>
            </w:rPr>
            <w:instrText xml:space="preserve"> PAGE   \* MERGEFORMAT </w:instrText>
          </w:r>
          <w:r w:rsidRPr="008510F7">
            <w:rPr>
              <w:sz w:val="16"/>
              <w:szCs w:val="16"/>
              <w:lang w:val="en-US"/>
            </w:rPr>
            <w:fldChar w:fldCharType="separate"/>
          </w:r>
          <w:r w:rsidR="0075700D" w:rsidRPr="0075700D">
            <w:rPr>
              <w:noProof/>
              <w:sz w:val="16"/>
              <w:lang w:val="en-US"/>
            </w:rPr>
            <w:t>ix</w:t>
          </w:r>
          <w:r w:rsidRPr="008510F7">
            <w:rPr>
              <w:noProof/>
              <w:sz w:val="16"/>
              <w:szCs w:val="16"/>
              <w:lang w:val="en-US"/>
            </w:rPr>
            <w:fldChar w:fldCharType="end"/>
          </w:r>
        </w:p>
      </w:tc>
    </w:tr>
  </w:tbl>
  <w:p w14:paraId="14DDB261" w14:textId="77777777" w:rsidR="00730D0C" w:rsidRPr="00692790" w:rsidRDefault="00730D0C" w:rsidP="008510F7">
    <w:pPr>
      <w:pStyle w:val="Footer"/>
      <w:spacing w:line="240" w:lineRule="auto"/>
      <w:rPr>
        <w:sz w:val="16"/>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Look w:val="0000" w:firstRow="0" w:lastRow="0" w:firstColumn="0" w:lastColumn="0" w:noHBand="0" w:noVBand="0"/>
    </w:tblPr>
    <w:tblGrid>
      <w:gridCol w:w="7371"/>
      <w:gridCol w:w="1658"/>
    </w:tblGrid>
    <w:tr w:rsidR="00730D0C" w:rsidRPr="00692790" w14:paraId="13EA31F8" w14:textId="77777777" w:rsidTr="000061D4">
      <w:trPr>
        <w:trHeight w:val="187"/>
        <w:jc w:val="right"/>
      </w:trPr>
      <w:tc>
        <w:tcPr>
          <w:tcW w:w="7460" w:type="dxa"/>
        </w:tcPr>
        <w:p w14:paraId="5D07F9C9" w14:textId="77777777" w:rsidR="00730D0C" w:rsidRPr="00692790" w:rsidRDefault="00730D0C" w:rsidP="008510F7">
          <w:pPr>
            <w:tabs>
              <w:tab w:val="center" w:pos="4320"/>
              <w:tab w:val="right" w:pos="8640"/>
            </w:tabs>
            <w:spacing w:line="240" w:lineRule="auto"/>
            <w:rPr>
              <w:sz w:val="16"/>
              <w:szCs w:val="16"/>
              <w:lang w:val="en-US"/>
            </w:rPr>
          </w:pPr>
          <w:r w:rsidRPr="00692790">
            <w:rPr>
              <w:sz w:val="16"/>
              <w:szCs w:val="24"/>
              <w:lang w:val="en-US"/>
            </w:rPr>
            <w:t xml:space="preserve">Cost benefit analysis of changes to the </w:t>
          </w:r>
          <w:r w:rsidRPr="00692790">
            <w:rPr>
              <w:i/>
              <w:sz w:val="16"/>
              <w:szCs w:val="24"/>
              <w:lang w:val="en-US"/>
            </w:rPr>
            <w:t>Copyright Act 1968</w:t>
          </w:r>
        </w:p>
      </w:tc>
      <w:tc>
        <w:tcPr>
          <w:tcW w:w="1677" w:type="dxa"/>
        </w:tcPr>
        <w:p w14:paraId="16068A09" w14:textId="77777777" w:rsidR="00730D0C" w:rsidRPr="00692790" w:rsidRDefault="00730D0C" w:rsidP="008510F7">
          <w:pPr>
            <w:tabs>
              <w:tab w:val="center" w:pos="4320"/>
              <w:tab w:val="right" w:pos="8640"/>
            </w:tabs>
            <w:spacing w:line="240" w:lineRule="auto"/>
            <w:rPr>
              <w:sz w:val="16"/>
              <w:szCs w:val="16"/>
              <w:lang w:val="en-US"/>
            </w:rPr>
          </w:pPr>
        </w:p>
      </w:tc>
    </w:tr>
    <w:tr w:rsidR="00730D0C" w:rsidRPr="00692790" w14:paraId="3783D60D" w14:textId="77777777" w:rsidTr="000061D4">
      <w:trPr>
        <w:trHeight w:val="187"/>
        <w:jc w:val="right"/>
      </w:trPr>
      <w:tc>
        <w:tcPr>
          <w:tcW w:w="7460" w:type="dxa"/>
        </w:tcPr>
        <w:p w14:paraId="1A8BC180" w14:textId="77777777" w:rsidR="00730D0C" w:rsidRPr="00692790" w:rsidRDefault="00730D0C" w:rsidP="008510F7">
          <w:pPr>
            <w:tabs>
              <w:tab w:val="center" w:pos="4320"/>
              <w:tab w:val="right" w:pos="8640"/>
            </w:tabs>
            <w:spacing w:line="240" w:lineRule="auto"/>
            <w:rPr>
              <w:sz w:val="16"/>
              <w:szCs w:val="16"/>
              <w:lang w:val="en-US"/>
            </w:rPr>
          </w:pPr>
          <w:r w:rsidRPr="00692790">
            <w:rPr>
              <w:sz w:val="16"/>
              <w:szCs w:val="16"/>
              <w:lang w:val="en-US"/>
            </w:rPr>
            <w:t>Department of Communications and the Arts</w:t>
          </w:r>
        </w:p>
      </w:tc>
      <w:tc>
        <w:tcPr>
          <w:tcW w:w="1677" w:type="dxa"/>
        </w:tcPr>
        <w:p w14:paraId="7E8B0D22" w14:textId="77777777" w:rsidR="00730D0C" w:rsidRPr="00692790" w:rsidRDefault="00730D0C" w:rsidP="008510F7">
          <w:pPr>
            <w:tabs>
              <w:tab w:val="center" w:pos="4320"/>
              <w:tab w:val="right" w:pos="8640"/>
            </w:tabs>
            <w:spacing w:line="240" w:lineRule="auto"/>
            <w:jc w:val="right"/>
            <w:rPr>
              <w:sz w:val="16"/>
              <w:szCs w:val="16"/>
              <w:lang w:val="en-US"/>
            </w:rPr>
          </w:pPr>
          <w:r w:rsidRPr="00692790">
            <w:rPr>
              <w:sz w:val="16"/>
              <w:szCs w:val="16"/>
              <w:lang w:val="en-US"/>
            </w:rPr>
            <w:t xml:space="preserve">EY </w:t>
          </w:r>
          <w:r w:rsidRPr="00692790">
            <w:rPr>
              <w:sz w:val="16"/>
              <w:szCs w:val="16"/>
              <w:lang w:val="en-US"/>
            </w:rPr>
            <w:sym w:font="Symbol" w:char="F0F7"/>
          </w:r>
          <w:r w:rsidRPr="00692790">
            <w:rPr>
              <w:sz w:val="16"/>
              <w:szCs w:val="16"/>
              <w:lang w:val="en-US"/>
            </w:rPr>
            <w:t xml:space="preserve">  </w:t>
          </w:r>
          <w:r w:rsidRPr="008510F7">
            <w:rPr>
              <w:sz w:val="16"/>
              <w:szCs w:val="16"/>
              <w:lang w:val="en-US"/>
            </w:rPr>
            <w:fldChar w:fldCharType="begin"/>
          </w:r>
          <w:r w:rsidRPr="008510F7">
            <w:rPr>
              <w:sz w:val="16"/>
              <w:szCs w:val="16"/>
              <w:lang w:val="en-US"/>
            </w:rPr>
            <w:instrText xml:space="preserve"> PAGE   \* MERGEFORMAT </w:instrText>
          </w:r>
          <w:r w:rsidRPr="008510F7">
            <w:rPr>
              <w:sz w:val="16"/>
              <w:szCs w:val="16"/>
              <w:lang w:val="en-US"/>
            </w:rPr>
            <w:fldChar w:fldCharType="separate"/>
          </w:r>
          <w:r w:rsidR="0075700D">
            <w:rPr>
              <w:noProof/>
              <w:sz w:val="16"/>
              <w:szCs w:val="16"/>
              <w:lang w:val="en-US"/>
            </w:rPr>
            <w:t>xi</w:t>
          </w:r>
          <w:r w:rsidRPr="008510F7">
            <w:rPr>
              <w:noProof/>
              <w:sz w:val="16"/>
              <w:szCs w:val="16"/>
              <w:lang w:val="en-US"/>
            </w:rPr>
            <w:fldChar w:fldCharType="end"/>
          </w:r>
        </w:p>
      </w:tc>
    </w:tr>
  </w:tbl>
  <w:p w14:paraId="57B77E92" w14:textId="77777777" w:rsidR="00730D0C" w:rsidRPr="00692790" w:rsidRDefault="00730D0C" w:rsidP="008510F7">
    <w:pPr>
      <w:pStyle w:val="Footer"/>
      <w:spacing w:line="240" w:lineRule="auto"/>
      <w:rPr>
        <w:sz w:val="16"/>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Look w:val="0000" w:firstRow="0" w:lastRow="0" w:firstColumn="0" w:lastColumn="0" w:noHBand="0" w:noVBand="0"/>
    </w:tblPr>
    <w:tblGrid>
      <w:gridCol w:w="7371"/>
      <w:gridCol w:w="1658"/>
    </w:tblGrid>
    <w:tr w:rsidR="00730D0C" w:rsidRPr="00692790" w14:paraId="0B65C339" w14:textId="77777777" w:rsidTr="000061D4">
      <w:trPr>
        <w:trHeight w:val="187"/>
        <w:jc w:val="right"/>
      </w:trPr>
      <w:tc>
        <w:tcPr>
          <w:tcW w:w="7460" w:type="dxa"/>
        </w:tcPr>
        <w:p w14:paraId="7BAA796D" w14:textId="77777777" w:rsidR="00730D0C" w:rsidRPr="00692790" w:rsidRDefault="00730D0C" w:rsidP="008510F7">
          <w:pPr>
            <w:tabs>
              <w:tab w:val="center" w:pos="4320"/>
              <w:tab w:val="right" w:pos="8640"/>
            </w:tabs>
            <w:spacing w:line="240" w:lineRule="auto"/>
            <w:rPr>
              <w:sz w:val="16"/>
              <w:szCs w:val="16"/>
              <w:lang w:val="en-US"/>
            </w:rPr>
          </w:pPr>
          <w:r w:rsidRPr="00692790">
            <w:rPr>
              <w:sz w:val="16"/>
              <w:szCs w:val="24"/>
              <w:lang w:val="en-US"/>
            </w:rPr>
            <w:t xml:space="preserve">Cost benefit analysis of changes to the </w:t>
          </w:r>
          <w:r w:rsidRPr="00692790">
            <w:rPr>
              <w:i/>
              <w:sz w:val="16"/>
              <w:szCs w:val="24"/>
              <w:lang w:val="en-US"/>
            </w:rPr>
            <w:t>Copyright Act 1968</w:t>
          </w:r>
        </w:p>
      </w:tc>
      <w:tc>
        <w:tcPr>
          <w:tcW w:w="1677" w:type="dxa"/>
        </w:tcPr>
        <w:p w14:paraId="56014FF8" w14:textId="77777777" w:rsidR="00730D0C" w:rsidRPr="00692790" w:rsidRDefault="00730D0C" w:rsidP="008510F7">
          <w:pPr>
            <w:tabs>
              <w:tab w:val="center" w:pos="4320"/>
              <w:tab w:val="right" w:pos="8640"/>
            </w:tabs>
            <w:spacing w:line="240" w:lineRule="auto"/>
            <w:rPr>
              <w:sz w:val="16"/>
              <w:szCs w:val="16"/>
              <w:lang w:val="en-US"/>
            </w:rPr>
          </w:pPr>
        </w:p>
      </w:tc>
    </w:tr>
    <w:tr w:rsidR="00730D0C" w:rsidRPr="00692790" w14:paraId="1DF4E786" w14:textId="77777777" w:rsidTr="000061D4">
      <w:trPr>
        <w:trHeight w:val="187"/>
        <w:jc w:val="right"/>
      </w:trPr>
      <w:tc>
        <w:tcPr>
          <w:tcW w:w="7460" w:type="dxa"/>
        </w:tcPr>
        <w:p w14:paraId="59FF2B49" w14:textId="77777777" w:rsidR="00730D0C" w:rsidRPr="00692790" w:rsidRDefault="00730D0C" w:rsidP="008510F7">
          <w:pPr>
            <w:tabs>
              <w:tab w:val="center" w:pos="4320"/>
              <w:tab w:val="right" w:pos="8640"/>
            </w:tabs>
            <w:spacing w:line="240" w:lineRule="auto"/>
            <w:rPr>
              <w:sz w:val="16"/>
              <w:szCs w:val="16"/>
              <w:lang w:val="en-US"/>
            </w:rPr>
          </w:pPr>
          <w:r w:rsidRPr="00692790">
            <w:rPr>
              <w:sz w:val="16"/>
              <w:szCs w:val="16"/>
              <w:lang w:val="en-US"/>
            </w:rPr>
            <w:t>Department of Communications and the Arts</w:t>
          </w:r>
        </w:p>
      </w:tc>
      <w:tc>
        <w:tcPr>
          <w:tcW w:w="1677" w:type="dxa"/>
        </w:tcPr>
        <w:p w14:paraId="2D2C7799" w14:textId="77777777" w:rsidR="00730D0C" w:rsidRPr="00692790" w:rsidRDefault="00730D0C" w:rsidP="00DF50CB">
          <w:pPr>
            <w:tabs>
              <w:tab w:val="center" w:pos="4320"/>
              <w:tab w:val="right" w:pos="8640"/>
            </w:tabs>
            <w:spacing w:line="240" w:lineRule="auto"/>
            <w:jc w:val="right"/>
            <w:rPr>
              <w:sz w:val="16"/>
              <w:szCs w:val="16"/>
              <w:lang w:val="en-US"/>
            </w:rPr>
          </w:pPr>
          <w:r w:rsidRPr="00692790">
            <w:rPr>
              <w:sz w:val="16"/>
              <w:szCs w:val="16"/>
              <w:lang w:val="en-US"/>
            </w:rPr>
            <w:t xml:space="preserve">EY </w:t>
          </w:r>
          <w:r w:rsidRPr="00692790">
            <w:rPr>
              <w:sz w:val="16"/>
              <w:szCs w:val="16"/>
              <w:lang w:val="en-US"/>
            </w:rPr>
            <w:sym w:font="Symbol" w:char="F0F7"/>
          </w:r>
          <w:r w:rsidRPr="00692790">
            <w:rPr>
              <w:sz w:val="16"/>
              <w:szCs w:val="16"/>
              <w:lang w:val="en-US"/>
            </w:rPr>
            <w:t xml:space="preserve">  </w:t>
          </w:r>
          <w:r w:rsidRPr="00DF50CB">
            <w:rPr>
              <w:sz w:val="16"/>
              <w:szCs w:val="16"/>
              <w:lang w:val="en-US"/>
            </w:rPr>
            <w:fldChar w:fldCharType="begin"/>
          </w:r>
          <w:r w:rsidRPr="00DF50CB">
            <w:rPr>
              <w:sz w:val="16"/>
              <w:szCs w:val="16"/>
              <w:lang w:val="en-US"/>
            </w:rPr>
            <w:instrText xml:space="preserve"> PAGE   \* MERGEFORMAT </w:instrText>
          </w:r>
          <w:r w:rsidRPr="00DF50CB">
            <w:rPr>
              <w:sz w:val="16"/>
              <w:szCs w:val="16"/>
              <w:lang w:val="en-US"/>
            </w:rPr>
            <w:fldChar w:fldCharType="separate"/>
          </w:r>
          <w:r w:rsidR="0075700D">
            <w:rPr>
              <w:noProof/>
              <w:sz w:val="16"/>
              <w:szCs w:val="16"/>
              <w:lang w:val="en-US"/>
            </w:rPr>
            <w:t>7</w:t>
          </w:r>
          <w:r w:rsidRPr="00DF50CB">
            <w:rPr>
              <w:noProof/>
              <w:sz w:val="16"/>
              <w:szCs w:val="16"/>
              <w:lang w:val="en-US"/>
            </w:rPr>
            <w:fldChar w:fldCharType="end"/>
          </w:r>
        </w:p>
      </w:tc>
    </w:tr>
  </w:tbl>
  <w:p w14:paraId="5762C955" w14:textId="77777777" w:rsidR="00730D0C" w:rsidRPr="00692790" w:rsidRDefault="00730D0C" w:rsidP="008510F7">
    <w:pPr>
      <w:pStyle w:val="Footer"/>
      <w:spacing w:line="240" w:lineRule="auto"/>
      <w:rPr>
        <w:sz w:val="16"/>
        <w:szCs w:val="1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Look w:val="0000" w:firstRow="0" w:lastRow="0" w:firstColumn="0" w:lastColumn="0" w:noHBand="0" w:noVBand="0"/>
    </w:tblPr>
    <w:tblGrid>
      <w:gridCol w:w="11643"/>
      <w:gridCol w:w="2617"/>
    </w:tblGrid>
    <w:tr w:rsidR="00730D0C" w:rsidRPr="00692790" w14:paraId="10F6AF94" w14:textId="77777777" w:rsidTr="000061D4">
      <w:trPr>
        <w:trHeight w:val="187"/>
        <w:jc w:val="right"/>
      </w:trPr>
      <w:tc>
        <w:tcPr>
          <w:tcW w:w="7460" w:type="dxa"/>
        </w:tcPr>
        <w:p w14:paraId="44DA2EEB" w14:textId="77777777" w:rsidR="00730D0C" w:rsidRPr="00692790" w:rsidRDefault="00730D0C" w:rsidP="008510F7">
          <w:pPr>
            <w:tabs>
              <w:tab w:val="center" w:pos="4320"/>
              <w:tab w:val="right" w:pos="8640"/>
            </w:tabs>
            <w:spacing w:line="240" w:lineRule="auto"/>
            <w:rPr>
              <w:sz w:val="16"/>
              <w:szCs w:val="16"/>
              <w:lang w:val="en-US"/>
            </w:rPr>
          </w:pPr>
          <w:r w:rsidRPr="00692790">
            <w:rPr>
              <w:sz w:val="16"/>
              <w:szCs w:val="24"/>
              <w:lang w:val="en-US"/>
            </w:rPr>
            <w:t xml:space="preserve">Cost benefit analysis of changes to the </w:t>
          </w:r>
          <w:r w:rsidRPr="00692790">
            <w:rPr>
              <w:i/>
              <w:sz w:val="16"/>
              <w:szCs w:val="24"/>
              <w:lang w:val="en-US"/>
            </w:rPr>
            <w:t>Copyright Act 1968</w:t>
          </w:r>
        </w:p>
      </w:tc>
      <w:tc>
        <w:tcPr>
          <w:tcW w:w="1677" w:type="dxa"/>
        </w:tcPr>
        <w:p w14:paraId="0146B768" w14:textId="77777777" w:rsidR="00730D0C" w:rsidRPr="00692790" w:rsidRDefault="00730D0C" w:rsidP="008510F7">
          <w:pPr>
            <w:tabs>
              <w:tab w:val="center" w:pos="4320"/>
              <w:tab w:val="right" w:pos="8640"/>
            </w:tabs>
            <w:spacing w:line="240" w:lineRule="auto"/>
            <w:rPr>
              <w:sz w:val="16"/>
              <w:szCs w:val="16"/>
              <w:lang w:val="en-US"/>
            </w:rPr>
          </w:pPr>
        </w:p>
      </w:tc>
    </w:tr>
    <w:tr w:rsidR="00730D0C" w:rsidRPr="00692790" w14:paraId="422B651D" w14:textId="77777777" w:rsidTr="000061D4">
      <w:trPr>
        <w:trHeight w:val="187"/>
        <w:jc w:val="right"/>
      </w:trPr>
      <w:tc>
        <w:tcPr>
          <w:tcW w:w="7460" w:type="dxa"/>
        </w:tcPr>
        <w:p w14:paraId="62BA8D57" w14:textId="77777777" w:rsidR="00730D0C" w:rsidRPr="00692790" w:rsidRDefault="00730D0C" w:rsidP="008510F7">
          <w:pPr>
            <w:tabs>
              <w:tab w:val="center" w:pos="4320"/>
              <w:tab w:val="right" w:pos="8640"/>
            </w:tabs>
            <w:spacing w:line="240" w:lineRule="auto"/>
            <w:rPr>
              <w:sz w:val="16"/>
              <w:szCs w:val="16"/>
              <w:lang w:val="en-US"/>
            </w:rPr>
          </w:pPr>
          <w:r w:rsidRPr="00692790">
            <w:rPr>
              <w:sz w:val="16"/>
              <w:szCs w:val="16"/>
              <w:lang w:val="en-US"/>
            </w:rPr>
            <w:t>Department of Communications and the Arts</w:t>
          </w:r>
        </w:p>
      </w:tc>
      <w:tc>
        <w:tcPr>
          <w:tcW w:w="1677" w:type="dxa"/>
        </w:tcPr>
        <w:p w14:paraId="29CD4060" w14:textId="77777777" w:rsidR="00730D0C" w:rsidRPr="00692790" w:rsidRDefault="00730D0C" w:rsidP="008510F7">
          <w:pPr>
            <w:tabs>
              <w:tab w:val="center" w:pos="4320"/>
              <w:tab w:val="right" w:pos="8640"/>
            </w:tabs>
            <w:spacing w:line="240" w:lineRule="auto"/>
            <w:jc w:val="right"/>
            <w:rPr>
              <w:sz w:val="16"/>
              <w:szCs w:val="16"/>
              <w:lang w:val="en-US"/>
            </w:rPr>
          </w:pPr>
          <w:r w:rsidRPr="00692790">
            <w:rPr>
              <w:sz w:val="16"/>
              <w:szCs w:val="16"/>
              <w:lang w:val="en-US"/>
            </w:rPr>
            <w:t xml:space="preserve">EY </w:t>
          </w:r>
          <w:r w:rsidRPr="00692790">
            <w:rPr>
              <w:sz w:val="16"/>
              <w:szCs w:val="16"/>
              <w:lang w:val="en-US"/>
            </w:rPr>
            <w:sym w:font="Symbol" w:char="F0F7"/>
          </w:r>
          <w:r w:rsidRPr="00692790">
            <w:rPr>
              <w:sz w:val="16"/>
              <w:szCs w:val="16"/>
              <w:lang w:val="en-US"/>
            </w:rPr>
            <w:t xml:space="preserve">  </w:t>
          </w:r>
          <w:r w:rsidRPr="008510F7">
            <w:rPr>
              <w:sz w:val="16"/>
              <w:szCs w:val="16"/>
              <w:lang w:val="en-US"/>
            </w:rPr>
            <w:fldChar w:fldCharType="begin"/>
          </w:r>
          <w:r w:rsidRPr="008510F7">
            <w:rPr>
              <w:sz w:val="16"/>
              <w:szCs w:val="16"/>
              <w:lang w:val="en-US"/>
            </w:rPr>
            <w:instrText xml:space="preserve"> PAGE   \* MERGEFORMAT </w:instrText>
          </w:r>
          <w:r w:rsidRPr="008510F7">
            <w:rPr>
              <w:sz w:val="16"/>
              <w:szCs w:val="16"/>
              <w:lang w:val="en-US"/>
            </w:rPr>
            <w:fldChar w:fldCharType="separate"/>
          </w:r>
          <w:r w:rsidR="0075700D" w:rsidRPr="0075700D">
            <w:rPr>
              <w:noProof/>
              <w:sz w:val="16"/>
              <w:lang w:val="en-US"/>
            </w:rPr>
            <w:t>99</w:t>
          </w:r>
          <w:r w:rsidRPr="008510F7">
            <w:rPr>
              <w:noProof/>
              <w:sz w:val="16"/>
              <w:szCs w:val="16"/>
              <w:lang w:val="en-US"/>
            </w:rPr>
            <w:fldChar w:fldCharType="end"/>
          </w:r>
        </w:p>
      </w:tc>
    </w:tr>
  </w:tbl>
  <w:p w14:paraId="15D2D2E5" w14:textId="77777777" w:rsidR="00730D0C" w:rsidRPr="00692790" w:rsidRDefault="00730D0C" w:rsidP="008510F7">
    <w:pPr>
      <w:pStyle w:val="Footer"/>
      <w:spacing w:line="240" w:lineRule="auto"/>
      <w:rPr>
        <w:sz w:val="16"/>
        <w:szCs w:val="1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C27AE5" w14:textId="77777777" w:rsidR="00730D0C" w:rsidRPr="00856E5F" w:rsidRDefault="00730D0C" w:rsidP="00856E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634D32" w14:textId="77777777" w:rsidR="00730D0C" w:rsidRPr="009F10D4" w:rsidRDefault="00730D0C" w:rsidP="009F10D4">
      <w:r>
        <w:separator/>
      </w:r>
    </w:p>
  </w:footnote>
  <w:footnote w:type="continuationSeparator" w:id="0">
    <w:p w14:paraId="579D4DBF" w14:textId="15958B90" w:rsidR="00730D0C" w:rsidRDefault="00730D0C">
      <w:r>
        <w:continuationSeparator/>
      </w:r>
    </w:p>
    <w:p w14:paraId="48BC6EDB" w14:textId="77777777" w:rsidR="00730D0C" w:rsidRDefault="00730D0C"/>
  </w:footnote>
  <w:footnote w:type="continuationNotice" w:id="1">
    <w:p w14:paraId="0B047156" w14:textId="77777777" w:rsidR="00730D0C" w:rsidRDefault="00730D0C"/>
  </w:footnote>
  <w:footnote w:id="2">
    <w:p w14:paraId="46EED933"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Copyright Law Reform Commission, cited in: ALRC (2013), </w:t>
      </w:r>
      <w:r w:rsidRPr="00A6673F">
        <w:rPr>
          <w:i/>
          <w:szCs w:val="16"/>
        </w:rPr>
        <w:t>Copyright in the Digital Economy: Final report</w:t>
      </w:r>
      <w:r w:rsidRPr="00A6673F">
        <w:rPr>
          <w:szCs w:val="16"/>
        </w:rPr>
        <w:t xml:space="preserve">, p.91. </w:t>
      </w:r>
    </w:p>
  </w:footnote>
  <w:footnote w:id="3">
    <w:p w14:paraId="540F4847" w14:textId="77777777" w:rsidR="00730D0C" w:rsidRPr="00A6673F" w:rsidRDefault="00730D0C" w:rsidP="00610DD9">
      <w:pPr>
        <w:pStyle w:val="FootnoteText"/>
        <w:rPr>
          <w:i/>
          <w:szCs w:val="16"/>
        </w:rPr>
      </w:pPr>
      <w:r w:rsidRPr="00A6673F">
        <w:rPr>
          <w:rStyle w:val="FootnoteReference"/>
          <w:sz w:val="16"/>
          <w:szCs w:val="16"/>
        </w:rPr>
        <w:footnoteRef/>
      </w:r>
      <w:r w:rsidRPr="00A6673F">
        <w:rPr>
          <w:szCs w:val="16"/>
        </w:rPr>
        <w:t xml:space="preserve"> Attorney-General’s Department (2015), </w:t>
      </w:r>
      <w:r w:rsidRPr="00A6673F">
        <w:rPr>
          <w:i/>
          <w:szCs w:val="16"/>
        </w:rPr>
        <w:t>Fair Use and other Copyright Exceptions: An examination of fair use, fair dealing and other exceptions in the Digital Age.</w:t>
      </w:r>
    </w:p>
  </w:footnote>
  <w:footnote w:id="4">
    <w:p w14:paraId="6954AD6C"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proofErr w:type="spellStart"/>
      <w:r w:rsidRPr="00A6673F">
        <w:rPr>
          <w:szCs w:val="16"/>
        </w:rPr>
        <w:t>Handke</w:t>
      </w:r>
      <w:proofErr w:type="spellEnd"/>
      <w:r w:rsidRPr="00A6673F">
        <w:rPr>
          <w:szCs w:val="16"/>
        </w:rPr>
        <w:t xml:space="preserve">, H (2010), </w:t>
      </w:r>
      <w:r w:rsidRPr="00A6673F">
        <w:rPr>
          <w:i/>
          <w:szCs w:val="16"/>
        </w:rPr>
        <w:t xml:space="preserve">The Economics of Copyright and Digitization: A report on the literature and the need for further research, </w:t>
      </w:r>
      <w:r w:rsidRPr="00A6673F">
        <w:rPr>
          <w:szCs w:val="16"/>
        </w:rPr>
        <w:t>research commissioned by the Strategic Advisory Board for Intellectual Property Policy, p.8.</w:t>
      </w:r>
    </w:p>
  </w:footnote>
  <w:footnote w:id="5">
    <w:p w14:paraId="708DFC12"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ALRC (2013), </w:t>
      </w:r>
      <w:r w:rsidRPr="00A6673F">
        <w:rPr>
          <w:i/>
          <w:szCs w:val="16"/>
        </w:rPr>
        <w:t xml:space="preserve">Copyright in the Digital Economy: Issues paper, </w:t>
      </w:r>
      <w:r w:rsidRPr="00A6673F">
        <w:rPr>
          <w:szCs w:val="16"/>
        </w:rPr>
        <w:t>p.20.</w:t>
      </w:r>
    </w:p>
  </w:footnote>
  <w:footnote w:id="6">
    <w:p w14:paraId="120C37B4" w14:textId="77777777" w:rsidR="00730D0C" w:rsidRPr="00A6673F" w:rsidRDefault="00730D0C" w:rsidP="00610DD9">
      <w:pPr>
        <w:pStyle w:val="FootnoteText"/>
        <w:rPr>
          <w:i/>
          <w:szCs w:val="16"/>
        </w:rPr>
      </w:pPr>
      <w:r w:rsidRPr="00A6673F">
        <w:rPr>
          <w:rStyle w:val="FootnoteReference"/>
          <w:sz w:val="16"/>
          <w:szCs w:val="16"/>
        </w:rPr>
        <w:footnoteRef/>
      </w:r>
      <w:r w:rsidRPr="00A6673F">
        <w:rPr>
          <w:szCs w:val="16"/>
        </w:rPr>
        <w:t xml:space="preserve"> Attorney-General’s Department (2015), </w:t>
      </w:r>
      <w:r w:rsidRPr="00A6673F">
        <w:rPr>
          <w:i/>
          <w:szCs w:val="16"/>
        </w:rPr>
        <w:t>Fair Use and other Copyright Exceptions: An examination of fair use, fair dealing and other exceptions in the Digital Age.</w:t>
      </w:r>
    </w:p>
  </w:footnote>
  <w:footnote w:id="7">
    <w:p w14:paraId="79C19CEC"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proofErr w:type="spellStart"/>
      <w:r w:rsidRPr="00A6673F">
        <w:rPr>
          <w:szCs w:val="16"/>
        </w:rPr>
        <w:t>Langus</w:t>
      </w:r>
      <w:proofErr w:type="spellEnd"/>
      <w:r w:rsidRPr="00A6673F">
        <w:rPr>
          <w:szCs w:val="16"/>
        </w:rPr>
        <w:t xml:space="preserve">, G, Neven, D and Shier, G (2013), </w:t>
      </w:r>
      <w:r w:rsidRPr="00A6673F">
        <w:rPr>
          <w:i/>
          <w:szCs w:val="16"/>
        </w:rPr>
        <w:t xml:space="preserve">Assessing the economic impacts of adapting certain limitations and exceptions to copyright and related rights in the EU, </w:t>
      </w:r>
      <w:r w:rsidRPr="00A6673F">
        <w:rPr>
          <w:szCs w:val="16"/>
        </w:rPr>
        <w:t>prepared for the European Commission, p.2.</w:t>
      </w:r>
    </w:p>
  </w:footnote>
  <w:footnote w:id="8">
    <w:p w14:paraId="13AE1434"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proofErr w:type="spellStart"/>
      <w:r w:rsidRPr="00A6673F">
        <w:rPr>
          <w:szCs w:val="16"/>
        </w:rPr>
        <w:t>Handke</w:t>
      </w:r>
      <w:proofErr w:type="spellEnd"/>
      <w:r w:rsidRPr="00A6673F">
        <w:rPr>
          <w:szCs w:val="16"/>
        </w:rPr>
        <w:t xml:space="preserve">, H (2010), </w:t>
      </w:r>
      <w:r w:rsidRPr="00A6673F">
        <w:rPr>
          <w:i/>
          <w:szCs w:val="16"/>
        </w:rPr>
        <w:t xml:space="preserve">The Economics of Copyright and Digitization: A report on the literature and the need for further research, </w:t>
      </w:r>
      <w:r w:rsidRPr="00A6673F">
        <w:rPr>
          <w:szCs w:val="16"/>
        </w:rPr>
        <w:t>research commissioned by the Strategic Advisory Board for Intellectual Property Policy, p.8.</w:t>
      </w:r>
    </w:p>
  </w:footnote>
  <w:footnote w:id="9">
    <w:p w14:paraId="1849DC25"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Hargreaves, I and </w:t>
      </w:r>
      <w:proofErr w:type="spellStart"/>
      <w:r w:rsidRPr="00A6673F">
        <w:rPr>
          <w:szCs w:val="16"/>
        </w:rPr>
        <w:t>Hugenholtz</w:t>
      </w:r>
      <w:proofErr w:type="spellEnd"/>
      <w:r w:rsidRPr="00A6673F">
        <w:rPr>
          <w:szCs w:val="16"/>
        </w:rPr>
        <w:t xml:space="preserve">, B (2013), ‘Copyright reform for growth and jobs: Modernising the European copyright framework’, </w:t>
      </w:r>
      <w:r w:rsidRPr="00A6673F">
        <w:rPr>
          <w:i/>
          <w:szCs w:val="16"/>
        </w:rPr>
        <w:t>Lisbon Council Policy Brief,</w:t>
      </w:r>
      <w:r w:rsidRPr="00A6673F">
        <w:rPr>
          <w:szCs w:val="16"/>
        </w:rPr>
        <w:t xml:space="preserve"> 13:44.</w:t>
      </w:r>
    </w:p>
  </w:footnote>
  <w:footnote w:id="10">
    <w:p w14:paraId="648F3555"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proofErr w:type="gramStart"/>
      <w:r w:rsidRPr="00A6673F">
        <w:rPr>
          <w:i/>
          <w:szCs w:val="16"/>
        </w:rPr>
        <w:t>Ibid</w:t>
      </w:r>
      <w:r w:rsidRPr="00A6673F">
        <w:rPr>
          <w:szCs w:val="16"/>
        </w:rPr>
        <w:t>.,</w:t>
      </w:r>
      <w:proofErr w:type="gramEnd"/>
      <w:r w:rsidRPr="00A6673F">
        <w:rPr>
          <w:szCs w:val="16"/>
        </w:rPr>
        <w:t xml:space="preserve"> p.4.</w:t>
      </w:r>
    </w:p>
  </w:footnote>
  <w:footnote w:id="11">
    <w:p w14:paraId="64FDD911"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Copyright Law Reform Commission, cited in: ALRC (2013), </w:t>
      </w:r>
      <w:r w:rsidRPr="00A6673F">
        <w:rPr>
          <w:i/>
          <w:szCs w:val="16"/>
        </w:rPr>
        <w:t>Copyright in the Digital Economy: Final report</w:t>
      </w:r>
      <w:r w:rsidRPr="00A6673F">
        <w:rPr>
          <w:szCs w:val="16"/>
        </w:rPr>
        <w:t>, p.91.</w:t>
      </w:r>
    </w:p>
  </w:footnote>
  <w:footnote w:id="12">
    <w:p w14:paraId="797D3D2F"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Intellectual Property and Competition Review Committee, cited in: ALRC (2013), </w:t>
      </w:r>
      <w:r w:rsidRPr="00A6673F">
        <w:rPr>
          <w:i/>
          <w:szCs w:val="16"/>
        </w:rPr>
        <w:t>Copyright in the Digital Economy: Final report</w:t>
      </w:r>
      <w:r w:rsidRPr="00A6673F">
        <w:rPr>
          <w:szCs w:val="16"/>
        </w:rPr>
        <w:t>, p.92.</w:t>
      </w:r>
    </w:p>
  </w:footnote>
  <w:footnote w:id="13">
    <w:p w14:paraId="54A13660"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sidRPr="00A6673F">
        <w:rPr>
          <w:i/>
          <w:szCs w:val="16"/>
        </w:rPr>
        <w:t>Ibid</w:t>
      </w:r>
      <w:r w:rsidRPr="00A6673F">
        <w:rPr>
          <w:szCs w:val="16"/>
        </w:rPr>
        <w:t>.</w:t>
      </w:r>
    </w:p>
  </w:footnote>
  <w:footnote w:id="14">
    <w:p w14:paraId="47AFD5EB"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ALRC (2013), </w:t>
      </w:r>
      <w:r w:rsidRPr="00A6673F">
        <w:rPr>
          <w:i/>
          <w:szCs w:val="16"/>
        </w:rPr>
        <w:t xml:space="preserve">Copyright in the Digital Economy: Issues paper, </w:t>
      </w:r>
      <w:r w:rsidRPr="00A6673F">
        <w:rPr>
          <w:szCs w:val="16"/>
        </w:rPr>
        <w:t>p.5.</w:t>
      </w:r>
    </w:p>
  </w:footnote>
  <w:footnote w:id="15">
    <w:p w14:paraId="3FAE786E"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For a review of the literature on the economics of copyright see: </w:t>
      </w:r>
      <w:proofErr w:type="spellStart"/>
      <w:r w:rsidRPr="00A6673F">
        <w:rPr>
          <w:szCs w:val="16"/>
        </w:rPr>
        <w:t>Handke</w:t>
      </w:r>
      <w:proofErr w:type="spellEnd"/>
      <w:r w:rsidRPr="00A6673F">
        <w:rPr>
          <w:szCs w:val="16"/>
        </w:rPr>
        <w:t xml:space="preserve">, H (2010), </w:t>
      </w:r>
      <w:r w:rsidRPr="00A6673F">
        <w:rPr>
          <w:i/>
          <w:szCs w:val="16"/>
        </w:rPr>
        <w:t xml:space="preserve">The Economics of Copyright and Digitization: A report on the literature and the need for further research, </w:t>
      </w:r>
      <w:r w:rsidRPr="00A6673F">
        <w:rPr>
          <w:szCs w:val="16"/>
        </w:rPr>
        <w:t>research commissioned by the Strategic Advisory Board for Intellectual Property Policy.</w:t>
      </w:r>
    </w:p>
  </w:footnote>
  <w:footnote w:id="16">
    <w:p w14:paraId="234EE88F" w14:textId="77777777" w:rsidR="00730D0C" w:rsidRPr="00633989" w:rsidRDefault="00730D0C" w:rsidP="00FF77F2">
      <w:pPr>
        <w:pStyle w:val="FootnoteText"/>
        <w:spacing w:before="120" w:after="120"/>
        <w:rPr>
          <w:szCs w:val="16"/>
        </w:rPr>
      </w:pPr>
      <w:r w:rsidRPr="00633989">
        <w:rPr>
          <w:rStyle w:val="FootnoteReference"/>
          <w:sz w:val="16"/>
          <w:szCs w:val="16"/>
        </w:rPr>
        <w:footnoteRef/>
      </w:r>
      <w:r w:rsidRPr="00633989">
        <w:rPr>
          <w:szCs w:val="16"/>
        </w:rPr>
        <w:t xml:space="preserve"> Empirical research on copyright has mainly used unauthorised copying as a proxy for copyright strength. These studies deal mostly with the economic impact of unauthorised copying on the sales revenue of rights holders – mostly in the music sector. However, the extent of unauthorised copying undertaken is influenced by factors other than copyright, including improvements in copying technology. </w:t>
      </w:r>
    </w:p>
    <w:p w14:paraId="253C6C33" w14:textId="77777777" w:rsidR="00730D0C" w:rsidRPr="00633989" w:rsidRDefault="00730D0C" w:rsidP="00FF77F2">
      <w:pPr>
        <w:pStyle w:val="FootnoteText"/>
        <w:spacing w:before="120" w:after="120"/>
        <w:rPr>
          <w:szCs w:val="16"/>
        </w:rPr>
      </w:pPr>
      <w:r w:rsidRPr="00633989">
        <w:rPr>
          <w:szCs w:val="16"/>
        </w:rPr>
        <w:t xml:space="preserve">Moreover, the results of these types of studies diverge significantly. Examining the impact of music file-sharing, for example, </w:t>
      </w:r>
      <w:proofErr w:type="spellStart"/>
      <w:r w:rsidRPr="00633989">
        <w:rPr>
          <w:szCs w:val="16"/>
        </w:rPr>
        <w:t>Oberholzer</w:t>
      </w:r>
      <w:proofErr w:type="spellEnd"/>
      <w:r w:rsidRPr="00633989">
        <w:rPr>
          <w:szCs w:val="16"/>
        </w:rPr>
        <w:t xml:space="preserve">-Gee and </w:t>
      </w:r>
      <w:proofErr w:type="spellStart"/>
      <w:r w:rsidRPr="00633989">
        <w:rPr>
          <w:szCs w:val="16"/>
        </w:rPr>
        <w:t>Strumpf</w:t>
      </w:r>
      <w:proofErr w:type="spellEnd"/>
      <w:r w:rsidRPr="00633989">
        <w:rPr>
          <w:szCs w:val="16"/>
        </w:rPr>
        <w:t xml:space="preserve"> (2007), Andersen and </w:t>
      </w:r>
      <w:proofErr w:type="spellStart"/>
      <w:r w:rsidRPr="00633989">
        <w:rPr>
          <w:szCs w:val="16"/>
        </w:rPr>
        <w:t>Frenz</w:t>
      </w:r>
      <w:proofErr w:type="spellEnd"/>
      <w:r w:rsidRPr="00633989">
        <w:rPr>
          <w:szCs w:val="16"/>
        </w:rPr>
        <w:t xml:space="preserve"> (2010); and </w:t>
      </w:r>
      <w:proofErr w:type="spellStart"/>
      <w:r w:rsidRPr="00633989">
        <w:rPr>
          <w:szCs w:val="16"/>
        </w:rPr>
        <w:t>Handke</w:t>
      </w:r>
      <w:proofErr w:type="spellEnd"/>
      <w:r w:rsidRPr="00633989">
        <w:rPr>
          <w:szCs w:val="16"/>
        </w:rPr>
        <w:t xml:space="preserve"> (2012) find no impact on the revenue of right-holders in the US, Canada and Germany, respectively.</w:t>
      </w:r>
      <w:r w:rsidRPr="00633989">
        <w:rPr>
          <w:szCs w:val="16"/>
          <w:vertAlign w:val="superscript"/>
        </w:rPr>
        <w:t xml:space="preserve"> </w:t>
      </w:r>
      <w:r w:rsidRPr="00633989">
        <w:rPr>
          <w:szCs w:val="16"/>
        </w:rPr>
        <w:t>Conversely, Leibowitz (2008) and Barker (2012) also examine unauthorised copying and find a significant impact on music sales in the US and Canada, respectively.</w:t>
      </w:r>
      <w:r w:rsidRPr="00633989">
        <w:rPr>
          <w:szCs w:val="16"/>
          <w:vertAlign w:val="superscript"/>
        </w:rPr>
        <w:t xml:space="preserve"> </w:t>
      </w:r>
      <w:r w:rsidRPr="00633989">
        <w:rPr>
          <w:szCs w:val="16"/>
        </w:rPr>
        <w:t>Other studies such as Blackburn (2006), find differential impacts on more versus lesser known artists.</w:t>
      </w:r>
      <w:r w:rsidRPr="00633989">
        <w:rPr>
          <w:szCs w:val="16"/>
          <w:vertAlign w:val="superscript"/>
        </w:rPr>
        <w:t xml:space="preserve"> </w:t>
      </w:r>
      <w:r w:rsidRPr="00633989">
        <w:rPr>
          <w:szCs w:val="16"/>
        </w:rPr>
        <w:t xml:space="preserve">Others found that while album sales fell, the impact on complementary revenue sources such as concert sales increased – e.g. Mortimer, </w:t>
      </w:r>
      <w:proofErr w:type="spellStart"/>
      <w:r w:rsidRPr="00633989">
        <w:rPr>
          <w:szCs w:val="16"/>
        </w:rPr>
        <w:t>Nosko</w:t>
      </w:r>
      <w:proofErr w:type="spellEnd"/>
      <w:r w:rsidRPr="00633989">
        <w:rPr>
          <w:szCs w:val="16"/>
        </w:rPr>
        <w:t xml:space="preserve"> and Sorensen (2012). </w:t>
      </w:r>
    </w:p>
    <w:p w14:paraId="1A0FA77D" w14:textId="77777777" w:rsidR="00730D0C" w:rsidRPr="00633989" w:rsidRDefault="00730D0C" w:rsidP="00FF77F2">
      <w:pPr>
        <w:pStyle w:val="FootnoteText"/>
        <w:spacing w:before="120" w:after="120"/>
        <w:rPr>
          <w:szCs w:val="16"/>
        </w:rPr>
      </w:pPr>
      <w:r w:rsidRPr="00633989">
        <w:rPr>
          <w:szCs w:val="16"/>
        </w:rPr>
        <w:t xml:space="preserve">Empirical research on the broadening or narrowing of copyright has rarely supported any significant impact of copyright works [see Hui and </w:t>
      </w:r>
      <w:proofErr w:type="spellStart"/>
      <w:r w:rsidRPr="00633989">
        <w:rPr>
          <w:szCs w:val="16"/>
        </w:rPr>
        <w:t>Png</w:t>
      </w:r>
      <w:proofErr w:type="spellEnd"/>
      <w:r w:rsidRPr="00633989">
        <w:rPr>
          <w:szCs w:val="16"/>
        </w:rPr>
        <w:t xml:space="preserve"> (2002), </w:t>
      </w:r>
      <w:proofErr w:type="spellStart"/>
      <w:r w:rsidRPr="00633989">
        <w:rPr>
          <w:szCs w:val="16"/>
        </w:rPr>
        <w:t>Landes</w:t>
      </w:r>
      <w:proofErr w:type="spellEnd"/>
      <w:r w:rsidRPr="00633989">
        <w:rPr>
          <w:szCs w:val="16"/>
        </w:rPr>
        <w:t xml:space="preserve"> and Posner (2003), Khan (2004), Scherer (2008), Wang (2009)]. More recently, Long (2011), found that strengthened intellectual property rights can positively influence music sales, based on factors including GDP, economic openness, population and employment rate. A study by </w:t>
      </w:r>
      <w:proofErr w:type="spellStart"/>
      <w:r w:rsidRPr="00633989">
        <w:rPr>
          <w:szCs w:val="16"/>
        </w:rPr>
        <w:t>Giorcelli</w:t>
      </w:r>
      <w:proofErr w:type="spellEnd"/>
      <w:r w:rsidRPr="00633989">
        <w:rPr>
          <w:szCs w:val="16"/>
        </w:rPr>
        <w:t xml:space="preserve"> and Moser (2015) found that the adoption of copyright laws within Italy led to a significant increase in the number of new operas between 1770 and 1900. However, this study has drawn some criticism for not controlling for the impact of other factors such as the differential influence of wealth.</w:t>
      </w:r>
    </w:p>
    <w:p w14:paraId="65991A69" w14:textId="77777777" w:rsidR="00730D0C" w:rsidRPr="00633989" w:rsidRDefault="00730D0C" w:rsidP="00FF77F2">
      <w:pPr>
        <w:pStyle w:val="FootnoteText"/>
        <w:spacing w:before="120" w:after="120"/>
        <w:rPr>
          <w:szCs w:val="16"/>
        </w:rPr>
      </w:pPr>
      <w:r w:rsidRPr="00633989">
        <w:rPr>
          <w:szCs w:val="16"/>
        </w:rPr>
        <w:t xml:space="preserve">See: </w:t>
      </w:r>
    </w:p>
    <w:p w14:paraId="3D970A3B" w14:textId="77777777" w:rsidR="00730D0C" w:rsidRPr="00633989" w:rsidRDefault="00730D0C" w:rsidP="00FF77F2">
      <w:pPr>
        <w:pStyle w:val="FootnoteText"/>
        <w:spacing w:before="120" w:after="120"/>
        <w:rPr>
          <w:szCs w:val="16"/>
        </w:rPr>
      </w:pPr>
      <w:r w:rsidRPr="00633989">
        <w:rPr>
          <w:szCs w:val="16"/>
        </w:rPr>
        <w:t xml:space="preserve">Andersen, B and </w:t>
      </w:r>
      <w:proofErr w:type="spellStart"/>
      <w:r w:rsidRPr="00633989">
        <w:rPr>
          <w:szCs w:val="16"/>
        </w:rPr>
        <w:t>Frenz</w:t>
      </w:r>
      <w:proofErr w:type="spellEnd"/>
      <w:r w:rsidRPr="00633989">
        <w:rPr>
          <w:szCs w:val="16"/>
        </w:rPr>
        <w:t>, M (2010), ‘</w:t>
      </w:r>
      <w:proofErr w:type="gramStart"/>
      <w:r w:rsidRPr="00633989">
        <w:rPr>
          <w:szCs w:val="16"/>
        </w:rPr>
        <w:t>Don't</w:t>
      </w:r>
      <w:proofErr w:type="gramEnd"/>
      <w:r w:rsidRPr="00633989">
        <w:rPr>
          <w:szCs w:val="16"/>
        </w:rPr>
        <w:t xml:space="preserve"> Blame the P2P File-Sharers: The impact of free music downloads on the purchase of music CDs in Canada’, Journal of Evolutionary Economics, 20:715-40; Barker, G.R (2012), Evidence of the effect of free music downloads on the purchase of music CDS in Canada. </w:t>
      </w:r>
      <w:r w:rsidRPr="00633989">
        <w:rPr>
          <w:i/>
          <w:szCs w:val="16"/>
        </w:rPr>
        <w:t xml:space="preserve">Review of economic research on copyright issues, </w:t>
      </w:r>
      <w:r w:rsidRPr="00633989">
        <w:rPr>
          <w:szCs w:val="16"/>
        </w:rPr>
        <w:t xml:space="preserve">9(2), 55-78; Blackburn, D (2006) (older version 2004). A Study of Online Piracy and Recorded Music Sales. Working paper, Harvard University. Online: http://www.katallaxi.se/grejer/blackburn/blackburn_fs.pdf (older version); </w:t>
      </w:r>
      <w:proofErr w:type="spellStart"/>
      <w:r w:rsidRPr="00633989">
        <w:rPr>
          <w:szCs w:val="16"/>
        </w:rPr>
        <w:t>Giorcelli</w:t>
      </w:r>
      <w:proofErr w:type="spellEnd"/>
      <w:r w:rsidRPr="00633989">
        <w:rPr>
          <w:szCs w:val="16"/>
        </w:rPr>
        <w:t xml:space="preserve">, M and Moser, P (2015), ‘Copyright and Creativity: Evidence from Italian operas’; </w:t>
      </w:r>
      <w:proofErr w:type="spellStart"/>
      <w:r w:rsidRPr="00633989">
        <w:rPr>
          <w:szCs w:val="16"/>
        </w:rPr>
        <w:t>Handke</w:t>
      </w:r>
      <w:proofErr w:type="spellEnd"/>
      <w:r w:rsidRPr="00633989">
        <w:rPr>
          <w:szCs w:val="16"/>
        </w:rPr>
        <w:t xml:space="preserve">, C (2012), ‘Digital copying and the supply of sound recordings’, </w:t>
      </w:r>
      <w:r w:rsidRPr="00633989">
        <w:rPr>
          <w:i/>
          <w:szCs w:val="16"/>
        </w:rPr>
        <w:t>Information Economics and Policy</w:t>
      </w:r>
      <w:r w:rsidRPr="00633989">
        <w:rPr>
          <w:szCs w:val="16"/>
        </w:rPr>
        <w:t xml:space="preserve">, 24(1):15-29; </w:t>
      </w:r>
      <w:proofErr w:type="spellStart"/>
      <w:r w:rsidRPr="00633989">
        <w:rPr>
          <w:szCs w:val="16"/>
        </w:rPr>
        <w:t>Handke</w:t>
      </w:r>
      <w:proofErr w:type="spellEnd"/>
      <w:r w:rsidRPr="00633989">
        <w:rPr>
          <w:szCs w:val="16"/>
        </w:rPr>
        <w:t xml:space="preserve">, C (2012), ‘Digital copying and the supply of sound recordings’, </w:t>
      </w:r>
      <w:r w:rsidRPr="00633989">
        <w:rPr>
          <w:i/>
          <w:szCs w:val="16"/>
        </w:rPr>
        <w:t>Information Economics and Policy</w:t>
      </w:r>
      <w:r w:rsidRPr="00633989">
        <w:rPr>
          <w:szCs w:val="16"/>
        </w:rPr>
        <w:t xml:space="preserve">, 24(1):15-29; Hui, K-L and </w:t>
      </w:r>
      <w:proofErr w:type="spellStart"/>
      <w:r w:rsidRPr="00633989">
        <w:rPr>
          <w:szCs w:val="16"/>
        </w:rPr>
        <w:t>Png</w:t>
      </w:r>
      <w:proofErr w:type="spellEnd"/>
      <w:r w:rsidRPr="00633989">
        <w:rPr>
          <w:szCs w:val="16"/>
        </w:rPr>
        <w:t xml:space="preserve">, IPL (2002), ‘On the supply of creative work: Evidence from the movies’, </w:t>
      </w:r>
      <w:r w:rsidRPr="00633989">
        <w:rPr>
          <w:i/>
          <w:szCs w:val="16"/>
        </w:rPr>
        <w:t>The American Economic Review</w:t>
      </w:r>
      <w:r w:rsidRPr="00633989">
        <w:rPr>
          <w:szCs w:val="16"/>
        </w:rPr>
        <w:t xml:space="preserve">, 92(2):217-220; Khan, BZ (2004), ‘Does Copyright Piracy Pay? The effects of US international copyright laws on the market for books’, NBER Working Paper No. 10271; Scherer, F.M (2008) ‘The emergence of musical copyright in Europe from 1709 to 1850’, </w:t>
      </w:r>
      <w:r w:rsidRPr="00633989">
        <w:rPr>
          <w:i/>
          <w:szCs w:val="16"/>
        </w:rPr>
        <w:t>Review of Economic Research on Copyright Issues</w:t>
      </w:r>
      <w:r w:rsidRPr="00633989">
        <w:rPr>
          <w:szCs w:val="16"/>
        </w:rPr>
        <w:t xml:space="preserve"> 5(2); 3-18; </w:t>
      </w:r>
      <w:proofErr w:type="spellStart"/>
      <w:r w:rsidRPr="00633989">
        <w:rPr>
          <w:szCs w:val="16"/>
        </w:rPr>
        <w:t>Landes</w:t>
      </w:r>
      <w:proofErr w:type="spellEnd"/>
      <w:r w:rsidRPr="00633989">
        <w:rPr>
          <w:szCs w:val="16"/>
        </w:rPr>
        <w:t xml:space="preserve">, W.M and </w:t>
      </w:r>
      <w:proofErr w:type="spellStart"/>
      <w:r w:rsidRPr="00633989">
        <w:rPr>
          <w:szCs w:val="16"/>
        </w:rPr>
        <w:t>R.a</w:t>
      </w:r>
      <w:proofErr w:type="spellEnd"/>
      <w:r w:rsidRPr="00633989">
        <w:rPr>
          <w:szCs w:val="16"/>
        </w:rPr>
        <w:t xml:space="preserve"> Posner (2003), </w:t>
      </w:r>
      <w:r w:rsidRPr="00633989">
        <w:rPr>
          <w:i/>
          <w:szCs w:val="16"/>
        </w:rPr>
        <w:t xml:space="preserve">The Economic Structure of Intellectual Property Law, </w:t>
      </w:r>
      <w:r w:rsidRPr="00633989">
        <w:rPr>
          <w:szCs w:val="16"/>
        </w:rPr>
        <w:t xml:space="preserve">Cambridge, MA: The </w:t>
      </w:r>
      <w:proofErr w:type="spellStart"/>
      <w:r w:rsidRPr="00633989">
        <w:rPr>
          <w:szCs w:val="16"/>
        </w:rPr>
        <w:t>Belknap</w:t>
      </w:r>
      <w:proofErr w:type="spellEnd"/>
      <w:r w:rsidRPr="00633989">
        <w:rPr>
          <w:szCs w:val="16"/>
        </w:rPr>
        <w:t xml:space="preserve"> Press of Harvard University Press; Leibowitz, S.J (2008) ‘Testing File-Sharing’s Impact by Examining Record Sales in Cities’, </w:t>
      </w:r>
      <w:r w:rsidRPr="00633989">
        <w:rPr>
          <w:i/>
          <w:szCs w:val="16"/>
        </w:rPr>
        <w:t>Management Science</w:t>
      </w:r>
      <w:r w:rsidRPr="00633989">
        <w:rPr>
          <w:szCs w:val="16"/>
        </w:rPr>
        <w:t xml:space="preserve"> 54(4); 852-859; Long, X. (2011), Intellectual property rights protection and recorded music sales – focus on 26 OECD countries panel data, </w:t>
      </w:r>
      <w:r w:rsidRPr="00633989">
        <w:rPr>
          <w:i/>
          <w:szCs w:val="16"/>
        </w:rPr>
        <w:t>Frontiers of Economics in China</w:t>
      </w:r>
      <w:r w:rsidRPr="00633989">
        <w:t xml:space="preserve">, </w:t>
      </w:r>
      <w:r w:rsidRPr="00633989">
        <w:rPr>
          <w:szCs w:val="16"/>
        </w:rPr>
        <w:t xml:space="preserve">6(2):211-28; Mortimer, JH, </w:t>
      </w:r>
      <w:proofErr w:type="spellStart"/>
      <w:r w:rsidRPr="00633989">
        <w:rPr>
          <w:szCs w:val="16"/>
        </w:rPr>
        <w:t>Nosko</w:t>
      </w:r>
      <w:proofErr w:type="spellEnd"/>
      <w:r w:rsidRPr="00633989">
        <w:rPr>
          <w:szCs w:val="16"/>
        </w:rPr>
        <w:t xml:space="preserve">, C and Sorensen, A (2012), ‘Supply responses to digital distribution: Recorded music and live performances’, </w:t>
      </w:r>
      <w:r w:rsidRPr="00633989">
        <w:rPr>
          <w:i/>
          <w:szCs w:val="16"/>
        </w:rPr>
        <w:t>Information Economics and Policy</w:t>
      </w:r>
      <w:r w:rsidRPr="00633989">
        <w:rPr>
          <w:szCs w:val="16"/>
        </w:rPr>
        <w:t xml:space="preserve">, 24:3-14; </w:t>
      </w:r>
      <w:proofErr w:type="spellStart"/>
      <w:r w:rsidRPr="00633989">
        <w:rPr>
          <w:szCs w:val="16"/>
        </w:rPr>
        <w:t>Oberholzer</w:t>
      </w:r>
      <w:proofErr w:type="spellEnd"/>
      <w:r w:rsidRPr="00633989">
        <w:rPr>
          <w:szCs w:val="16"/>
        </w:rPr>
        <w:t xml:space="preserve">-Gee, F and </w:t>
      </w:r>
      <w:proofErr w:type="spellStart"/>
      <w:r w:rsidRPr="00633989">
        <w:rPr>
          <w:szCs w:val="16"/>
        </w:rPr>
        <w:t>Strumpf</w:t>
      </w:r>
      <w:proofErr w:type="spellEnd"/>
      <w:r w:rsidRPr="00633989">
        <w:rPr>
          <w:szCs w:val="16"/>
        </w:rPr>
        <w:t xml:space="preserve">, K (2007), ‘The Effect of File Sharing on Record Sales: An empirical analysis’, </w:t>
      </w:r>
      <w:r w:rsidRPr="00633989">
        <w:rPr>
          <w:i/>
          <w:szCs w:val="16"/>
        </w:rPr>
        <w:t>Journal of Political Economy</w:t>
      </w:r>
      <w:r w:rsidRPr="00633989">
        <w:rPr>
          <w:szCs w:val="16"/>
        </w:rPr>
        <w:t xml:space="preserve">, 115(1):1-42.;Png, I.P.L. and Q.H. Wang (2009) </w:t>
      </w:r>
      <w:r w:rsidRPr="00633989">
        <w:rPr>
          <w:i/>
          <w:szCs w:val="16"/>
        </w:rPr>
        <w:t>Copyright Law and the Supply of Creative Work: Evidence from the Movies</w:t>
      </w:r>
      <w:r w:rsidRPr="00633989">
        <w:rPr>
          <w:szCs w:val="16"/>
        </w:rPr>
        <w:t xml:space="preserve">, Working paper, National University of Singapore; Scherer, F.M (2008) ‘The emergence of musical copyright in Europe from 1709 to 1850’, </w:t>
      </w:r>
      <w:r w:rsidRPr="00633989">
        <w:rPr>
          <w:i/>
          <w:szCs w:val="16"/>
        </w:rPr>
        <w:t>Review of Economic Research on Copyright Issues</w:t>
      </w:r>
      <w:r w:rsidRPr="00633989">
        <w:rPr>
          <w:szCs w:val="16"/>
        </w:rPr>
        <w:t xml:space="preserve"> 5(2); 3-18; </w:t>
      </w:r>
    </w:p>
  </w:footnote>
  <w:footnote w:id="17">
    <w:p w14:paraId="66705C56" w14:textId="77777777" w:rsidR="00730D0C" w:rsidRPr="00A6673F" w:rsidRDefault="00730D0C" w:rsidP="00610DD9">
      <w:pPr>
        <w:pStyle w:val="FootnoteText"/>
        <w:rPr>
          <w:szCs w:val="16"/>
        </w:rPr>
      </w:pPr>
      <w:r w:rsidRPr="00633989">
        <w:rPr>
          <w:rStyle w:val="FootnoteReference"/>
          <w:sz w:val="16"/>
          <w:szCs w:val="16"/>
        </w:rPr>
        <w:footnoteRef/>
      </w:r>
      <w:r w:rsidRPr="00633989">
        <w:rPr>
          <w:szCs w:val="16"/>
        </w:rPr>
        <w:t xml:space="preserve"> For a review of the literature on the economics of copyright see: </w:t>
      </w:r>
      <w:proofErr w:type="spellStart"/>
      <w:r w:rsidRPr="00633989">
        <w:rPr>
          <w:szCs w:val="16"/>
        </w:rPr>
        <w:t>Handke</w:t>
      </w:r>
      <w:proofErr w:type="spellEnd"/>
      <w:r w:rsidRPr="00633989">
        <w:rPr>
          <w:szCs w:val="16"/>
        </w:rPr>
        <w:t xml:space="preserve">, H (2010), </w:t>
      </w:r>
      <w:r w:rsidRPr="00633989">
        <w:rPr>
          <w:i/>
          <w:szCs w:val="16"/>
        </w:rPr>
        <w:t xml:space="preserve">The Economics of Copyright and Digitization: A report on the literature and the need for further research, </w:t>
      </w:r>
      <w:r w:rsidRPr="00633989">
        <w:rPr>
          <w:szCs w:val="16"/>
        </w:rPr>
        <w:t>research commissioned by the Strategic Advisory Board for Intellectual Property Policy.</w:t>
      </w:r>
    </w:p>
  </w:footnote>
  <w:footnote w:id="18">
    <w:p w14:paraId="7F934673"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proofErr w:type="spellStart"/>
      <w:r w:rsidRPr="00A6673F">
        <w:rPr>
          <w:szCs w:val="16"/>
        </w:rPr>
        <w:t>Langus</w:t>
      </w:r>
      <w:proofErr w:type="spellEnd"/>
      <w:r w:rsidRPr="00A6673F">
        <w:rPr>
          <w:szCs w:val="16"/>
        </w:rPr>
        <w:t xml:space="preserve">, G, Neven, D and Shier, G (2013), </w:t>
      </w:r>
      <w:r w:rsidRPr="00A6673F">
        <w:rPr>
          <w:i/>
          <w:szCs w:val="16"/>
        </w:rPr>
        <w:t xml:space="preserve">Assessing the economic impacts of adapting certain limitations and exceptions to copyright and related rights in the EU, </w:t>
      </w:r>
      <w:r w:rsidRPr="00A6673F">
        <w:rPr>
          <w:szCs w:val="16"/>
        </w:rPr>
        <w:t>prepared for the European Commission, p.11.</w:t>
      </w:r>
    </w:p>
  </w:footnote>
  <w:footnote w:id="19">
    <w:p w14:paraId="5002A99B"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Boyer, M (2004), </w:t>
      </w:r>
      <w:r w:rsidRPr="00A6673F">
        <w:rPr>
          <w:i/>
          <w:szCs w:val="16"/>
        </w:rPr>
        <w:t xml:space="preserve">Assessing the Economic Impact of Copyright Reform, </w:t>
      </w:r>
      <w:r w:rsidRPr="00A6673F">
        <w:rPr>
          <w:szCs w:val="16"/>
        </w:rPr>
        <w:t>CIRANO, p.31.</w:t>
      </w:r>
    </w:p>
  </w:footnote>
  <w:footnote w:id="20">
    <w:p w14:paraId="113174A8"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Hargreaves I (2011), </w:t>
      </w:r>
      <w:r w:rsidRPr="00A6673F">
        <w:rPr>
          <w:i/>
          <w:szCs w:val="16"/>
        </w:rPr>
        <w:t xml:space="preserve">Digital Opportunity – A review of intellectual property and growth, </w:t>
      </w:r>
      <w:r w:rsidRPr="00A6673F">
        <w:rPr>
          <w:szCs w:val="16"/>
        </w:rPr>
        <w:t>p.18.</w:t>
      </w:r>
    </w:p>
  </w:footnote>
  <w:footnote w:id="21">
    <w:p w14:paraId="3155003D"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Telstra (2012), ALRC submission.</w:t>
      </w:r>
    </w:p>
  </w:footnote>
  <w:footnote w:id="22">
    <w:p w14:paraId="24F6E846"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ALRC (2013), </w:t>
      </w:r>
      <w:r w:rsidRPr="00A6673F">
        <w:rPr>
          <w:i/>
          <w:szCs w:val="16"/>
        </w:rPr>
        <w:t>Copyright in the Digital Economy: Final report</w:t>
      </w:r>
      <w:r w:rsidRPr="00A6673F">
        <w:rPr>
          <w:szCs w:val="16"/>
        </w:rPr>
        <w:t>, p.196.</w:t>
      </w:r>
    </w:p>
  </w:footnote>
  <w:footnote w:id="23">
    <w:p w14:paraId="2F397D2D"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sidRPr="00A6673F">
        <w:rPr>
          <w:i/>
          <w:szCs w:val="16"/>
        </w:rPr>
        <w:t>Ibid</w:t>
      </w:r>
      <w:r w:rsidRPr="00A6673F">
        <w:rPr>
          <w:szCs w:val="16"/>
        </w:rPr>
        <w:t>. p.163.</w:t>
      </w:r>
    </w:p>
  </w:footnote>
  <w:footnote w:id="24">
    <w:p w14:paraId="4B840695" w14:textId="77777777" w:rsidR="00730D0C" w:rsidRPr="00A6673F" w:rsidRDefault="00730D0C" w:rsidP="00610DD9">
      <w:pPr>
        <w:pStyle w:val="FootnoteText"/>
        <w:rPr>
          <w:i/>
          <w:szCs w:val="16"/>
        </w:rPr>
      </w:pPr>
      <w:r w:rsidRPr="00A6673F">
        <w:rPr>
          <w:rStyle w:val="FootnoteReference"/>
          <w:sz w:val="16"/>
          <w:szCs w:val="16"/>
        </w:rPr>
        <w:footnoteRef/>
      </w:r>
      <w:r w:rsidRPr="00A6673F">
        <w:rPr>
          <w:szCs w:val="16"/>
        </w:rPr>
        <w:t xml:space="preserve"> </w:t>
      </w:r>
      <w:r w:rsidRPr="00A6673F">
        <w:rPr>
          <w:i/>
          <w:szCs w:val="16"/>
        </w:rPr>
        <w:t>Ibid</w:t>
      </w:r>
      <w:r w:rsidRPr="00A6673F">
        <w:rPr>
          <w:szCs w:val="16"/>
        </w:rPr>
        <w:t>.</w:t>
      </w:r>
    </w:p>
  </w:footnote>
  <w:footnote w:id="25">
    <w:p w14:paraId="22FD56CD"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proofErr w:type="spellStart"/>
      <w:r w:rsidRPr="0046266A">
        <w:rPr>
          <w:szCs w:val="16"/>
        </w:rPr>
        <w:t>Ricketson</w:t>
      </w:r>
      <w:proofErr w:type="spellEnd"/>
      <w:r w:rsidRPr="0046266A">
        <w:rPr>
          <w:szCs w:val="16"/>
        </w:rPr>
        <w:t xml:space="preserve">, S and Ginsburg, J, cited in: ALRC (2013), </w:t>
      </w:r>
      <w:r w:rsidRPr="0046266A">
        <w:rPr>
          <w:i/>
          <w:szCs w:val="16"/>
        </w:rPr>
        <w:t>Copyright in the Digital Economy: Final report</w:t>
      </w:r>
      <w:r w:rsidRPr="0046266A">
        <w:rPr>
          <w:szCs w:val="16"/>
        </w:rPr>
        <w:t>.</w:t>
      </w:r>
    </w:p>
  </w:footnote>
  <w:footnote w:id="26">
    <w:p w14:paraId="6BF7B3B0"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proofErr w:type="spellStart"/>
      <w:r w:rsidRPr="00A6673F">
        <w:rPr>
          <w:szCs w:val="16"/>
        </w:rPr>
        <w:t>Adeney</w:t>
      </w:r>
      <w:proofErr w:type="spellEnd"/>
      <w:r w:rsidRPr="00A6673F">
        <w:rPr>
          <w:szCs w:val="16"/>
        </w:rPr>
        <w:t>, E (2013), ‘Appropriation in the Name of Art: Is a quotation exception the answer?</w:t>
      </w:r>
      <w:proofErr w:type="gramStart"/>
      <w:r w:rsidRPr="00A6673F">
        <w:rPr>
          <w:szCs w:val="16"/>
        </w:rPr>
        <w:t>’,</w:t>
      </w:r>
      <w:proofErr w:type="gramEnd"/>
      <w:r w:rsidRPr="00A6673F">
        <w:rPr>
          <w:szCs w:val="16"/>
        </w:rPr>
        <w:t xml:space="preserve"> </w:t>
      </w:r>
      <w:r w:rsidRPr="00A6673F">
        <w:rPr>
          <w:i/>
          <w:szCs w:val="16"/>
        </w:rPr>
        <w:t>Australian Intellectual Property Journal</w:t>
      </w:r>
      <w:r w:rsidRPr="00A6673F">
        <w:rPr>
          <w:szCs w:val="16"/>
        </w:rPr>
        <w:t xml:space="preserve"> 23(3):142.</w:t>
      </w:r>
    </w:p>
  </w:footnote>
  <w:footnote w:id="27">
    <w:p w14:paraId="18B55024"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sidRPr="00A6673F">
        <w:rPr>
          <w:i/>
          <w:szCs w:val="16"/>
        </w:rPr>
        <w:t>Larrikin Music Publishing Pty Ltd v EMI Songs Australia Pty Limited [2010] FCA 29.</w:t>
      </w:r>
      <w:r w:rsidRPr="00A6673F">
        <w:rPr>
          <w:szCs w:val="16"/>
        </w:rPr>
        <w:t xml:space="preserve"> </w:t>
      </w:r>
    </w:p>
  </w:footnote>
  <w:footnote w:id="28">
    <w:p w14:paraId="7ED02973" w14:textId="77777777" w:rsidR="00730D0C" w:rsidRPr="00A6673F" w:rsidRDefault="00730D0C" w:rsidP="00610DD9">
      <w:pPr>
        <w:pStyle w:val="FootnoteText"/>
        <w:tabs>
          <w:tab w:val="left" w:pos="7408"/>
        </w:tabs>
        <w:rPr>
          <w:szCs w:val="16"/>
        </w:rPr>
      </w:pPr>
      <w:r w:rsidRPr="00A6673F">
        <w:rPr>
          <w:rStyle w:val="FootnoteReference"/>
          <w:sz w:val="16"/>
          <w:szCs w:val="16"/>
        </w:rPr>
        <w:footnoteRef/>
      </w:r>
      <w:r w:rsidRPr="00A6673F">
        <w:rPr>
          <w:szCs w:val="16"/>
        </w:rPr>
        <w:t xml:space="preserve"> Australian Copyright Council (2014), ‘Information Sheet: Quotes &amp; extracts’, available at: http://www.copyright.org.au/acc_prod/ACC/Information_Sheets/Quotes___Extracts.aspx.</w:t>
      </w:r>
    </w:p>
  </w:footnote>
  <w:footnote w:id="29">
    <w:p w14:paraId="12D31FB5"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proofErr w:type="spellStart"/>
      <w:r w:rsidRPr="00A6673F">
        <w:rPr>
          <w:szCs w:val="16"/>
        </w:rPr>
        <w:t>Adeney</w:t>
      </w:r>
      <w:proofErr w:type="spellEnd"/>
      <w:r w:rsidRPr="00A6673F">
        <w:rPr>
          <w:szCs w:val="16"/>
        </w:rPr>
        <w:t>, E (2013), ‘Appropriation in the Name of Art: Is a quotation exception the answer?</w:t>
      </w:r>
      <w:proofErr w:type="gramStart"/>
      <w:r w:rsidRPr="00A6673F">
        <w:rPr>
          <w:szCs w:val="16"/>
        </w:rPr>
        <w:t>’,</w:t>
      </w:r>
      <w:proofErr w:type="gramEnd"/>
      <w:r w:rsidRPr="00A6673F">
        <w:rPr>
          <w:szCs w:val="16"/>
        </w:rPr>
        <w:t xml:space="preserve"> </w:t>
      </w:r>
      <w:r w:rsidRPr="00A6673F">
        <w:rPr>
          <w:i/>
          <w:szCs w:val="16"/>
        </w:rPr>
        <w:t>Australian Intellectual Property Journal</w:t>
      </w:r>
      <w:r w:rsidRPr="00A6673F">
        <w:rPr>
          <w:szCs w:val="16"/>
        </w:rPr>
        <w:t xml:space="preserve"> 23(3):144.</w:t>
      </w:r>
    </w:p>
  </w:footnote>
  <w:footnote w:id="30">
    <w:p w14:paraId="48743134"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ALRC (2013), </w:t>
      </w:r>
      <w:r w:rsidRPr="00A6673F">
        <w:rPr>
          <w:i/>
          <w:szCs w:val="16"/>
        </w:rPr>
        <w:t>Copyright in the Digital Economy: Final report</w:t>
      </w:r>
      <w:r w:rsidRPr="00A6673F">
        <w:rPr>
          <w:szCs w:val="16"/>
        </w:rPr>
        <w:t>, p.217.</w:t>
      </w:r>
    </w:p>
  </w:footnote>
  <w:footnote w:id="31">
    <w:p w14:paraId="2C90788D"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proofErr w:type="gramStart"/>
      <w:r w:rsidRPr="00A6673F">
        <w:rPr>
          <w:i/>
          <w:szCs w:val="16"/>
        </w:rPr>
        <w:t>Ibid</w:t>
      </w:r>
      <w:r w:rsidRPr="00A6673F">
        <w:rPr>
          <w:szCs w:val="16"/>
        </w:rPr>
        <w:t>.,</w:t>
      </w:r>
      <w:proofErr w:type="gramEnd"/>
      <w:r w:rsidRPr="00A6673F">
        <w:rPr>
          <w:szCs w:val="16"/>
        </w:rPr>
        <w:t xml:space="preserve"> p.211.</w:t>
      </w:r>
    </w:p>
  </w:footnote>
  <w:footnote w:id="32">
    <w:p w14:paraId="3D6D78D6"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proofErr w:type="gramStart"/>
      <w:r w:rsidRPr="00A6673F">
        <w:rPr>
          <w:i/>
          <w:szCs w:val="16"/>
        </w:rPr>
        <w:t>Ibid</w:t>
      </w:r>
      <w:r w:rsidRPr="00A6673F">
        <w:rPr>
          <w:szCs w:val="16"/>
        </w:rPr>
        <w:t>.,</w:t>
      </w:r>
      <w:proofErr w:type="gramEnd"/>
      <w:r w:rsidRPr="00A6673F">
        <w:rPr>
          <w:szCs w:val="16"/>
        </w:rPr>
        <w:t xml:space="preserve"> p.212.</w:t>
      </w:r>
    </w:p>
  </w:footnote>
  <w:footnote w:id="33">
    <w:p w14:paraId="2BC18BC0"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proofErr w:type="spellStart"/>
      <w:r w:rsidRPr="00A6673F">
        <w:rPr>
          <w:szCs w:val="16"/>
        </w:rPr>
        <w:t>Langus</w:t>
      </w:r>
      <w:proofErr w:type="spellEnd"/>
      <w:r w:rsidRPr="00A6673F">
        <w:rPr>
          <w:szCs w:val="16"/>
        </w:rPr>
        <w:t xml:space="preserve">, G, Neven, D and Shier, G (2013), </w:t>
      </w:r>
      <w:r w:rsidRPr="00A6673F">
        <w:rPr>
          <w:i/>
          <w:szCs w:val="16"/>
        </w:rPr>
        <w:t xml:space="preserve">Assessing the economic impacts of adapting certain limitations and exceptions to copyright and related rights in the EU, </w:t>
      </w:r>
      <w:r w:rsidRPr="00A6673F">
        <w:rPr>
          <w:szCs w:val="16"/>
        </w:rPr>
        <w:t>prepared for the European Commission, p.3.</w:t>
      </w:r>
    </w:p>
  </w:footnote>
  <w:footnote w:id="34">
    <w:p w14:paraId="3B1B0EB4"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sidRPr="00A6673F">
        <w:rPr>
          <w:i/>
          <w:szCs w:val="16"/>
        </w:rPr>
        <w:t>Ibid</w:t>
      </w:r>
      <w:r w:rsidRPr="00A6673F">
        <w:rPr>
          <w:szCs w:val="16"/>
        </w:rPr>
        <w:t>.</w:t>
      </w:r>
    </w:p>
  </w:footnote>
  <w:footnote w:id="35">
    <w:p w14:paraId="180FF3F2"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sidRPr="00A6673F">
        <w:rPr>
          <w:i/>
          <w:szCs w:val="16"/>
        </w:rPr>
        <w:t>Ibid</w:t>
      </w:r>
      <w:r w:rsidRPr="00A6673F">
        <w:rPr>
          <w:szCs w:val="16"/>
        </w:rPr>
        <w:t>.</w:t>
      </w:r>
    </w:p>
  </w:footnote>
  <w:footnote w:id="36">
    <w:p w14:paraId="370E5B9D"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Sensis (2015), ‘Sensis Social Media Report – How Australian people and businesses are using social media’, available at: https://www.sensis.com.au/assets/PDFdirectory/Sensis_Social_Media_Report_2015.pdf. </w:t>
      </w:r>
    </w:p>
  </w:footnote>
  <w:footnote w:id="37">
    <w:p w14:paraId="3CDD6190" w14:textId="77777777" w:rsidR="00730D0C" w:rsidRPr="00A6673F" w:rsidRDefault="00730D0C" w:rsidP="00610DD9">
      <w:pPr>
        <w:pStyle w:val="FootnoteText"/>
        <w:rPr>
          <w:i/>
          <w:szCs w:val="16"/>
        </w:rPr>
      </w:pPr>
      <w:r w:rsidRPr="00A6673F">
        <w:rPr>
          <w:rStyle w:val="FootnoteReference"/>
          <w:sz w:val="16"/>
          <w:szCs w:val="16"/>
        </w:rPr>
        <w:footnoteRef/>
      </w:r>
      <w:r w:rsidRPr="00A6673F">
        <w:rPr>
          <w:szCs w:val="16"/>
        </w:rPr>
        <w:t xml:space="preserve"> Australian Research Council (2015), </w:t>
      </w:r>
      <w:r w:rsidRPr="00A6673F">
        <w:rPr>
          <w:i/>
          <w:szCs w:val="16"/>
        </w:rPr>
        <w:t>State of Australian University Research 2015-16.</w:t>
      </w:r>
    </w:p>
  </w:footnote>
  <w:footnote w:id="38">
    <w:p w14:paraId="13F4AEC0"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UK Intellectual Property Office (2014), </w:t>
      </w:r>
      <w:r w:rsidRPr="00A6673F">
        <w:rPr>
          <w:i/>
          <w:szCs w:val="16"/>
        </w:rPr>
        <w:t xml:space="preserve">Impact Assessment: Exception for use of quotation and extracts in copyright works, </w:t>
      </w:r>
      <w:r w:rsidRPr="00A6673F">
        <w:rPr>
          <w:szCs w:val="16"/>
        </w:rPr>
        <w:t>p.4.</w:t>
      </w:r>
    </w:p>
  </w:footnote>
  <w:footnote w:id="39">
    <w:p w14:paraId="2CE0C2A2" w14:textId="77777777" w:rsidR="00730D0C" w:rsidRPr="00A6673F" w:rsidRDefault="00730D0C" w:rsidP="00610DD9">
      <w:pPr>
        <w:pStyle w:val="FootnoteText"/>
        <w:rPr>
          <w:i/>
          <w:szCs w:val="16"/>
        </w:rPr>
      </w:pPr>
      <w:r w:rsidRPr="00A6673F">
        <w:rPr>
          <w:rStyle w:val="FootnoteReference"/>
          <w:sz w:val="16"/>
          <w:szCs w:val="16"/>
        </w:rPr>
        <w:footnoteRef/>
      </w:r>
      <w:r w:rsidRPr="00A6673F">
        <w:rPr>
          <w:szCs w:val="16"/>
        </w:rPr>
        <w:t xml:space="preserve"> International Association of Scientific, Technical and Medical Publishers (2014), ‘STM permissions guidelines’ available at: http://www.stm-assoc.org/2016_02_26_STM_Permissions_Guidelines_2014.pdf. Also see publisher permission guidelines, for example, Wiley (http://au.wiley.com/WileyCDA/Section/id-302870.html) and Taylor and Francis (http://authorservices.taylorandfrancis.com/using-third-party-material-in-your-article/).</w:t>
      </w:r>
    </w:p>
  </w:footnote>
  <w:footnote w:id="40">
    <w:p w14:paraId="4597943F"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International Association of Scientific, Technical and Medical Publishers (2016), ‘Guidelines for quotation and other academic uses of excerpts from journal articles’, available at: http://www.stm-assoc.org/2016_01_05_Guidelines_for_Quotation_From_Journal_Articles.pdf.</w:t>
      </w:r>
    </w:p>
  </w:footnote>
  <w:footnote w:id="41">
    <w:p w14:paraId="631F1518"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PwC (2011), </w:t>
      </w:r>
      <w:proofErr w:type="gramStart"/>
      <w:r w:rsidRPr="00A6673F">
        <w:rPr>
          <w:i/>
          <w:szCs w:val="16"/>
        </w:rPr>
        <w:t>An</w:t>
      </w:r>
      <w:proofErr w:type="gramEnd"/>
      <w:r w:rsidRPr="00A6673F">
        <w:rPr>
          <w:i/>
          <w:szCs w:val="16"/>
        </w:rPr>
        <w:t xml:space="preserve"> economic analysis of copyright, secondary copyright and collective licensing, </w:t>
      </w:r>
      <w:r w:rsidRPr="00A6673F">
        <w:rPr>
          <w:szCs w:val="16"/>
        </w:rPr>
        <w:t>p.75.</w:t>
      </w:r>
    </w:p>
  </w:footnote>
  <w:footnote w:id="42">
    <w:p w14:paraId="3A791C40"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Universities Australia (2012), ALRC submission. </w:t>
      </w:r>
    </w:p>
  </w:footnote>
  <w:footnote w:id="43">
    <w:p w14:paraId="533D979E"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For example, see the University of Sydney’s website ‘Copyright and Your Thesis’: http://sydney.edu.au/copyright/students/research.shtml#publish</w:t>
      </w:r>
      <w:r w:rsidRPr="00A6673F">
        <w:rPr>
          <w:rStyle w:val="Hyperlink"/>
          <w:color w:val="auto"/>
          <w:szCs w:val="16"/>
        </w:rPr>
        <w:t>.</w:t>
      </w:r>
      <w:r w:rsidRPr="00A6673F">
        <w:rPr>
          <w:szCs w:val="16"/>
        </w:rPr>
        <w:t xml:space="preserve"> </w:t>
      </w:r>
    </w:p>
  </w:footnote>
  <w:footnote w:id="44">
    <w:p w14:paraId="7CEE7677"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Universities Australia (2012), ALRC submission.</w:t>
      </w:r>
    </w:p>
  </w:footnote>
  <w:footnote w:id="45">
    <w:p w14:paraId="6343ACEA"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Unpublished data provided by the Australian Copyright Council.</w:t>
      </w:r>
    </w:p>
  </w:footnote>
  <w:footnote w:id="46">
    <w:p w14:paraId="364D6640"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Copyright Agency | </w:t>
      </w:r>
      <w:proofErr w:type="spellStart"/>
      <w:r w:rsidRPr="00A6673F">
        <w:rPr>
          <w:szCs w:val="16"/>
        </w:rPr>
        <w:t>Viscopy</w:t>
      </w:r>
      <w:proofErr w:type="spellEnd"/>
      <w:r w:rsidRPr="00A6673F">
        <w:rPr>
          <w:szCs w:val="16"/>
        </w:rPr>
        <w:t xml:space="preserve"> (2012), ALRC submission. </w:t>
      </w:r>
    </w:p>
  </w:footnote>
  <w:footnote w:id="47">
    <w:p w14:paraId="5258658A" w14:textId="7D65ED31" w:rsidR="00730D0C" w:rsidRDefault="00730D0C" w:rsidP="00610DD9">
      <w:pPr>
        <w:pStyle w:val="FootnoteText"/>
        <w:rPr>
          <w:i/>
          <w:szCs w:val="16"/>
        </w:rPr>
      </w:pPr>
      <w:r w:rsidRPr="00A6673F">
        <w:rPr>
          <w:rStyle w:val="FootnoteReference"/>
          <w:sz w:val="16"/>
          <w:szCs w:val="16"/>
        </w:rPr>
        <w:footnoteRef/>
      </w:r>
      <w:r w:rsidRPr="00A6673F">
        <w:rPr>
          <w:szCs w:val="16"/>
        </w:rPr>
        <w:t xml:space="preserve"> Australian Society of Authors (2010), ‘ASA Online Use Rates’, available at: </w:t>
      </w:r>
      <w:r w:rsidRPr="00202E68">
        <w:t>https://www.asauthors.org/files/lib/ASA_Papers/ASA_Online_Use_Rates.pdf</w:t>
      </w:r>
      <w:r w:rsidRPr="00A6673F">
        <w:rPr>
          <w:i/>
          <w:szCs w:val="16"/>
        </w:rPr>
        <w:t>.</w:t>
      </w:r>
      <w:r>
        <w:rPr>
          <w:i/>
          <w:szCs w:val="16"/>
        </w:rPr>
        <w:t xml:space="preserve"> </w:t>
      </w:r>
    </w:p>
    <w:p w14:paraId="243C3321" w14:textId="77777777" w:rsidR="00730D0C" w:rsidRPr="00F72E3A" w:rsidRDefault="00730D0C" w:rsidP="00610DD9">
      <w:pPr>
        <w:pStyle w:val="FootnoteText"/>
        <w:rPr>
          <w:szCs w:val="16"/>
        </w:rPr>
      </w:pPr>
      <w:r>
        <w:rPr>
          <w:szCs w:val="16"/>
        </w:rPr>
        <w:t xml:space="preserve">The website does not provide any additional guidance on whether the fees are pro rata. </w:t>
      </w:r>
    </w:p>
  </w:footnote>
  <w:footnote w:id="48">
    <w:p w14:paraId="34824438"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UK Intellectual Property Office (2012), ‘Exception for use of quotations or extracts of copyright works’, available at: http://www.legislation.gov.uk/ukia/2014/164/pdfs/ukia_20140164_en.pdf.</w:t>
      </w:r>
    </w:p>
  </w:footnote>
  <w:footnote w:id="49">
    <w:p w14:paraId="047FD9E9"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APRA/AMCOS (2012), ALRC submission. </w:t>
      </w:r>
    </w:p>
  </w:footnote>
  <w:footnote w:id="50">
    <w:p w14:paraId="37D770A6"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Unpublished data provided by APRA/AMCOS.</w:t>
      </w:r>
    </w:p>
  </w:footnote>
  <w:footnote w:id="51">
    <w:p w14:paraId="5F096233"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ALRC (2013), </w:t>
      </w:r>
      <w:r w:rsidRPr="00A6673F">
        <w:rPr>
          <w:i/>
          <w:szCs w:val="16"/>
        </w:rPr>
        <w:t>Copyright in the Digital Economy: Final report</w:t>
      </w:r>
      <w:r w:rsidRPr="00A6673F">
        <w:rPr>
          <w:szCs w:val="16"/>
        </w:rPr>
        <w:t>, p.213.</w:t>
      </w:r>
    </w:p>
  </w:footnote>
  <w:footnote w:id="52">
    <w:p w14:paraId="06092CD3" w14:textId="77777777" w:rsidR="00730D0C" w:rsidRPr="00A6673F" w:rsidRDefault="00730D0C" w:rsidP="00610DD9">
      <w:pPr>
        <w:pStyle w:val="FootnoteText"/>
        <w:rPr>
          <w:i/>
          <w:szCs w:val="16"/>
        </w:rPr>
      </w:pPr>
      <w:r w:rsidRPr="00A6673F">
        <w:rPr>
          <w:rStyle w:val="FootnoteReference"/>
          <w:sz w:val="16"/>
          <w:szCs w:val="16"/>
        </w:rPr>
        <w:footnoteRef/>
      </w:r>
      <w:r w:rsidRPr="00A6673F">
        <w:rPr>
          <w:szCs w:val="16"/>
        </w:rPr>
        <w:t xml:space="preserve"> For example, see </w:t>
      </w:r>
      <w:r w:rsidRPr="00A6673F">
        <w:rPr>
          <w:i/>
          <w:szCs w:val="16"/>
        </w:rPr>
        <w:t xml:space="preserve">Bright Tunes Music v. </w:t>
      </w:r>
      <w:proofErr w:type="spellStart"/>
      <w:r w:rsidRPr="00A6673F">
        <w:rPr>
          <w:i/>
          <w:szCs w:val="16"/>
        </w:rPr>
        <w:t>Harrisongs</w:t>
      </w:r>
      <w:proofErr w:type="spellEnd"/>
      <w:r w:rsidRPr="00A6673F">
        <w:rPr>
          <w:i/>
          <w:szCs w:val="16"/>
        </w:rPr>
        <w:t xml:space="preserve"> Music</w:t>
      </w:r>
      <w:r w:rsidRPr="00A6673F">
        <w:rPr>
          <w:szCs w:val="16"/>
        </w:rPr>
        <w:t xml:space="preserve">; and </w:t>
      </w:r>
      <w:r w:rsidRPr="00A6673F">
        <w:rPr>
          <w:i/>
          <w:szCs w:val="16"/>
        </w:rPr>
        <w:t>Bridgeport Music, Inc. v. Dimension Films.</w:t>
      </w:r>
    </w:p>
  </w:footnote>
  <w:footnote w:id="53">
    <w:p w14:paraId="29095C84"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International Association of Scientific, Technical and Medical Publishers (2016), ‘Guidelines for quotation and other academic uses of excerpts from journal articles’, available at: http://www.stm-assoc.org/2016_01_05_Guidelines_for_Quotation_From_Journal_Articles.pdf.</w:t>
      </w:r>
    </w:p>
  </w:footnote>
  <w:footnote w:id="54">
    <w:p w14:paraId="672F00D4"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sidRPr="00A6673F">
        <w:rPr>
          <w:rFonts w:cs="Arial"/>
          <w:szCs w:val="16"/>
        </w:rPr>
        <w:t xml:space="preserve">Schuster, W. Michael (2013) ‘Fair Use, Girl Talk, and Digital Sampling: An empirical study of music sampling's effect on the market for copyrighted works’, </w:t>
      </w:r>
      <w:r w:rsidRPr="00A6673F">
        <w:rPr>
          <w:rFonts w:cs="Arial"/>
          <w:i/>
          <w:szCs w:val="16"/>
        </w:rPr>
        <w:t>Oklahoma Law Review</w:t>
      </w:r>
      <w:r w:rsidRPr="00A6673F">
        <w:rPr>
          <w:rFonts w:cs="Arial"/>
          <w:szCs w:val="16"/>
        </w:rPr>
        <w:t xml:space="preserve"> 67:443. </w:t>
      </w:r>
    </w:p>
  </w:footnote>
  <w:footnote w:id="55">
    <w:p w14:paraId="113FACCB"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sidRPr="00125124">
        <w:rPr>
          <w:szCs w:val="16"/>
        </w:rPr>
        <w:t xml:space="preserve">See: </w:t>
      </w:r>
      <w:r w:rsidRPr="0004136F">
        <w:rPr>
          <w:szCs w:val="16"/>
        </w:rPr>
        <w:t>Blackburn, D (2004), ‘</w:t>
      </w:r>
      <w:r w:rsidRPr="0004136F">
        <w:rPr>
          <w:iCs/>
          <w:szCs w:val="16"/>
        </w:rPr>
        <w:t>A Study of Online Piracy and Recorded Music Sales’, available at:</w:t>
      </w:r>
      <w:r w:rsidRPr="0004136F">
        <w:rPr>
          <w:szCs w:val="16"/>
        </w:rPr>
        <w:t xml:space="preserve"> http://www.katallaxi.se/grejer/blackburn/blackburn_fs.pdf</w:t>
      </w:r>
      <w:r w:rsidRPr="0004136F">
        <w:rPr>
          <w:b/>
          <w:szCs w:val="16"/>
        </w:rPr>
        <w:t xml:space="preserve">; </w:t>
      </w:r>
      <w:proofErr w:type="spellStart"/>
      <w:r w:rsidRPr="0004136F">
        <w:rPr>
          <w:szCs w:val="16"/>
        </w:rPr>
        <w:t>Bhattacharjee</w:t>
      </w:r>
      <w:proofErr w:type="spellEnd"/>
      <w:r w:rsidRPr="0004136F">
        <w:rPr>
          <w:szCs w:val="16"/>
        </w:rPr>
        <w:t xml:space="preserve">, S, Gopal, RD, </w:t>
      </w:r>
      <w:proofErr w:type="spellStart"/>
      <w:r w:rsidRPr="0004136F">
        <w:rPr>
          <w:szCs w:val="16"/>
        </w:rPr>
        <w:t>Lertwachara</w:t>
      </w:r>
      <w:proofErr w:type="spellEnd"/>
      <w:r w:rsidRPr="0004136F">
        <w:rPr>
          <w:szCs w:val="16"/>
        </w:rPr>
        <w:t xml:space="preserve">, K, Marsden, JR and </w:t>
      </w:r>
      <w:proofErr w:type="spellStart"/>
      <w:r w:rsidRPr="0004136F">
        <w:rPr>
          <w:szCs w:val="16"/>
        </w:rPr>
        <w:t>Telang</w:t>
      </w:r>
      <w:proofErr w:type="spellEnd"/>
      <w:r w:rsidRPr="0004136F">
        <w:rPr>
          <w:szCs w:val="16"/>
        </w:rPr>
        <w:t xml:space="preserve">, R (2007), ‘The Effect of Digital Sharing Technologies on Music Markets: A Survival Analysis of Albums on Ranking Charts’, </w:t>
      </w:r>
      <w:r w:rsidRPr="0004136F">
        <w:rPr>
          <w:i/>
          <w:iCs/>
          <w:szCs w:val="16"/>
        </w:rPr>
        <w:t xml:space="preserve">Management Science </w:t>
      </w:r>
      <w:r w:rsidRPr="0004136F">
        <w:rPr>
          <w:szCs w:val="16"/>
        </w:rPr>
        <w:t xml:space="preserve">53(9):1359-1374; Mortimer, JH, </w:t>
      </w:r>
      <w:proofErr w:type="spellStart"/>
      <w:r w:rsidRPr="0004136F">
        <w:rPr>
          <w:szCs w:val="16"/>
        </w:rPr>
        <w:t>Nosko</w:t>
      </w:r>
      <w:proofErr w:type="spellEnd"/>
      <w:r w:rsidRPr="0004136F">
        <w:rPr>
          <w:szCs w:val="16"/>
        </w:rPr>
        <w:t>, C and Sorensen, A (2010). ‘</w:t>
      </w:r>
      <w:r w:rsidRPr="0004136F">
        <w:rPr>
          <w:iCs/>
          <w:szCs w:val="16"/>
        </w:rPr>
        <w:t>Supply Responses to Digital Distribution: Recorded Music and Live Performances’,</w:t>
      </w:r>
      <w:r w:rsidRPr="0004136F">
        <w:rPr>
          <w:szCs w:val="16"/>
        </w:rPr>
        <w:t xml:space="preserve"> NBER Working Paper No. 16507; </w:t>
      </w:r>
      <w:proofErr w:type="spellStart"/>
      <w:r w:rsidRPr="0004136F">
        <w:rPr>
          <w:szCs w:val="16"/>
        </w:rPr>
        <w:t>Chiou</w:t>
      </w:r>
      <w:proofErr w:type="spellEnd"/>
      <w:r w:rsidRPr="0004136F">
        <w:rPr>
          <w:szCs w:val="16"/>
        </w:rPr>
        <w:t>, L and Tucker, C (2011), ‘Copyright, Digitisation and Aggregation’</w:t>
      </w:r>
      <w:r w:rsidRPr="0004136F">
        <w:rPr>
          <w:i/>
          <w:szCs w:val="16"/>
        </w:rPr>
        <w:t xml:space="preserve">, </w:t>
      </w:r>
      <w:r w:rsidRPr="0004136F">
        <w:rPr>
          <w:szCs w:val="16"/>
        </w:rPr>
        <w:t xml:space="preserve">NET Institute Working Paper No. 11-18; </w:t>
      </w:r>
      <w:proofErr w:type="spellStart"/>
      <w:r w:rsidRPr="0004136F">
        <w:rPr>
          <w:szCs w:val="16"/>
        </w:rPr>
        <w:t>Belleflammea</w:t>
      </w:r>
      <w:proofErr w:type="spellEnd"/>
      <w:r w:rsidRPr="0004136F">
        <w:rPr>
          <w:szCs w:val="16"/>
        </w:rPr>
        <w:t xml:space="preserve">, P and </w:t>
      </w:r>
      <w:proofErr w:type="spellStart"/>
      <w:r w:rsidRPr="0004136F">
        <w:rPr>
          <w:szCs w:val="16"/>
        </w:rPr>
        <w:t>Peitz</w:t>
      </w:r>
      <w:proofErr w:type="spellEnd"/>
      <w:r w:rsidRPr="0004136F">
        <w:rPr>
          <w:szCs w:val="16"/>
        </w:rPr>
        <w:t xml:space="preserve">, M (2014), ‘Digital piracy’; </w:t>
      </w:r>
      <w:proofErr w:type="spellStart"/>
      <w:r w:rsidRPr="0004136F">
        <w:rPr>
          <w:iCs/>
          <w:szCs w:val="16"/>
        </w:rPr>
        <w:t>Liebowitz</w:t>
      </w:r>
      <w:proofErr w:type="spellEnd"/>
      <w:r w:rsidRPr="0004136F">
        <w:rPr>
          <w:iCs/>
          <w:szCs w:val="16"/>
        </w:rPr>
        <w:t xml:space="preserve">, S (2014). </w:t>
      </w:r>
      <w:r w:rsidRPr="0004136F">
        <w:rPr>
          <w:i/>
          <w:iCs/>
          <w:szCs w:val="16"/>
        </w:rPr>
        <w:t xml:space="preserve">The Impacts of Internet Piracy. In The Economics of Copyright: A Handbook for Students and Teachers, </w:t>
      </w:r>
      <w:r w:rsidRPr="0004136F">
        <w:rPr>
          <w:iCs/>
          <w:szCs w:val="16"/>
        </w:rPr>
        <w:t>Watt, eds. Edward Elgar Publishers, pp. 225-240.</w:t>
      </w:r>
    </w:p>
  </w:footnote>
  <w:footnote w:id="56">
    <w:p w14:paraId="52D4B12D"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proofErr w:type="spellStart"/>
      <w:r w:rsidRPr="00A6673F">
        <w:rPr>
          <w:szCs w:val="16"/>
        </w:rPr>
        <w:t>Boulenger</w:t>
      </w:r>
      <w:proofErr w:type="spellEnd"/>
      <w:r w:rsidRPr="00A6673F">
        <w:rPr>
          <w:szCs w:val="16"/>
        </w:rPr>
        <w:t xml:space="preserve">, J, </w:t>
      </w:r>
      <w:proofErr w:type="spellStart"/>
      <w:r w:rsidRPr="00A6673F">
        <w:rPr>
          <w:szCs w:val="16"/>
        </w:rPr>
        <w:t>Carbonnel</w:t>
      </w:r>
      <w:proofErr w:type="spellEnd"/>
      <w:r w:rsidRPr="00A6673F">
        <w:rPr>
          <w:szCs w:val="16"/>
        </w:rPr>
        <w:t xml:space="preserve">, A, De </w:t>
      </w:r>
      <w:proofErr w:type="spellStart"/>
      <w:r w:rsidRPr="00A6673F">
        <w:rPr>
          <w:szCs w:val="16"/>
        </w:rPr>
        <w:t>Coninck</w:t>
      </w:r>
      <w:proofErr w:type="spellEnd"/>
      <w:r w:rsidRPr="00A6673F">
        <w:rPr>
          <w:szCs w:val="16"/>
        </w:rPr>
        <w:t xml:space="preserve">, R and </w:t>
      </w:r>
      <w:proofErr w:type="spellStart"/>
      <w:r w:rsidRPr="00A6673F">
        <w:rPr>
          <w:szCs w:val="16"/>
        </w:rPr>
        <w:t>Lungus</w:t>
      </w:r>
      <w:proofErr w:type="spellEnd"/>
      <w:r w:rsidRPr="00A6673F">
        <w:rPr>
          <w:szCs w:val="16"/>
        </w:rPr>
        <w:t xml:space="preserve">, G (2014), </w:t>
      </w:r>
      <w:r w:rsidRPr="00A6673F">
        <w:rPr>
          <w:i/>
          <w:szCs w:val="16"/>
        </w:rPr>
        <w:t xml:space="preserve">Assessing the economic impacts of adapting certain limitations and exceptions to copyright and related rights in the EU – Analysis of specific policy options, </w:t>
      </w:r>
      <w:r w:rsidRPr="00A6673F">
        <w:rPr>
          <w:szCs w:val="16"/>
        </w:rPr>
        <w:t>for the European Commission, p.82.</w:t>
      </w:r>
    </w:p>
  </w:footnote>
  <w:footnote w:id="57">
    <w:p w14:paraId="449DE57D"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proofErr w:type="gramStart"/>
      <w:r w:rsidRPr="00A6673F">
        <w:rPr>
          <w:i/>
          <w:szCs w:val="16"/>
        </w:rPr>
        <w:t>Ibid.</w:t>
      </w:r>
      <w:r w:rsidRPr="00A6673F">
        <w:rPr>
          <w:szCs w:val="16"/>
        </w:rPr>
        <w:t>,</w:t>
      </w:r>
      <w:proofErr w:type="gramEnd"/>
      <w:r w:rsidRPr="00A6673F">
        <w:rPr>
          <w:szCs w:val="16"/>
        </w:rPr>
        <w:t xml:space="preserve"> p.82-3.</w:t>
      </w:r>
    </w:p>
  </w:footnote>
  <w:footnote w:id="58">
    <w:p w14:paraId="7879B397"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proofErr w:type="gramStart"/>
      <w:r w:rsidRPr="00A6673F">
        <w:rPr>
          <w:i/>
          <w:szCs w:val="16"/>
        </w:rPr>
        <w:t>Ibid</w:t>
      </w:r>
      <w:r w:rsidRPr="00A6673F">
        <w:rPr>
          <w:szCs w:val="16"/>
        </w:rPr>
        <w:t>.,</w:t>
      </w:r>
      <w:proofErr w:type="gramEnd"/>
      <w:r w:rsidRPr="00A6673F">
        <w:rPr>
          <w:szCs w:val="16"/>
        </w:rPr>
        <w:t xml:space="preserve"> p.95.</w:t>
      </w:r>
    </w:p>
  </w:footnote>
  <w:footnote w:id="59">
    <w:p w14:paraId="6FEB971F"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sidRPr="00A6673F">
        <w:rPr>
          <w:i/>
          <w:szCs w:val="16"/>
        </w:rPr>
        <w:t>Ibid</w:t>
      </w:r>
      <w:r w:rsidRPr="00A6673F">
        <w:rPr>
          <w:szCs w:val="16"/>
        </w:rPr>
        <w:t>.</w:t>
      </w:r>
    </w:p>
  </w:footnote>
  <w:footnote w:id="60">
    <w:p w14:paraId="3C11766D"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ALRC (2013), </w:t>
      </w:r>
      <w:r w:rsidRPr="00A6673F">
        <w:rPr>
          <w:i/>
          <w:szCs w:val="16"/>
        </w:rPr>
        <w:t>Copyright in the Digital Economy: Final report</w:t>
      </w:r>
      <w:r w:rsidRPr="00A6673F">
        <w:rPr>
          <w:szCs w:val="16"/>
        </w:rPr>
        <w:t>, p.229.</w:t>
      </w:r>
    </w:p>
  </w:footnote>
  <w:footnote w:id="61">
    <w:p w14:paraId="04F8F850"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proofErr w:type="gramStart"/>
      <w:r w:rsidRPr="00A6673F">
        <w:rPr>
          <w:i/>
          <w:szCs w:val="16"/>
        </w:rPr>
        <w:t>Ibid.</w:t>
      </w:r>
      <w:r w:rsidRPr="00A6673F">
        <w:rPr>
          <w:szCs w:val="16"/>
        </w:rPr>
        <w:t>,</w:t>
      </w:r>
      <w:proofErr w:type="gramEnd"/>
      <w:r w:rsidRPr="00A6673F">
        <w:rPr>
          <w:szCs w:val="16"/>
        </w:rPr>
        <w:t xml:space="preserve"> p.228.</w:t>
      </w:r>
    </w:p>
  </w:footnote>
  <w:footnote w:id="62">
    <w:p w14:paraId="5E5AB7D4" w14:textId="77777777" w:rsidR="00730D0C" w:rsidRPr="00A6673F" w:rsidRDefault="00730D0C" w:rsidP="00610DD9">
      <w:pPr>
        <w:pStyle w:val="FootnoteText"/>
        <w:rPr>
          <w:szCs w:val="16"/>
        </w:rPr>
      </w:pPr>
      <w:r w:rsidRPr="00A6673F">
        <w:rPr>
          <w:rStyle w:val="FootnoteReference"/>
          <w:sz w:val="16"/>
          <w:szCs w:val="16"/>
        </w:rPr>
        <w:footnoteRef/>
      </w:r>
      <w:r w:rsidRPr="00A6673F">
        <w:rPr>
          <w:i/>
          <w:szCs w:val="16"/>
        </w:rPr>
        <w:t xml:space="preserve"> Ibid</w:t>
      </w:r>
      <w:r w:rsidRPr="00A6673F">
        <w:rPr>
          <w:szCs w:val="16"/>
        </w:rPr>
        <w:t xml:space="preserve">. </w:t>
      </w:r>
    </w:p>
  </w:footnote>
  <w:footnote w:id="63">
    <w:p w14:paraId="594B24A5"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proofErr w:type="gramStart"/>
      <w:r w:rsidRPr="00A6673F">
        <w:rPr>
          <w:i/>
          <w:szCs w:val="16"/>
        </w:rPr>
        <w:t>Ibid.</w:t>
      </w:r>
      <w:r w:rsidRPr="00A6673F">
        <w:rPr>
          <w:szCs w:val="16"/>
        </w:rPr>
        <w:t>,</w:t>
      </w:r>
      <w:proofErr w:type="gramEnd"/>
      <w:r w:rsidRPr="00A6673F">
        <w:rPr>
          <w:szCs w:val="16"/>
        </w:rPr>
        <w:t xml:space="preserve"> p.229.</w:t>
      </w:r>
    </w:p>
  </w:footnote>
  <w:footnote w:id="64">
    <w:p w14:paraId="32C9A59C"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sidRPr="00A6673F">
        <w:rPr>
          <w:i/>
          <w:szCs w:val="16"/>
        </w:rPr>
        <w:t>Ibid.</w:t>
      </w:r>
    </w:p>
  </w:footnote>
  <w:footnote w:id="65">
    <w:p w14:paraId="7CE31913"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sidRPr="00A6673F">
        <w:rPr>
          <w:i/>
          <w:szCs w:val="16"/>
        </w:rPr>
        <w:t>Ibid</w:t>
      </w:r>
      <w:proofErr w:type="gramStart"/>
      <w:r w:rsidRPr="00A6673F">
        <w:rPr>
          <w:i/>
          <w:szCs w:val="16"/>
        </w:rPr>
        <w:t>,</w:t>
      </w:r>
      <w:r w:rsidRPr="00A6673F">
        <w:rPr>
          <w:szCs w:val="16"/>
        </w:rPr>
        <w:t>p.240</w:t>
      </w:r>
      <w:proofErr w:type="gramEnd"/>
      <w:r w:rsidRPr="00A6673F">
        <w:rPr>
          <w:szCs w:val="16"/>
        </w:rPr>
        <w:t>.</w:t>
      </w:r>
    </w:p>
  </w:footnote>
  <w:footnote w:id="66">
    <w:p w14:paraId="2F45F214"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sidRPr="00A6673F">
        <w:rPr>
          <w:i/>
          <w:szCs w:val="16"/>
        </w:rPr>
        <w:t>Ibid</w:t>
      </w:r>
      <w:r w:rsidRPr="00A6673F">
        <w:rPr>
          <w:szCs w:val="16"/>
        </w:rPr>
        <w:t>, p.238.</w:t>
      </w:r>
    </w:p>
  </w:footnote>
  <w:footnote w:id="67">
    <w:p w14:paraId="2964ACA1"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proofErr w:type="gramStart"/>
      <w:r w:rsidRPr="00A6673F">
        <w:rPr>
          <w:i/>
          <w:szCs w:val="16"/>
        </w:rPr>
        <w:t>Ibid.,</w:t>
      </w:r>
      <w:proofErr w:type="gramEnd"/>
      <w:r w:rsidRPr="00A6673F">
        <w:rPr>
          <w:i/>
          <w:szCs w:val="16"/>
        </w:rPr>
        <w:t xml:space="preserve"> </w:t>
      </w:r>
      <w:r w:rsidRPr="00A6673F">
        <w:rPr>
          <w:szCs w:val="16"/>
        </w:rPr>
        <w:t>p.243.</w:t>
      </w:r>
    </w:p>
  </w:footnote>
  <w:footnote w:id="68">
    <w:p w14:paraId="163F5B48"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proofErr w:type="gramStart"/>
      <w:r w:rsidRPr="00A6673F">
        <w:rPr>
          <w:i/>
          <w:szCs w:val="16"/>
        </w:rPr>
        <w:t>Ibid.</w:t>
      </w:r>
      <w:r w:rsidRPr="00A6673F">
        <w:rPr>
          <w:szCs w:val="16"/>
        </w:rPr>
        <w:t>,</w:t>
      </w:r>
      <w:proofErr w:type="gramEnd"/>
      <w:r w:rsidRPr="00A6673F">
        <w:rPr>
          <w:szCs w:val="16"/>
        </w:rPr>
        <w:t xml:space="preserve"> p.240.</w:t>
      </w:r>
    </w:p>
  </w:footnote>
  <w:footnote w:id="69">
    <w:p w14:paraId="179D94E0"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See: </w:t>
      </w:r>
      <w:proofErr w:type="spellStart"/>
      <w:r w:rsidRPr="00A6673F">
        <w:rPr>
          <w:szCs w:val="16"/>
        </w:rPr>
        <w:t>Liebowitz</w:t>
      </w:r>
      <w:proofErr w:type="spellEnd"/>
      <w:r w:rsidRPr="00A6673F">
        <w:rPr>
          <w:szCs w:val="16"/>
        </w:rPr>
        <w:t xml:space="preserve">, S (1985), ‘Copying and indirect </w:t>
      </w:r>
      <w:proofErr w:type="spellStart"/>
      <w:r w:rsidRPr="00A6673F">
        <w:rPr>
          <w:szCs w:val="16"/>
        </w:rPr>
        <w:t>appropriability</w:t>
      </w:r>
      <w:proofErr w:type="spellEnd"/>
      <w:r w:rsidRPr="00A6673F">
        <w:rPr>
          <w:szCs w:val="16"/>
        </w:rPr>
        <w:t xml:space="preserve">: Photocopying in journals’, </w:t>
      </w:r>
      <w:r w:rsidRPr="00A6673F">
        <w:rPr>
          <w:i/>
          <w:szCs w:val="16"/>
        </w:rPr>
        <w:t xml:space="preserve">Journal of Political Economy, </w:t>
      </w:r>
      <w:r w:rsidRPr="00A6673F">
        <w:rPr>
          <w:szCs w:val="16"/>
        </w:rPr>
        <w:t xml:space="preserve">(93)5; and </w:t>
      </w:r>
      <w:proofErr w:type="spellStart"/>
      <w:r w:rsidRPr="00A6673F">
        <w:rPr>
          <w:szCs w:val="16"/>
        </w:rPr>
        <w:t>Camerani</w:t>
      </w:r>
      <w:proofErr w:type="spellEnd"/>
      <w:r w:rsidRPr="00A6673F">
        <w:rPr>
          <w:szCs w:val="16"/>
        </w:rPr>
        <w:t xml:space="preserve">, R, </w:t>
      </w:r>
      <w:proofErr w:type="spellStart"/>
      <w:r w:rsidRPr="00A6673F">
        <w:rPr>
          <w:szCs w:val="16"/>
        </w:rPr>
        <w:t>Grassano</w:t>
      </w:r>
      <w:proofErr w:type="spellEnd"/>
      <w:r w:rsidRPr="00A6673F">
        <w:rPr>
          <w:szCs w:val="16"/>
        </w:rPr>
        <w:t xml:space="preserve">, N, </w:t>
      </w:r>
      <w:proofErr w:type="spellStart"/>
      <w:r w:rsidRPr="00A6673F">
        <w:rPr>
          <w:szCs w:val="16"/>
        </w:rPr>
        <w:t>Chavarro</w:t>
      </w:r>
      <w:proofErr w:type="spellEnd"/>
      <w:r w:rsidRPr="00A6673F">
        <w:rPr>
          <w:szCs w:val="16"/>
        </w:rPr>
        <w:t xml:space="preserve">, D and Tang, P (2013), </w:t>
      </w:r>
      <w:r w:rsidRPr="00A6673F">
        <w:rPr>
          <w:i/>
          <w:szCs w:val="16"/>
        </w:rPr>
        <w:t>Private Copying</w:t>
      </w:r>
      <w:r w:rsidRPr="00A6673F">
        <w:rPr>
          <w:szCs w:val="16"/>
        </w:rPr>
        <w:t>, prepared for the UK Intellectual Property Office.</w:t>
      </w:r>
    </w:p>
  </w:footnote>
  <w:footnote w:id="70">
    <w:p w14:paraId="1365264D"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proofErr w:type="spellStart"/>
      <w:r w:rsidRPr="00A6673F">
        <w:rPr>
          <w:szCs w:val="16"/>
        </w:rPr>
        <w:t>Moohr</w:t>
      </w:r>
      <w:proofErr w:type="spellEnd"/>
      <w:r w:rsidRPr="00A6673F">
        <w:rPr>
          <w:szCs w:val="16"/>
        </w:rPr>
        <w:t xml:space="preserve"> G (2005), ‘Defining </w:t>
      </w:r>
      <w:proofErr w:type="spellStart"/>
      <w:r w:rsidRPr="00A6673F">
        <w:rPr>
          <w:szCs w:val="16"/>
        </w:rPr>
        <w:t>overcriminalization</w:t>
      </w:r>
      <w:proofErr w:type="spellEnd"/>
      <w:r w:rsidRPr="00A6673F">
        <w:rPr>
          <w:szCs w:val="16"/>
        </w:rPr>
        <w:t xml:space="preserve"> through cost benefit analysis: The example of criminal copyright law’, </w:t>
      </w:r>
      <w:r w:rsidRPr="00A6673F">
        <w:rPr>
          <w:i/>
          <w:szCs w:val="16"/>
        </w:rPr>
        <w:t xml:space="preserve">American University Law Review, </w:t>
      </w:r>
      <w:r w:rsidRPr="00A6673F">
        <w:rPr>
          <w:szCs w:val="16"/>
        </w:rPr>
        <w:t>54:794.</w:t>
      </w:r>
    </w:p>
  </w:footnote>
  <w:footnote w:id="71">
    <w:p w14:paraId="2A7B120B"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Explanatory Memorandum, Copyright Amendment Bill 2006, (</w:t>
      </w:r>
      <w:proofErr w:type="spellStart"/>
      <w:r w:rsidRPr="00A6673F">
        <w:rPr>
          <w:szCs w:val="16"/>
        </w:rPr>
        <w:t>Cth</w:t>
      </w:r>
      <w:proofErr w:type="spellEnd"/>
      <w:r w:rsidRPr="00A6673F">
        <w:rPr>
          <w:szCs w:val="16"/>
        </w:rPr>
        <w:t>) 6.</w:t>
      </w:r>
    </w:p>
  </w:footnote>
  <w:footnote w:id="72">
    <w:p w14:paraId="4E700111"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ALRC (2013), </w:t>
      </w:r>
      <w:r w:rsidRPr="00A6673F">
        <w:rPr>
          <w:i/>
          <w:szCs w:val="16"/>
        </w:rPr>
        <w:t>Copyright in the Digital Economy: Final report</w:t>
      </w:r>
      <w:r w:rsidRPr="00A6673F">
        <w:rPr>
          <w:szCs w:val="16"/>
        </w:rPr>
        <w:t>, p.233-5.</w:t>
      </w:r>
    </w:p>
  </w:footnote>
  <w:footnote w:id="73">
    <w:p w14:paraId="39E5D78C" w14:textId="77777777" w:rsidR="00730D0C" w:rsidRPr="00A6673F" w:rsidRDefault="00730D0C" w:rsidP="008B03A0">
      <w:pPr>
        <w:pStyle w:val="FootnoteText"/>
        <w:rPr>
          <w:szCs w:val="16"/>
        </w:rPr>
      </w:pPr>
      <w:r w:rsidRPr="00A6673F">
        <w:rPr>
          <w:rStyle w:val="FootnoteReference"/>
          <w:sz w:val="16"/>
          <w:szCs w:val="16"/>
        </w:rPr>
        <w:footnoteRef/>
      </w:r>
      <w:r w:rsidRPr="00A6673F">
        <w:rPr>
          <w:szCs w:val="16"/>
        </w:rPr>
        <w:t xml:space="preserve"> TNS (2015), </w:t>
      </w:r>
      <w:r w:rsidRPr="00A6673F">
        <w:rPr>
          <w:i/>
          <w:szCs w:val="16"/>
        </w:rPr>
        <w:t xml:space="preserve">Online Copyright Infringement Research, </w:t>
      </w:r>
      <w:r w:rsidRPr="00A6673F">
        <w:rPr>
          <w:szCs w:val="16"/>
        </w:rPr>
        <w:t>prepared for the Department of Communications, p.6.</w:t>
      </w:r>
    </w:p>
  </w:footnote>
  <w:footnote w:id="74">
    <w:p w14:paraId="418ADEB1" w14:textId="77777777" w:rsidR="00730D0C" w:rsidRPr="00A6673F" w:rsidRDefault="00730D0C" w:rsidP="008B03A0">
      <w:pPr>
        <w:pStyle w:val="FootnoteText"/>
        <w:rPr>
          <w:i/>
          <w:szCs w:val="16"/>
        </w:rPr>
      </w:pPr>
      <w:r w:rsidRPr="00A6673F">
        <w:rPr>
          <w:rStyle w:val="FootnoteReference"/>
          <w:sz w:val="16"/>
          <w:szCs w:val="16"/>
        </w:rPr>
        <w:footnoteRef/>
      </w:r>
      <w:r w:rsidRPr="00A6673F">
        <w:rPr>
          <w:szCs w:val="16"/>
        </w:rPr>
        <w:t xml:space="preserve"> </w:t>
      </w:r>
      <w:r w:rsidRPr="00A6673F">
        <w:rPr>
          <w:i/>
          <w:szCs w:val="16"/>
        </w:rPr>
        <w:t xml:space="preserve">Ibid. </w:t>
      </w:r>
    </w:p>
  </w:footnote>
  <w:footnote w:id="75">
    <w:p w14:paraId="078DF50F" w14:textId="77777777" w:rsidR="00730D0C" w:rsidRPr="00A6673F" w:rsidRDefault="00730D0C" w:rsidP="008B03A0">
      <w:pPr>
        <w:pStyle w:val="FootnoteText"/>
        <w:rPr>
          <w:szCs w:val="16"/>
        </w:rPr>
      </w:pPr>
      <w:r w:rsidRPr="00A6673F">
        <w:rPr>
          <w:rStyle w:val="FootnoteReference"/>
          <w:sz w:val="16"/>
          <w:szCs w:val="16"/>
        </w:rPr>
        <w:footnoteRef/>
      </w:r>
      <w:r w:rsidRPr="00A6673F">
        <w:rPr>
          <w:szCs w:val="16"/>
        </w:rPr>
        <w:t xml:space="preserve"> Choice (August 2015), </w:t>
      </w:r>
      <w:r w:rsidRPr="00A6673F">
        <w:rPr>
          <w:i/>
          <w:szCs w:val="16"/>
        </w:rPr>
        <w:t xml:space="preserve">Desperately Seeking Streaming, </w:t>
      </w:r>
      <w:r w:rsidRPr="00A6673F">
        <w:rPr>
          <w:szCs w:val="16"/>
        </w:rPr>
        <w:t>Research update Digital consumers paying for content behaviours and attitudes, p.4</w:t>
      </w:r>
    </w:p>
  </w:footnote>
  <w:footnote w:id="76">
    <w:p w14:paraId="6BFF023C" w14:textId="77777777" w:rsidR="00730D0C" w:rsidRPr="00A6673F" w:rsidRDefault="00730D0C" w:rsidP="008B03A0">
      <w:pPr>
        <w:pStyle w:val="FootnoteText"/>
        <w:rPr>
          <w:szCs w:val="16"/>
        </w:rPr>
      </w:pPr>
      <w:r w:rsidRPr="00A6673F">
        <w:rPr>
          <w:rStyle w:val="FootnoteReference"/>
          <w:sz w:val="16"/>
          <w:szCs w:val="16"/>
        </w:rPr>
        <w:footnoteRef/>
      </w:r>
      <w:r w:rsidRPr="00A6673F">
        <w:rPr>
          <w:szCs w:val="16"/>
        </w:rPr>
        <w:t xml:space="preserve"> </w:t>
      </w:r>
      <w:r w:rsidRPr="00A6673F">
        <w:rPr>
          <w:i/>
          <w:szCs w:val="16"/>
        </w:rPr>
        <w:t xml:space="preserve">Ibid., </w:t>
      </w:r>
      <w:r w:rsidRPr="00A6673F">
        <w:rPr>
          <w:szCs w:val="16"/>
        </w:rPr>
        <w:t>p.62</w:t>
      </w:r>
    </w:p>
  </w:footnote>
  <w:footnote w:id="77">
    <w:p w14:paraId="3105A412" w14:textId="77777777" w:rsidR="00730D0C" w:rsidRPr="00A6673F" w:rsidRDefault="00730D0C" w:rsidP="008B03A0">
      <w:pPr>
        <w:pStyle w:val="FootnoteText"/>
        <w:rPr>
          <w:szCs w:val="16"/>
        </w:rPr>
      </w:pPr>
      <w:r w:rsidRPr="00A6673F">
        <w:rPr>
          <w:rStyle w:val="FootnoteReference"/>
          <w:sz w:val="16"/>
          <w:szCs w:val="16"/>
        </w:rPr>
        <w:footnoteRef/>
      </w:r>
      <w:r w:rsidRPr="00A6673F">
        <w:rPr>
          <w:szCs w:val="16"/>
        </w:rPr>
        <w:t xml:space="preserve"> </w:t>
      </w:r>
      <w:proofErr w:type="spellStart"/>
      <w:r w:rsidRPr="00A6673F">
        <w:rPr>
          <w:szCs w:val="16"/>
        </w:rPr>
        <w:t>Langus</w:t>
      </w:r>
      <w:proofErr w:type="spellEnd"/>
      <w:r w:rsidRPr="00A6673F">
        <w:rPr>
          <w:szCs w:val="16"/>
        </w:rPr>
        <w:t xml:space="preserve"> G, D Neven and G Shier (2013), </w:t>
      </w:r>
      <w:r w:rsidRPr="00A6673F">
        <w:rPr>
          <w:i/>
          <w:szCs w:val="16"/>
        </w:rPr>
        <w:t xml:space="preserve">Assessing the economic impacts of adapting certain limitations and exceptions to copyright and related rights in the EU, </w:t>
      </w:r>
      <w:r w:rsidRPr="00A6673F">
        <w:rPr>
          <w:szCs w:val="16"/>
        </w:rPr>
        <w:t>prepared by Charles River Associates for the European Commission, p.83</w:t>
      </w:r>
    </w:p>
  </w:footnote>
  <w:footnote w:id="78">
    <w:p w14:paraId="40740C26" w14:textId="77777777" w:rsidR="00730D0C" w:rsidRPr="00A6673F" w:rsidRDefault="00730D0C" w:rsidP="008B03A0">
      <w:pPr>
        <w:pStyle w:val="FootnoteText"/>
        <w:rPr>
          <w:szCs w:val="16"/>
        </w:rPr>
      </w:pPr>
      <w:r w:rsidRPr="00A6673F">
        <w:rPr>
          <w:rStyle w:val="FootnoteReference"/>
          <w:sz w:val="16"/>
          <w:szCs w:val="16"/>
        </w:rPr>
        <w:footnoteRef/>
      </w:r>
      <w:r w:rsidRPr="00A6673F">
        <w:rPr>
          <w:szCs w:val="16"/>
        </w:rPr>
        <w:t xml:space="preserve"> </w:t>
      </w:r>
      <w:r w:rsidRPr="00A6673F">
        <w:rPr>
          <w:i/>
          <w:szCs w:val="16"/>
        </w:rPr>
        <w:t>Ibid.</w:t>
      </w:r>
    </w:p>
  </w:footnote>
  <w:footnote w:id="79">
    <w:p w14:paraId="3F02DDD4" w14:textId="77777777" w:rsidR="00730D0C" w:rsidRPr="00A6673F" w:rsidRDefault="00730D0C" w:rsidP="008B03A0">
      <w:pPr>
        <w:pStyle w:val="FootnoteText"/>
        <w:rPr>
          <w:szCs w:val="16"/>
        </w:rPr>
      </w:pPr>
      <w:r w:rsidRPr="00A6673F">
        <w:rPr>
          <w:rStyle w:val="FootnoteReference"/>
          <w:sz w:val="16"/>
          <w:szCs w:val="16"/>
        </w:rPr>
        <w:footnoteRef/>
      </w:r>
      <w:r w:rsidRPr="00A6673F">
        <w:rPr>
          <w:szCs w:val="16"/>
        </w:rPr>
        <w:t xml:space="preserve"> Rogers, M, Tomlin, J and Corrigan, R (2009), </w:t>
      </w:r>
      <w:proofErr w:type="gramStart"/>
      <w:r w:rsidRPr="00A6673F">
        <w:rPr>
          <w:i/>
          <w:szCs w:val="16"/>
        </w:rPr>
        <w:t>The</w:t>
      </w:r>
      <w:proofErr w:type="gramEnd"/>
      <w:r w:rsidRPr="00A6673F">
        <w:rPr>
          <w:i/>
          <w:szCs w:val="16"/>
        </w:rPr>
        <w:t xml:space="preserve"> economic impact of consumer copyright exceptions: A literature review, </w:t>
      </w:r>
      <w:r w:rsidRPr="00A6673F">
        <w:rPr>
          <w:szCs w:val="16"/>
        </w:rPr>
        <w:t>p.7.</w:t>
      </w:r>
    </w:p>
  </w:footnote>
  <w:footnote w:id="80">
    <w:p w14:paraId="6C04E78D" w14:textId="77777777" w:rsidR="00730D0C" w:rsidRPr="00A6673F" w:rsidRDefault="00730D0C" w:rsidP="008B03A0">
      <w:pPr>
        <w:pStyle w:val="FootnoteText"/>
        <w:rPr>
          <w:i/>
          <w:szCs w:val="16"/>
        </w:rPr>
      </w:pPr>
      <w:r w:rsidRPr="00A6673F">
        <w:rPr>
          <w:rStyle w:val="FootnoteReference"/>
          <w:sz w:val="16"/>
          <w:szCs w:val="16"/>
        </w:rPr>
        <w:footnoteRef/>
      </w:r>
      <w:r w:rsidRPr="00A6673F">
        <w:rPr>
          <w:szCs w:val="16"/>
        </w:rPr>
        <w:t xml:space="preserve"> </w:t>
      </w:r>
      <w:proofErr w:type="spellStart"/>
      <w:r w:rsidRPr="00A6673F">
        <w:rPr>
          <w:szCs w:val="16"/>
        </w:rPr>
        <w:t>Liebowitz</w:t>
      </w:r>
      <w:proofErr w:type="spellEnd"/>
      <w:r w:rsidRPr="00A6673F">
        <w:rPr>
          <w:szCs w:val="16"/>
        </w:rPr>
        <w:t xml:space="preserve">, S (1985), ‘Copying and indirect </w:t>
      </w:r>
      <w:proofErr w:type="spellStart"/>
      <w:r w:rsidRPr="00A6673F">
        <w:rPr>
          <w:szCs w:val="16"/>
        </w:rPr>
        <w:t>appropriability</w:t>
      </w:r>
      <w:proofErr w:type="spellEnd"/>
      <w:r w:rsidRPr="00A6673F">
        <w:rPr>
          <w:szCs w:val="16"/>
        </w:rPr>
        <w:t xml:space="preserve">: Photocopying in journals’, </w:t>
      </w:r>
      <w:r w:rsidRPr="00A6673F">
        <w:rPr>
          <w:i/>
          <w:szCs w:val="16"/>
        </w:rPr>
        <w:t xml:space="preserve">Journal of Political Economy, </w:t>
      </w:r>
      <w:r w:rsidRPr="00A6673F">
        <w:rPr>
          <w:szCs w:val="16"/>
        </w:rPr>
        <w:t>(93)5.</w:t>
      </w:r>
    </w:p>
  </w:footnote>
  <w:footnote w:id="81">
    <w:p w14:paraId="13340EC0"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UK Intellectual Property Office (2012</w:t>
      </w:r>
      <w:r w:rsidRPr="00A6673F">
        <w:rPr>
          <w:i/>
          <w:szCs w:val="16"/>
        </w:rPr>
        <w:t>), ‘</w:t>
      </w:r>
      <w:r w:rsidRPr="00A6673F">
        <w:rPr>
          <w:szCs w:val="16"/>
        </w:rPr>
        <w:t>Impact Assessment: Copyright Exception for Private Copying’, available at: https://www.gov.uk/government/uploads/system/uploads/attachment_data/file/308743/ia-exception-privatecopy.pdf.</w:t>
      </w:r>
    </w:p>
  </w:footnote>
  <w:footnote w:id="82">
    <w:p w14:paraId="4F269F69"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PC World (2007), ‘EMI to offer DRM-free music, but for a price’,</w:t>
      </w:r>
      <w:r w:rsidRPr="00A6673F">
        <w:rPr>
          <w:i/>
          <w:szCs w:val="16"/>
        </w:rPr>
        <w:t xml:space="preserve"> </w:t>
      </w:r>
      <w:r w:rsidRPr="00A6673F">
        <w:rPr>
          <w:szCs w:val="16"/>
        </w:rPr>
        <w:t>available at: http://www.pcworld.idg.com.au/article/180808/emi_offer_drm-free_music_price/</w:t>
      </w:r>
      <w:r w:rsidRPr="00A6673F">
        <w:rPr>
          <w:rStyle w:val="Hyperlink"/>
          <w:color w:val="auto"/>
          <w:szCs w:val="16"/>
        </w:rPr>
        <w:t>.</w:t>
      </w:r>
    </w:p>
  </w:footnote>
  <w:footnote w:id="83">
    <w:p w14:paraId="17BE59D0"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ALRC (2013), </w:t>
      </w:r>
      <w:r w:rsidRPr="00A6673F">
        <w:rPr>
          <w:i/>
          <w:szCs w:val="16"/>
        </w:rPr>
        <w:t>Copyright in the Digital Economy: Final report</w:t>
      </w:r>
      <w:r w:rsidRPr="00A6673F">
        <w:rPr>
          <w:szCs w:val="16"/>
        </w:rPr>
        <w:t>, p.250.</w:t>
      </w:r>
    </w:p>
  </w:footnote>
  <w:footnote w:id="84">
    <w:p w14:paraId="7C882BCB"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proofErr w:type="spellStart"/>
      <w:r w:rsidRPr="00A6673F">
        <w:rPr>
          <w:szCs w:val="16"/>
        </w:rPr>
        <w:t>Weatherall</w:t>
      </w:r>
      <w:proofErr w:type="spellEnd"/>
      <w:r w:rsidRPr="00A6673F">
        <w:rPr>
          <w:szCs w:val="16"/>
        </w:rPr>
        <w:t xml:space="preserve">, K (2011), </w:t>
      </w:r>
      <w:r w:rsidRPr="00A6673F">
        <w:rPr>
          <w:i/>
          <w:szCs w:val="16"/>
        </w:rPr>
        <w:t xml:space="preserve">Internet Intermediaries and Copyright: An Australian Agenda for Reform, </w:t>
      </w:r>
      <w:r w:rsidRPr="00A6673F">
        <w:rPr>
          <w:szCs w:val="16"/>
        </w:rPr>
        <w:t>prepared for discussion by the Australian Digital Alliance, p.7-8.</w:t>
      </w:r>
    </w:p>
  </w:footnote>
  <w:footnote w:id="85">
    <w:p w14:paraId="0F050389" w14:textId="77777777" w:rsidR="00730D0C" w:rsidRPr="00A6673F" w:rsidRDefault="00730D0C" w:rsidP="00610DD9">
      <w:pPr>
        <w:pStyle w:val="FootnoteText"/>
        <w:rPr>
          <w:szCs w:val="16"/>
          <w:highlight w:val="yellow"/>
        </w:rPr>
      </w:pPr>
      <w:r w:rsidRPr="00A6673F">
        <w:rPr>
          <w:rStyle w:val="FootnoteReference"/>
          <w:sz w:val="16"/>
          <w:szCs w:val="16"/>
        </w:rPr>
        <w:footnoteRef/>
      </w:r>
      <w:r w:rsidRPr="00A6673F">
        <w:rPr>
          <w:szCs w:val="16"/>
        </w:rPr>
        <w:t xml:space="preserve"> ALRC (2013), </w:t>
      </w:r>
      <w:r w:rsidRPr="00A6673F">
        <w:rPr>
          <w:i/>
          <w:szCs w:val="16"/>
        </w:rPr>
        <w:t>Copyright in the Digital Economy: Final report</w:t>
      </w:r>
      <w:r w:rsidRPr="00A6673F">
        <w:rPr>
          <w:szCs w:val="16"/>
        </w:rPr>
        <w:t>, p.250.</w:t>
      </w:r>
    </w:p>
  </w:footnote>
  <w:footnote w:id="86">
    <w:p w14:paraId="4E654AC0" w14:textId="77777777" w:rsidR="00730D0C" w:rsidRPr="00A6673F" w:rsidRDefault="00730D0C" w:rsidP="00610DD9">
      <w:pPr>
        <w:pStyle w:val="FootnoteText"/>
        <w:rPr>
          <w:b/>
          <w:szCs w:val="16"/>
        </w:rPr>
      </w:pPr>
      <w:r w:rsidRPr="00A6673F">
        <w:rPr>
          <w:rStyle w:val="FootnoteReference"/>
          <w:sz w:val="16"/>
          <w:szCs w:val="16"/>
        </w:rPr>
        <w:footnoteRef/>
      </w:r>
      <w:r w:rsidRPr="00A6673F">
        <w:rPr>
          <w:szCs w:val="16"/>
        </w:rPr>
        <w:t xml:space="preserve"> </w:t>
      </w:r>
      <w:proofErr w:type="gramStart"/>
      <w:r w:rsidRPr="00A6673F">
        <w:rPr>
          <w:i/>
          <w:szCs w:val="16"/>
        </w:rPr>
        <w:t>Ibid</w:t>
      </w:r>
      <w:r w:rsidRPr="00A6673F">
        <w:rPr>
          <w:szCs w:val="16"/>
        </w:rPr>
        <w:t>.,</w:t>
      </w:r>
      <w:proofErr w:type="gramEnd"/>
      <w:r w:rsidRPr="00A6673F">
        <w:rPr>
          <w:szCs w:val="16"/>
        </w:rPr>
        <w:t xml:space="preserve"> p.260.</w:t>
      </w:r>
    </w:p>
  </w:footnote>
  <w:footnote w:id="87">
    <w:p w14:paraId="1EF1997E"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Department of Communications and the Arts (2015), ‘Exposure Draft – Copyright Amendment (Disability Access and Other Measures) Bill 2016’, available at:  https://www.communications.gov.au/have-your-say/updating-australias-copyright-laws. </w:t>
      </w:r>
    </w:p>
  </w:footnote>
  <w:footnote w:id="88">
    <w:p w14:paraId="359A4646"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ALRC (2013), </w:t>
      </w:r>
      <w:r w:rsidRPr="00A6673F">
        <w:rPr>
          <w:i/>
          <w:szCs w:val="16"/>
        </w:rPr>
        <w:t>Copyright in the Digital Economy: Final report</w:t>
      </w:r>
      <w:r w:rsidRPr="00A6673F">
        <w:rPr>
          <w:szCs w:val="16"/>
        </w:rPr>
        <w:t>, p.250.</w:t>
      </w:r>
    </w:p>
  </w:footnote>
  <w:footnote w:id="89">
    <w:p w14:paraId="7A86BA8D"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proofErr w:type="gramStart"/>
      <w:r w:rsidRPr="00A6673F">
        <w:rPr>
          <w:i/>
          <w:szCs w:val="16"/>
        </w:rPr>
        <w:t>Ibid</w:t>
      </w:r>
      <w:r w:rsidRPr="00A6673F">
        <w:rPr>
          <w:szCs w:val="16"/>
        </w:rPr>
        <w:t>.,</w:t>
      </w:r>
      <w:proofErr w:type="gramEnd"/>
      <w:r w:rsidRPr="00A6673F">
        <w:rPr>
          <w:szCs w:val="16"/>
        </w:rPr>
        <w:t xml:space="preserve"> p.252-3.</w:t>
      </w:r>
    </w:p>
  </w:footnote>
  <w:footnote w:id="90">
    <w:p w14:paraId="1DAFAC3C"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proofErr w:type="spellStart"/>
      <w:r w:rsidRPr="00A6673F">
        <w:rPr>
          <w:szCs w:val="16"/>
        </w:rPr>
        <w:t>Weatherall</w:t>
      </w:r>
      <w:proofErr w:type="spellEnd"/>
      <w:r w:rsidRPr="00A6673F">
        <w:rPr>
          <w:szCs w:val="16"/>
        </w:rPr>
        <w:t xml:space="preserve">, K (2011), </w:t>
      </w:r>
      <w:r w:rsidRPr="00A6673F">
        <w:rPr>
          <w:i/>
          <w:szCs w:val="16"/>
        </w:rPr>
        <w:t xml:space="preserve">Internet Intermediaries and Copyright: An Australian Agenda for Reform, </w:t>
      </w:r>
      <w:r w:rsidRPr="00A6673F">
        <w:rPr>
          <w:szCs w:val="16"/>
        </w:rPr>
        <w:t>prepared for discussion by the Australian Digital Alliance.</w:t>
      </w:r>
    </w:p>
  </w:footnote>
  <w:footnote w:id="91">
    <w:p w14:paraId="776F3AC2"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proofErr w:type="gramStart"/>
      <w:r w:rsidRPr="00A6673F">
        <w:rPr>
          <w:i/>
          <w:szCs w:val="16"/>
        </w:rPr>
        <w:t>Ibid</w:t>
      </w:r>
      <w:r w:rsidRPr="00A6673F">
        <w:rPr>
          <w:szCs w:val="16"/>
        </w:rPr>
        <w:t>.,</w:t>
      </w:r>
      <w:proofErr w:type="gramEnd"/>
      <w:r w:rsidRPr="00A6673F">
        <w:rPr>
          <w:szCs w:val="16"/>
        </w:rPr>
        <w:t xml:space="preserve"> p.8.</w:t>
      </w:r>
    </w:p>
  </w:footnote>
  <w:footnote w:id="92">
    <w:p w14:paraId="012E10D4"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proofErr w:type="gramStart"/>
      <w:r w:rsidRPr="00A6673F">
        <w:rPr>
          <w:i/>
          <w:szCs w:val="16"/>
        </w:rPr>
        <w:t>Ibid.,</w:t>
      </w:r>
      <w:proofErr w:type="gramEnd"/>
      <w:r w:rsidRPr="00A6673F">
        <w:rPr>
          <w:i/>
          <w:szCs w:val="16"/>
        </w:rPr>
        <w:t xml:space="preserve"> </w:t>
      </w:r>
      <w:r w:rsidRPr="00A6673F">
        <w:rPr>
          <w:szCs w:val="16"/>
        </w:rPr>
        <w:t>.254.</w:t>
      </w:r>
    </w:p>
  </w:footnote>
  <w:footnote w:id="93">
    <w:p w14:paraId="5F483B4D"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proofErr w:type="gramStart"/>
      <w:r w:rsidRPr="00A6673F">
        <w:rPr>
          <w:i/>
          <w:szCs w:val="16"/>
        </w:rPr>
        <w:t>Ibid</w:t>
      </w:r>
      <w:r w:rsidRPr="00A6673F">
        <w:rPr>
          <w:szCs w:val="16"/>
        </w:rPr>
        <w:t>.,</w:t>
      </w:r>
      <w:proofErr w:type="gramEnd"/>
      <w:r w:rsidRPr="00A6673F">
        <w:rPr>
          <w:szCs w:val="16"/>
        </w:rPr>
        <w:t xml:space="preserve"> p.256.</w:t>
      </w:r>
    </w:p>
  </w:footnote>
  <w:footnote w:id="94">
    <w:p w14:paraId="7117F235"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Lateral Economics (2012), </w:t>
      </w:r>
      <w:r w:rsidRPr="00A6673F">
        <w:rPr>
          <w:i/>
          <w:szCs w:val="16"/>
        </w:rPr>
        <w:t xml:space="preserve">Excepting the Future: Internet intermediary activities and the case for flexible copyright exceptions and extended safe harbour provisions, </w:t>
      </w:r>
      <w:r w:rsidRPr="00A6673F">
        <w:rPr>
          <w:szCs w:val="16"/>
        </w:rPr>
        <w:t>prepared for the Australian Digital Alliance,</w:t>
      </w:r>
      <w:r w:rsidRPr="00A6673F">
        <w:rPr>
          <w:i/>
          <w:szCs w:val="16"/>
        </w:rPr>
        <w:t xml:space="preserve"> </w:t>
      </w:r>
      <w:r w:rsidRPr="00A6673F">
        <w:rPr>
          <w:szCs w:val="16"/>
        </w:rPr>
        <w:t>p.5.</w:t>
      </w:r>
    </w:p>
  </w:footnote>
  <w:footnote w:id="95">
    <w:p w14:paraId="3EB3BC83"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World </w:t>
      </w:r>
      <w:proofErr w:type="spellStart"/>
      <w:r w:rsidRPr="00A6673F">
        <w:rPr>
          <w:szCs w:val="16"/>
        </w:rPr>
        <w:t>Startup</w:t>
      </w:r>
      <w:proofErr w:type="spellEnd"/>
      <w:r w:rsidRPr="00A6673F">
        <w:rPr>
          <w:szCs w:val="16"/>
        </w:rPr>
        <w:t xml:space="preserve"> Wiki (2016), ‘Internet Hall of Fame – Things you need to know about the world of internet companies’, available at: http://www.worldstartupwiki.org/page/Internet_Hall_Of_Fame.  </w:t>
      </w:r>
    </w:p>
  </w:footnote>
  <w:footnote w:id="96">
    <w:p w14:paraId="1053BEBE"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See: </w:t>
      </w:r>
      <w:proofErr w:type="spellStart"/>
      <w:r w:rsidRPr="00A6673F">
        <w:rPr>
          <w:szCs w:val="16"/>
        </w:rPr>
        <w:t>Booz&amp;Co</w:t>
      </w:r>
      <w:proofErr w:type="spellEnd"/>
      <w:r w:rsidRPr="00A6673F">
        <w:rPr>
          <w:szCs w:val="16"/>
        </w:rPr>
        <w:t xml:space="preserve"> (2012), </w:t>
      </w:r>
      <w:r w:rsidRPr="00A6673F">
        <w:rPr>
          <w:i/>
          <w:szCs w:val="16"/>
        </w:rPr>
        <w:t xml:space="preserve">The Impact of U.S Internet Copyright Regulations on Early-Stage Investment, </w:t>
      </w:r>
      <w:r w:rsidRPr="00A6673F">
        <w:rPr>
          <w:szCs w:val="16"/>
        </w:rPr>
        <w:t xml:space="preserve">prepared for Google </w:t>
      </w:r>
      <w:proofErr w:type="spellStart"/>
      <w:r w:rsidRPr="00A6673F">
        <w:rPr>
          <w:szCs w:val="16"/>
        </w:rPr>
        <w:t>Inc</w:t>
      </w:r>
      <w:proofErr w:type="spellEnd"/>
      <w:r w:rsidRPr="00A6673F">
        <w:rPr>
          <w:szCs w:val="16"/>
        </w:rPr>
        <w:t xml:space="preserve">; </w:t>
      </w:r>
      <w:proofErr w:type="spellStart"/>
      <w:r w:rsidRPr="00A6673F">
        <w:rPr>
          <w:szCs w:val="16"/>
        </w:rPr>
        <w:t>Booz&amp;Co</w:t>
      </w:r>
      <w:proofErr w:type="spellEnd"/>
      <w:r w:rsidRPr="00A6673F">
        <w:rPr>
          <w:szCs w:val="16"/>
        </w:rPr>
        <w:t xml:space="preserve"> (2012), </w:t>
      </w:r>
      <w:r w:rsidRPr="00A6673F">
        <w:rPr>
          <w:i/>
          <w:szCs w:val="16"/>
        </w:rPr>
        <w:t xml:space="preserve">The Impact of E.U. Internet Copyright Regulations on Early-Stage Investment: A quantitative study, </w:t>
      </w:r>
      <w:r w:rsidRPr="00A6673F">
        <w:rPr>
          <w:szCs w:val="16"/>
        </w:rPr>
        <w:t xml:space="preserve">prepared for Google Inc.; Fifth Era (2016), </w:t>
      </w:r>
      <w:r w:rsidRPr="00A6673F">
        <w:rPr>
          <w:i/>
          <w:szCs w:val="16"/>
        </w:rPr>
        <w:t>The impact of internet regulation on investment</w:t>
      </w:r>
      <w:r w:rsidRPr="00A6673F">
        <w:rPr>
          <w:szCs w:val="16"/>
        </w:rPr>
        <w:t>.</w:t>
      </w:r>
    </w:p>
  </w:footnote>
  <w:footnote w:id="97">
    <w:p w14:paraId="77C927A2"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Intellectual Property and Competition Review Committee (2000), </w:t>
      </w:r>
      <w:r w:rsidRPr="00A6673F">
        <w:rPr>
          <w:i/>
          <w:szCs w:val="16"/>
        </w:rPr>
        <w:t xml:space="preserve">Review of intellectual property legislation under the Competition Principles Agreement, </w:t>
      </w:r>
      <w:r w:rsidRPr="00A6673F">
        <w:rPr>
          <w:szCs w:val="16"/>
        </w:rPr>
        <w:t>p.113.</w:t>
      </w:r>
    </w:p>
  </w:footnote>
  <w:footnote w:id="98">
    <w:p w14:paraId="7B025CEC"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Lateral Economics (2012), </w:t>
      </w:r>
      <w:r w:rsidRPr="00A6673F">
        <w:rPr>
          <w:i/>
          <w:szCs w:val="16"/>
        </w:rPr>
        <w:t xml:space="preserve">Excepting the Future: Internet intermediary activities and the case for flexible copyright exceptions and extended safe harbour provisions, </w:t>
      </w:r>
      <w:r w:rsidRPr="00A6673F">
        <w:rPr>
          <w:szCs w:val="16"/>
        </w:rPr>
        <w:t>prepared for the Australian Digital Alliance,</w:t>
      </w:r>
      <w:r w:rsidRPr="00A6673F">
        <w:rPr>
          <w:i/>
          <w:szCs w:val="16"/>
        </w:rPr>
        <w:t xml:space="preserve"> </w:t>
      </w:r>
      <w:r w:rsidRPr="00A6673F">
        <w:rPr>
          <w:szCs w:val="16"/>
        </w:rPr>
        <w:t>p.29.</w:t>
      </w:r>
    </w:p>
  </w:footnote>
  <w:footnote w:id="99">
    <w:p w14:paraId="24B3B94E" w14:textId="77777777" w:rsidR="00730D0C" w:rsidRPr="00A6673F" w:rsidRDefault="00730D0C" w:rsidP="00610DD9">
      <w:pPr>
        <w:pStyle w:val="FootnoteText"/>
        <w:rPr>
          <w:i/>
          <w:szCs w:val="16"/>
        </w:rPr>
      </w:pPr>
      <w:r w:rsidRPr="00A6673F">
        <w:rPr>
          <w:rStyle w:val="FootnoteReference"/>
          <w:sz w:val="16"/>
          <w:szCs w:val="16"/>
        </w:rPr>
        <w:footnoteRef/>
      </w:r>
      <w:r w:rsidRPr="00A6673F">
        <w:rPr>
          <w:szCs w:val="16"/>
        </w:rPr>
        <w:t xml:space="preserve"> </w:t>
      </w:r>
      <w:r w:rsidRPr="00A6673F">
        <w:rPr>
          <w:i/>
          <w:szCs w:val="16"/>
        </w:rPr>
        <w:t>Ibid.</w:t>
      </w:r>
    </w:p>
  </w:footnote>
  <w:footnote w:id="100">
    <w:p w14:paraId="1DD8AAA6"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Deloitte Access Economics (2015), </w:t>
      </w:r>
      <w:r w:rsidRPr="00A6673F">
        <w:rPr>
          <w:i/>
          <w:szCs w:val="16"/>
        </w:rPr>
        <w:t xml:space="preserve">The Connected Continent II: How digital technology is transforming the Australian economy, </w:t>
      </w:r>
      <w:r w:rsidRPr="00A6673F">
        <w:rPr>
          <w:szCs w:val="16"/>
        </w:rPr>
        <w:t>prepared for Google Australia, p.1.</w:t>
      </w:r>
    </w:p>
  </w:footnote>
  <w:footnote w:id="101">
    <w:p w14:paraId="1C175675"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proofErr w:type="gramStart"/>
      <w:r w:rsidRPr="00A6673F">
        <w:rPr>
          <w:i/>
          <w:szCs w:val="16"/>
        </w:rPr>
        <w:t>Ibid</w:t>
      </w:r>
      <w:r w:rsidRPr="00A6673F">
        <w:rPr>
          <w:szCs w:val="16"/>
        </w:rPr>
        <w:t>.,</w:t>
      </w:r>
      <w:proofErr w:type="gramEnd"/>
      <w:r w:rsidRPr="00A6673F">
        <w:rPr>
          <w:szCs w:val="16"/>
        </w:rPr>
        <w:t xml:space="preserve"> p.35.</w:t>
      </w:r>
    </w:p>
  </w:footnote>
  <w:footnote w:id="102">
    <w:p w14:paraId="465C8A2A"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proofErr w:type="gramStart"/>
      <w:r w:rsidRPr="00A6673F">
        <w:rPr>
          <w:i/>
          <w:szCs w:val="16"/>
        </w:rPr>
        <w:t>Ibid.,</w:t>
      </w:r>
      <w:proofErr w:type="gramEnd"/>
      <w:r w:rsidRPr="00A6673F">
        <w:rPr>
          <w:i/>
          <w:szCs w:val="16"/>
        </w:rPr>
        <w:t xml:space="preserve"> </w:t>
      </w:r>
      <w:r w:rsidRPr="00A6673F">
        <w:rPr>
          <w:szCs w:val="16"/>
        </w:rPr>
        <w:t>p.2.</w:t>
      </w:r>
    </w:p>
  </w:footnote>
  <w:footnote w:id="103">
    <w:p w14:paraId="672D47EB"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Lateral Economics (2012), </w:t>
      </w:r>
      <w:r w:rsidRPr="00A6673F">
        <w:rPr>
          <w:i/>
          <w:szCs w:val="16"/>
        </w:rPr>
        <w:t xml:space="preserve">Excepting the Future: Internet intermediary activities and the case for flexible copyright exceptions and extended safe harbour provisions, </w:t>
      </w:r>
      <w:r w:rsidRPr="00A6673F">
        <w:rPr>
          <w:szCs w:val="16"/>
        </w:rPr>
        <w:t>prepared for the Australian Digital Alliance,</w:t>
      </w:r>
      <w:r w:rsidRPr="00A6673F">
        <w:rPr>
          <w:i/>
          <w:szCs w:val="16"/>
        </w:rPr>
        <w:t xml:space="preserve"> </w:t>
      </w:r>
      <w:r w:rsidRPr="00A6673F">
        <w:rPr>
          <w:szCs w:val="16"/>
        </w:rPr>
        <w:t>p.27.</w:t>
      </w:r>
    </w:p>
  </w:footnote>
  <w:footnote w:id="104">
    <w:p w14:paraId="4F2CFA55" w14:textId="77777777" w:rsidR="00730D0C" w:rsidRDefault="00730D0C">
      <w:pPr>
        <w:pStyle w:val="FootnoteText"/>
      </w:pPr>
      <w:r w:rsidRPr="00C358CE">
        <w:rPr>
          <w:rStyle w:val="FootnoteReference"/>
          <w:sz w:val="16"/>
          <w:szCs w:val="16"/>
        </w:rPr>
        <w:footnoteRef/>
      </w:r>
      <w:r w:rsidRPr="000061D4">
        <w:rPr>
          <w:rStyle w:val="FootnoteReference"/>
          <w:sz w:val="16"/>
          <w:szCs w:val="16"/>
        </w:rPr>
        <w:t xml:space="preserve"> </w:t>
      </w:r>
      <w:r w:rsidRPr="00A6673F">
        <w:rPr>
          <w:szCs w:val="16"/>
        </w:rPr>
        <w:t xml:space="preserve">World </w:t>
      </w:r>
      <w:proofErr w:type="spellStart"/>
      <w:r w:rsidRPr="00A6673F">
        <w:rPr>
          <w:szCs w:val="16"/>
        </w:rPr>
        <w:t>Startup</w:t>
      </w:r>
      <w:proofErr w:type="spellEnd"/>
      <w:r w:rsidRPr="00A6673F">
        <w:rPr>
          <w:szCs w:val="16"/>
        </w:rPr>
        <w:t xml:space="preserve"> Wiki (2016), ‘Internet Hall of Fame – Things you need to know about the world of internet companies’, available at: http://www.worldstartupwiki.org/page/Internet_Hall_Of_Fame.</w:t>
      </w:r>
    </w:p>
  </w:footnote>
  <w:footnote w:id="105">
    <w:p w14:paraId="0B8C614E"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Pr>
          <w:szCs w:val="16"/>
        </w:rPr>
        <w:t>Ibid</w:t>
      </w:r>
      <w:r w:rsidRPr="00A6673F">
        <w:rPr>
          <w:szCs w:val="16"/>
        </w:rPr>
        <w:t xml:space="preserve">  </w:t>
      </w:r>
    </w:p>
  </w:footnote>
  <w:footnote w:id="106">
    <w:p w14:paraId="237D9952" w14:textId="77777777" w:rsidR="00730D0C" w:rsidRPr="00A6673F" w:rsidRDefault="00730D0C" w:rsidP="00610DD9">
      <w:pPr>
        <w:pStyle w:val="EYFooterinfo"/>
        <w:rPr>
          <w:color w:val="auto"/>
          <w:sz w:val="16"/>
          <w:szCs w:val="16"/>
        </w:rPr>
      </w:pPr>
      <w:r w:rsidRPr="00A6673F">
        <w:rPr>
          <w:rStyle w:val="FootnoteReference"/>
          <w:color w:val="auto"/>
          <w:sz w:val="16"/>
          <w:szCs w:val="16"/>
        </w:rPr>
        <w:footnoteRef/>
      </w:r>
      <w:r w:rsidRPr="00A6673F">
        <w:rPr>
          <w:color w:val="auto"/>
          <w:sz w:val="16"/>
          <w:szCs w:val="16"/>
        </w:rPr>
        <w:t xml:space="preserve"> </w:t>
      </w:r>
      <w:proofErr w:type="spellStart"/>
      <w:r w:rsidRPr="00A6673F">
        <w:rPr>
          <w:color w:val="auto"/>
          <w:sz w:val="16"/>
          <w:szCs w:val="16"/>
        </w:rPr>
        <w:t>Booz&amp;Co</w:t>
      </w:r>
      <w:proofErr w:type="spellEnd"/>
      <w:r w:rsidRPr="00A6673F">
        <w:rPr>
          <w:color w:val="auto"/>
          <w:sz w:val="16"/>
          <w:szCs w:val="16"/>
        </w:rPr>
        <w:t xml:space="preserve"> (2012), </w:t>
      </w:r>
      <w:r w:rsidRPr="00A6673F">
        <w:rPr>
          <w:i/>
          <w:color w:val="auto"/>
          <w:sz w:val="16"/>
          <w:szCs w:val="16"/>
        </w:rPr>
        <w:t xml:space="preserve">The Impact of U.S Internet Copyright Regulations on Early-Stage Investment, </w:t>
      </w:r>
      <w:r w:rsidRPr="00A6673F">
        <w:rPr>
          <w:color w:val="auto"/>
          <w:sz w:val="16"/>
          <w:szCs w:val="16"/>
        </w:rPr>
        <w:t xml:space="preserve">prepared for Google </w:t>
      </w:r>
      <w:proofErr w:type="spellStart"/>
      <w:r w:rsidRPr="00A6673F">
        <w:rPr>
          <w:color w:val="auto"/>
          <w:sz w:val="16"/>
          <w:szCs w:val="16"/>
        </w:rPr>
        <w:t>Inc</w:t>
      </w:r>
      <w:proofErr w:type="spellEnd"/>
      <w:r w:rsidRPr="00A6673F">
        <w:rPr>
          <w:color w:val="auto"/>
          <w:sz w:val="16"/>
          <w:szCs w:val="16"/>
        </w:rPr>
        <w:t xml:space="preserve">; </w:t>
      </w:r>
      <w:proofErr w:type="spellStart"/>
      <w:r w:rsidRPr="00A6673F">
        <w:rPr>
          <w:color w:val="auto"/>
          <w:sz w:val="16"/>
          <w:szCs w:val="16"/>
        </w:rPr>
        <w:t>Booz&amp;Co</w:t>
      </w:r>
      <w:proofErr w:type="spellEnd"/>
      <w:r w:rsidRPr="00A6673F">
        <w:rPr>
          <w:color w:val="auto"/>
          <w:sz w:val="16"/>
          <w:szCs w:val="16"/>
        </w:rPr>
        <w:t xml:space="preserve"> (2012), </w:t>
      </w:r>
      <w:r w:rsidRPr="00A6673F">
        <w:rPr>
          <w:i/>
          <w:color w:val="auto"/>
          <w:sz w:val="16"/>
          <w:szCs w:val="16"/>
        </w:rPr>
        <w:t xml:space="preserve">The Impact of E.U. Internet Copyright Regulations on Early-Stage Investment: A quantitative study, </w:t>
      </w:r>
      <w:r w:rsidRPr="00A6673F">
        <w:rPr>
          <w:color w:val="auto"/>
          <w:sz w:val="16"/>
          <w:szCs w:val="16"/>
        </w:rPr>
        <w:t>prepared for Google Inc.</w:t>
      </w:r>
    </w:p>
  </w:footnote>
  <w:footnote w:id="107">
    <w:p w14:paraId="246FAA2B" w14:textId="77777777" w:rsidR="00730D0C" w:rsidRPr="00A6673F" w:rsidRDefault="00730D0C" w:rsidP="00610DD9">
      <w:pPr>
        <w:pStyle w:val="EYFooterinfo"/>
        <w:rPr>
          <w:color w:val="auto"/>
          <w:sz w:val="16"/>
          <w:szCs w:val="16"/>
        </w:rPr>
      </w:pPr>
      <w:r w:rsidRPr="00A6673F">
        <w:rPr>
          <w:rStyle w:val="FootnoteReference"/>
          <w:color w:val="auto"/>
          <w:sz w:val="16"/>
          <w:szCs w:val="16"/>
        </w:rPr>
        <w:footnoteRef/>
      </w:r>
      <w:r w:rsidRPr="00A6673F">
        <w:rPr>
          <w:color w:val="auto"/>
          <w:sz w:val="16"/>
          <w:szCs w:val="16"/>
        </w:rPr>
        <w:t xml:space="preserve"> Fifth Era (2016), </w:t>
      </w:r>
      <w:proofErr w:type="gramStart"/>
      <w:r w:rsidRPr="00A6673F">
        <w:rPr>
          <w:i/>
          <w:color w:val="auto"/>
          <w:sz w:val="16"/>
          <w:szCs w:val="16"/>
        </w:rPr>
        <w:t>The</w:t>
      </w:r>
      <w:proofErr w:type="gramEnd"/>
      <w:r w:rsidRPr="00A6673F">
        <w:rPr>
          <w:i/>
          <w:color w:val="auto"/>
          <w:sz w:val="16"/>
          <w:szCs w:val="16"/>
        </w:rPr>
        <w:t xml:space="preserve"> impact of internet regulation on investment</w:t>
      </w:r>
      <w:r w:rsidRPr="00A6673F">
        <w:rPr>
          <w:color w:val="auto"/>
          <w:sz w:val="16"/>
          <w:szCs w:val="16"/>
        </w:rPr>
        <w:t xml:space="preserve">, p.36. </w:t>
      </w:r>
    </w:p>
  </w:footnote>
  <w:footnote w:id="108">
    <w:p w14:paraId="6AE0031E" w14:textId="77777777" w:rsidR="00730D0C" w:rsidRPr="00A6673F" w:rsidRDefault="00730D0C" w:rsidP="00610DD9">
      <w:pPr>
        <w:pStyle w:val="EYFooterinfo"/>
        <w:rPr>
          <w:color w:val="auto"/>
          <w:sz w:val="16"/>
          <w:szCs w:val="16"/>
        </w:rPr>
      </w:pPr>
      <w:r w:rsidRPr="00A6673F">
        <w:rPr>
          <w:rStyle w:val="FootnoteReference"/>
          <w:color w:val="auto"/>
          <w:sz w:val="16"/>
          <w:szCs w:val="16"/>
        </w:rPr>
        <w:footnoteRef/>
      </w:r>
      <w:r w:rsidRPr="00A6673F">
        <w:rPr>
          <w:color w:val="auto"/>
          <w:sz w:val="16"/>
          <w:szCs w:val="16"/>
        </w:rPr>
        <w:t xml:space="preserve"> Lateral Economics (2012), </w:t>
      </w:r>
      <w:r w:rsidRPr="00A6673F">
        <w:rPr>
          <w:i/>
          <w:color w:val="auto"/>
          <w:sz w:val="16"/>
          <w:szCs w:val="16"/>
        </w:rPr>
        <w:t xml:space="preserve">Excepting the Future: Internet intermediary activities and the case for flexible copyright exceptions and extended safe </w:t>
      </w:r>
      <w:proofErr w:type="spellStart"/>
      <w:r w:rsidRPr="00A6673F">
        <w:rPr>
          <w:i/>
          <w:color w:val="auto"/>
          <w:sz w:val="16"/>
          <w:szCs w:val="16"/>
        </w:rPr>
        <w:t>harbour</w:t>
      </w:r>
      <w:proofErr w:type="spellEnd"/>
      <w:r w:rsidRPr="00A6673F">
        <w:rPr>
          <w:i/>
          <w:color w:val="auto"/>
          <w:sz w:val="16"/>
          <w:szCs w:val="16"/>
        </w:rPr>
        <w:t xml:space="preserve"> provisions, </w:t>
      </w:r>
      <w:r w:rsidRPr="00A6673F">
        <w:rPr>
          <w:color w:val="auto"/>
          <w:sz w:val="16"/>
          <w:szCs w:val="16"/>
        </w:rPr>
        <w:t>prepared for the Australian Digital Alliance,</w:t>
      </w:r>
      <w:r w:rsidRPr="00A6673F">
        <w:rPr>
          <w:i/>
          <w:color w:val="auto"/>
          <w:sz w:val="16"/>
          <w:szCs w:val="16"/>
        </w:rPr>
        <w:t xml:space="preserve"> </w:t>
      </w:r>
      <w:r w:rsidRPr="00A6673F">
        <w:rPr>
          <w:color w:val="auto"/>
          <w:sz w:val="16"/>
          <w:szCs w:val="16"/>
        </w:rPr>
        <w:t>p.12.</w:t>
      </w:r>
    </w:p>
  </w:footnote>
  <w:footnote w:id="109">
    <w:p w14:paraId="2EE48B63" w14:textId="77777777" w:rsidR="00730D0C" w:rsidRPr="00A6673F" w:rsidRDefault="00730D0C" w:rsidP="00610DD9">
      <w:pPr>
        <w:pStyle w:val="EYFooterinfo"/>
        <w:rPr>
          <w:color w:val="auto"/>
          <w:sz w:val="16"/>
          <w:szCs w:val="16"/>
        </w:rPr>
      </w:pPr>
      <w:r w:rsidRPr="00A6673F">
        <w:rPr>
          <w:rStyle w:val="FootnoteReference"/>
          <w:color w:val="auto"/>
          <w:sz w:val="16"/>
          <w:szCs w:val="16"/>
        </w:rPr>
        <w:footnoteRef/>
      </w:r>
      <w:r w:rsidRPr="00A6673F">
        <w:rPr>
          <w:color w:val="auto"/>
          <w:sz w:val="16"/>
          <w:szCs w:val="16"/>
        </w:rPr>
        <w:t xml:space="preserve"> </w:t>
      </w:r>
      <w:proofErr w:type="gramStart"/>
      <w:r w:rsidRPr="00A6673F">
        <w:rPr>
          <w:i/>
          <w:color w:val="auto"/>
          <w:sz w:val="16"/>
          <w:szCs w:val="16"/>
        </w:rPr>
        <w:t>Ibid</w:t>
      </w:r>
      <w:r>
        <w:rPr>
          <w:color w:val="auto"/>
          <w:sz w:val="16"/>
          <w:szCs w:val="16"/>
        </w:rPr>
        <w:t>.</w:t>
      </w:r>
      <w:r w:rsidRPr="00A6673F">
        <w:rPr>
          <w:color w:val="auto"/>
          <w:sz w:val="16"/>
          <w:szCs w:val="16"/>
        </w:rPr>
        <w:t>,</w:t>
      </w:r>
      <w:proofErr w:type="gramEnd"/>
      <w:r w:rsidRPr="00A6673F">
        <w:rPr>
          <w:color w:val="auto"/>
          <w:sz w:val="16"/>
          <w:szCs w:val="16"/>
        </w:rPr>
        <w:t xml:space="preserve"> p.33</w:t>
      </w:r>
      <w:r>
        <w:rPr>
          <w:color w:val="auto"/>
          <w:sz w:val="16"/>
          <w:szCs w:val="16"/>
        </w:rPr>
        <w:t>.</w:t>
      </w:r>
    </w:p>
  </w:footnote>
  <w:footnote w:id="110">
    <w:p w14:paraId="10C4279D"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sidRPr="00753BB7">
        <w:rPr>
          <w:i/>
          <w:szCs w:val="16"/>
        </w:rPr>
        <w:t>Authors Guild, Inc. v. Google Inc., 05 CIV. 8136 DC, 2013 WL 6017130, (S.D.N.Y. Nov. 14, 2013).</w:t>
      </w:r>
    </w:p>
  </w:footnote>
  <w:footnote w:id="111">
    <w:p w14:paraId="503072EC" w14:textId="77777777" w:rsidR="00730D0C" w:rsidRPr="00A6673F" w:rsidRDefault="00730D0C" w:rsidP="00610DD9">
      <w:pPr>
        <w:pStyle w:val="FootnoteText"/>
        <w:rPr>
          <w:szCs w:val="16"/>
          <w:highlight w:val="yellow"/>
        </w:rPr>
      </w:pPr>
      <w:r w:rsidRPr="00A6673F">
        <w:rPr>
          <w:rStyle w:val="FootnoteReference"/>
          <w:sz w:val="16"/>
          <w:szCs w:val="16"/>
        </w:rPr>
        <w:footnoteRef/>
      </w:r>
      <w:r w:rsidRPr="00A6673F">
        <w:rPr>
          <w:szCs w:val="16"/>
        </w:rPr>
        <w:t xml:space="preserve"> </w:t>
      </w:r>
      <w:r>
        <w:rPr>
          <w:szCs w:val="18"/>
        </w:rPr>
        <w:t>ALRC</w:t>
      </w:r>
      <w:r w:rsidRPr="009F0332">
        <w:rPr>
          <w:szCs w:val="18"/>
        </w:rPr>
        <w:t xml:space="preserve"> (2013), </w:t>
      </w:r>
      <w:r>
        <w:rPr>
          <w:i/>
          <w:szCs w:val="18"/>
        </w:rPr>
        <w:t>Copyright in the Digital Economy: Final report</w:t>
      </w:r>
      <w:r>
        <w:rPr>
          <w:szCs w:val="18"/>
        </w:rPr>
        <w:t>, p.258.</w:t>
      </w:r>
    </w:p>
  </w:footnote>
  <w:footnote w:id="112">
    <w:p w14:paraId="6DB5AD1C"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ALRC quoting: UK Government Intellectual Property Office, Consultation on Copyright (2011), p.80</w:t>
      </w:r>
      <w:r>
        <w:rPr>
          <w:szCs w:val="16"/>
        </w:rPr>
        <w:t>.</w:t>
      </w:r>
    </w:p>
  </w:footnote>
  <w:footnote w:id="113">
    <w:p w14:paraId="6DBF0228"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European Commission (2014), </w:t>
      </w:r>
      <w:r w:rsidRPr="00A6673F">
        <w:rPr>
          <w:i/>
          <w:szCs w:val="16"/>
        </w:rPr>
        <w:t>Standardisation in the area of innovation and technological development, notably in the field of text and data mining</w:t>
      </w:r>
      <w:r w:rsidRPr="00A6673F">
        <w:rPr>
          <w:szCs w:val="16"/>
        </w:rPr>
        <w:t>, p.3</w:t>
      </w:r>
      <w:r>
        <w:rPr>
          <w:szCs w:val="16"/>
        </w:rPr>
        <w:t>.</w:t>
      </w:r>
    </w:p>
  </w:footnote>
  <w:footnote w:id="114">
    <w:p w14:paraId="53C2A374"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Pr>
          <w:szCs w:val="18"/>
        </w:rPr>
        <w:t>ALRC</w:t>
      </w:r>
      <w:r w:rsidRPr="009F0332">
        <w:rPr>
          <w:szCs w:val="18"/>
        </w:rPr>
        <w:t xml:space="preserve"> (2013), </w:t>
      </w:r>
      <w:r>
        <w:rPr>
          <w:i/>
          <w:szCs w:val="18"/>
        </w:rPr>
        <w:t>Copyright in the Digital Economy: Final report</w:t>
      </w:r>
      <w:r>
        <w:rPr>
          <w:szCs w:val="18"/>
        </w:rPr>
        <w:t>, p.262.</w:t>
      </w:r>
    </w:p>
  </w:footnote>
  <w:footnote w:id="115">
    <w:p w14:paraId="6D057AC5"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sidRPr="00A6673F">
        <w:rPr>
          <w:i/>
          <w:szCs w:val="16"/>
        </w:rPr>
        <w:t>Ibid.</w:t>
      </w:r>
    </w:p>
  </w:footnote>
  <w:footnote w:id="116">
    <w:p w14:paraId="0643CB69" w14:textId="77777777" w:rsidR="00730D0C" w:rsidRPr="00A6673F" w:rsidRDefault="00730D0C" w:rsidP="00610DD9">
      <w:pPr>
        <w:pStyle w:val="FootnoteText"/>
        <w:rPr>
          <w:i/>
          <w:szCs w:val="16"/>
        </w:rPr>
      </w:pPr>
      <w:r w:rsidRPr="00A6673F">
        <w:rPr>
          <w:rStyle w:val="FootnoteReference"/>
          <w:sz w:val="16"/>
          <w:szCs w:val="16"/>
        </w:rPr>
        <w:footnoteRef/>
      </w:r>
      <w:r w:rsidRPr="00A6673F">
        <w:rPr>
          <w:szCs w:val="16"/>
        </w:rPr>
        <w:t xml:space="preserve"> </w:t>
      </w:r>
      <w:r w:rsidRPr="00A6673F">
        <w:rPr>
          <w:i/>
          <w:szCs w:val="16"/>
        </w:rPr>
        <w:t>Ibid.</w:t>
      </w:r>
    </w:p>
  </w:footnote>
  <w:footnote w:id="117">
    <w:p w14:paraId="71DF27B9" w14:textId="77777777" w:rsidR="00730D0C" w:rsidRPr="00A6673F" w:rsidRDefault="00730D0C" w:rsidP="00610DD9">
      <w:pPr>
        <w:pStyle w:val="FootnoteText"/>
        <w:rPr>
          <w:i/>
          <w:szCs w:val="16"/>
        </w:rPr>
      </w:pPr>
      <w:r w:rsidRPr="00A6673F">
        <w:rPr>
          <w:rStyle w:val="FootnoteReference"/>
          <w:sz w:val="16"/>
          <w:szCs w:val="16"/>
        </w:rPr>
        <w:footnoteRef/>
      </w:r>
      <w:r w:rsidRPr="00A6673F">
        <w:rPr>
          <w:szCs w:val="16"/>
        </w:rPr>
        <w:t xml:space="preserve"> </w:t>
      </w:r>
      <w:r w:rsidRPr="00A6673F">
        <w:rPr>
          <w:i/>
          <w:szCs w:val="16"/>
        </w:rPr>
        <w:t xml:space="preserve">Ibid. </w:t>
      </w:r>
    </w:p>
  </w:footnote>
  <w:footnote w:id="118">
    <w:p w14:paraId="1903E756"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proofErr w:type="gramStart"/>
      <w:r w:rsidRPr="00A6673F">
        <w:rPr>
          <w:i/>
          <w:szCs w:val="16"/>
        </w:rPr>
        <w:t>Ibid</w:t>
      </w:r>
      <w:r w:rsidRPr="00A6673F">
        <w:rPr>
          <w:szCs w:val="16"/>
        </w:rPr>
        <w:t>.,</w:t>
      </w:r>
      <w:proofErr w:type="gramEnd"/>
      <w:r w:rsidRPr="00A6673F">
        <w:rPr>
          <w:szCs w:val="16"/>
        </w:rPr>
        <w:t xml:space="preserve"> p.264</w:t>
      </w:r>
      <w:r>
        <w:rPr>
          <w:szCs w:val="16"/>
        </w:rPr>
        <w:t>.</w:t>
      </w:r>
    </w:p>
  </w:footnote>
  <w:footnote w:id="119">
    <w:p w14:paraId="45CE7CEC"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While the ALRC recommended DTM as an illustrative purpose under fair use only, a fair dealing exception on incidental or technical use may extend to DTM activities, and therefore is considered also.</w:t>
      </w:r>
    </w:p>
  </w:footnote>
  <w:footnote w:id="120">
    <w:p w14:paraId="1D9B49CB" w14:textId="77777777" w:rsidR="00730D0C" w:rsidRPr="00A6673F" w:rsidRDefault="00730D0C" w:rsidP="00610DD9">
      <w:pPr>
        <w:pStyle w:val="FootnoteText"/>
        <w:rPr>
          <w:szCs w:val="16"/>
        </w:rPr>
      </w:pPr>
      <w:r w:rsidRPr="00A6673F">
        <w:rPr>
          <w:rStyle w:val="FootnoteReference"/>
          <w:sz w:val="16"/>
          <w:szCs w:val="16"/>
        </w:rPr>
        <w:footnoteRef/>
      </w:r>
      <w:r>
        <w:rPr>
          <w:szCs w:val="16"/>
        </w:rPr>
        <w:t xml:space="preserve"> For the purposes </w:t>
      </w:r>
      <w:r w:rsidRPr="00A6673F">
        <w:rPr>
          <w:szCs w:val="16"/>
        </w:rPr>
        <w:t>of this analysis</w:t>
      </w:r>
      <w:r>
        <w:rPr>
          <w:szCs w:val="16"/>
        </w:rPr>
        <w:t>,</w:t>
      </w:r>
      <w:r w:rsidRPr="00A6673F">
        <w:rPr>
          <w:szCs w:val="16"/>
        </w:rPr>
        <w:t xml:space="preserve"> it is assumed that where DTM creates substitutes of the original work, use would be considered less fair.</w:t>
      </w:r>
    </w:p>
  </w:footnote>
  <w:footnote w:id="121">
    <w:p w14:paraId="696AC557"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proofErr w:type="spellStart"/>
      <w:r w:rsidRPr="00A6673F">
        <w:rPr>
          <w:szCs w:val="16"/>
        </w:rPr>
        <w:t>Langus</w:t>
      </w:r>
      <w:proofErr w:type="spellEnd"/>
      <w:r>
        <w:rPr>
          <w:szCs w:val="16"/>
        </w:rPr>
        <w:t xml:space="preserve">, G, </w:t>
      </w:r>
      <w:r w:rsidRPr="00A6673F">
        <w:rPr>
          <w:szCs w:val="16"/>
        </w:rPr>
        <w:t>Neven</w:t>
      </w:r>
      <w:r>
        <w:rPr>
          <w:szCs w:val="16"/>
        </w:rPr>
        <w:t xml:space="preserve">, D and </w:t>
      </w:r>
      <w:r w:rsidRPr="00A6673F">
        <w:rPr>
          <w:szCs w:val="16"/>
        </w:rPr>
        <w:t>Shier</w:t>
      </w:r>
      <w:r>
        <w:rPr>
          <w:szCs w:val="16"/>
        </w:rPr>
        <w:t>, G</w:t>
      </w:r>
      <w:r w:rsidRPr="00A6673F">
        <w:rPr>
          <w:szCs w:val="16"/>
        </w:rPr>
        <w:t xml:space="preserve"> (2013), </w:t>
      </w:r>
      <w:r w:rsidRPr="00A6673F">
        <w:rPr>
          <w:i/>
          <w:szCs w:val="16"/>
        </w:rPr>
        <w:t xml:space="preserve">Assessing the economic impacts of adapting certain limitations and exceptions to copyright and related rights in the EU, </w:t>
      </w:r>
      <w:r w:rsidRPr="00A6673F">
        <w:rPr>
          <w:szCs w:val="16"/>
        </w:rPr>
        <w:t xml:space="preserve">prepared for the European </w:t>
      </w:r>
      <w:r>
        <w:rPr>
          <w:szCs w:val="16"/>
        </w:rPr>
        <w:t>Commission, p.68-</w:t>
      </w:r>
      <w:r w:rsidRPr="00A6673F">
        <w:rPr>
          <w:szCs w:val="16"/>
        </w:rPr>
        <w:t>9.</w:t>
      </w:r>
    </w:p>
  </w:footnote>
  <w:footnote w:id="122">
    <w:p w14:paraId="40217738"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Association of Learned Professional Society Publishers (2012), </w:t>
      </w:r>
      <w:r>
        <w:rPr>
          <w:szCs w:val="16"/>
        </w:rPr>
        <w:t>ALRC submission.</w:t>
      </w:r>
    </w:p>
  </w:footnote>
  <w:footnote w:id="123">
    <w:p w14:paraId="5EE7664D"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European Commission (2014), </w:t>
      </w:r>
      <w:r w:rsidRPr="00A6673F">
        <w:rPr>
          <w:i/>
          <w:szCs w:val="16"/>
        </w:rPr>
        <w:t>Standardisation in the area of innovation and technological development, notably in the field of text and data mining</w:t>
      </w:r>
      <w:r w:rsidRPr="00A6673F">
        <w:rPr>
          <w:szCs w:val="16"/>
        </w:rPr>
        <w:t>, p.15</w:t>
      </w:r>
      <w:r>
        <w:rPr>
          <w:szCs w:val="16"/>
        </w:rPr>
        <w:t>.</w:t>
      </w:r>
    </w:p>
  </w:footnote>
  <w:footnote w:id="124">
    <w:p w14:paraId="6E4C7255"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Smit, E and van der </w:t>
      </w:r>
      <w:proofErr w:type="spellStart"/>
      <w:r w:rsidRPr="00A6673F">
        <w:rPr>
          <w:szCs w:val="16"/>
        </w:rPr>
        <w:t>Graaf</w:t>
      </w:r>
      <w:proofErr w:type="spellEnd"/>
      <w:r w:rsidRPr="00A6673F">
        <w:rPr>
          <w:szCs w:val="16"/>
        </w:rPr>
        <w:t>, M</w:t>
      </w:r>
      <w:r>
        <w:rPr>
          <w:szCs w:val="16"/>
        </w:rPr>
        <w:t xml:space="preserve"> (</w:t>
      </w:r>
      <w:r w:rsidRPr="00A6673F">
        <w:rPr>
          <w:szCs w:val="16"/>
        </w:rPr>
        <w:t>2011</w:t>
      </w:r>
      <w:r>
        <w:rPr>
          <w:szCs w:val="16"/>
        </w:rPr>
        <w:t xml:space="preserve">), </w:t>
      </w:r>
      <w:r w:rsidRPr="00151ADE">
        <w:rPr>
          <w:i/>
          <w:szCs w:val="16"/>
        </w:rPr>
        <w:t>Journal Article Mining: A research study into practices, policies, plans … and promises</w:t>
      </w:r>
      <w:r>
        <w:rPr>
          <w:szCs w:val="16"/>
        </w:rPr>
        <w:t>,</w:t>
      </w:r>
      <w:r w:rsidRPr="00A6673F">
        <w:rPr>
          <w:szCs w:val="16"/>
        </w:rPr>
        <w:t xml:space="preserve"> Amsterdam: BV </w:t>
      </w:r>
      <w:proofErr w:type="spellStart"/>
      <w:r w:rsidRPr="00A6673F">
        <w:rPr>
          <w:szCs w:val="16"/>
        </w:rPr>
        <w:t>Bronfonteyn</w:t>
      </w:r>
      <w:proofErr w:type="spellEnd"/>
      <w:r w:rsidRPr="00A6673F">
        <w:rPr>
          <w:szCs w:val="16"/>
        </w:rPr>
        <w:t>.</w:t>
      </w:r>
    </w:p>
  </w:footnote>
  <w:footnote w:id="125">
    <w:p w14:paraId="05CB2955" w14:textId="77777777" w:rsidR="00730D0C" w:rsidRPr="00A6673F" w:rsidRDefault="00730D0C" w:rsidP="00610DD9">
      <w:pPr>
        <w:pStyle w:val="FootnoteText"/>
        <w:rPr>
          <w:szCs w:val="16"/>
        </w:rPr>
      </w:pPr>
      <w:r w:rsidRPr="00A6673F">
        <w:rPr>
          <w:rStyle w:val="FootnoteReference"/>
          <w:sz w:val="16"/>
          <w:szCs w:val="16"/>
        </w:rPr>
        <w:footnoteRef/>
      </w:r>
      <w:r>
        <w:rPr>
          <w:szCs w:val="16"/>
        </w:rPr>
        <w:t xml:space="preserve"> Tsai, H</w:t>
      </w:r>
      <w:r w:rsidRPr="00A6673F">
        <w:rPr>
          <w:szCs w:val="16"/>
        </w:rPr>
        <w:t xml:space="preserve"> </w:t>
      </w:r>
      <w:r>
        <w:rPr>
          <w:szCs w:val="16"/>
        </w:rPr>
        <w:t>(</w:t>
      </w:r>
      <w:r w:rsidRPr="00A6673F">
        <w:rPr>
          <w:szCs w:val="16"/>
        </w:rPr>
        <w:t>2012</w:t>
      </w:r>
      <w:r>
        <w:rPr>
          <w:szCs w:val="16"/>
        </w:rPr>
        <w:t>),</w:t>
      </w:r>
      <w:r w:rsidRPr="00A6673F">
        <w:rPr>
          <w:szCs w:val="16"/>
        </w:rPr>
        <w:t xml:space="preserve"> ‘Global data mining: An empirical study of current trends, future forecasts and technology diffusions’</w:t>
      </w:r>
      <w:r>
        <w:rPr>
          <w:szCs w:val="16"/>
        </w:rPr>
        <w:t>,</w:t>
      </w:r>
      <w:r w:rsidRPr="00A6673F">
        <w:rPr>
          <w:szCs w:val="16"/>
        </w:rPr>
        <w:t xml:space="preserve"> </w:t>
      </w:r>
      <w:r w:rsidRPr="00A6673F">
        <w:rPr>
          <w:i/>
          <w:iCs/>
          <w:szCs w:val="16"/>
        </w:rPr>
        <w:t xml:space="preserve">Expert Systems with Applications </w:t>
      </w:r>
      <w:r>
        <w:rPr>
          <w:szCs w:val="16"/>
        </w:rPr>
        <w:t>39:</w:t>
      </w:r>
      <w:r w:rsidRPr="00A6673F">
        <w:rPr>
          <w:szCs w:val="16"/>
        </w:rPr>
        <w:t xml:space="preserve"> </w:t>
      </w:r>
      <w:r>
        <w:rPr>
          <w:szCs w:val="16"/>
        </w:rPr>
        <w:t>8172-</w:t>
      </w:r>
      <w:r w:rsidRPr="00A6673F">
        <w:rPr>
          <w:szCs w:val="16"/>
        </w:rPr>
        <w:t>81</w:t>
      </w:r>
      <w:r>
        <w:rPr>
          <w:szCs w:val="16"/>
        </w:rPr>
        <w:t>.</w:t>
      </w:r>
    </w:p>
  </w:footnote>
  <w:footnote w:id="126">
    <w:p w14:paraId="5DFD5E7F"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European Commission (2014), </w:t>
      </w:r>
      <w:r w:rsidRPr="00A6673F">
        <w:rPr>
          <w:i/>
          <w:szCs w:val="16"/>
        </w:rPr>
        <w:t>Standardisation in the area of innovation and technological development, notably in the field of text and data mining</w:t>
      </w:r>
      <w:r>
        <w:rPr>
          <w:szCs w:val="16"/>
        </w:rPr>
        <w:t>, p.70-</w:t>
      </w:r>
      <w:r w:rsidRPr="00A6673F">
        <w:rPr>
          <w:szCs w:val="16"/>
        </w:rPr>
        <w:t>6</w:t>
      </w:r>
      <w:r>
        <w:rPr>
          <w:szCs w:val="16"/>
        </w:rPr>
        <w:t>.</w:t>
      </w:r>
    </w:p>
  </w:footnote>
  <w:footnote w:id="127">
    <w:p w14:paraId="5C1F05F4"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Universities Australia (</w:t>
      </w:r>
      <w:r>
        <w:rPr>
          <w:szCs w:val="16"/>
        </w:rPr>
        <w:t xml:space="preserve">2012), ALRC submission. </w:t>
      </w:r>
    </w:p>
  </w:footnote>
  <w:footnote w:id="128">
    <w:p w14:paraId="2D3436FC"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European Commission (2014), </w:t>
      </w:r>
      <w:r w:rsidRPr="00A6673F">
        <w:rPr>
          <w:i/>
          <w:szCs w:val="16"/>
        </w:rPr>
        <w:t xml:space="preserve">Standardisation in the area of innovation and technological development, notably in the field of text and data mining, </w:t>
      </w:r>
      <w:r w:rsidRPr="00A6673F">
        <w:rPr>
          <w:szCs w:val="16"/>
        </w:rPr>
        <w:t>p.19</w:t>
      </w:r>
      <w:r>
        <w:rPr>
          <w:szCs w:val="16"/>
        </w:rPr>
        <w:t>.</w:t>
      </w:r>
    </w:p>
  </w:footnote>
  <w:footnote w:id="129">
    <w:p w14:paraId="472E371D"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Ware</w:t>
      </w:r>
      <w:r>
        <w:rPr>
          <w:szCs w:val="16"/>
        </w:rPr>
        <w:t xml:space="preserve">, M and </w:t>
      </w:r>
      <w:proofErr w:type="spellStart"/>
      <w:r w:rsidRPr="00A6673F">
        <w:rPr>
          <w:szCs w:val="16"/>
        </w:rPr>
        <w:t>Mabe</w:t>
      </w:r>
      <w:proofErr w:type="spellEnd"/>
      <w:r>
        <w:rPr>
          <w:szCs w:val="16"/>
        </w:rPr>
        <w:t>, M</w:t>
      </w:r>
      <w:r w:rsidRPr="00A6673F">
        <w:rPr>
          <w:szCs w:val="16"/>
        </w:rPr>
        <w:t xml:space="preserve"> (2015), </w:t>
      </w:r>
      <w:r w:rsidRPr="00D73B08">
        <w:rPr>
          <w:i/>
          <w:szCs w:val="16"/>
        </w:rPr>
        <w:t>The STM Report – An overview of scientific and scholarly journal publishing</w:t>
      </w:r>
      <w:r w:rsidRPr="00A6673F">
        <w:rPr>
          <w:szCs w:val="16"/>
        </w:rPr>
        <w:t>, p.45</w:t>
      </w:r>
      <w:r>
        <w:rPr>
          <w:szCs w:val="16"/>
        </w:rPr>
        <w:t>.</w:t>
      </w:r>
    </w:p>
  </w:footnote>
  <w:footnote w:id="130">
    <w:p w14:paraId="53053E02"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sidRPr="00A6673F">
        <w:rPr>
          <w:i/>
          <w:szCs w:val="16"/>
        </w:rPr>
        <w:t>Ibid.</w:t>
      </w:r>
    </w:p>
  </w:footnote>
  <w:footnote w:id="131">
    <w:p w14:paraId="0B28B0D7"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Department of Education</w:t>
      </w:r>
      <w:r>
        <w:rPr>
          <w:szCs w:val="16"/>
        </w:rPr>
        <w:t xml:space="preserve"> and Training (2015)</w:t>
      </w:r>
      <w:r w:rsidRPr="00A6673F">
        <w:rPr>
          <w:szCs w:val="16"/>
        </w:rPr>
        <w:t xml:space="preserve">, </w:t>
      </w:r>
      <w:r>
        <w:rPr>
          <w:szCs w:val="16"/>
        </w:rPr>
        <w:t>‘</w:t>
      </w:r>
      <w:r w:rsidRPr="00F40FEA">
        <w:rPr>
          <w:szCs w:val="16"/>
        </w:rPr>
        <w:t>2014 Research Income and Publications Data by Sub Category</w:t>
      </w:r>
      <w:r>
        <w:rPr>
          <w:szCs w:val="16"/>
        </w:rPr>
        <w:t xml:space="preserve">’, available at: </w:t>
      </w:r>
      <w:r w:rsidRPr="00F40FEA">
        <w:rPr>
          <w:szCs w:val="16"/>
        </w:rPr>
        <w:t>https://docs.education.gov.au/node/39111</w:t>
      </w:r>
      <w:r>
        <w:rPr>
          <w:szCs w:val="16"/>
        </w:rPr>
        <w:t>.</w:t>
      </w:r>
    </w:p>
  </w:footnote>
  <w:footnote w:id="132">
    <w:p w14:paraId="3314E0FA"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Deloitte Access Economics (2015), </w:t>
      </w:r>
      <w:proofErr w:type="gramStart"/>
      <w:r w:rsidRPr="00A6673F">
        <w:rPr>
          <w:i/>
          <w:szCs w:val="16"/>
        </w:rPr>
        <w:t>The</w:t>
      </w:r>
      <w:proofErr w:type="gramEnd"/>
      <w:r w:rsidRPr="00A6673F">
        <w:rPr>
          <w:i/>
          <w:szCs w:val="16"/>
        </w:rPr>
        <w:t xml:space="preserve"> importance of universities to Australia’s prosperity</w:t>
      </w:r>
      <w:r w:rsidRPr="00A6673F">
        <w:rPr>
          <w:szCs w:val="16"/>
        </w:rPr>
        <w:t>, prepared for Universities Australia, p.81</w:t>
      </w:r>
      <w:r>
        <w:rPr>
          <w:szCs w:val="16"/>
        </w:rPr>
        <w:t>.</w:t>
      </w:r>
    </w:p>
  </w:footnote>
  <w:footnote w:id="133">
    <w:p w14:paraId="4307AB7D"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proofErr w:type="gramStart"/>
      <w:r w:rsidRPr="00A6673F">
        <w:rPr>
          <w:i/>
          <w:szCs w:val="16"/>
        </w:rPr>
        <w:t>Ibid</w:t>
      </w:r>
      <w:r>
        <w:rPr>
          <w:i/>
          <w:szCs w:val="16"/>
        </w:rPr>
        <w:t>.</w:t>
      </w:r>
      <w:r w:rsidRPr="00A6673F">
        <w:rPr>
          <w:szCs w:val="16"/>
        </w:rPr>
        <w:t>,</w:t>
      </w:r>
      <w:proofErr w:type="gramEnd"/>
      <w:r w:rsidRPr="00A6673F">
        <w:rPr>
          <w:szCs w:val="16"/>
        </w:rPr>
        <w:t xml:space="preserve"> p.30</w:t>
      </w:r>
      <w:r>
        <w:rPr>
          <w:szCs w:val="16"/>
        </w:rPr>
        <w:t>.</w:t>
      </w:r>
    </w:p>
  </w:footnote>
  <w:footnote w:id="134">
    <w:p w14:paraId="184ABDFE" w14:textId="77777777" w:rsidR="00730D0C" w:rsidRPr="00A6673F" w:rsidRDefault="00730D0C" w:rsidP="00610DD9">
      <w:pPr>
        <w:widowControl/>
        <w:spacing w:line="240" w:lineRule="auto"/>
        <w:rPr>
          <w:rFonts w:cs="Arial-ItalicMT"/>
          <w:i/>
          <w:iCs/>
          <w:sz w:val="16"/>
          <w:szCs w:val="16"/>
          <w:lang w:bidi="he-IL"/>
        </w:rPr>
      </w:pPr>
      <w:r w:rsidRPr="00A6673F">
        <w:rPr>
          <w:rStyle w:val="FootnoteReference"/>
          <w:sz w:val="16"/>
          <w:szCs w:val="16"/>
        </w:rPr>
        <w:footnoteRef/>
      </w:r>
      <w:r w:rsidRPr="00A6673F">
        <w:rPr>
          <w:sz w:val="16"/>
          <w:szCs w:val="16"/>
        </w:rPr>
        <w:t xml:space="preserve"> </w:t>
      </w:r>
      <w:r w:rsidRPr="00A6673F">
        <w:rPr>
          <w:rFonts w:cs="ArialMT"/>
          <w:sz w:val="16"/>
          <w:szCs w:val="16"/>
        </w:rPr>
        <w:t>Joint Information System Committee</w:t>
      </w:r>
      <w:r>
        <w:rPr>
          <w:rFonts w:cs="ArialMT"/>
          <w:sz w:val="16"/>
          <w:szCs w:val="16"/>
        </w:rPr>
        <w:t xml:space="preserve"> (2012)</w:t>
      </w:r>
      <w:r w:rsidRPr="00A6673F">
        <w:rPr>
          <w:rFonts w:cs="ArialMT"/>
          <w:sz w:val="16"/>
          <w:szCs w:val="16"/>
        </w:rPr>
        <w:t xml:space="preserve">, </w:t>
      </w:r>
      <w:r w:rsidRPr="00A6673F">
        <w:rPr>
          <w:rFonts w:cs="Arial-ItalicMT"/>
          <w:i/>
          <w:iCs/>
          <w:sz w:val="16"/>
          <w:szCs w:val="16"/>
          <w:lang w:bidi="he-IL"/>
        </w:rPr>
        <w:t>The Value and Benefits of Text Mining to UK Further and Higher E</w:t>
      </w:r>
      <w:r>
        <w:rPr>
          <w:rFonts w:cs="Arial-ItalicMT"/>
          <w:i/>
          <w:iCs/>
          <w:sz w:val="16"/>
          <w:szCs w:val="16"/>
          <w:lang w:bidi="he-IL"/>
        </w:rPr>
        <w:t>ducation.</w:t>
      </w:r>
    </w:p>
  </w:footnote>
  <w:footnote w:id="135">
    <w:p w14:paraId="06677C1D"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Department of Education</w:t>
      </w:r>
      <w:r>
        <w:rPr>
          <w:szCs w:val="16"/>
        </w:rPr>
        <w:t xml:space="preserve"> and Training (2015)</w:t>
      </w:r>
      <w:r w:rsidRPr="00A6673F">
        <w:rPr>
          <w:szCs w:val="16"/>
        </w:rPr>
        <w:t xml:space="preserve">, </w:t>
      </w:r>
      <w:r>
        <w:rPr>
          <w:szCs w:val="16"/>
        </w:rPr>
        <w:t>‘</w:t>
      </w:r>
      <w:r w:rsidRPr="00F40FEA">
        <w:rPr>
          <w:szCs w:val="16"/>
        </w:rPr>
        <w:t>2014 Research Income and Publications Data by Sub Category</w:t>
      </w:r>
      <w:r>
        <w:rPr>
          <w:szCs w:val="16"/>
        </w:rPr>
        <w:t xml:space="preserve">’, available at: </w:t>
      </w:r>
      <w:r w:rsidRPr="00F40FEA">
        <w:rPr>
          <w:szCs w:val="16"/>
        </w:rPr>
        <w:t>https://docs.education.gov.au/node/39111</w:t>
      </w:r>
      <w:r>
        <w:rPr>
          <w:szCs w:val="16"/>
        </w:rPr>
        <w:t xml:space="preserve">. </w:t>
      </w:r>
    </w:p>
  </w:footnote>
  <w:footnote w:id="136">
    <w:p w14:paraId="4B1118E9"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European Commission (2014), </w:t>
      </w:r>
      <w:r w:rsidRPr="00A6673F">
        <w:rPr>
          <w:i/>
          <w:szCs w:val="16"/>
        </w:rPr>
        <w:t>Standardisation in the area of innovation and technological development, notably in the field of text and data mining</w:t>
      </w:r>
      <w:r w:rsidRPr="00A6673F">
        <w:rPr>
          <w:szCs w:val="16"/>
        </w:rPr>
        <w:t>, p.33</w:t>
      </w:r>
      <w:r>
        <w:rPr>
          <w:szCs w:val="16"/>
        </w:rPr>
        <w:t>.</w:t>
      </w:r>
    </w:p>
  </w:footnote>
  <w:footnote w:id="137">
    <w:p w14:paraId="69F57B35" w14:textId="77777777" w:rsidR="00730D0C" w:rsidRPr="00D31A2C" w:rsidRDefault="00730D0C" w:rsidP="00D31A2C">
      <w:pPr>
        <w:widowControl/>
        <w:spacing w:line="240" w:lineRule="auto"/>
        <w:rPr>
          <w:rFonts w:cs="Arial-ItalicMT"/>
          <w:i/>
          <w:iCs/>
          <w:sz w:val="16"/>
          <w:szCs w:val="16"/>
          <w:lang w:bidi="he-IL"/>
        </w:rPr>
      </w:pPr>
      <w:r w:rsidRPr="00A6673F">
        <w:rPr>
          <w:rStyle w:val="FootnoteReference"/>
          <w:sz w:val="16"/>
          <w:szCs w:val="16"/>
        </w:rPr>
        <w:footnoteRef/>
      </w:r>
      <w:r w:rsidRPr="00A6673F">
        <w:rPr>
          <w:szCs w:val="16"/>
        </w:rPr>
        <w:t xml:space="preserve"> </w:t>
      </w:r>
      <w:r w:rsidRPr="00A6673F">
        <w:rPr>
          <w:rFonts w:cs="ArialMT"/>
          <w:sz w:val="16"/>
          <w:szCs w:val="16"/>
        </w:rPr>
        <w:t>Joint Information System Committee</w:t>
      </w:r>
      <w:r>
        <w:rPr>
          <w:rFonts w:cs="ArialMT"/>
          <w:sz w:val="16"/>
          <w:szCs w:val="16"/>
        </w:rPr>
        <w:t xml:space="preserve"> (2012)</w:t>
      </w:r>
      <w:r w:rsidRPr="00A6673F">
        <w:rPr>
          <w:rFonts w:cs="ArialMT"/>
          <w:sz w:val="16"/>
          <w:szCs w:val="16"/>
        </w:rPr>
        <w:t xml:space="preserve">, </w:t>
      </w:r>
      <w:r w:rsidRPr="00A6673F">
        <w:rPr>
          <w:rFonts w:cs="Arial-ItalicMT"/>
          <w:i/>
          <w:iCs/>
          <w:sz w:val="16"/>
          <w:szCs w:val="16"/>
          <w:lang w:bidi="he-IL"/>
        </w:rPr>
        <w:t>The Value and Benefits of Text Mining to UK Further and Higher E</w:t>
      </w:r>
      <w:r>
        <w:rPr>
          <w:rFonts w:cs="Arial-ItalicMT"/>
          <w:i/>
          <w:iCs/>
          <w:sz w:val="16"/>
          <w:szCs w:val="16"/>
          <w:lang w:bidi="he-IL"/>
        </w:rPr>
        <w:t>ducation.</w:t>
      </w:r>
    </w:p>
  </w:footnote>
  <w:footnote w:id="138">
    <w:p w14:paraId="098494EC"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Department of Education </w:t>
      </w:r>
      <w:r>
        <w:rPr>
          <w:szCs w:val="16"/>
        </w:rPr>
        <w:t xml:space="preserve">and Training </w:t>
      </w:r>
      <w:r w:rsidRPr="00A6673F">
        <w:rPr>
          <w:szCs w:val="16"/>
        </w:rPr>
        <w:t xml:space="preserve">(2015), </w:t>
      </w:r>
      <w:r>
        <w:rPr>
          <w:szCs w:val="16"/>
        </w:rPr>
        <w:t>‘</w:t>
      </w:r>
      <w:r w:rsidRPr="008A67A5">
        <w:rPr>
          <w:szCs w:val="16"/>
        </w:rPr>
        <w:t>Selected Higher Education Statistics - 201</w:t>
      </w:r>
      <w:r>
        <w:rPr>
          <w:szCs w:val="16"/>
        </w:rPr>
        <w:t>5</w:t>
      </w:r>
      <w:r w:rsidRPr="008A67A5">
        <w:rPr>
          <w:szCs w:val="16"/>
        </w:rPr>
        <w:t xml:space="preserve"> Staff data</w:t>
      </w:r>
      <w:r>
        <w:rPr>
          <w:szCs w:val="16"/>
        </w:rPr>
        <w:t xml:space="preserve">’, available at: </w:t>
      </w:r>
      <w:r w:rsidRPr="008A67A5">
        <w:rPr>
          <w:szCs w:val="16"/>
        </w:rPr>
        <w:t>https://www.education.gov.au/selected-higher-education-statistics-2015-staff-data</w:t>
      </w:r>
      <w:r>
        <w:rPr>
          <w:szCs w:val="16"/>
        </w:rPr>
        <w:t xml:space="preserve">. </w:t>
      </w:r>
    </w:p>
  </w:footnote>
  <w:footnote w:id="139">
    <w:p w14:paraId="3E51CE18"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Norton</w:t>
      </w:r>
      <w:r>
        <w:rPr>
          <w:szCs w:val="16"/>
        </w:rPr>
        <w:t>,</w:t>
      </w:r>
      <w:r w:rsidRPr="00A6673F">
        <w:rPr>
          <w:szCs w:val="16"/>
        </w:rPr>
        <w:t xml:space="preserve"> A (2014), </w:t>
      </w:r>
      <w:r w:rsidRPr="00A6673F">
        <w:rPr>
          <w:i/>
          <w:szCs w:val="16"/>
        </w:rPr>
        <w:t xml:space="preserve">Mapping Australian higher education, </w:t>
      </w:r>
      <w:r w:rsidRPr="00A6673F">
        <w:rPr>
          <w:szCs w:val="16"/>
        </w:rPr>
        <w:t>report by the Grattan Institute, p.36</w:t>
      </w:r>
      <w:r>
        <w:rPr>
          <w:szCs w:val="16"/>
        </w:rPr>
        <w:t>.</w:t>
      </w:r>
    </w:p>
  </w:footnote>
  <w:footnote w:id="140">
    <w:p w14:paraId="635C3693"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sidRPr="00A6673F">
        <w:rPr>
          <w:rFonts w:cs="ArialMT"/>
          <w:szCs w:val="16"/>
        </w:rPr>
        <w:t>Joint Information System Committee</w:t>
      </w:r>
      <w:r>
        <w:rPr>
          <w:rFonts w:cs="ArialMT"/>
          <w:szCs w:val="16"/>
        </w:rPr>
        <w:t xml:space="preserve"> (2012)</w:t>
      </w:r>
      <w:r w:rsidRPr="00A6673F">
        <w:rPr>
          <w:rFonts w:cs="ArialMT"/>
          <w:szCs w:val="16"/>
        </w:rPr>
        <w:t xml:space="preserve">, </w:t>
      </w:r>
      <w:r w:rsidRPr="00A6673F">
        <w:rPr>
          <w:rFonts w:cs="Arial-ItalicMT"/>
          <w:i/>
          <w:iCs/>
          <w:szCs w:val="16"/>
          <w:lang w:bidi="he-IL"/>
        </w:rPr>
        <w:t>The Value and Benefits of Text Mining to UK Further and Higher E</w:t>
      </w:r>
      <w:r>
        <w:rPr>
          <w:rFonts w:cs="Arial-ItalicMT"/>
          <w:i/>
          <w:iCs/>
          <w:szCs w:val="16"/>
          <w:lang w:bidi="he-IL"/>
        </w:rPr>
        <w:t>ducation.</w:t>
      </w:r>
    </w:p>
  </w:footnote>
  <w:footnote w:id="141">
    <w:p w14:paraId="63A686A8"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It is unclear how prevalent these tools are currently in Australia.</w:t>
      </w:r>
    </w:p>
  </w:footnote>
  <w:footnote w:id="142">
    <w:p w14:paraId="0688D265"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European Commission (2014), </w:t>
      </w:r>
      <w:r w:rsidRPr="00A6673F">
        <w:rPr>
          <w:i/>
          <w:szCs w:val="16"/>
        </w:rPr>
        <w:t>Standardisation in the area of innovation and technological development, notably in the field of text and data mining</w:t>
      </w:r>
      <w:r w:rsidRPr="00A6673F">
        <w:rPr>
          <w:szCs w:val="16"/>
        </w:rPr>
        <w:t>, p.21.</w:t>
      </w:r>
    </w:p>
  </w:footnote>
  <w:footnote w:id="143">
    <w:p w14:paraId="49FC2DBB" w14:textId="77777777" w:rsidR="00730D0C" w:rsidRPr="00A6673F" w:rsidRDefault="00730D0C" w:rsidP="00610DD9">
      <w:pPr>
        <w:pStyle w:val="FootnoteText"/>
        <w:rPr>
          <w:i/>
          <w:szCs w:val="16"/>
        </w:rPr>
      </w:pPr>
      <w:r w:rsidRPr="00A6673F">
        <w:rPr>
          <w:rStyle w:val="FootnoteReference"/>
          <w:sz w:val="16"/>
          <w:szCs w:val="16"/>
        </w:rPr>
        <w:footnoteRef/>
      </w:r>
      <w:r w:rsidRPr="00A6673F">
        <w:rPr>
          <w:szCs w:val="16"/>
        </w:rPr>
        <w:t xml:space="preserve"> </w:t>
      </w:r>
      <w:r w:rsidRPr="00A6673F">
        <w:rPr>
          <w:i/>
          <w:szCs w:val="16"/>
        </w:rPr>
        <w:t>Ibid</w:t>
      </w:r>
      <w:r>
        <w:rPr>
          <w:i/>
          <w:szCs w:val="16"/>
        </w:rPr>
        <w:t>.</w:t>
      </w:r>
    </w:p>
  </w:footnote>
  <w:footnote w:id="144">
    <w:p w14:paraId="6A732BE2"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sidRPr="00A6673F">
        <w:rPr>
          <w:i/>
          <w:szCs w:val="16"/>
        </w:rPr>
        <w:t>Ibid</w:t>
      </w:r>
      <w:r>
        <w:rPr>
          <w:i/>
          <w:szCs w:val="16"/>
        </w:rPr>
        <w:t>.</w:t>
      </w:r>
    </w:p>
  </w:footnote>
  <w:footnote w:id="145">
    <w:p w14:paraId="5F676BD8"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sidRPr="00A6673F">
        <w:rPr>
          <w:i/>
          <w:szCs w:val="16"/>
        </w:rPr>
        <w:t>Ibid</w:t>
      </w:r>
      <w:r>
        <w:rPr>
          <w:i/>
          <w:szCs w:val="16"/>
        </w:rPr>
        <w:t>.</w:t>
      </w:r>
    </w:p>
  </w:footnote>
  <w:footnote w:id="146">
    <w:p w14:paraId="1DA12925"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Pr>
          <w:szCs w:val="16"/>
        </w:rPr>
        <w:t>ALRC</w:t>
      </w:r>
      <w:r w:rsidRPr="00A6673F">
        <w:rPr>
          <w:szCs w:val="16"/>
        </w:rPr>
        <w:t xml:space="preserve"> (2013), </w:t>
      </w:r>
      <w:r>
        <w:rPr>
          <w:i/>
          <w:szCs w:val="16"/>
        </w:rPr>
        <w:t>Copyright in the D</w:t>
      </w:r>
      <w:r w:rsidRPr="00A6673F">
        <w:rPr>
          <w:i/>
          <w:szCs w:val="16"/>
        </w:rPr>
        <w:t xml:space="preserve">igital </w:t>
      </w:r>
      <w:r>
        <w:rPr>
          <w:i/>
          <w:szCs w:val="16"/>
        </w:rPr>
        <w:t>Economy: F</w:t>
      </w:r>
      <w:r w:rsidRPr="00A6673F">
        <w:rPr>
          <w:i/>
          <w:szCs w:val="16"/>
        </w:rPr>
        <w:t>inal re</w:t>
      </w:r>
      <w:r>
        <w:rPr>
          <w:i/>
          <w:szCs w:val="16"/>
        </w:rPr>
        <w:t>port</w:t>
      </w:r>
      <w:r w:rsidRPr="00A6673F">
        <w:rPr>
          <w:szCs w:val="16"/>
        </w:rPr>
        <w:t>, p.269</w:t>
      </w:r>
      <w:r>
        <w:rPr>
          <w:szCs w:val="16"/>
        </w:rPr>
        <w:t>.</w:t>
      </w:r>
    </w:p>
  </w:footnote>
  <w:footnote w:id="147">
    <w:p w14:paraId="4AB42497"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Australian Digital Alliance and the Australian Libraries Copyright Committee</w:t>
      </w:r>
      <w:r>
        <w:rPr>
          <w:szCs w:val="16"/>
        </w:rPr>
        <w:t xml:space="preserve"> (2009)</w:t>
      </w:r>
      <w:r w:rsidRPr="00A6673F">
        <w:rPr>
          <w:szCs w:val="16"/>
        </w:rPr>
        <w:t xml:space="preserve">, </w:t>
      </w:r>
      <w:r w:rsidRPr="00A6673F">
        <w:rPr>
          <w:i/>
          <w:szCs w:val="16"/>
        </w:rPr>
        <w:t xml:space="preserve">A User’s Guide to the Flexible Dealing Provision for Libraries, Educational Institutions and Cultural Institutions, </w:t>
      </w:r>
      <w:r w:rsidRPr="00A6673F">
        <w:rPr>
          <w:szCs w:val="16"/>
        </w:rPr>
        <w:t>p.4</w:t>
      </w:r>
      <w:r>
        <w:rPr>
          <w:szCs w:val="16"/>
        </w:rPr>
        <w:t>.</w:t>
      </w:r>
    </w:p>
  </w:footnote>
  <w:footnote w:id="148">
    <w:p w14:paraId="7BEC9EE0"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Provided by the COAG Education Council</w:t>
      </w:r>
      <w:r>
        <w:rPr>
          <w:szCs w:val="16"/>
        </w:rPr>
        <w:t>.</w:t>
      </w:r>
    </w:p>
  </w:footnote>
  <w:footnote w:id="149">
    <w:p w14:paraId="3F97F867"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Provided by Universities Australia</w:t>
      </w:r>
      <w:r>
        <w:rPr>
          <w:szCs w:val="16"/>
        </w:rPr>
        <w:t>.</w:t>
      </w:r>
    </w:p>
  </w:footnote>
  <w:footnote w:id="150">
    <w:p w14:paraId="4421592A"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Provided by the COAG Education Council</w:t>
      </w:r>
      <w:r>
        <w:rPr>
          <w:szCs w:val="16"/>
        </w:rPr>
        <w:t>.</w:t>
      </w:r>
    </w:p>
  </w:footnote>
  <w:footnote w:id="151">
    <w:p w14:paraId="4E66809D"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Provided by Universities Australia</w:t>
      </w:r>
      <w:r>
        <w:rPr>
          <w:szCs w:val="16"/>
        </w:rPr>
        <w:t>.</w:t>
      </w:r>
    </w:p>
  </w:footnote>
  <w:footnote w:id="152">
    <w:p w14:paraId="4D60F781"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Pr>
          <w:szCs w:val="16"/>
        </w:rPr>
        <w:t>ALRC</w:t>
      </w:r>
      <w:r w:rsidRPr="00A6673F">
        <w:rPr>
          <w:szCs w:val="16"/>
        </w:rPr>
        <w:t xml:space="preserve"> (2013), </w:t>
      </w:r>
      <w:r>
        <w:rPr>
          <w:i/>
          <w:szCs w:val="16"/>
        </w:rPr>
        <w:t>Copyright in the D</w:t>
      </w:r>
      <w:r w:rsidRPr="00A6673F">
        <w:rPr>
          <w:i/>
          <w:szCs w:val="16"/>
        </w:rPr>
        <w:t xml:space="preserve">igital </w:t>
      </w:r>
      <w:r>
        <w:rPr>
          <w:i/>
          <w:szCs w:val="16"/>
        </w:rPr>
        <w:t>Economy: F</w:t>
      </w:r>
      <w:r w:rsidRPr="00A6673F">
        <w:rPr>
          <w:i/>
          <w:szCs w:val="16"/>
        </w:rPr>
        <w:t>inal re</w:t>
      </w:r>
      <w:r>
        <w:rPr>
          <w:i/>
          <w:szCs w:val="16"/>
        </w:rPr>
        <w:t>port</w:t>
      </w:r>
      <w:r>
        <w:rPr>
          <w:szCs w:val="16"/>
        </w:rPr>
        <w:t>, p.203.</w:t>
      </w:r>
    </w:p>
  </w:footnote>
  <w:footnote w:id="153">
    <w:p w14:paraId="1C03DBFE"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Copyright Agency</w:t>
      </w:r>
      <w:r>
        <w:rPr>
          <w:szCs w:val="16"/>
        </w:rPr>
        <w:t xml:space="preserve"> </w:t>
      </w:r>
      <w:r w:rsidRPr="00A6673F">
        <w:rPr>
          <w:szCs w:val="16"/>
        </w:rPr>
        <w:t>|</w:t>
      </w:r>
      <w:r>
        <w:rPr>
          <w:szCs w:val="16"/>
        </w:rPr>
        <w:t xml:space="preserve"> </w:t>
      </w:r>
      <w:proofErr w:type="spellStart"/>
      <w:r w:rsidRPr="00A6673F">
        <w:rPr>
          <w:szCs w:val="16"/>
        </w:rPr>
        <w:t>Viscopy</w:t>
      </w:r>
      <w:proofErr w:type="spellEnd"/>
      <w:r w:rsidRPr="00A6673F">
        <w:rPr>
          <w:szCs w:val="16"/>
        </w:rPr>
        <w:t xml:space="preserve"> (2012), </w:t>
      </w:r>
      <w:r>
        <w:rPr>
          <w:szCs w:val="16"/>
        </w:rPr>
        <w:t>ALRC submission.</w:t>
      </w:r>
    </w:p>
  </w:footnote>
  <w:footnote w:id="154">
    <w:p w14:paraId="5B1B67BA"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Pr>
          <w:szCs w:val="16"/>
        </w:rPr>
        <w:t>ALRC</w:t>
      </w:r>
      <w:r w:rsidRPr="00A6673F">
        <w:rPr>
          <w:szCs w:val="16"/>
        </w:rPr>
        <w:t xml:space="preserve"> (2013), </w:t>
      </w:r>
      <w:r>
        <w:rPr>
          <w:i/>
          <w:szCs w:val="16"/>
        </w:rPr>
        <w:t>Copyright in the D</w:t>
      </w:r>
      <w:r w:rsidRPr="00A6673F">
        <w:rPr>
          <w:i/>
          <w:szCs w:val="16"/>
        </w:rPr>
        <w:t xml:space="preserve">igital </w:t>
      </w:r>
      <w:r>
        <w:rPr>
          <w:i/>
          <w:szCs w:val="16"/>
        </w:rPr>
        <w:t>Economy: F</w:t>
      </w:r>
      <w:r w:rsidRPr="00A6673F">
        <w:rPr>
          <w:i/>
          <w:szCs w:val="16"/>
        </w:rPr>
        <w:t>inal re</w:t>
      </w:r>
      <w:r>
        <w:rPr>
          <w:i/>
          <w:szCs w:val="16"/>
        </w:rPr>
        <w:t>port</w:t>
      </w:r>
      <w:r>
        <w:rPr>
          <w:szCs w:val="16"/>
        </w:rPr>
        <w:t>, p.203.</w:t>
      </w:r>
    </w:p>
  </w:footnote>
  <w:footnote w:id="155">
    <w:p w14:paraId="45673D36"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sidRPr="00A6673F">
        <w:rPr>
          <w:i/>
          <w:szCs w:val="16"/>
        </w:rPr>
        <w:t>Ibid.</w:t>
      </w:r>
    </w:p>
  </w:footnote>
  <w:footnote w:id="156">
    <w:p w14:paraId="24A41703"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sidRPr="00C02BB7">
        <w:rPr>
          <w:i/>
          <w:szCs w:val="16"/>
        </w:rPr>
        <w:t>Ibid</w:t>
      </w:r>
      <w:r>
        <w:rPr>
          <w:szCs w:val="16"/>
        </w:rPr>
        <w:t>. p. 15.</w:t>
      </w:r>
    </w:p>
  </w:footnote>
  <w:footnote w:id="157">
    <w:p w14:paraId="46139220"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sidRPr="00A6673F">
        <w:rPr>
          <w:i/>
          <w:szCs w:val="16"/>
        </w:rPr>
        <w:t>Ibid.</w:t>
      </w:r>
    </w:p>
  </w:footnote>
  <w:footnote w:id="158">
    <w:p w14:paraId="77D9ACC3"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sidRPr="00A6673F">
        <w:rPr>
          <w:i/>
          <w:szCs w:val="16"/>
        </w:rPr>
        <w:t xml:space="preserve">Ibid. </w:t>
      </w:r>
      <w:r w:rsidRPr="00A6673F">
        <w:rPr>
          <w:szCs w:val="16"/>
        </w:rPr>
        <w:t>p.319.</w:t>
      </w:r>
    </w:p>
  </w:footnote>
  <w:footnote w:id="159">
    <w:p w14:paraId="74C5BE8E"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Copyright Board of Canada (2016), Access Copyright – Elementary and Secondary School Tariff (2010-2015), Decision (Table 4, p.170)</w:t>
      </w:r>
      <w:r>
        <w:rPr>
          <w:szCs w:val="16"/>
        </w:rPr>
        <w:t>.</w:t>
      </w:r>
    </w:p>
  </w:footnote>
  <w:footnote w:id="160">
    <w:p w14:paraId="612C4864"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Copyright Board of Canada (19 Feb 2016), Access Copyright – Elementary and Secondary School Tariff (2010-2015), Decision XIII (I</w:t>
      </w:r>
      <w:proofErr w:type="gramStart"/>
      <w:r w:rsidRPr="00A6673F">
        <w:rPr>
          <w:szCs w:val="16"/>
        </w:rPr>
        <w:t>)(</w:t>
      </w:r>
      <w:proofErr w:type="gramEnd"/>
      <w:r w:rsidRPr="00A6673F">
        <w:rPr>
          <w:szCs w:val="16"/>
        </w:rPr>
        <w:t>2)(a)[327], p,92</w:t>
      </w:r>
      <w:r>
        <w:rPr>
          <w:szCs w:val="16"/>
        </w:rPr>
        <w:t>.</w:t>
      </w:r>
    </w:p>
  </w:footnote>
  <w:footnote w:id="161">
    <w:p w14:paraId="7AE21970" w14:textId="77777777" w:rsidR="00730D0C" w:rsidRPr="00633989" w:rsidRDefault="00730D0C" w:rsidP="00B054A5">
      <w:pPr>
        <w:pStyle w:val="FootnoteText"/>
        <w:rPr>
          <w:szCs w:val="16"/>
        </w:rPr>
      </w:pPr>
      <w:r w:rsidRPr="00633989">
        <w:rPr>
          <w:rStyle w:val="FootnoteReference"/>
          <w:sz w:val="16"/>
          <w:szCs w:val="16"/>
        </w:rPr>
        <w:footnoteRef/>
      </w:r>
      <w:r w:rsidRPr="00633989">
        <w:rPr>
          <w:szCs w:val="16"/>
        </w:rPr>
        <w:t xml:space="preserve"> Copyright Board of Canada (19 Feb 2016), Access Copyright – Elementary and Secondary School Tariff (2010-2015), V)(B)[97],p.25</w:t>
      </w:r>
    </w:p>
  </w:footnote>
  <w:footnote w:id="162">
    <w:p w14:paraId="4EF6DA38"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National Copyright Unit, COAG Education Council (2015), </w:t>
      </w:r>
      <w:r>
        <w:rPr>
          <w:szCs w:val="16"/>
        </w:rPr>
        <w:t xml:space="preserve">Productivity Commission submission. </w:t>
      </w:r>
    </w:p>
  </w:footnote>
  <w:footnote w:id="163">
    <w:p w14:paraId="6F1E6BFC"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CAG response to our questions, unpublished</w:t>
      </w:r>
      <w:r>
        <w:rPr>
          <w:szCs w:val="16"/>
        </w:rPr>
        <w:t>.</w:t>
      </w:r>
    </w:p>
  </w:footnote>
  <w:footnote w:id="164">
    <w:p w14:paraId="7D2193FC" w14:textId="77777777" w:rsidR="00730D0C" w:rsidRPr="00A6673F" w:rsidRDefault="00730D0C" w:rsidP="00610DD9">
      <w:pPr>
        <w:pStyle w:val="FootnoteText"/>
        <w:rPr>
          <w:i/>
          <w:szCs w:val="16"/>
        </w:rPr>
      </w:pPr>
      <w:r w:rsidRPr="00A6673F">
        <w:rPr>
          <w:rStyle w:val="FootnoteReference"/>
          <w:sz w:val="16"/>
          <w:szCs w:val="16"/>
        </w:rPr>
        <w:footnoteRef/>
      </w:r>
      <w:r w:rsidRPr="00A6673F">
        <w:rPr>
          <w:szCs w:val="16"/>
        </w:rPr>
        <w:t xml:space="preserve"> </w:t>
      </w:r>
      <w:r w:rsidRPr="00A6673F">
        <w:rPr>
          <w:i/>
          <w:szCs w:val="16"/>
        </w:rPr>
        <w:t>Ibid</w:t>
      </w:r>
      <w:r>
        <w:rPr>
          <w:i/>
          <w:szCs w:val="16"/>
        </w:rPr>
        <w:t>.</w:t>
      </w:r>
    </w:p>
  </w:footnote>
  <w:footnote w:id="165">
    <w:p w14:paraId="0C372B0D"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Pr>
          <w:szCs w:val="16"/>
        </w:rPr>
        <w:t>ALRC</w:t>
      </w:r>
      <w:r w:rsidRPr="00A6673F">
        <w:rPr>
          <w:szCs w:val="16"/>
        </w:rPr>
        <w:t xml:space="preserve"> (2013), </w:t>
      </w:r>
      <w:r>
        <w:rPr>
          <w:i/>
          <w:szCs w:val="16"/>
        </w:rPr>
        <w:t>Copyright in the D</w:t>
      </w:r>
      <w:r w:rsidRPr="00A6673F">
        <w:rPr>
          <w:i/>
          <w:szCs w:val="16"/>
        </w:rPr>
        <w:t xml:space="preserve">igital </w:t>
      </w:r>
      <w:r>
        <w:rPr>
          <w:i/>
          <w:szCs w:val="16"/>
        </w:rPr>
        <w:t>Economy: F</w:t>
      </w:r>
      <w:r w:rsidRPr="00A6673F">
        <w:rPr>
          <w:i/>
          <w:szCs w:val="16"/>
        </w:rPr>
        <w:t>inal re</w:t>
      </w:r>
      <w:r>
        <w:rPr>
          <w:i/>
          <w:szCs w:val="16"/>
        </w:rPr>
        <w:t>port</w:t>
      </w:r>
      <w:r>
        <w:rPr>
          <w:szCs w:val="16"/>
        </w:rPr>
        <w:t>, p.325.</w:t>
      </w:r>
    </w:p>
  </w:footnote>
  <w:footnote w:id="166">
    <w:p w14:paraId="3B7B58FB"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National Copyright Unit, COAG Education Council (2015), </w:t>
      </w:r>
      <w:r>
        <w:rPr>
          <w:szCs w:val="16"/>
        </w:rPr>
        <w:t>Productivity Commission submission.</w:t>
      </w:r>
    </w:p>
  </w:footnote>
  <w:footnote w:id="167">
    <w:p w14:paraId="06116510"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Pr>
          <w:i/>
          <w:szCs w:val="16"/>
        </w:rPr>
        <w:t>Ibid.</w:t>
      </w:r>
    </w:p>
  </w:footnote>
  <w:footnote w:id="168">
    <w:p w14:paraId="645EBC0D"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sidRPr="00A6673F">
        <w:rPr>
          <w:i/>
          <w:szCs w:val="16"/>
        </w:rPr>
        <w:t>Ibid</w:t>
      </w:r>
      <w:r w:rsidRPr="00A6673F">
        <w:rPr>
          <w:szCs w:val="16"/>
        </w:rPr>
        <w:t>.</w:t>
      </w:r>
    </w:p>
  </w:footnote>
  <w:footnote w:id="169">
    <w:p w14:paraId="21612321" w14:textId="77777777" w:rsidR="00730D0C" w:rsidRPr="00A6673F" w:rsidRDefault="00730D0C" w:rsidP="00610DD9">
      <w:pPr>
        <w:pStyle w:val="FootnoteText"/>
        <w:rPr>
          <w:szCs w:val="16"/>
          <w:u w:val="single"/>
        </w:rPr>
      </w:pPr>
      <w:r w:rsidRPr="00A6673F">
        <w:rPr>
          <w:rStyle w:val="FootnoteReference"/>
          <w:sz w:val="16"/>
          <w:szCs w:val="16"/>
        </w:rPr>
        <w:footnoteRef/>
      </w:r>
      <w:r w:rsidRPr="00A6673F">
        <w:rPr>
          <w:szCs w:val="16"/>
        </w:rPr>
        <w:t xml:space="preserve"> </w:t>
      </w:r>
      <w:r w:rsidRPr="002E7900">
        <w:rPr>
          <w:i/>
          <w:szCs w:val="16"/>
        </w:rPr>
        <w:t>Ibid</w:t>
      </w:r>
      <w:r>
        <w:rPr>
          <w:szCs w:val="16"/>
        </w:rPr>
        <w:t>.</w:t>
      </w:r>
    </w:p>
  </w:footnote>
  <w:footnote w:id="170">
    <w:p w14:paraId="268D6BC0"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Due to possible overlaps in the uses and categories, it is not ideal to sum potential savings from the three categories in this way. This is provided solely for illustrative purposes. </w:t>
      </w:r>
    </w:p>
  </w:footnote>
  <w:footnote w:id="171">
    <w:p w14:paraId="1A6B7886"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Copyright Board of Canada (19 Feb 2016), Access Copyright – Elementary and Secondary School Tariff (2010-2015), Decision (Table 4, p.170)</w:t>
      </w:r>
      <w:r>
        <w:rPr>
          <w:szCs w:val="16"/>
        </w:rPr>
        <w:t>.</w:t>
      </w:r>
    </w:p>
  </w:footnote>
  <w:footnote w:id="172">
    <w:p w14:paraId="27FB6301"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PwC (2016), </w:t>
      </w:r>
      <w:r w:rsidRPr="00A6673F">
        <w:rPr>
          <w:i/>
          <w:szCs w:val="16"/>
        </w:rPr>
        <w:t>Understanding the costs and benefits of introducing a ‘fair use’ exception</w:t>
      </w:r>
      <w:r w:rsidRPr="00A6673F">
        <w:rPr>
          <w:szCs w:val="16"/>
        </w:rPr>
        <w:t xml:space="preserve">, prepared for APRA AMCOS, PPCA, Copyright </w:t>
      </w:r>
      <w:proofErr w:type="spellStart"/>
      <w:r w:rsidRPr="00A6673F">
        <w:rPr>
          <w:szCs w:val="16"/>
        </w:rPr>
        <w:t>Agency</w:t>
      </w:r>
      <w:r w:rsidRPr="00A6673F">
        <w:rPr>
          <w:rFonts w:ascii="Times New Roman" w:hAnsi="Times New Roman"/>
          <w:szCs w:val="16"/>
        </w:rPr>
        <w:t>│</w:t>
      </w:r>
      <w:r w:rsidRPr="00A6673F">
        <w:rPr>
          <w:szCs w:val="16"/>
        </w:rPr>
        <w:t>Viscopy</w:t>
      </w:r>
      <w:proofErr w:type="spellEnd"/>
      <w:r w:rsidRPr="00A6673F">
        <w:rPr>
          <w:szCs w:val="16"/>
        </w:rPr>
        <w:t xml:space="preserve">, Foxtel, News </w:t>
      </w:r>
      <w:r>
        <w:rPr>
          <w:szCs w:val="16"/>
        </w:rPr>
        <w:t xml:space="preserve">Corp Australia and </w:t>
      </w:r>
      <w:proofErr w:type="spellStart"/>
      <w:r>
        <w:rPr>
          <w:szCs w:val="16"/>
        </w:rPr>
        <w:t>Screenrights</w:t>
      </w:r>
      <w:proofErr w:type="spellEnd"/>
      <w:r>
        <w:rPr>
          <w:szCs w:val="16"/>
        </w:rPr>
        <w:t xml:space="preserve">, </w:t>
      </w:r>
      <w:proofErr w:type="spellStart"/>
      <w:r>
        <w:rPr>
          <w:szCs w:val="16"/>
        </w:rPr>
        <w:t>p.iii</w:t>
      </w:r>
      <w:proofErr w:type="spellEnd"/>
      <w:r>
        <w:rPr>
          <w:szCs w:val="16"/>
        </w:rPr>
        <w:t>.</w:t>
      </w:r>
    </w:p>
  </w:footnote>
  <w:footnote w:id="173">
    <w:p w14:paraId="7211EB49" w14:textId="77777777" w:rsidR="00730D0C" w:rsidRPr="00A6673F" w:rsidRDefault="00730D0C" w:rsidP="00610DD9">
      <w:pPr>
        <w:pStyle w:val="FootnoteText"/>
        <w:rPr>
          <w:i/>
          <w:szCs w:val="16"/>
        </w:rPr>
      </w:pPr>
      <w:r w:rsidRPr="00A6673F">
        <w:rPr>
          <w:rStyle w:val="FootnoteReference"/>
          <w:sz w:val="16"/>
          <w:szCs w:val="16"/>
        </w:rPr>
        <w:footnoteRef/>
      </w:r>
      <w:r w:rsidRPr="00A6673F">
        <w:rPr>
          <w:szCs w:val="16"/>
        </w:rPr>
        <w:t xml:space="preserve"> </w:t>
      </w:r>
      <w:r w:rsidRPr="00A6673F">
        <w:rPr>
          <w:i/>
          <w:szCs w:val="16"/>
        </w:rPr>
        <w:t>Ibid</w:t>
      </w:r>
      <w:r>
        <w:rPr>
          <w:i/>
          <w:szCs w:val="16"/>
        </w:rPr>
        <w:t>.</w:t>
      </w:r>
    </w:p>
  </w:footnote>
  <w:footnote w:id="174">
    <w:p w14:paraId="347C4C20"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sidRPr="00A6673F">
        <w:rPr>
          <w:i/>
          <w:szCs w:val="16"/>
        </w:rPr>
        <w:t>Ibid</w:t>
      </w:r>
      <w:r>
        <w:rPr>
          <w:i/>
          <w:szCs w:val="16"/>
        </w:rPr>
        <w:t>.</w:t>
      </w:r>
      <w:r w:rsidRPr="00A6673F">
        <w:rPr>
          <w:i/>
          <w:szCs w:val="16"/>
        </w:rPr>
        <w:t xml:space="preserve">, </w:t>
      </w:r>
      <w:r w:rsidRPr="00A6673F">
        <w:rPr>
          <w:szCs w:val="16"/>
        </w:rPr>
        <w:t>p.16</w:t>
      </w:r>
    </w:p>
  </w:footnote>
  <w:footnote w:id="175">
    <w:p w14:paraId="1F81442A" w14:textId="77777777" w:rsidR="00730D0C" w:rsidRPr="00633989" w:rsidRDefault="00730D0C" w:rsidP="00610DD9">
      <w:pPr>
        <w:pStyle w:val="FootnoteText"/>
        <w:rPr>
          <w:szCs w:val="16"/>
        </w:rPr>
      </w:pPr>
      <w:r w:rsidRPr="00633989">
        <w:rPr>
          <w:rStyle w:val="FootnoteReference"/>
          <w:sz w:val="16"/>
          <w:szCs w:val="16"/>
        </w:rPr>
        <w:footnoteRef/>
      </w:r>
      <w:r w:rsidRPr="00633989">
        <w:rPr>
          <w:szCs w:val="16"/>
        </w:rPr>
        <w:t xml:space="preserve"> Copyright Board of Canada (19 Feb 2016), Access Copyright – Elementary and Secondary School Tariff (2010-2015), V)(B)[97],p.25</w:t>
      </w:r>
    </w:p>
  </w:footnote>
  <w:footnote w:id="176">
    <w:p w14:paraId="3D20BF3F" w14:textId="77777777" w:rsidR="00730D0C" w:rsidRPr="00633989" w:rsidRDefault="00730D0C" w:rsidP="00610DD9">
      <w:pPr>
        <w:pStyle w:val="FootnoteText"/>
        <w:rPr>
          <w:szCs w:val="16"/>
        </w:rPr>
      </w:pPr>
      <w:r w:rsidRPr="00633989">
        <w:rPr>
          <w:rStyle w:val="FootnoteReference"/>
          <w:sz w:val="16"/>
          <w:szCs w:val="16"/>
        </w:rPr>
        <w:footnoteRef/>
      </w:r>
      <w:r w:rsidRPr="00633989">
        <w:rPr>
          <w:szCs w:val="16"/>
        </w:rPr>
        <w:t xml:space="preserve"> </w:t>
      </w:r>
      <w:proofErr w:type="gramStart"/>
      <w:r w:rsidRPr="00633989">
        <w:rPr>
          <w:i/>
          <w:szCs w:val="16"/>
        </w:rPr>
        <w:t>Ibid.</w:t>
      </w:r>
      <w:r w:rsidRPr="00633989">
        <w:rPr>
          <w:szCs w:val="16"/>
        </w:rPr>
        <w:t>,</w:t>
      </w:r>
      <w:proofErr w:type="gramEnd"/>
      <w:r w:rsidRPr="00633989">
        <w:rPr>
          <w:szCs w:val="16"/>
        </w:rPr>
        <w:t xml:space="preserve"> Appendix B, Table 1.</w:t>
      </w:r>
    </w:p>
  </w:footnote>
  <w:footnote w:id="177">
    <w:p w14:paraId="2C55B25F" w14:textId="77777777" w:rsidR="00730D0C" w:rsidRPr="00633989" w:rsidRDefault="00730D0C" w:rsidP="00610DD9">
      <w:pPr>
        <w:pStyle w:val="FootnoteText"/>
        <w:rPr>
          <w:szCs w:val="16"/>
        </w:rPr>
      </w:pPr>
      <w:r w:rsidRPr="00633989">
        <w:rPr>
          <w:rStyle w:val="FootnoteReference"/>
          <w:sz w:val="16"/>
          <w:szCs w:val="16"/>
        </w:rPr>
        <w:footnoteRef/>
      </w:r>
      <w:r w:rsidRPr="00633989">
        <w:rPr>
          <w:szCs w:val="16"/>
        </w:rPr>
        <w:t xml:space="preserve"> PwC (2016), </w:t>
      </w:r>
      <w:r w:rsidRPr="00633989">
        <w:rPr>
          <w:i/>
          <w:szCs w:val="16"/>
        </w:rPr>
        <w:t>Understanding the costs and benefits of introducing a ‘fair use’ exception</w:t>
      </w:r>
      <w:r w:rsidRPr="00633989">
        <w:rPr>
          <w:szCs w:val="16"/>
        </w:rPr>
        <w:t xml:space="preserve">, prepared for APRA AMCOS, PPCA, Copyright </w:t>
      </w:r>
      <w:proofErr w:type="spellStart"/>
      <w:r w:rsidRPr="00633989">
        <w:rPr>
          <w:szCs w:val="16"/>
        </w:rPr>
        <w:t>Agency</w:t>
      </w:r>
      <w:r w:rsidRPr="00633989">
        <w:rPr>
          <w:rFonts w:ascii="Times New Roman" w:hAnsi="Times New Roman"/>
          <w:szCs w:val="16"/>
        </w:rPr>
        <w:t>│</w:t>
      </w:r>
      <w:r w:rsidRPr="00633989">
        <w:rPr>
          <w:szCs w:val="16"/>
        </w:rPr>
        <w:t>Viscopy</w:t>
      </w:r>
      <w:proofErr w:type="spellEnd"/>
      <w:r w:rsidRPr="00633989">
        <w:rPr>
          <w:szCs w:val="16"/>
        </w:rPr>
        <w:t xml:space="preserve">, Foxtel, News Corp Australia and </w:t>
      </w:r>
      <w:proofErr w:type="spellStart"/>
      <w:r w:rsidRPr="00633989">
        <w:rPr>
          <w:szCs w:val="16"/>
        </w:rPr>
        <w:t>Screenrights</w:t>
      </w:r>
      <w:proofErr w:type="spellEnd"/>
      <w:r w:rsidRPr="00633989">
        <w:rPr>
          <w:szCs w:val="16"/>
        </w:rPr>
        <w:t>, p.20.</w:t>
      </w:r>
    </w:p>
  </w:footnote>
  <w:footnote w:id="178">
    <w:p w14:paraId="6EA8C239" w14:textId="77777777" w:rsidR="00730D0C" w:rsidRPr="00633989" w:rsidRDefault="00730D0C" w:rsidP="00610DD9">
      <w:pPr>
        <w:pStyle w:val="FootnoteText"/>
        <w:rPr>
          <w:szCs w:val="16"/>
        </w:rPr>
      </w:pPr>
      <w:r w:rsidRPr="00633989">
        <w:rPr>
          <w:rStyle w:val="FootnoteReference"/>
          <w:sz w:val="16"/>
          <w:szCs w:val="16"/>
        </w:rPr>
        <w:footnoteRef/>
      </w:r>
      <w:r w:rsidRPr="00633989">
        <w:rPr>
          <w:szCs w:val="16"/>
        </w:rPr>
        <w:t xml:space="preserve"> </w:t>
      </w:r>
      <w:r w:rsidRPr="00633989">
        <w:rPr>
          <w:i/>
          <w:szCs w:val="16"/>
        </w:rPr>
        <w:t>Ibid.</w:t>
      </w:r>
    </w:p>
  </w:footnote>
  <w:footnote w:id="179">
    <w:p w14:paraId="5B2FEB22" w14:textId="77777777" w:rsidR="00730D0C" w:rsidRPr="00A6673F" w:rsidRDefault="00730D0C" w:rsidP="00610DD9">
      <w:pPr>
        <w:pStyle w:val="FootnoteText"/>
        <w:rPr>
          <w:szCs w:val="16"/>
        </w:rPr>
      </w:pPr>
      <w:r w:rsidRPr="00633989">
        <w:rPr>
          <w:rStyle w:val="FootnoteReference"/>
          <w:sz w:val="16"/>
          <w:szCs w:val="16"/>
        </w:rPr>
        <w:footnoteRef/>
      </w:r>
      <w:r w:rsidRPr="00633989">
        <w:rPr>
          <w:szCs w:val="16"/>
        </w:rPr>
        <w:t xml:space="preserve"> </w:t>
      </w:r>
      <w:r w:rsidRPr="00633989">
        <w:rPr>
          <w:i/>
          <w:szCs w:val="16"/>
        </w:rPr>
        <w:t>Ibid.</w:t>
      </w:r>
    </w:p>
  </w:footnote>
  <w:footnote w:id="180">
    <w:p w14:paraId="585C5CE1" w14:textId="77777777" w:rsidR="00730D0C" w:rsidRPr="00A6673F" w:rsidRDefault="00730D0C" w:rsidP="00610DD9">
      <w:pPr>
        <w:pStyle w:val="FootnoteText"/>
        <w:rPr>
          <w:i/>
          <w:szCs w:val="16"/>
        </w:rPr>
      </w:pPr>
      <w:r w:rsidRPr="00A6673F">
        <w:rPr>
          <w:rStyle w:val="FootnoteReference"/>
          <w:sz w:val="16"/>
          <w:szCs w:val="16"/>
        </w:rPr>
        <w:footnoteRef/>
      </w:r>
      <w:r w:rsidRPr="00A6673F">
        <w:rPr>
          <w:szCs w:val="16"/>
        </w:rPr>
        <w:t xml:space="preserve"> Copyright Board of Canada (19 Feb 2016), Access Copyright – Elementary and Secondary School Tariff (2010-2015), Decision XIII (I</w:t>
      </w:r>
      <w:proofErr w:type="gramStart"/>
      <w:r w:rsidRPr="00A6673F">
        <w:rPr>
          <w:szCs w:val="16"/>
        </w:rPr>
        <w:t>)(</w:t>
      </w:r>
      <w:proofErr w:type="gramEnd"/>
      <w:r w:rsidRPr="00A6673F">
        <w:rPr>
          <w:szCs w:val="16"/>
        </w:rPr>
        <w:t>2)(b)[337], p,94</w:t>
      </w:r>
      <w:r>
        <w:rPr>
          <w:szCs w:val="16"/>
        </w:rPr>
        <w:t>.</w:t>
      </w:r>
    </w:p>
  </w:footnote>
  <w:footnote w:id="181">
    <w:p w14:paraId="6A64024C" w14:textId="77777777" w:rsidR="00730D0C" w:rsidRPr="00A6673F" w:rsidRDefault="00730D0C" w:rsidP="00610DD9">
      <w:pPr>
        <w:pStyle w:val="AA-Normal"/>
        <w:spacing w:after="0" w:line="240" w:lineRule="auto"/>
        <w:rPr>
          <w:sz w:val="16"/>
          <w:szCs w:val="16"/>
        </w:rPr>
      </w:pPr>
      <w:r w:rsidRPr="00A6673F">
        <w:rPr>
          <w:rStyle w:val="FootnoteReference"/>
          <w:sz w:val="16"/>
          <w:szCs w:val="16"/>
        </w:rPr>
        <w:footnoteRef/>
      </w:r>
      <w:r w:rsidRPr="00A6673F">
        <w:rPr>
          <w:sz w:val="16"/>
          <w:szCs w:val="16"/>
        </w:rPr>
        <w:t xml:space="preserve"> Throsby</w:t>
      </w:r>
      <w:r>
        <w:rPr>
          <w:sz w:val="16"/>
          <w:szCs w:val="16"/>
        </w:rPr>
        <w:t>,</w:t>
      </w:r>
      <w:r w:rsidRPr="00A6673F">
        <w:rPr>
          <w:sz w:val="16"/>
          <w:szCs w:val="16"/>
        </w:rPr>
        <w:t xml:space="preserve"> D,</w:t>
      </w:r>
      <w:r>
        <w:rPr>
          <w:sz w:val="16"/>
          <w:szCs w:val="16"/>
        </w:rPr>
        <w:t xml:space="preserve"> </w:t>
      </w:r>
      <w:proofErr w:type="spellStart"/>
      <w:r>
        <w:rPr>
          <w:sz w:val="16"/>
          <w:szCs w:val="16"/>
        </w:rPr>
        <w:t>Zwar</w:t>
      </w:r>
      <w:proofErr w:type="spellEnd"/>
      <w:r>
        <w:rPr>
          <w:sz w:val="16"/>
          <w:szCs w:val="16"/>
        </w:rPr>
        <w:t>, J</w:t>
      </w:r>
      <w:r w:rsidRPr="00A6673F">
        <w:rPr>
          <w:sz w:val="16"/>
          <w:szCs w:val="16"/>
        </w:rPr>
        <w:t xml:space="preserve">, </w:t>
      </w:r>
      <w:r>
        <w:rPr>
          <w:sz w:val="16"/>
          <w:szCs w:val="16"/>
        </w:rPr>
        <w:t>and T</w:t>
      </w:r>
      <w:r w:rsidRPr="00A6673F">
        <w:rPr>
          <w:sz w:val="16"/>
          <w:szCs w:val="16"/>
        </w:rPr>
        <w:t>homas</w:t>
      </w:r>
      <w:r>
        <w:rPr>
          <w:sz w:val="16"/>
          <w:szCs w:val="16"/>
        </w:rPr>
        <w:t>, L</w:t>
      </w:r>
      <w:r w:rsidRPr="00A6673F">
        <w:rPr>
          <w:sz w:val="16"/>
          <w:szCs w:val="16"/>
        </w:rPr>
        <w:t xml:space="preserve"> (2015), </w:t>
      </w:r>
      <w:r w:rsidRPr="00A6673F">
        <w:rPr>
          <w:i/>
          <w:sz w:val="16"/>
          <w:szCs w:val="16"/>
        </w:rPr>
        <w:t>Book authors and their changing circumstances: survey method and results</w:t>
      </w:r>
      <w:r w:rsidRPr="00A6673F">
        <w:rPr>
          <w:sz w:val="16"/>
          <w:szCs w:val="16"/>
        </w:rPr>
        <w:t>, Macquarie University Economics Research Paper, Appendix, Table 1.7 and Table 3.1</w:t>
      </w:r>
      <w:r>
        <w:rPr>
          <w:sz w:val="16"/>
          <w:szCs w:val="16"/>
        </w:rPr>
        <w:t>.</w:t>
      </w:r>
    </w:p>
  </w:footnote>
  <w:footnote w:id="182">
    <w:p w14:paraId="19B9004B" w14:textId="77777777" w:rsidR="00730D0C" w:rsidRPr="00A6673F" w:rsidRDefault="00730D0C" w:rsidP="00610DD9">
      <w:pPr>
        <w:pStyle w:val="FootnoteText"/>
        <w:rPr>
          <w:i/>
          <w:szCs w:val="16"/>
        </w:rPr>
      </w:pPr>
      <w:r w:rsidRPr="00A6673F">
        <w:rPr>
          <w:rStyle w:val="FootnoteReference"/>
          <w:sz w:val="16"/>
          <w:szCs w:val="16"/>
        </w:rPr>
        <w:footnoteRef/>
      </w:r>
      <w:r w:rsidRPr="00A6673F">
        <w:rPr>
          <w:szCs w:val="16"/>
        </w:rPr>
        <w:t xml:space="preserve"> Macquarie University (2015), Australian Authors – Industry Brief No.3: Author’s Income, </w:t>
      </w:r>
      <w:proofErr w:type="gramStart"/>
      <w:r w:rsidRPr="00A6673F">
        <w:rPr>
          <w:i/>
          <w:szCs w:val="16"/>
        </w:rPr>
        <w:t>The</w:t>
      </w:r>
      <w:proofErr w:type="gramEnd"/>
      <w:r w:rsidRPr="00A6673F">
        <w:rPr>
          <w:i/>
          <w:szCs w:val="16"/>
        </w:rPr>
        <w:t xml:space="preserve"> Australian book industry: Authors, publishers and readers in time of change</w:t>
      </w:r>
      <w:r>
        <w:rPr>
          <w:i/>
          <w:szCs w:val="16"/>
        </w:rPr>
        <w:t>.</w:t>
      </w:r>
    </w:p>
  </w:footnote>
  <w:footnote w:id="183">
    <w:p w14:paraId="694CF930"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Copyright Board of Canada (19 Feb 2016), Access Copyright – Elementary and Secondary School Tariff (2010-2015), Decision XIII (I</w:t>
      </w:r>
      <w:proofErr w:type="gramStart"/>
      <w:r w:rsidRPr="00A6673F">
        <w:rPr>
          <w:szCs w:val="16"/>
        </w:rPr>
        <w:t>)(</w:t>
      </w:r>
      <w:proofErr w:type="gramEnd"/>
      <w:r w:rsidRPr="00A6673F">
        <w:rPr>
          <w:szCs w:val="16"/>
        </w:rPr>
        <w:t>2)(a)[327], p,92</w:t>
      </w:r>
      <w:r>
        <w:rPr>
          <w:szCs w:val="16"/>
        </w:rPr>
        <w:t>.</w:t>
      </w:r>
    </w:p>
  </w:footnote>
  <w:footnote w:id="184">
    <w:p w14:paraId="49008C44"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sidRPr="00A6673F">
        <w:rPr>
          <w:i/>
          <w:szCs w:val="16"/>
        </w:rPr>
        <w:t>Ibid</w:t>
      </w:r>
      <w:r>
        <w:rPr>
          <w:i/>
          <w:szCs w:val="16"/>
        </w:rPr>
        <w:t>.</w:t>
      </w:r>
    </w:p>
  </w:footnote>
  <w:footnote w:id="185">
    <w:p w14:paraId="3511E0C6"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proofErr w:type="spellStart"/>
      <w:r w:rsidRPr="00A6673F">
        <w:rPr>
          <w:szCs w:val="16"/>
        </w:rPr>
        <w:t>Screenrights</w:t>
      </w:r>
      <w:proofErr w:type="spellEnd"/>
      <w:r w:rsidRPr="00A6673F">
        <w:rPr>
          <w:szCs w:val="16"/>
        </w:rPr>
        <w:t xml:space="preserve"> </w:t>
      </w:r>
      <w:r>
        <w:rPr>
          <w:szCs w:val="16"/>
        </w:rPr>
        <w:t>(2015), ‘</w:t>
      </w:r>
      <w:r w:rsidRPr="00A6673F">
        <w:rPr>
          <w:szCs w:val="16"/>
        </w:rPr>
        <w:t>Annual Report 2014-15</w:t>
      </w:r>
      <w:r>
        <w:rPr>
          <w:szCs w:val="16"/>
        </w:rPr>
        <w:t>’</w:t>
      </w:r>
      <w:r w:rsidRPr="00A6673F">
        <w:rPr>
          <w:szCs w:val="16"/>
        </w:rPr>
        <w:t xml:space="preserve">, </w:t>
      </w:r>
      <w:r>
        <w:rPr>
          <w:szCs w:val="16"/>
        </w:rPr>
        <w:t>available at</w:t>
      </w:r>
      <w:r w:rsidRPr="00A6673F">
        <w:rPr>
          <w:szCs w:val="16"/>
        </w:rPr>
        <w:t xml:space="preserve">: </w:t>
      </w:r>
      <w:r w:rsidRPr="0030647E">
        <w:rPr>
          <w:szCs w:val="16"/>
        </w:rPr>
        <w:t>https://www.screenrights.org/sites/default/files/uploads/2014-2015_Screenrights_Annual_Report.pdf</w:t>
      </w:r>
      <w:r>
        <w:rPr>
          <w:szCs w:val="16"/>
        </w:rPr>
        <w:t>.</w:t>
      </w:r>
    </w:p>
  </w:footnote>
  <w:footnote w:id="186">
    <w:p w14:paraId="09E8DE21" w14:textId="77777777" w:rsidR="00730D0C" w:rsidRPr="00BE5D63" w:rsidRDefault="00730D0C" w:rsidP="00610DD9">
      <w:pPr>
        <w:pStyle w:val="FootnoteText"/>
        <w:keepNext w:val="0"/>
        <w:keepLines w:val="0"/>
        <w:rPr>
          <w:szCs w:val="16"/>
        </w:rPr>
      </w:pPr>
      <w:r w:rsidRPr="00BE5D63">
        <w:rPr>
          <w:rStyle w:val="FootnoteReference"/>
          <w:sz w:val="16"/>
          <w:szCs w:val="16"/>
        </w:rPr>
        <w:footnoteRef/>
      </w:r>
      <w:r w:rsidRPr="00BE5D63">
        <w:rPr>
          <w:szCs w:val="16"/>
        </w:rPr>
        <w:t xml:space="preserve"> CAG (2012), ALRC submission. </w:t>
      </w:r>
    </w:p>
  </w:footnote>
  <w:footnote w:id="187">
    <w:p w14:paraId="459E556E" w14:textId="77777777" w:rsidR="00730D0C" w:rsidRPr="00BE5D63" w:rsidRDefault="00730D0C" w:rsidP="00610DD9">
      <w:pPr>
        <w:pStyle w:val="FootnoteText"/>
        <w:rPr>
          <w:szCs w:val="16"/>
        </w:rPr>
      </w:pPr>
      <w:r w:rsidRPr="00BE5D63">
        <w:rPr>
          <w:rStyle w:val="FootnoteReference"/>
          <w:sz w:val="16"/>
          <w:szCs w:val="16"/>
        </w:rPr>
        <w:footnoteRef/>
      </w:r>
      <w:r w:rsidRPr="00BE5D63">
        <w:rPr>
          <w:szCs w:val="16"/>
        </w:rPr>
        <w:t xml:space="preserve"> </w:t>
      </w:r>
      <w:r w:rsidRPr="00BE5D63">
        <w:rPr>
          <w:i/>
          <w:szCs w:val="16"/>
        </w:rPr>
        <w:t>Australian Broadcasting Corporation Act 1983</w:t>
      </w:r>
      <w:r w:rsidRPr="00BE5D63">
        <w:rPr>
          <w:szCs w:val="16"/>
        </w:rPr>
        <w:t xml:space="preserve">, </w:t>
      </w:r>
      <w:proofErr w:type="gramStart"/>
      <w:r w:rsidRPr="00BE5D63">
        <w:rPr>
          <w:szCs w:val="16"/>
        </w:rPr>
        <w:t>section(</w:t>
      </w:r>
      <w:proofErr w:type="gramEnd"/>
      <w:r w:rsidRPr="00BE5D63">
        <w:rPr>
          <w:szCs w:val="16"/>
        </w:rPr>
        <w:t>6)(1)(a)(ii).</w:t>
      </w:r>
    </w:p>
  </w:footnote>
  <w:footnote w:id="188">
    <w:p w14:paraId="664034B3" w14:textId="77777777" w:rsidR="00730D0C" w:rsidRPr="00BE5D63" w:rsidRDefault="00730D0C" w:rsidP="00BE5D63">
      <w:pPr>
        <w:pStyle w:val="FootnoteText"/>
        <w:rPr>
          <w:szCs w:val="16"/>
        </w:rPr>
      </w:pPr>
      <w:r w:rsidRPr="00BE5D63">
        <w:rPr>
          <w:rStyle w:val="FootnoteReference"/>
          <w:sz w:val="16"/>
          <w:szCs w:val="16"/>
        </w:rPr>
        <w:footnoteRef/>
      </w:r>
      <w:r w:rsidRPr="00BE5D63">
        <w:rPr>
          <w:szCs w:val="16"/>
        </w:rPr>
        <w:t xml:space="preserve"> PwC (2016), </w:t>
      </w:r>
      <w:r w:rsidRPr="00BE5D63">
        <w:rPr>
          <w:i/>
          <w:szCs w:val="16"/>
        </w:rPr>
        <w:t>Understanding the costs and benefits of introducing a ‘fair use’ exception</w:t>
      </w:r>
      <w:r w:rsidRPr="00BE5D63">
        <w:rPr>
          <w:szCs w:val="16"/>
        </w:rPr>
        <w:t xml:space="preserve">, prepared for APRA AMCOS, PPCA, Copyright </w:t>
      </w:r>
      <w:proofErr w:type="spellStart"/>
      <w:r w:rsidRPr="00BE5D63">
        <w:rPr>
          <w:szCs w:val="16"/>
        </w:rPr>
        <w:t>Agency</w:t>
      </w:r>
      <w:r w:rsidRPr="00BE5D63">
        <w:rPr>
          <w:rFonts w:ascii="Times New Roman" w:hAnsi="Times New Roman"/>
          <w:szCs w:val="16"/>
        </w:rPr>
        <w:t>│</w:t>
      </w:r>
      <w:r w:rsidRPr="00BE5D63">
        <w:rPr>
          <w:szCs w:val="16"/>
        </w:rPr>
        <w:t>Viscopy</w:t>
      </w:r>
      <w:proofErr w:type="spellEnd"/>
      <w:r w:rsidRPr="00BE5D63">
        <w:rPr>
          <w:szCs w:val="16"/>
        </w:rPr>
        <w:t xml:space="preserve">, Foxtel, News Corp Australia and </w:t>
      </w:r>
      <w:proofErr w:type="spellStart"/>
      <w:r w:rsidRPr="00BE5D63">
        <w:rPr>
          <w:szCs w:val="16"/>
        </w:rPr>
        <w:t>Screenrights</w:t>
      </w:r>
      <w:proofErr w:type="spellEnd"/>
      <w:r w:rsidRPr="00BE5D63">
        <w:rPr>
          <w:szCs w:val="16"/>
        </w:rPr>
        <w:t>.</w:t>
      </w:r>
    </w:p>
  </w:footnote>
  <w:footnote w:id="189">
    <w:p w14:paraId="4832ABC4" w14:textId="77777777" w:rsidR="00730D0C" w:rsidRDefault="00730D0C" w:rsidP="00BE5D63">
      <w:pPr>
        <w:pStyle w:val="FootnoteText"/>
      </w:pPr>
      <w:r w:rsidRPr="00BE5D63">
        <w:rPr>
          <w:rStyle w:val="FootnoteReference"/>
          <w:sz w:val="16"/>
          <w:szCs w:val="16"/>
        </w:rPr>
        <w:footnoteRef/>
      </w:r>
      <w:r w:rsidRPr="00BE5D63">
        <w:rPr>
          <w:szCs w:val="16"/>
        </w:rPr>
        <w:t xml:space="preserve"> Ibid.</w:t>
      </w:r>
    </w:p>
  </w:footnote>
  <w:footnote w:id="190">
    <w:p w14:paraId="5AF457E4" w14:textId="77777777" w:rsidR="00730D0C" w:rsidRPr="00BE5D63" w:rsidRDefault="00730D0C" w:rsidP="00BE5D63">
      <w:pPr>
        <w:pStyle w:val="FootnoteText"/>
        <w:rPr>
          <w:szCs w:val="16"/>
        </w:rPr>
      </w:pPr>
      <w:r w:rsidRPr="00BE5D63">
        <w:rPr>
          <w:rStyle w:val="FootnoteReference"/>
          <w:sz w:val="16"/>
          <w:szCs w:val="16"/>
        </w:rPr>
        <w:footnoteRef/>
      </w:r>
      <w:r w:rsidRPr="00BE5D63">
        <w:rPr>
          <w:szCs w:val="16"/>
        </w:rPr>
        <w:t xml:space="preserve"> National Copyright Unit, COAG Education Council (2015), Productivity Commission submission.  </w:t>
      </w:r>
    </w:p>
  </w:footnote>
  <w:footnote w:id="191">
    <w:p w14:paraId="6ADCAFED" w14:textId="77777777" w:rsidR="00730D0C" w:rsidRPr="00BE5D63" w:rsidRDefault="00730D0C" w:rsidP="00BE5D63">
      <w:pPr>
        <w:pStyle w:val="FootnoteText"/>
        <w:rPr>
          <w:szCs w:val="16"/>
        </w:rPr>
      </w:pPr>
      <w:r w:rsidRPr="00BE5D63">
        <w:rPr>
          <w:rStyle w:val="FootnoteReference"/>
          <w:sz w:val="16"/>
          <w:szCs w:val="16"/>
        </w:rPr>
        <w:footnoteRef/>
      </w:r>
      <w:r w:rsidRPr="00BE5D63">
        <w:rPr>
          <w:szCs w:val="16"/>
        </w:rPr>
        <w:t xml:space="preserve"> That is, the income generated by the collecting societies under the education </w:t>
      </w:r>
      <w:r>
        <w:rPr>
          <w:szCs w:val="16"/>
        </w:rPr>
        <w:t>statutory licences</w:t>
      </w:r>
      <w:r w:rsidRPr="00BE5D63">
        <w:rPr>
          <w:szCs w:val="16"/>
        </w:rPr>
        <w:t xml:space="preserve">. </w:t>
      </w:r>
    </w:p>
  </w:footnote>
  <w:footnote w:id="192">
    <w:p w14:paraId="2F55F8BB" w14:textId="77777777" w:rsidR="00730D0C" w:rsidRPr="00BE5D63" w:rsidRDefault="00730D0C" w:rsidP="00BE5D63">
      <w:pPr>
        <w:pStyle w:val="FootnoteText"/>
        <w:rPr>
          <w:szCs w:val="16"/>
        </w:rPr>
      </w:pPr>
      <w:r w:rsidRPr="00BE5D63">
        <w:rPr>
          <w:rStyle w:val="FootnoteReference"/>
          <w:sz w:val="16"/>
          <w:szCs w:val="16"/>
        </w:rPr>
        <w:footnoteRef/>
      </w:r>
      <w:r w:rsidRPr="00BE5D63">
        <w:rPr>
          <w:szCs w:val="16"/>
        </w:rPr>
        <w:t xml:space="preserve"> That is, the costs borne by the collecting societies in managing the education </w:t>
      </w:r>
      <w:r>
        <w:rPr>
          <w:szCs w:val="16"/>
        </w:rPr>
        <w:t>statutory licences</w:t>
      </w:r>
      <w:r w:rsidRPr="00BE5D63">
        <w:rPr>
          <w:szCs w:val="16"/>
        </w:rPr>
        <w:t xml:space="preserve">.  </w:t>
      </w:r>
    </w:p>
  </w:footnote>
  <w:footnote w:id="193">
    <w:p w14:paraId="1033EB7D" w14:textId="77777777" w:rsidR="00730D0C" w:rsidRPr="00BE5D63" w:rsidRDefault="00730D0C" w:rsidP="00BE5D63">
      <w:pPr>
        <w:pStyle w:val="FootnoteText"/>
        <w:rPr>
          <w:szCs w:val="16"/>
        </w:rPr>
      </w:pPr>
      <w:r w:rsidRPr="00BE5D63">
        <w:rPr>
          <w:rStyle w:val="FootnoteReference"/>
          <w:sz w:val="16"/>
          <w:szCs w:val="16"/>
        </w:rPr>
        <w:footnoteRef/>
      </w:r>
      <w:r w:rsidRPr="00BE5D63">
        <w:rPr>
          <w:szCs w:val="16"/>
        </w:rPr>
        <w:t xml:space="preserve"> As noted above, a recent decision by the Copyright Board of Canada found that 98 per cent of copies made by schools constitute fair dealing. It is reasonable to expect that this proportion represents the upper bound of the potential impact of the new fair dealing exception on education would have on the volume of copyright material managed by collecting societies.</w:t>
      </w:r>
    </w:p>
  </w:footnote>
  <w:footnote w:id="194">
    <w:p w14:paraId="32DDCDD0" w14:textId="77777777" w:rsidR="00730D0C" w:rsidRPr="00A6673F" w:rsidRDefault="00730D0C" w:rsidP="00610DD9">
      <w:pPr>
        <w:pStyle w:val="FootnoteText"/>
        <w:rPr>
          <w:szCs w:val="16"/>
        </w:rPr>
      </w:pPr>
      <w:r w:rsidRPr="00A6673F">
        <w:rPr>
          <w:rStyle w:val="FootnoteReference"/>
          <w:sz w:val="16"/>
          <w:szCs w:val="16"/>
        </w:rPr>
        <w:footnoteRef/>
      </w:r>
      <w:r>
        <w:rPr>
          <w:szCs w:val="16"/>
        </w:rPr>
        <w:t xml:space="preserve"> </w:t>
      </w:r>
      <w:r w:rsidRPr="00A6673F">
        <w:rPr>
          <w:szCs w:val="16"/>
        </w:rPr>
        <w:t>Garnett,</w:t>
      </w:r>
      <w:r>
        <w:rPr>
          <w:szCs w:val="16"/>
        </w:rPr>
        <w:t xml:space="preserve"> K, </w:t>
      </w:r>
      <w:r w:rsidRPr="00A6673F">
        <w:rPr>
          <w:szCs w:val="16"/>
        </w:rPr>
        <w:t>Davies</w:t>
      </w:r>
      <w:r>
        <w:rPr>
          <w:szCs w:val="16"/>
        </w:rPr>
        <w:t xml:space="preserve">, G and </w:t>
      </w:r>
      <w:proofErr w:type="spellStart"/>
      <w:r w:rsidRPr="00A6673F">
        <w:rPr>
          <w:szCs w:val="16"/>
        </w:rPr>
        <w:t>Harbottle</w:t>
      </w:r>
      <w:proofErr w:type="spellEnd"/>
      <w:r>
        <w:rPr>
          <w:szCs w:val="16"/>
        </w:rPr>
        <w:t>, G (2011),</w:t>
      </w:r>
      <w:r w:rsidRPr="00A6673F">
        <w:rPr>
          <w:szCs w:val="16"/>
        </w:rPr>
        <w:t xml:space="preserve"> </w:t>
      </w:r>
      <w:proofErr w:type="spellStart"/>
      <w:r w:rsidRPr="00A6673F">
        <w:rPr>
          <w:i/>
          <w:iCs/>
          <w:szCs w:val="16"/>
        </w:rPr>
        <w:t>Copinger</w:t>
      </w:r>
      <w:proofErr w:type="spellEnd"/>
      <w:r w:rsidRPr="00A6673F">
        <w:rPr>
          <w:i/>
          <w:iCs/>
          <w:szCs w:val="16"/>
        </w:rPr>
        <w:t xml:space="preserve"> and </w:t>
      </w:r>
      <w:proofErr w:type="spellStart"/>
      <w:r w:rsidRPr="00A6673F">
        <w:rPr>
          <w:i/>
          <w:iCs/>
          <w:szCs w:val="16"/>
        </w:rPr>
        <w:t>Skone</w:t>
      </w:r>
      <w:proofErr w:type="spellEnd"/>
      <w:r w:rsidRPr="00A6673F">
        <w:rPr>
          <w:i/>
          <w:iCs/>
          <w:szCs w:val="16"/>
        </w:rPr>
        <w:t xml:space="preserve"> James on Copyright</w:t>
      </w:r>
      <w:r>
        <w:rPr>
          <w:i/>
          <w:iCs/>
          <w:szCs w:val="16"/>
        </w:rPr>
        <w:t xml:space="preserve">, </w:t>
      </w:r>
      <w:r>
        <w:rPr>
          <w:iCs/>
          <w:szCs w:val="16"/>
        </w:rPr>
        <w:t>16</w:t>
      </w:r>
      <w:r w:rsidRPr="00BB1C25">
        <w:rPr>
          <w:iCs/>
          <w:szCs w:val="16"/>
          <w:vertAlign w:val="superscript"/>
        </w:rPr>
        <w:t>th</w:t>
      </w:r>
      <w:r>
        <w:rPr>
          <w:iCs/>
          <w:szCs w:val="16"/>
        </w:rPr>
        <w:t xml:space="preserve"> edition, p.9-96.</w:t>
      </w:r>
      <w:r w:rsidRPr="00A6673F">
        <w:rPr>
          <w:i/>
          <w:iCs/>
          <w:szCs w:val="16"/>
        </w:rPr>
        <w:t xml:space="preserve"> </w:t>
      </w:r>
    </w:p>
  </w:footnote>
  <w:footnote w:id="195">
    <w:p w14:paraId="022D6F45"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World Intellectual Property Organization Copyright Treaty, opened for signature 20 December 1996, ATS 26 (entered into force on 6 March 2002), preamble</w:t>
      </w:r>
      <w:r>
        <w:rPr>
          <w:szCs w:val="16"/>
        </w:rPr>
        <w:t>.</w:t>
      </w:r>
    </w:p>
  </w:footnote>
  <w:footnote w:id="196">
    <w:p w14:paraId="24126137"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Copyright Law Committee</w:t>
      </w:r>
      <w:r>
        <w:rPr>
          <w:szCs w:val="16"/>
        </w:rPr>
        <w:t xml:space="preserve"> (1976)</w:t>
      </w:r>
      <w:r w:rsidRPr="00A6673F">
        <w:rPr>
          <w:szCs w:val="16"/>
        </w:rPr>
        <w:t xml:space="preserve">, </w:t>
      </w:r>
      <w:r w:rsidRPr="00A6673F">
        <w:rPr>
          <w:i/>
          <w:iCs/>
          <w:szCs w:val="16"/>
        </w:rPr>
        <w:t xml:space="preserve">Report on Reprographic Reproduction </w:t>
      </w:r>
      <w:r>
        <w:rPr>
          <w:szCs w:val="16"/>
        </w:rPr>
        <w:t xml:space="preserve">(the </w:t>
      </w:r>
      <w:proofErr w:type="spellStart"/>
      <w:r>
        <w:rPr>
          <w:szCs w:val="16"/>
        </w:rPr>
        <w:t>Franki</w:t>
      </w:r>
      <w:proofErr w:type="spellEnd"/>
      <w:r>
        <w:rPr>
          <w:szCs w:val="16"/>
        </w:rPr>
        <w:t xml:space="preserve"> Report).</w:t>
      </w:r>
    </w:p>
  </w:footnote>
  <w:footnote w:id="197">
    <w:p w14:paraId="702848D5" w14:textId="77777777" w:rsidR="00730D0C" w:rsidRPr="00A6673F" w:rsidRDefault="00730D0C" w:rsidP="00610DD9">
      <w:pPr>
        <w:pStyle w:val="FootnoteText"/>
        <w:keepNext w:val="0"/>
        <w:keepLines w:val="0"/>
        <w:rPr>
          <w:szCs w:val="16"/>
        </w:rPr>
      </w:pPr>
      <w:r w:rsidRPr="00A6673F">
        <w:rPr>
          <w:rStyle w:val="FootnoteReference"/>
          <w:sz w:val="16"/>
          <w:szCs w:val="16"/>
        </w:rPr>
        <w:footnoteRef/>
      </w:r>
      <w:r w:rsidRPr="00A6673F">
        <w:rPr>
          <w:szCs w:val="16"/>
        </w:rPr>
        <w:t xml:space="preserve"> </w:t>
      </w:r>
      <w:proofErr w:type="spellStart"/>
      <w:r w:rsidRPr="00A6673F">
        <w:rPr>
          <w:szCs w:val="16"/>
        </w:rPr>
        <w:t>Screenrights</w:t>
      </w:r>
      <w:proofErr w:type="spellEnd"/>
      <w:r w:rsidRPr="00A6673F">
        <w:rPr>
          <w:szCs w:val="16"/>
        </w:rPr>
        <w:t xml:space="preserve"> (2012), </w:t>
      </w:r>
      <w:r>
        <w:rPr>
          <w:szCs w:val="16"/>
        </w:rPr>
        <w:t>ALRC submission.</w:t>
      </w:r>
    </w:p>
  </w:footnote>
  <w:footnote w:id="198">
    <w:p w14:paraId="547EF9A8"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proofErr w:type="spellStart"/>
      <w:r>
        <w:rPr>
          <w:szCs w:val="16"/>
        </w:rPr>
        <w:t>Bagshaw</w:t>
      </w:r>
      <w:proofErr w:type="spellEnd"/>
      <w:r>
        <w:rPr>
          <w:szCs w:val="16"/>
        </w:rPr>
        <w:t>, E</w:t>
      </w:r>
      <w:r w:rsidRPr="00A6673F">
        <w:rPr>
          <w:szCs w:val="16"/>
        </w:rPr>
        <w:t xml:space="preserve"> (2015), </w:t>
      </w:r>
      <w:r w:rsidRPr="00BB1C25">
        <w:rPr>
          <w:szCs w:val="16"/>
        </w:rPr>
        <w:t>‘The classroom of the future comes alive’,</w:t>
      </w:r>
      <w:r w:rsidRPr="00A6673F">
        <w:rPr>
          <w:i/>
          <w:szCs w:val="16"/>
        </w:rPr>
        <w:t xml:space="preserve"> </w:t>
      </w:r>
      <w:r>
        <w:rPr>
          <w:i/>
          <w:szCs w:val="16"/>
        </w:rPr>
        <w:t xml:space="preserve">The Sydney Morning </w:t>
      </w:r>
      <w:r w:rsidRPr="00BB1C25">
        <w:rPr>
          <w:i/>
          <w:szCs w:val="16"/>
        </w:rPr>
        <w:t>Herald</w:t>
      </w:r>
      <w:r>
        <w:rPr>
          <w:szCs w:val="16"/>
        </w:rPr>
        <w:t xml:space="preserve">, 6 November, </w:t>
      </w:r>
      <w:r w:rsidRPr="00BB1C25">
        <w:rPr>
          <w:szCs w:val="16"/>
        </w:rPr>
        <w:t>available</w:t>
      </w:r>
      <w:r>
        <w:rPr>
          <w:szCs w:val="16"/>
        </w:rPr>
        <w:t xml:space="preserve"> at</w:t>
      </w:r>
      <w:r w:rsidRPr="00A6673F">
        <w:rPr>
          <w:szCs w:val="16"/>
        </w:rPr>
        <w:t xml:space="preserve">: </w:t>
      </w:r>
      <w:r w:rsidRPr="00BB1C25">
        <w:rPr>
          <w:szCs w:val="16"/>
          <w:highlight w:val="white"/>
        </w:rPr>
        <w:t>http://www.smh.com.au/national/education/the-classroom-of-the-future-comes-alive-20151106-gksgt3.html#ixzz3qwi8ydFl</w:t>
      </w:r>
      <w:r w:rsidRPr="00BB1C25">
        <w:rPr>
          <w:szCs w:val="16"/>
        </w:rPr>
        <w:t>b</w:t>
      </w:r>
      <w:r>
        <w:rPr>
          <w:szCs w:val="16"/>
        </w:rPr>
        <w:t>.</w:t>
      </w:r>
      <w:r w:rsidRPr="00A6673F">
        <w:rPr>
          <w:szCs w:val="16"/>
        </w:rPr>
        <w:t xml:space="preserve"> </w:t>
      </w:r>
    </w:p>
  </w:footnote>
  <w:footnote w:id="199">
    <w:p w14:paraId="263C79A0"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Pr>
          <w:szCs w:val="16"/>
        </w:rPr>
        <w:t>ALRC</w:t>
      </w:r>
      <w:r w:rsidRPr="00A6673F">
        <w:rPr>
          <w:szCs w:val="16"/>
        </w:rPr>
        <w:t xml:space="preserve"> (2013), </w:t>
      </w:r>
      <w:r>
        <w:rPr>
          <w:i/>
          <w:szCs w:val="16"/>
        </w:rPr>
        <w:t>Copyright in the Digital Economy: F</w:t>
      </w:r>
      <w:r w:rsidRPr="00A6673F">
        <w:rPr>
          <w:i/>
          <w:szCs w:val="16"/>
        </w:rPr>
        <w:t xml:space="preserve">inal report, </w:t>
      </w:r>
      <w:r w:rsidRPr="00A6673F">
        <w:rPr>
          <w:szCs w:val="16"/>
        </w:rPr>
        <w:t>p.203</w:t>
      </w:r>
      <w:r>
        <w:rPr>
          <w:szCs w:val="16"/>
        </w:rPr>
        <w:t>.</w:t>
      </w:r>
    </w:p>
  </w:footnote>
  <w:footnote w:id="200">
    <w:p w14:paraId="7912AF8F"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Australian Government (2012), </w:t>
      </w:r>
      <w:r w:rsidRPr="00A6673F">
        <w:rPr>
          <w:i/>
          <w:szCs w:val="16"/>
        </w:rPr>
        <w:t xml:space="preserve">Works of untraceable copyright ownership. Orphan works: balancing the rights </w:t>
      </w:r>
      <w:r>
        <w:rPr>
          <w:i/>
          <w:szCs w:val="16"/>
        </w:rPr>
        <w:t>of owners with access to works, r</w:t>
      </w:r>
      <w:r w:rsidRPr="00A6673F">
        <w:rPr>
          <w:szCs w:val="16"/>
        </w:rPr>
        <w:t>eview undertaken by the Attorney-General’s Department, p.4</w:t>
      </w:r>
      <w:r>
        <w:rPr>
          <w:szCs w:val="16"/>
        </w:rPr>
        <w:t>.</w:t>
      </w:r>
    </w:p>
  </w:footnote>
  <w:footnote w:id="201">
    <w:p w14:paraId="5CE6093E"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proofErr w:type="gramStart"/>
      <w:r w:rsidRPr="00BB1C25">
        <w:rPr>
          <w:i/>
          <w:szCs w:val="16"/>
        </w:rPr>
        <w:t>Ibid</w:t>
      </w:r>
      <w:r>
        <w:rPr>
          <w:szCs w:val="16"/>
        </w:rPr>
        <w:t>.</w:t>
      </w:r>
      <w:r w:rsidRPr="00A6673F">
        <w:rPr>
          <w:szCs w:val="16"/>
        </w:rPr>
        <w:t>,</w:t>
      </w:r>
      <w:proofErr w:type="gramEnd"/>
      <w:r w:rsidRPr="00A6673F">
        <w:rPr>
          <w:szCs w:val="16"/>
        </w:rPr>
        <w:t xml:space="preserve"> p.11</w:t>
      </w:r>
      <w:r>
        <w:rPr>
          <w:szCs w:val="16"/>
        </w:rPr>
        <w:t>.</w:t>
      </w:r>
    </w:p>
  </w:footnote>
  <w:footnote w:id="202">
    <w:p w14:paraId="7FFD78F2" w14:textId="77777777" w:rsidR="00730D0C" w:rsidRPr="00A6673F" w:rsidRDefault="00730D0C" w:rsidP="00610DD9">
      <w:pPr>
        <w:pStyle w:val="FootnoteText"/>
        <w:rPr>
          <w:szCs w:val="16"/>
        </w:rPr>
      </w:pPr>
      <w:r w:rsidRPr="00A6673F">
        <w:rPr>
          <w:rStyle w:val="FootnoteReference"/>
          <w:sz w:val="16"/>
          <w:szCs w:val="16"/>
        </w:rPr>
        <w:footnoteRef/>
      </w:r>
      <w:r>
        <w:rPr>
          <w:i/>
          <w:szCs w:val="16"/>
        </w:rPr>
        <w:t xml:space="preserve"> </w:t>
      </w:r>
      <w:proofErr w:type="gramStart"/>
      <w:r w:rsidRPr="00BB1C25">
        <w:rPr>
          <w:i/>
          <w:szCs w:val="16"/>
        </w:rPr>
        <w:t>Ibid</w:t>
      </w:r>
      <w:r>
        <w:rPr>
          <w:szCs w:val="16"/>
        </w:rPr>
        <w:t>.</w:t>
      </w:r>
      <w:r w:rsidRPr="00A6673F">
        <w:rPr>
          <w:szCs w:val="16"/>
        </w:rPr>
        <w:t>,</w:t>
      </w:r>
      <w:proofErr w:type="gramEnd"/>
      <w:r w:rsidRPr="00A6673F">
        <w:rPr>
          <w:szCs w:val="16"/>
        </w:rPr>
        <w:t xml:space="preserve"> p.13</w:t>
      </w:r>
      <w:r>
        <w:rPr>
          <w:szCs w:val="16"/>
        </w:rPr>
        <w:t>.</w:t>
      </w:r>
    </w:p>
  </w:footnote>
  <w:footnote w:id="203">
    <w:p w14:paraId="3A15CB8F"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Pr>
          <w:szCs w:val="16"/>
        </w:rPr>
        <w:t xml:space="preserve">Matt Dawes, cited in: </w:t>
      </w:r>
      <w:r w:rsidRPr="00A6673F">
        <w:rPr>
          <w:szCs w:val="16"/>
        </w:rPr>
        <w:t xml:space="preserve">Australian Government (2012), </w:t>
      </w:r>
      <w:r w:rsidRPr="00A6673F">
        <w:rPr>
          <w:i/>
          <w:szCs w:val="16"/>
        </w:rPr>
        <w:t xml:space="preserve">Works of untraceable copyright ownership. Orphan works: balancing the rights </w:t>
      </w:r>
      <w:r>
        <w:rPr>
          <w:i/>
          <w:szCs w:val="16"/>
        </w:rPr>
        <w:t>of owners with access to works, r</w:t>
      </w:r>
      <w:r w:rsidRPr="00A6673F">
        <w:rPr>
          <w:szCs w:val="16"/>
        </w:rPr>
        <w:t>eview undertaken by the At</w:t>
      </w:r>
      <w:r>
        <w:rPr>
          <w:szCs w:val="16"/>
        </w:rPr>
        <w:t>torney-General’s Department.</w:t>
      </w:r>
    </w:p>
  </w:footnote>
  <w:footnote w:id="204">
    <w:p w14:paraId="712EF94C"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Pr>
          <w:szCs w:val="16"/>
        </w:rPr>
        <w:t>ALRC</w:t>
      </w:r>
      <w:r w:rsidRPr="00A6673F">
        <w:rPr>
          <w:szCs w:val="16"/>
        </w:rPr>
        <w:t xml:space="preserve"> (2013), </w:t>
      </w:r>
      <w:r>
        <w:rPr>
          <w:i/>
          <w:szCs w:val="16"/>
        </w:rPr>
        <w:t>Copyright in the Digital Economy: F</w:t>
      </w:r>
      <w:r w:rsidRPr="00A6673F">
        <w:rPr>
          <w:i/>
          <w:szCs w:val="16"/>
        </w:rPr>
        <w:t xml:space="preserve">inal report, </w:t>
      </w:r>
      <w:r>
        <w:rPr>
          <w:szCs w:val="16"/>
        </w:rPr>
        <w:t>p.291.</w:t>
      </w:r>
    </w:p>
  </w:footnote>
  <w:footnote w:id="205">
    <w:p w14:paraId="321EDC56"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Australian Government (2012), </w:t>
      </w:r>
      <w:r w:rsidRPr="00A6673F">
        <w:rPr>
          <w:i/>
          <w:szCs w:val="16"/>
        </w:rPr>
        <w:t xml:space="preserve">Works of untraceable copyright ownership. Orphan works: balancing the rights </w:t>
      </w:r>
      <w:r>
        <w:rPr>
          <w:i/>
          <w:szCs w:val="16"/>
        </w:rPr>
        <w:t>of owners with access to works, r</w:t>
      </w:r>
      <w:r w:rsidRPr="00A6673F">
        <w:rPr>
          <w:szCs w:val="16"/>
        </w:rPr>
        <w:t>eview undertaken by the At</w:t>
      </w:r>
      <w:r>
        <w:rPr>
          <w:szCs w:val="16"/>
        </w:rPr>
        <w:t>torney-General’s Department, p.3.</w:t>
      </w:r>
    </w:p>
  </w:footnote>
  <w:footnote w:id="206">
    <w:p w14:paraId="64F78F4E"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Pr>
          <w:szCs w:val="16"/>
        </w:rPr>
        <w:t>ALRC</w:t>
      </w:r>
      <w:r w:rsidRPr="00A6673F">
        <w:rPr>
          <w:szCs w:val="16"/>
        </w:rPr>
        <w:t xml:space="preserve"> (2013), </w:t>
      </w:r>
      <w:r>
        <w:rPr>
          <w:i/>
          <w:szCs w:val="16"/>
        </w:rPr>
        <w:t>Copyright in the Digital Economy: F</w:t>
      </w:r>
      <w:r w:rsidRPr="00A6673F">
        <w:rPr>
          <w:i/>
          <w:szCs w:val="16"/>
        </w:rPr>
        <w:t xml:space="preserve">inal report, </w:t>
      </w:r>
      <w:r>
        <w:rPr>
          <w:szCs w:val="16"/>
        </w:rPr>
        <w:t>p.305.</w:t>
      </w:r>
    </w:p>
  </w:footnote>
  <w:footnote w:id="207">
    <w:p w14:paraId="084188CB"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sidRPr="00A6673F">
        <w:rPr>
          <w:i/>
          <w:szCs w:val="16"/>
        </w:rPr>
        <w:t>Ibid</w:t>
      </w:r>
      <w:r>
        <w:rPr>
          <w:i/>
          <w:szCs w:val="16"/>
        </w:rPr>
        <w:t>.</w:t>
      </w:r>
    </w:p>
  </w:footnote>
  <w:footnote w:id="208">
    <w:p w14:paraId="552984F9"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proofErr w:type="spellStart"/>
      <w:r w:rsidRPr="00A6673F">
        <w:rPr>
          <w:szCs w:val="16"/>
        </w:rPr>
        <w:t>Anning</w:t>
      </w:r>
      <w:proofErr w:type="spellEnd"/>
      <w:r>
        <w:rPr>
          <w:szCs w:val="16"/>
        </w:rPr>
        <w:t>,</w:t>
      </w:r>
      <w:r w:rsidRPr="00A6673F">
        <w:rPr>
          <w:szCs w:val="16"/>
        </w:rPr>
        <w:t xml:space="preserve"> J (2015), IBISWorld Industry Report J6010: </w:t>
      </w:r>
      <w:r w:rsidRPr="00A6673F">
        <w:rPr>
          <w:i/>
          <w:szCs w:val="16"/>
        </w:rPr>
        <w:t xml:space="preserve">Libraries and archives in Australia, </w:t>
      </w:r>
      <w:r w:rsidRPr="00A6673F">
        <w:rPr>
          <w:szCs w:val="16"/>
        </w:rPr>
        <w:t>p.28.</w:t>
      </w:r>
    </w:p>
  </w:footnote>
  <w:footnote w:id="209">
    <w:p w14:paraId="34DF2B42"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A</w:t>
      </w:r>
      <w:r>
        <w:rPr>
          <w:szCs w:val="16"/>
        </w:rPr>
        <w:t xml:space="preserve">ustralian Digital Alliance </w:t>
      </w:r>
      <w:r w:rsidRPr="00A6673F">
        <w:rPr>
          <w:szCs w:val="16"/>
        </w:rPr>
        <w:t>and A</w:t>
      </w:r>
      <w:r>
        <w:rPr>
          <w:szCs w:val="16"/>
        </w:rPr>
        <w:t>ustralian Libraries Copyright Committee</w:t>
      </w:r>
      <w:r w:rsidRPr="00A6673F">
        <w:rPr>
          <w:szCs w:val="16"/>
        </w:rPr>
        <w:t xml:space="preserve"> (2012), </w:t>
      </w:r>
      <w:r>
        <w:rPr>
          <w:szCs w:val="16"/>
        </w:rPr>
        <w:t xml:space="preserve">ALRC submission. </w:t>
      </w:r>
    </w:p>
  </w:footnote>
  <w:footnote w:id="210">
    <w:p w14:paraId="708B64E8"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British Library (2011), </w:t>
      </w:r>
      <w:r>
        <w:rPr>
          <w:szCs w:val="16"/>
        </w:rPr>
        <w:t>‘</w:t>
      </w:r>
      <w:r w:rsidRPr="00DB7317">
        <w:rPr>
          <w:szCs w:val="16"/>
        </w:rPr>
        <w:t>Electronic clearance of orphan works significantly accelerates mass digitisation</w:t>
      </w:r>
      <w:r>
        <w:rPr>
          <w:szCs w:val="16"/>
        </w:rPr>
        <w:t>’</w:t>
      </w:r>
      <w:r w:rsidRPr="00A6673F">
        <w:rPr>
          <w:i/>
          <w:szCs w:val="16"/>
        </w:rPr>
        <w:t xml:space="preserve">, </w:t>
      </w:r>
      <w:r>
        <w:rPr>
          <w:szCs w:val="16"/>
        </w:rPr>
        <w:t>available at:</w:t>
      </w:r>
      <w:r w:rsidRPr="00A6673F">
        <w:rPr>
          <w:szCs w:val="16"/>
        </w:rPr>
        <w:t xml:space="preserve"> </w:t>
      </w:r>
      <w:r w:rsidRPr="00DB7317">
        <w:rPr>
          <w:szCs w:val="16"/>
        </w:rPr>
        <w:t>http://www.bl.uk/press-releases/2011/september/electronic-clearance-of-orphan-works-significant</w:t>
      </w:r>
      <w:r>
        <w:rPr>
          <w:szCs w:val="16"/>
        </w:rPr>
        <w:t>ly-accelerates-mass-digitisation.</w:t>
      </w:r>
      <w:r w:rsidRPr="00A6673F">
        <w:rPr>
          <w:szCs w:val="16"/>
        </w:rPr>
        <w:t xml:space="preserve"> </w:t>
      </w:r>
    </w:p>
  </w:footnote>
  <w:footnote w:id="211">
    <w:p w14:paraId="2EAB01A2"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UK Intellectual Property Office (2014), </w:t>
      </w:r>
      <w:r w:rsidRPr="00A6673F">
        <w:rPr>
          <w:i/>
          <w:szCs w:val="16"/>
        </w:rPr>
        <w:t xml:space="preserve">Impact Assessment: Orphan Works, </w:t>
      </w:r>
      <w:r>
        <w:rPr>
          <w:szCs w:val="16"/>
        </w:rPr>
        <w:t>available at</w:t>
      </w:r>
      <w:r w:rsidRPr="00A6673F">
        <w:rPr>
          <w:szCs w:val="16"/>
        </w:rPr>
        <w:t xml:space="preserve">: </w:t>
      </w:r>
      <w:r w:rsidRPr="00DB7317">
        <w:rPr>
          <w:szCs w:val="16"/>
        </w:rPr>
        <w:t>https://www.gov.uk/government/publications/impact-assessment-opinion-orphan-works</w:t>
      </w:r>
      <w:r>
        <w:rPr>
          <w:szCs w:val="16"/>
        </w:rPr>
        <w:t>.</w:t>
      </w:r>
    </w:p>
  </w:footnote>
  <w:footnote w:id="212">
    <w:p w14:paraId="716A664F"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Pr>
          <w:szCs w:val="16"/>
        </w:rPr>
        <w:t>ALRC</w:t>
      </w:r>
      <w:r w:rsidRPr="00A6673F">
        <w:rPr>
          <w:szCs w:val="16"/>
        </w:rPr>
        <w:t xml:space="preserve"> (2013), </w:t>
      </w:r>
      <w:r>
        <w:rPr>
          <w:i/>
          <w:szCs w:val="16"/>
        </w:rPr>
        <w:t>Copyright in the Digital Economy: F</w:t>
      </w:r>
      <w:r w:rsidRPr="00A6673F">
        <w:rPr>
          <w:i/>
          <w:szCs w:val="16"/>
        </w:rPr>
        <w:t xml:space="preserve">inal report, </w:t>
      </w:r>
      <w:r>
        <w:rPr>
          <w:szCs w:val="16"/>
        </w:rPr>
        <w:t>p.304.</w:t>
      </w:r>
    </w:p>
  </w:footnote>
  <w:footnote w:id="213">
    <w:p w14:paraId="19E3E953"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proofErr w:type="spellStart"/>
      <w:r w:rsidRPr="00A6673F">
        <w:rPr>
          <w:szCs w:val="16"/>
        </w:rPr>
        <w:t>Favale</w:t>
      </w:r>
      <w:proofErr w:type="spellEnd"/>
      <w:r>
        <w:rPr>
          <w:szCs w:val="16"/>
        </w:rPr>
        <w:t>,</w:t>
      </w:r>
      <w:r w:rsidRPr="00A6673F">
        <w:rPr>
          <w:szCs w:val="16"/>
        </w:rPr>
        <w:t xml:space="preserve"> M, </w:t>
      </w:r>
      <w:proofErr w:type="spellStart"/>
      <w:r w:rsidRPr="00A6673F">
        <w:rPr>
          <w:szCs w:val="16"/>
        </w:rPr>
        <w:t>Schroff</w:t>
      </w:r>
      <w:proofErr w:type="spellEnd"/>
      <w:r>
        <w:rPr>
          <w:szCs w:val="16"/>
        </w:rPr>
        <w:t xml:space="preserve">, S and </w:t>
      </w:r>
      <w:proofErr w:type="spellStart"/>
      <w:r w:rsidRPr="00A6673F">
        <w:rPr>
          <w:szCs w:val="16"/>
        </w:rPr>
        <w:t>Bertoni</w:t>
      </w:r>
      <w:proofErr w:type="spellEnd"/>
      <w:r>
        <w:rPr>
          <w:szCs w:val="16"/>
        </w:rPr>
        <w:t>, A</w:t>
      </w:r>
      <w:r w:rsidRPr="00A6673F">
        <w:rPr>
          <w:szCs w:val="16"/>
        </w:rPr>
        <w:t xml:space="preserve"> (2016), </w:t>
      </w:r>
      <w:r w:rsidRPr="00A6673F">
        <w:rPr>
          <w:i/>
          <w:szCs w:val="16"/>
        </w:rPr>
        <w:t xml:space="preserve">Requirements for diligent search in the United Kingdom, the Netherlands and Italy, </w:t>
      </w:r>
      <w:r w:rsidRPr="00A6673F">
        <w:rPr>
          <w:szCs w:val="16"/>
        </w:rPr>
        <w:t>prepared for Heritage Plus and EU Commission</w:t>
      </w:r>
      <w:r>
        <w:rPr>
          <w:szCs w:val="16"/>
        </w:rPr>
        <w:t>.</w:t>
      </w:r>
      <w:r w:rsidRPr="00A6673F">
        <w:rPr>
          <w:szCs w:val="16"/>
        </w:rPr>
        <w:t xml:space="preserve"> </w:t>
      </w:r>
    </w:p>
  </w:footnote>
  <w:footnote w:id="214">
    <w:p w14:paraId="577ADC1C"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British Library (2011), </w:t>
      </w:r>
      <w:r>
        <w:rPr>
          <w:szCs w:val="16"/>
        </w:rPr>
        <w:t>‘</w:t>
      </w:r>
      <w:r w:rsidRPr="00DB7317">
        <w:rPr>
          <w:szCs w:val="16"/>
        </w:rPr>
        <w:t>Electronic clearance of orphan works significantly accelerates mass digitisation</w:t>
      </w:r>
      <w:r>
        <w:rPr>
          <w:szCs w:val="16"/>
        </w:rPr>
        <w:t>’</w:t>
      </w:r>
      <w:r w:rsidRPr="00A6673F">
        <w:rPr>
          <w:i/>
          <w:szCs w:val="16"/>
        </w:rPr>
        <w:t xml:space="preserve">, </w:t>
      </w:r>
      <w:r>
        <w:rPr>
          <w:szCs w:val="16"/>
        </w:rPr>
        <w:t>available at:</w:t>
      </w:r>
      <w:r w:rsidRPr="00A6673F">
        <w:rPr>
          <w:szCs w:val="16"/>
        </w:rPr>
        <w:t xml:space="preserve"> </w:t>
      </w:r>
      <w:r w:rsidRPr="00DB7317">
        <w:rPr>
          <w:szCs w:val="16"/>
        </w:rPr>
        <w:t>http://www.bl.uk/press-releases/2011/september/electronic-clearance-of-orphan-works-significant</w:t>
      </w:r>
      <w:r>
        <w:rPr>
          <w:szCs w:val="16"/>
        </w:rPr>
        <w:t>ly-accelerates-mass-digitisation.</w:t>
      </w:r>
    </w:p>
  </w:footnote>
  <w:footnote w:id="215">
    <w:p w14:paraId="1F5AF88A"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National Gallery of Victoria (2012), </w:t>
      </w:r>
      <w:r>
        <w:rPr>
          <w:szCs w:val="16"/>
        </w:rPr>
        <w:t xml:space="preserve">ALRC submission. </w:t>
      </w:r>
    </w:p>
  </w:footnote>
  <w:footnote w:id="216">
    <w:p w14:paraId="7FFD7BDA"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SBS (2011), </w:t>
      </w:r>
      <w:r>
        <w:rPr>
          <w:szCs w:val="16"/>
        </w:rPr>
        <w:t>‘</w:t>
      </w:r>
      <w:r w:rsidRPr="00B55BCD">
        <w:rPr>
          <w:szCs w:val="16"/>
        </w:rPr>
        <w:t>SBS Statement of Orphan Works’,</w:t>
      </w:r>
      <w:r w:rsidRPr="00A6673F">
        <w:rPr>
          <w:i/>
          <w:szCs w:val="16"/>
        </w:rPr>
        <w:t xml:space="preserve"> </w:t>
      </w:r>
      <w:r>
        <w:rPr>
          <w:szCs w:val="16"/>
        </w:rPr>
        <w:t>available at</w:t>
      </w:r>
      <w:r w:rsidRPr="00A6673F">
        <w:rPr>
          <w:szCs w:val="16"/>
        </w:rPr>
        <w:t xml:space="preserve">: </w:t>
      </w:r>
      <w:r w:rsidRPr="00B55BCD">
        <w:rPr>
          <w:szCs w:val="16"/>
        </w:rPr>
        <w:t>http://www.sbs.com.au/aboutus/corporate/view/id/541/h/SBS-Statement-on-Orphan-Works-1.0-February-2011</w:t>
      </w:r>
      <w:r>
        <w:rPr>
          <w:szCs w:val="16"/>
        </w:rPr>
        <w:t>.</w:t>
      </w:r>
      <w:r w:rsidRPr="00A6673F">
        <w:rPr>
          <w:szCs w:val="16"/>
        </w:rPr>
        <w:t xml:space="preserve"> </w:t>
      </w:r>
    </w:p>
  </w:footnote>
  <w:footnote w:id="217">
    <w:p w14:paraId="3A856377"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Australian Government (2012), </w:t>
      </w:r>
      <w:r w:rsidRPr="00A6673F">
        <w:rPr>
          <w:i/>
          <w:szCs w:val="16"/>
        </w:rPr>
        <w:t xml:space="preserve">Works of untraceable copyright ownership. Orphan works: balancing the rights </w:t>
      </w:r>
      <w:r>
        <w:rPr>
          <w:i/>
          <w:szCs w:val="16"/>
        </w:rPr>
        <w:t>of owners with access to works, r</w:t>
      </w:r>
      <w:r w:rsidRPr="00A6673F">
        <w:rPr>
          <w:szCs w:val="16"/>
        </w:rPr>
        <w:t>eview undertaken by the At</w:t>
      </w:r>
      <w:r>
        <w:rPr>
          <w:szCs w:val="16"/>
        </w:rPr>
        <w:t>torney-General’s Department, p.3.</w:t>
      </w:r>
    </w:p>
  </w:footnote>
  <w:footnote w:id="218">
    <w:p w14:paraId="2A459D14"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sidRPr="00A6673F">
        <w:rPr>
          <w:i/>
          <w:szCs w:val="16"/>
        </w:rPr>
        <w:t>Ibid</w:t>
      </w:r>
      <w:r>
        <w:rPr>
          <w:i/>
          <w:szCs w:val="16"/>
        </w:rPr>
        <w:t>.</w:t>
      </w:r>
    </w:p>
  </w:footnote>
  <w:footnote w:id="219">
    <w:p w14:paraId="4BA7E1BB"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Pr>
          <w:szCs w:val="16"/>
        </w:rPr>
        <w:t>ALRC</w:t>
      </w:r>
      <w:r w:rsidRPr="00A6673F">
        <w:rPr>
          <w:szCs w:val="16"/>
        </w:rPr>
        <w:t xml:space="preserve"> (2013), </w:t>
      </w:r>
      <w:r>
        <w:rPr>
          <w:i/>
          <w:szCs w:val="16"/>
        </w:rPr>
        <w:t>Copyright in the Digital Economy: F</w:t>
      </w:r>
      <w:r w:rsidRPr="00A6673F">
        <w:rPr>
          <w:i/>
          <w:szCs w:val="16"/>
        </w:rPr>
        <w:t xml:space="preserve">inal report, </w:t>
      </w:r>
      <w:r>
        <w:rPr>
          <w:szCs w:val="16"/>
        </w:rPr>
        <w:t>p.290.</w:t>
      </w:r>
    </w:p>
  </w:footnote>
  <w:footnote w:id="220">
    <w:p w14:paraId="028B9822"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UK Intellectual Property Office (2015), </w:t>
      </w:r>
      <w:r>
        <w:rPr>
          <w:szCs w:val="16"/>
        </w:rPr>
        <w:t>‘</w:t>
      </w:r>
      <w:r w:rsidRPr="00A6673F">
        <w:rPr>
          <w:szCs w:val="16"/>
        </w:rPr>
        <w:t xml:space="preserve">Orphan works: review of the first 12 months’, </w:t>
      </w:r>
      <w:r>
        <w:rPr>
          <w:szCs w:val="16"/>
        </w:rPr>
        <w:t>available at</w:t>
      </w:r>
      <w:r w:rsidRPr="00A6673F">
        <w:rPr>
          <w:szCs w:val="16"/>
        </w:rPr>
        <w:t xml:space="preserve">: </w:t>
      </w:r>
      <w:r w:rsidRPr="00D3036C">
        <w:rPr>
          <w:szCs w:val="16"/>
        </w:rPr>
        <w:t>https://www.gov.uk/government/uploads/system/uploads/attachment_data/file/487209/orphan-works-annual-report.pdf</w:t>
      </w:r>
      <w:r>
        <w:rPr>
          <w:szCs w:val="16"/>
        </w:rPr>
        <w:t>.</w:t>
      </w:r>
      <w:r w:rsidRPr="00A6673F">
        <w:rPr>
          <w:szCs w:val="16"/>
        </w:rPr>
        <w:t xml:space="preserve"> </w:t>
      </w:r>
    </w:p>
  </w:footnote>
  <w:footnote w:id="221">
    <w:p w14:paraId="4057F19F"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PwC (2015), </w:t>
      </w:r>
      <w:r w:rsidRPr="00A6673F">
        <w:rPr>
          <w:i/>
          <w:szCs w:val="16"/>
        </w:rPr>
        <w:t xml:space="preserve">The Economic Contribution of Australia’s Copyright Industries 2002-2014, </w:t>
      </w:r>
      <w:r>
        <w:rPr>
          <w:i/>
          <w:szCs w:val="16"/>
        </w:rPr>
        <w:t>p</w:t>
      </w:r>
      <w:r w:rsidRPr="00A6673F">
        <w:rPr>
          <w:szCs w:val="16"/>
        </w:rPr>
        <w:t>repared for th</w:t>
      </w:r>
      <w:r>
        <w:rPr>
          <w:szCs w:val="16"/>
        </w:rPr>
        <w:t>e Australian Copyright Council.</w:t>
      </w:r>
    </w:p>
  </w:footnote>
  <w:footnote w:id="222">
    <w:p w14:paraId="08DD2D1F"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UK Intellectual Property Office (2014), </w:t>
      </w:r>
      <w:r w:rsidRPr="00A6673F">
        <w:rPr>
          <w:i/>
          <w:szCs w:val="16"/>
        </w:rPr>
        <w:t xml:space="preserve">Impact Assessment: Orphan Works, </w:t>
      </w:r>
      <w:r>
        <w:rPr>
          <w:szCs w:val="16"/>
        </w:rPr>
        <w:t>available at</w:t>
      </w:r>
      <w:r w:rsidRPr="00A6673F">
        <w:rPr>
          <w:szCs w:val="16"/>
        </w:rPr>
        <w:t xml:space="preserve">: </w:t>
      </w:r>
      <w:r w:rsidRPr="009A2962">
        <w:rPr>
          <w:szCs w:val="16"/>
        </w:rPr>
        <w:t>https://www.gov.uk/government/publications/impact-assessment-opinion-orphan-works</w:t>
      </w:r>
      <w:r>
        <w:rPr>
          <w:szCs w:val="16"/>
        </w:rPr>
        <w:t>.</w:t>
      </w:r>
    </w:p>
  </w:footnote>
  <w:footnote w:id="223">
    <w:p w14:paraId="2818A5E7"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Pr>
          <w:szCs w:val="16"/>
        </w:rPr>
        <w:t>ALRC</w:t>
      </w:r>
      <w:r w:rsidRPr="00A6673F">
        <w:rPr>
          <w:szCs w:val="16"/>
        </w:rPr>
        <w:t xml:space="preserve"> (2013), </w:t>
      </w:r>
      <w:r>
        <w:rPr>
          <w:i/>
          <w:szCs w:val="16"/>
        </w:rPr>
        <w:t>Copyright in the Digital Economy: F</w:t>
      </w:r>
      <w:r w:rsidRPr="00A6673F">
        <w:rPr>
          <w:i/>
          <w:szCs w:val="16"/>
        </w:rPr>
        <w:t xml:space="preserve">inal report, </w:t>
      </w:r>
      <w:r>
        <w:rPr>
          <w:szCs w:val="16"/>
        </w:rPr>
        <w:t>p.298.</w:t>
      </w:r>
    </w:p>
  </w:footnote>
  <w:footnote w:id="224">
    <w:p w14:paraId="54A145C4"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De Beer</w:t>
      </w:r>
      <w:r>
        <w:rPr>
          <w:szCs w:val="16"/>
        </w:rPr>
        <w:t xml:space="preserve">, J and </w:t>
      </w:r>
      <w:r w:rsidRPr="00A6673F">
        <w:rPr>
          <w:szCs w:val="16"/>
        </w:rPr>
        <w:t>Bouchard</w:t>
      </w:r>
      <w:r>
        <w:rPr>
          <w:szCs w:val="16"/>
        </w:rPr>
        <w:t>, M</w:t>
      </w:r>
      <w:r w:rsidRPr="00A6673F">
        <w:rPr>
          <w:szCs w:val="16"/>
        </w:rPr>
        <w:t xml:space="preserve"> (2009), </w:t>
      </w:r>
      <w:r w:rsidRPr="00C269F8">
        <w:rPr>
          <w:i/>
          <w:szCs w:val="16"/>
        </w:rPr>
        <w:t xml:space="preserve">Canada’s ‘orphan works’ regime: </w:t>
      </w:r>
      <w:proofErr w:type="spellStart"/>
      <w:r w:rsidRPr="00C269F8">
        <w:rPr>
          <w:i/>
          <w:szCs w:val="16"/>
        </w:rPr>
        <w:t>Unlocatable</w:t>
      </w:r>
      <w:proofErr w:type="spellEnd"/>
      <w:r w:rsidRPr="00C269F8">
        <w:rPr>
          <w:i/>
          <w:szCs w:val="16"/>
        </w:rPr>
        <w:t xml:space="preserve"> copyright owners and the copyright board</w:t>
      </w:r>
      <w:r w:rsidRPr="00A6673F">
        <w:rPr>
          <w:szCs w:val="16"/>
        </w:rPr>
        <w:t>, p.33.</w:t>
      </w:r>
    </w:p>
  </w:footnote>
  <w:footnote w:id="225">
    <w:p w14:paraId="49FE488B"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Pr>
          <w:szCs w:val="16"/>
        </w:rPr>
        <w:t>ALRC</w:t>
      </w:r>
      <w:r w:rsidRPr="00A6673F">
        <w:rPr>
          <w:szCs w:val="16"/>
        </w:rPr>
        <w:t xml:space="preserve"> (2013), </w:t>
      </w:r>
      <w:r>
        <w:rPr>
          <w:i/>
          <w:szCs w:val="16"/>
        </w:rPr>
        <w:t>Copyright in the Digital Economy: F</w:t>
      </w:r>
      <w:r w:rsidRPr="00A6673F">
        <w:rPr>
          <w:i/>
          <w:szCs w:val="16"/>
        </w:rPr>
        <w:t xml:space="preserve">inal report, </w:t>
      </w:r>
      <w:r>
        <w:rPr>
          <w:szCs w:val="16"/>
        </w:rPr>
        <w:t>p.299.</w:t>
      </w:r>
    </w:p>
  </w:footnote>
  <w:footnote w:id="226">
    <w:p w14:paraId="3B31DC41" w14:textId="77777777" w:rsidR="00730D0C" w:rsidRPr="00A6673F" w:rsidRDefault="00730D0C" w:rsidP="00610DD9">
      <w:pPr>
        <w:pStyle w:val="FootnoteText"/>
        <w:rPr>
          <w:szCs w:val="16"/>
          <w:u w:val="single"/>
        </w:rPr>
      </w:pPr>
      <w:r w:rsidRPr="00A6673F">
        <w:rPr>
          <w:rStyle w:val="FootnoteReference"/>
          <w:sz w:val="16"/>
          <w:szCs w:val="16"/>
        </w:rPr>
        <w:footnoteRef/>
      </w:r>
      <w:r w:rsidRPr="00A6673F">
        <w:rPr>
          <w:szCs w:val="16"/>
        </w:rPr>
        <w:t xml:space="preserve"> National Copyright Unit, COAG Education Council (2015), </w:t>
      </w:r>
      <w:r>
        <w:rPr>
          <w:szCs w:val="16"/>
        </w:rPr>
        <w:t xml:space="preserve">Productivity Commission submission. </w:t>
      </w:r>
    </w:p>
  </w:footnote>
  <w:footnote w:id="227">
    <w:p w14:paraId="02DB88B4"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PwC (2016), </w:t>
      </w:r>
      <w:r w:rsidRPr="00A6673F">
        <w:rPr>
          <w:i/>
          <w:szCs w:val="16"/>
        </w:rPr>
        <w:t>Understanding the costs and benefits of introducing a ‘fair use’ exception</w:t>
      </w:r>
      <w:r w:rsidRPr="00A6673F">
        <w:rPr>
          <w:szCs w:val="16"/>
        </w:rPr>
        <w:t xml:space="preserve">, prepared for APRA AMCOS, PPCA, Copyright </w:t>
      </w:r>
      <w:proofErr w:type="spellStart"/>
      <w:r w:rsidRPr="00A6673F">
        <w:rPr>
          <w:szCs w:val="16"/>
        </w:rPr>
        <w:t>Agency</w:t>
      </w:r>
      <w:r w:rsidRPr="00A6673F">
        <w:rPr>
          <w:rFonts w:ascii="Times New Roman" w:hAnsi="Times New Roman"/>
          <w:szCs w:val="16"/>
        </w:rPr>
        <w:t>│</w:t>
      </w:r>
      <w:r w:rsidRPr="00A6673F">
        <w:rPr>
          <w:szCs w:val="16"/>
        </w:rPr>
        <w:t>Viscopy</w:t>
      </w:r>
      <w:proofErr w:type="spellEnd"/>
      <w:r w:rsidRPr="00A6673F">
        <w:rPr>
          <w:szCs w:val="16"/>
        </w:rPr>
        <w:t xml:space="preserve">, Foxtel, News Corp Australia and </w:t>
      </w:r>
      <w:proofErr w:type="spellStart"/>
      <w:r w:rsidRPr="00A6673F">
        <w:rPr>
          <w:szCs w:val="16"/>
        </w:rPr>
        <w:t>Screenrights</w:t>
      </w:r>
      <w:proofErr w:type="spellEnd"/>
      <w:r w:rsidRPr="00A6673F">
        <w:rPr>
          <w:szCs w:val="16"/>
        </w:rPr>
        <w:t>.</w:t>
      </w:r>
    </w:p>
  </w:footnote>
  <w:footnote w:id="228">
    <w:p w14:paraId="3B1801C3"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ALRC (2013), </w:t>
      </w:r>
      <w:r w:rsidRPr="00A6673F">
        <w:rPr>
          <w:i/>
          <w:szCs w:val="16"/>
        </w:rPr>
        <w:t>Copyright and t</w:t>
      </w:r>
      <w:r>
        <w:rPr>
          <w:i/>
          <w:szCs w:val="16"/>
        </w:rPr>
        <w:t>he Digital Economy: Final report</w:t>
      </w:r>
      <w:r w:rsidRPr="00A6673F">
        <w:rPr>
          <w:szCs w:val="16"/>
        </w:rPr>
        <w:t xml:space="preserve">. </w:t>
      </w:r>
    </w:p>
  </w:footnote>
  <w:footnote w:id="229">
    <w:p w14:paraId="23085B4E"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proofErr w:type="spellStart"/>
      <w:r w:rsidRPr="00A6673F">
        <w:rPr>
          <w:szCs w:val="16"/>
        </w:rPr>
        <w:t>Palmedo</w:t>
      </w:r>
      <w:proofErr w:type="spellEnd"/>
      <w:r>
        <w:rPr>
          <w:szCs w:val="16"/>
        </w:rPr>
        <w:t>, M</w:t>
      </w:r>
      <w:r w:rsidRPr="00A6673F">
        <w:rPr>
          <w:szCs w:val="16"/>
        </w:rPr>
        <w:t xml:space="preserve"> (2015), ‘Firm Performance in Countries </w:t>
      </w:r>
      <w:proofErr w:type="gramStart"/>
      <w:r w:rsidRPr="00A6673F">
        <w:rPr>
          <w:szCs w:val="16"/>
        </w:rPr>
        <w:t>With &amp; Without</w:t>
      </w:r>
      <w:proofErr w:type="gramEnd"/>
      <w:r w:rsidRPr="00A6673F">
        <w:rPr>
          <w:szCs w:val="16"/>
        </w:rPr>
        <w:t xml:space="preserve"> Open Copyright Exceptions’, May, available at: http://infojustice.org/archives/34386. </w:t>
      </w:r>
    </w:p>
  </w:footnote>
  <w:footnote w:id="230">
    <w:p w14:paraId="12A37211"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proofErr w:type="spellStart"/>
      <w:r w:rsidRPr="00A6673F">
        <w:rPr>
          <w:szCs w:val="16"/>
        </w:rPr>
        <w:t>Augderheide</w:t>
      </w:r>
      <w:proofErr w:type="spellEnd"/>
      <w:r>
        <w:rPr>
          <w:szCs w:val="16"/>
        </w:rPr>
        <w:t>, P</w:t>
      </w:r>
      <w:r w:rsidRPr="00A6673F">
        <w:rPr>
          <w:szCs w:val="16"/>
        </w:rPr>
        <w:t xml:space="preserve"> and </w:t>
      </w:r>
      <w:proofErr w:type="spellStart"/>
      <w:r w:rsidRPr="00A6673F">
        <w:rPr>
          <w:szCs w:val="16"/>
        </w:rPr>
        <w:t>Jaszi</w:t>
      </w:r>
      <w:proofErr w:type="spellEnd"/>
      <w:r>
        <w:rPr>
          <w:szCs w:val="16"/>
        </w:rPr>
        <w:t>, P</w:t>
      </w:r>
      <w:r w:rsidRPr="00A6673F">
        <w:rPr>
          <w:szCs w:val="16"/>
        </w:rPr>
        <w:t xml:space="preserve"> (2011), </w:t>
      </w:r>
      <w:r w:rsidRPr="00A6673F">
        <w:rPr>
          <w:i/>
          <w:szCs w:val="16"/>
        </w:rPr>
        <w:t>Reclaiming Fair Use: How to put balance back in Copyright</w:t>
      </w:r>
      <w:r w:rsidRPr="00A6673F">
        <w:rPr>
          <w:szCs w:val="16"/>
        </w:rPr>
        <w:t xml:space="preserve">, University of Chicago Press, Chicago. </w:t>
      </w:r>
    </w:p>
  </w:footnote>
  <w:footnote w:id="231">
    <w:p w14:paraId="235BA888"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The </w:t>
      </w:r>
      <w:proofErr w:type="spellStart"/>
      <w:r w:rsidRPr="00A6673F">
        <w:rPr>
          <w:szCs w:val="16"/>
        </w:rPr>
        <w:t>Kernochan</w:t>
      </w:r>
      <w:proofErr w:type="spellEnd"/>
      <w:r w:rsidRPr="00A6673F">
        <w:rPr>
          <w:szCs w:val="16"/>
        </w:rPr>
        <w:t xml:space="preserve"> </w:t>
      </w:r>
      <w:proofErr w:type="spellStart"/>
      <w:r w:rsidRPr="00A6673F">
        <w:rPr>
          <w:szCs w:val="16"/>
        </w:rPr>
        <w:t>Center</w:t>
      </w:r>
      <w:proofErr w:type="spellEnd"/>
      <w:r w:rsidRPr="00A6673F">
        <w:rPr>
          <w:szCs w:val="16"/>
        </w:rPr>
        <w:t xml:space="preserve"> for Law, Media and the Arts, Columbia University School of Law (2012), </w:t>
      </w:r>
      <w:r w:rsidRPr="00A6673F">
        <w:rPr>
          <w:i/>
          <w:szCs w:val="16"/>
        </w:rPr>
        <w:t xml:space="preserve">Copyright Exceptions in the United States </w:t>
      </w:r>
      <w:proofErr w:type="gramStart"/>
      <w:r w:rsidRPr="00A6673F">
        <w:rPr>
          <w:i/>
          <w:szCs w:val="16"/>
        </w:rPr>
        <w:t>For</w:t>
      </w:r>
      <w:proofErr w:type="gramEnd"/>
      <w:r w:rsidRPr="00A6673F">
        <w:rPr>
          <w:i/>
          <w:szCs w:val="16"/>
        </w:rPr>
        <w:t xml:space="preserve"> Educational Uses of Copyrighted Works</w:t>
      </w:r>
      <w:r w:rsidRPr="00A6673F">
        <w:rPr>
          <w:szCs w:val="16"/>
        </w:rPr>
        <w:t>, ALRC submission.</w:t>
      </w:r>
    </w:p>
  </w:footnote>
  <w:footnote w:id="232">
    <w:p w14:paraId="0E5D1F48"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proofErr w:type="spellStart"/>
      <w:r w:rsidRPr="00A6673F">
        <w:rPr>
          <w:szCs w:val="16"/>
        </w:rPr>
        <w:t>Hinze</w:t>
      </w:r>
      <w:proofErr w:type="spellEnd"/>
      <w:r>
        <w:rPr>
          <w:szCs w:val="16"/>
        </w:rPr>
        <w:t>, G</w:t>
      </w:r>
      <w:r w:rsidRPr="00A6673F">
        <w:rPr>
          <w:szCs w:val="16"/>
        </w:rPr>
        <w:t xml:space="preserve">, </w:t>
      </w:r>
      <w:proofErr w:type="spellStart"/>
      <w:r w:rsidRPr="00A6673F">
        <w:rPr>
          <w:szCs w:val="16"/>
        </w:rPr>
        <w:t>Jaszi</w:t>
      </w:r>
      <w:proofErr w:type="spellEnd"/>
      <w:r>
        <w:rPr>
          <w:szCs w:val="16"/>
        </w:rPr>
        <w:t>, P</w:t>
      </w:r>
      <w:r w:rsidRPr="00A6673F">
        <w:rPr>
          <w:szCs w:val="16"/>
        </w:rPr>
        <w:t xml:space="preserve"> and Sag</w:t>
      </w:r>
      <w:r>
        <w:rPr>
          <w:szCs w:val="16"/>
        </w:rPr>
        <w:t>, M</w:t>
      </w:r>
      <w:r w:rsidRPr="00A6673F">
        <w:rPr>
          <w:szCs w:val="16"/>
        </w:rPr>
        <w:t xml:space="preserve"> (2013), ‘The Fair Use Doctrine in the United States — </w:t>
      </w:r>
      <w:proofErr w:type="gramStart"/>
      <w:r w:rsidRPr="00A6673F">
        <w:rPr>
          <w:szCs w:val="16"/>
        </w:rPr>
        <w:t>A</w:t>
      </w:r>
      <w:proofErr w:type="gramEnd"/>
      <w:r w:rsidRPr="00A6673F">
        <w:rPr>
          <w:szCs w:val="16"/>
        </w:rPr>
        <w:t xml:space="preserve"> Response to the </w:t>
      </w:r>
      <w:proofErr w:type="spellStart"/>
      <w:r w:rsidRPr="00A6673F">
        <w:rPr>
          <w:szCs w:val="16"/>
        </w:rPr>
        <w:t>Kernochan</w:t>
      </w:r>
      <w:proofErr w:type="spellEnd"/>
      <w:r w:rsidRPr="00A6673F">
        <w:rPr>
          <w:szCs w:val="16"/>
        </w:rPr>
        <w:t xml:space="preserve"> Report’.</w:t>
      </w:r>
    </w:p>
  </w:footnote>
  <w:footnote w:id="233">
    <w:p w14:paraId="2585D7A3"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National Copyright Unit, COAG Education Council (2015), Productivity Commission submission. </w:t>
      </w:r>
    </w:p>
  </w:footnote>
  <w:footnote w:id="234">
    <w:p w14:paraId="1AAE50D3"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For example, see: Australian Competition and Consumer Commission (2015), Productivity Commission submission; Australian Communications Consumer Action Network (2015), Productivity Commission submission; Australian Digital Alliance (2015), Productivity Commission submission; Google Australia (2015), Productivity Commission submission; Universities Australia (2015), Productivity Commission submission.</w:t>
      </w:r>
    </w:p>
  </w:footnote>
  <w:footnote w:id="235">
    <w:p w14:paraId="2C5F6281"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As the Attorney-General’s Department states: ‘Complex legislation can create uncertainties about the law. This can impose unnecessary burdens on business and restrict the ability of those affected by the law to understand their legal rights and obligations.’ See: Attorney-General’s Department (2016), ‘Reducing the complexity of legislation’, available at: https://www.ag.gov.au/LegalSystem/ReducingTheComplexityOfLegislation/Pages/default.aspx. </w:t>
      </w:r>
    </w:p>
  </w:footnote>
  <w:footnote w:id="236">
    <w:p w14:paraId="6252BD03"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See: ALRC (2013), </w:t>
      </w:r>
      <w:r w:rsidRPr="00A6673F">
        <w:rPr>
          <w:i/>
          <w:szCs w:val="16"/>
        </w:rPr>
        <w:t>Copyright and the Digital Economy: Final report</w:t>
      </w:r>
      <w:r w:rsidRPr="00A6673F">
        <w:rPr>
          <w:szCs w:val="16"/>
        </w:rPr>
        <w:t>; Stewart</w:t>
      </w:r>
      <w:r>
        <w:rPr>
          <w:szCs w:val="16"/>
        </w:rPr>
        <w:t>, A</w:t>
      </w:r>
      <w:r w:rsidRPr="00A6673F">
        <w:rPr>
          <w:szCs w:val="16"/>
        </w:rPr>
        <w:t>, Griffith</w:t>
      </w:r>
      <w:r>
        <w:rPr>
          <w:szCs w:val="16"/>
        </w:rPr>
        <w:t>, P</w:t>
      </w:r>
      <w:r w:rsidRPr="00A6673F">
        <w:rPr>
          <w:szCs w:val="16"/>
        </w:rPr>
        <w:t xml:space="preserve"> and Bannister</w:t>
      </w:r>
      <w:r>
        <w:rPr>
          <w:szCs w:val="16"/>
        </w:rPr>
        <w:t>, J</w:t>
      </w:r>
      <w:r w:rsidRPr="00A6673F">
        <w:rPr>
          <w:szCs w:val="16"/>
        </w:rPr>
        <w:t xml:space="preserve"> (2010), </w:t>
      </w:r>
      <w:r w:rsidRPr="00A6673F">
        <w:rPr>
          <w:i/>
          <w:szCs w:val="16"/>
        </w:rPr>
        <w:t>Intellectual Property in Australia</w:t>
      </w:r>
      <w:r w:rsidRPr="00A6673F">
        <w:rPr>
          <w:szCs w:val="16"/>
        </w:rPr>
        <w:t xml:space="preserve">, Sydney, LexisNexis; Australian Copyright Council (2012), ALRC submission; NSW Department of Attorney-General and Justice (2012), ALRC submission. </w:t>
      </w:r>
    </w:p>
  </w:footnote>
  <w:footnote w:id="237">
    <w:p w14:paraId="1B2A073D"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For examples, see: </w:t>
      </w:r>
      <w:proofErr w:type="spellStart"/>
      <w:r w:rsidRPr="00A6673F">
        <w:rPr>
          <w:szCs w:val="16"/>
        </w:rPr>
        <w:t>Weatherall</w:t>
      </w:r>
      <w:proofErr w:type="spellEnd"/>
      <w:r w:rsidRPr="00A6673F">
        <w:rPr>
          <w:szCs w:val="16"/>
        </w:rPr>
        <w:t xml:space="preserve">, </w:t>
      </w:r>
      <w:r>
        <w:rPr>
          <w:szCs w:val="16"/>
        </w:rPr>
        <w:t xml:space="preserve">K, </w:t>
      </w:r>
      <w:r w:rsidRPr="00A6673F">
        <w:rPr>
          <w:szCs w:val="16"/>
        </w:rPr>
        <w:t>Alexander</w:t>
      </w:r>
      <w:r>
        <w:rPr>
          <w:szCs w:val="16"/>
        </w:rPr>
        <w:t>, I</w:t>
      </w:r>
      <w:r w:rsidRPr="00A6673F">
        <w:rPr>
          <w:szCs w:val="16"/>
        </w:rPr>
        <w:t xml:space="preserve"> and Handle</w:t>
      </w:r>
      <w:r>
        <w:rPr>
          <w:szCs w:val="16"/>
        </w:rPr>
        <w:t>r, M</w:t>
      </w:r>
      <w:r w:rsidRPr="00A6673F">
        <w:rPr>
          <w:szCs w:val="16"/>
        </w:rPr>
        <w:t xml:space="preserve"> (2015), Productivity Commission submission, pp</w:t>
      </w:r>
      <w:proofErr w:type="gramStart"/>
      <w:r w:rsidRPr="00A6673F">
        <w:rPr>
          <w:szCs w:val="16"/>
        </w:rPr>
        <w:t>:3</w:t>
      </w:r>
      <w:proofErr w:type="gramEnd"/>
      <w:r w:rsidRPr="00A6673F">
        <w:rPr>
          <w:szCs w:val="16"/>
        </w:rPr>
        <w:t xml:space="preserve">-4. </w:t>
      </w:r>
    </w:p>
  </w:footnote>
  <w:footnote w:id="238">
    <w:p w14:paraId="36647F42"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Sainsbury</w:t>
      </w:r>
      <w:r>
        <w:rPr>
          <w:szCs w:val="16"/>
        </w:rPr>
        <w:t>, M</w:t>
      </w:r>
      <w:r w:rsidRPr="00A6673F">
        <w:rPr>
          <w:szCs w:val="16"/>
        </w:rPr>
        <w:t xml:space="preserve"> (2011), ‘Context or Chaos: Statutory Interpretation and the Australian Copyright Act’, </w:t>
      </w:r>
      <w:r w:rsidRPr="00A6673F">
        <w:rPr>
          <w:i/>
          <w:szCs w:val="16"/>
        </w:rPr>
        <w:t>Statute Law Review</w:t>
      </w:r>
      <w:r w:rsidRPr="00A6673F">
        <w:rPr>
          <w:szCs w:val="16"/>
        </w:rPr>
        <w:t xml:space="preserve"> 32(1), 54–75. </w:t>
      </w:r>
    </w:p>
  </w:footnote>
  <w:footnote w:id="239">
    <w:p w14:paraId="4872E77C"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Fitzgerald</w:t>
      </w:r>
      <w:r>
        <w:rPr>
          <w:szCs w:val="16"/>
        </w:rPr>
        <w:t>, B</w:t>
      </w:r>
      <w:r w:rsidRPr="00A6673F">
        <w:rPr>
          <w:szCs w:val="16"/>
        </w:rPr>
        <w:t xml:space="preserve"> and Fitzgerald</w:t>
      </w:r>
      <w:r>
        <w:rPr>
          <w:szCs w:val="16"/>
        </w:rPr>
        <w:t>, A</w:t>
      </w:r>
      <w:r w:rsidRPr="00A6673F">
        <w:rPr>
          <w:szCs w:val="16"/>
        </w:rPr>
        <w:t xml:space="preserve"> (2004), </w:t>
      </w:r>
      <w:r w:rsidRPr="00A6673F">
        <w:rPr>
          <w:i/>
          <w:szCs w:val="16"/>
        </w:rPr>
        <w:t>Intellectual Property in Principle</w:t>
      </w:r>
      <w:r w:rsidRPr="00A6673F">
        <w:rPr>
          <w:szCs w:val="16"/>
        </w:rPr>
        <w:t xml:space="preserve">, </w:t>
      </w:r>
      <w:proofErr w:type="spellStart"/>
      <w:r w:rsidRPr="00A6673F">
        <w:rPr>
          <w:szCs w:val="16"/>
        </w:rPr>
        <w:t>Lawbook</w:t>
      </w:r>
      <w:proofErr w:type="spellEnd"/>
      <w:r w:rsidRPr="00A6673F">
        <w:rPr>
          <w:szCs w:val="16"/>
        </w:rPr>
        <w:t xml:space="preserve">. </w:t>
      </w:r>
    </w:p>
  </w:footnote>
  <w:footnote w:id="240">
    <w:p w14:paraId="7B275816"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proofErr w:type="spellStart"/>
      <w:r w:rsidRPr="00A6673F">
        <w:rPr>
          <w:szCs w:val="16"/>
        </w:rPr>
        <w:t>Weatherall</w:t>
      </w:r>
      <w:proofErr w:type="spellEnd"/>
      <w:r>
        <w:rPr>
          <w:szCs w:val="16"/>
        </w:rPr>
        <w:t>, K</w:t>
      </w:r>
      <w:r w:rsidRPr="00A6673F">
        <w:rPr>
          <w:szCs w:val="16"/>
        </w:rPr>
        <w:t xml:space="preserve"> and Hudson</w:t>
      </w:r>
      <w:r>
        <w:rPr>
          <w:szCs w:val="16"/>
        </w:rPr>
        <w:t>, E</w:t>
      </w:r>
      <w:r w:rsidRPr="00A6673F">
        <w:rPr>
          <w:szCs w:val="16"/>
        </w:rPr>
        <w:t xml:space="preserve"> (2005), </w:t>
      </w:r>
      <w:r w:rsidRPr="00A6673F">
        <w:rPr>
          <w:i/>
          <w:szCs w:val="16"/>
        </w:rPr>
        <w:t>Response to the Issues Paper: Fair Use and Other Copyright Exceptions in the Digital Age</w:t>
      </w:r>
      <w:r w:rsidRPr="00A6673F">
        <w:rPr>
          <w:szCs w:val="16"/>
        </w:rPr>
        <w:t xml:space="preserve">, available at: http://works.bepress.com/kimweatherall/6/. </w:t>
      </w:r>
    </w:p>
  </w:footnote>
  <w:footnote w:id="241">
    <w:p w14:paraId="2F6B2E3E"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Deloitte Access Economics estimates that Australia’s digital economy increased from $50 billion in 2009/10 to $79 billion in 2013/14. See: Deloitte Access Economics (2011), </w:t>
      </w:r>
      <w:r w:rsidRPr="00A6673F">
        <w:rPr>
          <w:i/>
          <w:szCs w:val="16"/>
        </w:rPr>
        <w:t>The Connected Continent</w:t>
      </w:r>
      <w:r w:rsidRPr="00A6673F">
        <w:rPr>
          <w:szCs w:val="16"/>
        </w:rPr>
        <w:t xml:space="preserve">, prepared for Google Australia; Deloitte Access Economics (2015), </w:t>
      </w:r>
      <w:r w:rsidRPr="00A6673F">
        <w:rPr>
          <w:i/>
          <w:szCs w:val="16"/>
        </w:rPr>
        <w:t>The Connected Continent II</w:t>
      </w:r>
      <w:r w:rsidRPr="00A6673F">
        <w:rPr>
          <w:szCs w:val="16"/>
        </w:rPr>
        <w:t xml:space="preserve">, prepared for Google Australia. </w:t>
      </w:r>
    </w:p>
  </w:footnote>
  <w:footnote w:id="242">
    <w:p w14:paraId="3DD9C9E1"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ABS (2016), ‘Australian National Accounts: National income, expenditure and product’, cat. </w:t>
      </w:r>
      <w:proofErr w:type="gramStart"/>
      <w:r w:rsidRPr="00A6673F">
        <w:rPr>
          <w:szCs w:val="16"/>
        </w:rPr>
        <w:t>no</w:t>
      </w:r>
      <w:proofErr w:type="gramEnd"/>
      <w:r w:rsidRPr="00A6673F">
        <w:rPr>
          <w:szCs w:val="16"/>
        </w:rPr>
        <w:t>. 5206.0.</w:t>
      </w:r>
    </w:p>
  </w:footnote>
  <w:footnote w:id="243">
    <w:p w14:paraId="67228FE8"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Comin</w:t>
      </w:r>
      <w:r>
        <w:rPr>
          <w:szCs w:val="16"/>
        </w:rPr>
        <w:t>, D</w:t>
      </w:r>
      <w:r w:rsidRPr="00A6673F">
        <w:rPr>
          <w:szCs w:val="16"/>
        </w:rPr>
        <w:t xml:space="preserve"> and </w:t>
      </w:r>
      <w:proofErr w:type="spellStart"/>
      <w:r w:rsidRPr="00A6673F">
        <w:rPr>
          <w:szCs w:val="16"/>
        </w:rPr>
        <w:t>Mestieri</w:t>
      </w:r>
      <w:proofErr w:type="spellEnd"/>
      <w:r>
        <w:rPr>
          <w:szCs w:val="16"/>
        </w:rPr>
        <w:t>, M</w:t>
      </w:r>
      <w:r w:rsidRPr="00A6673F">
        <w:rPr>
          <w:szCs w:val="16"/>
        </w:rPr>
        <w:t xml:space="preserve"> (2013), ‘If Technology has Arrived Everywhere, why Has Income Diverged?</w:t>
      </w:r>
      <w:proofErr w:type="gramStart"/>
      <w:r w:rsidRPr="00A6673F">
        <w:rPr>
          <w:szCs w:val="16"/>
        </w:rPr>
        <w:t>’,</w:t>
      </w:r>
      <w:proofErr w:type="gramEnd"/>
      <w:r w:rsidRPr="00A6673F">
        <w:rPr>
          <w:szCs w:val="16"/>
        </w:rPr>
        <w:t xml:space="preserve"> May. </w:t>
      </w:r>
    </w:p>
  </w:footnote>
  <w:footnote w:id="244">
    <w:p w14:paraId="33F7A8F3"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ALRC (2013), </w:t>
      </w:r>
      <w:r w:rsidRPr="00A6673F">
        <w:rPr>
          <w:i/>
          <w:szCs w:val="16"/>
        </w:rPr>
        <w:t>Copyright and the Digital Economy: Final report</w:t>
      </w:r>
      <w:r w:rsidRPr="00A6673F">
        <w:rPr>
          <w:szCs w:val="16"/>
        </w:rPr>
        <w:t xml:space="preserve">. </w:t>
      </w:r>
    </w:p>
  </w:footnote>
  <w:footnote w:id="245">
    <w:p w14:paraId="3F193ACF"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Some scholars have argued that Courts ‘stampede’ fair use decisions. That is, ‘courts tend first to make a judgment that the ultimate disposition is fair use or unfair use, and then align the four factors to fit that result as best they can.’ See: </w:t>
      </w:r>
      <w:proofErr w:type="spellStart"/>
      <w:r w:rsidRPr="00A6673F">
        <w:rPr>
          <w:szCs w:val="16"/>
        </w:rPr>
        <w:t>Nimmer</w:t>
      </w:r>
      <w:proofErr w:type="spellEnd"/>
      <w:r>
        <w:rPr>
          <w:szCs w:val="16"/>
        </w:rPr>
        <w:t>, D</w:t>
      </w:r>
      <w:r w:rsidRPr="00A6673F">
        <w:rPr>
          <w:szCs w:val="16"/>
        </w:rPr>
        <w:t xml:space="preserve"> (2003), ‘”Fairest of them all” and other fairy tales of fair use’, </w:t>
      </w:r>
      <w:r w:rsidRPr="00A6673F">
        <w:rPr>
          <w:i/>
          <w:szCs w:val="16"/>
        </w:rPr>
        <w:t>Law and Contemporary Problems</w:t>
      </w:r>
      <w:r w:rsidRPr="00A6673F">
        <w:rPr>
          <w:szCs w:val="16"/>
        </w:rPr>
        <w:t xml:space="preserve"> 66:263-87.</w:t>
      </w:r>
    </w:p>
  </w:footnote>
  <w:footnote w:id="246">
    <w:p w14:paraId="45F1EA72"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Beebe</w:t>
      </w:r>
      <w:r>
        <w:rPr>
          <w:szCs w:val="16"/>
        </w:rPr>
        <w:t>, B</w:t>
      </w:r>
      <w:r w:rsidRPr="00A6673F">
        <w:rPr>
          <w:szCs w:val="16"/>
        </w:rPr>
        <w:t xml:space="preserve"> (2008), ‘An empirical study of U.S. copyright fair use opinions, 1978-2005’, </w:t>
      </w:r>
      <w:r w:rsidRPr="00A6673F">
        <w:rPr>
          <w:i/>
          <w:szCs w:val="16"/>
        </w:rPr>
        <w:t>University of Pennsylvania Law Review</w:t>
      </w:r>
      <w:r w:rsidRPr="00A6673F">
        <w:rPr>
          <w:szCs w:val="16"/>
        </w:rPr>
        <w:t xml:space="preserve"> 156(3):549-624. </w:t>
      </w:r>
    </w:p>
  </w:footnote>
  <w:footnote w:id="247">
    <w:p w14:paraId="6CBBE9AF"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Beebe</w:t>
      </w:r>
      <w:r>
        <w:rPr>
          <w:szCs w:val="16"/>
        </w:rPr>
        <w:t>, B</w:t>
      </w:r>
      <w:r w:rsidRPr="00A6673F">
        <w:rPr>
          <w:szCs w:val="16"/>
        </w:rPr>
        <w:t xml:space="preserve"> (2015), ‘An Empirical Study of U.S. Copyright Fair Use Cases, 1978-2014’, presentation to the New York City Bar Association Copyright Law Committee, 14 April. </w:t>
      </w:r>
    </w:p>
  </w:footnote>
  <w:footnote w:id="248">
    <w:p w14:paraId="0000C95A"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Samuelson</w:t>
      </w:r>
      <w:r>
        <w:rPr>
          <w:szCs w:val="16"/>
        </w:rPr>
        <w:t>, P</w:t>
      </w:r>
      <w:r w:rsidRPr="00A6673F">
        <w:rPr>
          <w:szCs w:val="16"/>
        </w:rPr>
        <w:t xml:space="preserve"> (2009), ‘Unbundling fair uses’, </w:t>
      </w:r>
      <w:r w:rsidRPr="00A6673F">
        <w:rPr>
          <w:i/>
          <w:szCs w:val="16"/>
        </w:rPr>
        <w:t xml:space="preserve">Fordham Law Review </w:t>
      </w:r>
      <w:r w:rsidRPr="00A6673F">
        <w:rPr>
          <w:szCs w:val="16"/>
        </w:rPr>
        <w:t>77:2537:621.</w:t>
      </w:r>
    </w:p>
  </w:footnote>
  <w:footnote w:id="249">
    <w:p w14:paraId="39392F07"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proofErr w:type="spellStart"/>
      <w:r>
        <w:rPr>
          <w:szCs w:val="16"/>
        </w:rPr>
        <w:t>Netanel</w:t>
      </w:r>
      <w:proofErr w:type="spellEnd"/>
      <w:r>
        <w:rPr>
          <w:szCs w:val="16"/>
        </w:rPr>
        <w:t xml:space="preserve">, NW </w:t>
      </w:r>
      <w:r w:rsidRPr="00A6673F">
        <w:rPr>
          <w:szCs w:val="16"/>
        </w:rPr>
        <w:t xml:space="preserve">(2011), ‘Making sense of fair use’, </w:t>
      </w:r>
      <w:r w:rsidRPr="00A6673F">
        <w:rPr>
          <w:i/>
          <w:szCs w:val="16"/>
        </w:rPr>
        <w:t>Lewis &amp; Clarke Law Review</w:t>
      </w:r>
      <w:r w:rsidRPr="00A6673F">
        <w:rPr>
          <w:szCs w:val="16"/>
        </w:rPr>
        <w:t xml:space="preserve"> 15(3):715:71. </w:t>
      </w:r>
    </w:p>
  </w:footnote>
  <w:footnote w:id="250">
    <w:p w14:paraId="61CDF543"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Sag</w:t>
      </w:r>
      <w:r>
        <w:rPr>
          <w:szCs w:val="16"/>
        </w:rPr>
        <w:t>, M</w:t>
      </w:r>
      <w:r w:rsidRPr="00A6673F">
        <w:rPr>
          <w:szCs w:val="16"/>
        </w:rPr>
        <w:t xml:space="preserve"> (2012), ‘Predicting fair use’, </w:t>
      </w:r>
      <w:r w:rsidRPr="00A6673F">
        <w:rPr>
          <w:i/>
          <w:szCs w:val="16"/>
        </w:rPr>
        <w:t>Ohio State Law Journal</w:t>
      </w:r>
      <w:r w:rsidRPr="00A6673F">
        <w:rPr>
          <w:szCs w:val="16"/>
        </w:rPr>
        <w:t xml:space="preserve"> 73(1):47-91. </w:t>
      </w:r>
    </w:p>
  </w:footnote>
  <w:footnote w:id="251">
    <w:p w14:paraId="3546EB2D"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The </w:t>
      </w:r>
      <w:proofErr w:type="spellStart"/>
      <w:r w:rsidRPr="00A6673F">
        <w:rPr>
          <w:szCs w:val="16"/>
        </w:rPr>
        <w:t>Kernochan</w:t>
      </w:r>
      <w:proofErr w:type="spellEnd"/>
      <w:r w:rsidRPr="00A6673F">
        <w:rPr>
          <w:szCs w:val="16"/>
        </w:rPr>
        <w:t xml:space="preserve"> </w:t>
      </w:r>
      <w:proofErr w:type="spellStart"/>
      <w:r w:rsidRPr="00A6673F">
        <w:rPr>
          <w:szCs w:val="16"/>
        </w:rPr>
        <w:t>Center</w:t>
      </w:r>
      <w:proofErr w:type="spellEnd"/>
      <w:r w:rsidRPr="00A6673F">
        <w:rPr>
          <w:szCs w:val="16"/>
        </w:rPr>
        <w:t xml:space="preserve"> for Law, Media and the Arts, Columbia University School of Law (2012), </w:t>
      </w:r>
      <w:r w:rsidRPr="00A6673F">
        <w:rPr>
          <w:i/>
          <w:szCs w:val="16"/>
        </w:rPr>
        <w:t xml:space="preserve">Copyright Exceptions in the United States </w:t>
      </w:r>
      <w:proofErr w:type="gramStart"/>
      <w:r w:rsidRPr="00A6673F">
        <w:rPr>
          <w:i/>
          <w:szCs w:val="16"/>
        </w:rPr>
        <w:t>For</w:t>
      </w:r>
      <w:proofErr w:type="gramEnd"/>
      <w:r w:rsidRPr="00A6673F">
        <w:rPr>
          <w:i/>
          <w:szCs w:val="16"/>
        </w:rPr>
        <w:t xml:space="preserve"> Educational Uses of Copyrighted Works</w:t>
      </w:r>
      <w:r w:rsidRPr="00A6673F">
        <w:rPr>
          <w:szCs w:val="16"/>
        </w:rPr>
        <w:t xml:space="preserve">, ALRC submission. </w:t>
      </w:r>
    </w:p>
  </w:footnote>
  <w:footnote w:id="252">
    <w:p w14:paraId="7CB8DD09"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proofErr w:type="spellStart"/>
      <w:r w:rsidRPr="00A6673F">
        <w:rPr>
          <w:szCs w:val="16"/>
        </w:rPr>
        <w:t>Hinze</w:t>
      </w:r>
      <w:proofErr w:type="spellEnd"/>
      <w:r>
        <w:rPr>
          <w:szCs w:val="16"/>
        </w:rPr>
        <w:t>, G</w:t>
      </w:r>
      <w:r w:rsidRPr="00A6673F">
        <w:rPr>
          <w:szCs w:val="16"/>
        </w:rPr>
        <w:t xml:space="preserve">, </w:t>
      </w:r>
      <w:proofErr w:type="spellStart"/>
      <w:r w:rsidRPr="00A6673F">
        <w:rPr>
          <w:szCs w:val="16"/>
        </w:rPr>
        <w:t>Jaszi</w:t>
      </w:r>
      <w:proofErr w:type="spellEnd"/>
      <w:r>
        <w:rPr>
          <w:szCs w:val="16"/>
        </w:rPr>
        <w:t>, P</w:t>
      </w:r>
      <w:r w:rsidRPr="00A6673F">
        <w:rPr>
          <w:szCs w:val="16"/>
        </w:rPr>
        <w:t xml:space="preserve"> and Sag</w:t>
      </w:r>
      <w:r>
        <w:rPr>
          <w:szCs w:val="16"/>
        </w:rPr>
        <w:t>, M</w:t>
      </w:r>
      <w:r w:rsidRPr="00A6673F">
        <w:rPr>
          <w:szCs w:val="16"/>
        </w:rPr>
        <w:t xml:space="preserve"> (2013), ‘The Fair Use Doctrine in the United States — </w:t>
      </w:r>
      <w:proofErr w:type="gramStart"/>
      <w:r w:rsidRPr="00A6673F">
        <w:rPr>
          <w:szCs w:val="16"/>
        </w:rPr>
        <w:t>A</w:t>
      </w:r>
      <w:proofErr w:type="gramEnd"/>
      <w:r w:rsidRPr="00A6673F">
        <w:rPr>
          <w:szCs w:val="16"/>
        </w:rPr>
        <w:t xml:space="preserve"> Response to the </w:t>
      </w:r>
      <w:proofErr w:type="spellStart"/>
      <w:r w:rsidRPr="00A6673F">
        <w:rPr>
          <w:szCs w:val="16"/>
        </w:rPr>
        <w:t>Kernochan</w:t>
      </w:r>
      <w:proofErr w:type="spellEnd"/>
      <w:r w:rsidRPr="00A6673F">
        <w:rPr>
          <w:szCs w:val="16"/>
        </w:rPr>
        <w:t xml:space="preserve"> Report’.</w:t>
      </w:r>
    </w:p>
  </w:footnote>
  <w:footnote w:id="253">
    <w:p w14:paraId="5B048B3E"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Standing Committee on Legal and Constitutional Affairs (2000), </w:t>
      </w:r>
      <w:r w:rsidRPr="00A6673F">
        <w:rPr>
          <w:i/>
          <w:szCs w:val="16"/>
        </w:rPr>
        <w:t>Cracking Down on Copycats: Enforcement of copyright in Australia</w:t>
      </w:r>
      <w:r w:rsidRPr="00A6673F">
        <w:rPr>
          <w:szCs w:val="16"/>
        </w:rPr>
        <w:t xml:space="preserve">, November. The $23,000 relates to the $15,000 estimate provided by the Anti-Counterfeiting Action Group (ACAG), while the $150,000 relates to the $100,000 estimate provided by Musing Industry Piracy Investigations. We have not referenced the $50,000 to $250,000 estimate provided by IP Australia in </w:t>
      </w:r>
      <w:r w:rsidRPr="00A6673F">
        <w:rPr>
          <w:i/>
          <w:szCs w:val="16"/>
        </w:rPr>
        <w:t>Cracking Down on Copycats</w:t>
      </w:r>
      <w:r w:rsidRPr="00A6673F">
        <w:rPr>
          <w:szCs w:val="16"/>
        </w:rPr>
        <w:t xml:space="preserve">, as it relates to patent litigation. </w:t>
      </w:r>
    </w:p>
  </w:footnote>
  <w:footnote w:id="254">
    <w:p w14:paraId="585EB5CB"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Both Lateral Economics and PwC suggest that the ratio of filed cases to undertakings that do not result in a court filing is likely to be between 1:10 and 1:20; though the evidence supporting this contention is unclear. See: Lateral Economics (2012), </w:t>
      </w:r>
      <w:r w:rsidRPr="00A6673F">
        <w:rPr>
          <w:i/>
          <w:szCs w:val="16"/>
        </w:rPr>
        <w:t>Excepting the Future Internet intermediary activities and the case for flexible copyright exceptions and extended safe harbour provisions</w:t>
      </w:r>
      <w:r w:rsidRPr="00A6673F">
        <w:rPr>
          <w:szCs w:val="16"/>
        </w:rPr>
        <w:t xml:space="preserve">, prepared for the Australian Digital Alliance;  PwC (2016), </w:t>
      </w:r>
      <w:r w:rsidRPr="00A6673F">
        <w:rPr>
          <w:i/>
          <w:szCs w:val="16"/>
        </w:rPr>
        <w:t>Understanding the costs and benefits of introducing a ‘fair use’ exception</w:t>
      </w:r>
      <w:r w:rsidRPr="00A6673F">
        <w:rPr>
          <w:szCs w:val="16"/>
        </w:rPr>
        <w:t xml:space="preserve">, prepared for APRA AMCOS, PPCA, Copyright </w:t>
      </w:r>
      <w:proofErr w:type="spellStart"/>
      <w:r w:rsidRPr="00A6673F">
        <w:rPr>
          <w:szCs w:val="16"/>
        </w:rPr>
        <w:t>Agency</w:t>
      </w:r>
      <w:r w:rsidRPr="00A6673F">
        <w:rPr>
          <w:rFonts w:ascii="Times New Roman" w:hAnsi="Times New Roman"/>
          <w:szCs w:val="16"/>
        </w:rPr>
        <w:t>│</w:t>
      </w:r>
      <w:r w:rsidRPr="00A6673F">
        <w:rPr>
          <w:szCs w:val="16"/>
        </w:rPr>
        <w:t>Viscopy</w:t>
      </w:r>
      <w:proofErr w:type="spellEnd"/>
      <w:r w:rsidRPr="00A6673F">
        <w:rPr>
          <w:szCs w:val="16"/>
        </w:rPr>
        <w:t xml:space="preserve">, Foxtel, News Corp Australia and </w:t>
      </w:r>
      <w:proofErr w:type="spellStart"/>
      <w:r w:rsidRPr="00A6673F">
        <w:rPr>
          <w:szCs w:val="16"/>
        </w:rPr>
        <w:t>Screenrights</w:t>
      </w:r>
      <w:proofErr w:type="spellEnd"/>
      <w:r w:rsidRPr="00A6673F">
        <w:rPr>
          <w:szCs w:val="16"/>
        </w:rPr>
        <w:t>.</w:t>
      </w:r>
    </w:p>
  </w:footnote>
  <w:footnote w:id="255">
    <w:p w14:paraId="447118A5" w14:textId="77777777" w:rsidR="00730D0C" w:rsidRPr="00A6673F" w:rsidRDefault="00730D0C" w:rsidP="00610DD9">
      <w:pPr>
        <w:pStyle w:val="FootnoteText"/>
        <w:rPr>
          <w:i/>
          <w:szCs w:val="16"/>
        </w:rPr>
      </w:pPr>
      <w:r w:rsidRPr="00A6673F">
        <w:rPr>
          <w:rStyle w:val="FootnoteReference"/>
          <w:sz w:val="16"/>
          <w:szCs w:val="16"/>
        </w:rPr>
        <w:footnoteRef/>
      </w:r>
      <w:r w:rsidRPr="00A6673F">
        <w:rPr>
          <w:szCs w:val="16"/>
        </w:rPr>
        <w:t xml:space="preserve"> </w:t>
      </w:r>
      <w:proofErr w:type="spellStart"/>
      <w:r w:rsidRPr="00A6673F">
        <w:rPr>
          <w:szCs w:val="16"/>
        </w:rPr>
        <w:t>Gahfele</w:t>
      </w:r>
      <w:proofErr w:type="spellEnd"/>
      <w:r>
        <w:rPr>
          <w:szCs w:val="16"/>
        </w:rPr>
        <w:t>, R</w:t>
      </w:r>
      <w:r w:rsidRPr="00A6673F">
        <w:rPr>
          <w:szCs w:val="16"/>
        </w:rPr>
        <w:t xml:space="preserve"> and Gilbert</w:t>
      </w:r>
      <w:r>
        <w:rPr>
          <w:szCs w:val="16"/>
        </w:rPr>
        <w:t>, B</w:t>
      </w:r>
      <w:r w:rsidRPr="00A6673F">
        <w:rPr>
          <w:szCs w:val="16"/>
        </w:rPr>
        <w:t xml:space="preserve"> (2014), ‘A Counterfactual Impact Analysis of Fair Use Policy on Copyright Related Industries in Singapore’, </w:t>
      </w:r>
      <w:r w:rsidRPr="00A6673F">
        <w:rPr>
          <w:i/>
          <w:szCs w:val="16"/>
        </w:rPr>
        <w:t xml:space="preserve">Laws, </w:t>
      </w:r>
      <w:r w:rsidRPr="00A6673F">
        <w:rPr>
          <w:szCs w:val="16"/>
        </w:rPr>
        <w:t>3:327-52</w:t>
      </w:r>
      <w:r w:rsidRPr="00A6673F">
        <w:rPr>
          <w:i/>
          <w:szCs w:val="16"/>
        </w:rPr>
        <w:t>.</w:t>
      </w:r>
    </w:p>
  </w:footnote>
  <w:footnote w:id="256">
    <w:p w14:paraId="41CB3AFF"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sidRPr="00A6673F">
        <w:rPr>
          <w:i/>
          <w:szCs w:val="16"/>
        </w:rPr>
        <w:t>Ibid</w:t>
      </w:r>
      <w:r w:rsidRPr="00A6673F">
        <w:rPr>
          <w:szCs w:val="16"/>
        </w:rPr>
        <w:t xml:space="preserve">. </w:t>
      </w:r>
    </w:p>
  </w:footnote>
  <w:footnote w:id="257">
    <w:p w14:paraId="2CA3264C" w14:textId="77777777" w:rsidR="00730D0C" w:rsidRPr="00491A88" w:rsidRDefault="00730D0C" w:rsidP="00610DD9">
      <w:pPr>
        <w:pStyle w:val="FootnoteText"/>
        <w:rPr>
          <w:szCs w:val="18"/>
        </w:rPr>
      </w:pPr>
      <w:r w:rsidRPr="00491A88">
        <w:rPr>
          <w:rStyle w:val="FootnoteReference"/>
          <w:sz w:val="18"/>
          <w:szCs w:val="18"/>
        </w:rPr>
        <w:footnoteRef/>
      </w:r>
      <w:r w:rsidRPr="00491A88">
        <w:rPr>
          <w:szCs w:val="18"/>
        </w:rPr>
        <w:t xml:space="preserve"> Taylor </w:t>
      </w:r>
      <w:proofErr w:type="spellStart"/>
      <w:r w:rsidRPr="00491A88">
        <w:rPr>
          <w:szCs w:val="18"/>
        </w:rPr>
        <w:t>Wessing</w:t>
      </w:r>
      <w:proofErr w:type="spellEnd"/>
      <w:r w:rsidRPr="00491A88">
        <w:rPr>
          <w:szCs w:val="18"/>
        </w:rPr>
        <w:t xml:space="preserve"> LLP found that there was an annual average of eight reported fair use decisions in the United States from 2006/07 to 2009/10. Taylor </w:t>
      </w:r>
      <w:proofErr w:type="spellStart"/>
      <w:r w:rsidRPr="00491A88">
        <w:rPr>
          <w:szCs w:val="18"/>
        </w:rPr>
        <w:t>Wessing</w:t>
      </w:r>
      <w:proofErr w:type="spellEnd"/>
      <w:r w:rsidRPr="00491A88">
        <w:rPr>
          <w:szCs w:val="18"/>
        </w:rPr>
        <w:t xml:space="preserve"> LLP also highlighted empirical analysis conducted by Beebe that found there was an annual average of 11 reported fair use opinions in the United States from 1978 to 2005. See: Beebe, B (2008), ‘An empirical study of U.S. copyright fair use opinions, 1978-2005’, </w:t>
      </w:r>
      <w:r w:rsidRPr="00491A88">
        <w:rPr>
          <w:i/>
          <w:szCs w:val="18"/>
        </w:rPr>
        <w:t>University of Pennsylvania Law Review</w:t>
      </w:r>
      <w:r w:rsidRPr="00491A88">
        <w:rPr>
          <w:szCs w:val="18"/>
        </w:rPr>
        <w:t xml:space="preserve">, 156(3):549-624; British Copyright Council (2011), </w:t>
      </w:r>
      <w:r w:rsidRPr="00491A88">
        <w:rPr>
          <w:i/>
          <w:szCs w:val="18"/>
        </w:rPr>
        <w:t>Submission to the Hargreaves review of intellectual property and growth</w:t>
      </w:r>
      <w:r w:rsidRPr="00491A88">
        <w:rPr>
          <w:szCs w:val="18"/>
        </w:rPr>
        <w:t xml:space="preserve">. </w:t>
      </w:r>
    </w:p>
  </w:footnote>
  <w:footnote w:id="258">
    <w:p w14:paraId="0A010D66" w14:textId="77777777" w:rsidR="00730D0C" w:rsidRPr="00491A88" w:rsidRDefault="00730D0C" w:rsidP="00610DD9">
      <w:pPr>
        <w:spacing w:line="240" w:lineRule="auto"/>
        <w:rPr>
          <w:sz w:val="18"/>
          <w:szCs w:val="18"/>
        </w:rPr>
      </w:pPr>
      <w:r w:rsidRPr="00491A88">
        <w:rPr>
          <w:rStyle w:val="FootnoteReference"/>
          <w:sz w:val="18"/>
          <w:szCs w:val="18"/>
        </w:rPr>
        <w:footnoteRef/>
      </w:r>
      <w:r w:rsidRPr="00491A88">
        <w:rPr>
          <w:sz w:val="18"/>
          <w:szCs w:val="18"/>
        </w:rPr>
        <w:t xml:space="preserve"> Taylor </w:t>
      </w:r>
      <w:proofErr w:type="spellStart"/>
      <w:r w:rsidRPr="00491A88">
        <w:rPr>
          <w:sz w:val="18"/>
          <w:szCs w:val="18"/>
        </w:rPr>
        <w:t>Wessing</w:t>
      </w:r>
      <w:proofErr w:type="spellEnd"/>
      <w:r w:rsidRPr="00491A88">
        <w:rPr>
          <w:sz w:val="18"/>
          <w:szCs w:val="18"/>
        </w:rPr>
        <w:t xml:space="preserve"> LLP found that, from 1978 to 2010, there were 67 reported fair dealing decisions in the United Kingdom (or an average of two decisions per year). See: British Copyright Council (2011), Submission to the Hargreaves review of intellectual property and growth.</w:t>
      </w:r>
    </w:p>
  </w:footnote>
  <w:footnote w:id="259">
    <w:p w14:paraId="656BC916" w14:textId="77777777" w:rsidR="00730D0C" w:rsidRPr="00491A88" w:rsidRDefault="00730D0C" w:rsidP="00610DD9">
      <w:pPr>
        <w:pStyle w:val="FootnoteText"/>
        <w:rPr>
          <w:szCs w:val="18"/>
        </w:rPr>
      </w:pPr>
      <w:r w:rsidRPr="00491A88">
        <w:rPr>
          <w:rStyle w:val="FootnoteReference"/>
          <w:sz w:val="18"/>
          <w:szCs w:val="18"/>
        </w:rPr>
        <w:footnoteRef/>
      </w:r>
      <w:r w:rsidRPr="00491A88">
        <w:rPr>
          <w:szCs w:val="18"/>
        </w:rPr>
        <w:t xml:space="preserve"> The World Bank (2016), ‘Population, total’, available at: http://data.worldbank.org/.</w:t>
      </w:r>
    </w:p>
  </w:footnote>
  <w:footnote w:id="260">
    <w:p w14:paraId="730E3252" w14:textId="77777777" w:rsidR="00730D0C" w:rsidRPr="00491A88" w:rsidRDefault="00730D0C" w:rsidP="00610DD9">
      <w:pPr>
        <w:pStyle w:val="FootnoteText"/>
        <w:rPr>
          <w:szCs w:val="18"/>
        </w:rPr>
      </w:pPr>
      <w:r w:rsidRPr="00491A88">
        <w:rPr>
          <w:rStyle w:val="FootnoteReference"/>
          <w:sz w:val="18"/>
          <w:szCs w:val="18"/>
        </w:rPr>
        <w:footnoteRef/>
      </w:r>
      <w:r w:rsidRPr="00491A88">
        <w:rPr>
          <w:szCs w:val="18"/>
        </w:rPr>
        <w:t xml:space="preserve"> The World Bank (2016), ‘GDP at market prices (current US$)’, available at: http://data.worldbank.org/.</w:t>
      </w:r>
    </w:p>
  </w:footnote>
  <w:footnote w:id="261">
    <w:p w14:paraId="02AD721F" w14:textId="77777777" w:rsidR="00730D0C" w:rsidRPr="00491A88" w:rsidRDefault="00730D0C">
      <w:pPr>
        <w:pStyle w:val="FootnoteText"/>
        <w:rPr>
          <w:szCs w:val="18"/>
        </w:rPr>
      </w:pPr>
      <w:r w:rsidRPr="00491A88">
        <w:rPr>
          <w:rStyle w:val="FootnoteReference"/>
          <w:sz w:val="18"/>
          <w:szCs w:val="18"/>
        </w:rPr>
        <w:footnoteRef/>
      </w:r>
      <w:r w:rsidRPr="00491A88">
        <w:rPr>
          <w:szCs w:val="18"/>
        </w:rPr>
        <w:t xml:space="preserve"> Based on a June 2011 conversion rate of 1.4118 USD to 1 GBP. </w:t>
      </w:r>
    </w:p>
  </w:footnote>
  <w:footnote w:id="262">
    <w:p w14:paraId="52FFCC54" w14:textId="77777777" w:rsidR="00730D0C" w:rsidRPr="00491A88" w:rsidRDefault="00730D0C" w:rsidP="00610DD9">
      <w:pPr>
        <w:pStyle w:val="FootnoteText"/>
        <w:rPr>
          <w:szCs w:val="18"/>
        </w:rPr>
      </w:pPr>
      <w:r w:rsidRPr="00491A88">
        <w:rPr>
          <w:rStyle w:val="FootnoteReference"/>
          <w:sz w:val="18"/>
          <w:szCs w:val="18"/>
        </w:rPr>
        <w:footnoteRef/>
      </w:r>
      <w:r w:rsidRPr="00491A88">
        <w:rPr>
          <w:szCs w:val="18"/>
        </w:rPr>
        <w:t xml:space="preserve"> British Copyright Council (2011), Submission to the Hargreaves review of intellectual property and growth</w:t>
      </w:r>
      <w:r w:rsidRPr="00491A88">
        <w:rPr>
          <w:i/>
          <w:szCs w:val="18"/>
        </w:rPr>
        <w:t xml:space="preserve">. </w:t>
      </w:r>
    </w:p>
  </w:footnote>
  <w:footnote w:id="263">
    <w:p w14:paraId="3A4E8DC8" w14:textId="77777777" w:rsidR="00730D0C" w:rsidRPr="00A6673F" w:rsidRDefault="00730D0C" w:rsidP="00610DD9">
      <w:pPr>
        <w:pStyle w:val="FootnoteText"/>
        <w:rPr>
          <w:szCs w:val="16"/>
        </w:rPr>
      </w:pPr>
      <w:r w:rsidRPr="00491A88">
        <w:rPr>
          <w:rStyle w:val="FootnoteReference"/>
          <w:sz w:val="18"/>
          <w:szCs w:val="18"/>
        </w:rPr>
        <w:footnoteRef/>
      </w:r>
      <w:r w:rsidRPr="00491A88">
        <w:rPr>
          <w:szCs w:val="18"/>
        </w:rPr>
        <w:t xml:space="preserve"> The ultimate source of the US$1 million figure cited by Taylor </w:t>
      </w:r>
      <w:proofErr w:type="spellStart"/>
      <w:r w:rsidRPr="00491A88">
        <w:rPr>
          <w:szCs w:val="18"/>
        </w:rPr>
        <w:t>Wessing</w:t>
      </w:r>
      <w:proofErr w:type="spellEnd"/>
      <w:r w:rsidRPr="00491A88">
        <w:rPr>
          <w:szCs w:val="18"/>
        </w:rPr>
        <w:t xml:space="preserve"> LLP is a 2006 article by Fisher and </w:t>
      </w:r>
      <w:proofErr w:type="spellStart"/>
      <w:r w:rsidRPr="00491A88">
        <w:rPr>
          <w:szCs w:val="18"/>
        </w:rPr>
        <w:t>McGeveran</w:t>
      </w:r>
      <w:proofErr w:type="spellEnd"/>
      <w:r w:rsidRPr="00491A88">
        <w:rPr>
          <w:szCs w:val="18"/>
        </w:rPr>
        <w:t xml:space="preserve">, which states that ‘[a] report by the American Intellectual Property Law Association estimates that the average cost to defend a copyright case is just under one million dollars.’ The report in question is not cited. We note that a 2005 survey conducted by the American Intellectual Property Law Association found that median litigation costs for copyright infringement suits ranged from US$138,000 to US$975,000. See: Fisher, W and </w:t>
      </w:r>
      <w:proofErr w:type="spellStart"/>
      <w:r w:rsidRPr="00491A88">
        <w:rPr>
          <w:szCs w:val="18"/>
        </w:rPr>
        <w:t>McGeveran</w:t>
      </w:r>
      <w:proofErr w:type="spellEnd"/>
      <w:r w:rsidRPr="00491A88">
        <w:rPr>
          <w:szCs w:val="18"/>
        </w:rPr>
        <w:t xml:space="preserve">, W (2006), ‘The Digital Learning Challenge: Obstacles to Educational Uses of Copyrighted Material in the Digital Age’, Research Publication No. 2006-09; American Intellectual Property Law Association (2013), </w:t>
      </w:r>
      <w:r w:rsidRPr="00491A88">
        <w:rPr>
          <w:i/>
          <w:szCs w:val="18"/>
        </w:rPr>
        <w:t>Report of the Economic Survey 2013</w:t>
      </w:r>
      <w:r w:rsidRPr="00491A88">
        <w:rPr>
          <w:szCs w:val="18"/>
        </w:rPr>
        <w:t xml:space="preserve">. </w:t>
      </w:r>
    </w:p>
  </w:footnote>
  <w:footnote w:id="264">
    <w:p w14:paraId="72A20546"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Sag</w:t>
      </w:r>
      <w:r>
        <w:rPr>
          <w:szCs w:val="16"/>
        </w:rPr>
        <w:t>, M</w:t>
      </w:r>
      <w:r w:rsidRPr="00A6673F">
        <w:rPr>
          <w:szCs w:val="16"/>
        </w:rPr>
        <w:t xml:space="preserve"> (2016), ‘Dataset - IP Litigation in US District Courts 2015 Update’, available at: http://matthewsag.com/?page_id=19. This data is based on cases filed in 94 U.S. federal district courts in all 50 states, the District of Columbia, Puerto Rico, the Virgin Islands, Guam, and the Northern Mariana Islands. </w:t>
      </w:r>
    </w:p>
  </w:footnote>
  <w:footnote w:id="265">
    <w:p w14:paraId="4CB1438B"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proofErr w:type="spellStart"/>
      <w:r w:rsidRPr="00A6673F">
        <w:rPr>
          <w:szCs w:val="16"/>
        </w:rPr>
        <w:t>Ramseyer</w:t>
      </w:r>
      <w:proofErr w:type="spellEnd"/>
      <w:r>
        <w:rPr>
          <w:szCs w:val="16"/>
        </w:rPr>
        <w:t xml:space="preserve">, JM and </w:t>
      </w:r>
      <w:proofErr w:type="spellStart"/>
      <w:r w:rsidRPr="00A6673F">
        <w:rPr>
          <w:szCs w:val="16"/>
        </w:rPr>
        <w:t>Rasmusen</w:t>
      </w:r>
      <w:proofErr w:type="spellEnd"/>
      <w:r>
        <w:rPr>
          <w:szCs w:val="16"/>
        </w:rPr>
        <w:t>, EB</w:t>
      </w:r>
      <w:r w:rsidRPr="00A6673F">
        <w:rPr>
          <w:szCs w:val="16"/>
        </w:rPr>
        <w:t xml:space="preserve"> (2010), ‘Comparative litigation rates’, The Harvard John M. Olin Discussion Paper Series. </w:t>
      </w:r>
    </w:p>
  </w:footnote>
  <w:footnote w:id="266">
    <w:p w14:paraId="477901BD"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According to the Productivity Commission, there were 2,106 civil </w:t>
      </w:r>
      <w:proofErr w:type="spellStart"/>
      <w:r w:rsidRPr="00A6673F">
        <w:rPr>
          <w:szCs w:val="16"/>
        </w:rPr>
        <w:t>lodgments</w:t>
      </w:r>
      <w:proofErr w:type="spellEnd"/>
      <w:r w:rsidRPr="00A6673F">
        <w:rPr>
          <w:szCs w:val="16"/>
        </w:rPr>
        <w:t xml:space="preserve"> per 100,000 people in 2012/13. See: Productivity Commission (2016), ‘Courts’, in </w:t>
      </w:r>
      <w:r w:rsidRPr="00A6673F">
        <w:rPr>
          <w:i/>
          <w:szCs w:val="16"/>
        </w:rPr>
        <w:t>Report on Government Services</w:t>
      </w:r>
      <w:r w:rsidRPr="00A6673F">
        <w:rPr>
          <w:szCs w:val="16"/>
        </w:rPr>
        <w:t xml:space="preserve">. According to the National Centre for State Courts, there were 16.9 million civil </w:t>
      </w:r>
      <w:proofErr w:type="spellStart"/>
      <w:r w:rsidRPr="00A6673F">
        <w:rPr>
          <w:szCs w:val="16"/>
        </w:rPr>
        <w:t>lodgments</w:t>
      </w:r>
      <w:proofErr w:type="spellEnd"/>
      <w:r w:rsidRPr="00A6673F">
        <w:rPr>
          <w:szCs w:val="16"/>
        </w:rPr>
        <w:t xml:space="preserve"> in state courts in 2013. The United States Federal Courts report that there were an additional 303,820 civil </w:t>
      </w:r>
      <w:proofErr w:type="spellStart"/>
      <w:r w:rsidRPr="00A6673F">
        <w:rPr>
          <w:szCs w:val="16"/>
        </w:rPr>
        <w:t>lodgments</w:t>
      </w:r>
      <w:proofErr w:type="spellEnd"/>
      <w:r w:rsidRPr="00A6673F">
        <w:rPr>
          <w:szCs w:val="16"/>
        </w:rPr>
        <w:t xml:space="preserve"> at the federal level (from April 2013 to March 2014). The World Bank notes that the population of the United States was 316.5 million in 2013. See: National Centre for State Courts (2015), </w:t>
      </w:r>
      <w:r w:rsidRPr="00A6673F">
        <w:rPr>
          <w:i/>
          <w:szCs w:val="16"/>
        </w:rPr>
        <w:t>Examining the Work of State Courts: An overview of 2013 state court caseloads</w:t>
      </w:r>
      <w:r w:rsidRPr="00A6673F">
        <w:rPr>
          <w:szCs w:val="16"/>
        </w:rPr>
        <w:t>; United States Federal Courts (2014), ‘Federal Judicial Caseload Statistics 2014 Tables’, available at: http://www.uscourts.gov/statistics-reports/federal-judicial-caseload-statistics-2014-tables; The World Bank (2016), ‘Population, total’, available at: http://data.worldbank.org/.</w:t>
      </w:r>
    </w:p>
  </w:footnote>
  <w:footnote w:id="267">
    <w:p w14:paraId="08448C20"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Copyright Agency | </w:t>
      </w:r>
      <w:proofErr w:type="spellStart"/>
      <w:r w:rsidRPr="00A6673F">
        <w:rPr>
          <w:szCs w:val="16"/>
        </w:rPr>
        <w:t>Viscopy</w:t>
      </w:r>
      <w:proofErr w:type="spellEnd"/>
      <w:r w:rsidRPr="00A6673F">
        <w:rPr>
          <w:szCs w:val="16"/>
        </w:rPr>
        <w:t xml:space="preserve"> (2012), ALRC submission. </w:t>
      </w:r>
    </w:p>
  </w:footnote>
  <w:footnote w:id="268">
    <w:p w14:paraId="48C060A5"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In 2008, Beebe identified 306 decisions that made substantial use of fair use between 1978 and 2005. In 2015, Beebe identified 460 decisions that made substantial use of fair use between 1978 and 2014. See: Beebe</w:t>
      </w:r>
      <w:r>
        <w:rPr>
          <w:szCs w:val="16"/>
        </w:rPr>
        <w:t>, B</w:t>
      </w:r>
      <w:r w:rsidRPr="00A6673F">
        <w:rPr>
          <w:szCs w:val="16"/>
        </w:rPr>
        <w:t xml:space="preserve"> (2008), ‘An empirical study of U.S. copyright fair use opinions, 1978-2005’, </w:t>
      </w:r>
      <w:r w:rsidRPr="00A6673F">
        <w:rPr>
          <w:i/>
          <w:szCs w:val="16"/>
        </w:rPr>
        <w:t>University of Pennsylvania Law Review</w:t>
      </w:r>
      <w:r w:rsidRPr="00A6673F">
        <w:rPr>
          <w:szCs w:val="16"/>
        </w:rPr>
        <w:t>, 156(3):549-624; Beebe</w:t>
      </w:r>
      <w:r>
        <w:rPr>
          <w:szCs w:val="16"/>
        </w:rPr>
        <w:t>, B</w:t>
      </w:r>
      <w:r w:rsidRPr="00A6673F">
        <w:rPr>
          <w:szCs w:val="16"/>
        </w:rPr>
        <w:t xml:space="preserve"> (2015), ‘An Empirical Study of U.S. Copyright Fair Use Cases, 1978-2014’, presentation to the New York City Bar Association Copyright Law Committee. </w:t>
      </w:r>
    </w:p>
  </w:footnote>
  <w:footnote w:id="269">
    <w:p w14:paraId="17487C8D"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ALRC (2013), </w:t>
      </w:r>
      <w:r w:rsidRPr="00A6673F">
        <w:rPr>
          <w:i/>
          <w:szCs w:val="16"/>
        </w:rPr>
        <w:t>Copyright and the Digital Economy: Final report</w:t>
      </w:r>
      <w:r w:rsidRPr="00A6673F">
        <w:rPr>
          <w:szCs w:val="16"/>
        </w:rPr>
        <w:t>.</w:t>
      </w:r>
    </w:p>
  </w:footnote>
  <w:footnote w:id="270">
    <w:p w14:paraId="52DEE232"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sidRPr="0046266A">
        <w:rPr>
          <w:i/>
          <w:szCs w:val="16"/>
        </w:rPr>
        <w:t>Ibid</w:t>
      </w:r>
      <w:r>
        <w:rPr>
          <w:szCs w:val="16"/>
        </w:rPr>
        <w:t>.</w:t>
      </w:r>
    </w:p>
  </w:footnote>
  <w:footnote w:id="271">
    <w:p w14:paraId="4B98821D"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ALRC (2008), ‘Regulating privacy’, in </w:t>
      </w:r>
      <w:r w:rsidRPr="00A6673F">
        <w:rPr>
          <w:i/>
          <w:szCs w:val="16"/>
        </w:rPr>
        <w:t>For Your Information; Australian privacy law and practice</w:t>
      </w:r>
      <w:r w:rsidRPr="00A6673F">
        <w:rPr>
          <w:szCs w:val="16"/>
        </w:rPr>
        <w:t xml:space="preserve">, Report 108, August. </w:t>
      </w:r>
    </w:p>
  </w:footnote>
  <w:footnote w:id="272">
    <w:p w14:paraId="34C4663B"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ALRC (2013), </w:t>
      </w:r>
      <w:r w:rsidRPr="00A6673F">
        <w:rPr>
          <w:i/>
          <w:szCs w:val="16"/>
        </w:rPr>
        <w:t>Copyright and the Digital Economy: Final report</w:t>
      </w:r>
      <w:r w:rsidRPr="00A6673F">
        <w:rPr>
          <w:szCs w:val="16"/>
        </w:rPr>
        <w:t>.</w:t>
      </w:r>
    </w:p>
  </w:footnote>
  <w:footnote w:id="273">
    <w:p w14:paraId="6D92BB26"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For example: ‘While we accept that a fair use defence appears to be more flexible (at least on its face) than limiting fair dealing to one of the established purposes, the nature of the defence means that the supposed flexibility, ‘dynamism’, ‘agility’ and ‘malleability’ of fair use to respond to changing conditions can actually only be established through testing through the Courts. In Foxtel’s view, this is unacceptable.’ Foxtel (2012), ALRC submission. </w:t>
      </w:r>
    </w:p>
  </w:footnote>
  <w:footnote w:id="274">
    <w:p w14:paraId="31229937"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For example: </w:t>
      </w:r>
      <w:proofErr w:type="spellStart"/>
      <w:r w:rsidRPr="00A6673F">
        <w:rPr>
          <w:szCs w:val="16"/>
        </w:rPr>
        <w:t>Cepeda</w:t>
      </w:r>
      <w:proofErr w:type="spellEnd"/>
      <w:r w:rsidRPr="00A6673F">
        <w:rPr>
          <w:szCs w:val="16"/>
        </w:rPr>
        <w:t xml:space="preserve">, </w:t>
      </w:r>
      <w:r>
        <w:rPr>
          <w:szCs w:val="16"/>
        </w:rPr>
        <w:t xml:space="preserve">RC, </w:t>
      </w:r>
      <w:proofErr w:type="spellStart"/>
      <w:r w:rsidRPr="00A6673F">
        <w:rPr>
          <w:szCs w:val="16"/>
        </w:rPr>
        <w:t>Lippoldt</w:t>
      </w:r>
      <w:proofErr w:type="spellEnd"/>
      <w:r>
        <w:rPr>
          <w:szCs w:val="16"/>
        </w:rPr>
        <w:t>, DC</w:t>
      </w:r>
      <w:r w:rsidRPr="00A6673F">
        <w:rPr>
          <w:szCs w:val="16"/>
        </w:rPr>
        <w:t xml:space="preserve"> and </w:t>
      </w:r>
      <w:proofErr w:type="spellStart"/>
      <w:r w:rsidRPr="00A6673F">
        <w:rPr>
          <w:szCs w:val="16"/>
        </w:rPr>
        <w:t>Senft</w:t>
      </w:r>
      <w:proofErr w:type="spellEnd"/>
      <w:r>
        <w:rPr>
          <w:szCs w:val="16"/>
        </w:rPr>
        <w:t>, J</w:t>
      </w:r>
      <w:r w:rsidRPr="00A6673F">
        <w:rPr>
          <w:szCs w:val="16"/>
        </w:rPr>
        <w:t xml:space="preserve"> (2010), ‘Policy Complements to the Strengthening of IPRS in Developing Countries’, </w:t>
      </w:r>
      <w:r w:rsidRPr="00A6673F">
        <w:rPr>
          <w:i/>
          <w:szCs w:val="16"/>
        </w:rPr>
        <w:t>OECD Trade Policy Papers</w:t>
      </w:r>
      <w:r w:rsidRPr="00A6673F">
        <w:rPr>
          <w:szCs w:val="16"/>
        </w:rPr>
        <w:t>, no. 104; Park</w:t>
      </w:r>
      <w:r>
        <w:rPr>
          <w:szCs w:val="16"/>
        </w:rPr>
        <w:t>, WG</w:t>
      </w:r>
      <w:r w:rsidRPr="00A6673F">
        <w:rPr>
          <w:szCs w:val="16"/>
        </w:rPr>
        <w:t xml:space="preserve"> (2005), ‘Do Intellectual Property Rights Stimulate R&amp;D and Productivity Growth? Evidence from Cross-national and Manufacturing Industries Data’, in </w:t>
      </w:r>
      <w:r w:rsidRPr="00A6673F">
        <w:rPr>
          <w:i/>
          <w:szCs w:val="16"/>
        </w:rPr>
        <w:t>Intellectual Property Rights and Innovation in the Knowledge-Based Economy</w:t>
      </w:r>
      <w:r w:rsidRPr="00A6673F">
        <w:rPr>
          <w:szCs w:val="16"/>
        </w:rPr>
        <w:t>, Jon Putnam (ed.), Industry Canada, Ottawa; Park</w:t>
      </w:r>
      <w:r>
        <w:rPr>
          <w:szCs w:val="16"/>
        </w:rPr>
        <w:t>, WG (2015), '</w:t>
      </w:r>
      <w:r w:rsidRPr="00A6673F">
        <w:rPr>
          <w:szCs w:val="16"/>
        </w:rPr>
        <w:t>Multinational Investments, Technology Transfers, and Copyright Protection’, March; Park</w:t>
      </w:r>
      <w:r>
        <w:rPr>
          <w:szCs w:val="16"/>
        </w:rPr>
        <w:t>, WG</w:t>
      </w:r>
      <w:r w:rsidRPr="00A6673F">
        <w:rPr>
          <w:szCs w:val="16"/>
        </w:rPr>
        <w:t xml:space="preserve"> and </w:t>
      </w:r>
      <w:proofErr w:type="spellStart"/>
      <w:r w:rsidRPr="00A6673F">
        <w:rPr>
          <w:szCs w:val="16"/>
        </w:rPr>
        <w:t>Lippoldt</w:t>
      </w:r>
      <w:proofErr w:type="spellEnd"/>
      <w:r>
        <w:rPr>
          <w:szCs w:val="16"/>
        </w:rPr>
        <w:t>, DC</w:t>
      </w:r>
      <w:r w:rsidRPr="00A6673F">
        <w:rPr>
          <w:szCs w:val="16"/>
        </w:rPr>
        <w:t xml:space="preserve"> (2008), ‘Technology Transfer and the Economic Implications of the Strengthening of Intellectual Property Rights in Developing Countries’</w:t>
      </w:r>
      <w:r w:rsidRPr="00A6673F">
        <w:rPr>
          <w:i/>
          <w:szCs w:val="16"/>
        </w:rPr>
        <w:t>, OECD Trade Policy Papers</w:t>
      </w:r>
      <w:r w:rsidRPr="00A6673F">
        <w:rPr>
          <w:szCs w:val="16"/>
        </w:rPr>
        <w:t>, no. 62.</w:t>
      </w:r>
    </w:p>
  </w:footnote>
  <w:footnote w:id="275">
    <w:p w14:paraId="175CA8ED" w14:textId="77777777" w:rsidR="00730D0C" w:rsidRPr="00A6673F" w:rsidRDefault="00730D0C" w:rsidP="00610DD9">
      <w:pPr>
        <w:pStyle w:val="FootnoteText"/>
        <w:keepNext w:val="0"/>
        <w:keepLines w:val="0"/>
        <w:rPr>
          <w:szCs w:val="16"/>
        </w:rPr>
      </w:pPr>
      <w:r w:rsidRPr="00A6673F">
        <w:rPr>
          <w:rStyle w:val="FootnoteReference"/>
          <w:sz w:val="16"/>
          <w:szCs w:val="16"/>
        </w:rPr>
        <w:footnoteRef/>
      </w:r>
      <w:r>
        <w:rPr>
          <w:szCs w:val="16"/>
        </w:rPr>
        <w:t xml:space="preserve"> </w:t>
      </w:r>
      <w:proofErr w:type="spellStart"/>
      <w:r w:rsidRPr="00A6673F">
        <w:rPr>
          <w:szCs w:val="16"/>
        </w:rPr>
        <w:t>Ghafele</w:t>
      </w:r>
      <w:proofErr w:type="spellEnd"/>
      <w:r>
        <w:rPr>
          <w:szCs w:val="16"/>
        </w:rPr>
        <w:t>, R</w:t>
      </w:r>
      <w:r w:rsidRPr="00A6673F">
        <w:rPr>
          <w:szCs w:val="16"/>
        </w:rPr>
        <w:t xml:space="preserve"> and Gilbert</w:t>
      </w:r>
      <w:r>
        <w:rPr>
          <w:szCs w:val="16"/>
        </w:rPr>
        <w:t>, B</w:t>
      </w:r>
      <w:r w:rsidRPr="00A6673F">
        <w:rPr>
          <w:szCs w:val="16"/>
        </w:rPr>
        <w:t xml:space="preserve"> (2014), ‘A Counterfactual Impact Analysis of Fair Use Policy on Copyright Related Industries in Singapore’, </w:t>
      </w:r>
      <w:r w:rsidRPr="00A6673F">
        <w:rPr>
          <w:i/>
          <w:szCs w:val="16"/>
        </w:rPr>
        <w:t xml:space="preserve">Laws, </w:t>
      </w:r>
      <w:r w:rsidRPr="00A6673F">
        <w:rPr>
          <w:szCs w:val="16"/>
        </w:rPr>
        <w:t>3:327-52.</w:t>
      </w:r>
    </w:p>
  </w:footnote>
  <w:footnote w:id="276">
    <w:p w14:paraId="58C94CAF"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sidRPr="00A6673F">
        <w:rPr>
          <w:i/>
          <w:szCs w:val="16"/>
        </w:rPr>
        <w:t>Ibid</w:t>
      </w:r>
      <w:r w:rsidRPr="00A6673F">
        <w:rPr>
          <w:szCs w:val="16"/>
        </w:rPr>
        <w:t>.</w:t>
      </w:r>
    </w:p>
  </w:footnote>
  <w:footnote w:id="277">
    <w:p w14:paraId="3D8FC571"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sidRPr="00A6673F">
        <w:rPr>
          <w:i/>
          <w:szCs w:val="16"/>
        </w:rPr>
        <w:t>Ibid</w:t>
      </w:r>
      <w:r w:rsidRPr="00A6673F">
        <w:rPr>
          <w:szCs w:val="16"/>
        </w:rPr>
        <w:t>.</w:t>
      </w:r>
    </w:p>
  </w:footnote>
  <w:footnote w:id="278">
    <w:p w14:paraId="4F966128"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Barker</w:t>
      </w:r>
      <w:r>
        <w:rPr>
          <w:szCs w:val="16"/>
        </w:rPr>
        <w:t>, G</w:t>
      </w:r>
      <w:r w:rsidRPr="00A6673F">
        <w:rPr>
          <w:szCs w:val="16"/>
        </w:rPr>
        <w:t xml:space="preserve"> (2013), ‘Agreed Use and Fair Use: The Economic Effects of Fair Use and Other Copyright Exceptions’, presentation to the 2013 Annual Congress of the Society for Economic Research on Copyright Issues.</w:t>
      </w:r>
    </w:p>
  </w:footnote>
  <w:footnote w:id="279">
    <w:p w14:paraId="571A24F4" w14:textId="77777777" w:rsidR="00730D0C" w:rsidRPr="00A6673F" w:rsidRDefault="00730D0C" w:rsidP="00610DD9">
      <w:pPr>
        <w:pStyle w:val="FootnoteText"/>
        <w:rPr>
          <w:szCs w:val="16"/>
        </w:rPr>
      </w:pPr>
      <w:r w:rsidRPr="00A6673F">
        <w:rPr>
          <w:rStyle w:val="FootnoteReference"/>
          <w:sz w:val="16"/>
          <w:szCs w:val="16"/>
        </w:rPr>
        <w:footnoteRef/>
      </w:r>
      <w:r>
        <w:rPr>
          <w:szCs w:val="16"/>
        </w:rPr>
        <w:t xml:space="preserve"> </w:t>
      </w:r>
      <w:r w:rsidRPr="00A6673F">
        <w:rPr>
          <w:szCs w:val="16"/>
        </w:rPr>
        <w:t>Ford</w:t>
      </w:r>
      <w:r>
        <w:rPr>
          <w:szCs w:val="16"/>
        </w:rPr>
        <w:t>, GS</w:t>
      </w:r>
      <w:r w:rsidRPr="00A6673F">
        <w:rPr>
          <w:szCs w:val="16"/>
        </w:rPr>
        <w:t xml:space="preserve"> (2016), ‘The Economic Impact of Expanding Fair Use in Singapore: More Junk Science for Copyright Reform’, February.</w:t>
      </w:r>
    </w:p>
  </w:footnote>
  <w:footnote w:id="280">
    <w:p w14:paraId="21089449"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Gilbert</w:t>
      </w:r>
      <w:r>
        <w:rPr>
          <w:szCs w:val="16"/>
        </w:rPr>
        <w:t>, B</w:t>
      </w:r>
      <w:r w:rsidRPr="00A6673F">
        <w:rPr>
          <w:szCs w:val="16"/>
        </w:rPr>
        <w:t xml:space="preserve"> (2015), </w:t>
      </w:r>
      <w:r w:rsidRPr="00A6673F">
        <w:rPr>
          <w:i/>
          <w:szCs w:val="16"/>
        </w:rPr>
        <w:t>The 2015 Intellectual Property and Economic Growth Index: Measuring the Impact of Exceptions and Limitations in Copyright on Growth, Jobs and Prosperity</w:t>
      </w:r>
      <w:r w:rsidRPr="00A6673F">
        <w:rPr>
          <w:szCs w:val="16"/>
        </w:rPr>
        <w:t xml:space="preserve">, revised, May. </w:t>
      </w:r>
    </w:p>
  </w:footnote>
  <w:footnote w:id="281">
    <w:p w14:paraId="612D80B8"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sidRPr="00A6673F">
        <w:rPr>
          <w:i/>
          <w:szCs w:val="16"/>
        </w:rPr>
        <w:t>Ibid</w:t>
      </w:r>
      <w:r w:rsidRPr="00A6673F">
        <w:rPr>
          <w:szCs w:val="16"/>
        </w:rPr>
        <w:t xml:space="preserve">. </w:t>
      </w:r>
    </w:p>
  </w:footnote>
  <w:footnote w:id="282">
    <w:p w14:paraId="29B008A2"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Ford</w:t>
      </w:r>
      <w:r>
        <w:rPr>
          <w:szCs w:val="16"/>
        </w:rPr>
        <w:t>, GS</w:t>
      </w:r>
      <w:r w:rsidRPr="00A6673F">
        <w:rPr>
          <w:szCs w:val="16"/>
        </w:rPr>
        <w:t xml:space="preserve"> (2015), ‘The Lisbon Council’s 2015 Intellectual Property and Economic Growth Index: A Showcase of Methodological Blunder’, June. </w:t>
      </w:r>
    </w:p>
  </w:footnote>
  <w:footnote w:id="283">
    <w:p w14:paraId="6147F701"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Mike </w:t>
      </w:r>
      <w:proofErr w:type="spellStart"/>
      <w:r w:rsidRPr="00A6673F">
        <w:rPr>
          <w:szCs w:val="16"/>
        </w:rPr>
        <w:t>Palmedo</w:t>
      </w:r>
      <w:proofErr w:type="spellEnd"/>
      <w:r w:rsidRPr="00A6673F">
        <w:rPr>
          <w:szCs w:val="16"/>
        </w:rPr>
        <w:t xml:space="preserve"> (2015), ‘Firm Performance in Countries </w:t>
      </w:r>
      <w:proofErr w:type="gramStart"/>
      <w:r w:rsidRPr="00A6673F">
        <w:rPr>
          <w:szCs w:val="16"/>
        </w:rPr>
        <w:t>With &amp; Without</w:t>
      </w:r>
      <w:proofErr w:type="gramEnd"/>
      <w:r w:rsidRPr="00A6673F">
        <w:rPr>
          <w:szCs w:val="16"/>
        </w:rPr>
        <w:t xml:space="preserve"> Open Copyright Exceptions’, May, available at: http://infojustice.org/archives/34386.</w:t>
      </w:r>
    </w:p>
  </w:footnote>
  <w:footnote w:id="284">
    <w:p w14:paraId="20DBDE7F"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PwC (2016), </w:t>
      </w:r>
      <w:r w:rsidRPr="00A6673F">
        <w:rPr>
          <w:i/>
          <w:szCs w:val="16"/>
        </w:rPr>
        <w:t>Understanding the costs and benefits of introducing a ‘fair use’ exception</w:t>
      </w:r>
      <w:r w:rsidRPr="00A6673F">
        <w:rPr>
          <w:szCs w:val="16"/>
        </w:rPr>
        <w:t xml:space="preserve">, prepared for APRA AMCOS, PPCA, Copyright </w:t>
      </w:r>
      <w:proofErr w:type="spellStart"/>
      <w:r w:rsidRPr="00A6673F">
        <w:rPr>
          <w:szCs w:val="16"/>
        </w:rPr>
        <w:t>Agency</w:t>
      </w:r>
      <w:r w:rsidRPr="00A6673F">
        <w:rPr>
          <w:rFonts w:ascii="Times New Roman" w:hAnsi="Times New Roman"/>
          <w:szCs w:val="16"/>
        </w:rPr>
        <w:t>│</w:t>
      </w:r>
      <w:r w:rsidRPr="00A6673F">
        <w:rPr>
          <w:szCs w:val="16"/>
        </w:rPr>
        <w:t>Viscopy</w:t>
      </w:r>
      <w:proofErr w:type="spellEnd"/>
      <w:r w:rsidRPr="00A6673F">
        <w:rPr>
          <w:szCs w:val="16"/>
        </w:rPr>
        <w:t xml:space="preserve">, Foxtel, News Corp Australia and </w:t>
      </w:r>
      <w:proofErr w:type="spellStart"/>
      <w:r w:rsidRPr="00A6673F">
        <w:rPr>
          <w:szCs w:val="16"/>
        </w:rPr>
        <w:t>Screenrights</w:t>
      </w:r>
      <w:proofErr w:type="spellEnd"/>
      <w:r w:rsidRPr="00A6673F">
        <w:rPr>
          <w:szCs w:val="16"/>
        </w:rPr>
        <w:t>.</w:t>
      </w:r>
    </w:p>
  </w:footnote>
  <w:footnote w:id="285">
    <w:p w14:paraId="2DF36EA7"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proofErr w:type="spellStart"/>
      <w:r w:rsidRPr="00A6673F">
        <w:rPr>
          <w:szCs w:val="16"/>
        </w:rPr>
        <w:t>Dnes</w:t>
      </w:r>
      <w:proofErr w:type="spellEnd"/>
      <w:r>
        <w:rPr>
          <w:szCs w:val="16"/>
        </w:rPr>
        <w:t>, AW</w:t>
      </w:r>
      <w:r w:rsidRPr="00A6673F">
        <w:rPr>
          <w:szCs w:val="16"/>
        </w:rPr>
        <w:t xml:space="preserve"> (2011), ‘A Law and Economics Analysis of Fair Use Differences Comparing the US and UK’, prepared for the UK Intellectual Property Office, April.</w:t>
      </w:r>
    </w:p>
  </w:footnote>
  <w:footnote w:id="286">
    <w:p w14:paraId="6EE8BF34"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ALRC (2013), </w:t>
      </w:r>
      <w:r w:rsidRPr="00A6673F">
        <w:rPr>
          <w:i/>
          <w:szCs w:val="16"/>
        </w:rPr>
        <w:t>Copyright and the Digital Economy: Final report</w:t>
      </w:r>
      <w:r w:rsidRPr="00A6673F">
        <w:rPr>
          <w:szCs w:val="16"/>
        </w:rPr>
        <w:t>.</w:t>
      </w:r>
    </w:p>
  </w:footnote>
  <w:footnote w:id="287">
    <w:p w14:paraId="71FC131E"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Australian Competition and Consumer Commission (2012), ALRC submission. </w:t>
      </w:r>
    </w:p>
  </w:footnote>
  <w:footnote w:id="288">
    <w:p w14:paraId="6E764F05"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Department of Communications (2014), </w:t>
      </w:r>
      <w:r w:rsidRPr="00A6673F">
        <w:rPr>
          <w:i/>
          <w:szCs w:val="16"/>
        </w:rPr>
        <w:t>Cloud Computing Regulatory Stocktake</w:t>
      </w:r>
      <w:r w:rsidRPr="00A6673F">
        <w:rPr>
          <w:szCs w:val="16"/>
        </w:rPr>
        <w:t xml:space="preserve">, Version 1, May. </w:t>
      </w:r>
    </w:p>
  </w:footnote>
  <w:footnote w:id="289">
    <w:p w14:paraId="4BC26D06"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sidRPr="00A6673F">
        <w:rPr>
          <w:i/>
          <w:szCs w:val="16"/>
        </w:rPr>
        <w:t>Ibid</w:t>
      </w:r>
      <w:r w:rsidRPr="00A6673F">
        <w:rPr>
          <w:szCs w:val="16"/>
        </w:rPr>
        <w:t>.</w:t>
      </w:r>
    </w:p>
  </w:footnote>
  <w:footnote w:id="290">
    <w:p w14:paraId="7CDD62E8"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sidRPr="00A6673F">
        <w:rPr>
          <w:i/>
          <w:szCs w:val="16"/>
        </w:rPr>
        <w:t>Sony Corp. of Am. v. Universal City Studios, Inc., 464 U.S. 417 (1984).</w:t>
      </w:r>
      <w:r w:rsidRPr="00A6673F">
        <w:rPr>
          <w:szCs w:val="16"/>
        </w:rPr>
        <w:t xml:space="preserve"> </w:t>
      </w:r>
    </w:p>
  </w:footnote>
  <w:footnote w:id="291">
    <w:p w14:paraId="5428556B" w14:textId="77777777" w:rsidR="00730D0C" w:rsidRPr="00A6673F" w:rsidRDefault="00730D0C" w:rsidP="00610DD9">
      <w:pPr>
        <w:pStyle w:val="FootnoteText"/>
        <w:rPr>
          <w:szCs w:val="16"/>
        </w:rPr>
      </w:pPr>
      <w:r w:rsidRPr="00A6673F">
        <w:rPr>
          <w:rStyle w:val="FootnoteReference"/>
          <w:sz w:val="16"/>
          <w:szCs w:val="16"/>
        </w:rPr>
        <w:footnoteRef/>
      </w:r>
      <w:r>
        <w:rPr>
          <w:szCs w:val="16"/>
        </w:rPr>
        <w:t xml:space="preserve"> </w:t>
      </w:r>
      <w:proofErr w:type="gramStart"/>
      <w:r w:rsidRPr="00A6673F">
        <w:rPr>
          <w:szCs w:val="16"/>
        </w:rPr>
        <w:t>von</w:t>
      </w:r>
      <w:proofErr w:type="gramEnd"/>
      <w:r w:rsidRPr="00A6673F">
        <w:rPr>
          <w:szCs w:val="16"/>
        </w:rPr>
        <w:t xml:space="preserve"> </w:t>
      </w:r>
      <w:proofErr w:type="spellStart"/>
      <w:r w:rsidRPr="00A6673F">
        <w:rPr>
          <w:szCs w:val="16"/>
        </w:rPr>
        <w:t>Lohmann</w:t>
      </w:r>
      <w:proofErr w:type="spellEnd"/>
      <w:r>
        <w:rPr>
          <w:szCs w:val="16"/>
        </w:rPr>
        <w:t>, F</w:t>
      </w:r>
      <w:r w:rsidRPr="00A6673F">
        <w:rPr>
          <w:szCs w:val="16"/>
        </w:rPr>
        <w:t xml:space="preserve"> (2008),’Fair use as innovation policy’, </w:t>
      </w:r>
      <w:r w:rsidRPr="00A6673F">
        <w:rPr>
          <w:i/>
          <w:szCs w:val="16"/>
        </w:rPr>
        <w:t>Berkeley Technology Law Journal</w:t>
      </w:r>
      <w:r w:rsidRPr="00A6673F">
        <w:rPr>
          <w:szCs w:val="16"/>
        </w:rPr>
        <w:t xml:space="preserve"> 23:1-26. </w:t>
      </w:r>
    </w:p>
  </w:footnote>
  <w:footnote w:id="292">
    <w:p w14:paraId="2A61BC85"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Lee</w:t>
      </w:r>
      <w:r>
        <w:rPr>
          <w:szCs w:val="16"/>
        </w:rPr>
        <w:t>, E</w:t>
      </w:r>
      <w:r w:rsidRPr="00A6673F">
        <w:rPr>
          <w:szCs w:val="16"/>
        </w:rPr>
        <w:t xml:space="preserve"> (2010), ‘Technological fair use’, </w:t>
      </w:r>
      <w:r w:rsidRPr="00A6673F">
        <w:rPr>
          <w:i/>
          <w:szCs w:val="16"/>
        </w:rPr>
        <w:t>Southern California Law Review</w:t>
      </w:r>
      <w:r w:rsidRPr="00A6673F">
        <w:rPr>
          <w:szCs w:val="16"/>
        </w:rPr>
        <w:t xml:space="preserve"> 83:797-874.</w:t>
      </w:r>
    </w:p>
  </w:footnote>
  <w:footnote w:id="293">
    <w:p w14:paraId="0289FB35"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Lerner</w:t>
      </w:r>
      <w:r>
        <w:rPr>
          <w:szCs w:val="16"/>
        </w:rPr>
        <w:t>, J</w:t>
      </w:r>
      <w:r w:rsidRPr="00A6673F">
        <w:rPr>
          <w:szCs w:val="16"/>
        </w:rPr>
        <w:t xml:space="preserve"> and </w:t>
      </w:r>
      <w:proofErr w:type="spellStart"/>
      <w:r w:rsidRPr="00A6673F">
        <w:rPr>
          <w:szCs w:val="16"/>
        </w:rPr>
        <w:t>Rafert</w:t>
      </w:r>
      <w:proofErr w:type="spellEnd"/>
      <w:r>
        <w:rPr>
          <w:szCs w:val="16"/>
        </w:rPr>
        <w:t>, G</w:t>
      </w:r>
      <w:r w:rsidRPr="00A6673F">
        <w:rPr>
          <w:szCs w:val="16"/>
        </w:rPr>
        <w:t xml:space="preserve"> (2015), ‘Lost in the Clouds: The Impact of Changing Property Rights on Investment in Cloud Computing Ventures’, Working Paper 15-082, Harvard Business School.</w:t>
      </w:r>
    </w:p>
  </w:footnote>
  <w:footnote w:id="294">
    <w:p w14:paraId="0276DF46"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sidRPr="00A6673F">
        <w:rPr>
          <w:i/>
          <w:szCs w:val="16"/>
        </w:rPr>
        <w:t>Ibid</w:t>
      </w:r>
      <w:r w:rsidRPr="00A6673F">
        <w:rPr>
          <w:szCs w:val="16"/>
        </w:rPr>
        <w:t>.</w:t>
      </w:r>
    </w:p>
  </w:footnote>
  <w:footnote w:id="295">
    <w:p w14:paraId="25602AB2"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sidRPr="00A6673F">
        <w:rPr>
          <w:i/>
          <w:szCs w:val="16"/>
        </w:rPr>
        <w:t>Ibid</w:t>
      </w:r>
      <w:r w:rsidRPr="00A6673F">
        <w:rPr>
          <w:szCs w:val="16"/>
        </w:rPr>
        <w:t xml:space="preserve">. </w:t>
      </w:r>
    </w:p>
  </w:footnote>
  <w:footnote w:id="296">
    <w:p w14:paraId="7552A3DB"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ALRC (2013), </w:t>
      </w:r>
      <w:r w:rsidRPr="00A6673F">
        <w:rPr>
          <w:i/>
          <w:szCs w:val="16"/>
        </w:rPr>
        <w:t>Copyright and the Digital Economy: Final report</w:t>
      </w:r>
      <w:r w:rsidRPr="00A6673F">
        <w:rPr>
          <w:szCs w:val="16"/>
        </w:rPr>
        <w:t>.</w:t>
      </w:r>
    </w:p>
  </w:footnote>
  <w:footnote w:id="297">
    <w:p w14:paraId="7E64FFC4" w14:textId="77777777" w:rsidR="00730D0C" w:rsidRPr="00A6673F" w:rsidRDefault="00730D0C" w:rsidP="00610DD9">
      <w:pPr>
        <w:pStyle w:val="FootnoteText"/>
        <w:rPr>
          <w:szCs w:val="16"/>
        </w:rPr>
      </w:pPr>
      <w:r w:rsidRPr="00A6673F">
        <w:rPr>
          <w:rStyle w:val="FootnoteReference"/>
          <w:sz w:val="16"/>
          <w:szCs w:val="16"/>
        </w:rPr>
        <w:footnoteRef/>
      </w:r>
      <w:r w:rsidRPr="00A6673F">
        <w:rPr>
          <w:szCs w:val="16"/>
        </w:rPr>
        <w:t xml:space="preserve"> </w:t>
      </w:r>
      <w:r w:rsidRPr="00A6673F">
        <w:rPr>
          <w:i/>
          <w:szCs w:val="16"/>
        </w:rPr>
        <w:t>Ibid</w:t>
      </w:r>
      <w:r w:rsidRPr="00A6673F">
        <w:rPr>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21E36" w14:textId="77777777" w:rsidR="00730D0C" w:rsidRDefault="00730D0C"/>
  <w:p w14:paraId="1B6DCB3F" w14:textId="77777777" w:rsidR="00730D0C" w:rsidRDefault="00730D0C"/>
  <w:p w14:paraId="5E1AEA41" w14:textId="77777777" w:rsidR="00730D0C" w:rsidRDefault="00730D0C">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34</w:t>
    </w:r>
    <w:r w:rsidRPr="00151E1C">
      <w:rPr>
        <w:color w:val="333333"/>
      </w:rPr>
      <w:fldChar w:fldCharType="end"/>
    </w:r>
    <w:r w:rsidRPr="00151E1C">
      <w:rPr>
        <w:i/>
        <w:color w:val="333333"/>
      </w:rPr>
      <w:br/>
      <w:t>Privileged And Confidential</w:t>
    </w:r>
  </w:p>
  <w:p w14:paraId="4999AC8F" w14:textId="77777777" w:rsidR="00730D0C" w:rsidRDefault="00730D0C">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54</w:t>
    </w:r>
    <w:r w:rsidRPr="00151E1C">
      <w:rPr>
        <w:color w:val="333333"/>
      </w:rPr>
      <w:fldChar w:fldCharType="end"/>
    </w:r>
    <w:r w:rsidRPr="00151E1C">
      <w:rPr>
        <w:i/>
        <w:color w:val="333333"/>
      </w:rPr>
      <w:br/>
      <w:t>Privileged And Confidential</w:t>
    </w:r>
  </w:p>
  <w:p w14:paraId="277DC7D6" w14:textId="77777777" w:rsidR="00730D0C" w:rsidRDefault="00730D0C">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59</w:t>
    </w:r>
    <w:r w:rsidRPr="00151E1C">
      <w:rPr>
        <w:color w:val="333333"/>
      </w:rPr>
      <w:fldChar w:fldCharType="end"/>
    </w:r>
    <w:r w:rsidRPr="00151E1C">
      <w:rPr>
        <w:i/>
        <w:color w:val="333333"/>
      </w:rPr>
      <w:br/>
      <w:t>Privileged And Confidential</w:t>
    </w:r>
  </w:p>
  <w:p w14:paraId="1F682713" w14:textId="77777777" w:rsidR="00730D0C" w:rsidRDefault="00730D0C">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60</w:t>
    </w:r>
    <w:r w:rsidRPr="00151E1C">
      <w:rPr>
        <w:color w:val="333333"/>
      </w:rPr>
      <w:fldChar w:fldCharType="end"/>
    </w:r>
    <w:r w:rsidRPr="00151E1C">
      <w:rPr>
        <w:i/>
        <w:color w:val="333333"/>
      </w:rPr>
      <w:br/>
      <w:t>Privileged And Confidential</w:t>
    </w:r>
  </w:p>
  <w:p w14:paraId="79AFBE91" w14:textId="77777777" w:rsidR="00730D0C" w:rsidRDefault="00730D0C">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2</w:t>
    </w:r>
    <w:r w:rsidRPr="00151E1C">
      <w:rPr>
        <w:color w:val="333333"/>
      </w:rPr>
      <w:fldChar w:fldCharType="end"/>
    </w:r>
    <w:r w:rsidRPr="00151E1C">
      <w:rPr>
        <w:i/>
        <w:color w:val="333333"/>
      </w:rPr>
      <w:br/>
      <w:t>Privileged And Confidential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F4DAB0" w14:textId="77777777" w:rsidR="00730D0C" w:rsidRPr="00645D25" w:rsidRDefault="00730D0C" w:rsidP="007A2942">
    <w:pPr>
      <w:pStyle w:val="EYFooterinfo"/>
    </w:pPr>
  </w:p>
  <w:p w14:paraId="6B766BB3" w14:textId="77777777" w:rsidR="00730D0C" w:rsidRPr="00645D25" w:rsidRDefault="00730D0C" w:rsidP="00911300">
    <w:pPr>
      <w:pStyle w:val="EYFooterinf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4EFAF" w14:textId="77777777" w:rsidR="00730D0C" w:rsidRPr="00645D25" w:rsidRDefault="00730D0C" w:rsidP="007A2942">
    <w:pPr>
      <w:pStyle w:val="EYFooterinfo"/>
    </w:pPr>
  </w:p>
  <w:p w14:paraId="544BF908" w14:textId="77777777" w:rsidR="00730D0C" w:rsidRPr="00645D25" w:rsidRDefault="00730D0C" w:rsidP="00911300">
    <w:pPr>
      <w:pStyle w:val="EYFooterinf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206EE" w14:textId="77777777" w:rsidR="00730D0C" w:rsidRPr="00645D25" w:rsidRDefault="00730D0C" w:rsidP="007A2942">
    <w:pPr>
      <w:pStyle w:val="EYFooterinfo"/>
    </w:pPr>
  </w:p>
  <w:p w14:paraId="0AD091B6" w14:textId="77777777" w:rsidR="00730D0C" w:rsidRPr="00645D25" w:rsidRDefault="00730D0C" w:rsidP="00911300">
    <w:pPr>
      <w:pStyle w:val="EYFooterinf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3F34D" w14:textId="77777777" w:rsidR="00730D0C" w:rsidRPr="00EB3BA9" w:rsidRDefault="00730D0C" w:rsidP="00EB3B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34AEA"/>
    <w:multiLevelType w:val="hybridMultilevel"/>
    <w:tmpl w:val="B07AB874"/>
    <w:lvl w:ilvl="0" w:tplc="F9C2280E">
      <w:start w:val="1"/>
      <w:numFmt w:val="bullet"/>
      <w:pStyle w:val="AABullet1"/>
      <w:lvlText w:val="•"/>
      <w:lvlJc w:val="left"/>
      <w:pPr>
        <w:ind w:left="360" w:hanging="360"/>
      </w:pPr>
      <w:rPr>
        <w:rFonts w:ascii="EYInterstate" w:hAnsi="EYInterstate" w:hint="default"/>
        <w:color w:val="FFE600" w:themeColor="background2"/>
      </w:rPr>
    </w:lvl>
    <w:lvl w:ilvl="1" w:tplc="260A988E">
      <w:start w:val="1"/>
      <w:numFmt w:val="bullet"/>
      <w:lvlText w:val="─"/>
      <w:lvlJc w:val="left"/>
      <w:pPr>
        <w:ind w:left="786" w:hanging="360"/>
      </w:pPr>
      <w:rPr>
        <w:rFonts w:ascii="Calibri" w:hAnsi="Calibri" w:hint="default"/>
        <w:sz w:val="16"/>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5C514A8"/>
    <w:multiLevelType w:val="multilevel"/>
    <w:tmpl w:val="9EC0BBCA"/>
    <w:lvl w:ilvl="0">
      <w:start w:val="1"/>
      <w:numFmt w:val="decimal"/>
      <w:lvlRestart w:val="0"/>
      <w:pStyle w:val="EYHeading1"/>
      <w:lvlText w:val="%1."/>
      <w:lvlJc w:val="left"/>
      <w:pPr>
        <w:ind w:left="851" w:hanging="851"/>
      </w:pPr>
      <w:rPr>
        <w:rFonts w:ascii="EYInterstate Light" w:hAnsi="EYInterstate Light" w:hint="default"/>
        <w:b/>
        <w:i w:val="0"/>
        <w:color w:val="auto"/>
        <w:sz w:val="32"/>
      </w:rPr>
    </w:lvl>
    <w:lvl w:ilvl="1">
      <w:start w:val="1"/>
      <w:numFmt w:val="decimal"/>
      <w:pStyle w:val="EYHeading2"/>
      <w:lvlText w:val="%1.%2"/>
      <w:lvlJc w:val="left"/>
      <w:pPr>
        <w:tabs>
          <w:tab w:val="num" w:pos="0"/>
        </w:tabs>
        <w:ind w:left="851" w:hanging="851"/>
      </w:pPr>
      <w:rPr>
        <w:rFonts w:ascii="EYInterstate Light" w:hAnsi="EYInterstate Light" w:hint="default"/>
        <w:b/>
        <w:i w:val="0"/>
        <w:color w:val="000000"/>
        <w:sz w:val="28"/>
      </w:rPr>
    </w:lvl>
    <w:lvl w:ilvl="2">
      <w:start w:val="1"/>
      <w:numFmt w:val="decimal"/>
      <w:pStyle w:val="EYHeading3"/>
      <w:lvlText w:val="%1.%2.%3"/>
      <w:lvlJc w:val="left"/>
      <w:pPr>
        <w:tabs>
          <w:tab w:val="num" w:pos="0"/>
        </w:tabs>
        <w:ind w:left="851" w:hanging="851"/>
      </w:pPr>
      <w:rPr>
        <w:rFonts w:ascii="EYInterstate Light" w:hAnsi="EYInterstate Light" w:hint="default"/>
        <w:b/>
        <w:i w:val="0"/>
        <w:color w:val="000000"/>
        <w:sz w:val="26"/>
      </w:rPr>
    </w:lvl>
    <w:lvl w:ilvl="3">
      <w:start w:val="1"/>
      <w:numFmt w:val="decimal"/>
      <w:pStyle w:val="EYHeading4"/>
      <w:lvlText w:val="%1.%2.%3.%4"/>
      <w:lvlJc w:val="left"/>
      <w:pPr>
        <w:tabs>
          <w:tab w:val="num" w:pos="0"/>
        </w:tabs>
        <w:ind w:left="851" w:hanging="851"/>
      </w:pPr>
      <w:rPr>
        <w:rFonts w:ascii="EYInterstate Light" w:hAnsi="EYInterstate Light" w:hint="default"/>
        <w:b/>
        <w:i w:val="0"/>
        <w:color w:val="000000"/>
        <w:sz w:val="22"/>
      </w:rPr>
    </w:lvl>
    <w:lvl w:ilvl="4">
      <w:start w:val="1"/>
      <w:numFmt w:val="none"/>
      <w:lvlText w:val=""/>
      <w:lvlJc w:val="left"/>
      <w:pPr>
        <w:tabs>
          <w:tab w:val="num" w:pos="0"/>
        </w:tabs>
        <w:ind w:left="851" w:hanging="851"/>
      </w:pPr>
      <w:rPr>
        <w:rFonts w:hint="default"/>
      </w:rPr>
    </w:lvl>
    <w:lvl w:ilvl="5">
      <w:start w:val="1"/>
      <w:numFmt w:val="none"/>
      <w:lvlText w:val=""/>
      <w:lvlJc w:val="left"/>
      <w:pPr>
        <w:tabs>
          <w:tab w:val="num" w:pos="0"/>
        </w:tabs>
        <w:ind w:left="851" w:hanging="851"/>
      </w:pPr>
      <w:rPr>
        <w:rFonts w:hint="default"/>
      </w:rPr>
    </w:lvl>
    <w:lvl w:ilvl="6">
      <w:start w:val="1"/>
      <w:numFmt w:val="none"/>
      <w:lvlText w:val=""/>
      <w:lvlJc w:val="left"/>
      <w:pPr>
        <w:tabs>
          <w:tab w:val="num" w:pos="0"/>
        </w:tabs>
        <w:ind w:left="851" w:hanging="851"/>
      </w:pPr>
      <w:rPr>
        <w:rFonts w:hint="default"/>
      </w:rPr>
    </w:lvl>
    <w:lvl w:ilvl="7">
      <w:start w:val="1"/>
      <w:numFmt w:val="none"/>
      <w:lvlText w:val=""/>
      <w:lvlJc w:val="left"/>
      <w:pPr>
        <w:tabs>
          <w:tab w:val="num" w:pos="0"/>
        </w:tabs>
        <w:ind w:left="851" w:hanging="851"/>
      </w:pPr>
      <w:rPr>
        <w:rFonts w:hint="default"/>
      </w:rPr>
    </w:lvl>
    <w:lvl w:ilvl="8">
      <w:start w:val="1"/>
      <w:numFmt w:val="none"/>
      <w:lvlText w:val=""/>
      <w:lvlJc w:val="left"/>
      <w:pPr>
        <w:tabs>
          <w:tab w:val="num" w:pos="0"/>
        </w:tabs>
        <w:ind w:left="851" w:hanging="851"/>
      </w:pPr>
      <w:rPr>
        <w:rFonts w:hint="default"/>
      </w:rPr>
    </w:lvl>
  </w:abstractNum>
  <w:abstractNum w:abstractNumId="2" w15:restartNumberingAfterBreak="0">
    <w:nsid w:val="14DD2202"/>
    <w:multiLevelType w:val="hybridMultilevel"/>
    <w:tmpl w:val="B0A88928"/>
    <w:lvl w:ilvl="0" w:tplc="7D96877C">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E706BE3"/>
    <w:multiLevelType w:val="hybridMultilevel"/>
    <w:tmpl w:val="BD3AD740"/>
    <w:lvl w:ilvl="0" w:tplc="427CE05E">
      <w:start w:val="1"/>
      <w:numFmt w:val="bullet"/>
      <w:pStyle w:val="EYBulletedList2"/>
      <w:lvlText w:val=""/>
      <w:lvlJc w:val="left"/>
      <w:pPr>
        <w:ind w:left="720" w:hanging="360"/>
      </w:pPr>
      <w:rPr>
        <w:rFonts w:ascii="Wingdings 3" w:hAnsi="Wingdings 3" w:hint="default"/>
        <w:color w:val="auto"/>
        <w:sz w:val="16"/>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F97D75"/>
    <w:multiLevelType w:val="hybridMultilevel"/>
    <w:tmpl w:val="0FB0104E"/>
    <w:lvl w:ilvl="0" w:tplc="7388CD34">
      <w:start w:val="1"/>
      <w:numFmt w:val="decimal"/>
      <w:pStyle w:val="NumberedList"/>
      <w:lvlText w:val="%1."/>
      <w:lvlJc w:val="left"/>
      <w:pPr>
        <w:tabs>
          <w:tab w:val="num" w:pos="360"/>
        </w:tabs>
        <w:ind w:left="360" w:hanging="360"/>
      </w:pPr>
      <w:rPr>
        <w:rFonts w:ascii="EYInterstate Light" w:hAnsi="EYInterstate Light"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64A0F1D"/>
    <w:multiLevelType w:val="multilevel"/>
    <w:tmpl w:val="15F80EE2"/>
    <w:lvl w:ilvl="0">
      <w:start w:val="1"/>
      <w:numFmt w:val="upperRoman"/>
      <w:pStyle w:val="Heading1"/>
      <w:lvlText w:val="%1."/>
      <w:lvlJc w:val="left"/>
      <w:pPr>
        <w:tabs>
          <w:tab w:val="num" w:pos="360"/>
        </w:tabs>
        <w:ind w:left="0" w:firstLine="0"/>
      </w:pPr>
      <w:rPr>
        <w:rFonts w:hint="default"/>
      </w:r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 w15:restartNumberingAfterBreak="0">
    <w:nsid w:val="2FD003F5"/>
    <w:multiLevelType w:val="multilevel"/>
    <w:tmpl w:val="909639F8"/>
    <w:numStyleLink w:val="EYBulletList"/>
  </w:abstractNum>
  <w:abstractNum w:abstractNumId="7" w15:restartNumberingAfterBreak="0">
    <w:nsid w:val="357F7BE3"/>
    <w:multiLevelType w:val="hybridMultilevel"/>
    <w:tmpl w:val="CA1C1D04"/>
    <w:lvl w:ilvl="0" w:tplc="A2483064">
      <w:start w:val="1"/>
      <w:numFmt w:val="bullet"/>
      <w:lvlText w:val="►"/>
      <w:lvlJc w:val="left"/>
      <w:pPr>
        <w:ind w:left="360" w:hanging="360"/>
      </w:pPr>
      <w:rPr>
        <w:rFonts w:ascii="Arial" w:hAnsi="Arial" w:hint="default"/>
        <w:sz w:val="14"/>
      </w:rPr>
    </w:lvl>
    <w:lvl w:ilvl="1" w:tplc="0C090019" w:tentative="1">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8" w15:restartNumberingAfterBreak="0">
    <w:nsid w:val="3CA017FA"/>
    <w:multiLevelType w:val="multilevel"/>
    <w:tmpl w:val="C28E4076"/>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lowerRoman"/>
      <w:pStyle w:val="EYRoman"/>
      <w:lvlText w:val="%3"/>
      <w:lvlJc w:val="left"/>
      <w:pPr>
        <w:tabs>
          <w:tab w:val="num" w:pos="1276"/>
        </w:tabs>
        <w:ind w:left="1276" w:hanging="425"/>
      </w:pPr>
      <w:rPr>
        <w:rFonts w:hint="default"/>
        <w:color w:val="auto"/>
      </w:rPr>
    </w:lvl>
    <w:lvl w:ilvl="3">
      <w:start w:val="1"/>
      <w:numFmt w:val="none"/>
      <w:lvlText w:val=""/>
      <w:lvlJc w:val="left"/>
      <w:pPr>
        <w:tabs>
          <w:tab w:val="num" w:pos="1440"/>
        </w:tabs>
        <w:ind w:left="1440" w:firstLine="0"/>
      </w:pPr>
      <w:rPr>
        <w:rFonts w:hint="default"/>
      </w:rPr>
    </w:lvl>
    <w:lvl w:ilvl="4">
      <w:start w:val="1"/>
      <w:numFmt w:val="none"/>
      <w:lvlText w:val=""/>
      <w:lvlJc w:val="left"/>
      <w:pPr>
        <w:tabs>
          <w:tab w:val="num" w:pos="4680"/>
        </w:tabs>
        <w:ind w:left="3672" w:hanging="792"/>
      </w:pPr>
      <w:rPr>
        <w:rFonts w:hint="default"/>
      </w:rPr>
    </w:lvl>
    <w:lvl w:ilvl="5">
      <w:start w:val="1"/>
      <w:numFmt w:val="none"/>
      <w:lvlText w:val=""/>
      <w:lvlJc w:val="left"/>
      <w:pPr>
        <w:tabs>
          <w:tab w:val="num" w:pos="5400"/>
        </w:tabs>
        <w:ind w:left="4176" w:hanging="936"/>
      </w:pPr>
      <w:rPr>
        <w:rFonts w:hint="default"/>
      </w:rPr>
    </w:lvl>
    <w:lvl w:ilvl="6">
      <w:start w:val="1"/>
      <w:numFmt w:val="none"/>
      <w:lvlText w:val=""/>
      <w:lvlJc w:val="left"/>
      <w:pPr>
        <w:tabs>
          <w:tab w:val="num" w:pos="6120"/>
        </w:tabs>
        <w:ind w:left="4680" w:hanging="1080"/>
      </w:pPr>
      <w:rPr>
        <w:rFonts w:hint="default"/>
      </w:rPr>
    </w:lvl>
    <w:lvl w:ilvl="7">
      <w:start w:val="1"/>
      <w:numFmt w:val="none"/>
      <w:lvlText w:val=""/>
      <w:lvlJc w:val="left"/>
      <w:pPr>
        <w:tabs>
          <w:tab w:val="num" w:pos="6840"/>
        </w:tabs>
        <w:ind w:left="5184" w:hanging="1224"/>
      </w:pPr>
      <w:rPr>
        <w:rFonts w:hint="default"/>
      </w:rPr>
    </w:lvl>
    <w:lvl w:ilvl="8">
      <w:start w:val="1"/>
      <w:numFmt w:val="none"/>
      <w:lvlText w:val=""/>
      <w:lvlJc w:val="left"/>
      <w:pPr>
        <w:tabs>
          <w:tab w:val="num" w:pos="7200"/>
        </w:tabs>
        <w:ind w:left="5760" w:hanging="1440"/>
      </w:pPr>
      <w:rPr>
        <w:rFonts w:hint="default"/>
      </w:rPr>
    </w:lvl>
  </w:abstractNum>
  <w:abstractNum w:abstractNumId="9" w15:restartNumberingAfterBreak="0">
    <w:nsid w:val="3CAD7C82"/>
    <w:multiLevelType w:val="multilevel"/>
    <w:tmpl w:val="7630B558"/>
    <w:lvl w:ilvl="0">
      <w:start w:val="1"/>
      <w:numFmt w:val="bullet"/>
      <w:pStyle w:val="EYBulletedList1"/>
      <w:lvlText w:val="•"/>
      <w:lvlJc w:val="left"/>
      <w:pPr>
        <w:tabs>
          <w:tab w:val="num" w:pos="288"/>
        </w:tabs>
        <w:ind w:left="288" w:hanging="288"/>
      </w:pPr>
      <w:rPr>
        <w:rFonts w:ascii="EYInterstate Light" w:hAnsi="EYInterstate Light" w:hint="default"/>
        <w:b w:val="0"/>
        <w:i w:val="0"/>
        <w:color w:val="FFE600"/>
        <w:sz w:val="20"/>
        <w:szCs w:val="24"/>
      </w:rPr>
    </w:lvl>
    <w:lvl w:ilvl="1">
      <w:start w:val="1"/>
      <w:numFmt w:val="bullet"/>
      <w:lvlText w:val="►"/>
      <w:lvlJc w:val="left"/>
      <w:pPr>
        <w:tabs>
          <w:tab w:val="num" w:pos="576"/>
        </w:tabs>
        <w:ind w:left="576" w:hanging="288"/>
      </w:pPr>
      <w:rPr>
        <w:rFonts w:ascii="Arial" w:hAnsi="Arial" w:hint="default"/>
        <w:b w:val="0"/>
        <w:i w:val="0"/>
        <w:color w:val="auto"/>
        <w:sz w:val="16"/>
        <w:szCs w:val="16"/>
      </w:rPr>
    </w:lvl>
    <w:lvl w:ilvl="2">
      <w:start w:val="1"/>
      <w:numFmt w:val="bullet"/>
      <w:pStyle w:val="EYBulletedList3"/>
      <w:lvlText w:val="►"/>
      <w:lvlJc w:val="left"/>
      <w:pPr>
        <w:tabs>
          <w:tab w:val="num" w:pos="864"/>
        </w:tabs>
        <w:ind w:left="864" w:hanging="288"/>
      </w:pPr>
      <w:rPr>
        <w:rFonts w:ascii="Arial" w:hAnsi="Arial" w:hint="default"/>
        <w:b w:val="0"/>
        <w:i w:val="0"/>
        <w:color w:val="auto"/>
        <w:sz w:val="16"/>
        <w:szCs w:val="16"/>
      </w:rPr>
    </w:lvl>
    <w:lvl w:ilvl="3">
      <w:start w:val="1"/>
      <w:numFmt w:val="bullet"/>
      <w:lvlText w:val="►"/>
      <w:lvlJc w:val="left"/>
      <w:pPr>
        <w:tabs>
          <w:tab w:val="num" w:pos="1289"/>
        </w:tabs>
        <w:ind w:left="1152" w:hanging="288"/>
      </w:pPr>
      <w:rPr>
        <w:rFonts w:ascii="Arial" w:hAnsi="Arial" w:cs="Times New Roman" w:hint="default"/>
        <w:color w:val="auto"/>
        <w:sz w:val="16"/>
        <w:szCs w:val="24"/>
      </w:rPr>
    </w:lvl>
    <w:lvl w:ilvl="4">
      <w:start w:val="1"/>
      <w:numFmt w:val="bullet"/>
      <w:lvlText w:val="►"/>
      <w:lvlJc w:val="left"/>
      <w:pPr>
        <w:tabs>
          <w:tab w:val="num" w:pos="1577"/>
        </w:tabs>
        <w:ind w:left="1440" w:hanging="288"/>
      </w:pPr>
      <w:rPr>
        <w:rFonts w:ascii="Arial" w:hAnsi="Arial" w:cs="Times New Roman" w:hint="default"/>
        <w:color w:val="auto"/>
        <w:sz w:val="16"/>
        <w:szCs w:val="24"/>
      </w:rPr>
    </w:lvl>
    <w:lvl w:ilvl="5">
      <w:start w:val="1"/>
      <w:numFmt w:val="bullet"/>
      <w:lvlText w:val="►"/>
      <w:lvlJc w:val="left"/>
      <w:pPr>
        <w:tabs>
          <w:tab w:val="num" w:pos="1865"/>
        </w:tabs>
        <w:ind w:left="1728" w:hanging="288"/>
      </w:pPr>
      <w:rPr>
        <w:rFonts w:ascii="Arial" w:hAnsi="Arial" w:cs="Times New Roman" w:hint="default"/>
        <w:color w:val="auto"/>
        <w:sz w:val="16"/>
        <w:szCs w:val="24"/>
      </w:rPr>
    </w:lvl>
    <w:lvl w:ilvl="6">
      <w:start w:val="1"/>
      <w:numFmt w:val="none"/>
      <w:suff w:val="nothing"/>
      <w:lvlText w:val=""/>
      <w:lvlJc w:val="left"/>
      <w:pPr>
        <w:ind w:left="2016" w:hanging="288"/>
      </w:pPr>
      <w:rPr>
        <w:rFonts w:hint="default"/>
      </w:rPr>
    </w:lvl>
    <w:lvl w:ilvl="7">
      <w:start w:val="1"/>
      <w:numFmt w:val="none"/>
      <w:suff w:val="nothing"/>
      <w:lvlText w:val=""/>
      <w:lvlJc w:val="left"/>
      <w:pPr>
        <w:ind w:left="2304" w:hanging="288"/>
      </w:pPr>
      <w:rPr>
        <w:rFonts w:hint="default"/>
      </w:rPr>
    </w:lvl>
    <w:lvl w:ilvl="8">
      <w:start w:val="1"/>
      <w:numFmt w:val="none"/>
      <w:suff w:val="nothing"/>
      <w:lvlText w:val=""/>
      <w:lvlJc w:val="left"/>
      <w:pPr>
        <w:ind w:left="2592" w:hanging="288"/>
      </w:pPr>
      <w:rPr>
        <w:rFonts w:hint="default"/>
      </w:rPr>
    </w:lvl>
  </w:abstractNum>
  <w:abstractNum w:abstractNumId="10" w15:restartNumberingAfterBreak="0">
    <w:nsid w:val="447E4E06"/>
    <w:multiLevelType w:val="multilevel"/>
    <w:tmpl w:val="909639F8"/>
    <w:styleLink w:val="EYBulletList"/>
    <w:lvl w:ilvl="0">
      <w:start w:val="1"/>
      <w:numFmt w:val="bullet"/>
      <w:pStyle w:val="EYBulletedText1"/>
      <w:lvlText w:val="►"/>
      <w:lvlJc w:val="left"/>
      <w:pPr>
        <w:ind w:left="425" w:hanging="425"/>
      </w:pPr>
      <w:rPr>
        <w:rFonts w:ascii="Arial" w:hAnsi="Arial" w:hint="default"/>
        <w:color w:val="auto"/>
        <w:sz w:val="16"/>
        <w:szCs w:val="20"/>
      </w:rPr>
    </w:lvl>
    <w:lvl w:ilvl="1">
      <w:start w:val="1"/>
      <w:numFmt w:val="bullet"/>
      <w:pStyle w:val="EYBulletedText2"/>
      <w:lvlText w:val="►"/>
      <w:lvlJc w:val="left"/>
      <w:pPr>
        <w:ind w:left="850" w:hanging="425"/>
      </w:pPr>
      <w:rPr>
        <w:rFonts w:ascii="Arial" w:hAnsi="Arial" w:hint="default"/>
        <w:sz w:val="16"/>
      </w:rPr>
    </w:lvl>
    <w:lvl w:ilvl="2">
      <w:start w:val="1"/>
      <w:numFmt w:val="bullet"/>
      <w:pStyle w:val="EYBulletedText3"/>
      <w:lvlText w:val="►"/>
      <w:lvlJc w:val="left"/>
      <w:pPr>
        <w:ind w:left="1275" w:hanging="425"/>
      </w:pPr>
      <w:rPr>
        <w:rFonts w:ascii="Arial" w:hAnsi="Arial" w:hint="default"/>
        <w:sz w:val="16"/>
      </w:rPr>
    </w:lvl>
    <w:lvl w:ilvl="3">
      <w:start w:val="1"/>
      <w:numFmt w:val="bullet"/>
      <w:lvlText w:val="►"/>
      <w:lvlJc w:val="left"/>
      <w:pPr>
        <w:ind w:left="1700" w:hanging="425"/>
      </w:pPr>
      <w:rPr>
        <w:rFonts w:ascii="Arial" w:hAnsi="Arial" w:hint="default"/>
        <w:sz w:val="16"/>
      </w:rPr>
    </w:lvl>
    <w:lvl w:ilvl="4">
      <w:start w:val="1"/>
      <w:numFmt w:val="bullet"/>
      <w:lvlText w:val="►"/>
      <w:lvlJc w:val="left"/>
      <w:pPr>
        <w:ind w:left="2125" w:hanging="425"/>
      </w:pPr>
      <w:rPr>
        <w:rFonts w:ascii="Arial" w:hAnsi="Arial" w:hint="default"/>
        <w:sz w:val="16"/>
      </w:rPr>
    </w:lvl>
    <w:lvl w:ilvl="5">
      <w:start w:val="1"/>
      <w:numFmt w:val="bullet"/>
      <w:lvlText w:val="►"/>
      <w:lvlJc w:val="left"/>
      <w:pPr>
        <w:ind w:left="2550" w:hanging="425"/>
      </w:pPr>
      <w:rPr>
        <w:rFonts w:ascii="Arial" w:hAnsi="Arial" w:hint="default"/>
        <w:sz w:val="16"/>
      </w:rPr>
    </w:lvl>
    <w:lvl w:ilvl="6">
      <w:start w:val="1"/>
      <w:numFmt w:val="bullet"/>
      <w:lvlText w:val="►"/>
      <w:lvlJc w:val="left"/>
      <w:pPr>
        <w:ind w:left="2975" w:hanging="425"/>
      </w:pPr>
      <w:rPr>
        <w:rFonts w:ascii="Arial" w:hAnsi="Arial" w:hint="default"/>
        <w:sz w:val="16"/>
      </w:rPr>
    </w:lvl>
    <w:lvl w:ilvl="7">
      <w:start w:val="1"/>
      <w:numFmt w:val="bullet"/>
      <w:lvlText w:val="►"/>
      <w:lvlJc w:val="left"/>
      <w:pPr>
        <w:ind w:left="3400" w:hanging="425"/>
      </w:pPr>
      <w:rPr>
        <w:rFonts w:ascii="Arial" w:hAnsi="Arial" w:hint="default"/>
        <w:sz w:val="16"/>
      </w:rPr>
    </w:lvl>
    <w:lvl w:ilvl="8">
      <w:start w:val="1"/>
      <w:numFmt w:val="bullet"/>
      <w:lvlText w:val="►"/>
      <w:lvlJc w:val="left"/>
      <w:pPr>
        <w:ind w:left="3825" w:hanging="425"/>
      </w:pPr>
      <w:rPr>
        <w:rFonts w:ascii="Arial" w:hAnsi="Arial" w:hint="default"/>
        <w:sz w:val="16"/>
      </w:rPr>
    </w:lvl>
  </w:abstractNum>
  <w:abstractNum w:abstractNumId="11" w15:restartNumberingAfterBreak="0">
    <w:nsid w:val="4BF52D58"/>
    <w:multiLevelType w:val="multilevel"/>
    <w:tmpl w:val="9DD221BA"/>
    <w:styleLink w:val="ParaNumberingArial"/>
    <w:lvl w:ilvl="0">
      <w:start w:val="1"/>
      <w:numFmt w:val="decimal"/>
      <w:lvlRestart w:val="0"/>
      <w:lvlText w:val=""/>
      <w:lvlJc w:val="left"/>
      <w:pPr>
        <w:tabs>
          <w:tab w:val="num" w:pos="0"/>
        </w:tabs>
        <w:ind w:left="0" w:firstLine="0"/>
      </w:pPr>
      <w:rPr>
        <w:rFonts w:ascii="Arial" w:hAnsi="Arial"/>
        <w:b/>
        <w:color w:val="7F7E82"/>
        <w:sz w:val="32"/>
      </w:rPr>
    </w:lvl>
    <w:lvl w:ilvl="1">
      <w:start w:val="1"/>
      <w:numFmt w:val="decimal"/>
      <w:lvlText w:val=""/>
      <w:lvlJc w:val="left"/>
      <w:pPr>
        <w:tabs>
          <w:tab w:val="num" w:pos="0"/>
        </w:tabs>
        <w:ind w:left="0" w:firstLine="0"/>
      </w:pPr>
      <w:rPr>
        <w:rFonts w:ascii="Arial" w:hAnsi="Arial" w:hint="default"/>
        <w:b/>
        <w:color w:val="000000"/>
        <w:sz w:val="28"/>
      </w:rPr>
    </w:lvl>
    <w:lvl w:ilvl="2">
      <w:start w:val="1"/>
      <w:numFmt w:val="decimal"/>
      <w:lvlRestart w:val="1"/>
      <w:lvlText w:val=""/>
      <w:lvlJc w:val="left"/>
      <w:pPr>
        <w:tabs>
          <w:tab w:val="num" w:pos="0"/>
        </w:tabs>
        <w:ind w:left="0" w:firstLine="0"/>
      </w:pPr>
      <w:rPr>
        <w:rFonts w:ascii="Arial" w:hAnsi="Arial" w:hint="default"/>
        <w:b/>
        <w:color w:val="000000"/>
        <w:sz w:val="24"/>
      </w:rPr>
    </w:lvl>
    <w:lvl w:ilvl="3">
      <w:start w:val="1"/>
      <w:numFmt w:val="decimal"/>
      <w:lvlRestart w:val="1"/>
      <w:lvlText w:val=""/>
      <w:lvlJc w:val="left"/>
      <w:pPr>
        <w:tabs>
          <w:tab w:val="num" w:pos="0"/>
        </w:tabs>
        <w:ind w:left="0" w:firstLine="0"/>
      </w:pPr>
      <w:rPr>
        <w:rFonts w:ascii="Arial" w:hAnsi="Arial" w:hint="default"/>
        <w:b/>
        <w:color w:val="000000"/>
        <w:sz w:val="20"/>
      </w:rPr>
    </w:lvl>
    <w:lvl w:ilvl="4">
      <w:start w:val="1"/>
      <w:numFmt w:val="decimal"/>
      <w:lvlRestart w:val="1"/>
      <w:lvlText w:val=""/>
      <w:lvlJc w:val="left"/>
      <w:pPr>
        <w:tabs>
          <w:tab w:val="num" w:pos="0"/>
        </w:tabs>
        <w:ind w:left="0" w:firstLine="0"/>
      </w:pPr>
      <w:rPr>
        <w:rFonts w:ascii="Arial" w:hAnsi="Arial" w:hint="default"/>
        <w:b w:val="0"/>
        <w:color w:val="000000"/>
        <w:sz w:val="20"/>
      </w:rPr>
    </w:lvl>
    <w:lvl w:ilvl="5">
      <w:start w:val="1"/>
      <w:numFmt w:val="none"/>
      <w:lvlText w:val=""/>
      <w:lvlJc w:val="left"/>
      <w:pPr>
        <w:tabs>
          <w:tab w:val="num" w:pos="0"/>
        </w:tabs>
        <w:ind w:left="0" w:firstLine="0"/>
      </w:pPr>
      <w:rPr>
        <w:rFonts w:ascii="Arial" w:hAnsi="Arial" w:hint="default"/>
      </w:rPr>
    </w:lvl>
    <w:lvl w:ilvl="6">
      <w:start w:val="1"/>
      <w:numFmt w:val="none"/>
      <w:lvlText w:val=""/>
      <w:lvlJc w:val="left"/>
      <w:pPr>
        <w:tabs>
          <w:tab w:val="num" w:pos="0"/>
        </w:tabs>
        <w:ind w:left="0" w:firstLine="0"/>
      </w:pPr>
      <w:rPr>
        <w:rFonts w:ascii="Arial" w:hAnsi="Arial" w:hint="default"/>
      </w:rPr>
    </w:lvl>
    <w:lvl w:ilvl="7">
      <w:start w:val="1"/>
      <w:numFmt w:val="none"/>
      <w:lvlText w:val=""/>
      <w:lvlJc w:val="left"/>
      <w:pPr>
        <w:tabs>
          <w:tab w:val="num" w:pos="0"/>
        </w:tabs>
        <w:ind w:left="0" w:firstLine="0"/>
      </w:pPr>
      <w:rPr>
        <w:rFonts w:ascii="Arial" w:hAnsi="Arial" w:hint="default"/>
      </w:rPr>
    </w:lvl>
    <w:lvl w:ilvl="8">
      <w:start w:val="1"/>
      <w:numFmt w:val="none"/>
      <w:lvlText w:val=""/>
      <w:lvlJc w:val="left"/>
      <w:pPr>
        <w:tabs>
          <w:tab w:val="num" w:pos="0"/>
        </w:tabs>
        <w:ind w:left="0" w:firstLine="0"/>
      </w:pPr>
      <w:rPr>
        <w:rFonts w:ascii="Arial" w:hAnsi="Arial" w:hint="default"/>
      </w:rPr>
    </w:lvl>
  </w:abstractNum>
  <w:abstractNum w:abstractNumId="12" w15:restartNumberingAfterBreak="0">
    <w:nsid w:val="4C18701D"/>
    <w:multiLevelType w:val="multilevel"/>
    <w:tmpl w:val="F1669212"/>
    <w:styleLink w:val="EYAlphaNumList"/>
    <w:lvl w:ilvl="0">
      <w:start w:val="1"/>
      <w:numFmt w:val="decimal"/>
      <w:pStyle w:val="EY1Number"/>
      <w:lvlText w:val="%1."/>
      <w:lvlJc w:val="left"/>
      <w:pPr>
        <w:ind w:left="425" w:hanging="425"/>
      </w:pPr>
      <w:rPr>
        <w:rFonts w:hint="default"/>
      </w:rPr>
    </w:lvl>
    <w:lvl w:ilvl="1">
      <w:start w:val="1"/>
      <w:numFmt w:val="lowerLetter"/>
      <w:pStyle w:val="EY2Letter"/>
      <w:lvlText w:val="%2."/>
      <w:lvlJc w:val="left"/>
      <w:pPr>
        <w:ind w:left="851" w:hanging="426"/>
      </w:pPr>
      <w:rPr>
        <w:rFonts w:hint="default"/>
      </w:rPr>
    </w:lvl>
    <w:lvl w:ilvl="2">
      <w:start w:val="1"/>
      <w:numFmt w:val="lowerRoman"/>
      <w:pStyle w:val="EY3Roman"/>
      <w:lvlText w:val="%3."/>
      <w:lvlJc w:val="left"/>
      <w:pPr>
        <w:ind w:left="1276" w:hanging="425"/>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501D3CEE"/>
    <w:multiLevelType w:val="multilevel"/>
    <w:tmpl w:val="DE26DC9E"/>
    <w:lvl w:ilvl="0">
      <w:numFmt w:val="none"/>
      <w:lvlText w:val=""/>
      <w:lvlJc w:val="left"/>
      <w:pPr>
        <w:tabs>
          <w:tab w:val="num" w:pos="360"/>
        </w:tabs>
      </w:pPr>
    </w:lvl>
    <w:lvl w:ilvl="1">
      <w:start w:val="1"/>
      <w:numFmt w:val="decimal"/>
      <w:lvlText w:val="%1.%2"/>
      <w:lvlJc w:val="left"/>
      <w:pPr>
        <w:tabs>
          <w:tab w:val="num" w:pos="0"/>
        </w:tabs>
        <w:ind w:left="0" w:hanging="850"/>
      </w:pPr>
      <w:rPr>
        <w:rFonts w:ascii="Arial" w:hAnsi="Arial" w:cs="Arial" w:hint="default"/>
        <w:b/>
        <w:i w:val="0"/>
        <w:color w:val="000000"/>
        <w:sz w:val="28"/>
        <w:szCs w:val="14"/>
      </w:rPr>
    </w:lvl>
    <w:lvl w:ilvl="2">
      <w:start w:val="1"/>
      <w:numFmt w:val="decimal"/>
      <w:lvlText w:val="%1.%2.%3"/>
      <w:lvlJc w:val="left"/>
      <w:pPr>
        <w:tabs>
          <w:tab w:val="num" w:pos="0"/>
        </w:tabs>
        <w:ind w:left="0" w:hanging="850"/>
      </w:pPr>
      <w:rPr>
        <w:rFonts w:hint="default"/>
        <w:b/>
        <w:color w:val="000000"/>
        <w:sz w:val="24"/>
        <w:szCs w:val="14"/>
      </w:rPr>
    </w:lvl>
    <w:lvl w:ilvl="3">
      <w:start w:val="1"/>
      <w:numFmt w:val="decimal"/>
      <w:pStyle w:val="Heading4"/>
      <w:lvlText w:val="%1.%2.%3.%4"/>
      <w:lvlJc w:val="left"/>
      <w:pPr>
        <w:tabs>
          <w:tab w:val="num" w:pos="0"/>
        </w:tabs>
        <w:ind w:left="0" w:hanging="850"/>
      </w:pPr>
      <w:rPr>
        <w:rFonts w:hint="default"/>
        <w:b/>
        <w:color w:val="000000"/>
        <w:sz w:val="20"/>
        <w:szCs w:val="32"/>
      </w:rPr>
    </w:lvl>
    <w:lvl w:ilvl="4">
      <w:start w:val="1"/>
      <w:numFmt w:val="upperLetter"/>
      <w:lvlText w:val="Appendix %5"/>
      <w:lvlJc w:val="left"/>
      <w:pPr>
        <w:tabs>
          <w:tab w:val="num" w:pos="1417"/>
        </w:tabs>
        <w:ind w:left="1417" w:hanging="1417"/>
      </w:pPr>
      <w:rPr>
        <w:rFonts w:hint="default"/>
        <w:b/>
        <w:i w:val="0"/>
        <w:color w:val="7F7E82"/>
        <w:sz w:val="40"/>
        <w:szCs w:val="20"/>
      </w:rPr>
    </w:lvl>
    <w:lvl w:ilvl="5">
      <w:start w:val="1"/>
      <w:numFmt w:val="none"/>
      <w:lvlText w:val=""/>
      <w:lvlJc w:val="left"/>
      <w:pPr>
        <w:tabs>
          <w:tab w:val="num" w:pos="0"/>
        </w:tabs>
        <w:ind w:left="0" w:firstLine="0"/>
      </w:pPr>
      <w:rPr>
        <w:rFonts w:hint="default"/>
        <w:b/>
        <w:color w:val="7F7E82"/>
        <w:sz w:val="32"/>
        <w:szCs w:val="32"/>
      </w:rPr>
    </w:lvl>
    <w:lvl w:ilvl="6">
      <w:start w:val="1"/>
      <w:numFmt w:val="none"/>
      <w:lvlText w:val=""/>
      <w:lvlJc w:val="left"/>
      <w:pPr>
        <w:tabs>
          <w:tab w:val="num" w:pos="0"/>
        </w:tabs>
        <w:ind w:left="0" w:firstLine="0"/>
      </w:pPr>
      <w:rPr>
        <w:rFonts w:hint="default"/>
        <w:color w:val="4367C5"/>
        <w:sz w:val="32"/>
        <w:szCs w:val="32"/>
      </w:rPr>
    </w:lvl>
    <w:lvl w:ilvl="7">
      <w:start w:val="1"/>
      <w:numFmt w:val="none"/>
      <w:lvlText w:val=""/>
      <w:lvlJc w:val="left"/>
      <w:pPr>
        <w:tabs>
          <w:tab w:val="num" w:pos="0"/>
        </w:tabs>
        <w:ind w:left="0" w:firstLine="0"/>
      </w:pPr>
      <w:rPr>
        <w:rFonts w:hint="default"/>
        <w:color w:val="4367C5"/>
      </w:rPr>
    </w:lvl>
    <w:lvl w:ilvl="8">
      <w:start w:val="1"/>
      <w:numFmt w:val="none"/>
      <w:lvlText w:val=""/>
      <w:lvlJc w:val="left"/>
      <w:pPr>
        <w:tabs>
          <w:tab w:val="num" w:pos="0"/>
        </w:tabs>
        <w:ind w:left="0" w:firstLine="0"/>
      </w:pPr>
      <w:rPr>
        <w:rFonts w:hint="default"/>
        <w:color w:val="4367C5"/>
      </w:rPr>
    </w:lvl>
  </w:abstractNum>
  <w:abstractNum w:abstractNumId="14" w15:restartNumberingAfterBreak="0">
    <w:nsid w:val="58B277D7"/>
    <w:multiLevelType w:val="multilevel"/>
    <w:tmpl w:val="07B8786A"/>
    <w:name w:val="my list"/>
    <w:lvl w:ilvl="0">
      <w:numFmt w:val="none"/>
      <w:lvlText w:val=""/>
      <w:lvlJc w:val="left"/>
      <w:pPr>
        <w:tabs>
          <w:tab w:val="num" w:pos="360"/>
        </w:tabs>
      </w:pPr>
    </w:lvl>
    <w:lvl w:ilvl="1">
      <w:start w:val="1"/>
      <w:numFmt w:val="decimal"/>
      <w:lvlRestart w:val="0"/>
      <w:lvlText w:val="%1.%2"/>
      <w:lvlJc w:val="left"/>
      <w:pPr>
        <w:tabs>
          <w:tab w:val="num" w:pos="1"/>
        </w:tabs>
        <w:ind w:left="1" w:hanging="851"/>
      </w:pPr>
      <w:rPr>
        <w:rFonts w:hint="default"/>
        <w:b/>
        <w:i w:val="0"/>
        <w:color w:val="000000"/>
        <w:sz w:val="28"/>
      </w:rPr>
    </w:lvl>
    <w:lvl w:ilvl="2">
      <w:start w:val="1"/>
      <w:numFmt w:val="decimal"/>
      <w:lvlRestart w:val="0"/>
      <w:lvlText w:val="%1.%2.%3"/>
      <w:lvlJc w:val="left"/>
      <w:pPr>
        <w:tabs>
          <w:tab w:val="num" w:pos="1"/>
        </w:tabs>
        <w:ind w:left="1" w:hanging="851"/>
      </w:pPr>
      <w:rPr>
        <w:rFonts w:hint="default"/>
        <w:b/>
        <w:i w:val="0"/>
        <w:color w:val="000000"/>
        <w:sz w:val="24"/>
      </w:rPr>
    </w:lvl>
    <w:lvl w:ilvl="3">
      <w:start w:val="1"/>
      <w:numFmt w:val="decimal"/>
      <w:lvlRestart w:val="0"/>
      <w:lvlText w:val="%1.%2.%3.%4"/>
      <w:lvlJc w:val="left"/>
      <w:pPr>
        <w:tabs>
          <w:tab w:val="num" w:pos="1"/>
        </w:tabs>
        <w:ind w:left="1" w:hanging="851"/>
      </w:pPr>
      <w:rPr>
        <w:rFonts w:hint="default"/>
        <w:b/>
        <w:i w:val="0"/>
        <w:color w:val="000000"/>
        <w:sz w:val="20"/>
      </w:rPr>
    </w:lvl>
    <w:lvl w:ilvl="4">
      <w:start w:val="1"/>
      <w:numFmt w:val="none"/>
      <w:lvlText w:val=""/>
      <w:lvlJc w:val="left"/>
      <w:pPr>
        <w:tabs>
          <w:tab w:val="num" w:pos="1"/>
        </w:tabs>
        <w:ind w:left="1" w:firstLine="0"/>
      </w:pPr>
      <w:rPr>
        <w:rFonts w:hint="default"/>
        <w:b/>
        <w:color w:val="7F7E82"/>
        <w:sz w:val="20"/>
        <w:szCs w:val="20"/>
      </w:rPr>
    </w:lvl>
    <w:lvl w:ilvl="5">
      <w:start w:val="1"/>
      <w:numFmt w:val="none"/>
      <w:lvlText w:val=""/>
      <w:lvlJc w:val="left"/>
      <w:pPr>
        <w:tabs>
          <w:tab w:val="num" w:pos="1"/>
        </w:tabs>
        <w:ind w:left="1" w:firstLine="0"/>
      </w:pPr>
      <w:rPr>
        <w:rFonts w:hint="default"/>
        <w:color w:val="4367C5"/>
      </w:rPr>
    </w:lvl>
    <w:lvl w:ilvl="6">
      <w:start w:val="1"/>
      <w:numFmt w:val="none"/>
      <w:lvlText w:val=""/>
      <w:lvlJc w:val="left"/>
      <w:pPr>
        <w:tabs>
          <w:tab w:val="num" w:pos="1"/>
        </w:tabs>
        <w:ind w:left="1" w:firstLine="0"/>
      </w:pPr>
      <w:rPr>
        <w:rFonts w:hint="default"/>
        <w:color w:val="4367C5"/>
      </w:rPr>
    </w:lvl>
    <w:lvl w:ilvl="7">
      <w:start w:val="1"/>
      <w:numFmt w:val="none"/>
      <w:lvlText w:val=""/>
      <w:lvlJc w:val="left"/>
      <w:pPr>
        <w:tabs>
          <w:tab w:val="num" w:pos="1"/>
        </w:tabs>
        <w:ind w:left="1" w:firstLine="0"/>
      </w:pPr>
      <w:rPr>
        <w:rFonts w:hint="default"/>
        <w:color w:val="4367C5"/>
      </w:rPr>
    </w:lvl>
    <w:lvl w:ilvl="8">
      <w:start w:val="1"/>
      <w:numFmt w:val="none"/>
      <w:lvlText w:val=""/>
      <w:lvlJc w:val="left"/>
      <w:pPr>
        <w:tabs>
          <w:tab w:val="num" w:pos="1"/>
        </w:tabs>
        <w:ind w:left="1" w:firstLine="0"/>
      </w:pPr>
      <w:rPr>
        <w:rFonts w:hint="default"/>
        <w:color w:val="4367C5"/>
      </w:rPr>
    </w:lvl>
  </w:abstractNum>
  <w:abstractNum w:abstractNumId="15" w15:restartNumberingAfterBreak="0">
    <w:nsid w:val="60F25F5D"/>
    <w:multiLevelType w:val="hybridMultilevel"/>
    <w:tmpl w:val="B8D084BC"/>
    <w:lvl w:ilvl="0" w:tplc="1F3C8CAA">
      <w:numFmt w:val="bullet"/>
      <w:lvlText w:val="-"/>
      <w:lvlJc w:val="left"/>
      <w:pPr>
        <w:ind w:left="720" w:hanging="360"/>
      </w:pPr>
      <w:rPr>
        <w:rFonts w:ascii="EYInterstate Light" w:eastAsiaTheme="minorHAnsi" w:hAnsi="EYInterstate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40C5D09"/>
    <w:multiLevelType w:val="multilevel"/>
    <w:tmpl w:val="B746AD6A"/>
    <w:lvl w:ilvl="0">
      <w:start w:val="1"/>
      <w:numFmt w:val="upperLetter"/>
      <w:pStyle w:val="EYAppendix"/>
      <w:lvlText w:val="Appendix %1"/>
      <w:lvlJc w:val="left"/>
      <w:pPr>
        <w:tabs>
          <w:tab w:val="num" w:pos="2268"/>
        </w:tabs>
        <w:ind w:left="2268" w:hanging="2268"/>
      </w:pPr>
      <w:rPr>
        <w:rFonts w:hint="default"/>
      </w:rPr>
    </w:lvl>
    <w:lvl w:ilvl="1">
      <w:start w:val="1"/>
      <w:numFmt w:val="none"/>
      <w:lvlText w:val=""/>
      <w:lvlJc w:val="left"/>
      <w:pPr>
        <w:tabs>
          <w:tab w:val="num" w:pos="-31680"/>
        </w:tabs>
        <w:ind w:left="-32767" w:firstLine="32767"/>
      </w:pPr>
      <w:rPr>
        <w:rFonts w:hint="default"/>
        <w:b w:val="0"/>
        <w:i w:val="0"/>
        <w:color w:val="auto"/>
        <w:sz w:val="28"/>
        <w:szCs w:val="32"/>
      </w:rPr>
    </w:lvl>
    <w:lvl w:ilvl="2">
      <w:start w:val="1"/>
      <w:numFmt w:val="none"/>
      <w:lvlText w:val=""/>
      <w:lvlJc w:val="left"/>
      <w:pPr>
        <w:tabs>
          <w:tab w:val="num" w:pos="-31680"/>
        </w:tabs>
        <w:ind w:left="-32767" w:firstLine="32767"/>
      </w:pPr>
      <w:rPr>
        <w:rFonts w:hint="default"/>
        <w:b/>
        <w:color w:val="auto"/>
        <w:sz w:val="24"/>
        <w:szCs w:val="32"/>
      </w:rPr>
    </w:lvl>
    <w:lvl w:ilvl="3">
      <w:start w:val="1"/>
      <w:numFmt w:val="decimal"/>
      <w:lvlText w:val="%4%1"/>
      <w:lvlJc w:val="left"/>
      <w:pPr>
        <w:tabs>
          <w:tab w:val="num" w:pos="-31680"/>
        </w:tabs>
        <w:ind w:left="-32767" w:firstLine="32767"/>
      </w:pPr>
      <w:rPr>
        <w:rFonts w:hint="default"/>
        <w:b/>
        <w:color w:val="auto"/>
        <w:sz w:val="20"/>
        <w:szCs w:val="32"/>
      </w:rPr>
    </w:lvl>
    <w:lvl w:ilvl="4">
      <w:start w:val="1"/>
      <w:numFmt w:val="none"/>
      <w:lvlRestart w:val="0"/>
      <w:lvlText w:val=""/>
      <w:lvlJc w:val="left"/>
      <w:pPr>
        <w:tabs>
          <w:tab w:val="num" w:pos="0"/>
        </w:tabs>
        <w:ind w:left="0" w:firstLine="0"/>
      </w:pPr>
      <w:rPr>
        <w:rFonts w:hint="default"/>
        <w:b/>
        <w:i w:val="0"/>
        <w:color w:val="7F7E82"/>
        <w:sz w:val="40"/>
        <w:szCs w:val="20"/>
      </w:rPr>
    </w:lvl>
    <w:lvl w:ilvl="5">
      <w:start w:val="1"/>
      <w:numFmt w:val="none"/>
      <w:lvlRestart w:val="0"/>
      <w:lvlText w:val=""/>
      <w:lvlJc w:val="left"/>
      <w:pPr>
        <w:tabs>
          <w:tab w:val="num" w:pos="0"/>
        </w:tabs>
        <w:ind w:left="0" w:firstLine="0"/>
      </w:pPr>
      <w:rPr>
        <w:rFonts w:hint="default"/>
        <w:b/>
        <w:color w:val="4367C5"/>
        <w:sz w:val="32"/>
        <w:szCs w:val="32"/>
      </w:rPr>
    </w:lvl>
    <w:lvl w:ilvl="6">
      <w:start w:val="1"/>
      <w:numFmt w:val="none"/>
      <w:lvlRestart w:val="0"/>
      <w:lvlText w:val=""/>
      <w:lvlJc w:val="left"/>
      <w:pPr>
        <w:tabs>
          <w:tab w:val="num" w:pos="0"/>
        </w:tabs>
        <w:ind w:left="0" w:firstLine="0"/>
      </w:pPr>
      <w:rPr>
        <w:rFonts w:hint="default"/>
        <w:color w:val="4367C5"/>
        <w:sz w:val="32"/>
        <w:szCs w:val="32"/>
      </w:rPr>
    </w:lvl>
    <w:lvl w:ilvl="7">
      <w:start w:val="1"/>
      <w:numFmt w:val="none"/>
      <w:lvlRestart w:val="0"/>
      <w:lvlText w:val=""/>
      <w:lvlJc w:val="left"/>
      <w:pPr>
        <w:tabs>
          <w:tab w:val="num" w:pos="0"/>
        </w:tabs>
        <w:ind w:left="0" w:firstLine="0"/>
      </w:pPr>
      <w:rPr>
        <w:rFonts w:hint="default"/>
        <w:color w:val="4367C5"/>
      </w:rPr>
    </w:lvl>
    <w:lvl w:ilvl="8">
      <w:numFmt w:val="none"/>
      <w:lvlRestart w:val="0"/>
      <w:lvlText w:val=""/>
      <w:lvlJc w:val="left"/>
      <w:pPr>
        <w:tabs>
          <w:tab w:val="num" w:pos="0"/>
        </w:tabs>
        <w:ind w:left="0" w:firstLine="0"/>
      </w:pPr>
      <w:rPr>
        <w:rFonts w:hint="default"/>
        <w:color w:val="4367C5"/>
      </w:rPr>
    </w:lvl>
  </w:abstractNum>
  <w:abstractNum w:abstractNumId="17" w15:restartNumberingAfterBreak="0">
    <w:nsid w:val="73A37718"/>
    <w:multiLevelType w:val="multilevel"/>
    <w:tmpl w:val="B23A0BBE"/>
    <w:lvl w:ilvl="0">
      <w:start w:val="20"/>
      <w:numFmt w:val="bullet"/>
      <w:pStyle w:val="EYTablebullet1"/>
      <w:lvlText w:val="•"/>
      <w:lvlJc w:val="left"/>
      <w:pPr>
        <w:ind w:left="360" w:hanging="360"/>
      </w:pPr>
      <w:rPr>
        <w:rFonts w:ascii="EYInterstate" w:hAnsi="EYInterstate" w:hint="default"/>
        <w:b w:val="0"/>
        <w:bCs/>
        <w:i w:val="0"/>
        <w:color w:val="auto"/>
        <w:spacing w:val="-1"/>
        <w:w w:val="101"/>
        <w:sz w:val="20"/>
        <w:szCs w:val="20"/>
      </w:rPr>
    </w:lvl>
    <w:lvl w:ilvl="1">
      <w:start w:val="1"/>
      <w:numFmt w:val="bullet"/>
      <w:pStyle w:val="EYTablebullet2"/>
      <w:lvlText w:val="•"/>
      <w:lvlJc w:val="left"/>
      <w:pPr>
        <w:tabs>
          <w:tab w:val="num" w:pos="572"/>
        </w:tabs>
        <w:ind w:left="576" w:hanging="288"/>
      </w:pPr>
      <w:rPr>
        <w:rFonts w:ascii="EYInterstate Light" w:hAnsi="EYInterstate Light" w:hint="default"/>
        <w:b w:val="0"/>
        <w:i w:val="0"/>
        <w:color w:val="FFD200"/>
        <w:sz w:val="16"/>
        <w:szCs w:val="24"/>
      </w:rPr>
    </w:lvl>
    <w:lvl w:ilvl="2">
      <w:start w:val="1"/>
      <w:numFmt w:val="none"/>
      <w:lvlText w:val=""/>
      <w:lvlJc w:val="left"/>
      <w:pPr>
        <w:tabs>
          <w:tab w:val="num" w:pos="860"/>
        </w:tabs>
        <w:ind w:left="864" w:hanging="288"/>
      </w:pPr>
      <w:rPr>
        <w:rFonts w:hint="default"/>
        <w:color w:val="002261"/>
      </w:rPr>
    </w:lvl>
    <w:lvl w:ilvl="3">
      <w:start w:val="1"/>
      <w:numFmt w:val="none"/>
      <w:lvlText w:val=""/>
      <w:lvlJc w:val="left"/>
      <w:pPr>
        <w:tabs>
          <w:tab w:val="num" w:pos="1148"/>
        </w:tabs>
        <w:ind w:left="1152" w:hanging="288"/>
      </w:pPr>
      <w:rPr>
        <w:rFonts w:hint="default"/>
      </w:rPr>
    </w:lvl>
    <w:lvl w:ilvl="4">
      <w:start w:val="1"/>
      <w:numFmt w:val="none"/>
      <w:lvlText w:val=""/>
      <w:lvlJc w:val="left"/>
      <w:pPr>
        <w:tabs>
          <w:tab w:val="num" w:pos="1436"/>
        </w:tabs>
        <w:ind w:left="1440" w:hanging="288"/>
      </w:pPr>
      <w:rPr>
        <w:rFonts w:hint="default"/>
      </w:rPr>
    </w:lvl>
    <w:lvl w:ilvl="5">
      <w:start w:val="1"/>
      <w:numFmt w:val="none"/>
      <w:lvlText w:val=""/>
      <w:lvlJc w:val="left"/>
      <w:pPr>
        <w:tabs>
          <w:tab w:val="num" w:pos="1724"/>
        </w:tabs>
        <w:ind w:left="1728" w:hanging="288"/>
      </w:pPr>
      <w:rPr>
        <w:rFonts w:hint="default"/>
      </w:rPr>
    </w:lvl>
    <w:lvl w:ilvl="6">
      <w:start w:val="1"/>
      <w:numFmt w:val="none"/>
      <w:lvlText w:val=""/>
      <w:lvlJc w:val="left"/>
      <w:pPr>
        <w:tabs>
          <w:tab w:val="num" w:pos="2012"/>
        </w:tabs>
        <w:ind w:left="2016" w:hanging="288"/>
      </w:pPr>
      <w:rPr>
        <w:rFonts w:hint="default"/>
      </w:rPr>
    </w:lvl>
    <w:lvl w:ilvl="7">
      <w:start w:val="1"/>
      <w:numFmt w:val="none"/>
      <w:lvlText w:val=""/>
      <w:lvlJc w:val="left"/>
      <w:pPr>
        <w:tabs>
          <w:tab w:val="num" w:pos="2300"/>
        </w:tabs>
        <w:ind w:left="2304" w:hanging="288"/>
      </w:pPr>
      <w:rPr>
        <w:rFonts w:hint="default"/>
      </w:rPr>
    </w:lvl>
    <w:lvl w:ilvl="8">
      <w:start w:val="1"/>
      <w:numFmt w:val="none"/>
      <w:lvlText w:val=""/>
      <w:lvlJc w:val="left"/>
      <w:pPr>
        <w:tabs>
          <w:tab w:val="num" w:pos="2588"/>
        </w:tabs>
        <w:ind w:left="2592" w:hanging="288"/>
      </w:pPr>
      <w:rPr>
        <w:rFonts w:hint="default"/>
      </w:rPr>
    </w:lvl>
  </w:abstractNum>
  <w:abstractNum w:abstractNumId="18" w15:restartNumberingAfterBreak="0">
    <w:nsid w:val="779730BE"/>
    <w:multiLevelType w:val="multilevel"/>
    <w:tmpl w:val="12209E72"/>
    <w:styleLink w:val="StyleNumbered"/>
    <w:lvl w:ilvl="0">
      <w:start w:val="1"/>
      <w:numFmt w:val="lowerRoman"/>
      <w:lvlText w:val="%1)"/>
      <w:lvlJc w:val="left"/>
      <w:pPr>
        <w:tabs>
          <w:tab w:val="num" w:pos="360"/>
        </w:tabs>
        <w:ind w:left="360" w:hanging="360"/>
      </w:pPr>
      <w:rPr>
        <w:rFonts w:ascii="EYInterstate Light" w:hAnsi="EYInterstate Light" w:hint="default"/>
        <w:sz w:val="24"/>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19" w15:restartNumberingAfterBreak="0">
    <w:nsid w:val="798F30D8"/>
    <w:multiLevelType w:val="multilevel"/>
    <w:tmpl w:val="7B6C7702"/>
    <w:lvl w:ilvl="0">
      <w:start w:val="1"/>
      <w:numFmt w:val="decimal"/>
      <w:lvlRestart w:val="0"/>
      <w:lvlText w:val=""/>
      <w:lvlJc w:val="left"/>
      <w:pPr>
        <w:tabs>
          <w:tab w:val="num" w:pos="0"/>
        </w:tabs>
        <w:ind w:left="0" w:firstLine="0"/>
      </w:pPr>
      <w:rPr>
        <w:rFonts w:ascii="EYInterstate Light" w:hAnsi="EYInterstate Light"/>
        <w:b/>
        <w:color w:val="7F7E82"/>
        <w:sz w:val="32"/>
      </w:rPr>
    </w:lvl>
    <w:lvl w:ilvl="1">
      <w:start w:val="1"/>
      <w:numFmt w:val="decimal"/>
      <w:lvlText w:val=""/>
      <w:lvlJc w:val="left"/>
      <w:pPr>
        <w:tabs>
          <w:tab w:val="num" w:pos="0"/>
        </w:tabs>
        <w:ind w:left="0" w:firstLine="0"/>
      </w:pPr>
      <w:rPr>
        <w:rFonts w:hint="default"/>
        <w:b/>
        <w:color w:val="000000"/>
        <w:sz w:val="28"/>
      </w:rPr>
    </w:lvl>
    <w:lvl w:ilvl="2">
      <w:start w:val="1"/>
      <w:numFmt w:val="decimal"/>
      <w:lvlRestart w:val="1"/>
      <w:lvlText w:val=""/>
      <w:lvlJc w:val="left"/>
      <w:pPr>
        <w:tabs>
          <w:tab w:val="num" w:pos="0"/>
        </w:tabs>
        <w:ind w:left="0" w:firstLine="0"/>
      </w:pPr>
      <w:rPr>
        <w:rFonts w:hint="default"/>
        <w:b/>
        <w:color w:val="000000"/>
        <w:sz w:val="24"/>
      </w:rPr>
    </w:lvl>
    <w:lvl w:ilvl="3">
      <w:start w:val="1"/>
      <w:numFmt w:val="decimal"/>
      <w:lvlRestart w:val="1"/>
      <w:lvlText w:val=""/>
      <w:lvlJc w:val="left"/>
      <w:pPr>
        <w:tabs>
          <w:tab w:val="num" w:pos="0"/>
        </w:tabs>
        <w:ind w:left="0" w:firstLine="0"/>
      </w:pPr>
      <w:rPr>
        <w:rFonts w:hint="default"/>
        <w:b/>
        <w:color w:val="000000"/>
        <w:sz w:val="20"/>
      </w:rPr>
    </w:lvl>
    <w:lvl w:ilvl="4">
      <w:start w:val="1"/>
      <w:numFmt w:val="decimal"/>
      <w:lvlRestart w:val="1"/>
      <w:pStyle w:val="EYBodytextwithparaspace"/>
      <w:lvlText w:val=""/>
      <w:lvlJc w:val="left"/>
      <w:pPr>
        <w:tabs>
          <w:tab w:val="num" w:pos="0"/>
        </w:tabs>
        <w:ind w:left="0" w:firstLine="0"/>
      </w:pPr>
      <w:rPr>
        <w:rFonts w:hint="default"/>
        <w:b w:val="0"/>
        <w:color w:val="000000"/>
        <w:sz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num w:numId="1">
    <w:abstractNumId w:val="18"/>
  </w:num>
  <w:num w:numId="2">
    <w:abstractNumId w:val="8"/>
  </w:num>
  <w:num w:numId="3">
    <w:abstractNumId w:val="17"/>
  </w:num>
  <w:num w:numId="4">
    <w:abstractNumId w:val="4"/>
  </w:num>
  <w:num w:numId="5">
    <w:abstractNumId w:val="19"/>
  </w:num>
  <w:num w:numId="6">
    <w:abstractNumId w:val="9"/>
  </w:num>
  <w:num w:numId="7">
    <w:abstractNumId w:val="5"/>
  </w:num>
  <w:num w:numId="8">
    <w:abstractNumId w:val="13"/>
  </w:num>
  <w:num w:numId="9">
    <w:abstractNumId w:val="0"/>
  </w:num>
  <w:num w:numId="10">
    <w:abstractNumId w:val="2"/>
  </w:num>
  <w:num w:numId="11">
    <w:abstractNumId w:val="7"/>
  </w:num>
  <w:num w:numId="12">
    <w:abstractNumId w:val="10"/>
  </w:num>
  <w:num w:numId="13">
    <w:abstractNumId w:val="12"/>
  </w:num>
  <w:num w:numId="14">
    <w:abstractNumId w:val="11"/>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1"/>
  </w:num>
  <w:num w:numId="23">
    <w:abstractNumId w:val="6"/>
  </w:num>
  <w:num w:numId="24">
    <w:abstractNumId w:val="16"/>
  </w:num>
  <w:num w:numId="25">
    <w:abstractNumId w:val="15"/>
  </w:num>
  <w:num w:numId="26">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proofState w:spelling="clean" w:grammar="clean"/>
  <w:attachedTemplate r:id="rId1"/>
  <w:stylePaneFormatFilter w:val="3028" w:allStyles="0" w:customStyles="0" w:latentStyles="0" w:stylesInUse="1" w:headingStyles="1" w:numberingStyles="0" w:tableStyles="0" w:directFormattingOnRuns="0" w:directFormattingOnParagraphs="0" w:directFormattingOnNumbering="0" w:directFormattingOnTables="0" w:clearFormatting="1" w:top3HeadingStyles="1" w:visibleStyles="0" w:alternateStyleNames="0"/>
  <w:stylePaneSortMethod w:val="0000"/>
  <w:defaultTabStop w:val="1077"/>
  <w:drawingGridHorizontalSpacing w:val="120"/>
  <w:displayHorizontalDrawingGridEvery w:val="2"/>
  <w:displayVerticalDrawingGridEvery w:val="2"/>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60E"/>
    <w:rsid w:val="000003B9"/>
    <w:rsid w:val="000006EF"/>
    <w:rsid w:val="00001D9C"/>
    <w:rsid w:val="00001F56"/>
    <w:rsid w:val="00002C59"/>
    <w:rsid w:val="000046C6"/>
    <w:rsid w:val="000059DE"/>
    <w:rsid w:val="00005E9E"/>
    <w:rsid w:val="000061D4"/>
    <w:rsid w:val="00006F91"/>
    <w:rsid w:val="0000786F"/>
    <w:rsid w:val="000102DB"/>
    <w:rsid w:val="000114D9"/>
    <w:rsid w:val="00011C88"/>
    <w:rsid w:val="00013231"/>
    <w:rsid w:val="000144D2"/>
    <w:rsid w:val="000146C2"/>
    <w:rsid w:val="00014E39"/>
    <w:rsid w:val="00015020"/>
    <w:rsid w:val="000155E9"/>
    <w:rsid w:val="0001706C"/>
    <w:rsid w:val="00017560"/>
    <w:rsid w:val="00021AD2"/>
    <w:rsid w:val="000220ED"/>
    <w:rsid w:val="000233A3"/>
    <w:rsid w:val="00023832"/>
    <w:rsid w:val="0002384B"/>
    <w:rsid w:val="0002408F"/>
    <w:rsid w:val="000253BD"/>
    <w:rsid w:val="00025AC4"/>
    <w:rsid w:val="00025F0C"/>
    <w:rsid w:val="000261F5"/>
    <w:rsid w:val="00030F0C"/>
    <w:rsid w:val="00031645"/>
    <w:rsid w:val="00031FB0"/>
    <w:rsid w:val="00032A27"/>
    <w:rsid w:val="00034726"/>
    <w:rsid w:val="000349AE"/>
    <w:rsid w:val="00035588"/>
    <w:rsid w:val="00036D6E"/>
    <w:rsid w:val="000376D1"/>
    <w:rsid w:val="00037A9F"/>
    <w:rsid w:val="00037AD8"/>
    <w:rsid w:val="00040043"/>
    <w:rsid w:val="0004021C"/>
    <w:rsid w:val="00040E4F"/>
    <w:rsid w:val="0004136F"/>
    <w:rsid w:val="00041DA3"/>
    <w:rsid w:val="000420A8"/>
    <w:rsid w:val="00042E83"/>
    <w:rsid w:val="0004373C"/>
    <w:rsid w:val="000446EA"/>
    <w:rsid w:val="000454E9"/>
    <w:rsid w:val="000458E5"/>
    <w:rsid w:val="00047066"/>
    <w:rsid w:val="00052869"/>
    <w:rsid w:val="00052C80"/>
    <w:rsid w:val="00052D27"/>
    <w:rsid w:val="00052DD1"/>
    <w:rsid w:val="0005353F"/>
    <w:rsid w:val="0005452B"/>
    <w:rsid w:val="0005508D"/>
    <w:rsid w:val="00055231"/>
    <w:rsid w:val="00055290"/>
    <w:rsid w:val="00056CA8"/>
    <w:rsid w:val="00057050"/>
    <w:rsid w:val="000579FD"/>
    <w:rsid w:val="000603E9"/>
    <w:rsid w:val="000609FE"/>
    <w:rsid w:val="00061115"/>
    <w:rsid w:val="000628CE"/>
    <w:rsid w:val="0006308C"/>
    <w:rsid w:val="000635CC"/>
    <w:rsid w:val="00063C31"/>
    <w:rsid w:val="000651C5"/>
    <w:rsid w:val="000656D0"/>
    <w:rsid w:val="00065983"/>
    <w:rsid w:val="00065F49"/>
    <w:rsid w:val="00066663"/>
    <w:rsid w:val="00067B15"/>
    <w:rsid w:val="000706C4"/>
    <w:rsid w:val="00071472"/>
    <w:rsid w:val="00071E53"/>
    <w:rsid w:val="00072344"/>
    <w:rsid w:val="00072636"/>
    <w:rsid w:val="00073151"/>
    <w:rsid w:val="00073746"/>
    <w:rsid w:val="00073DDC"/>
    <w:rsid w:val="00073F08"/>
    <w:rsid w:val="0007400F"/>
    <w:rsid w:val="00074072"/>
    <w:rsid w:val="000748C4"/>
    <w:rsid w:val="0008082B"/>
    <w:rsid w:val="00080F6A"/>
    <w:rsid w:val="00081121"/>
    <w:rsid w:val="000811A8"/>
    <w:rsid w:val="00081AF1"/>
    <w:rsid w:val="0008216E"/>
    <w:rsid w:val="00082577"/>
    <w:rsid w:val="00083D56"/>
    <w:rsid w:val="00084A14"/>
    <w:rsid w:val="00085A4C"/>
    <w:rsid w:val="00085EE5"/>
    <w:rsid w:val="000869A3"/>
    <w:rsid w:val="00092B20"/>
    <w:rsid w:val="00093401"/>
    <w:rsid w:val="00093D20"/>
    <w:rsid w:val="00094429"/>
    <w:rsid w:val="000946B9"/>
    <w:rsid w:val="00095207"/>
    <w:rsid w:val="00096948"/>
    <w:rsid w:val="00096E5D"/>
    <w:rsid w:val="0009764C"/>
    <w:rsid w:val="000A0041"/>
    <w:rsid w:val="000A0639"/>
    <w:rsid w:val="000A13D0"/>
    <w:rsid w:val="000A2199"/>
    <w:rsid w:val="000A234F"/>
    <w:rsid w:val="000A27C6"/>
    <w:rsid w:val="000A39F7"/>
    <w:rsid w:val="000A4426"/>
    <w:rsid w:val="000A49E5"/>
    <w:rsid w:val="000A4EB9"/>
    <w:rsid w:val="000A5C4C"/>
    <w:rsid w:val="000A67D6"/>
    <w:rsid w:val="000A6F33"/>
    <w:rsid w:val="000A773A"/>
    <w:rsid w:val="000B1632"/>
    <w:rsid w:val="000B1646"/>
    <w:rsid w:val="000B2B30"/>
    <w:rsid w:val="000B40B2"/>
    <w:rsid w:val="000B43DD"/>
    <w:rsid w:val="000B446A"/>
    <w:rsid w:val="000B522D"/>
    <w:rsid w:val="000B56B6"/>
    <w:rsid w:val="000B59B1"/>
    <w:rsid w:val="000C0239"/>
    <w:rsid w:val="000C26E4"/>
    <w:rsid w:val="000C28D7"/>
    <w:rsid w:val="000C315C"/>
    <w:rsid w:val="000C477F"/>
    <w:rsid w:val="000C4A5C"/>
    <w:rsid w:val="000C529A"/>
    <w:rsid w:val="000C5529"/>
    <w:rsid w:val="000C5CA6"/>
    <w:rsid w:val="000C69F8"/>
    <w:rsid w:val="000C714A"/>
    <w:rsid w:val="000C7AA6"/>
    <w:rsid w:val="000D048C"/>
    <w:rsid w:val="000D0665"/>
    <w:rsid w:val="000D0E04"/>
    <w:rsid w:val="000D1B2E"/>
    <w:rsid w:val="000D1D32"/>
    <w:rsid w:val="000D279C"/>
    <w:rsid w:val="000D2E89"/>
    <w:rsid w:val="000D3A0A"/>
    <w:rsid w:val="000D46AE"/>
    <w:rsid w:val="000D4B37"/>
    <w:rsid w:val="000D7126"/>
    <w:rsid w:val="000E12D1"/>
    <w:rsid w:val="000E13A5"/>
    <w:rsid w:val="000E3478"/>
    <w:rsid w:val="000E479C"/>
    <w:rsid w:val="000E4EBB"/>
    <w:rsid w:val="000E629B"/>
    <w:rsid w:val="000E6F4B"/>
    <w:rsid w:val="000E770B"/>
    <w:rsid w:val="000E7D0D"/>
    <w:rsid w:val="000E7DDC"/>
    <w:rsid w:val="000F006F"/>
    <w:rsid w:val="000F0894"/>
    <w:rsid w:val="000F12AF"/>
    <w:rsid w:val="000F1428"/>
    <w:rsid w:val="000F247A"/>
    <w:rsid w:val="000F2BFB"/>
    <w:rsid w:val="000F380E"/>
    <w:rsid w:val="000F41C3"/>
    <w:rsid w:val="000F42A3"/>
    <w:rsid w:val="000F43DA"/>
    <w:rsid w:val="000F5793"/>
    <w:rsid w:val="000F6D19"/>
    <w:rsid w:val="000F7276"/>
    <w:rsid w:val="000F7834"/>
    <w:rsid w:val="00100359"/>
    <w:rsid w:val="00100410"/>
    <w:rsid w:val="00100969"/>
    <w:rsid w:val="0010113E"/>
    <w:rsid w:val="001013E2"/>
    <w:rsid w:val="00101653"/>
    <w:rsid w:val="00101A96"/>
    <w:rsid w:val="00104996"/>
    <w:rsid w:val="00104F4D"/>
    <w:rsid w:val="001053EB"/>
    <w:rsid w:val="001056D0"/>
    <w:rsid w:val="0010571E"/>
    <w:rsid w:val="00105C7F"/>
    <w:rsid w:val="0010673D"/>
    <w:rsid w:val="001076BF"/>
    <w:rsid w:val="00111B7C"/>
    <w:rsid w:val="00111DAA"/>
    <w:rsid w:val="00111FD0"/>
    <w:rsid w:val="0011226B"/>
    <w:rsid w:val="001134A2"/>
    <w:rsid w:val="00113F7F"/>
    <w:rsid w:val="00113FFC"/>
    <w:rsid w:val="001151B1"/>
    <w:rsid w:val="0011539F"/>
    <w:rsid w:val="00115835"/>
    <w:rsid w:val="00117478"/>
    <w:rsid w:val="00120428"/>
    <w:rsid w:val="00121749"/>
    <w:rsid w:val="001226F4"/>
    <w:rsid w:val="00123A3B"/>
    <w:rsid w:val="00124E7F"/>
    <w:rsid w:val="00125124"/>
    <w:rsid w:val="00126014"/>
    <w:rsid w:val="00126F62"/>
    <w:rsid w:val="00130948"/>
    <w:rsid w:val="00130A79"/>
    <w:rsid w:val="001310A8"/>
    <w:rsid w:val="00131D10"/>
    <w:rsid w:val="0013328E"/>
    <w:rsid w:val="001343BE"/>
    <w:rsid w:val="00136130"/>
    <w:rsid w:val="00136198"/>
    <w:rsid w:val="00137042"/>
    <w:rsid w:val="001378BB"/>
    <w:rsid w:val="00137CD5"/>
    <w:rsid w:val="00137E08"/>
    <w:rsid w:val="00137F5B"/>
    <w:rsid w:val="0014223B"/>
    <w:rsid w:val="00142A17"/>
    <w:rsid w:val="0014359B"/>
    <w:rsid w:val="001445E2"/>
    <w:rsid w:val="001455D8"/>
    <w:rsid w:val="00145CF0"/>
    <w:rsid w:val="001462B8"/>
    <w:rsid w:val="00150B53"/>
    <w:rsid w:val="00150BF1"/>
    <w:rsid w:val="00151AC0"/>
    <w:rsid w:val="00151ADE"/>
    <w:rsid w:val="00151E1C"/>
    <w:rsid w:val="00153100"/>
    <w:rsid w:val="00153245"/>
    <w:rsid w:val="00153EE9"/>
    <w:rsid w:val="00156127"/>
    <w:rsid w:val="00156151"/>
    <w:rsid w:val="00156580"/>
    <w:rsid w:val="0015668D"/>
    <w:rsid w:val="001603B0"/>
    <w:rsid w:val="00160576"/>
    <w:rsid w:val="00160762"/>
    <w:rsid w:val="00161488"/>
    <w:rsid w:val="001617B5"/>
    <w:rsid w:val="0016197A"/>
    <w:rsid w:val="001620B6"/>
    <w:rsid w:val="00162623"/>
    <w:rsid w:val="00162FE1"/>
    <w:rsid w:val="00164B61"/>
    <w:rsid w:val="00164CE6"/>
    <w:rsid w:val="00164E10"/>
    <w:rsid w:val="00165767"/>
    <w:rsid w:val="00167E21"/>
    <w:rsid w:val="0017183E"/>
    <w:rsid w:val="00171A35"/>
    <w:rsid w:val="001729BF"/>
    <w:rsid w:val="001730A8"/>
    <w:rsid w:val="00173103"/>
    <w:rsid w:val="0017354F"/>
    <w:rsid w:val="001738A3"/>
    <w:rsid w:val="00173940"/>
    <w:rsid w:val="00173BC9"/>
    <w:rsid w:val="0017417A"/>
    <w:rsid w:val="00174C47"/>
    <w:rsid w:val="0017650D"/>
    <w:rsid w:val="00176AF6"/>
    <w:rsid w:val="00176F85"/>
    <w:rsid w:val="00180B71"/>
    <w:rsid w:val="00181B41"/>
    <w:rsid w:val="001822DF"/>
    <w:rsid w:val="001830BA"/>
    <w:rsid w:val="001835F8"/>
    <w:rsid w:val="00183DC1"/>
    <w:rsid w:val="001844E4"/>
    <w:rsid w:val="00184D86"/>
    <w:rsid w:val="00184E2F"/>
    <w:rsid w:val="00185599"/>
    <w:rsid w:val="0018591C"/>
    <w:rsid w:val="00185BC7"/>
    <w:rsid w:val="00186644"/>
    <w:rsid w:val="00187B22"/>
    <w:rsid w:val="00187E9F"/>
    <w:rsid w:val="00190488"/>
    <w:rsid w:val="0019135A"/>
    <w:rsid w:val="00194F49"/>
    <w:rsid w:val="00195B22"/>
    <w:rsid w:val="001968D9"/>
    <w:rsid w:val="001978F8"/>
    <w:rsid w:val="001A0A4D"/>
    <w:rsid w:val="001A0E1F"/>
    <w:rsid w:val="001A2113"/>
    <w:rsid w:val="001A2248"/>
    <w:rsid w:val="001A2613"/>
    <w:rsid w:val="001A2F73"/>
    <w:rsid w:val="001A33C0"/>
    <w:rsid w:val="001A3BFA"/>
    <w:rsid w:val="001A4190"/>
    <w:rsid w:val="001A4F6A"/>
    <w:rsid w:val="001A54C6"/>
    <w:rsid w:val="001B0619"/>
    <w:rsid w:val="001B1577"/>
    <w:rsid w:val="001B3F5C"/>
    <w:rsid w:val="001B47B7"/>
    <w:rsid w:val="001B530A"/>
    <w:rsid w:val="001B5DB9"/>
    <w:rsid w:val="001B7413"/>
    <w:rsid w:val="001B7DE1"/>
    <w:rsid w:val="001C0533"/>
    <w:rsid w:val="001C2071"/>
    <w:rsid w:val="001C213E"/>
    <w:rsid w:val="001C2953"/>
    <w:rsid w:val="001C316D"/>
    <w:rsid w:val="001C3215"/>
    <w:rsid w:val="001C348F"/>
    <w:rsid w:val="001C5D11"/>
    <w:rsid w:val="001C6219"/>
    <w:rsid w:val="001C7291"/>
    <w:rsid w:val="001C7E56"/>
    <w:rsid w:val="001D1482"/>
    <w:rsid w:val="001D260D"/>
    <w:rsid w:val="001D2859"/>
    <w:rsid w:val="001D3EC7"/>
    <w:rsid w:val="001D48F7"/>
    <w:rsid w:val="001D4D59"/>
    <w:rsid w:val="001D4FD4"/>
    <w:rsid w:val="001D5071"/>
    <w:rsid w:val="001D5301"/>
    <w:rsid w:val="001D5569"/>
    <w:rsid w:val="001D662E"/>
    <w:rsid w:val="001D682A"/>
    <w:rsid w:val="001D6AD9"/>
    <w:rsid w:val="001E1D77"/>
    <w:rsid w:val="001E3021"/>
    <w:rsid w:val="001E34F7"/>
    <w:rsid w:val="001E3533"/>
    <w:rsid w:val="001E4B38"/>
    <w:rsid w:val="001E5C2C"/>
    <w:rsid w:val="001F1A2C"/>
    <w:rsid w:val="001F2468"/>
    <w:rsid w:val="001F285D"/>
    <w:rsid w:val="001F3202"/>
    <w:rsid w:val="001F3ED8"/>
    <w:rsid w:val="001F3EE7"/>
    <w:rsid w:val="001F50E7"/>
    <w:rsid w:val="001F69BB"/>
    <w:rsid w:val="001F6AF8"/>
    <w:rsid w:val="001F6DE7"/>
    <w:rsid w:val="001F7CFF"/>
    <w:rsid w:val="00200265"/>
    <w:rsid w:val="00200DB2"/>
    <w:rsid w:val="00202E68"/>
    <w:rsid w:val="002037FD"/>
    <w:rsid w:val="00204279"/>
    <w:rsid w:val="00204BB4"/>
    <w:rsid w:val="00205632"/>
    <w:rsid w:val="002069E2"/>
    <w:rsid w:val="0020747D"/>
    <w:rsid w:val="00207730"/>
    <w:rsid w:val="00210360"/>
    <w:rsid w:val="00210B4E"/>
    <w:rsid w:val="002113BF"/>
    <w:rsid w:val="0021298C"/>
    <w:rsid w:val="00214FFE"/>
    <w:rsid w:val="00215B69"/>
    <w:rsid w:val="00217CB7"/>
    <w:rsid w:val="00220302"/>
    <w:rsid w:val="002214BA"/>
    <w:rsid w:val="00221FF9"/>
    <w:rsid w:val="002236FE"/>
    <w:rsid w:val="00223EDD"/>
    <w:rsid w:val="00225C42"/>
    <w:rsid w:val="00225D67"/>
    <w:rsid w:val="002260A4"/>
    <w:rsid w:val="002267BD"/>
    <w:rsid w:val="00226848"/>
    <w:rsid w:val="00230E89"/>
    <w:rsid w:val="00232630"/>
    <w:rsid w:val="00232698"/>
    <w:rsid w:val="002338A9"/>
    <w:rsid w:val="00233DED"/>
    <w:rsid w:val="00234811"/>
    <w:rsid w:val="00234AC0"/>
    <w:rsid w:val="00235C3A"/>
    <w:rsid w:val="0023639D"/>
    <w:rsid w:val="0024080E"/>
    <w:rsid w:val="0024153D"/>
    <w:rsid w:val="0024156E"/>
    <w:rsid w:val="0024193A"/>
    <w:rsid w:val="002469A6"/>
    <w:rsid w:val="002472AF"/>
    <w:rsid w:val="00247F4A"/>
    <w:rsid w:val="00247FC8"/>
    <w:rsid w:val="00250132"/>
    <w:rsid w:val="002502BD"/>
    <w:rsid w:val="0025085D"/>
    <w:rsid w:val="0025138A"/>
    <w:rsid w:val="00251569"/>
    <w:rsid w:val="0025340F"/>
    <w:rsid w:val="00253528"/>
    <w:rsid w:val="002536FF"/>
    <w:rsid w:val="0025407A"/>
    <w:rsid w:val="002551DD"/>
    <w:rsid w:val="002555B9"/>
    <w:rsid w:val="00255E09"/>
    <w:rsid w:val="00255F9A"/>
    <w:rsid w:val="00256544"/>
    <w:rsid w:val="002571DB"/>
    <w:rsid w:val="002578CF"/>
    <w:rsid w:val="00260E03"/>
    <w:rsid w:val="00261387"/>
    <w:rsid w:val="002619F4"/>
    <w:rsid w:val="00262FDF"/>
    <w:rsid w:val="00263421"/>
    <w:rsid w:val="00266598"/>
    <w:rsid w:val="00266626"/>
    <w:rsid w:val="002667DD"/>
    <w:rsid w:val="00266E43"/>
    <w:rsid w:val="00267625"/>
    <w:rsid w:val="00270CC0"/>
    <w:rsid w:val="00271057"/>
    <w:rsid w:val="002724AA"/>
    <w:rsid w:val="00274774"/>
    <w:rsid w:val="00274F36"/>
    <w:rsid w:val="0027560F"/>
    <w:rsid w:val="002766BE"/>
    <w:rsid w:val="00277C34"/>
    <w:rsid w:val="0028016E"/>
    <w:rsid w:val="00280325"/>
    <w:rsid w:val="002817A7"/>
    <w:rsid w:val="00281A30"/>
    <w:rsid w:val="002824B6"/>
    <w:rsid w:val="00282CA5"/>
    <w:rsid w:val="00283156"/>
    <w:rsid w:val="00283529"/>
    <w:rsid w:val="00284FF4"/>
    <w:rsid w:val="00285F86"/>
    <w:rsid w:val="002862B3"/>
    <w:rsid w:val="00286712"/>
    <w:rsid w:val="00286E06"/>
    <w:rsid w:val="0028722F"/>
    <w:rsid w:val="0028789A"/>
    <w:rsid w:val="00287D09"/>
    <w:rsid w:val="002907F7"/>
    <w:rsid w:val="00292B41"/>
    <w:rsid w:val="00293271"/>
    <w:rsid w:val="00294184"/>
    <w:rsid w:val="002948BE"/>
    <w:rsid w:val="00295056"/>
    <w:rsid w:val="0029531F"/>
    <w:rsid w:val="002A0D84"/>
    <w:rsid w:val="002A12FB"/>
    <w:rsid w:val="002A1A64"/>
    <w:rsid w:val="002A1B62"/>
    <w:rsid w:val="002A2308"/>
    <w:rsid w:val="002A298E"/>
    <w:rsid w:val="002A3075"/>
    <w:rsid w:val="002A307B"/>
    <w:rsid w:val="002A31A1"/>
    <w:rsid w:val="002A5A17"/>
    <w:rsid w:val="002A5CE0"/>
    <w:rsid w:val="002A679F"/>
    <w:rsid w:val="002A6DA0"/>
    <w:rsid w:val="002A6DA4"/>
    <w:rsid w:val="002A751E"/>
    <w:rsid w:val="002A7CCF"/>
    <w:rsid w:val="002B0090"/>
    <w:rsid w:val="002B0437"/>
    <w:rsid w:val="002B0B1E"/>
    <w:rsid w:val="002B10A0"/>
    <w:rsid w:val="002B2D2E"/>
    <w:rsid w:val="002B4332"/>
    <w:rsid w:val="002B448B"/>
    <w:rsid w:val="002B4911"/>
    <w:rsid w:val="002B58E6"/>
    <w:rsid w:val="002B597B"/>
    <w:rsid w:val="002C0B4E"/>
    <w:rsid w:val="002C1B3B"/>
    <w:rsid w:val="002C267F"/>
    <w:rsid w:val="002C2A1E"/>
    <w:rsid w:val="002C2BBF"/>
    <w:rsid w:val="002C3819"/>
    <w:rsid w:val="002C4069"/>
    <w:rsid w:val="002C57BD"/>
    <w:rsid w:val="002C7EA9"/>
    <w:rsid w:val="002D0866"/>
    <w:rsid w:val="002D19CC"/>
    <w:rsid w:val="002D2D8C"/>
    <w:rsid w:val="002D2F06"/>
    <w:rsid w:val="002D3520"/>
    <w:rsid w:val="002D4075"/>
    <w:rsid w:val="002D481B"/>
    <w:rsid w:val="002D5BC3"/>
    <w:rsid w:val="002D6389"/>
    <w:rsid w:val="002D6A95"/>
    <w:rsid w:val="002D6E87"/>
    <w:rsid w:val="002D79EF"/>
    <w:rsid w:val="002D7D89"/>
    <w:rsid w:val="002E0A70"/>
    <w:rsid w:val="002E0FD8"/>
    <w:rsid w:val="002E114C"/>
    <w:rsid w:val="002E22C3"/>
    <w:rsid w:val="002E24CA"/>
    <w:rsid w:val="002E294A"/>
    <w:rsid w:val="002E3076"/>
    <w:rsid w:val="002E3403"/>
    <w:rsid w:val="002E4854"/>
    <w:rsid w:val="002E649F"/>
    <w:rsid w:val="002E7900"/>
    <w:rsid w:val="002F04EA"/>
    <w:rsid w:val="002F07B9"/>
    <w:rsid w:val="002F0D7D"/>
    <w:rsid w:val="002F1183"/>
    <w:rsid w:val="002F13A0"/>
    <w:rsid w:val="002F164C"/>
    <w:rsid w:val="002F2E35"/>
    <w:rsid w:val="002F2FF1"/>
    <w:rsid w:val="002F391B"/>
    <w:rsid w:val="002F3BDF"/>
    <w:rsid w:val="002F3F3B"/>
    <w:rsid w:val="002F442E"/>
    <w:rsid w:val="002F4983"/>
    <w:rsid w:val="002F579A"/>
    <w:rsid w:val="002F5970"/>
    <w:rsid w:val="002F5F08"/>
    <w:rsid w:val="002F6766"/>
    <w:rsid w:val="002F6EEC"/>
    <w:rsid w:val="002F748E"/>
    <w:rsid w:val="002F75AF"/>
    <w:rsid w:val="003002C6"/>
    <w:rsid w:val="00300E2D"/>
    <w:rsid w:val="0030293D"/>
    <w:rsid w:val="00302A2F"/>
    <w:rsid w:val="00302B72"/>
    <w:rsid w:val="003032A4"/>
    <w:rsid w:val="00303E76"/>
    <w:rsid w:val="00304D2B"/>
    <w:rsid w:val="0030558D"/>
    <w:rsid w:val="00305633"/>
    <w:rsid w:val="00305799"/>
    <w:rsid w:val="0030647E"/>
    <w:rsid w:val="00306897"/>
    <w:rsid w:val="0031185A"/>
    <w:rsid w:val="00312578"/>
    <w:rsid w:val="0031314C"/>
    <w:rsid w:val="003131E3"/>
    <w:rsid w:val="003148DF"/>
    <w:rsid w:val="00317823"/>
    <w:rsid w:val="00317B53"/>
    <w:rsid w:val="00320967"/>
    <w:rsid w:val="0032250C"/>
    <w:rsid w:val="0032337B"/>
    <w:rsid w:val="003237C1"/>
    <w:rsid w:val="00324360"/>
    <w:rsid w:val="00324522"/>
    <w:rsid w:val="00324E6E"/>
    <w:rsid w:val="003269D6"/>
    <w:rsid w:val="003340FD"/>
    <w:rsid w:val="0033411F"/>
    <w:rsid w:val="00334C3D"/>
    <w:rsid w:val="0033615A"/>
    <w:rsid w:val="003372EB"/>
    <w:rsid w:val="00337AB5"/>
    <w:rsid w:val="00337D69"/>
    <w:rsid w:val="0034028D"/>
    <w:rsid w:val="00340CF4"/>
    <w:rsid w:val="0034170A"/>
    <w:rsid w:val="0034249A"/>
    <w:rsid w:val="00342D2F"/>
    <w:rsid w:val="00343366"/>
    <w:rsid w:val="003438E5"/>
    <w:rsid w:val="00344827"/>
    <w:rsid w:val="00344D4A"/>
    <w:rsid w:val="00346AD0"/>
    <w:rsid w:val="00346B82"/>
    <w:rsid w:val="00350F9A"/>
    <w:rsid w:val="00352096"/>
    <w:rsid w:val="003552F7"/>
    <w:rsid w:val="00355E1B"/>
    <w:rsid w:val="003567B3"/>
    <w:rsid w:val="00357480"/>
    <w:rsid w:val="00357789"/>
    <w:rsid w:val="00357C74"/>
    <w:rsid w:val="0036016F"/>
    <w:rsid w:val="003611B2"/>
    <w:rsid w:val="003612C8"/>
    <w:rsid w:val="00361A09"/>
    <w:rsid w:val="00361A8D"/>
    <w:rsid w:val="00361BB0"/>
    <w:rsid w:val="00362C35"/>
    <w:rsid w:val="00366349"/>
    <w:rsid w:val="003665D9"/>
    <w:rsid w:val="00366B67"/>
    <w:rsid w:val="0036791A"/>
    <w:rsid w:val="00367B1C"/>
    <w:rsid w:val="00367CEB"/>
    <w:rsid w:val="00367DED"/>
    <w:rsid w:val="00371B43"/>
    <w:rsid w:val="00371FDF"/>
    <w:rsid w:val="00371FF0"/>
    <w:rsid w:val="0037208C"/>
    <w:rsid w:val="003724C6"/>
    <w:rsid w:val="003735DA"/>
    <w:rsid w:val="00374194"/>
    <w:rsid w:val="003748DC"/>
    <w:rsid w:val="00374A48"/>
    <w:rsid w:val="00375E1A"/>
    <w:rsid w:val="00376D4E"/>
    <w:rsid w:val="0037776B"/>
    <w:rsid w:val="00377E29"/>
    <w:rsid w:val="00377E2B"/>
    <w:rsid w:val="00381C13"/>
    <w:rsid w:val="0038268A"/>
    <w:rsid w:val="00382788"/>
    <w:rsid w:val="00382C85"/>
    <w:rsid w:val="00383020"/>
    <w:rsid w:val="003846E2"/>
    <w:rsid w:val="003847E3"/>
    <w:rsid w:val="00384A7B"/>
    <w:rsid w:val="00385778"/>
    <w:rsid w:val="00385F5B"/>
    <w:rsid w:val="0038678D"/>
    <w:rsid w:val="00386A82"/>
    <w:rsid w:val="00390B05"/>
    <w:rsid w:val="00390B09"/>
    <w:rsid w:val="00390BB6"/>
    <w:rsid w:val="003931CA"/>
    <w:rsid w:val="00394E76"/>
    <w:rsid w:val="003954D3"/>
    <w:rsid w:val="00395A5D"/>
    <w:rsid w:val="00395BD7"/>
    <w:rsid w:val="00397077"/>
    <w:rsid w:val="00397640"/>
    <w:rsid w:val="003A068D"/>
    <w:rsid w:val="003A0FFE"/>
    <w:rsid w:val="003A1237"/>
    <w:rsid w:val="003A1366"/>
    <w:rsid w:val="003A227B"/>
    <w:rsid w:val="003A25B1"/>
    <w:rsid w:val="003A2B0D"/>
    <w:rsid w:val="003A302D"/>
    <w:rsid w:val="003A36E5"/>
    <w:rsid w:val="003A3C67"/>
    <w:rsid w:val="003A3FF3"/>
    <w:rsid w:val="003A458B"/>
    <w:rsid w:val="003A4AF3"/>
    <w:rsid w:val="003A74F9"/>
    <w:rsid w:val="003B0068"/>
    <w:rsid w:val="003B01DB"/>
    <w:rsid w:val="003B1F5E"/>
    <w:rsid w:val="003B229E"/>
    <w:rsid w:val="003B3FB5"/>
    <w:rsid w:val="003B41FA"/>
    <w:rsid w:val="003B7373"/>
    <w:rsid w:val="003B7730"/>
    <w:rsid w:val="003C01E6"/>
    <w:rsid w:val="003C087C"/>
    <w:rsid w:val="003C0B69"/>
    <w:rsid w:val="003C169B"/>
    <w:rsid w:val="003C2B11"/>
    <w:rsid w:val="003C303A"/>
    <w:rsid w:val="003C4E98"/>
    <w:rsid w:val="003C6404"/>
    <w:rsid w:val="003C6420"/>
    <w:rsid w:val="003C64BC"/>
    <w:rsid w:val="003C6C2C"/>
    <w:rsid w:val="003D01C1"/>
    <w:rsid w:val="003D1199"/>
    <w:rsid w:val="003D1238"/>
    <w:rsid w:val="003D1EEB"/>
    <w:rsid w:val="003D22D2"/>
    <w:rsid w:val="003D2CF2"/>
    <w:rsid w:val="003D42AF"/>
    <w:rsid w:val="003D4CEC"/>
    <w:rsid w:val="003D4E0C"/>
    <w:rsid w:val="003D5ED1"/>
    <w:rsid w:val="003D6FFC"/>
    <w:rsid w:val="003D71CC"/>
    <w:rsid w:val="003E0219"/>
    <w:rsid w:val="003E173C"/>
    <w:rsid w:val="003E17A5"/>
    <w:rsid w:val="003E2120"/>
    <w:rsid w:val="003E30C9"/>
    <w:rsid w:val="003E317F"/>
    <w:rsid w:val="003E49C1"/>
    <w:rsid w:val="003E4C13"/>
    <w:rsid w:val="003E713A"/>
    <w:rsid w:val="003E74D1"/>
    <w:rsid w:val="003E7DCD"/>
    <w:rsid w:val="003E7EE9"/>
    <w:rsid w:val="003F02D1"/>
    <w:rsid w:val="003F02D5"/>
    <w:rsid w:val="003F035A"/>
    <w:rsid w:val="003F2D55"/>
    <w:rsid w:val="003F2D5F"/>
    <w:rsid w:val="003F2F6F"/>
    <w:rsid w:val="003F3B46"/>
    <w:rsid w:val="003F49F6"/>
    <w:rsid w:val="003F51E2"/>
    <w:rsid w:val="003F65BF"/>
    <w:rsid w:val="003F717C"/>
    <w:rsid w:val="00400AB9"/>
    <w:rsid w:val="004021AC"/>
    <w:rsid w:val="004041AD"/>
    <w:rsid w:val="004044F8"/>
    <w:rsid w:val="00404CE7"/>
    <w:rsid w:val="00404EE7"/>
    <w:rsid w:val="004050D5"/>
    <w:rsid w:val="00407B8A"/>
    <w:rsid w:val="00410DA4"/>
    <w:rsid w:val="00410E4F"/>
    <w:rsid w:val="004115D0"/>
    <w:rsid w:val="0041176D"/>
    <w:rsid w:val="00411F25"/>
    <w:rsid w:val="00412093"/>
    <w:rsid w:val="004122A0"/>
    <w:rsid w:val="00413ECC"/>
    <w:rsid w:val="004156E7"/>
    <w:rsid w:val="00416750"/>
    <w:rsid w:val="004171BE"/>
    <w:rsid w:val="0041789A"/>
    <w:rsid w:val="00420378"/>
    <w:rsid w:val="004204A4"/>
    <w:rsid w:val="0042088A"/>
    <w:rsid w:val="00420E23"/>
    <w:rsid w:val="004213AE"/>
    <w:rsid w:val="00421FE7"/>
    <w:rsid w:val="00422183"/>
    <w:rsid w:val="0042285E"/>
    <w:rsid w:val="004228FC"/>
    <w:rsid w:val="00422BE9"/>
    <w:rsid w:val="00422CD6"/>
    <w:rsid w:val="00423445"/>
    <w:rsid w:val="0042434B"/>
    <w:rsid w:val="0042631D"/>
    <w:rsid w:val="004268A7"/>
    <w:rsid w:val="00426930"/>
    <w:rsid w:val="00427368"/>
    <w:rsid w:val="0042751D"/>
    <w:rsid w:val="00427E0D"/>
    <w:rsid w:val="00430ABB"/>
    <w:rsid w:val="00431024"/>
    <w:rsid w:val="004338BE"/>
    <w:rsid w:val="0043594B"/>
    <w:rsid w:val="004365D3"/>
    <w:rsid w:val="00437FB6"/>
    <w:rsid w:val="00440458"/>
    <w:rsid w:val="00440A32"/>
    <w:rsid w:val="00440CE9"/>
    <w:rsid w:val="004415C4"/>
    <w:rsid w:val="00441C55"/>
    <w:rsid w:val="00443237"/>
    <w:rsid w:val="004447FC"/>
    <w:rsid w:val="0044550B"/>
    <w:rsid w:val="00445AAB"/>
    <w:rsid w:val="0044646E"/>
    <w:rsid w:val="00447378"/>
    <w:rsid w:val="0045000B"/>
    <w:rsid w:val="00450096"/>
    <w:rsid w:val="00450910"/>
    <w:rsid w:val="004516BE"/>
    <w:rsid w:val="00452147"/>
    <w:rsid w:val="004538AD"/>
    <w:rsid w:val="0045397A"/>
    <w:rsid w:val="00454367"/>
    <w:rsid w:val="0045437F"/>
    <w:rsid w:val="00455919"/>
    <w:rsid w:val="004569A6"/>
    <w:rsid w:val="00456B8A"/>
    <w:rsid w:val="0045737A"/>
    <w:rsid w:val="0045745C"/>
    <w:rsid w:val="00457608"/>
    <w:rsid w:val="00460709"/>
    <w:rsid w:val="0046164A"/>
    <w:rsid w:val="0046266A"/>
    <w:rsid w:val="004634B4"/>
    <w:rsid w:val="00463CD3"/>
    <w:rsid w:val="00463D7B"/>
    <w:rsid w:val="00464323"/>
    <w:rsid w:val="004647EC"/>
    <w:rsid w:val="00464A81"/>
    <w:rsid w:val="00464ACD"/>
    <w:rsid w:val="00466FF4"/>
    <w:rsid w:val="00467498"/>
    <w:rsid w:val="0047140C"/>
    <w:rsid w:val="00471C0D"/>
    <w:rsid w:val="004752C1"/>
    <w:rsid w:val="0047584C"/>
    <w:rsid w:val="00475D42"/>
    <w:rsid w:val="00476AB4"/>
    <w:rsid w:val="004770C4"/>
    <w:rsid w:val="00477B57"/>
    <w:rsid w:val="00477DFB"/>
    <w:rsid w:val="004808B0"/>
    <w:rsid w:val="004819DE"/>
    <w:rsid w:val="0048292F"/>
    <w:rsid w:val="004837FE"/>
    <w:rsid w:val="00484608"/>
    <w:rsid w:val="004852C1"/>
    <w:rsid w:val="004853C4"/>
    <w:rsid w:val="00486667"/>
    <w:rsid w:val="00486A5C"/>
    <w:rsid w:val="00486E06"/>
    <w:rsid w:val="00486FBF"/>
    <w:rsid w:val="00487C3A"/>
    <w:rsid w:val="00490270"/>
    <w:rsid w:val="00490577"/>
    <w:rsid w:val="00490FDA"/>
    <w:rsid w:val="0049114F"/>
    <w:rsid w:val="00491361"/>
    <w:rsid w:val="004913A3"/>
    <w:rsid w:val="004915A9"/>
    <w:rsid w:val="00491A88"/>
    <w:rsid w:val="00494522"/>
    <w:rsid w:val="00496551"/>
    <w:rsid w:val="00496EEA"/>
    <w:rsid w:val="00497B3E"/>
    <w:rsid w:val="00497DBF"/>
    <w:rsid w:val="004A002E"/>
    <w:rsid w:val="004A031C"/>
    <w:rsid w:val="004A12E6"/>
    <w:rsid w:val="004A135E"/>
    <w:rsid w:val="004A1B56"/>
    <w:rsid w:val="004A24D7"/>
    <w:rsid w:val="004A31AE"/>
    <w:rsid w:val="004A3243"/>
    <w:rsid w:val="004A386E"/>
    <w:rsid w:val="004A4BF7"/>
    <w:rsid w:val="004A4F72"/>
    <w:rsid w:val="004A65B2"/>
    <w:rsid w:val="004A6EF3"/>
    <w:rsid w:val="004B21FA"/>
    <w:rsid w:val="004B2857"/>
    <w:rsid w:val="004B3D56"/>
    <w:rsid w:val="004B419C"/>
    <w:rsid w:val="004B440E"/>
    <w:rsid w:val="004B473F"/>
    <w:rsid w:val="004B6547"/>
    <w:rsid w:val="004B658E"/>
    <w:rsid w:val="004B7AE0"/>
    <w:rsid w:val="004C09E2"/>
    <w:rsid w:val="004C1C4B"/>
    <w:rsid w:val="004C254E"/>
    <w:rsid w:val="004C3341"/>
    <w:rsid w:val="004C3BE6"/>
    <w:rsid w:val="004C5121"/>
    <w:rsid w:val="004C53D7"/>
    <w:rsid w:val="004C5881"/>
    <w:rsid w:val="004C6A9F"/>
    <w:rsid w:val="004C6F2C"/>
    <w:rsid w:val="004D02A8"/>
    <w:rsid w:val="004D04B7"/>
    <w:rsid w:val="004D0922"/>
    <w:rsid w:val="004D1C60"/>
    <w:rsid w:val="004D1DDE"/>
    <w:rsid w:val="004D3556"/>
    <w:rsid w:val="004D4994"/>
    <w:rsid w:val="004D59FF"/>
    <w:rsid w:val="004D5D6A"/>
    <w:rsid w:val="004D69CF"/>
    <w:rsid w:val="004D7EDC"/>
    <w:rsid w:val="004E010E"/>
    <w:rsid w:val="004E1021"/>
    <w:rsid w:val="004E1D9D"/>
    <w:rsid w:val="004E214A"/>
    <w:rsid w:val="004E2C61"/>
    <w:rsid w:val="004E426A"/>
    <w:rsid w:val="004E5896"/>
    <w:rsid w:val="004E5B31"/>
    <w:rsid w:val="004E6464"/>
    <w:rsid w:val="004E6491"/>
    <w:rsid w:val="004E7908"/>
    <w:rsid w:val="004F0C6B"/>
    <w:rsid w:val="004F136A"/>
    <w:rsid w:val="004F1573"/>
    <w:rsid w:val="004F22EC"/>
    <w:rsid w:val="004F2DDB"/>
    <w:rsid w:val="004F44BF"/>
    <w:rsid w:val="004F47F8"/>
    <w:rsid w:val="004F5CF4"/>
    <w:rsid w:val="0050040E"/>
    <w:rsid w:val="00500A35"/>
    <w:rsid w:val="00501F5C"/>
    <w:rsid w:val="00504137"/>
    <w:rsid w:val="005077C0"/>
    <w:rsid w:val="00507ECB"/>
    <w:rsid w:val="0051089C"/>
    <w:rsid w:val="0051090A"/>
    <w:rsid w:val="00510953"/>
    <w:rsid w:val="0051117C"/>
    <w:rsid w:val="0051136D"/>
    <w:rsid w:val="005113E9"/>
    <w:rsid w:val="00511700"/>
    <w:rsid w:val="005127C8"/>
    <w:rsid w:val="00513398"/>
    <w:rsid w:val="00514D8E"/>
    <w:rsid w:val="005151FD"/>
    <w:rsid w:val="005169B2"/>
    <w:rsid w:val="0051717D"/>
    <w:rsid w:val="00520EBD"/>
    <w:rsid w:val="0052264C"/>
    <w:rsid w:val="0052498F"/>
    <w:rsid w:val="00525B8D"/>
    <w:rsid w:val="00525F4F"/>
    <w:rsid w:val="00525F6F"/>
    <w:rsid w:val="00527B6E"/>
    <w:rsid w:val="00527D58"/>
    <w:rsid w:val="00530D4C"/>
    <w:rsid w:val="005319BB"/>
    <w:rsid w:val="00532F2B"/>
    <w:rsid w:val="005343AC"/>
    <w:rsid w:val="0053483F"/>
    <w:rsid w:val="00535CAB"/>
    <w:rsid w:val="00536316"/>
    <w:rsid w:val="00536578"/>
    <w:rsid w:val="00537208"/>
    <w:rsid w:val="00537280"/>
    <w:rsid w:val="0054008C"/>
    <w:rsid w:val="005410FF"/>
    <w:rsid w:val="005415B6"/>
    <w:rsid w:val="00541E60"/>
    <w:rsid w:val="00543356"/>
    <w:rsid w:val="0054340C"/>
    <w:rsid w:val="00543A69"/>
    <w:rsid w:val="00543EAC"/>
    <w:rsid w:val="005458D0"/>
    <w:rsid w:val="00545C39"/>
    <w:rsid w:val="005464ED"/>
    <w:rsid w:val="00546EA9"/>
    <w:rsid w:val="00551A1B"/>
    <w:rsid w:val="00552ADF"/>
    <w:rsid w:val="005530C6"/>
    <w:rsid w:val="005534D9"/>
    <w:rsid w:val="0055463E"/>
    <w:rsid w:val="00555011"/>
    <w:rsid w:val="0055512F"/>
    <w:rsid w:val="00555B66"/>
    <w:rsid w:val="00555BC6"/>
    <w:rsid w:val="00557348"/>
    <w:rsid w:val="005579AB"/>
    <w:rsid w:val="00557C07"/>
    <w:rsid w:val="0056091D"/>
    <w:rsid w:val="0056134A"/>
    <w:rsid w:val="0056162C"/>
    <w:rsid w:val="0056191A"/>
    <w:rsid w:val="00562091"/>
    <w:rsid w:val="00562ED8"/>
    <w:rsid w:val="00563313"/>
    <w:rsid w:val="00563D18"/>
    <w:rsid w:val="0056459D"/>
    <w:rsid w:val="00564672"/>
    <w:rsid w:val="00564882"/>
    <w:rsid w:val="00565A14"/>
    <w:rsid w:val="00565E38"/>
    <w:rsid w:val="00566448"/>
    <w:rsid w:val="00567426"/>
    <w:rsid w:val="00571064"/>
    <w:rsid w:val="0057328D"/>
    <w:rsid w:val="00575D11"/>
    <w:rsid w:val="00576117"/>
    <w:rsid w:val="0057614A"/>
    <w:rsid w:val="00580D37"/>
    <w:rsid w:val="00580D7C"/>
    <w:rsid w:val="00581AF5"/>
    <w:rsid w:val="00581D09"/>
    <w:rsid w:val="00581DB4"/>
    <w:rsid w:val="00581FBE"/>
    <w:rsid w:val="0058234D"/>
    <w:rsid w:val="00582CB3"/>
    <w:rsid w:val="00584340"/>
    <w:rsid w:val="005848CA"/>
    <w:rsid w:val="005864D3"/>
    <w:rsid w:val="0058659F"/>
    <w:rsid w:val="005872AD"/>
    <w:rsid w:val="00587C32"/>
    <w:rsid w:val="00590922"/>
    <w:rsid w:val="00590D0E"/>
    <w:rsid w:val="005936A4"/>
    <w:rsid w:val="005938A7"/>
    <w:rsid w:val="005949BD"/>
    <w:rsid w:val="005961B5"/>
    <w:rsid w:val="00597727"/>
    <w:rsid w:val="00597EA1"/>
    <w:rsid w:val="005A15BF"/>
    <w:rsid w:val="005A36C3"/>
    <w:rsid w:val="005A53AE"/>
    <w:rsid w:val="005A56A6"/>
    <w:rsid w:val="005A5B03"/>
    <w:rsid w:val="005A6BA9"/>
    <w:rsid w:val="005B007F"/>
    <w:rsid w:val="005B0216"/>
    <w:rsid w:val="005B0518"/>
    <w:rsid w:val="005B0A3E"/>
    <w:rsid w:val="005B22DA"/>
    <w:rsid w:val="005B26DA"/>
    <w:rsid w:val="005B2FCF"/>
    <w:rsid w:val="005B35BA"/>
    <w:rsid w:val="005B3645"/>
    <w:rsid w:val="005B36B6"/>
    <w:rsid w:val="005B3973"/>
    <w:rsid w:val="005B3E29"/>
    <w:rsid w:val="005B54FE"/>
    <w:rsid w:val="005B5DD7"/>
    <w:rsid w:val="005B6834"/>
    <w:rsid w:val="005B6DEE"/>
    <w:rsid w:val="005B6F90"/>
    <w:rsid w:val="005B7844"/>
    <w:rsid w:val="005B7BA1"/>
    <w:rsid w:val="005B7D52"/>
    <w:rsid w:val="005C0AEE"/>
    <w:rsid w:val="005C11A3"/>
    <w:rsid w:val="005C1BC2"/>
    <w:rsid w:val="005C2DA6"/>
    <w:rsid w:val="005C33BF"/>
    <w:rsid w:val="005C36CB"/>
    <w:rsid w:val="005C4320"/>
    <w:rsid w:val="005C446C"/>
    <w:rsid w:val="005C58E9"/>
    <w:rsid w:val="005C65BE"/>
    <w:rsid w:val="005D0222"/>
    <w:rsid w:val="005D0A07"/>
    <w:rsid w:val="005D236A"/>
    <w:rsid w:val="005D26F8"/>
    <w:rsid w:val="005D29A5"/>
    <w:rsid w:val="005D31A3"/>
    <w:rsid w:val="005D40A7"/>
    <w:rsid w:val="005D41B7"/>
    <w:rsid w:val="005D4419"/>
    <w:rsid w:val="005D5E65"/>
    <w:rsid w:val="005D615C"/>
    <w:rsid w:val="005D7B1A"/>
    <w:rsid w:val="005E2AE6"/>
    <w:rsid w:val="005E42F0"/>
    <w:rsid w:val="005E521E"/>
    <w:rsid w:val="005E5ED5"/>
    <w:rsid w:val="005E6303"/>
    <w:rsid w:val="005E6AEF"/>
    <w:rsid w:val="005F1253"/>
    <w:rsid w:val="005F15C9"/>
    <w:rsid w:val="005F183C"/>
    <w:rsid w:val="005F191D"/>
    <w:rsid w:val="005F24CF"/>
    <w:rsid w:val="005F2CC9"/>
    <w:rsid w:val="005F3008"/>
    <w:rsid w:val="005F3111"/>
    <w:rsid w:val="005F36CE"/>
    <w:rsid w:val="005F39A3"/>
    <w:rsid w:val="005F55CE"/>
    <w:rsid w:val="005F6B03"/>
    <w:rsid w:val="005F7DA9"/>
    <w:rsid w:val="00600526"/>
    <w:rsid w:val="00600896"/>
    <w:rsid w:val="00600C74"/>
    <w:rsid w:val="00601009"/>
    <w:rsid w:val="0060156B"/>
    <w:rsid w:val="00602D80"/>
    <w:rsid w:val="006035F5"/>
    <w:rsid w:val="00605D0E"/>
    <w:rsid w:val="0060743D"/>
    <w:rsid w:val="00610DD9"/>
    <w:rsid w:val="0061201F"/>
    <w:rsid w:val="0061337C"/>
    <w:rsid w:val="00613E0A"/>
    <w:rsid w:val="00613FD8"/>
    <w:rsid w:val="00614CD7"/>
    <w:rsid w:val="006155C8"/>
    <w:rsid w:val="00615A4A"/>
    <w:rsid w:val="00615CA6"/>
    <w:rsid w:val="006224CA"/>
    <w:rsid w:val="00622DC9"/>
    <w:rsid w:val="006235F4"/>
    <w:rsid w:val="0062399F"/>
    <w:rsid w:val="00624A17"/>
    <w:rsid w:val="00625633"/>
    <w:rsid w:val="00625FBC"/>
    <w:rsid w:val="00626478"/>
    <w:rsid w:val="0062676F"/>
    <w:rsid w:val="00626775"/>
    <w:rsid w:val="00626DBE"/>
    <w:rsid w:val="0062736A"/>
    <w:rsid w:val="00630B8E"/>
    <w:rsid w:val="00631FC1"/>
    <w:rsid w:val="00633989"/>
    <w:rsid w:val="00634BB4"/>
    <w:rsid w:val="006350EE"/>
    <w:rsid w:val="00636E6A"/>
    <w:rsid w:val="0063726C"/>
    <w:rsid w:val="00640501"/>
    <w:rsid w:val="00640FB7"/>
    <w:rsid w:val="006427AB"/>
    <w:rsid w:val="0064362E"/>
    <w:rsid w:val="00644650"/>
    <w:rsid w:val="006451A8"/>
    <w:rsid w:val="006456BF"/>
    <w:rsid w:val="00645A32"/>
    <w:rsid w:val="00645B78"/>
    <w:rsid w:val="00645D25"/>
    <w:rsid w:val="00645FEA"/>
    <w:rsid w:val="00646B27"/>
    <w:rsid w:val="00647EC8"/>
    <w:rsid w:val="00650E30"/>
    <w:rsid w:val="00651888"/>
    <w:rsid w:val="00651DE8"/>
    <w:rsid w:val="00653807"/>
    <w:rsid w:val="00653D65"/>
    <w:rsid w:val="00654263"/>
    <w:rsid w:val="006560CE"/>
    <w:rsid w:val="0065659D"/>
    <w:rsid w:val="00657160"/>
    <w:rsid w:val="006577F7"/>
    <w:rsid w:val="00657ED3"/>
    <w:rsid w:val="006600B9"/>
    <w:rsid w:val="00660748"/>
    <w:rsid w:val="00660B6E"/>
    <w:rsid w:val="0066105D"/>
    <w:rsid w:val="006614A2"/>
    <w:rsid w:val="0066419D"/>
    <w:rsid w:val="00664943"/>
    <w:rsid w:val="00665E1A"/>
    <w:rsid w:val="00667C2A"/>
    <w:rsid w:val="00670261"/>
    <w:rsid w:val="00673200"/>
    <w:rsid w:val="00674057"/>
    <w:rsid w:val="006741C1"/>
    <w:rsid w:val="006752EC"/>
    <w:rsid w:val="0067532D"/>
    <w:rsid w:val="006753A5"/>
    <w:rsid w:val="006768E9"/>
    <w:rsid w:val="0067779D"/>
    <w:rsid w:val="00681693"/>
    <w:rsid w:val="006826A6"/>
    <w:rsid w:val="00682F51"/>
    <w:rsid w:val="00683901"/>
    <w:rsid w:val="00683941"/>
    <w:rsid w:val="00685AA8"/>
    <w:rsid w:val="00686CAE"/>
    <w:rsid w:val="006871D3"/>
    <w:rsid w:val="00687489"/>
    <w:rsid w:val="0068792C"/>
    <w:rsid w:val="00687A68"/>
    <w:rsid w:val="006917DA"/>
    <w:rsid w:val="00692790"/>
    <w:rsid w:val="0069335F"/>
    <w:rsid w:val="00693691"/>
    <w:rsid w:val="006944BB"/>
    <w:rsid w:val="0069471D"/>
    <w:rsid w:val="00695921"/>
    <w:rsid w:val="00695C63"/>
    <w:rsid w:val="00695FD9"/>
    <w:rsid w:val="0069628B"/>
    <w:rsid w:val="006963D8"/>
    <w:rsid w:val="006963F6"/>
    <w:rsid w:val="006A0424"/>
    <w:rsid w:val="006A0CBA"/>
    <w:rsid w:val="006A242C"/>
    <w:rsid w:val="006A29A3"/>
    <w:rsid w:val="006A3C9F"/>
    <w:rsid w:val="006A4503"/>
    <w:rsid w:val="006A4EF3"/>
    <w:rsid w:val="006A51AC"/>
    <w:rsid w:val="006A58C6"/>
    <w:rsid w:val="006A5B8D"/>
    <w:rsid w:val="006A6BA5"/>
    <w:rsid w:val="006A74FB"/>
    <w:rsid w:val="006A75CC"/>
    <w:rsid w:val="006B0E1D"/>
    <w:rsid w:val="006B1FEB"/>
    <w:rsid w:val="006B2E08"/>
    <w:rsid w:val="006B3B4A"/>
    <w:rsid w:val="006B795E"/>
    <w:rsid w:val="006B7AB5"/>
    <w:rsid w:val="006C09D7"/>
    <w:rsid w:val="006C1210"/>
    <w:rsid w:val="006C133E"/>
    <w:rsid w:val="006C2036"/>
    <w:rsid w:val="006C2C42"/>
    <w:rsid w:val="006C30AC"/>
    <w:rsid w:val="006C42DF"/>
    <w:rsid w:val="006C464A"/>
    <w:rsid w:val="006C4E13"/>
    <w:rsid w:val="006C5865"/>
    <w:rsid w:val="006C6E85"/>
    <w:rsid w:val="006C726D"/>
    <w:rsid w:val="006C7D6A"/>
    <w:rsid w:val="006C7DF7"/>
    <w:rsid w:val="006D0960"/>
    <w:rsid w:val="006D3344"/>
    <w:rsid w:val="006D72A8"/>
    <w:rsid w:val="006E1F4E"/>
    <w:rsid w:val="006E2E1E"/>
    <w:rsid w:val="006E3071"/>
    <w:rsid w:val="006E3D6D"/>
    <w:rsid w:val="006E3F5D"/>
    <w:rsid w:val="006E40A8"/>
    <w:rsid w:val="006E45D7"/>
    <w:rsid w:val="006E4A8E"/>
    <w:rsid w:val="006E59B7"/>
    <w:rsid w:val="006E6658"/>
    <w:rsid w:val="006F08D5"/>
    <w:rsid w:val="006F0FC1"/>
    <w:rsid w:val="006F1A39"/>
    <w:rsid w:val="006F3B7E"/>
    <w:rsid w:val="006F5773"/>
    <w:rsid w:val="006F5D04"/>
    <w:rsid w:val="006F6440"/>
    <w:rsid w:val="006F6844"/>
    <w:rsid w:val="006F75F7"/>
    <w:rsid w:val="007008C2"/>
    <w:rsid w:val="0070149F"/>
    <w:rsid w:val="00701ED1"/>
    <w:rsid w:val="00702F51"/>
    <w:rsid w:val="007031CE"/>
    <w:rsid w:val="00703C83"/>
    <w:rsid w:val="00703E8A"/>
    <w:rsid w:val="00704498"/>
    <w:rsid w:val="007114BC"/>
    <w:rsid w:val="00711AF7"/>
    <w:rsid w:val="007127FB"/>
    <w:rsid w:val="00714CBC"/>
    <w:rsid w:val="00715640"/>
    <w:rsid w:val="00715A0F"/>
    <w:rsid w:val="00715C33"/>
    <w:rsid w:val="007166E3"/>
    <w:rsid w:val="007207EB"/>
    <w:rsid w:val="00720EE8"/>
    <w:rsid w:val="007211BA"/>
    <w:rsid w:val="00721E33"/>
    <w:rsid w:val="007220E7"/>
    <w:rsid w:val="00722D70"/>
    <w:rsid w:val="0072326B"/>
    <w:rsid w:val="007242AD"/>
    <w:rsid w:val="00724E51"/>
    <w:rsid w:val="00725467"/>
    <w:rsid w:val="007257C8"/>
    <w:rsid w:val="00726100"/>
    <w:rsid w:val="00726A57"/>
    <w:rsid w:val="00727025"/>
    <w:rsid w:val="00730569"/>
    <w:rsid w:val="00730D0C"/>
    <w:rsid w:val="0073223F"/>
    <w:rsid w:val="007327C0"/>
    <w:rsid w:val="007330C2"/>
    <w:rsid w:val="007339A9"/>
    <w:rsid w:val="0073420D"/>
    <w:rsid w:val="0073441A"/>
    <w:rsid w:val="007356C1"/>
    <w:rsid w:val="00735F34"/>
    <w:rsid w:val="00737D4E"/>
    <w:rsid w:val="00741457"/>
    <w:rsid w:val="00741527"/>
    <w:rsid w:val="0074176E"/>
    <w:rsid w:val="0074254D"/>
    <w:rsid w:val="00742C41"/>
    <w:rsid w:val="007433FB"/>
    <w:rsid w:val="0074347D"/>
    <w:rsid w:val="0074414E"/>
    <w:rsid w:val="007441D7"/>
    <w:rsid w:val="00744202"/>
    <w:rsid w:val="00744DF6"/>
    <w:rsid w:val="0074516E"/>
    <w:rsid w:val="007460C1"/>
    <w:rsid w:val="007470D6"/>
    <w:rsid w:val="00747252"/>
    <w:rsid w:val="00747273"/>
    <w:rsid w:val="007475D5"/>
    <w:rsid w:val="007477DB"/>
    <w:rsid w:val="00750FED"/>
    <w:rsid w:val="00752C1C"/>
    <w:rsid w:val="00752C30"/>
    <w:rsid w:val="00752EF2"/>
    <w:rsid w:val="00753BB7"/>
    <w:rsid w:val="0075437D"/>
    <w:rsid w:val="00754476"/>
    <w:rsid w:val="00754C55"/>
    <w:rsid w:val="007552B7"/>
    <w:rsid w:val="007555F3"/>
    <w:rsid w:val="00755878"/>
    <w:rsid w:val="00755E88"/>
    <w:rsid w:val="00756128"/>
    <w:rsid w:val="0075626B"/>
    <w:rsid w:val="0075674F"/>
    <w:rsid w:val="0075700D"/>
    <w:rsid w:val="00760020"/>
    <w:rsid w:val="007604B5"/>
    <w:rsid w:val="00760FAC"/>
    <w:rsid w:val="007617B0"/>
    <w:rsid w:val="00761ED3"/>
    <w:rsid w:val="00761F22"/>
    <w:rsid w:val="00762F0C"/>
    <w:rsid w:val="00763232"/>
    <w:rsid w:val="0076355C"/>
    <w:rsid w:val="00764199"/>
    <w:rsid w:val="00765396"/>
    <w:rsid w:val="007654B8"/>
    <w:rsid w:val="007659D3"/>
    <w:rsid w:val="00765D0A"/>
    <w:rsid w:val="00766487"/>
    <w:rsid w:val="007667D9"/>
    <w:rsid w:val="007679A1"/>
    <w:rsid w:val="00767B70"/>
    <w:rsid w:val="0077101A"/>
    <w:rsid w:val="00771628"/>
    <w:rsid w:val="007719F5"/>
    <w:rsid w:val="007739A4"/>
    <w:rsid w:val="00775257"/>
    <w:rsid w:val="0077545E"/>
    <w:rsid w:val="0077557A"/>
    <w:rsid w:val="00775AAF"/>
    <w:rsid w:val="00776BF4"/>
    <w:rsid w:val="007777A1"/>
    <w:rsid w:val="00780EEF"/>
    <w:rsid w:val="00781453"/>
    <w:rsid w:val="00784C12"/>
    <w:rsid w:val="007860F7"/>
    <w:rsid w:val="00786D10"/>
    <w:rsid w:val="00786E35"/>
    <w:rsid w:val="00787239"/>
    <w:rsid w:val="00787509"/>
    <w:rsid w:val="00787B82"/>
    <w:rsid w:val="00790F40"/>
    <w:rsid w:val="007912D1"/>
    <w:rsid w:val="00791486"/>
    <w:rsid w:val="0079269C"/>
    <w:rsid w:val="0079271A"/>
    <w:rsid w:val="007936D7"/>
    <w:rsid w:val="00793726"/>
    <w:rsid w:val="00793A70"/>
    <w:rsid w:val="007948BE"/>
    <w:rsid w:val="00794FA3"/>
    <w:rsid w:val="007959C4"/>
    <w:rsid w:val="00796164"/>
    <w:rsid w:val="00796BAD"/>
    <w:rsid w:val="007970A1"/>
    <w:rsid w:val="007A0A0C"/>
    <w:rsid w:val="007A0E03"/>
    <w:rsid w:val="007A1AEF"/>
    <w:rsid w:val="007A22D4"/>
    <w:rsid w:val="007A2942"/>
    <w:rsid w:val="007A2BD8"/>
    <w:rsid w:val="007A4534"/>
    <w:rsid w:val="007A4FB0"/>
    <w:rsid w:val="007A51B0"/>
    <w:rsid w:val="007A5244"/>
    <w:rsid w:val="007A539A"/>
    <w:rsid w:val="007A7CC7"/>
    <w:rsid w:val="007B0604"/>
    <w:rsid w:val="007B2012"/>
    <w:rsid w:val="007B258A"/>
    <w:rsid w:val="007B3DAF"/>
    <w:rsid w:val="007B45EB"/>
    <w:rsid w:val="007B5D77"/>
    <w:rsid w:val="007C0846"/>
    <w:rsid w:val="007C1169"/>
    <w:rsid w:val="007C18F2"/>
    <w:rsid w:val="007C2110"/>
    <w:rsid w:val="007C21BB"/>
    <w:rsid w:val="007C38C3"/>
    <w:rsid w:val="007C3A6A"/>
    <w:rsid w:val="007C3DC6"/>
    <w:rsid w:val="007C4898"/>
    <w:rsid w:val="007C4995"/>
    <w:rsid w:val="007C4E38"/>
    <w:rsid w:val="007C587D"/>
    <w:rsid w:val="007C5BB6"/>
    <w:rsid w:val="007C757F"/>
    <w:rsid w:val="007D14A6"/>
    <w:rsid w:val="007D3397"/>
    <w:rsid w:val="007D3E9A"/>
    <w:rsid w:val="007D4AFF"/>
    <w:rsid w:val="007D5AF8"/>
    <w:rsid w:val="007D7678"/>
    <w:rsid w:val="007D7788"/>
    <w:rsid w:val="007E016A"/>
    <w:rsid w:val="007E0B9C"/>
    <w:rsid w:val="007E1661"/>
    <w:rsid w:val="007E16CD"/>
    <w:rsid w:val="007E24D1"/>
    <w:rsid w:val="007E2B3C"/>
    <w:rsid w:val="007E3ABA"/>
    <w:rsid w:val="007E51C4"/>
    <w:rsid w:val="007E6A4E"/>
    <w:rsid w:val="007E6AC5"/>
    <w:rsid w:val="007E7865"/>
    <w:rsid w:val="007F2A1F"/>
    <w:rsid w:val="007F3B8C"/>
    <w:rsid w:val="007F51AE"/>
    <w:rsid w:val="007F53C1"/>
    <w:rsid w:val="007F66DD"/>
    <w:rsid w:val="007F6E91"/>
    <w:rsid w:val="007F7312"/>
    <w:rsid w:val="007F78EE"/>
    <w:rsid w:val="008003CC"/>
    <w:rsid w:val="008005C1"/>
    <w:rsid w:val="00800C59"/>
    <w:rsid w:val="008023A7"/>
    <w:rsid w:val="00802F3F"/>
    <w:rsid w:val="00803C55"/>
    <w:rsid w:val="00803D9D"/>
    <w:rsid w:val="00803FDC"/>
    <w:rsid w:val="00804049"/>
    <w:rsid w:val="00804582"/>
    <w:rsid w:val="00804598"/>
    <w:rsid w:val="0080497D"/>
    <w:rsid w:val="00804D6F"/>
    <w:rsid w:val="00807500"/>
    <w:rsid w:val="0080793D"/>
    <w:rsid w:val="008103E0"/>
    <w:rsid w:val="00810A90"/>
    <w:rsid w:val="00812121"/>
    <w:rsid w:val="008128CE"/>
    <w:rsid w:val="00812955"/>
    <w:rsid w:val="00815807"/>
    <w:rsid w:val="00820A85"/>
    <w:rsid w:val="0082167A"/>
    <w:rsid w:val="00822604"/>
    <w:rsid w:val="00822E2B"/>
    <w:rsid w:val="00822F3A"/>
    <w:rsid w:val="00822F52"/>
    <w:rsid w:val="0082342F"/>
    <w:rsid w:val="008238A1"/>
    <w:rsid w:val="008244FE"/>
    <w:rsid w:val="00824D32"/>
    <w:rsid w:val="00825891"/>
    <w:rsid w:val="0082602E"/>
    <w:rsid w:val="008260CB"/>
    <w:rsid w:val="008268BD"/>
    <w:rsid w:val="00826B8A"/>
    <w:rsid w:val="00826F93"/>
    <w:rsid w:val="008304E9"/>
    <w:rsid w:val="008305DF"/>
    <w:rsid w:val="008312CA"/>
    <w:rsid w:val="008318E7"/>
    <w:rsid w:val="00832F9C"/>
    <w:rsid w:val="00834954"/>
    <w:rsid w:val="0083722F"/>
    <w:rsid w:val="00837FE4"/>
    <w:rsid w:val="008408F1"/>
    <w:rsid w:val="0084190A"/>
    <w:rsid w:val="00841A0C"/>
    <w:rsid w:val="00841ED9"/>
    <w:rsid w:val="00843556"/>
    <w:rsid w:val="00844E45"/>
    <w:rsid w:val="00844F25"/>
    <w:rsid w:val="00846BD6"/>
    <w:rsid w:val="008475C3"/>
    <w:rsid w:val="008476DF"/>
    <w:rsid w:val="008510F7"/>
    <w:rsid w:val="0085115D"/>
    <w:rsid w:val="0085157C"/>
    <w:rsid w:val="008524B2"/>
    <w:rsid w:val="00852EF7"/>
    <w:rsid w:val="008532AF"/>
    <w:rsid w:val="0085356F"/>
    <w:rsid w:val="008545E2"/>
    <w:rsid w:val="0085466B"/>
    <w:rsid w:val="00855239"/>
    <w:rsid w:val="008552E7"/>
    <w:rsid w:val="00855C59"/>
    <w:rsid w:val="00856E5F"/>
    <w:rsid w:val="00857004"/>
    <w:rsid w:val="0085722F"/>
    <w:rsid w:val="008573C1"/>
    <w:rsid w:val="00857ED0"/>
    <w:rsid w:val="0086109A"/>
    <w:rsid w:val="00861D34"/>
    <w:rsid w:val="00864466"/>
    <w:rsid w:val="008648F3"/>
    <w:rsid w:val="00864988"/>
    <w:rsid w:val="00865E06"/>
    <w:rsid w:val="00866225"/>
    <w:rsid w:val="008665DC"/>
    <w:rsid w:val="00870370"/>
    <w:rsid w:val="008705D0"/>
    <w:rsid w:val="00870D93"/>
    <w:rsid w:val="00871D71"/>
    <w:rsid w:val="0087251C"/>
    <w:rsid w:val="00874BE0"/>
    <w:rsid w:val="008761FD"/>
    <w:rsid w:val="008771A7"/>
    <w:rsid w:val="00877A47"/>
    <w:rsid w:val="00880590"/>
    <w:rsid w:val="00880D7A"/>
    <w:rsid w:val="008817B8"/>
    <w:rsid w:val="00882737"/>
    <w:rsid w:val="0088297D"/>
    <w:rsid w:val="00882B67"/>
    <w:rsid w:val="0088510A"/>
    <w:rsid w:val="00885135"/>
    <w:rsid w:val="00886A6E"/>
    <w:rsid w:val="008876E3"/>
    <w:rsid w:val="008900EA"/>
    <w:rsid w:val="008906CB"/>
    <w:rsid w:val="008912B9"/>
    <w:rsid w:val="00891AB4"/>
    <w:rsid w:val="00891B7B"/>
    <w:rsid w:val="008952EF"/>
    <w:rsid w:val="008A0154"/>
    <w:rsid w:val="008A13C4"/>
    <w:rsid w:val="008A175A"/>
    <w:rsid w:val="008A2959"/>
    <w:rsid w:val="008A2B83"/>
    <w:rsid w:val="008A2FCB"/>
    <w:rsid w:val="008A349D"/>
    <w:rsid w:val="008A3AC9"/>
    <w:rsid w:val="008A4864"/>
    <w:rsid w:val="008A4C3A"/>
    <w:rsid w:val="008A4F8B"/>
    <w:rsid w:val="008A5827"/>
    <w:rsid w:val="008A6206"/>
    <w:rsid w:val="008A67A5"/>
    <w:rsid w:val="008B0300"/>
    <w:rsid w:val="008B03A0"/>
    <w:rsid w:val="008B0AA0"/>
    <w:rsid w:val="008B1342"/>
    <w:rsid w:val="008B2273"/>
    <w:rsid w:val="008B2DC9"/>
    <w:rsid w:val="008B33E1"/>
    <w:rsid w:val="008B3B68"/>
    <w:rsid w:val="008B3C49"/>
    <w:rsid w:val="008B3C56"/>
    <w:rsid w:val="008B457A"/>
    <w:rsid w:val="008B4B5A"/>
    <w:rsid w:val="008B5880"/>
    <w:rsid w:val="008B61B7"/>
    <w:rsid w:val="008B7A01"/>
    <w:rsid w:val="008C0A7F"/>
    <w:rsid w:val="008C320E"/>
    <w:rsid w:val="008C4150"/>
    <w:rsid w:val="008C5434"/>
    <w:rsid w:val="008C670E"/>
    <w:rsid w:val="008C6D26"/>
    <w:rsid w:val="008C6EA9"/>
    <w:rsid w:val="008C7444"/>
    <w:rsid w:val="008C771B"/>
    <w:rsid w:val="008D17F5"/>
    <w:rsid w:val="008D194C"/>
    <w:rsid w:val="008D27CB"/>
    <w:rsid w:val="008D27CC"/>
    <w:rsid w:val="008D2BA1"/>
    <w:rsid w:val="008D338F"/>
    <w:rsid w:val="008D46F1"/>
    <w:rsid w:val="008D5519"/>
    <w:rsid w:val="008D5685"/>
    <w:rsid w:val="008D7593"/>
    <w:rsid w:val="008D7BC8"/>
    <w:rsid w:val="008E02D5"/>
    <w:rsid w:val="008E0D94"/>
    <w:rsid w:val="008E19C5"/>
    <w:rsid w:val="008E3D43"/>
    <w:rsid w:val="008E479C"/>
    <w:rsid w:val="008E6077"/>
    <w:rsid w:val="008E64C7"/>
    <w:rsid w:val="008E7599"/>
    <w:rsid w:val="008E7C8E"/>
    <w:rsid w:val="008F0883"/>
    <w:rsid w:val="008F08C7"/>
    <w:rsid w:val="008F11FA"/>
    <w:rsid w:val="008F1929"/>
    <w:rsid w:val="008F2FB3"/>
    <w:rsid w:val="008F64A9"/>
    <w:rsid w:val="008F7E98"/>
    <w:rsid w:val="009003F4"/>
    <w:rsid w:val="0090052C"/>
    <w:rsid w:val="00900CA2"/>
    <w:rsid w:val="00902032"/>
    <w:rsid w:val="009024D2"/>
    <w:rsid w:val="00904C4A"/>
    <w:rsid w:val="00905BF4"/>
    <w:rsid w:val="00906387"/>
    <w:rsid w:val="00910320"/>
    <w:rsid w:val="00910FE5"/>
    <w:rsid w:val="00911300"/>
    <w:rsid w:val="00913A6A"/>
    <w:rsid w:val="00913BDD"/>
    <w:rsid w:val="00913D57"/>
    <w:rsid w:val="00914169"/>
    <w:rsid w:val="00914F84"/>
    <w:rsid w:val="00915481"/>
    <w:rsid w:val="009158D3"/>
    <w:rsid w:val="00915C05"/>
    <w:rsid w:val="00916875"/>
    <w:rsid w:val="00916F7B"/>
    <w:rsid w:val="00917B04"/>
    <w:rsid w:val="009206DD"/>
    <w:rsid w:val="00920854"/>
    <w:rsid w:val="0092150E"/>
    <w:rsid w:val="00921B06"/>
    <w:rsid w:val="0092363B"/>
    <w:rsid w:val="009252D3"/>
    <w:rsid w:val="00925716"/>
    <w:rsid w:val="009259F6"/>
    <w:rsid w:val="0092700D"/>
    <w:rsid w:val="009279DF"/>
    <w:rsid w:val="00930147"/>
    <w:rsid w:val="00930894"/>
    <w:rsid w:val="00930B25"/>
    <w:rsid w:val="0093148F"/>
    <w:rsid w:val="00932733"/>
    <w:rsid w:val="009328A7"/>
    <w:rsid w:val="00933744"/>
    <w:rsid w:val="00933AE3"/>
    <w:rsid w:val="00935B21"/>
    <w:rsid w:val="009371A9"/>
    <w:rsid w:val="0094057D"/>
    <w:rsid w:val="009405BC"/>
    <w:rsid w:val="00940ABA"/>
    <w:rsid w:val="0094265A"/>
    <w:rsid w:val="00943064"/>
    <w:rsid w:val="00944184"/>
    <w:rsid w:val="009474A6"/>
    <w:rsid w:val="00947AB0"/>
    <w:rsid w:val="00947BB7"/>
    <w:rsid w:val="00950CB4"/>
    <w:rsid w:val="00952875"/>
    <w:rsid w:val="00952CE4"/>
    <w:rsid w:val="0095528D"/>
    <w:rsid w:val="00955657"/>
    <w:rsid w:val="00955E63"/>
    <w:rsid w:val="009564A6"/>
    <w:rsid w:val="00956B9C"/>
    <w:rsid w:val="00960570"/>
    <w:rsid w:val="00961B30"/>
    <w:rsid w:val="00961C63"/>
    <w:rsid w:val="0096301B"/>
    <w:rsid w:val="0096309E"/>
    <w:rsid w:val="009631C9"/>
    <w:rsid w:val="009644A5"/>
    <w:rsid w:val="009645BF"/>
    <w:rsid w:val="009649E6"/>
    <w:rsid w:val="00964D5F"/>
    <w:rsid w:val="00965164"/>
    <w:rsid w:val="0096553D"/>
    <w:rsid w:val="00965FFC"/>
    <w:rsid w:val="00966495"/>
    <w:rsid w:val="00966650"/>
    <w:rsid w:val="00966BBC"/>
    <w:rsid w:val="00966D13"/>
    <w:rsid w:val="009670F6"/>
    <w:rsid w:val="00967D6E"/>
    <w:rsid w:val="00967E18"/>
    <w:rsid w:val="00967E9A"/>
    <w:rsid w:val="0097010D"/>
    <w:rsid w:val="00970583"/>
    <w:rsid w:val="0097172E"/>
    <w:rsid w:val="0097185F"/>
    <w:rsid w:val="0097232E"/>
    <w:rsid w:val="009729DA"/>
    <w:rsid w:val="009730C9"/>
    <w:rsid w:val="00973155"/>
    <w:rsid w:val="0097562E"/>
    <w:rsid w:val="0097568D"/>
    <w:rsid w:val="009765AC"/>
    <w:rsid w:val="00977380"/>
    <w:rsid w:val="00981C21"/>
    <w:rsid w:val="00982A8A"/>
    <w:rsid w:val="009835B7"/>
    <w:rsid w:val="00983891"/>
    <w:rsid w:val="00985E52"/>
    <w:rsid w:val="0099000A"/>
    <w:rsid w:val="0099129A"/>
    <w:rsid w:val="00991862"/>
    <w:rsid w:val="00992C5B"/>
    <w:rsid w:val="009936BA"/>
    <w:rsid w:val="009951E4"/>
    <w:rsid w:val="009978DD"/>
    <w:rsid w:val="009A00B2"/>
    <w:rsid w:val="009A0C9F"/>
    <w:rsid w:val="009A0FF2"/>
    <w:rsid w:val="009A15E7"/>
    <w:rsid w:val="009A1609"/>
    <w:rsid w:val="009A1D02"/>
    <w:rsid w:val="009A2962"/>
    <w:rsid w:val="009A36B2"/>
    <w:rsid w:val="009A5B47"/>
    <w:rsid w:val="009A5F6F"/>
    <w:rsid w:val="009A6611"/>
    <w:rsid w:val="009A6DA9"/>
    <w:rsid w:val="009A6F01"/>
    <w:rsid w:val="009B1A63"/>
    <w:rsid w:val="009B2361"/>
    <w:rsid w:val="009B2A07"/>
    <w:rsid w:val="009B36A0"/>
    <w:rsid w:val="009B39E7"/>
    <w:rsid w:val="009B3A66"/>
    <w:rsid w:val="009B3D32"/>
    <w:rsid w:val="009B43B7"/>
    <w:rsid w:val="009B53CF"/>
    <w:rsid w:val="009B6A06"/>
    <w:rsid w:val="009C02B6"/>
    <w:rsid w:val="009C054F"/>
    <w:rsid w:val="009C0C3F"/>
    <w:rsid w:val="009C0D9D"/>
    <w:rsid w:val="009C2284"/>
    <w:rsid w:val="009C3AEF"/>
    <w:rsid w:val="009C511A"/>
    <w:rsid w:val="009C5920"/>
    <w:rsid w:val="009C5B02"/>
    <w:rsid w:val="009C6310"/>
    <w:rsid w:val="009C6EA1"/>
    <w:rsid w:val="009C74D5"/>
    <w:rsid w:val="009C7716"/>
    <w:rsid w:val="009C7819"/>
    <w:rsid w:val="009D0244"/>
    <w:rsid w:val="009D0330"/>
    <w:rsid w:val="009D08DA"/>
    <w:rsid w:val="009D2324"/>
    <w:rsid w:val="009D36FF"/>
    <w:rsid w:val="009D4375"/>
    <w:rsid w:val="009D4650"/>
    <w:rsid w:val="009D6115"/>
    <w:rsid w:val="009D63E5"/>
    <w:rsid w:val="009D6A94"/>
    <w:rsid w:val="009D7626"/>
    <w:rsid w:val="009E13EE"/>
    <w:rsid w:val="009E1556"/>
    <w:rsid w:val="009E28AD"/>
    <w:rsid w:val="009E2DA8"/>
    <w:rsid w:val="009E3E3E"/>
    <w:rsid w:val="009E3E4A"/>
    <w:rsid w:val="009E45F7"/>
    <w:rsid w:val="009E4FAF"/>
    <w:rsid w:val="009E509D"/>
    <w:rsid w:val="009E5671"/>
    <w:rsid w:val="009E5C59"/>
    <w:rsid w:val="009E668B"/>
    <w:rsid w:val="009E6ECD"/>
    <w:rsid w:val="009E6F2C"/>
    <w:rsid w:val="009E727B"/>
    <w:rsid w:val="009F023F"/>
    <w:rsid w:val="009F0332"/>
    <w:rsid w:val="009F10D4"/>
    <w:rsid w:val="009F1C33"/>
    <w:rsid w:val="009F455A"/>
    <w:rsid w:val="009F499C"/>
    <w:rsid w:val="009F4C06"/>
    <w:rsid w:val="009F5024"/>
    <w:rsid w:val="009F5057"/>
    <w:rsid w:val="009F5712"/>
    <w:rsid w:val="009F73F4"/>
    <w:rsid w:val="009F7DFD"/>
    <w:rsid w:val="00A00415"/>
    <w:rsid w:val="00A0057E"/>
    <w:rsid w:val="00A0153E"/>
    <w:rsid w:val="00A01750"/>
    <w:rsid w:val="00A02094"/>
    <w:rsid w:val="00A0242A"/>
    <w:rsid w:val="00A02C4C"/>
    <w:rsid w:val="00A02C7C"/>
    <w:rsid w:val="00A04BCD"/>
    <w:rsid w:val="00A07E57"/>
    <w:rsid w:val="00A07F76"/>
    <w:rsid w:val="00A10DAA"/>
    <w:rsid w:val="00A119C3"/>
    <w:rsid w:val="00A11FAB"/>
    <w:rsid w:val="00A12901"/>
    <w:rsid w:val="00A134BB"/>
    <w:rsid w:val="00A136A3"/>
    <w:rsid w:val="00A143B0"/>
    <w:rsid w:val="00A1446D"/>
    <w:rsid w:val="00A172DF"/>
    <w:rsid w:val="00A17720"/>
    <w:rsid w:val="00A17FAF"/>
    <w:rsid w:val="00A20B49"/>
    <w:rsid w:val="00A21B51"/>
    <w:rsid w:val="00A23C40"/>
    <w:rsid w:val="00A25370"/>
    <w:rsid w:val="00A25555"/>
    <w:rsid w:val="00A256E6"/>
    <w:rsid w:val="00A25976"/>
    <w:rsid w:val="00A263F8"/>
    <w:rsid w:val="00A279A3"/>
    <w:rsid w:val="00A30052"/>
    <w:rsid w:val="00A30149"/>
    <w:rsid w:val="00A301AC"/>
    <w:rsid w:val="00A3126E"/>
    <w:rsid w:val="00A32650"/>
    <w:rsid w:val="00A342DA"/>
    <w:rsid w:val="00A343FD"/>
    <w:rsid w:val="00A34601"/>
    <w:rsid w:val="00A34865"/>
    <w:rsid w:val="00A352F8"/>
    <w:rsid w:val="00A361CF"/>
    <w:rsid w:val="00A363B5"/>
    <w:rsid w:val="00A3671D"/>
    <w:rsid w:val="00A36EF9"/>
    <w:rsid w:val="00A371D7"/>
    <w:rsid w:val="00A37344"/>
    <w:rsid w:val="00A37B1D"/>
    <w:rsid w:val="00A41ECB"/>
    <w:rsid w:val="00A4272B"/>
    <w:rsid w:val="00A430E3"/>
    <w:rsid w:val="00A43FA9"/>
    <w:rsid w:val="00A4474E"/>
    <w:rsid w:val="00A44AEF"/>
    <w:rsid w:val="00A45FB4"/>
    <w:rsid w:val="00A4637E"/>
    <w:rsid w:val="00A466B3"/>
    <w:rsid w:val="00A47035"/>
    <w:rsid w:val="00A47ED3"/>
    <w:rsid w:val="00A53054"/>
    <w:rsid w:val="00A54E3D"/>
    <w:rsid w:val="00A5524E"/>
    <w:rsid w:val="00A55377"/>
    <w:rsid w:val="00A55F17"/>
    <w:rsid w:val="00A57F86"/>
    <w:rsid w:val="00A60E16"/>
    <w:rsid w:val="00A65CAF"/>
    <w:rsid w:val="00A65EA3"/>
    <w:rsid w:val="00A664CD"/>
    <w:rsid w:val="00A6673F"/>
    <w:rsid w:val="00A672F1"/>
    <w:rsid w:val="00A67F20"/>
    <w:rsid w:val="00A71AD9"/>
    <w:rsid w:val="00A71C6C"/>
    <w:rsid w:val="00A72709"/>
    <w:rsid w:val="00A72CDD"/>
    <w:rsid w:val="00A73714"/>
    <w:rsid w:val="00A738E7"/>
    <w:rsid w:val="00A73C10"/>
    <w:rsid w:val="00A75BED"/>
    <w:rsid w:val="00A77706"/>
    <w:rsid w:val="00A82065"/>
    <w:rsid w:val="00A82B70"/>
    <w:rsid w:val="00A831F3"/>
    <w:rsid w:val="00A83342"/>
    <w:rsid w:val="00A84019"/>
    <w:rsid w:val="00A85F19"/>
    <w:rsid w:val="00A85F5C"/>
    <w:rsid w:val="00A86EA6"/>
    <w:rsid w:val="00A87EB2"/>
    <w:rsid w:val="00A9028D"/>
    <w:rsid w:val="00A915D7"/>
    <w:rsid w:val="00A93189"/>
    <w:rsid w:val="00A94150"/>
    <w:rsid w:val="00A946A5"/>
    <w:rsid w:val="00A95B66"/>
    <w:rsid w:val="00A968D5"/>
    <w:rsid w:val="00A96DB4"/>
    <w:rsid w:val="00A972BE"/>
    <w:rsid w:val="00A97477"/>
    <w:rsid w:val="00AA437D"/>
    <w:rsid w:val="00AA5571"/>
    <w:rsid w:val="00AA565D"/>
    <w:rsid w:val="00AA6276"/>
    <w:rsid w:val="00AA6ABF"/>
    <w:rsid w:val="00AA7702"/>
    <w:rsid w:val="00AB0084"/>
    <w:rsid w:val="00AB19BC"/>
    <w:rsid w:val="00AB22EE"/>
    <w:rsid w:val="00AB2B51"/>
    <w:rsid w:val="00AB2CFA"/>
    <w:rsid w:val="00AB32B9"/>
    <w:rsid w:val="00AB60CE"/>
    <w:rsid w:val="00AB66EC"/>
    <w:rsid w:val="00AB74ED"/>
    <w:rsid w:val="00AB7B4F"/>
    <w:rsid w:val="00AC03CC"/>
    <w:rsid w:val="00AC076E"/>
    <w:rsid w:val="00AC0824"/>
    <w:rsid w:val="00AC0F2D"/>
    <w:rsid w:val="00AC1516"/>
    <w:rsid w:val="00AC19A6"/>
    <w:rsid w:val="00AC1F3D"/>
    <w:rsid w:val="00AC2C0B"/>
    <w:rsid w:val="00AC523F"/>
    <w:rsid w:val="00AC56B1"/>
    <w:rsid w:val="00AC589B"/>
    <w:rsid w:val="00AC5DA7"/>
    <w:rsid w:val="00AC60BF"/>
    <w:rsid w:val="00AC70B4"/>
    <w:rsid w:val="00AD083A"/>
    <w:rsid w:val="00AD0F93"/>
    <w:rsid w:val="00AD1A91"/>
    <w:rsid w:val="00AD3097"/>
    <w:rsid w:val="00AD336D"/>
    <w:rsid w:val="00AD3463"/>
    <w:rsid w:val="00AD3E99"/>
    <w:rsid w:val="00AD4084"/>
    <w:rsid w:val="00AD5ACB"/>
    <w:rsid w:val="00AE03E5"/>
    <w:rsid w:val="00AE0CBC"/>
    <w:rsid w:val="00AE1D29"/>
    <w:rsid w:val="00AE215B"/>
    <w:rsid w:val="00AE3645"/>
    <w:rsid w:val="00AE3ECA"/>
    <w:rsid w:val="00AE5303"/>
    <w:rsid w:val="00AE5BE1"/>
    <w:rsid w:val="00AE5E8A"/>
    <w:rsid w:val="00AE62E3"/>
    <w:rsid w:val="00AE6931"/>
    <w:rsid w:val="00AE6AC8"/>
    <w:rsid w:val="00AE6E77"/>
    <w:rsid w:val="00AF0B4F"/>
    <w:rsid w:val="00AF11E6"/>
    <w:rsid w:val="00AF1A0A"/>
    <w:rsid w:val="00AF2368"/>
    <w:rsid w:val="00AF51F8"/>
    <w:rsid w:val="00AF6249"/>
    <w:rsid w:val="00AF666B"/>
    <w:rsid w:val="00AF6798"/>
    <w:rsid w:val="00AF67C0"/>
    <w:rsid w:val="00B00056"/>
    <w:rsid w:val="00B01530"/>
    <w:rsid w:val="00B017AF"/>
    <w:rsid w:val="00B02CD4"/>
    <w:rsid w:val="00B02CD6"/>
    <w:rsid w:val="00B0390D"/>
    <w:rsid w:val="00B040C4"/>
    <w:rsid w:val="00B04447"/>
    <w:rsid w:val="00B04652"/>
    <w:rsid w:val="00B054A5"/>
    <w:rsid w:val="00B1119A"/>
    <w:rsid w:val="00B114AE"/>
    <w:rsid w:val="00B114E4"/>
    <w:rsid w:val="00B11503"/>
    <w:rsid w:val="00B1160D"/>
    <w:rsid w:val="00B117C4"/>
    <w:rsid w:val="00B12F00"/>
    <w:rsid w:val="00B1314C"/>
    <w:rsid w:val="00B13A4A"/>
    <w:rsid w:val="00B15109"/>
    <w:rsid w:val="00B1578C"/>
    <w:rsid w:val="00B15DD6"/>
    <w:rsid w:val="00B17A91"/>
    <w:rsid w:val="00B20B30"/>
    <w:rsid w:val="00B219B4"/>
    <w:rsid w:val="00B21DCB"/>
    <w:rsid w:val="00B21EA1"/>
    <w:rsid w:val="00B24C69"/>
    <w:rsid w:val="00B25837"/>
    <w:rsid w:val="00B264BF"/>
    <w:rsid w:val="00B267C4"/>
    <w:rsid w:val="00B26ABE"/>
    <w:rsid w:val="00B26B2C"/>
    <w:rsid w:val="00B27A82"/>
    <w:rsid w:val="00B314BD"/>
    <w:rsid w:val="00B31C6F"/>
    <w:rsid w:val="00B35A56"/>
    <w:rsid w:val="00B35CFF"/>
    <w:rsid w:val="00B37829"/>
    <w:rsid w:val="00B37D5E"/>
    <w:rsid w:val="00B4123D"/>
    <w:rsid w:val="00B417E9"/>
    <w:rsid w:val="00B41CAF"/>
    <w:rsid w:val="00B42199"/>
    <w:rsid w:val="00B45212"/>
    <w:rsid w:val="00B46B5E"/>
    <w:rsid w:val="00B47593"/>
    <w:rsid w:val="00B475D8"/>
    <w:rsid w:val="00B477DD"/>
    <w:rsid w:val="00B51483"/>
    <w:rsid w:val="00B51AC8"/>
    <w:rsid w:val="00B5219B"/>
    <w:rsid w:val="00B5226F"/>
    <w:rsid w:val="00B531F2"/>
    <w:rsid w:val="00B53ABD"/>
    <w:rsid w:val="00B5409F"/>
    <w:rsid w:val="00B542CB"/>
    <w:rsid w:val="00B552BA"/>
    <w:rsid w:val="00B55BCD"/>
    <w:rsid w:val="00B562B7"/>
    <w:rsid w:val="00B57152"/>
    <w:rsid w:val="00B576E3"/>
    <w:rsid w:val="00B60918"/>
    <w:rsid w:val="00B60C34"/>
    <w:rsid w:val="00B6124E"/>
    <w:rsid w:val="00B61747"/>
    <w:rsid w:val="00B61942"/>
    <w:rsid w:val="00B62C86"/>
    <w:rsid w:val="00B65683"/>
    <w:rsid w:val="00B66B8B"/>
    <w:rsid w:val="00B66E33"/>
    <w:rsid w:val="00B6716A"/>
    <w:rsid w:val="00B67D17"/>
    <w:rsid w:val="00B717F0"/>
    <w:rsid w:val="00B724DD"/>
    <w:rsid w:val="00B734EF"/>
    <w:rsid w:val="00B737F1"/>
    <w:rsid w:val="00B75020"/>
    <w:rsid w:val="00B7721B"/>
    <w:rsid w:val="00B80809"/>
    <w:rsid w:val="00B8242E"/>
    <w:rsid w:val="00B830B8"/>
    <w:rsid w:val="00B831E4"/>
    <w:rsid w:val="00B83C6E"/>
    <w:rsid w:val="00B84E0A"/>
    <w:rsid w:val="00B84F07"/>
    <w:rsid w:val="00B85E31"/>
    <w:rsid w:val="00B866E0"/>
    <w:rsid w:val="00B868BD"/>
    <w:rsid w:val="00B86CFA"/>
    <w:rsid w:val="00B86F2D"/>
    <w:rsid w:val="00B87979"/>
    <w:rsid w:val="00B9052F"/>
    <w:rsid w:val="00B9176E"/>
    <w:rsid w:val="00B9218B"/>
    <w:rsid w:val="00B92301"/>
    <w:rsid w:val="00B92858"/>
    <w:rsid w:val="00B963AF"/>
    <w:rsid w:val="00B966B0"/>
    <w:rsid w:val="00B96BF6"/>
    <w:rsid w:val="00B96D1F"/>
    <w:rsid w:val="00BA036E"/>
    <w:rsid w:val="00BA0C1D"/>
    <w:rsid w:val="00BA29D3"/>
    <w:rsid w:val="00BA2D2F"/>
    <w:rsid w:val="00BA35C6"/>
    <w:rsid w:val="00BA3CCF"/>
    <w:rsid w:val="00BA4402"/>
    <w:rsid w:val="00BA501F"/>
    <w:rsid w:val="00BA5AA8"/>
    <w:rsid w:val="00BA5C09"/>
    <w:rsid w:val="00BA6207"/>
    <w:rsid w:val="00BA62DA"/>
    <w:rsid w:val="00BA6BA1"/>
    <w:rsid w:val="00BB1C25"/>
    <w:rsid w:val="00BB24AE"/>
    <w:rsid w:val="00BB4FA8"/>
    <w:rsid w:val="00BB6498"/>
    <w:rsid w:val="00BB69D1"/>
    <w:rsid w:val="00BB704C"/>
    <w:rsid w:val="00BB77ED"/>
    <w:rsid w:val="00BC011B"/>
    <w:rsid w:val="00BC07E7"/>
    <w:rsid w:val="00BC109E"/>
    <w:rsid w:val="00BC1560"/>
    <w:rsid w:val="00BC1925"/>
    <w:rsid w:val="00BC1C0C"/>
    <w:rsid w:val="00BC2093"/>
    <w:rsid w:val="00BC2953"/>
    <w:rsid w:val="00BC514C"/>
    <w:rsid w:val="00BC5499"/>
    <w:rsid w:val="00BC5E40"/>
    <w:rsid w:val="00BC6411"/>
    <w:rsid w:val="00BC668D"/>
    <w:rsid w:val="00BC72F2"/>
    <w:rsid w:val="00BD0223"/>
    <w:rsid w:val="00BD106A"/>
    <w:rsid w:val="00BD2B14"/>
    <w:rsid w:val="00BD3D84"/>
    <w:rsid w:val="00BD3E52"/>
    <w:rsid w:val="00BD46EC"/>
    <w:rsid w:val="00BD4ADD"/>
    <w:rsid w:val="00BD52F4"/>
    <w:rsid w:val="00BD5E2C"/>
    <w:rsid w:val="00BD73C1"/>
    <w:rsid w:val="00BD7459"/>
    <w:rsid w:val="00BD7724"/>
    <w:rsid w:val="00BD77A0"/>
    <w:rsid w:val="00BD77A1"/>
    <w:rsid w:val="00BE0D8B"/>
    <w:rsid w:val="00BE1581"/>
    <w:rsid w:val="00BE1AB8"/>
    <w:rsid w:val="00BE2C15"/>
    <w:rsid w:val="00BE3020"/>
    <w:rsid w:val="00BE40FB"/>
    <w:rsid w:val="00BE421D"/>
    <w:rsid w:val="00BE426D"/>
    <w:rsid w:val="00BE4485"/>
    <w:rsid w:val="00BE4778"/>
    <w:rsid w:val="00BE4C72"/>
    <w:rsid w:val="00BE5155"/>
    <w:rsid w:val="00BE5D63"/>
    <w:rsid w:val="00BE742C"/>
    <w:rsid w:val="00BE7CCA"/>
    <w:rsid w:val="00BF0914"/>
    <w:rsid w:val="00BF181B"/>
    <w:rsid w:val="00BF221B"/>
    <w:rsid w:val="00BF2885"/>
    <w:rsid w:val="00BF39FD"/>
    <w:rsid w:val="00BF4254"/>
    <w:rsid w:val="00BF4850"/>
    <w:rsid w:val="00BF4CE3"/>
    <w:rsid w:val="00BF5591"/>
    <w:rsid w:val="00BF7138"/>
    <w:rsid w:val="00BF724C"/>
    <w:rsid w:val="00BF74AE"/>
    <w:rsid w:val="00BF7787"/>
    <w:rsid w:val="00C0118D"/>
    <w:rsid w:val="00C01AA8"/>
    <w:rsid w:val="00C02636"/>
    <w:rsid w:val="00C02BB7"/>
    <w:rsid w:val="00C07286"/>
    <w:rsid w:val="00C11E59"/>
    <w:rsid w:val="00C11F62"/>
    <w:rsid w:val="00C125D1"/>
    <w:rsid w:val="00C129F6"/>
    <w:rsid w:val="00C13CAF"/>
    <w:rsid w:val="00C13CFD"/>
    <w:rsid w:val="00C13F76"/>
    <w:rsid w:val="00C146FF"/>
    <w:rsid w:val="00C15ECB"/>
    <w:rsid w:val="00C178AE"/>
    <w:rsid w:val="00C17CB4"/>
    <w:rsid w:val="00C21108"/>
    <w:rsid w:val="00C21CA9"/>
    <w:rsid w:val="00C22EA9"/>
    <w:rsid w:val="00C2362A"/>
    <w:rsid w:val="00C24726"/>
    <w:rsid w:val="00C25091"/>
    <w:rsid w:val="00C2633D"/>
    <w:rsid w:val="00C265D4"/>
    <w:rsid w:val="00C269F8"/>
    <w:rsid w:val="00C2706B"/>
    <w:rsid w:val="00C27501"/>
    <w:rsid w:val="00C30B8D"/>
    <w:rsid w:val="00C319C2"/>
    <w:rsid w:val="00C32D54"/>
    <w:rsid w:val="00C33241"/>
    <w:rsid w:val="00C3335E"/>
    <w:rsid w:val="00C33415"/>
    <w:rsid w:val="00C33531"/>
    <w:rsid w:val="00C354DF"/>
    <w:rsid w:val="00C35865"/>
    <w:rsid w:val="00C358CE"/>
    <w:rsid w:val="00C35FA1"/>
    <w:rsid w:val="00C36D57"/>
    <w:rsid w:val="00C37ECD"/>
    <w:rsid w:val="00C40283"/>
    <w:rsid w:val="00C42061"/>
    <w:rsid w:val="00C42AA1"/>
    <w:rsid w:val="00C42AE7"/>
    <w:rsid w:val="00C43554"/>
    <w:rsid w:val="00C44E32"/>
    <w:rsid w:val="00C46447"/>
    <w:rsid w:val="00C4664E"/>
    <w:rsid w:val="00C46871"/>
    <w:rsid w:val="00C46978"/>
    <w:rsid w:val="00C46FE2"/>
    <w:rsid w:val="00C508B9"/>
    <w:rsid w:val="00C5192E"/>
    <w:rsid w:val="00C51B8C"/>
    <w:rsid w:val="00C523DF"/>
    <w:rsid w:val="00C528AC"/>
    <w:rsid w:val="00C544D5"/>
    <w:rsid w:val="00C546DD"/>
    <w:rsid w:val="00C54ABB"/>
    <w:rsid w:val="00C54B92"/>
    <w:rsid w:val="00C55B35"/>
    <w:rsid w:val="00C605B0"/>
    <w:rsid w:val="00C60A48"/>
    <w:rsid w:val="00C60CC7"/>
    <w:rsid w:val="00C60E59"/>
    <w:rsid w:val="00C61EEF"/>
    <w:rsid w:val="00C6299E"/>
    <w:rsid w:val="00C6307A"/>
    <w:rsid w:val="00C636C3"/>
    <w:rsid w:val="00C63A74"/>
    <w:rsid w:val="00C6461A"/>
    <w:rsid w:val="00C649E7"/>
    <w:rsid w:val="00C664DF"/>
    <w:rsid w:val="00C718B1"/>
    <w:rsid w:val="00C73146"/>
    <w:rsid w:val="00C733CF"/>
    <w:rsid w:val="00C738F2"/>
    <w:rsid w:val="00C73B26"/>
    <w:rsid w:val="00C7403D"/>
    <w:rsid w:val="00C740D3"/>
    <w:rsid w:val="00C74F8C"/>
    <w:rsid w:val="00C75272"/>
    <w:rsid w:val="00C75D11"/>
    <w:rsid w:val="00C7623F"/>
    <w:rsid w:val="00C81EC5"/>
    <w:rsid w:val="00C822BB"/>
    <w:rsid w:val="00C82599"/>
    <w:rsid w:val="00C836FC"/>
    <w:rsid w:val="00C840AC"/>
    <w:rsid w:val="00C8512F"/>
    <w:rsid w:val="00C855E8"/>
    <w:rsid w:val="00C85977"/>
    <w:rsid w:val="00C85A33"/>
    <w:rsid w:val="00C8603F"/>
    <w:rsid w:val="00C8766B"/>
    <w:rsid w:val="00C87697"/>
    <w:rsid w:val="00C876AB"/>
    <w:rsid w:val="00C910E3"/>
    <w:rsid w:val="00C929E2"/>
    <w:rsid w:val="00C933BA"/>
    <w:rsid w:val="00C935DD"/>
    <w:rsid w:val="00C938DF"/>
    <w:rsid w:val="00C93BAA"/>
    <w:rsid w:val="00C94B77"/>
    <w:rsid w:val="00C94D85"/>
    <w:rsid w:val="00C96342"/>
    <w:rsid w:val="00C96570"/>
    <w:rsid w:val="00C96582"/>
    <w:rsid w:val="00C96776"/>
    <w:rsid w:val="00C96DDB"/>
    <w:rsid w:val="00C9702D"/>
    <w:rsid w:val="00C9762B"/>
    <w:rsid w:val="00CA0448"/>
    <w:rsid w:val="00CA0FE4"/>
    <w:rsid w:val="00CA0FED"/>
    <w:rsid w:val="00CA2BA6"/>
    <w:rsid w:val="00CA31BE"/>
    <w:rsid w:val="00CA33B3"/>
    <w:rsid w:val="00CA4FEF"/>
    <w:rsid w:val="00CA51BF"/>
    <w:rsid w:val="00CA5380"/>
    <w:rsid w:val="00CA53CE"/>
    <w:rsid w:val="00CA578F"/>
    <w:rsid w:val="00CA6517"/>
    <w:rsid w:val="00CA680D"/>
    <w:rsid w:val="00CA78A8"/>
    <w:rsid w:val="00CA7DF9"/>
    <w:rsid w:val="00CB0961"/>
    <w:rsid w:val="00CB0B57"/>
    <w:rsid w:val="00CB11AE"/>
    <w:rsid w:val="00CB1371"/>
    <w:rsid w:val="00CB1828"/>
    <w:rsid w:val="00CB195B"/>
    <w:rsid w:val="00CB2568"/>
    <w:rsid w:val="00CB29A5"/>
    <w:rsid w:val="00CB3793"/>
    <w:rsid w:val="00CB4D81"/>
    <w:rsid w:val="00CB4E29"/>
    <w:rsid w:val="00CB5027"/>
    <w:rsid w:val="00CB5A62"/>
    <w:rsid w:val="00CB75B5"/>
    <w:rsid w:val="00CC05C9"/>
    <w:rsid w:val="00CC06EB"/>
    <w:rsid w:val="00CC15F9"/>
    <w:rsid w:val="00CC20F6"/>
    <w:rsid w:val="00CC3011"/>
    <w:rsid w:val="00CC33CE"/>
    <w:rsid w:val="00CC3DB0"/>
    <w:rsid w:val="00CC5C5B"/>
    <w:rsid w:val="00CC61A1"/>
    <w:rsid w:val="00CC6FA1"/>
    <w:rsid w:val="00CC7F03"/>
    <w:rsid w:val="00CD0222"/>
    <w:rsid w:val="00CD0770"/>
    <w:rsid w:val="00CD0AE9"/>
    <w:rsid w:val="00CD2361"/>
    <w:rsid w:val="00CD2FF6"/>
    <w:rsid w:val="00CD438D"/>
    <w:rsid w:val="00CD45F6"/>
    <w:rsid w:val="00CD4D1C"/>
    <w:rsid w:val="00CD5CE4"/>
    <w:rsid w:val="00CD6B7C"/>
    <w:rsid w:val="00CD7742"/>
    <w:rsid w:val="00CD7A0C"/>
    <w:rsid w:val="00CE0CD5"/>
    <w:rsid w:val="00CE28EB"/>
    <w:rsid w:val="00CE45C5"/>
    <w:rsid w:val="00CE5770"/>
    <w:rsid w:val="00CE5CC5"/>
    <w:rsid w:val="00CE6053"/>
    <w:rsid w:val="00CF4C8C"/>
    <w:rsid w:val="00CF5886"/>
    <w:rsid w:val="00CF6CD9"/>
    <w:rsid w:val="00D0111C"/>
    <w:rsid w:val="00D015B6"/>
    <w:rsid w:val="00D02CFB"/>
    <w:rsid w:val="00D03DE1"/>
    <w:rsid w:val="00D0424D"/>
    <w:rsid w:val="00D046DB"/>
    <w:rsid w:val="00D05C81"/>
    <w:rsid w:val="00D05D55"/>
    <w:rsid w:val="00D07C61"/>
    <w:rsid w:val="00D10082"/>
    <w:rsid w:val="00D107BD"/>
    <w:rsid w:val="00D11840"/>
    <w:rsid w:val="00D11ADA"/>
    <w:rsid w:val="00D1315A"/>
    <w:rsid w:val="00D1358A"/>
    <w:rsid w:val="00D14E45"/>
    <w:rsid w:val="00D154D0"/>
    <w:rsid w:val="00D15F94"/>
    <w:rsid w:val="00D1643E"/>
    <w:rsid w:val="00D1710F"/>
    <w:rsid w:val="00D17A96"/>
    <w:rsid w:val="00D20918"/>
    <w:rsid w:val="00D20957"/>
    <w:rsid w:val="00D21857"/>
    <w:rsid w:val="00D22EE9"/>
    <w:rsid w:val="00D23B15"/>
    <w:rsid w:val="00D26F77"/>
    <w:rsid w:val="00D3010E"/>
    <w:rsid w:val="00D3036C"/>
    <w:rsid w:val="00D304C8"/>
    <w:rsid w:val="00D30961"/>
    <w:rsid w:val="00D31057"/>
    <w:rsid w:val="00D31A2C"/>
    <w:rsid w:val="00D31C92"/>
    <w:rsid w:val="00D31F56"/>
    <w:rsid w:val="00D324B0"/>
    <w:rsid w:val="00D32DFC"/>
    <w:rsid w:val="00D332A9"/>
    <w:rsid w:val="00D3336D"/>
    <w:rsid w:val="00D33602"/>
    <w:rsid w:val="00D3494C"/>
    <w:rsid w:val="00D36F18"/>
    <w:rsid w:val="00D36FAA"/>
    <w:rsid w:val="00D371EF"/>
    <w:rsid w:val="00D37DBE"/>
    <w:rsid w:val="00D41900"/>
    <w:rsid w:val="00D42209"/>
    <w:rsid w:val="00D42D9D"/>
    <w:rsid w:val="00D4396F"/>
    <w:rsid w:val="00D43E92"/>
    <w:rsid w:val="00D44E9D"/>
    <w:rsid w:val="00D44EC1"/>
    <w:rsid w:val="00D470FA"/>
    <w:rsid w:val="00D47DF5"/>
    <w:rsid w:val="00D5037C"/>
    <w:rsid w:val="00D51129"/>
    <w:rsid w:val="00D520FB"/>
    <w:rsid w:val="00D52805"/>
    <w:rsid w:val="00D53519"/>
    <w:rsid w:val="00D53A3B"/>
    <w:rsid w:val="00D54521"/>
    <w:rsid w:val="00D558D8"/>
    <w:rsid w:val="00D558DB"/>
    <w:rsid w:val="00D56E03"/>
    <w:rsid w:val="00D61F50"/>
    <w:rsid w:val="00D6226C"/>
    <w:rsid w:val="00D629B2"/>
    <w:rsid w:val="00D62D72"/>
    <w:rsid w:val="00D63B15"/>
    <w:rsid w:val="00D6422B"/>
    <w:rsid w:val="00D643E4"/>
    <w:rsid w:val="00D64E6F"/>
    <w:rsid w:val="00D65268"/>
    <w:rsid w:val="00D6590E"/>
    <w:rsid w:val="00D6597E"/>
    <w:rsid w:val="00D66004"/>
    <w:rsid w:val="00D67EB6"/>
    <w:rsid w:val="00D704F3"/>
    <w:rsid w:val="00D72099"/>
    <w:rsid w:val="00D73B08"/>
    <w:rsid w:val="00D74E68"/>
    <w:rsid w:val="00D76868"/>
    <w:rsid w:val="00D76FF1"/>
    <w:rsid w:val="00D77450"/>
    <w:rsid w:val="00D810F9"/>
    <w:rsid w:val="00D82A45"/>
    <w:rsid w:val="00D8301C"/>
    <w:rsid w:val="00D8341C"/>
    <w:rsid w:val="00D84C57"/>
    <w:rsid w:val="00D84F08"/>
    <w:rsid w:val="00D856ED"/>
    <w:rsid w:val="00D859D3"/>
    <w:rsid w:val="00D8675B"/>
    <w:rsid w:val="00D86BB9"/>
    <w:rsid w:val="00D87CE7"/>
    <w:rsid w:val="00D90722"/>
    <w:rsid w:val="00D92254"/>
    <w:rsid w:val="00D92478"/>
    <w:rsid w:val="00D92886"/>
    <w:rsid w:val="00D92E9E"/>
    <w:rsid w:val="00D94D10"/>
    <w:rsid w:val="00D95D7E"/>
    <w:rsid w:val="00D96058"/>
    <w:rsid w:val="00D9645D"/>
    <w:rsid w:val="00DA0543"/>
    <w:rsid w:val="00DA11EF"/>
    <w:rsid w:val="00DA13CE"/>
    <w:rsid w:val="00DA1D39"/>
    <w:rsid w:val="00DA3168"/>
    <w:rsid w:val="00DA3368"/>
    <w:rsid w:val="00DA4BE0"/>
    <w:rsid w:val="00DA501D"/>
    <w:rsid w:val="00DA567A"/>
    <w:rsid w:val="00DA5B47"/>
    <w:rsid w:val="00DA740D"/>
    <w:rsid w:val="00DA7B7D"/>
    <w:rsid w:val="00DB0177"/>
    <w:rsid w:val="00DB09AC"/>
    <w:rsid w:val="00DB09D9"/>
    <w:rsid w:val="00DB2328"/>
    <w:rsid w:val="00DB2B08"/>
    <w:rsid w:val="00DB436A"/>
    <w:rsid w:val="00DB48B1"/>
    <w:rsid w:val="00DB4A9B"/>
    <w:rsid w:val="00DB4D68"/>
    <w:rsid w:val="00DB5796"/>
    <w:rsid w:val="00DB672A"/>
    <w:rsid w:val="00DB679C"/>
    <w:rsid w:val="00DB7317"/>
    <w:rsid w:val="00DB7F37"/>
    <w:rsid w:val="00DC017F"/>
    <w:rsid w:val="00DC30B1"/>
    <w:rsid w:val="00DC3135"/>
    <w:rsid w:val="00DC35A7"/>
    <w:rsid w:val="00DC3B85"/>
    <w:rsid w:val="00DC433A"/>
    <w:rsid w:val="00DC4A36"/>
    <w:rsid w:val="00DC592C"/>
    <w:rsid w:val="00DC690E"/>
    <w:rsid w:val="00DD04A1"/>
    <w:rsid w:val="00DD08F5"/>
    <w:rsid w:val="00DD0FBB"/>
    <w:rsid w:val="00DD1257"/>
    <w:rsid w:val="00DD1848"/>
    <w:rsid w:val="00DD2F14"/>
    <w:rsid w:val="00DD34E0"/>
    <w:rsid w:val="00DD3DCA"/>
    <w:rsid w:val="00DD3F4D"/>
    <w:rsid w:val="00DD45BB"/>
    <w:rsid w:val="00DD6068"/>
    <w:rsid w:val="00DD6A42"/>
    <w:rsid w:val="00DD6C88"/>
    <w:rsid w:val="00DD7E5A"/>
    <w:rsid w:val="00DE2C26"/>
    <w:rsid w:val="00DE2F73"/>
    <w:rsid w:val="00DE311B"/>
    <w:rsid w:val="00DE3F28"/>
    <w:rsid w:val="00DE4780"/>
    <w:rsid w:val="00DE4AB2"/>
    <w:rsid w:val="00DE543E"/>
    <w:rsid w:val="00DE6B62"/>
    <w:rsid w:val="00DE6F7D"/>
    <w:rsid w:val="00DF1FC8"/>
    <w:rsid w:val="00DF24DC"/>
    <w:rsid w:val="00DF268E"/>
    <w:rsid w:val="00DF3494"/>
    <w:rsid w:val="00DF4ADB"/>
    <w:rsid w:val="00DF50CB"/>
    <w:rsid w:val="00DF67E6"/>
    <w:rsid w:val="00DF715C"/>
    <w:rsid w:val="00DF7A5D"/>
    <w:rsid w:val="00E00432"/>
    <w:rsid w:val="00E0096C"/>
    <w:rsid w:val="00E013AA"/>
    <w:rsid w:val="00E03725"/>
    <w:rsid w:val="00E03786"/>
    <w:rsid w:val="00E03AB3"/>
    <w:rsid w:val="00E03D5F"/>
    <w:rsid w:val="00E04114"/>
    <w:rsid w:val="00E0656B"/>
    <w:rsid w:val="00E06F1C"/>
    <w:rsid w:val="00E07254"/>
    <w:rsid w:val="00E12D41"/>
    <w:rsid w:val="00E12DC4"/>
    <w:rsid w:val="00E14488"/>
    <w:rsid w:val="00E144C4"/>
    <w:rsid w:val="00E14696"/>
    <w:rsid w:val="00E14E00"/>
    <w:rsid w:val="00E16396"/>
    <w:rsid w:val="00E16C73"/>
    <w:rsid w:val="00E16FFE"/>
    <w:rsid w:val="00E1791B"/>
    <w:rsid w:val="00E179A4"/>
    <w:rsid w:val="00E207D3"/>
    <w:rsid w:val="00E207E7"/>
    <w:rsid w:val="00E2237F"/>
    <w:rsid w:val="00E2332B"/>
    <w:rsid w:val="00E24430"/>
    <w:rsid w:val="00E255FF"/>
    <w:rsid w:val="00E25B52"/>
    <w:rsid w:val="00E26329"/>
    <w:rsid w:val="00E26354"/>
    <w:rsid w:val="00E274BC"/>
    <w:rsid w:val="00E31509"/>
    <w:rsid w:val="00E32900"/>
    <w:rsid w:val="00E341A3"/>
    <w:rsid w:val="00E3760E"/>
    <w:rsid w:val="00E37B5F"/>
    <w:rsid w:val="00E4018C"/>
    <w:rsid w:val="00E40DEB"/>
    <w:rsid w:val="00E4132F"/>
    <w:rsid w:val="00E42851"/>
    <w:rsid w:val="00E43C88"/>
    <w:rsid w:val="00E44AE8"/>
    <w:rsid w:val="00E44D78"/>
    <w:rsid w:val="00E4581D"/>
    <w:rsid w:val="00E45917"/>
    <w:rsid w:val="00E45A03"/>
    <w:rsid w:val="00E45BBD"/>
    <w:rsid w:val="00E45D0C"/>
    <w:rsid w:val="00E46178"/>
    <w:rsid w:val="00E46186"/>
    <w:rsid w:val="00E46246"/>
    <w:rsid w:val="00E4674C"/>
    <w:rsid w:val="00E5068A"/>
    <w:rsid w:val="00E517B4"/>
    <w:rsid w:val="00E51B0D"/>
    <w:rsid w:val="00E534F8"/>
    <w:rsid w:val="00E53FBA"/>
    <w:rsid w:val="00E54042"/>
    <w:rsid w:val="00E54DD3"/>
    <w:rsid w:val="00E5513A"/>
    <w:rsid w:val="00E55936"/>
    <w:rsid w:val="00E5594F"/>
    <w:rsid w:val="00E55BC7"/>
    <w:rsid w:val="00E60ACC"/>
    <w:rsid w:val="00E6129E"/>
    <w:rsid w:val="00E62C54"/>
    <w:rsid w:val="00E62FDB"/>
    <w:rsid w:val="00E648D0"/>
    <w:rsid w:val="00E6572F"/>
    <w:rsid w:val="00E65772"/>
    <w:rsid w:val="00E657DB"/>
    <w:rsid w:val="00E660F4"/>
    <w:rsid w:val="00E6684B"/>
    <w:rsid w:val="00E669E6"/>
    <w:rsid w:val="00E67B19"/>
    <w:rsid w:val="00E709AE"/>
    <w:rsid w:val="00E719CB"/>
    <w:rsid w:val="00E71A2A"/>
    <w:rsid w:val="00E71FB0"/>
    <w:rsid w:val="00E72080"/>
    <w:rsid w:val="00E7252E"/>
    <w:rsid w:val="00E7394D"/>
    <w:rsid w:val="00E74542"/>
    <w:rsid w:val="00E75B7F"/>
    <w:rsid w:val="00E75F6E"/>
    <w:rsid w:val="00E76164"/>
    <w:rsid w:val="00E76C98"/>
    <w:rsid w:val="00E76DC2"/>
    <w:rsid w:val="00E779EC"/>
    <w:rsid w:val="00E804A6"/>
    <w:rsid w:val="00E81B57"/>
    <w:rsid w:val="00E821B6"/>
    <w:rsid w:val="00E82AE3"/>
    <w:rsid w:val="00E82DC5"/>
    <w:rsid w:val="00E836C6"/>
    <w:rsid w:val="00E83A4B"/>
    <w:rsid w:val="00E8526A"/>
    <w:rsid w:val="00E8592F"/>
    <w:rsid w:val="00E85F87"/>
    <w:rsid w:val="00E867EF"/>
    <w:rsid w:val="00E901E7"/>
    <w:rsid w:val="00E90421"/>
    <w:rsid w:val="00E907A2"/>
    <w:rsid w:val="00E908F3"/>
    <w:rsid w:val="00E90C9E"/>
    <w:rsid w:val="00E9137B"/>
    <w:rsid w:val="00E91668"/>
    <w:rsid w:val="00E91D4D"/>
    <w:rsid w:val="00E91FFA"/>
    <w:rsid w:val="00E9493C"/>
    <w:rsid w:val="00E95514"/>
    <w:rsid w:val="00E962A5"/>
    <w:rsid w:val="00E9638D"/>
    <w:rsid w:val="00E9644F"/>
    <w:rsid w:val="00E964DD"/>
    <w:rsid w:val="00E97E82"/>
    <w:rsid w:val="00EA08BA"/>
    <w:rsid w:val="00EA0BAA"/>
    <w:rsid w:val="00EA0CB2"/>
    <w:rsid w:val="00EA156B"/>
    <w:rsid w:val="00EA1EB0"/>
    <w:rsid w:val="00EA402F"/>
    <w:rsid w:val="00EA463D"/>
    <w:rsid w:val="00EA6590"/>
    <w:rsid w:val="00EA6B10"/>
    <w:rsid w:val="00EB1D0C"/>
    <w:rsid w:val="00EB3006"/>
    <w:rsid w:val="00EB369F"/>
    <w:rsid w:val="00EB3BA9"/>
    <w:rsid w:val="00EB3F74"/>
    <w:rsid w:val="00EB43CE"/>
    <w:rsid w:val="00EB555E"/>
    <w:rsid w:val="00EB6A2E"/>
    <w:rsid w:val="00EB6CC2"/>
    <w:rsid w:val="00EB7138"/>
    <w:rsid w:val="00EC0028"/>
    <w:rsid w:val="00EC04DC"/>
    <w:rsid w:val="00EC0AD5"/>
    <w:rsid w:val="00EC10CA"/>
    <w:rsid w:val="00EC166D"/>
    <w:rsid w:val="00EC1E36"/>
    <w:rsid w:val="00EC2492"/>
    <w:rsid w:val="00EC28D2"/>
    <w:rsid w:val="00EC3B24"/>
    <w:rsid w:val="00EC4C9A"/>
    <w:rsid w:val="00EC5401"/>
    <w:rsid w:val="00EC5885"/>
    <w:rsid w:val="00EC603A"/>
    <w:rsid w:val="00EC6F69"/>
    <w:rsid w:val="00EC73A0"/>
    <w:rsid w:val="00EC7EE6"/>
    <w:rsid w:val="00ED2A29"/>
    <w:rsid w:val="00ED390C"/>
    <w:rsid w:val="00ED3BD2"/>
    <w:rsid w:val="00ED51F7"/>
    <w:rsid w:val="00ED5BB3"/>
    <w:rsid w:val="00ED651F"/>
    <w:rsid w:val="00ED7528"/>
    <w:rsid w:val="00ED76F6"/>
    <w:rsid w:val="00EE0AEA"/>
    <w:rsid w:val="00EE0F54"/>
    <w:rsid w:val="00EE13CF"/>
    <w:rsid w:val="00EE1D64"/>
    <w:rsid w:val="00EE4667"/>
    <w:rsid w:val="00EE547B"/>
    <w:rsid w:val="00EE5C6A"/>
    <w:rsid w:val="00EE5E5C"/>
    <w:rsid w:val="00EE7778"/>
    <w:rsid w:val="00EE790C"/>
    <w:rsid w:val="00EF032C"/>
    <w:rsid w:val="00EF13C3"/>
    <w:rsid w:val="00EF29C2"/>
    <w:rsid w:val="00EF2D6F"/>
    <w:rsid w:val="00EF2FA8"/>
    <w:rsid w:val="00EF3643"/>
    <w:rsid w:val="00EF4258"/>
    <w:rsid w:val="00EF460E"/>
    <w:rsid w:val="00EF48CB"/>
    <w:rsid w:val="00EF56D5"/>
    <w:rsid w:val="00EF74BF"/>
    <w:rsid w:val="00F0085E"/>
    <w:rsid w:val="00F01BAE"/>
    <w:rsid w:val="00F01DF5"/>
    <w:rsid w:val="00F03200"/>
    <w:rsid w:val="00F035F3"/>
    <w:rsid w:val="00F043C3"/>
    <w:rsid w:val="00F0496E"/>
    <w:rsid w:val="00F06823"/>
    <w:rsid w:val="00F075ED"/>
    <w:rsid w:val="00F07D6B"/>
    <w:rsid w:val="00F111BE"/>
    <w:rsid w:val="00F119E3"/>
    <w:rsid w:val="00F12B58"/>
    <w:rsid w:val="00F12F74"/>
    <w:rsid w:val="00F13A45"/>
    <w:rsid w:val="00F16BBF"/>
    <w:rsid w:val="00F17E92"/>
    <w:rsid w:val="00F20193"/>
    <w:rsid w:val="00F2020A"/>
    <w:rsid w:val="00F2027F"/>
    <w:rsid w:val="00F205D7"/>
    <w:rsid w:val="00F20B5B"/>
    <w:rsid w:val="00F21A25"/>
    <w:rsid w:val="00F21E14"/>
    <w:rsid w:val="00F23184"/>
    <w:rsid w:val="00F23656"/>
    <w:rsid w:val="00F24082"/>
    <w:rsid w:val="00F24DD5"/>
    <w:rsid w:val="00F255B0"/>
    <w:rsid w:val="00F262FD"/>
    <w:rsid w:val="00F26A80"/>
    <w:rsid w:val="00F27656"/>
    <w:rsid w:val="00F30D6A"/>
    <w:rsid w:val="00F3171D"/>
    <w:rsid w:val="00F32A4D"/>
    <w:rsid w:val="00F33F7D"/>
    <w:rsid w:val="00F34484"/>
    <w:rsid w:val="00F348F5"/>
    <w:rsid w:val="00F35241"/>
    <w:rsid w:val="00F36DE0"/>
    <w:rsid w:val="00F37471"/>
    <w:rsid w:val="00F401AB"/>
    <w:rsid w:val="00F40FEA"/>
    <w:rsid w:val="00F41186"/>
    <w:rsid w:val="00F41AE6"/>
    <w:rsid w:val="00F41C98"/>
    <w:rsid w:val="00F45301"/>
    <w:rsid w:val="00F45823"/>
    <w:rsid w:val="00F459BB"/>
    <w:rsid w:val="00F47412"/>
    <w:rsid w:val="00F50151"/>
    <w:rsid w:val="00F5024F"/>
    <w:rsid w:val="00F502AA"/>
    <w:rsid w:val="00F5081E"/>
    <w:rsid w:val="00F51218"/>
    <w:rsid w:val="00F5123E"/>
    <w:rsid w:val="00F51864"/>
    <w:rsid w:val="00F51DC4"/>
    <w:rsid w:val="00F52935"/>
    <w:rsid w:val="00F52ADB"/>
    <w:rsid w:val="00F5353E"/>
    <w:rsid w:val="00F53BC1"/>
    <w:rsid w:val="00F54505"/>
    <w:rsid w:val="00F54616"/>
    <w:rsid w:val="00F547E0"/>
    <w:rsid w:val="00F54F72"/>
    <w:rsid w:val="00F5652B"/>
    <w:rsid w:val="00F57F6B"/>
    <w:rsid w:val="00F614D2"/>
    <w:rsid w:val="00F61791"/>
    <w:rsid w:val="00F62FF2"/>
    <w:rsid w:val="00F637D2"/>
    <w:rsid w:val="00F64287"/>
    <w:rsid w:val="00F64661"/>
    <w:rsid w:val="00F64E01"/>
    <w:rsid w:val="00F64EAC"/>
    <w:rsid w:val="00F6550A"/>
    <w:rsid w:val="00F7091D"/>
    <w:rsid w:val="00F70DD4"/>
    <w:rsid w:val="00F714AE"/>
    <w:rsid w:val="00F7188F"/>
    <w:rsid w:val="00F7258F"/>
    <w:rsid w:val="00F72E3A"/>
    <w:rsid w:val="00F7317E"/>
    <w:rsid w:val="00F7433A"/>
    <w:rsid w:val="00F75640"/>
    <w:rsid w:val="00F75BD4"/>
    <w:rsid w:val="00F75F80"/>
    <w:rsid w:val="00F76ACE"/>
    <w:rsid w:val="00F76E3C"/>
    <w:rsid w:val="00F81277"/>
    <w:rsid w:val="00F82099"/>
    <w:rsid w:val="00F83378"/>
    <w:rsid w:val="00F83736"/>
    <w:rsid w:val="00F83CAC"/>
    <w:rsid w:val="00F849ED"/>
    <w:rsid w:val="00F85C20"/>
    <w:rsid w:val="00F85E2C"/>
    <w:rsid w:val="00F8661F"/>
    <w:rsid w:val="00F87259"/>
    <w:rsid w:val="00F9218C"/>
    <w:rsid w:val="00F92528"/>
    <w:rsid w:val="00F92ABD"/>
    <w:rsid w:val="00F933A6"/>
    <w:rsid w:val="00F945EC"/>
    <w:rsid w:val="00F947A2"/>
    <w:rsid w:val="00F94812"/>
    <w:rsid w:val="00F9485A"/>
    <w:rsid w:val="00F962FE"/>
    <w:rsid w:val="00FA0890"/>
    <w:rsid w:val="00FA1AA9"/>
    <w:rsid w:val="00FA23A2"/>
    <w:rsid w:val="00FA23EC"/>
    <w:rsid w:val="00FA31B7"/>
    <w:rsid w:val="00FA31C8"/>
    <w:rsid w:val="00FA58E5"/>
    <w:rsid w:val="00FA6204"/>
    <w:rsid w:val="00FA7123"/>
    <w:rsid w:val="00FA73C0"/>
    <w:rsid w:val="00FA7812"/>
    <w:rsid w:val="00FA7A86"/>
    <w:rsid w:val="00FB0701"/>
    <w:rsid w:val="00FB094E"/>
    <w:rsid w:val="00FB0E73"/>
    <w:rsid w:val="00FB1085"/>
    <w:rsid w:val="00FB15C9"/>
    <w:rsid w:val="00FB390B"/>
    <w:rsid w:val="00FB4262"/>
    <w:rsid w:val="00FB5D15"/>
    <w:rsid w:val="00FC0DDC"/>
    <w:rsid w:val="00FC1706"/>
    <w:rsid w:val="00FC31DE"/>
    <w:rsid w:val="00FC3C02"/>
    <w:rsid w:val="00FC4193"/>
    <w:rsid w:val="00FC42E0"/>
    <w:rsid w:val="00FC4FF6"/>
    <w:rsid w:val="00FC5A3F"/>
    <w:rsid w:val="00FC67CC"/>
    <w:rsid w:val="00FC765B"/>
    <w:rsid w:val="00FC786C"/>
    <w:rsid w:val="00FC78F9"/>
    <w:rsid w:val="00FD027A"/>
    <w:rsid w:val="00FD07F4"/>
    <w:rsid w:val="00FD14DF"/>
    <w:rsid w:val="00FD241B"/>
    <w:rsid w:val="00FD2830"/>
    <w:rsid w:val="00FD3A95"/>
    <w:rsid w:val="00FD3C0D"/>
    <w:rsid w:val="00FD4708"/>
    <w:rsid w:val="00FD5DB6"/>
    <w:rsid w:val="00FD6552"/>
    <w:rsid w:val="00FD7097"/>
    <w:rsid w:val="00FD76D7"/>
    <w:rsid w:val="00FD786A"/>
    <w:rsid w:val="00FE03AF"/>
    <w:rsid w:val="00FE088A"/>
    <w:rsid w:val="00FE110D"/>
    <w:rsid w:val="00FE1F90"/>
    <w:rsid w:val="00FE2174"/>
    <w:rsid w:val="00FE2A79"/>
    <w:rsid w:val="00FE2D46"/>
    <w:rsid w:val="00FE4002"/>
    <w:rsid w:val="00FE424E"/>
    <w:rsid w:val="00FE5C44"/>
    <w:rsid w:val="00FF0320"/>
    <w:rsid w:val="00FF0814"/>
    <w:rsid w:val="00FF0955"/>
    <w:rsid w:val="00FF0FB6"/>
    <w:rsid w:val="00FF11B3"/>
    <w:rsid w:val="00FF2576"/>
    <w:rsid w:val="00FF3A0C"/>
    <w:rsid w:val="00FF3CE1"/>
    <w:rsid w:val="00FF59A2"/>
    <w:rsid w:val="00FF722C"/>
    <w:rsid w:val="00FF77F2"/>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684F3436"/>
  <w15:docId w15:val="{C1BEAA60-C382-4DD7-A2B4-C5C7A3CE7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7CE7"/>
    <w:pPr>
      <w:widowControl w:val="0"/>
      <w:autoSpaceDE w:val="0"/>
      <w:autoSpaceDN w:val="0"/>
      <w:adjustRightInd w:val="0"/>
      <w:spacing w:line="280" w:lineRule="atLeast"/>
    </w:pPr>
    <w:rPr>
      <w:rFonts w:ascii="EYInterstate Light" w:hAnsi="EYInterstate Light"/>
      <w:sz w:val="22"/>
      <w:lang w:val="en-AU"/>
    </w:rPr>
  </w:style>
  <w:style w:type="paragraph" w:styleId="Heading1">
    <w:name w:val="heading 1"/>
    <w:basedOn w:val="Normal"/>
    <w:next w:val="Normal"/>
    <w:qFormat/>
    <w:rsid w:val="00441C55"/>
    <w:pPr>
      <w:keepNext/>
      <w:numPr>
        <w:numId w:val="7"/>
      </w:numPr>
      <w:tabs>
        <w:tab w:val="left" w:pos="720"/>
      </w:tabs>
      <w:spacing w:after="240"/>
      <w:outlineLvl w:val="0"/>
    </w:pPr>
    <w:rPr>
      <w:b/>
      <w:bCs/>
      <w:sz w:val="28"/>
      <w:szCs w:val="24"/>
    </w:rPr>
  </w:style>
  <w:style w:type="paragraph" w:styleId="Heading2">
    <w:name w:val="heading 2"/>
    <w:basedOn w:val="Normal"/>
    <w:next w:val="Normal"/>
    <w:qFormat/>
    <w:rsid w:val="00441C55"/>
    <w:pPr>
      <w:keepNext/>
      <w:numPr>
        <w:ilvl w:val="1"/>
        <w:numId w:val="7"/>
      </w:numPr>
      <w:outlineLvl w:val="1"/>
    </w:pPr>
    <w:rPr>
      <w:rFonts w:cs="Arial"/>
      <w:b/>
      <w:bCs/>
      <w:iCs/>
    </w:rPr>
  </w:style>
  <w:style w:type="paragraph" w:styleId="Heading3">
    <w:name w:val="heading 3"/>
    <w:basedOn w:val="Normal"/>
    <w:next w:val="Normal"/>
    <w:qFormat/>
    <w:rsid w:val="00441C55"/>
    <w:pPr>
      <w:keepNext/>
      <w:numPr>
        <w:ilvl w:val="2"/>
        <w:numId w:val="7"/>
      </w:numPr>
      <w:outlineLvl w:val="2"/>
    </w:pPr>
    <w:rPr>
      <w:rFonts w:cs="Arial"/>
      <w:b/>
      <w:bCs/>
    </w:rPr>
  </w:style>
  <w:style w:type="paragraph" w:styleId="Heading4">
    <w:name w:val="heading 4"/>
    <w:basedOn w:val="Heading1"/>
    <w:next w:val="Normal"/>
    <w:qFormat/>
    <w:rsid w:val="00441C55"/>
    <w:pPr>
      <w:numPr>
        <w:ilvl w:val="3"/>
        <w:numId w:val="8"/>
      </w:numPr>
      <w:spacing w:line="240" w:lineRule="exact"/>
      <w:outlineLvl w:val="3"/>
    </w:pPr>
    <w:rPr>
      <w:color w:val="000000"/>
      <w:sz w:val="20"/>
    </w:rPr>
  </w:style>
  <w:style w:type="paragraph" w:styleId="Heading5">
    <w:name w:val="heading 5"/>
    <w:basedOn w:val="Heading1"/>
    <w:next w:val="Normal"/>
    <w:link w:val="Heading5Char"/>
    <w:qFormat/>
    <w:rsid w:val="00441C55"/>
    <w:pPr>
      <w:numPr>
        <w:numId w:val="0"/>
      </w:numPr>
      <w:outlineLvl w:val="4"/>
    </w:pPr>
  </w:style>
  <w:style w:type="paragraph" w:styleId="Heading6">
    <w:name w:val="heading 6"/>
    <w:basedOn w:val="Heading3"/>
    <w:next w:val="Normal"/>
    <w:qFormat/>
    <w:rsid w:val="00441C55"/>
    <w:pPr>
      <w:numPr>
        <w:ilvl w:val="0"/>
        <w:numId w:val="0"/>
      </w:numPr>
      <w:outlineLvl w:val="5"/>
    </w:pPr>
    <w:rPr>
      <w:i/>
    </w:rPr>
  </w:style>
  <w:style w:type="paragraph" w:styleId="Heading7">
    <w:name w:val="heading 7"/>
    <w:basedOn w:val="Normal"/>
    <w:next w:val="Normal"/>
    <w:qFormat/>
    <w:rsid w:val="00441C55"/>
    <w:pPr>
      <w:spacing w:before="120" w:after="240"/>
      <w:outlineLvl w:val="6"/>
    </w:pPr>
    <w:rPr>
      <w:b/>
      <w:i/>
    </w:rPr>
  </w:style>
  <w:style w:type="paragraph" w:styleId="Heading8">
    <w:name w:val="heading 8"/>
    <w:basedOn w:val="Normal"/>
    <w:next w:val="Normal"/>
    <w:qFormat/>
    <w:rsid w:val="00441C55"/>
    <w:pPr>
      <w:spacing w:before="120" w:after="240"/>
      <w:outlineLvl w:val="7"/>
    </w:pPr>
    <w:rPr>
      <w:b/>
    </w:rPr>
  </w:style>
  <w:style w:type="paragraph" w:styleId="Heading9">
    <w:name w:val="heading 9"/>
    <w:basedOn w:val="Heading8"/>
    <w:next w:val="Normal"/>
    <w:qFormat/>
    <w:rsid w:val="00441C55"/>
    <w:pPr>
      <w:pageBreakBefore/>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A23EC"/>
    <w:pPr>
      <w:spacing w:after="120"/>
    </w:pPr>
  </w:style>
  <w:style w:type="paragraph" w:styleId="E-mailSignature">
    <w:name w:val="E-mail Signature"/>
    <w:basedOn w:val="Normal"/>
    <w:rsid w:val="00FA23EC"/>
  </w:style>
  <w:style w:type="paragraph" w:customStyle="1" w:styleId="EYNormal">
    <w:name w:val="EY Normal"/>
    <w:link w:val="EYNormalChar"/>
    <w:rsid w:val="00B60918"/>
    <w:rPr>
      <w:rFonts w:ascii="EYInterstate Light" w:hAnsi="EYInterstate Light"/>
      <w:kern w:val="12"/>
      <w:szCs w:val="24"/>
    </w:rPr>
  </w:style>
  <w:style w:type="paragraph" w:customStyle="1" w:styleId="EYAppendiceBodytext">
    <w:name w:val="EY Appendice Body text"/>
    <w:basedOn w:val="EYNormal"/>
    <w:rsid w:val="00FA23EC"/>
    <w:pPr>
      <w:spacing w:after="240"/>
    </w:pPr>
  </w:style>
  <w:style w:type="paragraph" w:customStyle="1" w:styleId="EYAppendix">
    <w:name w:val="EY Appendix"/>
    <w:basedOn w:val="EYNormal"/>
    <w:next w:val="EYBodytextwithparaspace"/>
    <w:qFormat/>
    <w:rsid w:val="000D3A0A"/>
    <w:pPr>
      <w:numPr>
        <w:numId w:val="24"/>
      </w:numPr>
      <w:spacing w:after="360"/>
      <w:outlineLvl w:val="0"/>
    </w:pPr>
    <w:rPr>
      <w:b/>
      <w:color w:val="808080"/>
      <w:kern w:val="0"/>
      <w:sz w:val="32"/>
    </w:rPr>
  </w:style>
  <w:style w:type="paragraph" w:customStyle="1" w:styleId="EYAppendixHeading2">
    <w:name w:val="EY Appendix Heading 2"/>
    <w:basedOn w:val="EYNormal"/>
    <w:next w:val="EYBodytextwithparaspace"/>
    <w:qFormat/>
    <w:rsid w:val="000D3A0A"/>
    <w:pPr>
      <w:keepNext/>
      <w:spacing w:after="120"/>
    </w:pPr>
    <w:rPr>
      <w:b/>
      <w:kern w:val="0"/>
      <w:sz w:val="28"/>
    </w:rPr>
  </w:style>
  <w:style w:type="paragraph" w:customStyle="1" w:styleId="EYAppendixHeading3">
    <w:name w:val="EY Appendix Heading 3"/>
    <w:basedOn w:val="EYNormal"/>
    <w:next w:val="EYBodytextwithparaspace"/>
    <w:qFormat/>
    <w:rsid w:val="000D3A0A"/>
    <w:pPr>
      <w:keepNext/>
      <w:spacing w:after="120"/>
    </w:pPr>
    <w:rPr>
      <w:b/>
      <w:kern w:val="0"/>
      <w:sz w:val="26"/>
    </w:rPr>
  </w:style>
  <w:style w:type="paragraph" w:customStyle="1" w:styleId="EYBodytextwithparaspace">
    <w:name w:val="EY Body text (with para space)"/>
    <w:basedOn w:val="EYNormal"/>
    <w:link w:val="EYBodytextwithparaspaceChar"/>
    <w:qFormat/>
    <w:rsid w:val="00390BB6"/>
    <w:pPr>
      <w:numPr>
        <w:ilvl w:val="4"/>
        <w:numId w:val="5"/>
      </w:numPr>
      <w:spacing w:after="240" w:line="280" w:lineRule="atLeast"/>
    </w:pPr>
    <w:rPr>
      <w:sz w:val="22"/>
    </w:rPr>
  </w:style>
  <w:style w:type="character" w:customStyle="1" w:styleId="EYBodytextwithoutparaspaceCharChar">
    <w:name w:val="EY Body text (without para space) Char Char"/>
    <w:basedOn w:val="DefaultParagraphFont"/>
    <w:link w:val="EYBodytextwithoutparaspace"/>
    <w:rsid w:val="00FA23EC"/>
    <w:rPr>
      <w:rFonts w:ascii="EYInterstate Light" w:hAnsi="EYInterstate Light"/>
      <w:kern w:val="12"/>
      <w:szCs w:val="24"/>
    </w:rPr>
  </w:style>
  <w:style w:type="character" w:customStyle="1" w:styleId="EYBodytextwithparaspaceChar">
    <w:name w:val="EY Body text (with para space) Char"/>
    <w:basedOn w:val="EYBodytextwithoutparaspaceCharChar"/>
    <w:link w:val="EYBodytextwithparaspace"/>
    <w:rsid w:val="00390BB6"/>
    <w:rPr>
      <w:rFonts w:ascii="EYInterstate Light" w:hAnsi="EYInterstate Light"/>
      <w:kern w:val="12"/>
      <w:sz w:val="22"/>
      <w:szCs w:val="24"/>
    </w:rPr>
  </w:style>
  <w:style w:type="paragraph" w:customStyle="1" w:styleId="EYBodytextwithoutparaspace">
    <w:name w:val="EY Body text (without para space)"/>
    <w:basedOn w:val="EYNormal"/>
    <w:link w:val="EYBodytextwithoutparaspaceCharChar"/>
    <w:qFormat/>
    <w:rsid w:val="00504137"/>
  </w:style>
  <w:style w:type="paragraph" w:customStyle="1" w:styleId="EYBoldsubjectheading">
    <w:name w:val="EY Bold subject heading"/>
    <w:basedOn w:val="EYNormal"/>
    <w:next w:val="EYBodytextwithparaspace"/>
    <w:link w:val="EYBoldsubjectheadingChar"/>
    <w:rsid w:val="00FA23EC"/>
    <w:pPr>
      <w:spacing w:after="480" w:line="260" w:lineRule="exact"/>
    </w:pPr>
    <w:rPr>
      <w:b/>
      <w:sz w:val="26"/>
    </w:rPr>
  </w:style>
  <w:style w:type="character" w:customStyle="1" w:styleId="EYBoldsubjectheadingChar">
    <w:name w:val="EY Bold subject heading Char"/>
    <w:basedOn w:val="DefaultParagraphFont"/>
    <w:link w:val="EYBoldsubjectheading"/>
    <w:rsid w:val="00FA23EC"/>
    <w:rPr>
      <w:rFonts w:ascii="EYInterstate Light" w:hAnsi="EYInterstate Light"/>
      <w:b/>
      <w:kern w:val="12"/>
      <w:sz w:val="26"/>
      <w:szCs w:val="24"/>
      <w:lang w:val="en-GB" w:eastAsia="en-US" w:bidi="ar-SA"/>
    </w:rPr>
  </w:style>
  <w:style w:type="paragraph" w:customStyle="1" w:styleId="EYBulletedList1">
    <w:name w:val="EY Bulleted List 1"/>
    <w:rsid w:val="00C664DF"/>
    <w:pPr>
      <w:numPr>
        <w:numId w:val="6"/>
      </w:numPr>
    </w:pPr>
    <w:rPr>
      <w:rFonts w:ascii="EYInterstate Light" w:hAnsi="EYInterstate Light"/>
      <w:kern w:val="12"/>
      <w:szCs w:val="24"/>
    </w:rPr>
  </w:style>
  <w:style w:type="paragraph" w:customStyle="1" w:styleId="EYBulletedList2">
    <w:name w:val="EY Bulleted List 2"/>
    <w:rsid w:val="0058234D"/>
    <w:pPr>
      <w:numPr>
        <w:numId w:val="21"/>
      </w:numPr>
      <w:spacing w:before="120" w:after="120"/>
      <w:ind w:left="714" w:hanging="357"/>
    </w:pPr>
    <w:rPr>
      <w:rFonts w:ascii="EYInterstate Light" w:hAnsi="EYInterstate Light"/>
      <w:kern w:val="12"/>
      <w:szCs w:val="24"/>
    </w:rPr>
  </w:style>
  <w:style w:type="paragraph" w:customStyle="1" w:styleId="EYBulletedList3">
    <w:name w:val="EY Bulleted List 3"/>
    <w:rsid w:val="00C664DF"/>
    <w:pPr>
      <w:numPr>
        <w:ilvl w:val="2"/>
        <w:numId w:val="6"/>
      </w:numPr>
    </w:pPr>
    <w:rPr>
      <w:rFonts w:ascii="EYInterstate Light" w:hAnsi="EYInterstate Light"/>
      <w:kern w:val="12"/>
      <w:szCs w:val="24"/>
    </w:rPr>
  </w:style>
  <w:style w:type="paragraph" w:customStyle="1" w:styleId="EYBusinessaddress">
    <w:name w:val="EY Business address"/>
    <w:basedOn w:val="EYNormal"/>
    <w:rsid w:val="00FA23EC"/>
    <w:pPr>
      <w:spacing w:line="170" w:lineRule="atLeast"/>
    </w:pPr>
    <w:rPr>
      <w:color w:val="666666"/>
      <w:sz w:val="15"/>
    </w:rPr>
  </w:style>
  <w:style w:type="paragraph" w:customStyle="1" w:styleId="EYBusinessaddressbold">
    <w:name w:val="EY Business address (bold)"/>
    <w:basedOn w:val="EYBusinessaddress"/>
    <w:next w:val="EYBusinessaddress"/>
    <w:rsid w:val="00FA23EC"/>
    <w:rPr>
      <w:b/>
    </w:rPr>
  </w:style>
  <w:style w:type="paragraph" w:customStyle="1" w:styleId="EYClosure">
    <w:name w:val="EY Closure"/>
    <w:basedOn w:val="EYBodytextwithoutparaspace"/>
    <w:next w:val="EYBodytextwithoutparaspace"/>
    <w:link w:val="EYClosureChar"/>
    <w:rsid w:val="00FA23EC"/>
    <w:pPr>
      <w:spacing w:after="1040" w:line="260" w:lineRule="exact"/>
    </w:pPr>
  </w:style>
  <w:style w:type="paragraph" w:customStyle="1" w:styleId="EYContents">
    <w:name w:val="EY Contents"/>
    <w:basedOn w:val="EYNormal"/>
    <w:next w:val="Normal"/>
    <w:rsid w:val="00ED51F7"/>
    <w:pPr>
      <w:keepNext/>
      <w:spacing w:after="240"/>
      <w:outlineLvl w:val="0"/>
    </w:pPr>
    <w:rPr>
      <w:rFonts w:ascii="EYInterstate Regular" w:hAnsi="EYInterstate Regular"/>
      <w:color w:val="808080"/>
      <w:sz w:val="28"/>
    </w:rPr>
  </w:style>
  <w:style w:type="paragraph" w:customStyle="1" w:styleId="EYContentsContinued">
    <w:name w:val="EY Contents (Continued)"/>
    <w:basedOn w:val="EYContents"/>
    <w:rsid w:val="00ED51F7"/>
    <w:pPr>
      <w:outlineLvl w:val="9"/>
    </w:pPr>
    <w:rPr>
      <w:sz w:val="16"/>
    </w:rPr>
  </w:style>
  <w:style w:type="paragraph" w:customStyle="1" w:styleId="EYCoverTitle">
    <w:name w:val="EY Cover Title"/>
    <w:rsid w:val="00ED51F7"/>
    <w:pPr>
      <w:tabs>
        <w:tab w:val="right" w:pos="6750"/>
      </w:tabs>
      <w:spacing w:line="560" w:lineRule="exact"/>
    </w:pPr>
    <w:rPr>
      <w:rFonts w:ascii="EYInterstate Regular" w:hAnsi="EYInterstate Regular"/>
      <w:color w:val="808080"/>
      <w:sz w:val="48"/>
      <w:szCs w:val="48"/>
    </w:rPr>
  </w:style>
  <w:style w:type="paragraph" w:customStyle="1" w:styleId="EYSub-title">
    <w:name w:val="EY Sub-title"/>
    <w:basedOn w:val="EYCoverTitle"/>
    <w:rsid w:val="00FA23EC"/>
    <w:pPr>
      <w:spacing w:after="360"/>
    </w:pPr>
    <w:rPr>
      <w:b/>
      <w:bCs/>
      <w:color w:val="auto"/>
      <w:kern w:val="28"/>
      <w:sz w:val="22"/>
      <w:szCs w:val="32"/>
    </w:rPr>
  </w:style>
  <w:style w:type="paragraph" w:customStyle="1" w:styleId="EYDate">
    <w:name w:val="EY Date"/>
    <w:basedOn w:val="EYSub-title"/>
    <w:link w:val="EYDateChar"/>
    <w:rsid w:val="00FA23EC"/>
    <w:pPr>
      <w:suppressAutoHyphens/>
    </w:pPr>
    <w:rPr>
      <w:sz w:val="20"/>
    </w:rPr>
  </w:style>
  <w:style w:type="paragraph" w:customStyle="1" w:styleId="EYFooterinfo">
    <w:name w:val="EY Footer info"/>
    <w:basedOn w:val="EYNormal"/>
    <w:rsid w:val="00ED51F7"/>
    <w:pPr>
      <w:suppressAutoHyphens/>
    </w:pPr>
    <w:rPr>
      <w:color w:val="808080"/>
      <w:sz w:val="12"/>
    </w:rPr>
  </w:style>
  <w:style w:type="paragraph" w:customStyle="1" w:styleId="EYHeading1">
    <w:name w:val="EY Heading 1"/>
    <w:basedOn w:val="EYNormal"/>
    <w:next w:val="EYBodytextwithparaspace"/>
    <w:link w:val="EYHeading1Char"/>
    <w:qFormat/>
    <w:rsid w:val="007C587D"/>
    <w:pPr>
      <w:pageBreakBefore/>
      <w:numPr>
        <w:numId w:val="22"/>
      </w:numPr>
      <w:spacing w:after="360"/>
      <w:outlineLvl w:val="0"/>
    </w:pPr>
    <w:rPr>
      <w:b/>
      <w:color w:val="808080"/>
      <w:kern w:val="0"/>
      <w:sz w:val="32"/>
    </w:rPr>
  </w:style>
  <w:style w:type="paragraph" w:customStyle="1" w:styleId="EYHeading2">
    <w:name w:val="EY Heading 2"/>
    <w:basedOn w:val="EYNormal"/>
    <w:next w:val="EYBodytextwithparaspace"/>
    <w:link w:val="EYHeading2Char"/>
    <w:qFormat/>
    <w:rsid w:val="007C587D"/>
    <w:pPr>
      <w:keepNext/>
      <w:numPr>
        <w:ilvl w:val="1"/>
        <w:numId w:val="22"/>
      </w:numPr>
      <w:autoSpaceDE w:val="0"/>
      <w:autoSpaceDN w:val="0"/>
      <w:adjustRightInd w:val="0"/>
      <w:spacing w:before="120" w:after="120"/>
      <w:outlineLvl w:val="1"/>
    </w:pPr>
    <w:rPr>
      <w:b/>
      <w:kern w:val="0"/>
      <w:sz w:val="28"/>
    </w:rPr>
  </w:style>
  <w:style w:type="paragraph" w:customStyle="1" w:styleId="EYHeading3">
    <w:name w:val="EY Heading 3"/>
    <w:basedOn w:val="EYNormal"/>
    <w:next w:val="EYBodytextwithparaspace"/>
    <w:link w:val="EYHeading3Char"/>
    <w:qFormat/>
    <w:rsid w:val="007C587D"/>
    <w:pPr>
      <w:keepNext/>
      <w:numPr>
        <w:ilvl w:val="2"/>
        <w:numId w:val="22"/>
      </w:numPr>
      <w:autoSpaceDE w:val="0"/>
      <w:autoSpaceDN w:val="0"/>
      <w:adjustRightInd w:val="0"/>
      <w:spacing w:before="120" w:after="120"/>
      <w:outlineLvl w:val="2"/>
    </w:pPr>
    <w:rPr>
      <w:b/>
      <w:kern w:val="0"/>
      <w:sz w:val="26"/>
    </w:rPr>
  </w:style>
  <w:style w:type="paragraph" w:customStyle="1" w:styleId="EYHeading4">
    <w:name w:val="EY Heading 4"/>
    <w:basedOn w:val="EYHeading3"/>
    <w:qFormat/>
    <w:rsid w:val="00B1160D"/>
    <w:pPr>
      <w:numPr>
        <w:ilvl w:val="3"/>
      </w:numPr>
      <w:outlineLvl w:val="3"/>
    </w:pPr>
    <w:rPr>
      <w:sz w:val="22"/>
    </w:rPr>
  </w:style>
  <w:style w:type="paragraph" w:customStyle="1" w:styleId="EYIndent1">
    <w:name w:val="EY Indent 1"/>
    <w:basedOn w:val="EYNormal"/>
    <w:qFormat/>
    <w:rsid w:val="00B1160D"/>
    <w:pPr>
      <w:spacing w:after="240" w:line="276" w:lineRule="auto"/>
      <w:ind w:left="425"/>
    </w:pPr>
    <w:rPr>
      <w:sz w:val="22"/>
    </w:rPr>
  </w:style>
  <w:style w:type="paragraph" w:customStyle="1" w:styleId="EYIndent2">
    <w:name w:val="EY Indent 2"/>
    <w:basedOn w:val="EYIndent1"/>
    <w:rsid w:val="00664943"/>
    <w:pPr>
      <w:ind w:left="851"/>
    </w:pPr>
  </w:style>
  <w:style w:type="paragraph" w:customStyle="1" w:styleId="EYIndent3">
    <w:name w:val="EY Indent 3"/>
    <w:basedOn w:val="EYIndent1"/>
    <w:rsid w:val="00FA23EC"/>
    <w:pPr>
      <w:ind w:left="1276"/>
    </w:pPr>
  </w:style>
  <w:style w:type="paragraph" w:customStyle="1" w:styleId="EYNumber">
    <w:name w:val="EY Number"/>
    <w:basedOn w:val="Normal"/>
    <w:rsid w:val="001C2071"/>
    <w:pPr>
      <w:widowControl/>
      <w:numPr>
        <w:numId w:val="2"/>
      </w:numPr>
      <w:autoSpaceDE/>
      <w:autoSpaceDN/>
      <w:adjustRightInd/>
      <w:spacing w:before="120" w:after="120" w:line="240" w:lineRule="auto"/>
    </w:pPr>
    <w:rPr>
      <w:kern w:val="12"/>
      <w:szCs w:val="24"/>
    </w:rPr>
  </w:style>
  <w:style w:type="paragraph" w:customStyle="1" w:styleId="EYLetter">
    <w:name w:val="EY Letter"/>
    <w:basedOn w:val="EYNumber"/>
    <w:rsid w:val="00200265"/>
    <w:pPr>
      <w:numPr>
        <w:ilvl w:val="1"/>
      </w:numPr>
      <w:ind w:left="850" w:hanging="425"/>
    </w:pPr>
  </w:style>
  <w:style w:type="paragraph" w:customStyle="1" w:styleId="EYLetterText">
    <w:name w:val="EY Letter Text"/>
    <w:basedOn w:val="EYNormal"/>
    <w:link w:val="EYLetterTextChar"/>
    <w:uiPriority w:val="99"/>
    <w:rsid w:val="00FA23EC"/>
    <w:pPr>
      <w:suppressAutoHyphens/>
      <w:spacing w:after="240"/>
    </w:pPr>
  </w:style>
  <w:style w:type="character" w:customStyle="1" w:styleId="EYNormalChar">
    <w:name w:val="EY Normal Char"/>
    <w:basedOn w:val="DefaultParagraphFont"/>
    <w:link w:val="EYNormal"/>
    <w:rsid w:val="00664943"/>
    <w:rPr>
      <w:rFonts w:ascii="EYInterstate Light" w:hAnsi="EYInterstate Light"/>
      <w:kern w:val="12"/>
      <w:szCs w:val="24"/>
    </w:rPr>
  </w:style>
  <w:style w:type="paragraph" w:customStyle="1" w:styleId="EYPrivate">
    <w:name w:val="EY Private"/>
    <w:basedOn w:val="EYNormal"/>
    <w:rsid w:val="00FA23EC"/>
    <w:pPr>
      <w:suppressAutoHyphens/>
    </w:pPr>
    <w:rPr>
      <w:b/>
    </w:rPr>
  </w:style>
  <w:style w:type="paragraph" w:customStyle="1" w:styleId="EYRoman">
    <w:name w:val="EY Roman"/>
    <w:basedOn w:val="EYNumber"/>
    <w:rsid w:val="00B60918"/>
    <w:pPr>
      <w:numPr>
        <w:ilvl w:val="2"/>
      </w:numPr>
    </w:pPr>
  </w:style>
  <w:style w:type="paragraph" w:customStyle="1" w:styleId="EYSubheading">
    <w:name w:val="EY Subheading"/>
    <w:basedOn w:val="EYNormal"/>
    <w:next w:val="BodyText"/>
    <w:rsid w:val="00B1160D"/>
    <w:pPr>
      <w:keepNext/>
      <w:spacing w:after="120"/>
    </w:pPr>
    <w:rPr>
      <w:b/>
      <w:sz w:val="22"/>
    </w:rPr>
  </w:style>
  <w:style w:type="paragraph" w:customStyle="1" w:styleId="EYSecondarysubheading">
    <w:name w:val="EY Secondary subheading"/>
    <w:basedOn w:val="EYSubheading"/>
    <w:next w:val="E-mailSignature"/>
    <w:rsid w:val="00FA23EC"/>
    <w:rPr>
      <w:i/>
    </w:rPr>
  </w:style>
  <w:style w:type="paragraph" w:customStyle="1" w:styleId="EYSource">
    <w:name w:val="EY Source"/>
    <w:basedOn w:val="EYNormal"/>
    <w:next w:val="Normal"/>
    <w:qFormat/>
    <w:rsid w:val="00754476"/>
    <w:pPr>
      <w:keepNext/>
      <w:spacing w:before="60" w:after="60"/>
    </w:pPr>
    <w:rPr>
      <w:i/>
      <w:sz w:val="22"/>
    </w:rPr>
  </w:style>
  <w:style w:type="paragraph" w:customStyle="1" w:styleId="EYTableNormal">
    <w:name w:val="EY Table Normal"/>
    <w:basedOn w:val="EYNormal"/>
    <w:autoRedefine/>
    <w:rsid w:val="00664943"/>
    <w:rPr>
      <w:kern w:val="0"/>
      <w:sz w:val="16"/>
    </w:rPr>
  </w:style>
  <w:style w:type="paragraph" w:customStyle="1" w:styleId="EYTableText">
    <w:name w:val="EY Table Text"/>
    <w:basedOn w:val="EYTableNormal"/>
    <w:qFormat/>
    <w:rsid w:val="00664943"/>
    <w:pPr>
      <w:spacing w:before="20" w:after="20"/>
    </w:pPr>
  </w:style>
  <w:style w:type="paragraph" w:customStyle="1" w:styleId="EYTablebullet1">
    <w:name w:val="EY Table bullet 1"/>
    <w:basedOn w:val="EYTableText"/>
    <w:qFormat/>
    <w:rsid w:val="0052498F"/>
    <w:pPr>
      <w:numPr>
        <w:numId w:val="3"/>
      </w:numPr>
    </w:pPr>
  </w:style>
  <w:style w:type="paragraph" w:customStyle="1" w:styleId="EYTablebullet2">
    <w:name w:val="EY Table bullet 2"/>
    <w:basedOn w:val="EYTablebullet1"/>
    <w:qFormat/>
    <w:rsid w:val="00B60918"/>
    <w:pPr>
      <w:numPr>
        <w:ilvl w:val="1"/>
      </w:numPr>
    </w:pPr>
  </w:style>
  <w:style w:type="paragraph" w:customStyle="1" w:styleId="EYTableHeading">
    <w:name w:val="EY Table Heading"/>
    <w:basedOn w:val="EYTableText"/>
    <w:qFormat/>
    <w:rsid w:val="006577F7"/>
    <w:pPr>
      <w:spacing w:before="60" w:after="60"/>
    </w:pPr>
    <w:rPr>
      <w:rFonts w:ascii="EYInterstate Regular" w:hAnsi="EYInterstate Regular"/>
      <w:color w:val="808080"/>
    </w:rPr>
  </w:style>
  <w:style w:type="paragraph" w:customStyle="1" w:styleId="EYTabletextbold">
    <w:name w:val="EY Table text bold"/>
    <w:basedOn w:val="EYTableText"/>
    <w:next w:val="EYTableText"/>
    <w:rsid w:val="006577F7"/>
    <w:rPr>
      <w:rFonts w:ascii="EYInterstate Regular" w:hAnsi="EYInterstate Regular"/>
    </w:rPr>
  </w:style>
  <w:style w:type="paragraph" w:styleId="Footer">
    <w:name w:val="footer"/>
    <w:aliases w:val="EY Footer"/>
    <w:basedOn w:val="Normal"/>
    <w:link w:val="FooterChar"/>
    <w:rsid w:val="00664943"/>
    <w:pPr>
      <w:tabs>
        <w:tab w:val="center" w:pos="4320"/>
        <w:tab w:val="right" w:pos="8640"/>
      </w:tabs>
    </w:pPr>
  </w:style>
  <w:style w:type="paragraph" w:styleId="Header">
    <w:name w:val="header"/>
    <w:aliases w:val="EY Header"/>
    <w:basedOn w:val="Normal"/>
    <w:link w:val="HeaderChar"/>
    <w:rsid w:val="00664943"/>
    <w:pPr>
      <w:tabs>
        <w:tab w:val="center" w:pos="4320"/>
        <w:tab w:val="right" w:pos="8640"/>
      </w:tabs>
    </w:pPr>
  </w:style>
  <w:style w:type="character" w:styleId="Hyperlink">
    <w:name w:val="Hyperlink"/>
    <w:basedOn w:val="DefaultParagraphFont"/>
    <w:uiPriority w:val="99"/>
    <w:rsid w:val="00664943"/>
    <w:rPr>
      <w:color w:val="0000FF"/>
      <w:u w:val="single"/>
    </w:rPr>
  </w:style>
  <w:style w:type="character" w:styleId="PageNumber">
    <w:name w:val="page number"/>
    <w:aliases w:val="EY Page Number"/>
    <w:basedOn w:val="DefaultParagraphFont"/>
    <w:rsid w:val="00664943"/>
  </w:style>
  <w:style w:type="paragraph" w:styleId="TOC1">
    <w:name w:val="toc 1"/>
    <w:basedOn w:val="EYNormal"/>
    <w:next w:val="Normal"/>
    <w:autoRedefine/>
    <w:uiPriority w:val="39"/>
    <w:rsid w:val="00C935DD"/>
    <w:pPr>
      <w:widowControl w:val="0"/>
      <w:autoSpaceDE w:val="0"/>
      <w:autoSpaceDN w:val="0"/>
      <w:adjustRightInd w:val="0"/>
      <w:spacing w:before="240" w:line="280" w:lineRule="atLeast"/>
    </w:pPr>
    <w:rPr>
      <w:bCs/>
      <w:kern w:val="0"/>
      <w:sz w:val="22"/>
    </w:rPr>
  </w:style>
  <w:style w:type="paragraph" w:styleId="TOC2">
    <w:name w:val="toc 2"/>
    <w:basedOn w:val="EYNormal"/>
    <w:next w:val="Normal"/>
    <w:uiPriority w:val="39"/>
    <w:rsid w:val="00C935DD"/>
    <w:pPr>
      <w:widowControl w:val="0"/>
      <w:tabs>
        <w:tab w:val="left" w:pos="992"/>
        <w:tab w:val="right" w:leader="dot" w:pos="9015"/>
      </w:tabs>
      <w:autoSpaceDE w:val="0"/>
      <w:autoSpaceDN w:val="0"/>
      <w:adjustRightInd w:val="0"/>
      <w:spacing w:before="120" w:after="120"/>
      <w:ind w:left="340"/>
    </w:pPr>
    <w:rPr>
      <w:rFonts w:cstheme="minorHAnsi"/>
      <w:bCs/>
      <w:kern w:val="0"/>
      <w:sz w:val="22"/>
      <w:szCs w:val="20"/>
    </w:rPr>
  </w:style>
  <w:style w:type="paragraph" w:styleId="TOC3">
    <w:name w:val="toc 3"/>
    <w:basedOn w:val="EYNormal"/>
    <w:next w:val="Normal"/>
    <w:uiPriority w:val="39"/>
    <w:rsid w:val="00CE0CD5"/>
    <w:pPr>
      <w:widowControl w:val="0"/>
      <w:autoSpaceDE w:val="0"/>
      <w:autoSpaceDN w:val="0"/>
      <w:adjustRightInd w:val="0"/>
      <w:spacing w:line="280" w:lineRule="atLeast"/>
      <w:ind w:left="240"/>
    </w:pPr>
    <w:rPr>
      <w:rFonts w:asciiTheme="minorHAnsi" w:hAnsiTheme="minorHAnsi" w:cstheme="minorHAnsi"/>
      <w:kern w:val="0"/>
      <w:szCs w:val="20"/>
    </w:rPr>
  </w:style>
  <w:style w:type="paragraph" w:styleId="TOC4">
    <w:name w:val="toc 4"/>
    <w:basedOn w:val="EYNormal"/>
    <w:next w:val="Normal"/>
    <w:uiPriority w:val="39"/>
    <w:rsid w:val="00CE0CD5"/>
    <w:pPr>
      <w:widowControl w:val="0"/>
      <w:autoSpaceDE w:val="0"/>
      <w:autoSpaceDN w:val="0"/>
      <w:adjustRightInd w:val="0"/>
      <w:spacing w:line="280" w:lineRule="atLeast"/>
      <w:ind w:left="480"/>
    </w:pPr>
    <w:rPr>
      <w:rFonts w:asciiTheme="minorHAnsi" w:hAnsiTheme="minorHAnsi" w:cstheme="minorHAnsi"/>
      <w:kern w:val="0"/>
      <w:szCs w:val="20"/>
    </w:rPr>
  </w:style>
  <w:style w:type="paragraph" w:styleId="BalloonText">
    <w:name w:val="Balloon Text"/>
    <w:basedOn w:val="Normal"/>
    <w:semiHidden/>
    <w:rsid w:val="00664943"/>
    <w:rPr>
      <w:rFonts w:ascii="Tahoma" w:hAnsi="Tahoma" w:cs="Tahoma"/>
      <w:sz w:val="16"/>
      <w:szCs w:val="16"/>
    </w:rPr>
  </w:style>
  <w:style w:type="character" w:customStyle="1" w:styleId="bold">
    <w:name w:val="bold"/>
    <w:basedOn w:val="DefaultParagraphFont"/>
    <w:rsid w:val="00CB5A62"/>
    <w:rPr>
      <w:rFonts w:ascii="EYInterstate Light" w:hAnsi="EYInterstate Light"/>
      <w:b/>
      <w:bCs/>
      <w:sz w:val="24"/>
    </w:rPr>
  </w:style>
  <w:style w:type="character" w:styleId="EndnoteReference">
    <w:name w:val="endnote reference"/>
    <w:basedOn w:val="DefaultParagraphFont"/>
    <w:uiPriority w:val="99"/>
    <w:semiHidden/>
    <w:rsid w:val="00664943"/>
    <w:rPr>
      <w:vertAlign w:val="superscript"/>
    </w:rPr>
  </w:style>
  <w:style w:type="paragraph" w:styleId="EndnoteText">
    <w:name w:val="endnote text"/>
    <w:basedOn w:val="Normal"/>
    <w:link w:val="EndnoteTextChar"/>
    <w:uiPriority w:val="99"/>
    <w:semiHidden/>
    <w:rsid w:val="00664943"/>
  </w:style>
  <w:style w:type="paragraph" w:customStyle="1" w:styleId="EYCoverDate">
    <w:name w:val="EY Cover Date"/>
    <w:basedOn w:val="Normal"/>
    <w:rsid w:val="00664943"/>
    <w:pPr>
      <w:widowControl/>
      <w:autoSpaceDE/>
      <w:autoSpaceDN/>
      <w:adjustRightInd/>
      <w:spacing w:after="240" w:line="470" w:lineRule="exact"/>
      <w:jc w:val="right"/>
    </w:pPr>
    <w:rPr>
      <w:rFonts w:ascii="EYInterstate" w:hAnsi="EYInterstate"/>
      <w:color w:val="646464"/>
      <w:szCs w:val="24"/>
    </w:rPr>
  </w:style>
  <w:style w:type="paragraph" w:customStyle="1" w:styleId="EYCoverSubTitle">
    <w:name w:val="EY Cover SubTitle"/>
    <w:basedOn w:val="EYCoverTitle"/>
    <w:autoRedefine/>
    <w:rsid w:val="0052498F"/>
    <w:pPr>
      <w:tabs>
        <w:tab w:val="clear" w:pos="6750"/>
      </w:tabs>
      <w:spacing w:line="420" w:lineRule="atLeast"/>
    </w:pPr>
    <w:rPr>
      <w:color w:val="333333"/>
      <w:sz w:val="36"/>
      <w:szCs w:val="36"/>
    </w:rPr>
  </w:style>
  <w:style w:type="character" w:styleId="FootnoteReference">
    <w:name w:val="footnote reference"/>
    <w:aliases w:val="fr"/>
    <w:basedOn w:val="DefaultParagraphFont"/>
    <w:uiPriority w:val="99"/>
    <w:rsid w:val="00664943"/>
    <w:rPr>
      <w:rFonts w:ascii="EYInterstate Light" w:hAnsi="EYInterstate Light"/>
      <w:position w:val="6"/>
      <w:sz w:val="24"/>
      <w:szCs w:val="20"/>
      <w:vertAlign w:val="superscript"/>
    </w:rPr>
  </w:style>
  <w:style w:type="character" w:customStyle="1" w:styleId="FootnoteTextChar">
    <w:name w:val="Footnote Text Char"/>
    <w:aliases w:val="fn Char,FT Char,ft Char,SD Footnote Text Char,Footnote Text AG Char,Footnote ak Char"/>
    <w:basedOn w:val="DefaultParagraphFont"/>
    <w:link w:val="FootnoteText"/>
    <w:uiPriority w:val="99"/>
    <w:rsid w:val="00B1160D"/>
    <w:rPr>
      <w:rFonts w:ascii="EYInterstate Light" w:hAnsi="EYInterstate Light"/>
      <w:sz w:val="18"/>
      <w:lang w:val="en-AU"/>
    </w:rPr>
  </w:style>
  <w:style w:type="paragraph" w:styleId="FootnoteText">
    <w:name w:val="footnote text"/>
    <w:aliases w:val="fn,FT,ft,SD Footnote Text,Footnote Text AG,Footnote ak"/>
    <w:basedOn w:val="Normal"/>
    <w:link w:val="FootnoteTextChar"/>
    <w:uiPriority w:val="99"/>
    <w:rsid w:val="00B1160D"/>
    <w:pPr>
      <w:keepNext/>
      <w:keepLines/>
      <w:spacing w:line="240" w:lineRule="auto"/>
    </w:pPr>
    <w:rPr>
      <w:sz w:val="18"/>
    </w:rPr>
  </w:style>
  <w:style w:type="paragraph" w:customStyle="1" w:styleId="Italics">
    <w:name w:val="Italics"/>
    <w:link w:val="ItalicsCharChar"/>
    <w:rsid w:val="00CB5A62"/>
    <w:pPr>
      <w:keepNext/>
      <w:overflowPunct w:val="0"/>
      <w:textAlignment w:val="baseline"/>
    </w:pPr>
    <w:rPr>
      <w:rFonts w:ascii="EYInterstate Light" w:hAnsi="EYInterstate Light"/>
      <w:bCs/>
      <w:i/>
      <w:iCs/>
      <w:sz w:val="24"/>
    </w:rPr>
  </w:style>
  <w:style w:type="character" w:customStyle="1" w:styleId="ItalicsCharChar">
    <w:name w:val="Italics Char Char"/>
    <w:basedOn w:val="DefaultParagraphFont"/>
    <w:link w:val="Italics"/>
    <w:rsid w:val="00CB5A62"/>
    <w:rPr>
      <w:rFonts w:ascii="EYInterstate Light" w:hAnsi="EYInterstate Light"/>
      <w:bCs/>
      <w:i/>
      <w:iCs/>
      <w:sz w:val="24"/>
    </w:rPr>
  </w:style>
  <w:style w:type="paragraph" w:customStyle="1" w:styleId="Normalleftindent">
    <w:name w:val="Normal + left indent"/>
    <w:basedOn w:val="Normal"/>
    <w:rsid w:val="00664943"/>
    <w:pPr>
      <w:widowControl/>
      <w:spacing w:line="240" w:lineRule="auto"/>
      <w:ind w:left="720"/>
    </w:pPr>
    <w:rPr>
      <w:lang w:eastAsia="ja-JP"/>
    </w:rPr>
  </w:style>
  <w:style w:type="paragraph" w:customStyle="1" w:styleId="NumberedList">
    <w:name w:val="Numbered List"/>
    <w:rsid w:val="00CB5A62"/>
    <w:pPr>
      <w:numPr>
        <w:numId w:val="4"/>
      </w:numPr>
      <w:spacing w:after="120"/>
    </w:pPr>
    <w:rPr>
      <w:rFonts w:ascii="EYInterstate Light" w:hAnsi="EYInterstate Light"/>
      <w:sz w:val="24"/>
    </w:rPr>
  </w:style>
  <w:style w:type="paragraph" w:customStyle="1" w:styleId="StyleBoldItalics">
    <w:name w:val="Style Bold + Italics"/>
    <w:basedOn w:val="Normal"/>
    <w:rsid w:val="00664943"/>
    <w:pPr>
      <w:widowControl/>
    </w:pPr>
    <w:rPr>
      <w:b/>
      <w:i/>
    </w:rPr>
  </w:style>
  <w:style w:type="paragraph" w:customStyle="1" w:styleId="StyleBoldCentered">
    <w:name w:val="Style Bold Centered"/>
    <w:basedOn w:val="Normal"/>
    <w:rsid w:val="00664943"/>
    <w:pPr>
      <w:autoSpaceDE/>
      <w:autoSpaceDN/>
      <w:adjustRightInd/>
      <w:jc w:val="center"/>
    </w:pPr>
    <w:rPr>
      <w:b/>
      <w:bCs/>
      <w:sz w:val="28"/>
    </w:rPr>
  </w:style>
  <w:style w:type="paragraph" w:customStyle="1" w:styleId="StyleEYInterstateBoldAfter18pt">
    <w:name w:val="Style EYInterstate Bold After:  18 pt"/>
    <w:basedOn w:val="Normal"/>
    <w:rsid w:val="00664943"/>
    <w:pPr>
      <w:spacing w:after="240"/>
      <w:jc w:val="both"/>
    </w:pPr>
    <w:rPr>
      <w:rFonts w:ascii="EYInterstate" w:hAnsi="EYInterstate"/>
      <w:b/>
      <w:bCs/>
      <w:sz w:val="28"/>
    </w:rPr>
  </w:style>
  <w:style w:type="character" w:customStyle="1" w:styleId="StyleFootnoteReferencefrNotRaisedbyLoweredby">
    <w:name w:val="Style Footnote Referencefr + Not Raised by / Lowered by"/>
    <w:basedOn w:val="FootnoteReference"/>
    <w:rsid w:val="00664943"/>
    <w:rPr>
      <w:rFonts w:ascii="EYInterstate" w:hAnsi="EYInterstate"/>
      <w:position w:val="0"/>
      <w:sz w:val="24"/>
      <w:szCs w:val="20"/>
      <w:vertAlign w:val="superscript"/>
    </w:rPr>
  </w:style>
  <w:style w:type="numbering" w:customStyle="1" w:styleId="StyleNumbered">
    <w:name w:val="Style Numbered"/>
    <w:basedOn w:val="NoList"/>
    <w:rsid w:val="00664943"/>
    <w:pPr>
      <w:numPr>
        <w:numId w:val="1"/>
      </w:numPr>
    </w:pPr>
  </w:style>
  <w:style w:type="paragraph" w:customStyle="1" w:styleId="subheadunderlined">
    <w:name w:val="subhead underlined"/>
    <w:rsid w:val="00664943"/>
    <w:pPr>
      <w:keepNext/>
    </w:pPr>
    <w:rPr>
      <w:rFonts w:ascii="EYInterstate Light" w:hAnsi="EYInterstate Light"/>
      <w:sz w:val="24"/>
      <w:u w:val="single"/>
    </w:rPr>
  </w:style>
  <w:style w:type="paragraph" w:customStyle="1" w:styleId="tableheader">
    <w:name w:val="table header"/>
    <w:rsid w:val="00664943"/>
    <w:pPr>
      <w:jc w:val="center"/>
    </w:pPr>
    <w:rPr>
      <w:rFonts w:ascii="EYInterstate Light" w:hAnsi="EYInterstate Light"/>
      <w:b/>
      <w:bCs/>
    </w:rPr>
  </w:style>
  <w:style w:type="paragraph" w:customStyle="1" w:styleId="tabletext-left">
    <w:name w:val="table text - left"/>
    <w:rsid w:val="00664943"/>
    <w:pPr>
      <w:ind w:left="365" w:hanging="365"/>
    </w:pPr>
    <w:rPr>
      <w:rFonts w:ascii="EYInterstate Light" w:hAnsi="EYInterstate Light"/>
      <w:sz w:val="22"/>
    </w:rPr>
  </w:style>
  <w:style w:type="paragraph" w:customStyle="1" w:styleId="tabletextcentered">
    <w:name w:val="table text centered"/>
    <w:rsid w:val="00664943"/>
    <w:pPr>
      <w:jc w:val="center"/>
    </w:pPr>
    <w:rPr>
      <w:rFonts w:ascii="EYInterstate Light" w:hAnsi="EYInterstate Light"/>
    </w:rPr>
  </w:style>
  <w:style w:type="paragraph" w:customStyle="1" w:styleId="TOCtitle">
    <w:name w:val="TOC title"/>
    <w:rsid w:val="00664943"/>
    <w:pPr>
      <w:ind w:left="720" w:hanging="360"/>
      <w:jc w:val="center"/>
    </w:pPr>
    <w:rPr>
      <w:rFonts w:ascii="EYInterstate" w:hAnsi="EYInterstate"/>
      <w:bCs/>
      <w:sz w:val="28"/>
    </w:rPr>
  </w:style>
  <w:style w:type="paragraph" w:customStyle="1" w:styleId="EYTableHeadingWhite">
    <w:name w:val="EY Table Heading (White)"/>
    <w:basedOn w:val="EYTableHeading"/>
    <w:qFormat/>
    <w:rsid w:val="008128CE"/>
    <w:rPr>
      <w:bCs/>
      <w:color w:val="FFFFFF"/>
    </w:rPr>
  </w:style>
  <w:style w:type="paragraph" w:customStyle="1" w:styleId="CopyheadlineCover">
    <w:name w:val="Copy headline (Cover)"/>
    <w:basedOn w:val="Normal"/>
    <w:uiPriority w:val="99"/>
    <w:rsid w:val="00173BC9"/>
    <w:pPr>
      <w:suppressAutoHyphens/>
      <w:spacing w:line="210" w:lineRule="atLeast"/>
      <w:textAlignment w:val="top"/>
    </w:pPr>
    <w:rPr>
      <w:rFonts w:ascii="EYInterstate-Regular" w:eastAsiaTheme="minorEastAsia" w:hAnsi="EYInterstate-Regular" w:cs="EYInterstate-Regular"/>
      <w:color w:val="000000"/>
      <w:spacing w:val="-3"/>
      <w:sz w:val="16"/>
      <w:szCs w:val="16"/>
      <w:lang w:val="en-GB"/>
    </w:rPr>
  </w:style>
  <w:style w:type="paragraph" w:customStyle="1" w:styleId="CopyCover">
    <w:name w:val="Copy (Cover)"/>
    <w:basedOn w:val="Normal"/>
    <w:uiPriority w:val="99"/>
    <w:rsid w:val="004A65B2"/>
    <w:pPr>
      <w:suppressAutoHyphens/>
      <w:spacing w:after="105" w:line="210" w:lineRule="atLeast"/>
      <w:textAlignment w:val="top"/>
    </w:pPr>
    <w:rPr>
      <w:rFonts w:ascii="EYInterstate Regular" w:eastAsiaTheme="minorEastAsia" w:hAnsi="EYInterstate Regular" w:cs="EYInterstate-Light"/>
      <w:color w:val="000000"/>
      <w:spacing w:val="-3"/>
      <w:sz w:val="16"/>
      <w:szCs w:val="16"/>
      <w:lang w:val="en-GB"/>
    </w:rPr>
  </w:style>
  <w:style w:type="paragraph" w:customStyle="1" w:styleId="WebsiteCover">
    <w:name w:val="Website (Cover)"/>
    <w:basedOn w:val="Normal"/>
    <w:uiPriority w:val="99"/>
    <w:rsid w:val="00173BC9"/>
    <w:pPr>
      <w:suppressAutoHyphens/>
      <w:spacing w:before="40" w:after="201" w:line="260" w:lineRule="atLeast"/>
      <w:textAlignment w:val="top"/>
    </w:pPr>
    <w:rPr>
      <w:rFonts w:ascii="EYInterstate-Regular" w:eastAsiaTheme="minorEastAsia" w:hAnsi="EYInterstate-Regular" w:cs="EYInterstate-Regular"/>
      <w:color w:val="000000"/>
      <w:spacing w:val="-4"/>
      <w:lang w:val="en-GB"/>
    </w:rPr>
  </w:style>
  <w:style w:type="paragraph" w:customStyle="1" w:styleId="CopyrightCover">
    <w:name w:val="Copyright (Cover)"/>
    <w:basedOn w:val="Normal"/>
    <w:uiPriority w:val="99"/>
    <w:rsid w:val="004A65B2"/>
    <w:pPr>
      <w:suppressAutoHyphens/>
      <w:spacing w:after="204" w:line="210" w:lineRule="atLeast"/>
      <w:textAlignment w:val="baseline"/>
    </w:pPr>
    <w:rPr>
      <w:rFonts w:ascii="EYInterstate Regular" w:eastAsiaTheme="minorEastAsia" w:hAnsi="EYInterstate Regular" w:cs="EYInterstate-Light"/>
      <w:color w:val="000000"/>
      <w:spacing w:val="-3"/>
      <w:sz w:val="16"/>
      <w:szCs w:val="16"/>
      <w:lang w:val="en-GB"/>
    </w:rPr>
  </w:style>
  <w:style w:type="paragraph" w:customStyle="1" w:styleId="ScoreretrievalfileNoCover">
    <w:name w:val="Score retrieval file No (Cover)"/>
    <w:basedOn w:val="Normal"/>
    <w:uiPriority w:val="99"/>
    <w:rsid w:val="004A65B2"/>
    <w:pPr>
      <w:suppressAutoHyphens/>
      <w:spacing w:after="224" w:line="210" w:lineRule="atLeast"/>
      <w:textAlignment w:val="baseline"/>
    </w:pPr>
    <w:rPr>
      <w:rFonts w:ascii="EYInterstate Regular" w:eastAsiaTheme="minorEastAsia" w:hAnsi="EYInterstate Regular" w:cs="EYInterstate-Light"/>
      <w:color w:val="000000"/>
      <w:spacing w:val="-3"/>
      <w:sz w:val="16"/>
      <w:szCs w:val="16"/>
      <w:lang w:val="en-GB"/>
    </w:rPr>
  </w:style>
  <w:style w:type="paragraph" w:customStyle="1" w:styleId="LegalcopyCover">
    <w:name w:val="Legal copy (Cover)"/>
    <w:basedOn w:val="Normal"/>
    <w:uiPriority w:val="99"/>
    <w:rsid w:val="004A65B2"/>
    <w:pPr>
      <w:suppressAutoHyphens/>
      <w:spacing w:after="80" w:line="160" w:lineRule="atLeast"/>
      <w:textAlignment w:val="baseline"/>
    </w:pPr>
    <w:rPr>
      <w:rFonts w:ascii="EYInterstate Regular" w:eastAsiaTheme="minorEastAsia" w:hAnsi="EYInterstate Regular" w:cs="EYInterstate-Light"/>
      <w:color w:val="000000"/>
      <w:spacing w:val="-2"/>
      <w:sz w:val="12"/>
      <w:szCs w:val="12"/>
      <w:lang w:val="en-GB"/>
    </w:rPr>
  </w:style>
  <w:style w:type="character" w:customStyle="1" w:styleId="BoilerplatecopyItalic">
    <w:name w:val="Boilerplate copy Italic"/>
    <w:uiPriority w:val="99"/>
    <w:rsid w:val="00173BC9"/>
    <w:rPr>
      <w:rFonts w:ascii="EYInterstate-LightItalic" w:hAnsi="EYInterstate-LightItalic" w:cs="EYInterstate-LightItalic"/>
      <w:i/>
      <w:iCs/>
      <w:color w:val="000000"/>
      <w:spacing w:val="-3"/>
      <w:w w:val="100"/>
      <w:position w:val="0"/>
      <w:sz w:val="16"/>
      <w:szCs w:val="16"/>
      <w:vertAlign w:val="baseline"/>
      <w:lang w:val="en-GB"/>
    </w:rPr>
  </w:style>
  <w:style w:type="paragraph" w:customStyle="1" w:styleId="AA-Heading1">
    <w:name w:val="AA - Heading 1"/>
    <w:basedOn w:val="EYHeading1"/>
    <w:link w:val="AA-Heading1Char"/>
    <w:rsid w:val="00B724DD"/>
  </w:style>
  <w:style w:type="paragraph" w:customStyle="1" w:styleId="AA-Heading2">
    <w:name w:val="AA - Heading 2"/>
    <w:basedOn w:val="EYHeading2"/>
    <w:link w:val="AA-Heading2Char"/>
    <w:rsid w:val="0063726C"/>
  </w:style>
  <w:style w:type="character" w:customStyle="1" w:styleId="EYHeading1Char">
    <w:name w:val="EY Heading 1 Char"/>
    <w:basedOn w:val="EYNormalChar"/>
    <w:link w:val="EYHeading1"/>
    <w:rsid w:val="008510F7"/>
    <w:rPr>
      <w:rFonts w:ascii="EYInterstate Light" w:hAnsi="EYInterstate Light"/>
      <w:b/>
      <w:color w:val="808080"/>
      <w:kern w:val="12"/>
      <w:sz w:val="32"/>
      <w:szCs w:val="24"/>
    </w:rPr>
  </w:style>
  <w:style w:type="character" w:customStyle="1" w:styleId="AA-Heading1Char">
    <w:name w:val="AA - Heading 1 Char"/>
    <w:basedOn w:val="EYHeading1Char"/>
    <w:link w:val="AA-Heading1"/>
    <w:rsid w:val="00B724DD"/>
    <w:rPr>
      <w:rFonts w:ascii="EYInterstate Light" w:hAnsi="EYInterstate Light"/>
      <w:b/>
      <w:color w:val="808080"/>
      <w:kern w:val="12"/>
      <w:sz w:val="32"/>
      <w:szCs w:val="24"/>
    </w:rPr>
  </w:style>
  <w:style w:type="paragraph" w:customStyle="1" w:styleId="AA-Normal">
    <w:name w:val="AA - Normal"/>
    <w:basedOn w:val="Normal"/>
    <w:link w:val="AA-NormalChar"/>
    <w:rsid w:val="00804598"/>
    <w:pPr>
      <w:spacing w:after="120"/>
    </w:pPr>
  </w:style>
  <w:style w:type="character" w:customStyle="1" w:styleId="EYHeading2Char">
    <w:name w:val="EY Heading 2 Char"/>
    <w:basedOn w:val="EYHeading1Char"/>
    <w:link w:val="EYHeading2"/>
    <w:rsid w:val="00E0096C"/>
    <w:rPr>
      <w:rFonts w:ascii="EYInterstate Light" w:hAnsi="EYInterstate Light"/>
      <w:b/>
      <w:color w:val="808080"/>
      <w:kern w:val="12"/>
      <w:sz w:val="28"/>
      <w:szCs w:val="24"/>
    </w:rPr>
  </w:style>
  <w:style w:type="character" w:customStyle="1" w:styleId="AA-Heading2Char">
    <w:name w:val="AA - Heading 2 Char"/>
    <w:basedOn w:val="EYHeading2Char"/>
    <w:link w:val="AA-Heading2"/>
    <w:rsid w:val="0063726C"/>
    <w:rPr>
      <w:rFonts w:ascii="EYInterstate Light" w:hAnsi="EYInterstate Light"/>
      <w:b/>
      <w:color w:val="808080"/>
      <w:kern w:val="12"/>
      <w:sz w:val="28"/>
      <w:szCs w:val="24"/>
    </w:rPr>
  </w:style>
  <w:style w:type="paragraph" w:customStyle="1" w:styleId="AA-Heading3">
    <w:name w:val="AA- Heading 3"/>
    <w:basedOn w:val="EYHeading3"/>
    <w:link w:val="AA-Heading3Char"/>
    <w:rsid w:val="00804598"/>
    <w:rPr>
      <w:sz w:val="24"/>
    </w:rPr>
  </w:style>
  <w:style w:type="character" w:customStyle="1" w:styleId="AA-NormalChar">
    <w:name w:val="AA - Normal Char"/>
    <w:basedOn w:val="DefaultParagraphFont"/>
    <w:link w:val="AA-Normal"/>
    <w:rsid w:val="00804598"/>
    <w:rPr>
      <w:rFonts w:ascii="EYInterstate Light" w:hAnsi="EYInterstate Light"/>
    </w:rPr>
  </w:style>
  <w:style w:type="paragraph" w:styleId="TOC5">
    <w:name w:val="toc 5"/>
    <w:basedOn w:val="Normal"/>
    <w:next w:val="Normal"/>
    <w:autoRedefine/>
    <w:rsid w:val="00DD0FBB"/>
    <w:pPr>
      <w:ind w:left="720"/>
    </w:pPr>
    <w:rPr>
      <w:rFonts w:asciiTheme="minorHAnsi" w:hAnsiTheme="minorHAnsi" w:cstheme="minorHAnsi"/>
    </w:rPr>
  </w:style>
  <w:style w:type="character" w:customStyle="1" w:styleId="EYHeading3Char">
    <w:name w:val="EY Heading 3 Char"/>
    <w:basedOn w:val="EYHeading1Char"/>
    <w:link w:val="EYHeading3"/>
    <w:rsid w:val="00E0096C"/>
    <w:rPr>
      <w:rFonts w:ascii="EYInterstate Light" w:hAnsi="EYInterstate Light"/>
      <w:b/>
      <w:color w:val="808080"/>
      <w:kern w:val="12"/>
      <w:sz w:val="26"/>
      <w:szCs w:val="24"/>
    </w:rPr>
  </w:style>
  <w:style w:type="character" w:customStyle="1" w:styleId="AA-Heading3Char">
    <w:name w:val="AA- Heading 3 Char"/>
    <w:basedOn w:val="EYHeading3Char"/>
    <w:link w:val="AA-Heading3"/>
    <w:rsid w:val="00804598"/>
    <w:rPr>
      <w:rFonts w:ascii="EYInterstate Light" w:hAnsi="EYInterstate Light"/>
      <w:b/>
      <w:color w:val="808080"/>
      <w:kern w:val="12"/>
      <w:sz w:val="24"/>
      <w:szCs w:val="24"/>
    </w:rPr>
  </w:style>
  <w:style w:type="paragraph" w:styleId="TOC6">
    <w:name w:val="toc 6"/>
    <w:basedOn w:val="Normal"/>
    <w:next w:val="Normal"/>
    <w:autoRedefine/>
    <w:rsid w:val="00DD0FBB"/>
    <w:pPr>
      <w:ind w:left="960"/>
    </w:pPr>
    <w:rPr>
      <w:rFonts w:asciiTheme="minorHAnsi" w:hAnsiTheme="minorHAnsi" w:cstheme="minorHAnsi"/>
    </w:rPr>
  </w:style>
  <w:style w:type="paragraph" w:styleId="TOC7">
    <w:name w:val="toc 7"/>
    <w:basedOn w:val="Normal"/>
    <w:next w:val="Normal"/>
    <w:autoRedefine/>
    <w:rsid w:val="00DD0FBB"/>
    <w:pPr>
      <w:ind w:left="1200"/>
    </w:pPr>
    <w:rPr>
      <w:rFonts w:asciiTheme="minorHAnsi" w:hAnsiTheme="minorHAnsi" w:cstheme="minorHAnsi"/>
    </w:rPr>
  </w:style>
  <w:style w:type="paragraph" w:styleId="TOC8">
    <w:name w:val="toc 8"/>
    <w:basedOn w:val="Normal"/>
    <w:next w:val="Normal"/>
    <w:autoRedefine/>
    <w:rsid w:val="00DD0FBB"/>
    <w:pPr>
      <w:ind w:left="1440"/>
    </w:pPr>
    <w:rPr>
      <w:rFonts w:asciiTheme="minorHAnsi" w:hAnsiTheme="minorHAnsi" w:cstheme="minorHAnsi"/>
    </w:rPr>
  </w:style>
  <w:style w:type="paragraph" w:styleId="TOC9">
    <w:name w:val="toc 9"/>
    <w:basedOn w:val="Normal"/>
    <w:next w:val="Normal"/>
    <w:autoRedefine/>
    <w:rsid w:val="00DD0FBB"/>
    <w:pPr>
      <w:ind w:left="1680"/>
    </w:pPr>
    <w:rPr>
      <w:rFonts w:asciiTheme="minorHAnsi" w:hAnsiTheme="minorHAnsi" w:cstheme="minorHAnsi"/>
    </w:rPr>
  </w:style>
  <w:style w:type="paragraph" w:customStyle="1" w:styleId="AAHeading2">
    <w:name w:val="AA _ Heading 2"/>
    <w:basedOn w:val="AA-Heading2"/>
    <w:link w:val="AAHeading2Char"/>
    <w:qFormat/>
    <w:rsid w:val="00281A30"/>
  </w:style>
  <w:style w:type="paragraph" w:customStyle="1" w:styleId="AAHeading1">
    <w:name w:val="AA_Heading 1"/>
    <w:basedOn w:val="AA-Heading1"/>
    <w:link w:val="AAHeading1Char"/>
    <w:qFormat/>
    <w:rsid w:val="00281A30"/>
  </w:style>
  <w:style w:type="character" w:customStyle="1" w:styleId="AAHeading2Char">
    <w:name w:val="AA _ Heading 2 Char"/>
    <w:basedOn w:val="AA-Heading2Char"/>
    <w:link w:val="AAHeading2"/>
    <w:rsid w:val="00281A30"/>
    <w:rPr>
      <w:rFonts w:ascii="EYInterstate Light" w:hAnsi="EYInterstate Light"/>
      <w:b/>
      <w:color w:val="808080"/>
      <w:kern w:val="12"/>
      <w:sz w:val="28"/>
      <w:szCs w:val="24"/>
    </w:rPr>
  </w:style>
  <w:style w:type="paragraph" w:customStyle="1" w:styleId="AAHeading3">
    <w:name w:val="AA_Heading 3"/>
    <w:basedOn w:val="AA-Heading3"/>
    <w:link w:val="AAHeading3Char"/>
    <w:qFormat/>
    <w:rsid w:val="00F07D6B"/>
    <w:rPr>
      <w:sz w:val="26"/>
    </w:rPr>
  </w:style>
  <w:style w:type="character" w:customStyle="1" w:styleId="AAHeading1Char">
    <w:name w:val="AA_Heading 1 Char"/>
    <w:basedOn w:val="AA-Heading1Char"/>
    <w:link w:val="AAHeading1"/>
    <w:rsid w:val="00281A30"/>
    <w:rPr>
      <w:rFonts w:ascii="EYInterstate Light" w:hAnsi="EYInterstate Light"/>
      <w:b/>
      <w:color w:val="808080"/>
      <w:kern w:val="12"/>
      <w:sz w:val="32"/>
      <w:szCs w:val="24"/>
    </w:rPr>
  </w:style>
  <w:style w:type="paragraph" w:customStyle="1" w:styleId="AAnormal">
    <w:name w:val="AA_normal"/>
    <w:basedOn w:val="AA-Normal"/>
    <w:link w:val="AAnormalChar"/>
    <w:qFormat/>
    <w:rsid w:val="00281A30"/>
  </w:style>
  <w:style w:type="character" w:customStyle="1" w:styleId="AAHeading3Char">
    <w:name w:val="AA_Heading 3 Char"/>
    <w:basedOn w:val="AA-Heading3Char"/>
    <w:link w:val="AAHeading3"/>
    <w:rsid w:val="00F07D6B"/>
    <w:rPr>
      <w:rFonts w:ascii="EYInterstate Light" w:hAnsi="EYInterstate Light"/>
      <w:b/>
      <w:color w:val="808080"/>
      <w:kern w:val="12"/>
      <w:sz w:val="26"/>
      <w:szCs w:val="24"/>
    </w:rPr>
  </w:style>
  <w:style w:type="paragraph" w:customStyle="1" w:styleId="AABullet1">
    <w:name w:val="AA_Bullet 1"/>
    <w:basedOn w:val="AAnormal"/>
    <w:link w:val="AABullet1Char"/>
    <w:qFormat/>
    <w:rsid w:val="00A82B70"/>
    <w:pPr>
      <w:numPr>
        <w:numId w:val="9"/>
      </w:numPr>
    </w:pPr>
  </w:style>
  <w:style w:type="character" w:customStyle="1" w:styleId="AAnormalChar">
    <w:name w:val="AA_normal Char"/>
    <w:basedOn w:val="AA-NormalChar"/>
    <w:link w:val="AAnormal"/>
    <w:rsid w:val="00281A30"/>
    <w:rPr>
      <w:rFonts w:ascii="EYInterstate Light" w:hAnsi="EYInterstate Light"/>
    </w:rPr>
  </w:style>
  <w:style w:type="paragraph" w:styleId="ListParagraph">
    <w:name w:val="List Paragraph"/>
    <w:basedOn w:val="Normal"/>
    <w:uiPriority w:val="34"/>
    <w:qFormat/>
    <w:rsid w:val="002D2F06"/>
    <w:pPr>
      <w:ind w:left="720"/>
      <w:contextualSpacing/>
    </w:pPr>
  </w:style>
  <w:style w:type="character" w:customStyle="1" w:styleId="AABullet1Char">
    <w:name w:val="AA_Bullet 1 Char"/>
    <w:basedOn w:val="AAnormalChar"/>
    <w:link w:val="AABullet1"/>
    <w:rsid w:val="00A82B70"/>
    <w:rPr>
      <w:rFonts w:ascii="EYInterstate Light" w:hAnsi="EYInterstate Light"/>
      <w:sz w:val="22"/>
      <w:lang w:val="en-AU"/>
    </w:rPr>
  </w:style>
  <w:style w:type="paragraph" w:styleId="Caption">
    <w:name w:val="caption"/>
    <w:basedOn w:val="Normal"/>
    <w:next w:val="Normal"/>
    <w:link w:val="CaptionChar"/>
    <w:uiPriority w:val="35"/>
    <w:unhideWhenUsed/>
    <w:qFormat/>
    <w:rsid w:val="005C33BF"/>
    <w:pPr>
      <w:spacing w:after="200" w:line="240" w:lineRule="auto"/>
    </w:pPr>
    <w:rPr>
      <w:b/>
      <w:bCs/>
      <w:sz w:val="24"/>
      <w:szCs w:val="18"/>
    </w:rPr>
  </w:style>
  <w:style w:type="paragraph" w:styleId="NormalWeb">
    <w:name w:val="Normal (Web)"/>
    <w:basedOn w:val="Normal"/>
    <w:uiPriority w:val="99"/>
    <w:unhideWhenUsed/>
    <w:rsid w:val="00815807"/>
    <w:pPr>
      <w:widowControl/>
      <w:autoSpaceDE/>
      <w:autoSpaceDN/>
      <w:adjustRightInd/>
      <w:spacing w:before="100" w:beforeAutospacing="1" w:after="100" w:afterAutospacing="1" w:line="240" w:lineRule="auto"/>
    </w:pPr>
    <w:rPr>
      <w:rFonts w:ascii="Times New Roman" w:eastAsiaTheme="minorEastAsia" w:hAnsi="Times New Roman"/>
      <w:szCs w:val="24"/>
      <w:lang w:eastAsia="en-AU"/>
    </w:rPr>
  </w:style>
  <w:style w:type="character" w:customStyle="1" w:styleId="FooterChar">
    <w:name w:val="Footer Char"/>
    <w:aliases w:val="EY Footer Char"/>
    <w:basedOn w:val="DefaultParagraphFont"/>
    <w:link w:val="Footer"/>
    <w:rsid w:val="00965164"/>
    <w:rPr>
      <w:rFonts w:ascii="EYInterstate Light" w:hAnsi="EYInterstate Light"/>
      <w:sz w:val="24"/>
      <w:lang w:val="en-AU"/>
    </w:rPr>
  </w:style>
  <w:style w:type="paragraph" w:customStyle="1" w:styleId="Default">
    <w:name w:val="Default"/>
    <w:rsid w:val="00C43554"/>
    <w:pPr>
      <w:autoSpaceDE w:val="0"/>
      <w:autoSpaceDN w:val="0"/>
      <w:adjustRightInd w:val="0"/>
    </w:pPr>
    <w:rPr>
      <w:rFonts w:ascii="Arial" w:hAnsi="Arial" w:cs="Arial"/>
      <w:color w:val="000000"/>
      <w:sz w:val="24"/>
      <w:szCs w:val="24"/>
      <w:lang w:val="en-AU"/>
    </w:rPr>
  </w:style>
  <w:style w:type="character" w:styleId="FollowedHyperlink">
    <w:name w:val="FollowedHyperlink"/>
    <w:basedOn w:val="DefaultParagraphFont"/>
    <w:rsid w:val="00CB1371"/>
    <w:rPr>
      <w:color w:val="91278F" w:themeColor="followedHyperlink"/>
      <w:u w:val="single"/>
    </w:rPr>
  </w:style>
  <w:style w:type="paragraph" w:customStyle="1" w:styleId="Bullets">
    <w:name w:val="Bullets"/>
    <w:basedOn w:val="ListBullet"/>
    <w:link w:val="BulletsChar"/>
    <w:qFormat/>
    <w:rsid w:val="00D92E9E"/>
    <w:pPr>
      <w:widowControl/>
      <w:autoSpaceDE/>
      <w:autoSpaceDN/>
      <w:adjustRightInd/>
      <w:spacing w:before="120" w:line="320" w:lineRule="exact"/>
      <w:contextualSpacing w:val="0"/>
      <w:jc w:val="both"/>
    </w:pPr>
    <w:rPr>
      <w:rFonts w:ascii="Verdana" w:hAnsi="Verdana"/>
    </w:rPr>
  </w:style>
  <w:style w:type="character" w:customStyle="1" w:styleId="BulletsChar">
    <w:name w:val="Bullets Char"/>
    <w:link w:val="Bullets"/>
    <w:rsid w:val="00D92E9E"/>
    <w:rPr>
      <w:rFonts w:ascii="Verdana" w:hAnsi="Verdana"/>
      <w:lang w:val="en-AU"/>
    </w:rPr>
  </w:style>
  <w:style w:type="paragraph" w:styleId="ListBullet">
    <w:name w:val="List Bullet"/>
    <w:basedOn w:val="Normal"/>
    <w:rsid w:val="00D92E9E"/>
    <w:pPr>
      <w:tabs>
        <w:tab w:val="num" w:pos="360"/>
      </w:tabs>
      <w:ind w:left="360" w:hanging="360"/>
      <w:contextualSpacing/>
    </w:pPr>
  </w:style>
  <w:style w:type="table" w:styleId="TableGrid">
    <w:name w:val="Table Grid"/>
    <w:aliases w:val="CV table"/>
    <w:basedOn w:val="TableNormal"/>
    <w:rsid w:val="002A307B"/>
    <w:rPr>
      <w:rFonts w:asciiTheme="minorHAnsi" w:eastAsiaTheme="minorHAnsi" w:hAnsiTheme="minorHAnsi" w:cstheme="minorBid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0A2199"/>
    <w:tblPr>
      <w:tblStyleRowBandSize w:val="1"/>
      <w:tblStyleColBandSize w:val="1"/>
      <w:tblBorders>
        <w:top w:val="single" w:sz="8" w:space="0" w:color="999999" w:themeColor="accent3"/>
        <w:left w:val="single" w:sz="8" w:space="0" w:color="999999" w:themeColor="accent3"/>
        <w:bottom w:val="single" w:sz="8" w:space="0" w:color="999999" w:themeColor="accent3"/>
        <w:right w:val="single" w:sz="8" w:space="0" w:color="999999" w:themeColor="accent3"/>
      </w:tblBorders>
    </w:tblPr>
    <w:tblStylePr w:type="firstRow">
      <w:pPr>
        <w:spacing w:before="0" w:after="0" w:line="240" w:lineRule="auto"/>
      </w:pPr>
      <w:rPr>
        <w:b/>
        <w:bCs/>
        <w:color w:val="FFFFFF" w:themeColor="background1"/>
      </w:rPr>
      <w:tblPr/>
      <w:tcPr>
        <w:shd w:val="clear" w:color="auto" w:fill="999999" w:themeFill="accent3"/>
      </w:tcPr>
    </w:tblStylePr>
    <w:tblStylePr w:type="lastRow">
      <w:pPr>
        <w:spacing w:before="0" w:after="0" w:line="240" w:lineRule="auto"/>
      </w:pPr>
      <w:rPr>
        <w:b/>
        <w:bCs/>
      </w:rPr>
      <w:tblPr/>
      <w:tcPr>
        <w:tcBorders>
          <w:top w:val="double" w:sz="6" w:space="0" w:color="999999" w:themeColor="accent3"/>
          <w:left w:val="single" w:sz="8" w:space="0" w:color="999999" w:themeColor="accent3"/>
          <w:bottom w:val="single" w:sz="8" w:space="0" w:color="999999" w:themeColor="accent3"/>
          <w:right w:val="single" w:sz="8" w:space="0" w:color="999999" w:themeColor="accent3"/>
        </w:tcBorders>
      </w:tcPr>
    </w:tblStylePr>
    <w:tblStylePr w:type="firstCol">
      <w:rPr>
        <w:b/>
        <w:bCs/>
      </w:rPr>
    </w:tblStylePr>
    <w:tblStylePr w:type="lastCol">
      <w:rPr>
        <w:b/>
        <w:bCs/>
      </w:rPr>
    </w:tblStylePr>
    <w:tblStylePr w:type="band1Vert">
      <w:tblPr/>
      <w:tcPr>
        <w:tcBorders>
          <w:top w:val="single" w:sz="8" w:space="0" w:color="999999" w:themeColor="accent3"/>
          <w:left w:val="single" w:sz="8" w:space="0" w:color="999999" w:themeColor="accent3"/>
          <w:bottom w:val="single" w:sz="8" w:space="0" w:color="999999" w:themeColor="accent3"/>
          <w:right w:val="single" w:sz="8" w:space="0" w:color="999999" w:themeColor="accent3"/>
        </w:tcBorders>
      </w:tcPr>
    </w:tblStylePr>
    <w:tblStylePr w:type="band1Horz">
      <w:tblPr/>
      <w:tcPr>
        <w:tcBorders>
          <w:top w:val="single" w:sz="8" w:space="0" w:color="999999" w:themeColor="accent3"/>
          <w:left w:val="single" w:sz="8" w:space="0" w:color="999999" w:themeColor="accent3"/>
          <w:bottom w:val="single" w:sz="8" w:space="0" w:color="999999" w:themeColor="accent3"/>
          <w:right w:val="single" w:sz="8" w:space="0" w:color="999999" w:themeColor="accent3"/>
        </w:tcBorders>
      </w:tcPr>
    </w:tblStylePr>
  </w:style>
  <w:style w:type="paragraph" w:customStyle="1" w:styleId="Pa8">
    <w:name w:val="Pa8"/>
    <w:basedOn w:val="Default"/>
    <w:next w:val="Default"/>
    <w:uiPriority w:val="99"/>
    <w:rsid w:val="00555BC6"/>
    <w:pPr>
      <w:spacing w:line="221" w:lineRule="atLeast"/>
    </w:pPr>
    <w:rPr>
      <w:color w:val="auto"/>
    </w:rPr>
  </w:style>
  <w:style w:type="character" w:customStyle="1" w:styleId="A0">
    <w:name w:val="A0"/>
    <w:uiPriority w:val="99"/>
    <w:rsid w:val="00555BC6"/>
    <w:rPr>
      <w:color w:val="000000"/>
      <w:sz w:val="20"/>
      <w:szCs w:val="20"/>
    </w:rPr>
  </w:style>
  <w:style w:type="character" w:customStyle="1" w:styleId="EndnoteTextChar">
    <w:name w:val="Endnote Text Char"/>
    <w:basedOn w:val="DefaultParagraphFont"/>
    <w:link w:val="EndnoteText"/>
    <w:uiPriority w:val="99"/>
    <w:semiHidden/>
    <w:rsid w:val="00115835"/>
    <w:rPr>
      <w:rFonts w:ascii="EYInterstate Light" w:hAnsi="EYInterstate Light"/>
      <w:lang w:val="en-AU"/>
    </w:rPr>
  </w:style>
  <w:style w:type="table" w:styleId="LightShading-Accent1">
    <w:name w:val="Light Shading Accent 1"/>
    <w:basedOn w:val="TableNormal"/>
    <w:uiPriority w:val="60"/>
    <w:rsid w:val="00BB69D1"/>
    <w:rPr>
      <w:color w:val="5F5F5F" w:themeColor="accent1" w:themeShade="BF"/>
    </w:rPr>
    <w:tblPr>
      <w:tblStyleRowBandSize w:val="1"/>
      <w:tblStyleColBandSize w:val="1"/>
      <w:tblBorders>
        <w:top w:val="single" w:sz="8" w:space="0" w:color="808080" w:themeColor="accent1"/>
        <w:bottom w:val="single" w:sz="8" w:space="0" w:color="808080" w:themeColor="accent1"/>
      </w:tblBorders>
    </w:tblPr>
    <w:tblStylePr w:type="firstRow">
      <w:pPr>
        <w:spacing w:before="0" w:after="0" w:line="240" w:lineRule="auto"/>
      </w:pPr>
      <w:rPr>
        <w:b/>
        <w:bCs/>
      </w:rPr>
      <w:tblPr/>
      <w:tcPr>
        <w:tcBorders>
          <w:top w:val="single" w:sz="8" w:space="0" w:color="808080" w:themeColor="accent1"/>
          <w:left w:val="nil"/>
          <w:bottom w:val="single" w:sz="8" w:space="0" w:color="808080" w:themeColor="accent1"/>
          <w:right w:val="nil"/>
          <w:insideH w:val="nil"/>
          <w:insideV w:val="nil"/>
        </w:tcBorders>
      </w:tcPr>
    </w:tblStylePr>
    <w:tblStylePr w:type="lastRow">
      <w:pPr>
        <w:spacing w:before="0" w:after="0" w:line="240" w:lineRule="auto"/>
      </w:pPr>
      <w:rPr>
        <w:b/>
        <w:bCs/>
      </w:rPr>
      <w:tblPr/>
      <w:tcPr>
        <w:tcBorders>
          <w:top w:val="single" w:sz="8" w:space="0" w:color="808080" w:themeColor="accent1"/>
          <w:left w:val="nil"/>
          <w:bottom w:val="single" w:sz="8" w:space="0" w:color="80808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1" w:themeFillTint="3F"/>
      </w:tcPr>
    </w:tblStylePr>
    <w:tblStylePr w:type="band1Horz">
      <w:tblPr/>
      <w:tcPr>
        <w:tcBorders>
          <w:left w:val="nil"/>
          <w:right w:val="nil"/>
          <w:insideH w:val="nil"/>
          <w:insideV w:val="nil"/>
        </w:tcBorders>
        <w:shd w:val="clear" w:color="auto" w:fill="DFDFDF" w:themeFill="accent1" w:themeFillTint="3F"/>
      </w:tcPr>
    </w:tblStylePr>
  </w:style>
  <w:style w:type="character" w:customStyle="1" w:styleId="CaptionChar">
    <w:name w:val="Caption Char"/>
    <w:link w:val="Caption"/>
    <w:uiPriority w:val="35"/>
    <w:rsid w:val="005C33BF"/>
    <w:rPr>
      <w:rFonts w:ascii="EYInterstate Light" w:hAnsi="EYInterstate Light"/>
      <w:b/>
      <w:bCs/>
      <w:sz w:val="24"/>
      <w:szCs w:val="18"/>
      <w:lang w:val="en-AU"/>
    </w:rPr>
  </w:style>
  <w:style w:type="paragraph" w:customStyle="1" w:styleId="Normal1">
    <w:name w:val="Normal1"/>
    <w:rsid w:val="00F21E14"/>
    <w:pPr>
      <w:spacing w:line="276" w:lineRule="auto"/>
    </w:pPr>
    <w:rPr>
      <w:rFonts w:ascii="Arial" w:eastAsia="Arial" w:hAnsi="Arial" w:cs="Arial"/>
      <w:color w:val="000000"/>
      <w:sz w:val="22"/>
      <w:szCs w:val="22"/>
      <w:lang w:val="en-AU"/>
    </w:rPr>
  </w:style>
  <w:style w:type="table" w:styleId="LightList-Accent1">
    <w:name w:val="Light List Accent 1"/>
    <w:basedOn w:val="TableNormal"/>
    <w:uiPriority w:val="61"/>
    <w:rsid w:val="00BD4ADD"/>
    <w:tblPr>
      <w:tblStyleRowBandSize w:val="1"/>
      <w:tblStyleColBandSize w:val="1"/>
      <w:tblBorders>
        <w:top w:val="single" w:sz="8" w:space="0" w:color="808080" w:themeColor="accent1"/>
        <w:left w:val="single" w:sz="8" w:space="0" w:color="808080" w:themeColor="accent1"/>
        <w:bottom w:val="single" w:sz="8" w:space="0" w:color="808080" w:themeColor="accent1"/>
        <w:right w:val="single" w:sz="8" w:space="0" w:color="808080" w:themeColor="accent1"/>
      </w:tblBorders>
    </w:tblPr>
    <w:tblStylePr w:type="firstRow">
      <w:pPr>
        <w:spacing w:before="0" w:after="0" w:line="240" w:lineRule="auto"/>
      </w:pPr>
      <w:rPr>
        <w:b/>
        <w:bCs/>
        <w:color w:val="FFFFFF" w:themeColor="background1"/>
      </w:rPr>
      <w:tblPr/>
      <w:tcPr>
        <w:shd w:val="clear" w:color="auto" w:fill="808080" w:themeFill="accent1"/>
      </w:tcPr>
    </w:tblStylePr>
    <w:tblStylePr w:type="lastRow">
      <w:pPr>
        <w:spacing w:before="0" w:after="0" w:line="240" w:lineRule="auto"/>
      </w:pPr>
      <w:rPr>
        <w:b/>
        <w:bCs/>
      </w:rPr>
      <w:tblPr/>
      <w:tcPr>
        <w:tcBorders>
          <w:top w:val="double" w:sz="6" w:space="0" w:color="808080" w:themeColor="accent1"/>
          <w:left w:val="single" w:sz="8" w:space="0" w:color="808080" w:themeColor="accent1"/>
          <w:bottom w:val="single" w:sz="8" w:space="0" w:color="808080" w:themeColor="accent1"/>
          <w:right w:val="single" w:sz="8" w:space="0" w:color="808080" w:themeColor="accent1"/>
        </w:tcBorders>
      </w:tcPr>
    </w:tblStylePr>
    <w:tblStylePr w:type="firstCol">
      <w:rPr>
        <w:b/>
        <w:bCs/>
      </w:rPr>
    </w:tblStylePr>
    <w:tblStylePr w:type="lastCol">
      <w:rPr>
        <w:b/>
        <w:bCs/>
      </w:rPr>
    </w:tblStylePr>
    <w:tblStylePr w:type="band1Vert">
      <w:tblPr/>
      <w:tcPr>
        <w:tcBorders>
          <w:top w:val="single" w:sz="8" w:space="0" w:color="808080" w:themeColor="accent1"/>
          <w:left w:val="single" w:sz="8" w:space="0" w:color="808080" w:themeColor="accent1"/>
          <w:bottom w:val="single" w:sz="8" w:space="0" w:color="808080" w:themeColor="accent1"/>
          <w:right w:val="single" w:sz="8" w:space="0" w:color="808080" w:themeColor="accent1"/>
        </w:tcBorders>
      </w:tcPr>
    </w:tblStylePr>
    <w:tblStylePr w:type="band1Horz">
      <w:tblPr/>
      <w:tcPr>
        <w:tcBorders>
          <w:top w:val="single" w:sz="8" w:space="0" w:color="808080" w:themeColor="accent1"/>
          <w:left w:val="single" w:sz="8" w:space="0" w:color="808080" w:themeColor="accent1"/>
          <w:bottom w:val="single" w:sz="8" w:space="0" w:color="808080" w:themeColor="accent1"/>
          <w:right w:val="single" w:sz="8" w:space="0" w:color="808080" w:themeColor="accent1"/>
        </w:tcBorders>
      </w:tcPr>
    </w:tblStylePr>
  </w:style>
  <w:style w:type="paragraph" w:customStyle="1" w:styleId="EYBulletedText3">
    <w:name w:val="EY Bulleted Text 3"/>
    <w:basedOn w:val="EYNormal"/>
    <w:qFormat/>
    <w:rsid w:val="009F4C06"/>
    <w:pPr>
      <w:numPr>
        <w:ilvl w:val="2"/>
        <w:numId w:val="23"/>
      </w:numPr>
      <w:autoSpaceDE w:val="0"/>
      <w:autoSpaceDN w:val="0"/>
      <w:adjustRightInd w:val="0"/>
      <w:spacing w:after="240"/>
    </w:pPr>
    <w:rPr>
      <w:kern w:val="0"/>
      <w:sz w:val="22"/>
    </w:rPr>
  </w:style>
  <w:style w:type="paragraph" w:customStyle="1" w:styleId="EYBulletedText1">
    <w:name w:val="EY Bulleted Text 1"/>
    <w:basedOn w:val="EYNormal"/>
    <w:qFormat/>
    <w:rsid w:val="00390BB6"/>
    <w:pPr>
      <w:numPr>
        <w:numId w:val="23"/>
      </w:numPr>
      <w:spacing w:after="240" w:line="280" w:lineRule="atLeast"/>
    </w:pPr>
    <w:rPr>
      <w:kern w:val="0"/>
      <w:sz w:val="22"/>
    </w:rPr>
  </w:style>
  <w:style w:type="paragraph" w:customStyle="1" w:styleId="EYBulletedText2">
    <w:name w:val="EY Bulleted Text 2"/>
    <w:basedOn w:val="EYNormal"/>
    <w:qFormat/>
    <w:rsid w:val="00660B6E"/>
    <w:pPr>
      <w:numPr>
        <w:ilvl w:val="1"/>
        <w:numId w:val="23"/>
      </w:numPr>
      <w:suppressAutoHyphens/>
      <w:spacing w:after="240" w:line="280" w:lineRule="atLeast"/>
    </w:pPr>
    <w:rPr>
      <w:sz w:val="22"/>
    </w:rPr>
  </w:style>
  <w:style w:type="numbering" w:customStyle="1" w:styleId="EYBulletList">
    <w:name w:val="EYBulletList"/>
    <w:uiPriority w:val="99"/>
    <w:rsid w:val="008532AF"/>
    <w:pPr>
      <w:numPr>
        <w:numId w:val="12"/>
      </w:numPr>
    </w:pPr>
  </w:style>
  <w:style w:type="paragraph" w:customStyle="1" w:styleId="EY1Number">
    <w:name w:val="EY1 ( Number)"/>
    <w:basedOn w:val="EYNormal"/>
    <w:qFormat/>
    <w:rsid w:val="009F5024"/>
    <w:pPr>
      <w:numPr>
        <w:numId w:val="13"/>
      </w:numPr>
      <w:spacing w:after="240" w:line="280" w:lineRule="atLeast"/>
    </w:pPr>
    <w:rPr>
      <w:sz w:val="22"/>
      <w:lang w:val="en-AU" w:eastAsia="en-AU"/>
    </w:rPr>
  </w:style>
  <w:style w:type="paragraph" w:customStyle="1" w:styleId="EY2Letter">
    <w:name w:val="EY2 ( Letter)"/>
    <w:basedOn w:val="EY1Number"/>
    <w:qFormat/>
    <w:rsid w:val="005F55CE"/>
    <w:pPr>
      <w:numPr>
        <w:ilvl w:val="1"/>
      </w:numPr>
    </w:pPr>
  </w:style>
  <w:style w:type="paragraph" w:customStyle="1" w:styleId="EY3Roman">
    <w:name w:val="EY3 (Roman)"/>
    <w:basedOn w:val="EY1Number"/>
    <w:qFormat/>
    <w:rsid w:val="005F55CE"/>
    <w:pPr>
      <w:numPr>
        <w:ilvl w:val="2"/>
      </w:numPr>
    </w:pPr>
  </w:style>
  <w:style w:type="numbering" w:customStyle="1" w:styleId="EYAlphaNumList">
    <w:name w:val="EYAlphaNumList"/>
    <w:uiPriority w:val="99"/>
    <w:rsid w:val="005F55CE"/>
    <w:pPr>
      <w:numPr>
        <w:numId w:val="13"/>
      </w:numPr>
    </w:pPr>
  </w:style>
  <w:style w:type="character" w:styleId="CommentReference">
    <w:name w:val="annotation reference"/>
    <w:basedOn w:val="DefaultParagraphFont"/>
    <w:semiHidden/>
    <w:unhideWhenUsed/>
    <w:rsid w:val="004D4994"/>
    <w:rPr>
      <w:sz w:val="16"/>
      <w:szCs w:val="16"/>
    </w:rPr>
  </w:style>
  <w:style w:type="paragraph" w:styleId="CommentText">
    <w:name w:val="annotation text"/>
    <w:basedOn w:val="Normal"/>
    <w:link w:val="CommentTextChar"/>
    <w:unhideWhenUsed/>
    <w:rsid w:val="004D4994"/>
    <w:pPr>
      <w:spacing w:line="240" w:lineRule="auto"/>
    </w:pPr>
  </w:style>
  <w:style w:type="character" w:customStyle="1" w:styleId="CommentTextChar">
    <w:name w:val="Comment Text Char"/>
    <w:basedOn w:val="DefaultParagraphFont"/>
    <w:link w:val="CommentText"/>
    <w:rsid w:val="004D4994"/>
    <w:rPr>
      <w:rFonts w:ascii="EYInterstate Light" w:hAnsi="EYInterstate Light"/>
      <w:lang w:val="en-AU"/>
    </w:rPr>
  </w:style>
  <w:style w:type="paragraph" w:styleId="CommentSubject">
    <w:name w:val="annotation subject"/>
    <w:basedOn w:val="CommentText"/>
    <w:next w:val="CommentText"/>
    <w:link w:val="CommentSubjectChar"/>
    <w:semiHidden/>
    <w:unhideWhenUsed/>
    <w:rsid w:val="004D4994"/>
    <w:rPr>
      <w:b/>
      <w:bCs/>
    </w:rPr>
  </w:style>
  <w:style w:type="character" w:customStyle="1" w:styleId="CommentSubjectChar">
    <w:name w:val="Comment Subject Char"/>
    <w:basedOn w:val="CommentTextChar"/>
    <w:link w:val="CommentSubject"/>
    <w:semiHidden/>
    <w:rsid w:val="004D4994"/>
    <w:rPr>
      <w:rFonts w:ascii="EYInterstate Light" w:hAnsi="EYInterstate Light"/>
      <w:b/>
      <w:bCs/>
      <w:lang w:val="en-AU"/>
    </w:rPr>
  </w:style>
  <w:style w:type="table" w:styleId="LightShading-Accent3">
    <w:name w:val="Light Shading Accent 3"/>
    <w:basedOn w:val="TableNormal"/>
    <w:uiPriority w:val="60"/>
    <w:rsid w:val="00D36FAA"/>
    <w:rPr>
      <w:rFonts w:asciiTheme="minorHAnsi" w:eastAsiaTheme="minorHAnsi" w:hAnsiTheme="minorHAnsi" w:cstheme="minorBidi"/>
      <w:color w:val="727272" w:themeColor="accent3" w:themeShade="BF"/>
      <w:sz w:val="22"/>
      <w:szCs w:val="22"/>
      <w:lang w:val="en-AU"/>
    </w:rPr>
    <w:tblPr>
      <w:tblStyleRowBandSize w:val="1"/>
      <w:tblStyleColBandSize w:val="1"/>
      <w:tblBorders>
        <w:top w:val="single" w:sz="8" w:space="0" w:color="999999" w:themeColor="accent3"/>
        <w:bottom w:val="single" w:sz="8" w:space="0" w:color="999999" w:themeColor="accent3"/>
      </w:tblBorders>
    </w:tblPr>
    <w:tblStylePr w:type="firstRow">
      <w:pPr>
        <w:spacing w:before="0" w:after="0" w:line="240" w:lineRule="auto"/>
      </w:pPr>
      <w:rPr>
        <w:b/>
        <w:bCs/>
      </w:rPr>
      <w:tblPr/>
      <w:tcPr>
        <w:tcBorders>
          <w:top w:val="single" w:sz="8" w:space="0" w:color="999999" w:themeColor="accent3"/>
          <w:left w:val="nil"/>
          <w:bottom w:val="single" w:sz="8" w:space="0" w:color="999999" w:themeColor="accent3"/>
          <w:right w:val="nil"/>
          <w:insideH w:val="nil"/>
          <w:insideV w:val="nil"/>
        </w:tcBorders>
      </w:tcPr>
    </w:tblStylePr>
    <w:tblStylePr w:type="lastRow">
      <w:pPr>
        <w:spacing w:before="0" w:after="0" w:line="240" w:lineRule="auto"/>
      </w:pPr>
      <w:rPr>
        <w:b/>
        <w:bCs/>
      </w:rPr>
      <w:tblPr/>
      <w:tcPr>
        <w:tcBorders>
          <w:top w:val="single" w:sz="8" w:space="0" w:color="999999" w:themeColor="accent3"/>
          <w:left w:val="nil"/>
          <w:bottom w:val="single" w:sz="8" w:space="0" w:color="99999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numbering" w:customStyle="1" w:styleId="ParaNumberingArial">
    <w:name w:val="ParaNumbering Arial"/>
    <w:basedOn w:val="NoList"/>
    <w:rsid w:val="009D63E5"/>
    <w:pPr>
      <w:numPr>
        <w:numId w:val="14"/>
      </w:numPr>
    </w:pPr>
  </w:style>
  <w:style w:type="character" w:customStyle="1" w:styleId="Heading5Char">
    <w:name w:val="Heading 5 Char"/>
    <w:basedOn w:val="DefaultParagraphFont"/>
    <w:link w:val="Heading5"/>
    <w:rsid w:val="00FC67CC"/>
    <w:rPr>
      <w:rFonts w:ascii="EYInterstate Light" w:hAnsi="EYInterstate Light"/>
      <w:b/>
      <w:bCs/>
      <w:sz w:val="28"/>
      <w:szCs w:val="24"/>
      <w:lang w:val="en-AU"/>
    </w:rPr>
  </w:style>
  <w:style w:type="character" w:customStyle="1" w:styleId="EYDateChar">
    <w:name w:val="EY Date Char"/>
    <w:basedOn w:val="DefaultParagraphFont"/>
    <w:link w:val="EYDate"/>
    <w:rsid w:val="007A2942"/>
    <w:rPr>
      <w:rFonts w:ascii="EYInterstate Regular" w:hAnsi="EYInterstate Regular"/>
      <w:b/>
      <w:bCs/>
      <w:kern w:val="28"/>
      <w:szCs w:val="32"/>
    </w:rPr>
  </w:style>
  <w:style w:type="paragraph" w:customStyle="1" w:styleId="EYBodytextnoparaspace">
    <w:name w:val="EY Body text (no para space)"/>
    <w:basedOn w:val="EYNormal"/>
    <w:rsid w:val="007A2942"/>
    <w:pPr>
      <w:tabs>
        <w:tab w:val="left" w:pos="907"/>
      </w:tabs>
      <w:suppressAutoHyphens/>
      <w:spacing w:line="260" w:lineRule="atLeast"/>
    </w:pPr>
    <w:rPr>
      <w:rFonts w:ascii="Arial" w:hAnsi="Arial"/>
    </w:rPr>
  </w:style>
  <w:style w:type="character" w:customStyle="1" w:styleId="EYClosureChar">
    <w:name w:val="EY Closure Char"/>
    <w:basedOn w:val="DefaultParagraphFont"/>
    <w:link w:val="EYClosure"/>
    <w:rsid w:val="007A2942"/>
    <w:rPr>
      <w:rFonts w:ascii="EYInterstate Light" w:hAnsi="EYInterstate Light"/>
      <w:kern w:val="12"/>
      <w:szCs w:val="24"/>
    </w:rPr>
  </w:style>
  <w:style w:type="character" w:customStyle="1" w:styleId="EYLetterTextChar">
    <w:name w:val="EY Letter Text Char"/>
    <w:basedOn w:val="DefaultParagraphFont"/>
    <w:link w:val="EYLetterText"/>
    <w:uiPriority w:val="99"/>
    <w:rsid w:val="007A2942"/>
    <w:rPr>
      <w:rFonts w:ascii="EYInterstate Light" w:hAnsi="EYInterstate Light"/>
      <w:kern w:val="12"/>
      <w:szCs w:val="24"/>
    </w:rPr>
  </w:style>
  <w:style w:type="table" w:styleId="LightList-Accent5">
    <w:name w:val="Light List Accent 5"/>
    <w:basedOn w:val="TableNormal"/>
    <w:uiPriority w:val="61"/>
    <w:rsid w:val="00266598"/>
    <w:tblPr>
      <w:tblStyleRowBandSize w:val="1"/>
      <w:tblStyleColBandSize w:val="1"/>
      <w:tblBorders>
        <w:top w:val="single" w:sz="8" w:space="0" w:color="00A3AE" w:themeColor="accent5"/>
        <w:left w:val="single" w:sz="8" w:space="0" w:color="00A3AE" w:themeColor="accent5"/>
        <w:bottom w:val="single" w:sz="8" w:space="0" w:color="00A3AE" w:themeColor="accent5"/>
        <w:right w:val="single" w:sz="8" w:space="0" w:color="00A3AE" w:themeColor="accent5"/>
      </w:tblBorders>
    </w:tblPr>
    <w:tblStylePr w:type="firstRow">
      <w:pPr>
        <w:spacing w:before="0" w:after="0" w:line="240" w:lineRule="auto"/>
      </w:pPr>
      <w:rPr>
        <w:b/>
        <w:bCs/>
        <w:color w:val="FFFFFF" w:themeColor="background1"/>
      </w:rPr>
      <w:tblPr/>
      <w:tcPr>
        <w:shd w:val="clear" w:color="auto" w:fill="00A3AE" w:themeFill="accent5"/>
      </w:tcPr>
    </w:tblStylePr>
    <w:tblStylePr w:type="lastRow">
      <w:pPr>
        <w:spacing w:before="0" w:after="0" w:line="240" w:lineRule="auto"/>
      </w:pPr>
      <w:rPr>
        <w:b/>
        <w:bCs/>
      </w:rPr>
      <w:tblPr/>
      <w:tcPr>
        <w:tcBorders>
          <w:top w:val="double" w:sz="6" w:space="0" w:color="00A3AE" w:themeColor="accent5"/>
          <w:left w:val="single" w:sz="8" w:space="0" w:color="00A3AE" w:themeColor="accent5"/>
          <w:bottom w:val="single" w:sz="8" w:space="0" w:color="00A3AE" w:themeColor="accent5"/>
          <w:right w:val="single" w:sz="8" w:space="0" w:color="00A3AE" w:themeColor="accent5"/>
        </w:tcBorders>
      </w:tcPr>
    </w:tblStylePr>
    <w:tblStylePr w:type="firstCol">
      <w:rPr>
        <w:b/>
        <w:bCs/>
      </w:rPr>
    </w:tblStylePr>
    <w:tblStylePr w:type="lastCol">
      <w:rPr>
        <w:b/>
        <w:bCs/>
      </w:rPr>
    </w:tblStylePr>
    <w:tblStylePr w:type="band1Vert">
      <w:tblPr/>
      <w:tcPr>
        <w:tcBorders>
          <w:top w:val="single" w:sz="8" w:space="0" w:color="00A3AE" w:themeColor="accent5"/>
          <w:left w:val="single" w:sz="8" w:space="0" w:color="00A3AE" w:themeColor="accent5"/>
          <w:bottom w:val="single" w:sz="8" w:space="0" w:color="00A3AE" w:themeColor="accent5"/>
          <w:right w:val="single" w:sz="8" w:space="0" w:color="00A3AE" w:themeColor="accent5"/>
        </w:tcBorders>
      </w:tcPr>
    </w:tblStylePr>
    <w:tblStylePr w:type="band1Horz">
      <w:tblPr/>
      <w:tcPr>
        <w:tcBorders>
          <w:top w:val="single" w:sz="8" w:space="0" w:color="00A3AE" w:themeColor="accent5"/>
          <w:left w:val="single" w:sz="8" w:space="0" w:color="00A3AE" w:themeColor="accent5"/>
          <w:bottom w:val="single" w:sz="8" w:space="0" w:color="00A3AE" w:themeColor="accent5"/>
          <w:right w:val="single" w:sz="8" w:space="0" w:color="00A3AE" w:themeColor="accent5"/>
        </w:tcBorders>
      </w:tcPr>
    </w:tblStylePr>
  </w:style>
  <w:style w:type="table" w:styleId="LightList-Accent2">
    <w:name w:val="Light List Accent 2"/>
    <w:basedOn w:val="TableNormal"/>
    <w:uiPriority w:val="61"/>
    <w:rsid w:val="00266598"/>
    <w:tblPr>
      <w:tblStyleRowBandSize w:val="1"/>
      <w:tblStyleColBandSize w:val="1"/>
      <w:tblBorders>
        <w:top w:val="single" w:sz="8" w:space="0" w:color="FFE600" w:themeColor="accent2"/>
        <w:left w:val="single" w:sz="8" w:space="0" w:color="FFE600" w:themeColor="accent2"/>
        <w:bottom w:val="single" w:sz="8" w:space="0" w:color="FFE600" w:themeColor="accent2"/>
        <w:right w:val="single" w:sz="8" w:space="0" w:color="FFE600" w:themeColor="accent2"/>
      </w:tblBorders>
    </w:tblPr>
    <w:tblStylePr w:type="firstRow">
      <w:pPr>
        <w:spacing w:before="0" w:after="0" w:line="240" w:lineRule="auto"/>
      </w:pPr>
      <w:rPr>
        <w:b/>
        <w:bCs/>
        <w:color w:val="FFFFFF" w:themeColor="background1"/>
      </w:rPr>
      <w:tblPr/>
      <w:tcPr>
        <w:shd w:val="clear" w:color="auto" w:fill="FFE600" w:themeFill="accent2"/>
      </w:tcPr>
    </w:tblStylePr>
    <w:tblStylePr w:type="lastRow">
      <w:pPr>
        <w:spacing w:before="0" w:after="0" w:line="240" w:lineRule="auto"/>
      </w:pPr>
      <w:rPr>
        <w:b/>
        <w:bCs/>
      </w:rPr>
      <w:tblPr/>
      <w:tcPr>
        <w:tcBorders>
          <w:top w:val="double" w:sz="6" w:space="0" w:color="FFE600" w:themeColor="accent2"/>
          <w:left w:val="single" w:sz="8" w:space="0" w:color="FFE600" w:themeColor="accent2"/>
          <w:bottom w:val="single" w:sz="8" w:space="0" w:color="FFE600" w:themeColor="accent2"/>
          <w:right w:val="single" w:sz="8" w:space="0" w:color="FFE600" w:themeColor="accent2"/>
        </w:tcBorders>
      </w:tcPr>
    </w:tblStylePr>
    <w:tblStylePr w:type="firstCol">
      <w:rPr>
        <w:b/>
        <w:bCs/>
      </w:rPr>
    </w:tblStylePr>
    <w:tblStylePr w:type="lastCol">
      <w:rPr>
        <w:b/>
        <w:bCs/>
      </w:rPr>
    </w:tblStylePr>
    <w:tblStylePr w:type="band1Vert">
      <w:tblPr/>
      <w:tcPr>
        <w:tcBorders>
          <w:top w:val="single" w:sz="8" w:space="0" w:color="FFE600" w:themeColor="accent2"/>
          <w:left w:val="single" w:sz="8" w:space="0" w:color="FFE600" w:themeColor="accent2"/>
          <w:bottom w:val="single" w:sz="8" w:space="0" w:color="FFE600" w:themeColor="accent2"/>
          <w:right w:val="single" w:sz="8" w:space="0" w:color="FFE600" w:themeColor="accent2"/>
        </w:tcBorders>
      </w:tcPr>
    </w:tblStylePr>
    <w:tblStylePr w:type="band1Horz">
      <w:tblPr/>
      <w:tcPr>
        <w:tcBorders>
          <w:top w:val="single" w:sz="8" w:space="0" w:color="FFE600" w:themeColor="accent2"/>
          <w:left w:val="single" w:sz="8" w:space="0" w:color="FFE600" w:themeColor="accent2"/>
          <w:bottom w:val="single" w:sz="8" w:space="0" w:color="FFE600" w:themeColor="accent2"/>
          <w:right w:val="single" w:sz="8" w:space="0" w:color="FFE600" w:themeColor="accent2"/>
        </w:tcBorders>
      </w:tcPr>
    </w:tblStylePr>
  </w:style>
  <w:style w:type="character" w:customStyle="1" w:styleId="HeaderChar">
    <w:name w:val="Header Char"/>
    <w:aliases w:val="EY Header Char"/>
    <w:basedOn w:val="DefaultParagraphFont"/>
    <w:link w:val="Header"/>
    <w:rsid w:val="00EC7EE6"/>
    <w:rPr>
      <w:rFonts w:ascii="EYInterstate Light" w:hAnsi="EYInterstate Light"/>
      <w:lang w:val="en-AU"/>
    </w:rPr>
  </w:style>
  <w:style w:type="character" w:styleId="Strong">
    <w:name w:val="Strong"/>
    <w:basedOn w:val="DefaultParagraphFont"/>
    <w:uiPriority w:val="22"/>
    <w:qFormat/>
    <w:rsid w:val="00C11F62"/>
    <w:rPr>
      <w:b/>
      <w:bCs/>
    </w:rPr>
  </w:style>
  <w:style w:type="character" w:customStyle="1" w:styleId="newstitle">
    <w:name w:val="news_title"/>
    <w:basedOn w:val="DefaultParagraphFont"/>
    <w:rsid w:val="00C11F62"/>
  </w:style>
  <w:style w:type="table" w:customStyle="1" w:styleId="TableGrid1">
    <w:name w:val="Table Grid1"/>
    <w:basedOn w:val="TableNormal"/>
    <w:next w:val="TableGrid"/>
    <w:uiPriority w:val="39"/>
    <w:rsid w:val="001E4B38"/>
    <w:rPr>
      <w:rFonts w:ascii="Calibri" w:eastAsia="Calibri" w:hAnsi="Calibri"/>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Normal"/>
    <w:rsid w:val="00AD5ACB"/>
  </w:style>
  <w:style w:type="paragraph" w:styleId="Revision">
    <w:name w:val="Revision"/>
    <w:hidden/>
    <w:uiPriority w:val="99"/>
    <w:semiHidden/>
    <w:rsid w:val="0045000B"/>
    <w:rPr>
      <w:rFonts w:ascii="EYInterstate Light" w:hAnsi="EYInterstate Light"/>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603599">
      <w:bodyDiv w:val="1"/>
      <w:marLeft w:val="0"/>
      <w:marRight w:val="0"/>
      <w:marTop w:val="0"/>
      <w:marBottom w:val="0"/>
      <w:divBdr>
        <w:top w:val="none" w:sz="0" w:space="0" w:color="auto"/>
        <w:left w:val="none" w:sz="0" w:space="0" w:color="auto"/>
        <w:bottom w:val="none" w:sz="0" w:space="0" w:color="auto"/>
        <w:right w:val="none" w:sz="0" w:space="0" w:color="auto"/>
      </w:divBdr>
    </w:div>
    <w:div w:id="90708529">
      <w:bodyDiv w:val="1"/>
      <w:marLeft w:val="0"/>
      <w:marRight w:val="0"/>
      <w:marTop w:val="0"/>
      <w:marBottom w:val="0"/>
      <w:divBdr>
        <w:top w:val="none" w:sz="0" w:space="0" w:color="auto"/>
        <w:left w:val="none" w:sz="0" w:space="0" w:color="auto"/>
        <w:bottom w:val="none" w:sz="0" w:space="0" w:color="auto"/>
        <w:right w:val="none" w:sz="0" w:space="0" w:color="auto"/>
      </w:divBdr>
    </w:div>
    <w:div w:id="122234636">
      <w:bodyDiv w:val="1"/>
      <w:marLeft w:val="0"/>
      <w:marRight w:val="0"/>
      <w:marTop w:val="0"/>
      <w:marBottom w:val="0"/>
      <w:divBdr>
        <w:top w:val="none" w:sz="0" w:space="0" w:color="auto"/>
        <w:left w:val="none" w:sz="0" w:space="0" w:color="auto"/>
        <w:bottom w:val="none" w:sz="0" w:space="0" w:color="auto"/>
        <w:right w:val="none" w:sz="0" w:space="0" w:color="auto"/>
      </w:divBdr>
    </w:div>
    <w:div w:id="175122965">
      <w:bodyDiv w:val="1"/>
      <w:marLeft w:val="0"/>
      <w:marRight w:val="0"/>
      <w:marTop w:val="0"/>
      <w:marBottom w:val="0"/>
      <w:divBdr>
        <w:top w:val="none" w:sz="0" w:space="0" w:color="auto"/>
        <w:left w:val="none" w:sz="0" w:space="0" w:color="auto"/>
        <w:bottom w:val="none" w:sz="0" w:space="0" w:color="auto"/>
        <w:right w:val="none" w:sz="0" w:space="0" w:color="auto"/>
      </w:divBdr>
    </w:div>
    <w:div w:id="285543695">
      <w:bodyDiv w:val="1"/>
      <w:marLeft w:val="0"/>
      <w:marRight w:val="0"/>
      <w:marTop w:val="0"/>
      <w:marBottom w:val="0"/>
      <w:divBdr>
        <w:top w:val="none" w:sz="0" w:space="0" w:color="auto"/>
        <w:left w:val="none" w:sz="0" w:space="0" w:color="auto"/>
        <w:bottom w:val="none" w:sz="0" w:space="0" w:color="auto"/>
        <w:right w:val="none" w:sz="0" w:space="0" w:color="auto"/>
      </w:divBdr>
      <w:divsChild>
        <w:div w:id="933711411">
          <w:marLeft w:val="0"/>
          <w:marRight w:val="0"/>
          <w:marTop w:val="0"/>
          <w:marBottom w:val="0"/>
          <w:divBdr>
            <w:top w:val="none" w:sz="0" w:space="0" w:color="auto"/>
            <w:left w:val="none" w:sz="0" w:space="0" w:color="auto"/>
            <w:bottom w:val="none" w:sz="0" w:space="0" w:color="auto"/>
            <w:right w:val="none" w:sz="0" w:space="0" w:color="auto"/>
          </w:divBdr>
          <w:divsChild>
            <w:div w:id="1096168773">
              <w:marLeft w:val="0"/>
              <w:marRight w:val="0"/>
              <w:marTop w:val="0"/>
              <w:marBottom w:val="0"/>
              <w:divBdr>
                <w:top w:val="none" w:sz="0" w:space="0" w:color="auto"/>
                <w:left w:val="none" w:sz="0" w:space="0" w:color="auto"/>
                <w:bottom w:val="none" w:sz="0" w:space="0" w:color="auto"/>
                <w:right w:val="none" w:sz="0" w:space="0" w:color="auto"/>
              </w:divBdr>
              <w:divsChild>
                <w:div w:id="1135222928">
                  <w:marLeft w:val="0"/>
                  <w:marRight w:val="0"/>
                  <w:marTop w:val="0"/>
                  <w:marBottom w:val="0"/>
                  <w:divBdr>
                    <w:top w:val="none" w:sz="0" w:space="0" w:color="auto"/>
                    <w:left w:val="none" w:sz="0" w:space="0" w:color="auto"/>
                    <w:bottom w:val="none" w:sz="0" w:space="0" w:color="auto"/>
                    <w:right w:val="none" w:sz="0" w:space="0" w:color="auto"/>
                  </w:divBdr>
                  <w:divsChild>
                    <w:div w:id="3998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353562">
      <w:bodyDiv w:val="1"/>
      <w:marLeft w:val="0"/>
      <w:marRight w:val="0"/>
      <w:marTop w:val="0"/>
      <w:marBottom w:val="0"/>
      <w:divBdr>
        <w:top w:val="none" w:sz="0" w:space="0" w:color="auto"/>
        <w:left w:val="none" w:sz="0" w:space="0" w:color="auto"/>
        <w:bottom w:val="none" w:sz="0" w:space="0" w:color="auto"/>
        <w:right w:val="none" w:sz="0" w:space="0" w:color="auto"/>
      </w:divBdr>
      <w:divsChild>
        <w:div w:id="1163010634">
          <w:marLeft w:val="0"/>
          <w:marRight w:val="0"/>
          <w:marTop w:val="0"/>
          <w:marBottom w:val="0"/>
          <w:divBdr>
            <w:top w:val="none" w:sz="0" w:space="0" w:color="auto"/>
            <w:left w:val="none" w:sz="0" w:space="0" w:color="auto"/>
            <w:bottom w:val="none" w:sz="0" w:space="0" w:color="auto"/>
            <w:right w:val="none" w:sz="0" w:space="0" w:color="auto"/>
          </w:divBdr>
          <w:divsChild>
            <w:div w:id="1690453419">
              <w:marLeft w:val="0"/>
              <w:marRight w:val="0"/>
              <w:marTop w:val="0"/>
              <w:marBottom w:val="0"/>
              <w:divBdr>
                <w:top w:val="none" w:sz="0" w:space="0" w:color="auto"/>
                <w:left w:val="none" w:sz="0" w:space="0" w:color="auto"/>
                <w:bottom w:val="none" w:sz="0" w:space="0" w:color="auto"/>
                <w:right w:val="none" w:sz="0" w:space="0" w:color="auto"/>
              </w:divBdr>
              <w:divsChild>
                <w:div w:id="1087968767">
                  <w:marLeft w:val="0"/>
                  <w:marRight w:val="0"/>
                  <w:marTop w:val="0"/>
                  <w:marBottom w:val="0"/>
                  <w:divBdr>
                    <w:top w:val="none" w:sz="0" w:space="0" w:color="auto"/>
                    <w:left w:val="none" w:sz="0" w:space="0" w:color="auto"/>
                    <w:bottom w:val="none" w:sz="0" w:space="0" w:color="auto"/>
                    <w:right w:val="none" w:sz="0" w:space="0" w:color="auto"/>
                  </w:divBdr>
                  <w:divsChild>
                    <w:div w:id="1386298781">
                      <w:marLeft w:val="0"/>
                      <w:marRight w:val="0"/>
                      <w:marTop w:val="0"/>
                      <w:marBottom w:val="0"/>
                      <w:divBdr>
                        <w:top w:val="none" w:sz="0" w:space="0" w:color="auto"/>
                        <w:left w:val="none" w:sz="0" w:space="0" w:color="auto"/>
                        <w:bottom w:val="none" w:sz="0" w:space="0" w:color="auto"/>
                        <w:right w:val="none" w:sz="0" w:space="0" w:color="auto"/>
                      </w:divBdr>
                      <w:divsChild>
                        <w:div w:id="174003360">
                          <w:marLeft w:val="0"/>
                          <w:marRight w:val="0"/>
                          <w:marTop w:val="0"/>
                          <w:marBottom w:val="0"/>
                          <w:divBdr>
                            <w:top w:val="none" w:sz="0" w:space="0" w:color="auto"/>
                            <w:left w:val="none" w:sz="0" w:space="0" w:color="auto"/>
                            <w:bottom w:val="none" w:sz="0" w:space="0" w:color="auto"/>
                            <w:right w:val="none" w:sz="0" w:space="0" w:color="auto"/>
                          </w:divBdr>
                          <w:divsChild>
                            <w:div w:id="110368803">
                              <w:marLeft w:val="0"/>
                              <w:marRight w:val="0"/>
                              <w:marTop w:val="0"/>
                              <w:marBottom w:val="450"/>
                              <w:divBdr>
                                <w:top w:val="none" w:sz="0" w:space="0" w:color="auto"/>
                                <w:left w:val="none" w:sz="0" w:space="0" w:color="auto"/>
                                <w:bottom w:val="none" w:sz="0" w:space="0" w:color="auto"/>
                                <w:right w:val="none" w:sz="0" w:space="0" w:color="auto"/>
                              </w:divBdr>
                              <w:divsChild>
                                <w:div w:id="1756245452">
                                  <w:marLeft w:val="0"/>
                                  <w:marRight w:val="0"/>
                                  <w:marTop w:val="0"/>
                                  <w:marBottom w:val="0"/>
                                  <w:divBdr>
                                    <w:top w:val="none" w:sz="0" w:space="0" w:color="auto"/>
                                    <w:left w:val="none" w:sz="0" w:space="0" w:color="auto"/>
                                    <w:bottom w:val="none" w:sz="0" w:space="0" w:color="auto"/>
                                    <w:right w:val="none" w:sz="0" w:space="0" w:color="auto"/>
                                  </w:divBdr>
                                  <w:divsChild>
                                    <w:div w:id="1533762546">
                                      <w:marLeft w:val="0"/>
                                      <w:marRight w:val="0"/>
                                      <w:marTop w:val="0"/>
                                      <w:marBottom w:val="0"/>
                                      <w:divBdr>
                                        <w:top w:val="none" w:sz="0" w:space="0" w:color="auto"/>
                                        <w:left w:val="none" w:sz="0" w:space="0" w:color="auto"/>
                                        <w:bottom w:val="none" w:sz="0" w:space="0" w:color="auto"/>
                                        <w:right w:val="none" w:sz="0" w:space="0" w:color="auto"/>
                                      </w:divBdr>
                                      <w:divsChild>
                                        <w:div w:id="83456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3269108">
      <w:bodyDiv w:val="1"/>
      <w:marLeft w:val="0"/>
      <w:marRight w:val="0"/>
      <w:marTop w:val="0"/>
      <w:marBottom w:val="0"/>
      <w:divBdr>
        <w:top w:val="none" w:sz="0" w:space="0" w:color="auto"/>
        <w:left w:val="none" w:sz="0" w:space="0" w:color="auto"/>
        <w:bottom w:val="none" w:sz="0" w:space="0" w:color="auto"/>
        <w:right w:val="none" w:sz="0" w:space="0" w:color="auto"/>
      </w:divBdr>
    </w:div>
    <w:div w:id="378012315">
      <w:bodyDiv w:val="1"/>
      <w:marLeft w:val="0"/>
      <w:marRight w:val="0"/>
      <w:marTop w:val="0"/>
      <w:marBottom w:val="0"/>
      <w:divBdr>
        <w:top w:val="none" w:sz="0" w:space="0" w:color="auto"/>
        <w:left w:val="none" w:sz="0" w:space="0" w:color="auto"/>
        <w:bottom w:val="none" w:sz="0" w:space="0" w:color="auto"/>
        <w:right w:val="none" w:sz="0" w:space="0" w:color="auto"/>
      </w:divBdr>
    </w:div>
    <w:div w:id="395394540">
      <w:bodyDiv w:val="1"/>
      <w:marLeft w:val="0"/>
      <w:marRight w:val="0"/>
      <w:marTop w:val="0"/>
      <w:marBottom w:val="0"/>
      <w:divBdr>
        <w:top w:val="none" w:sz="0" w:space="0" w:color="auto"/>
        <w:left w:val="none" w:sz="0" w:space="0" w:color="auto"/>
        <w:bottom w:val="none" w:sz="0" w:space="0" w:color="auto"/>
        <w:right w:val="none" w:sz="0" w:space="0" w:color="auto"/>
      </w:divBdr>
      <w:divsChild>
        <w:div w:id="2050492524">
          <w:marLeft w:val="0"/>
          <w:marRight w:val="0"/>
          <w:marTop w:val="0"/>
          <w:marBottom w:val="0"/>
          <w:divBdr>
            <w:top w:val="none" w:sz="0" w:space="0" w:color="auto"/>
            <w:left w:val="none" w:sz="0" w:space="0" w:color="auto"/>
            <w:bottom w:val="none" w:sz="0" w:space="0" w:color="auto"/>
            <w:right w:val="none" w:sz="0" w:space="0" w:color="auto"/>
          </w:divBdr>
          <w:divsChild>
            <w:div w:id="1939558008">
              <w:marLeft w:val="0"/>
              <w:marRight w:val="0"/>
              <w:marTop w:val="0"/>
              <w:marBottom w:val="0"/>
              <w:divBdr>
                <w:top w:val="none" w:sz="0" w:space="0" w:color="auto"/>
                <w:left w:val="none" w:sz="0" w:space="0" w:color="auto"/>
                <w:bottom w:val="none" w:sz="0" w:space="0" w:color="auto"/>
                <w:right w:val="none" w:sz="0" w:space="0" w:color="auto"/>
              </w:divBdr>
              <w:divsChild>
                <w:div w:id="1385718340">
                  <w:marLeft w:val="0"/>
                  <w:marRight w:val="0"/>
                  <w:marTop w:val="0"/>
                  <w:marBottom w:val="0"/>
                  <w:divBdr>
                    <w:top w:val="none" w:sz="0" w:space="0" w:color="auto"/>
                    <w:left w:val="none" w:sz="0" w:space="0" w:color="auto"/>
                    <w:bottom w:val="none" w:sz="0" w:space="0" w:color="auto"/>
                    <w:right w:val="none" w:sz="0" w:space="0" w:color="auto"/>
                  </w:divBdr>
                  <w:divsChild>
                    <w:div w:id="416903478">
                      <w:marLeft w:val="225"/>
                      <w:marRight w:val="225"/>
                      <w:marTop w:val="225"/>
                      <w:marBottom w:val="0"/>
                      <w:divBdr>
                        <w:top w:val="none" w:sz="0" w:space="0" w:color="auto"/>
                        <w:left w:val="none" w:sz="0" w:space="0" w:color="auto"/>
                        <w:bottom w:val="none" w:sz="0" w:space="0" w:color="auto"/>
                        <w:right w:val="none" w:sz="0" w:space="0" w:color="auto"/>
                      </w:divBdr>
                      <w:divsChild>
                        <w:div w:id="487210322">
                          <w:marLeft w:val="0"/>
                          <w:marRight w:val="0"/>
                          <w:marTop w:val="0"/>
                          <w:marBottom w:val="0"/>
                          <w:divBdr>
                            <w:top w:val="none" w:sz="0" w:space="0" w:color="auto"/>
                            <w:left w:val="none" w:sz="0" w:space="0" w:color="auto"/>
                            <w:bottom w:val="none" w:sz="0" w:space="0" w:color="auto"/>
                            <w:right w:val="none" w:sz="0" w:space="0" w:color="auto"/>
                          </w:divBdr>
                          <w:divsChild>
                            <w:div w:id="1145853935">
                              <w:marLeft w:val="0"/>
                              <w:marRight w:val="4725"/>
                              <w:marTop w:val="0"/>
                              <w:marBottom w:val="0"/>
                              <w:divBdr>
                                <w:top w:val="none" w:sz="0" w:space="0" w:color="auto"/>
                                <w:left w:val="none" w:sz="0" w:space="0" w:color="auto"/>
                                <w:bottom w:val="none" w:sz="0" w:space="0" w:color="auto"/>
                                <w:right w:val="none" w:sz="0" w:space="0" w:color="auto"/>
                              </w:divBdr>
                              <w:divsChild>
                                <w:div w:id="977805750">
                                  <w:marLeft w:val="0"/>
                                  <w:marRight w:val="0"/>
                                  <w:marTop w:val="0"/>
                                  <w:marBottom w:val="0"/>
                                  <w:divBdr>
                                    <w:top w:val="none" w:sz="0" w:space="0" w:color="auto"/>
                                    <w:left w:val="none" w:sz="0" w:space="0" w:color="auto"/>
                                    <w:bottom w:val="none" w:sz="0" w:space="0" w:color="auto"/>
                                    <w:right w:val="none" w:sz="0" w:space="0" w:color="auto"/>
                                  </w:divBdr>
                                  <w:divsChild>
                                    <w:div w:id="1165590268">
                                      <w:marLeft w:val="0"/>
                                      <w:marRight w:val="0"/>
                                      <w:marTop w:val="0"/>
                                      <w:marBottom w:val="0"/>
                                      <w:divBdr>
                                        <w:top w:val="none" w:sz="0" w:space="0" w:color="auto"/>
                                        <w:left w:val="none" w:sz="0" w:space="0" w:color="auto"/>
                                        <w:bottom w:val="none" w:sz="0" w:space="0" w:color="auto"/>
                                        <w:right w:val="none" w:sz="0" w:space="0" w:color="auto"/>
                                      </w:divBdr>
                                      <w:divsChild>
                                        <w:div w:id="1943566646">
                                          <w:marLeft w:val="0"/>
                                          <w:marRight w:val="0"/>
                                          <w:marTop w:val="0"/>
                                          <w:marBottom w:val="0"/>
                                          <w:divBdr>
                                            <w:top w:val="none" w:sz="0" w:space="0" w:color="auto"/>
                                            <w:left w:val="none" w:sz="0" w:space="0" w:color="auto"/>
                                            <w:bottom w:val="none" w:sz="0" w:space="0" w:color="auto"/>
                                            <w:right w:val="none" w:sz="0" w:space="0" w:color="auto"/>
                                          </w:divBdr>
                                          <w:divsChild>
                                            <w:div w:id="1977028889">
                                              <w:marLeft w:val="0"/>
                                              <w:marRight w:val="0"/>
                                              <w:marTop w:val="0"/>
                                              <w:marBottom w:val="0"/>
                                              <w:divBdr>
                                                <w:top w:val="none" w:sz="0" w:space="0" w:color="auto"/>
                                                <w:left w:val="none" w:sz="0" w:space="0" w:color="auto"/>
                                                <w:bottom w:val="none" w:sz="0" w:space="0" w:color="auto"/>
                                                <w:right w:val="none" w:sz="0" w:space="0" w:color="auto"/>
                                              </w:divBdr>
                                              <w:divsChild>
                                                <w:div w:id="146558057">
                                                  <w:marLeft w:val="0"/>
                                                  <w:marRight w:val="0"/>
                                                  <w:marTop w:val="0"/>
                                                  <w:marBottom w:val="0"/>
                                                  <w:divBdr>
                                                    <w:top w:val="none" w:sz="0" w:space="0" w:color="auto"/>
                                                    <w:left w:val="none" w:sz="0" w:space="0" w:color="auto"/>
                                                    <w:bottom w:val="none" w:sz="0" w:space="0" w:color="auto"/>
                                                    <w:right w:val="none" w:sz="0" w:space="0" w:color="auto"/>
                                                  </w:divBdr>
                                                  <w:divsChild>
                                                    <w:div w:id="296568967">
                                                      <w:marLeft w:val="0"/>
                                                      <w:marRight w:val="0"/>
                                                      <w:marTop w:val="0"/>
                                                      <w:marBottom w:val="0"/>
                                                      <w:divBdr>
                                                        <w:top w:val="none" w:sz="0" w:space="0" w:color="auto"/>
                                                        <w:left w:val="none" w:sz="0" w:space="0" w:color="auto"/>
                                                        <w:bottom w:val="none" w:sz="0" w:space="0" w:color="auto"/>
                                                        <w:right w:val="none" w:sz="0" w:space="0" w:color="auto"/>
                                                      </w:divBdr>
                                                      <w:divsChild>
                                                        <w:div w:id="1190724932">
                                                          <w:marLeft w:val="0"/>
                                                          <w:marRight w:val="0"/>
                                                          <w:marTop w:val="0"/>
                                                          <w:marBottom w:val="0"/>
                                                          <w:divBdr>
                                                            <w:top w:val="none" w:sz="0" w:space="0" w:color="auto"/>
                                                            <w:left w:val="none" w:sz="0" w:space="0" w:color="auto"/>
                                                            <w:bottom w:val="none" w:sz="0" w:space="0" w:color="auto"/>
                                                            <w:right w:val="none" w:sz="0" w:space="0" w:color="auto"/>
                                                          </w:divBdr>
                                                          <w:divsChild>
                                                            <w:div w:id="1044914974">
                                                              <w:marLeft w:val="0"/>
                                                              <w:marRight w:val="0"/>
                                                              <w:marTop w:val="0"/>
                                                              <w:marBottom w:val="0"/>
                                                              <w:divBdr>
                                                                <w:top w:val="none" w:sz="0" w:space="0" w:color="auto"/>
                                                                <w:left w:val="none" w:sz="0" w:space="0" w:color="auto"/>
                                                                <w:bottom w:val="none" w:sz="0" w:space="0" w:color="auto"/>
                                                                <w:right w:val="none" w:sz="0" w:space="0" w:color="auto"/>
                                                              </w:divBdr>
                                                              <w:divsChild>
                                                                <w:div w:id="1048993467">
                                                                  <w:marLeft w:val="0"/>
                                                                  <w:marRight w:val="0"/>
                                                                  <w:marTop w:val="0"/>
                                                                  <w:marBottom w:val="0"/>
                                                                  <w:divBdr>
                                                                    <w:top w:val="none" w:sz="0" w:space="0" w:color="auto"/>
                                                                    <w:left w:val="none" w:sz="0" w:space="0" w:color="auto"/>
                                                                    <w:bottom w:val="none" w:sz="0" w:space="0" w:color="auto"/>
                                                                    <w:right w:val="none" w:sz="0" w:space="0" w:color="auto"/>
                                                                  </w:divBdr>
                                                                  <w:divsChild>
                                                                    <w:div w:id="19616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30590055">
      <w:bodyDiv w:val="1"/>
      <w:marLeft w:val="0"/>
      <w:marRight w:val="0"/>
      <w:marTop w:val="0"/>
      <w:marBottom w:val="0"/>
      <w:divBdr>
        <w:top w:val="none" w:sz="0" w:space="0" w:color="auto"/>
        <w:left w:val="none" w:sz="0" w:space="0" w:color="auto"/>
        <w:bottom w:val="none" w:sz="0" w:space="0" w:color="auto"/>
        <w:right w:val="none" w:sz="0" w:space="0" w:color="auto"/>
      </w:divBdr>
    </w:div>
    <w:div w:id="463623067">
      <w:bodyDiv w:val="1"/>
      <w:marLeft w:val="0"/>
      <w:marRight w:val="0"/>
      <w:marTop w:val="0"/>
      <w:marBottom w:val="0"/>
      <w:divBdr>
        <w:top w:val="none" w:sz="0" w:space="0" w:color="auto"/>
        <w:left w:val="none" w:sz="0" w:space="0" w:color="auto"/>
        <w:bottom w:val="none" w:sz="0" w:space="0" w:color="auto"/>
        <w:right w:val="none" w:sz="0" w:space="0" w:color="auto"/>
      </w:divBdr>
    </w:div>
    <w:div w:id="494534971">
      <w:bodyDiv w:val="1"/>
      <w:marLeft w:val="0"/>
      <w:marRight w:val="0"/>
      <w:marTop w:val="0"/>
      <w:marBottom w:val="0"/>
      <w:divBdr>
        <w:top w:val="none" w:sz="0" w:space="0" w:color="auto"/>
        <w:left w:val="none" w:sz="0" w:space="0" w:color="auto"/>
        <w:bottom w:val="none" w:sz="0" w:space="0" w:color="auto"/>
        <w:right w:val="none" w:sz="0" w:space="0" w:color="auto"/>
      </w:divBdr>
    </w:div>
    <w:div w:id="588657203">
      <w:bodyDiv w:val="1"/>
      <w:marLeft w:val="0"/>
      <w:marRight w:val="0"/>
      <w:marTop w:val="0"/>
      <w:marBottom w:val="0"/>
      <w:divBdr>
        <w:top w:val="none" w:sz="0" w:space="0" w:color="auto"/>
        <w:left w:val="none" w:sz="0" w:space="0" w:color="auto"/>
        <w:bottom w:val="none" w:sz="0" w:space="0" w:color="auto"/>
        <w:right w:val="none" w:sz="0" w:space="0" w:color="auto"/>
      </w:divBdr>
    </w:div>
    <w:div w:id="672030499">
      <w:bodyDiv w:val="1"/>
      <w:marLeft w:val="0"/>
      <w:marRight w:val="0"/>
      <w:marTop w:val="0"/>
      <w:marBottom w:val="0"/>
      <w:divBdr>
        <w:top w:val="none" w:sz="0" w:space="0" w:color="auto"/>
        <w:left w:val="none" w:sz="0" w:space="0" w:color="auto"/>
        <w:bottom w:val="none" w:sz="0" w:space="0" w:color="auto"/>
        <w:right w:val="none" w:sz="0" w:space="0" w:color="auto"/>
      </w:divBdr>
    </w:div>
    <w:div w:id="836263905">
      <w:bodyDiv w:val="1"/>
      <w:marLeft w:val="0"/>
      <w:marRight w:val="0"/>
      <w:marTop w:val="0"/>
      <w:marBottom w:val="0"/>
      <w:divBdr>
        <w:top w:val="none" w:sz="0" w:space="0" w:color="auto"/>
        <w:left w:val="none" w:sz="0" w:space="0" w:color="auto"/>
        <w:bottom w:val="none" w:sz="0" w:space="0" w:color="auto"/>
        <w:right w:val="none" w:sz="0" w:space="0" w:color="auto"/>
      </w:divBdr>
    </w:div>
    <w:div w:id="849756614">
      <w:bodyDiv w:val="1"/>
      <w:marLeft w:val="0"/>
      <w:marRight w:val="0"/>
      <w:marTop w:val="0"/>
      <w:marBottom w:val="0"/>
      <w:divBdr>
        <w:top w:val="none" w:sz="0" w:space="0" w:color="auto"/>
        <w:left w:val="none" w:sz="0" w:space="0" w:color="auto"/>
        <w:bottom w:val="none" w:sz="0" w:space="0" w:color="auto"/>
        <w:right w:val="none" w:sz="0" w:space="0" w:color="auto"/>
      </w:divBdr>
    </w:div>
    <w:div w:id="957251361">
      <w:bodyDiv w:val="1"/>
      <w:marLeft w:val="0"/>
      <w:marRight w:val="0"/>
      <w:marTop w:val="0"/>
      <w:marBottom w:val="0"/>
      <w:divBdr>
        <w:top w:val="none" w:sz="0" w:space="0" w:color="auto"/>
        <w:left w:val="none" w:sz="0" w:space="0" w:color="auto"/>
        <w:bottom w:val="none" w:sz="0" w:space="0" w:color="auto"/>
        <w:right w:val="none" w:sz="0" w:space="0" w:color="auto"/>
      </w:divBdr>
    </w:div>
    <w:div w:id="996032707">
      <w:bodyDiv w:val="1"/>
      <w:marLeft w:val="0"/>
      <w:marRight w:val="0"/>
      <w:marTop w:val="0"/>
      <w:marBottom w:val="0"/>
      <w:divBdr>
        <w:top w:val="none" w:sz="0" w:space="0" w:color="auto"/>
        <w:left w:val="none" w:sz="0" w:space="0" w:color="auto"/>
        <w:bottom w:val="none" w:sz="0" w:space="0" w:color="auto"/>
        <w:right w:val="none" w:sz="0" w:space="0" w:color="auto"/>
      </w:divBdr>
    </w:div>
    <w:div w:id="1058478272">
      <w:bodyDiv w:val="1"/>
      <w:marLeft w:val="0"/>
      <w:marRight w:val="0"/>
      <w:marTop w:val="0"/>
      <w:marBottom w:val="0"/>
      <w:divBdr>
        <w:top w:val="none" w:sz="0" w:space="0" w:color="auto"/>
        <w:left w:val="none" w:sz="0" w:space="0" w:color="auto"/>
        <w:bottom w:val="none" w:sz="0" w:space="0" w:color="auto"/>
        <w:right w:val="none" w:sz="0" w:space="0" w:color="auto"/>
      </w:divBdr>
    </w:div>
    <w:div w:id="1063797785">
      <w:bodyDiv w:val="1"/>
      <w:marLeft w:val="0"/>
      <w:marRight w:val="0"/>
      <w:marTop w:val="0"/>
      <w:marBottom w:val="0"/>
      <w:divBdr>
        <w:top w:val="none" w:sz="0" w:space="0" w:color="auto"/>
        <w:left w:val="none" w:sz="0" w:space="0" w:color="auto"/>
        <w:bottom w:val="none" w:sz="0" w:space="0" w:color="auto"/>
        <w:right w:val="none" w:sz="0" w:space="0" w:color="auto"/>
      </w:divBdr>
      <w:divsChild>
        <w:div w:id="932129263">
          <w:marLeft w:val="0"/>
          <w:marRight w:val="0"/>
          <w:marTop w:val="0"/>
          <w:marBottom w:val="0"/>
          <w:divBdr>
            <w:top w:val="none" w:sz="0" w:space="0" w:color="auto"/>
            <w:left w:val="none" w:sz="0" w:space="0" w:color="auto"/>
            <w:bottom w:val="none" w:sz="0" w:space="0" w:color="auto"/>
            <w:right w:val="none" w:sz="0" w:space="0" w:color="auto"/>
          </w:divBdr>
          <w:divsChild>
            <w:div w:id="407578478">
              <w:marLeft w:val="0"/>
              <w:marRight w:val="0"/>
              <w:marTop w:val="0"/>
              <w:marBottom w:val="0"/>
              <w:divBdr>
                <w:top w:val="none" w:sz="0" w:space="0" w:color="auto"/>
                <w:left w:val="none" w:sz="0" w:space="0" w:color="auto"/>
                <w:bottom w:val="none" w:sz="0" w:space="0" w:color="auto"/>
                <w:right w:val="none" w:sz="0" w:space="0" w:color="auto"/>
              </w:divBdr>
              <w:divsChild>
                <w:div w:id="1101803761">
                  <w:marLeft w:val="0"/>
                  <w:marRight w:val="0"/>
                  <w:marTop w:val="0"/>
                  <w:marBottom w:val="0"/>
                  <w:divBdr>
                    <w:top w:val="none" w:sz="0" w:space="0" w:color="auto"/>
                    <w:left w:val="none" w:sz="0" w:space="0" w:color="auto"/>
                    <w:bottom w:val="none" w:sz="0" w:space="0" w:color="auto"/>
                    <w:right w:val="none" w:sz="0" w:space="0" w:color="auto"/>
                  </w:divBdr>
                  <w:divsChild>
                    <w:div w:id="169375364">
                      <w:marLeft w:val="0"/>
                      <w:marRight w:val="0"/>
                      <w:marTop w:val="0"/>
                      <w:marBottom w:val="0"/>
                      <w:divBdr>
                        <w:top w:val="none" w:sz="0" w:space="0" w:color="auto"/>
                        <w:left w:val="none" w:sz="0" w:space="0" w:color="auto"/>
                        <w:bottom w:val="none" w:sz="0" w:space="0" w:color="auto"/>
                        <w:right w:val="none" w:sz="0" w:space="0" w:color="auto"/>
                      </w:divBdr>
                      <w:divsChild>
                        <w:div w:id="590049358">
                          <w:marLeft w:val="0"/>
                          <w:marRight w:val="0"/>
                          <w:marTop w:val="0"/>
                          <w:marBottom w:val="0"/>
                          <w:divBdr>
                            <w:top w:val="none" w:sz="0" w:space="0" w:color="auto"/>
                            <w:left w:val="none" w:sz="0" w:space="0" w:color="auto"/>
                            <w:bottom w:val="none" w:sz="0" w:space="0" w:color="auto"/>
                            <w:right w:val="none" w:sz="0" w:space="0" w:color="auto"/>
                          </w:divBdr>
                          <w:divsChild>
                            <w:div w:id="1576281685">
                              <w:marLeft w:val="0"/>
                              <w:marRight w:val="0"/>
                              <w:marTop w:val="0"/>
                              <w:marBottom w:val="450"/>
                              <w:divBdr>
                                <w:top w:val="none" w:sz="0" w:space="0" w:color="auto"/>
                                <w:left w:val="none" w:sz="0" w:space="0" w:color="auto"/>
                                <w:bottom w:val="none" w:sz="0" w:space="0" w:color="auto"/>
                                <w:right w:val="none" w:sz="0" w:space="0" w:color="auto"/>
                              </w:divBdr>
                              <w:divsChild>
                                <w:div w:id="2017732867">
                                  <w:marLeft w:val="0"/>
                                  <w:marRight w:val="0"/>
                                  <w:marTop w:val="0"/>
                                  <w:marBottom w:val="0"/>
                                  <w:divBdr>
                                    <w:top w:val="none" w:sz="0" w:space="0" w:color="auto"/>
                                    <w:left w:val="none" w:sz="0" w:space="0" w:color="auto"/>
                                    <w:bottom w:val="none" w:sz="0" w:space="0" w:color="auto"/>
                                    <w:right w:val="none" w:sz="0" w:space="0" w:color="auto"/>
                                  </w:divBdr>
                                  <w:divsChild>
                                    <w:div w:id="526213093">
                                      <w:marLeft w:val="0"/>
                                      <w:marRight w:val="0"/>
                                      <w:marTop w:val="0"/>
                                      <w:marBottom w:val="0"/>
                                      <w:divBdr>
                                        <w:top w:val="none" w:sz="0" w:space="0" w:color="auto"/>
                                        <w:left w:val="none" w:sz="0" w:space="0" w:color="auto"/>
                                        <w:bottom w:val="none" w:sz="0" w:space="0" w:color="auto"/>
                                        <w:right w:val="none" w:sz="0" w:space="0" w:color="auto"/>
                                      </w:divBdr>
                                      <w:divsChild>
                                        <w:div w:id="132050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5553796">
      <w:bodyDiv w:val="1"/>
      <w:marLeft w:val="0"/>
      <w:marRight w:val="0"/>
      <w:marTop w:val="0"/>
      <w:marBottom w:val="0"/>
      <w:divBdr>
        <w:top w:val="none" w:sz="0" w:space="0" w:color="auto"/>
        <w:left w:val="none" w:sz="0" w:space="0" w:color="auto"/>
        <w:bottom w:val="none" w:sz="0" w:space="0" w:color="auto"/>
        <w:right w:val="none" w:sz="0" w:space="0" w:color="auto"/>
      </w:divBdr>
      <w:divsChild>
        <w:div w:id="1820733542">
          <w:marLeft w:val="0"/>
          <w:marRight w:val="0"/>
          <w:marTop w:val="0"/>
          <w:marBottom w:val="0"/>
          <w:divBdr>
            <w:top w:val="none" w:sz="0" w:space="0" w:color="auto"/>
            <w:left w:val="none" w:sz="0" w:space="0" w:color="auto"/>
            <w:bottom w:val="none" w:sz="0" w:space="0" w:color="auto"/>
            <w:right w:val="none" w:sz="0" w:space="0" w:color="auto"/>
          </w:divBdr>
          <w:divsChild>
            <w:div w:id="368799117">
              <w:marLeft w:val="0"/>
              <w:marRight w:val="0"/>
              <w:marTop w:val="0"/>
              <w:marBottom w:val="0"/>
              <w:divBdr>
                <w:top w:val="none" w:sz="0" w:space="0" w:color="auto"/>
                <w:left w:val="none" w:sz="0" w:space="0" w:color="auto"/>
                <w:bottom w:val="none" w:sz="0" w:space="0" w:color="auto"/>
                <w:right w:val="none" w:sz="0" w:space="0" w:color="auto"/>
              </w:divBdr>
              <w:divsChild>
                <w:div w:id="352652556">
                  <w:marLeft w:val="0"/>
                  <w:marRight w:val="0"/>
                  <w:marTop w:val="0"/>
                  <w:marBottom w:val="0"/>
                  <w:divBdr>
                    <w:top w:val="none" w:sz="0" w:space="0" w:color="auto"/>
                    <w:left w:val="none" w:sz="0" w:space="0" w:color="auto"/>
                    <w:bottom w:val="none" w:sz="0" w:space="0" w:color="auto"/>
                    <w:right w:val="none" w:sz="0" w:space="0" w:color="auto"/>
                  </w:divBdr>
                  <w:divsChild>
                    <w:div w:id="161311348">
                      <w:marLeft w:val="0"/>
                      <w:marRight w:val="0"/>
                      <w:marTop w:val="0"/>
                      <w:marBottom w:val="0"/>
                      <w:divBdr>
                        <w:top w:val="none" w:sz="0" w:space="0" w:color="auto"/>
                        <w:left w:val="none" w:sz="0" w:space="0" w:color="auto"/>
                        <w:bottom w:val="none" w:sz="0" w:space="0" w:color="auto"/>
                        <w:right w:val="none" w:sz="0" w:space="0" w:color="auto"/>
                      </w:divBdr>
                      <w:divsChild>
                        <w:div w:id="565381815">
                          <w:marLeft w:val="0"/>
                          <w:marRight w:val="0"/>
                          <w:marTop w:val="0"/>
                          <w:marBottom w:val="0"/>
                          <w:divBdr>
                            <w:top w:val="none" w:sz="0" w:space="0" w:color="auto"/>
                            <w:left w:val="none" w:sz="0" w:space="0" w:color="auto"/>
                            <w:bottom w:val="none" w:sz="0" w:space="0" w:color="auto"/>
                            <w:right w:val="none" w:sz="0" w:space="0" w:color="auto"/>
                          </w:divBdr>
                          <w:divsChild>
                            <w:div w:id="1372922403">
                              <w:marLeft w:val="0"/>
                              <w:marRight w:val="0"/>
                              <w:marTop w:val="0"/>
                              <w:marBottom w:val="450"/>
                              <w:divBdr>
                                <w:top w:val="none" w:sz="0" w:space="0" w:color="auto"/>
                                <w:left w:val="none" w:sz="0" w:space="0" w:color="auto"/>
                                <w:bottom w:val="none" w:sz="0" w:space="0" w:color="auto"/>
                                <w:right w:val="none" w:sz="0" w:space="0" w:color="auto"/>
                              </w:divBdr>
                              <w:divsChild>
                                <w:div w:id="1963220574">
                                  <w:marLeft w:val="0"/>
                                  <w:marRight w:val="0"/>
                                  <w:marTop w:val="0"/>
                                  <w:marBottom w:val="0"/>
                                  <w:divBdr>
                                    <w:top w:val="none" w:sz="0" w:space="0" w:color="auto"/>
                                    <w:left w:val="none" w:sz="0" w:space="0" w:color="auto"/>
                                    <w:bottom w:val="none" w:sz="0" w:space="0" w:color="auto"/>
                                    <w:right w:val="none" w:sz="0" w:space="0" w:color="auto"/>
                                  </w:divBdr>
                                  <w:divsChild>
                                    <w:div w:id="1650943710">
                                      <w:marLeft w:val="0"/>
                                      <w:marRight w:val="0"/>
                                      <w:marTop w:val="0"/>
                                      <w:marBottom w:val="0"/>
                                      <w:divBdr>
                                        <w:top w:val="none" w:sz="0" w:space="0" w:color="auto"/>
                                        <w:left w:val="none" w:sz="0" w:space="0" w:color="auto"/>
                                        <w:bottom w:val="none" w:sz="0" w:space="0" w:color="auto"/>
                                        <w:right w:val="none" w:sz="0" w:space="0" w:color="auto"/>
                                      </w:divBdr>
                                      <w:divsChild>
                                        <w:div w:id="50058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1157714">
      <w:bodyDiv w:val="1"/>
      <w:marLeft w:val="0"/>
      <w:marRight w:val="0"/>
      <w:marTop w:val="0"/>
      <w:marBottom w:val="0"/>
      <w:divBdr>
        <w:top w:val="none" w:sz="0" w:space="0" w:color="auto"/>
        <w:left w:val="none" w:sz="0" w:space="0" w:color="auto"/>
        <w:bottom w:val="none" w:sz="0" w:space="0" w:color="auto"/>
        <w:right w:val="none" w:sz="0" w:space="0" w:color="auto"/>
      </w:divBdr>
    </w:div>
    <w:div w:id="1321886461">
      <w:bodyDiv w:val="1"/>
      <w:marLeft w:val="0"/>
      <w:marRight w:val="0"/>
      <w:marTop w:val="0"/>
      <w:marBottom w:val="0"/>
      <w:divBdr>
        <w:top w:val="none" w:sz="0" w:space="0" w:color="auto"/>
        <w:left w:val="none" w:sz="0" w:space="0" w:color="auto"/>
        <w:bottom w:val="none" w:sz="0" w:space="0" w:color="auto"/>
        <w:right w:val="none" w:sz="0" w:space="0" w:color="auto"/>
      </w:divBdr>
      <w:divsChild>
        <w:div w:id="1127164079">
          <w:marLeft w:val="274"/>
          <w:marRight w:val="0"/>
          <w:marTop w:val="60"/>
          <w:marBottom w:val="60"/>
          <w:divBdr>
            <w:top w:val="none" w:sz="0" w:space="0" w:color="auto"/>
            <w:left w:val="none" w:sz="0" w:space="0" w:color="auto"/>
            <w:bottom w:val="none" w:sz="0" w:space="0" w:color="auto"/>
            <w:right w:val="none" w:sz="0" w:space="0" w:color="auto"/>
          </w:divBdr>
        </w:div>
      </w:divsChild>
    </w:div>
    <w:div w:id="1391225491">
      <w:bodyDiv w:val="1"/>
      <w:marLeft w:val="0"/>
      <w:marRight w:val="0"/>
      <w:marTop w:val="0"/>
      <w:marBottom w:val="0"/>
      <w:divBdr>
        <w:top w:val="none" w:sz="0" w:space="0" w:color="auto"/>
        <w:left w:val="none" w:sz="0" w:space="0" w:color="auto"/>
        <w:bottom w:val="none" w:sz="0" w:space="0" w:color="auto"/>
        <w:right w:val="none" w:sz="0" w:space="0" w:color="auto"/>
      </w:divBdr>
    </w:div>
    <w:div w:id="1513688132">
      <w:bodyDiv w:val="1"/>
      <w:marLeft w:val="0"/>
      <w:marRight w:val="0"/>
      <w:marTop w:val="0"/>
      <w:marBottom w:val="0"/>
      <w:divBdr>
        <w:top w:val="none" w:sz="0" w:space="0" w:color="auto"/>
        <w:left w:val="none" w:sz="0" w:space="0" w:color="auto"/>
        <w:bottom w:val="none" w:sz="0" w:space="0" w:color="auto"/>
        <w:right w:val="none" w:sz="0" w:space="0" w:color="auto"/>
      </w:divBdr>
    </w:div>
    <w:div w:id="1638029272">
      <w:bodyDiv w:val="1"/>
      <w:marLeft w:val="0"/>
      <w:marRight w:val="0"/>
      <w:marTop w:val="0"/>
      <w:marBottom w:val="0"/>
      <w:divBdr>
        <w:top w:val="none" w:sz="0" w:space="0" w:color="auto"/>
        <w:left w:val="none" w:sz="0" w:space="0" w:color="auto"/>
        <w:bottom w:val="none" w:sz="0" w:space="0" w:color="auto"/>
        <w:right w:val="none" w:sz="0" w:space="0" w:color="auto"/>
      </w:divBdr>
      <w:divsChild>
        <w:div w:id="233323637">
          <w:marLeft w:val="0"/>
          <w:marRight w:val="0"/>
          <w:marTop w:val="0"/>
          <w:marBottom w:val="0"/>
          <w:divBdr>
            <w:top w:val="none" w:sz="0" w:space="0" w:color="auto"/>
            <w:left w:val="none" w:sz="0" w:space="0" w:color="auto"/>
            <w:bottom w:val="none" w:sz="0" w:space="0" w:color="auto"/>
            <w:right w:val="none" w:sz="0" w:space="0" w:color="auto"/>
          </w:divBdr>
          <w:divsChild>
            <w:div w:id="1203056864">
              <w:marLeft w:val="0"/>
              <w:marRight w:val="0"/>
              <w:marTop w:val="0"/>
              <w:marBottom w:val="0"/>
              <w:divBdr>
                <w:top w:val="none" w:sz="0" w:space="0" w:color="auto"/>
                <w:left w:val="none" w:sz="0" w:space="0" w:color="auto"/>
                <w:bottom w:val="none" w:sz="0" w:space="0" w:color="auto"/>
                <w:right w:val="none" w:sz="0" w:space="0" w:color="auto"/>
              </w:divBdr>
              <w:divsChild>
                <w:div w:id="1605191874">
                  <w:marLeft w:val="0"/>
                  <w:marRight w:val="0"/>
                  <w:marTop w:val="0"/>
                  <w:marBottom w:val="0"/>
                  <w:divBdr>
                    <w:top w:val="none" w:sz="0" w:space="0" w:color="auto"/>
                    <w:left w:val="none" w:sz="0" w:space="0" w:color="auto"/>
                    <w:bottom w:val="none" w:sz="0" w:space="0" w:color="auto"/>
                    <w:right w:val="none" w:sz="0" w:space="0" w:color="auto"/>
                  </w:divBdr>
                  <w:divsChild>
                    <w:div w:id="1513762141">
                      <w:marLeft w:val="0"/>
                      <w:marRight w:val="0"/>
                      <w:marTop w:val="0"/>
                      <w:marBottom w:val="0"/>
                      <w:divBdr>
                        <w:top w:val="none" w:sz="0" w:space="0" w:color="auto"/>
                        <w:left w:val="none" w:sz="0" w:space="0" w:color="auto"/>
                        <w:bottom w:val="none" w:sz="0" w:space="0" w:color="auto"/>
                        <w:right w:val="none" w:sz="0" w:space="0" w:color="auto"/>
                      </w:divBdr>
                      <w:divsChild>
                        <w:div w:id="756437964">
                          <w:marLeft w:val="0"/>
                          <w:marRight w:val="0"/>
                          <w:marTop w:val="0"/>
                          <w:marBottom w:val="0"/>
                          <w:divBdr>
                            <w:top w:val="none" w:sz="0" w:space="0" w:color="auto"/>
                            <w:left w:val="none" w:sz="0" w:space="0" w:color="auto"/>
                            <w:bottom w:val="none" w:sz="0" w:space="0" w:color="auto"/>
                            <w:right w:val="none" w:sz="0" w:space="0" w:color="auto"/>
                          </w:divBdr>
                          <w:divsChild>
                            <w:div w:id="88697828">
                              <w:marLeft w:val="0"/>
                              <w:marRight w:val="0"/>
                              <w:marTop w:val="0"/>
                              <w:marBottom w:val="450"/>
                              <w:divBdr>
                                <w:top w:val="none" w:sz="0" w:space="0" w:color="auto"/>
                                <w:left w:val="none" w:sz="0" w:space="0" w:color="auto"/>
                                <w:bottom w:val="none" w:sz="0" w:space="0" w:color="auto"/>
                                <w:right w:val="none" w:sz="0" w:space="0" w:color="auto"/>
                              </w:divBdr>
                              <w:divsChild>
                                <w:div w:id="794906676">
                                  <w:marLeft w:val="0"/>
                                  <w:marRight w:val="0"/>
                                  <w:marTop w:val="0"/>
                                  <w:marBottom w:val="0"/>
                                  <w:divBdr>
                                    <w:top w:val="none" w:sz="0" w:space="0" w:color="auto"/>
                                    <w:left w:val="none" w:sz="0" w:space="0" w:color="auto"/>
                                    <w:bottom w:val="none" w:sz="0" w:space="0" w:color="auto"/>
                                    <w:right w:val="none" w:sz="0" w:space="0" w:color="auto"/>
                                  </w:divBdr>
                                  <w:divsChild>
                                    <w:div w:id="460852890">
                                      <w:marLeft w:val="0"/>
                                      <w:marRight w:val="0"/>
                                      <w:marTop w:val="0"/>
                                      <w:marBottom w:val="0"/>
                                      <w:divBdr>
                                        <w:top w:val="none" w:sz="0" w:space="0" w:color="auto"/>
                                        <w:left w:val="none" w:sz="0" w:space="0" w:color="auto"/>
                                        <w:bottom w:val="none" w:sz="0" w:space="0" w:color="auto"/>
                                        <w:right w:val="none" w:sz="0" w:space="0" w:color="auto"/>
                                      </w:divBdr>
                                      <w:divsChild>
                                        <w:div w:id="6194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5164053">
      <w:bodyDiv w:val="1"/>
      <w:marLeft w:val="0"/>
      <w:marRight w:val="0"/>
      <w:marTop w:val="0"/>
      <w:marBottom w:val="0"/>
      <w:divBdr>
        <w:top w:val="none" w:sz="0" w:space="0" w:color="auto"/>
        <w:left w:val="none" w:sz="0" w:space="0" w:color="auto"/>
        <w:bottom w:val="none" w:sz="0" w:space="0" w:color="auto"/>
        <w:right w:val="none" w:sz="0" w:space="0" w:color="auto"/>
      </w:divBdr>
    </w:div>
    <w:div w:id="1673992104">
      <w:bodyDiv w:val="1"/>
      <w:marLeft w:val="0"/>
      <w:marRight w:val="0"/>
      <w:marTop w:val="0"/>
      <w:marBottom w:val="0"/>
      <w:divBdr>
        <w:top w:val="none" w:sz="0" w:space="0" w:color="auto"/>
        <w:left w:val="none" w:sz="0" w:space="0" w:color="auto"/>
        <w:bottom w:val="none" w:sz="0" w:space="0" w:color="auto"/>
        <w:right w:val="none" w:sz="0" w:space="0" w:color="auto"/>
      </w:divBdr>
    </w:div>
    <w:div w:id="1790005037">
      <w:bodyDiv w:val="1"/>
      <w:marLeft w:val="0"/>
      <w:marRight w:val="0"/>
      <w:marTop w:val="0"/>
      <w:marBottom w:val="0"/>
      <w:divBdr>
        <w:top w:val="none" w:sz="0" w:space="0" w:color="auto"/>
        <w:left w:val="none" w:sz="0" w:space="0" w:color="auto"/>
        <w:bottom w:val="none" w:sz="0" w:space="0" w:color="auto"/>
        <w:right w:val="none" w:sz="0" w:space="0" w:color="auto"/>
      </w:divBdr>
    </w:div>
    <w:div w:id="1820416708">
      <w:bodyDiv w:val="1"/>
      <w:marLeft w:val="0"/>
      <w:marRight w:val="0"/>
      <w:marTop w:val="0"/>
      <w:marBottom w:val="0"/>
      <w:divBdr>
        <w:top w:val="none" w:sz="0" w:space="0" w:color="auto"/>
        <w:left w:val="none" w:sz="0" w:space="0" w:color="auto"/>
        <w:bottom w:val="none" w:sz="0" w:space="0" w:color="auto"/>
        <w:right w:val="none" w:sz="0" w:space="0" w:color="auto"/>
      </w:divBdr>
      <w:divsChild>
        <w:div w:id="2119055964">
          <w:marLeft w:val="0"/>
          <w:marRight w:val="0"/>
          <w:marTop w:val="0"/>
          <w:marBottom w:val="0"/>
          <w:divBdr>
            <w:top w:val="none" w:sz="0" w:space="0" w:color="auto"/>
            <w:left w:val="none" w:sz="0" w:space="0" w:color="auto"/>
            <w:bottom w:val="none" w:sz="0" w:space="0" w:color="auto"/>
            <w:right w:val="none" w:sz="0" w:space="0" w:color="auto"/>
          </w:divBdr>
          <w:divsChild>
            <w:div w:id="1491290000">
              <w:marLeft w:val="0"/>
              <w:marRight w:val="0"/>
              <w:marTop w:val="0"/>
              <w:marBottom w:val="0"/>
              <w:divBdr>
                <w:top w:val="none" w:sz="0" w:space="0" w:color="auto"/>
                <w:left w:val="none" w:sz="0" w:space="0" w:color="auto"/>
                <w:bottom w:val="none" w:sz="0" w:space="0" w:color="auto"/>
                <w:right w:val="none" w:sz="0" w:space="0" w:color="auto"/>
              </w:divBdr>
              <w:divsChild>
                <w:div w:id="1257523794">
                  <w:marLeft w:val="0"/>
                  <w:marRight w:val="0"/>
                  <w:marTop w:val="0"/>
                  <w:marBottom w:val="0"/>
                  <w:divBdr>
                    <w:top w:val="none" w:sz="0" w:space="0" w:color="auto"/>
                    <w:left w:val="none" w:sz="0" w:space="0" w:color="auto"/>
                    <w:bottom w:val="none" w:sz="0" w:space="0" w:color="auto"/>
                    <w:right w:val="none" w:sz="0" w:space="0" w:color="auto"/>
                  </w:divBdr>
                  <w:divsChild>
                    <w:div w:id="292029919">
                      <w:marLeft w:val="225"/>
                      <w:marRight w:val="225"/>
                      <w:marTop w:val="225"/>
                      <w:marBottom w:val="0"/>
                      <w:divBdr>
                        <w:top w:val="none" w:sz="0" w:space="0" w:color="auto"/>
                        <w:left w:val="none" w:sz="0" w:space="0" w:color="auto"/>
                        <w:bottom w:val="none" w:sz="0" w:space="0" w:color="auto"/>
                        <w:right w:val="none" w:sz="0" w:space="0" w:color="auto"/>
                      </w:divBdr>
                      <w:divsChild>
                        <w:div w:id="361442267">
                          <w:marLeft w:val="0"/>
                          <w:marRight w:val="0"/>
                          <w:marTop w:val="0"/>
                          <w:marBottom w:val="0"/>
                          <w:divBdr>
                            <w:top w:val="none" w:sz="0" w:space="0" w:color="auto"/>
                            <w:left w:val="none" w:sz="0" w:space="0" w:color="auto"/>
                            <w:bottom w:val="none" w:sz="0" w:space="0" w:color="auto"/>
                            <w:right w:val="none" w:sz="0" w:space="0" w:color="auto"/>
                          </w:divBdr>
                          <w:divsChild>
                            <w:div w:id="1510483100">
                              <w:marLeft w:val="0"/>
                              <w:marRight w:val="4725"/>
                              <w:marTop w:val="0"/>
                              <w:marBottom w:val="0"/>
                              <w:divBdr>
                                <w:top w:val="none" w:sz="0" w:space="0" w:color="auto"/>
                                <w:left w:val="none" w:sz="0" w:space="0" w:color="auto"/>
                                <w:bottom w:val="none" w:sz="0" w:space="0" w:color="auto"/>
                                <w:right w:val="none" w:sz="0" w:space="0" w:color="auto"/>
                              </w:divBdr>
                              <w:divsChild>
                                <w:div w:id="1017192149">
                                  <w:marLeft w:val="0"/>
                                  <w:marRight w:val="0"/>
                                  <w:marTop w:val="0"/>
                                  <w:marBottom w:val="0"/>
                                  <w:divBdr>
                                    <w:top w:val="none" w:sz="0" w:space="0" w:color="auto"/>
                                    <w:left w:val="none" w:sz="0" w:space="0" w:color="auto"/>
                                    <w:bottom w:val="none" w:sz="0" w:space="0" w:color="auto"/>
                                    <w:right w:val="none" w:sz="0" w:space="0" w:color="auto"/>
                                  </w:divBdr>
                                  <w:divsChild>
                                    <w:div w:id="626085398">
                                      <w:marLeft w:val="0"/>
                                      <w:marRight w:val="0"/>
                                      <w:marTop w:val="0"/>
                                      <w:marBottom w:val="0"/>
                                      <w:divBdr>
                                        <w:top w:val="none" w:sz="0" w:space="0" w:color="auto"/>
                                        <w:left w:val="none" w:sz="0" w:space="0" w:color="auto"/>
                                        <w:bottom w:val="none" w:sz="0" w:space="0" w:color="auto"/>
                                        <w:right w:val="none" w:sz="0" w:space="0" w:color="auto"/>
                                      </w:divBdr>
                                      <w:divsChild>
                                        <w:div w:id="2060127144">
                                          <w:marLeft w:val="0"/>
                                          <w:marRight w:val="0"/>
                                          <w:marTop w:val="0"/>
                                          <w:marBottom w:val="0"/>
                                          <w:divBdr>
                                            <w:top w:val="none" w:sz="0" w:space="0" w:color="auto"/>
                                            <w:left w:val="none" w:sz="0" w:space="0" w:color="auto"/>
                                            <w:bottom w:val="none" w:sz="0" w:space="0" w:color="auto"/>
                                            <w:right w:val="none" w:sz="0" w:space="0" w:color="auto"/>
                                          </w:divBdr>
                                          <w:divsChild>
                                            <w:div w:id="322511244">
                                              <w:marLeft w:val="0"/>
                                              <w:marRight w:val="0"/>
                                              <w:marTop w:val="0"/>
                                              <w:marBottom w:val="0"/>
                                              <w:divBdr>
                                                <w:top w:val="none" w:sz="0" w:space="0" w:color="auto"/>
                                                <w:left w:val="none" w:sz="0" w:space="0" w:color="auto"/>
                                                <w:bottom w:val="none" w:sz="0" w:space="0" w:color="auto"/>
                                                <w:right w:val="none" w:sz="0" w:space="0" w:color="auto"/>
                                              </w:divBdr>
                                              <w:divsChild>
                                                <w:div w:id="1893416971">
                                                  <w:marLeft w:val="0"/>
                                                  <w:marRight w:val="0"/>
                                                  <w:marTop w:val="0"/>
                                                  <w:marBottom w:val="0"/>
                                                  <w:divBdr>
                                                    <w:top w:val="none" w:sz="0" w:space="0" w:color="auto"/>
                                                    <w:left w:val="none" w:sz="0" w:space="0" w:color="auto"/>
                                                    <w:bottom w:val="none" w:sz="0" w:space="0" w:color="auto"/>
                                                    <w:right w:val="none" w:sz="0" w:space="0" w:color="auto"/>
                                                  </w:divBdr>
                                                  <w:divsChild>
                                                    <w:div w:id="119157469">
                                                      <w:marLeft w:val="0"/>
                                                      <w:marRight w:val="0"/>
                                                      <w:marTop w:val="0"/>
                                                      <w:marBottom w:val="0"/>
                                                      <w:divBdr>
                                                        <w:top w:val="none" w:sz="0" w:space="0" w:color="auto"/>
                                                        <w:left w:val="none" w:sz="0" w:space="0" w:color="auto"/>
                                                        <w:bottom w:val="none" w:sz="0" w:space="0" w:color="auto"/>
                                                        <w:right w:val="none" w:sz="0" w:space="0" w:color="auto"/>
                                                      </w:divBdr>
                                                      <w:divsChild>
                                                        <w:div w:id="1617519366">
                                                          <w:marLeft w:val="0"/>
                                                          <w:marRight w:val="0"/>
                                                          <w:marTop w:val="0"/>
                                                          <w:marBottom w:val="0"/>
                                                          <w:divBdr>
                                                            <w:top w:val="none" w:sz="0" w:space="0" w:color="auto"/>
                                                            <w:left w:val="none" w:sz="0" w:space="0" w:color="auto"/>
                                                            <w:bottom w:val="none" w:sz="0" w:space="0" w:color="auto"/>
                                                            <w:right w:val="none" w:sz="0" w:space="0" w:color="auto"/>
                                                          </w:divBdr>
                                                          <w:divsChild>
                                                            <w:div w:id="578488183">
                                                              <w:marLeft w:val="0"/>
                                                              <w:marRight w:val="0"/>
                                                              <w:marTop w:val="0"/>
                                                              <w:marBottom w:val="0"/>
                                                              <w:divBdr>
                                                                <w:top w:val="none" w:sz="0" w:space="0" w:color="auto"/>
                                                                <w:left w:val="none" w:sz="0" w:space="0" w:color="auto"/>
                                                                <w:bottom w:val="none" w:sz="0" w:space="0" w:color="auto"/>
                                                                <w:right w:val="none" w:sz="0" w:space="0" w:color="auto"/>
                                                              </w:divBdr>
                                                              <w:divsChild>
                                                                <w:div w:id="70587084">
                                                                  <w:marLeft w:val="0"/>
                                                                  <w:marRight w:val="0"/>
                                                                  <w:marTop w:val="0"/>
                                                                  <w:marBottom w:val="0"/>
                                                                  <w:divBdr>
                                                                    <w:top w:val="none" w:sz="0" w:space="0" w:color="auto"/>
                                                                    <w:left w:val="none" w:sz="0" w:space="0" w:color="auto"/>
                                                                    <w:bottom w:val="none" w:sz="0" w:space="0" w:color="auto"/>
                                                                    <w:right w:val="none" w:sz="0" w:space="0" w:color="auto"/>
                                                                  </w:divBdr>
                                                                  <w:divsChild>
                                                                    <w:div w:id="58426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43621111">
      <w:bodyDiv w:val="1"/>
      <w:marLeft w:val="0"/>
      <w:marRight w:val="0"/>
      <w:marTop w:val="0"/>
      <w:marBottom w:val="0"/>
      <w:divBdr>
        <w:top w:val="none" w:sz="0" w:space="0" w:color="auto"/>
        <w:left w:val="none" w:sz="0" w:space="0" w:color="auto"/>
        <w:bottom w:val="none" w:sz="0" w:space="0" w:color="auto"/>
        <w:right w:val="none" w:sz="0" w:space="0" w:color="auto"/>
      </w:divBdr>
    </w:div>
    <w:div w:id="1935281951">
      <w:bodyDiv w:val="1"/>
      <w:marLeft w:val="0"/>
      <w:marRight w:val="0"/>
      <w:marTop w:val="0"/>
      <w:marBottom w:val="0"/>
      <w:divBdr>
        <w:top w:val="none" w:sz="0" w:space="0" w:color="auto"/>
        <w:left w:val="none" w:sz="0" w:space="0" w:color="auto"/>
        <w:bottom w:val="none" w:sz="0" w:space="0" w:color="auto"/>
        <w:right w:val="none" w:sz="0" w:space="0" w:color="auto"/>
      </w:divBdr>
    </w:div>
    <w:div w:id="1951207595">
      <w:bodyDiv w:val="1"/>
      <w:marLeft w:val="0"/>
      <w:marRight w:val="0"/>
      <w:marTop w:val="0"/>
      <w:marBottom w:val="0"/>
      <w:divBdr>
        <w:top w:val="none" w:sz="0" w:space="0" w:color="auto"/>
        <w:left w:val="none" w:sz="0" w:space="0" w:color="auto"/>
        <w:bottom w:val="none" w:sz="0" w:space="0" w:color="auto"/>
        <w:right w:val="none" w:sz="0" w:space="0" w:color="auto"/>
      </w:divBdr>
    </w:div>
    <w:div w:id="2070303781">
      <w:bodyDiv w:val="1"/>
      <w:marLeft w:val="0"/>
      <w:marRight w:val="0"/>
      <w:marTop w:val="0"/>
      <w:marBottom w:val="0"/>
      <w:divBdr>
        <w:top w:val="none" w:sz="0" w:space="0" w:color="auto"/>
        <w:left w:val="none" w:sz="0" w:space="0" w:color="auto"/>
        <w:bottom w:val="none" w:sz="0" w:space="0" w:color="auto"/>
        <w:right w:val="none" w:sz="0" w:space="0" w:color="auto"/>
      </w:divBdr>
      <w:divsChild>
        <w:div w:id="2101563294">
          <w:marLeft w:val="0"/>
          <w:marRight w:val="0"/>
          <w:marTop w:val="0"/>
          <w:marBottom w:val="0"/>
          <w:divBdr>
            <w:top w:val="none" w:sz="0" w:space="0" w:color="auto"/>
            <w:left w:val="none" w:sz="0" w:space="0" w:color="auto"/>
            <w:bottom w:val="none" w:sz="0" w:space="0" w:color="auto"/>
            <w:right w:val="none" w:sz="0" w:space="0" w:color="auto"/>
          </w:divBdr>
          <w:divsChild>
            <w:div w:id="1095134672">
              <w:marLeft w:val="0"/>
              <w:marRight w:val="0"/>
              <w:marTop w:val="0"/>
              <w:marBottom w:val="0"/>
              <w:divBdr>
                <w:top w:val="none" w:sz="0" w:space="0" w:color="auto"/>
                <w:left w:val="none" w:sz="0" w:space="0" w:color="auto"/>
                <w:bottom w:val="none" w:sz="0" w:space="0" w:color="auto"/>
                <w:right w:val="none" w:sz="0" w:space="0" w:color="auto"/>
              </w:divBdr>
              <w:divsChild>
                <w:div w:id="569190161">
                  <w:marLeft w:val="0"/>
                  <w:marRight w:val="0"/>
                  <w:marTop w:val="0"/>
                  <w:marBottom w:val="0"/>
                  <w:divBdr>
                    <w:top w:val="none" w:sz="0" w:space="0" w:color="auto"/>
                    <w:left w:val="none" w:sz="0" w:space="0" w:color="auto"/>
                    <w:bottom w:val="none" w:sz="0" w:space="0" w:color="auto"/>
                    <w:right w:val="none" w:sz="0" w:space="0" w:color="auto"/>
                  </w:divBdr>
                  <w:divsChild>
                    <w:div w:id="1858305304">
                      <w:marLeft w:val="0"/>
                      <w:marRight w:val="0"/>
                      <w:marTop w:val="0"/>
                      <w:marBottom w:val="0"/>
                      <w:divBdr>
                        <w:top w:val="none" w:sz="0" w:space="0" w:color="auto"/>
                        <w:left w:val="none" w:sz="0" w:space="0" w:color="auto"/>
                        <w:bottom w:val="none" w:sz="0" w:space="0" w:color="auto"/>
                        <w:right w:val="none" w:sz="0" w:space="0" w:color="auto"/>
                      </w:divBdr>
                      <w:divsChild>
                        <w:div w:id="1736783055">
                          <w:marLeft w:val="0"/>
                          <w:marRight w:val="0"/>
                          <w:marTop w:val="0"/>
                          <w:marBottom w:val="0"/>
                          <w:divBdr>
                            <w:top w:val="none" w:sz="0" w:space="0" w:color="auto"/>
                            <w:left w:val="none" w:sz="0" w:space="0" w:color="auto"/>
                            <w:bottom w:val="none" w:sz="0" w:space="0" w:color="auto"/>
                            <w:right w:val="none" w:sz="0" w:space="0" w:color="auto"/>
                          </w:divBdr>
                          <w:divsChild>
                            <w:div w:id="323775782">
                              <w:marLeft w:val="0"/>
                              <w:marRight w:val="0"/>
                              <w:marTop w:val="0"/>
                              <w:marBottom w:val="450"/>
                              <w:divBdr>
                                <w:top w:val="none" w:sz="0" w:space="0" w:color="auto"/>
                                <w:left w:val="none" w:sz="0" w:space="0" w:color="auto"/>
                                <w:bottom w:val="none" w:sz="0" w:space="0" w:color="auto"/>
                                <w:right w:val="none" w:sz="0" w:space="0" w:color="auto"/>
                              </w:divBdr>
                              <w:divsChild>
                                <w:div w:id="278798045">
                                  <w:marLeft w:val="0"/>
                                  <w:marRight w:val="0"/>
                                  <w:marTop w:val="0"/>
                                  <w:marBottom w:val="0"/>
                                  <w:divBdr>
                                    <w:top w:val="none" w:sz="0" w:space="0" w:color="auto"/>
                                    <w:left w:val="none" w:sz="0" w:space="0" w:color="auto"/>
                                    <w:bottom w:val="none" w:sz="0" w:space="0" w:color="auto"/>
                                    <w:right w:val="none" w:sz="0" w:space="0" w:color="auto"/>
                                  </w:divBdr>
                                  <w:divsChild>
                                    <w:div w:id="1858350827">
                                      <w:marLeft w:val="0"/>
                                      <w:marRight w:val="0"/>
                                      <w:marTop w:val="0"/>
                                      <w:marBottom w:val="0"/>
                                      <w:divBdr>
                                        <w:top w:val="none" w:sz="0" w:space="0" w:color="auto"/>
                                        <w:left w:val="none" w:sz="0" w:space="0" w:color="auto"/>
                                        <w:bottom w:val="none" w:sz="0" w:space="0" w:color="auto"/>
                                        <w:right w:val="none" w:sz="0" w:space="0" w:color="auto"/>
                                      </w:divBdr>
                                      <w:divsChild>
                                        <w:div w:id="77024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smartcopying.edu.au/glossary/glossary/material-form" TargetMode="External"/><Relationship Id="rId26" Type="http://schemas.openxmlformats.org/officeDocument/2006/relationships/hyperlink" Target="http://www.smartcopying.edu.au/glossary/glossary/licence" TargetMode="External"/><Relationship Id="rId39" Type="http://schemas.openxmlformats.org/officeDocument/2006/relationships/hyperlink" Target="http://www.smartcopying.edu.au/glossary/glossary/works" TargetMode="External"/><Relationship Id="rId21" Type="http://schemas.openxmlformats.org/officeDocument/2006/relationships/hyperlink" Target="http://www.comlaw.gov.au/comlaw%5Cmanagement.nsf/lookupindexpagesbyid/IP200401428?OpenDocument" TargetMode="External"/><Relationship Id="rId34" Type="http://schemas.openxmlformats.org/officeDocument/2006/relationships/hyperlink" Target="http://www.smartcopying.edu.au/glossary/glossary/reasonable-portion" TargetMode="External"/><Relationship Id="rId42" Type="http://schemas.openxmlformats.org/officeDocument/2006/relationships/hyperlink" Target="http://www.smartcopying.edu.au/glossary/glossary/broadcast" TargetMode="External"/><Relationship Id="rId47" Type="http://schemas.openxmlformats.org/officeDocument/2006/relationships/hyperlink" Target="http://www.smartcopying.edu.au/glossary/glossary/licence" TargetMode="External"/><Relationship Id="rId50" Type="http://schemas.openxmlformats.org/officeDocument/2006/relationships/hyperlink" Target="http://www.smartcopying.edu.au/glossary/glossary/licence" TargetMode="External"/><Relationship Id="rId55" Type="http://schemas.openxmlformats.org/officeDocument/2006/relationships/hyperlink" Target="http://www.smartcopying.edu.au/glossary/glossary/musical-works" TargetMode="External"/><Relationship Id="rId63" Type="http://schemas.openxmlformats.org/officeDocument/2006/relationships/image" Target="media/image3.png"/><Relationship Id="rId68" Type="http://schemas.openxmlformats.org/officeDocument/2006/relationships/image" Target="media/image8.jpeg"/><Relationship Id="rId76" Type="http://schemas.openxmlformats.org/officeDocument/2006/relationships/image" Target="media/image16.jpeg"/><Relationship Id="rId84" Type="http://schemas.openxmlformats.org/officeDocument/2006/relationships/footer" Target="footer8.xml"/><Relationship Id="rId7" Type="http://schemas.openxmlformats.org/officeDocument/2006/relationships/settings" Target="settings.xml"/><Relationship Id="rId71"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www.smartcopying.edu.au/glossary/glossary/artistic-works" TargetMode="External"/><Relationship Id="rId11" Type="http://schemas.openxmlformats.org/officeDocument/2006/relationships/image" Target="media/image1.png"/><Relationship Id="rId24" Type="http://schemas.openxmlformats.org/officeDocument/2006/relationships/hyperlink" Target="http://www.smartcopying.edu.au/glossary/glossary/licence" TargetMode="External"/><Relationship Id="rId32" Type="http://schemas.openxmlformats.org/officeDocument/2006/relationships/hyperlink" Target="http://www.smartcopying.edu.au/glossary/glossary/artistic-works" TargetMode="External"/><Relationship Id="rId37" Type="http://schemas.openxmlformats.org/officeDocument/2006/relationships/hyperlink" Target="http://www.smartcopying.edu.au/glossary/glossary/satire" TargetMode="External"/><Relationship Id="rId40" Type="http://schemas.openxmlformats.org/officeDocument/2006/relationships/hyperlink" Target="http://www.smartcopying.edu.au/glossary/glossary/collecting-society" TargetMode="External"/><Relationship Id="rId45" Type="http://schemas.openxmlformats.org/officeDocument/2006/relationships/hyperlink" Target="http://www.smartcopying.edu.au/glossary/glossary/broadcast" TargetMode="External"/><Relationship Id="rId53" Type="http://schemas.openxmlformats.org/officeDocument/2006/relationships/hyperlink" Target="http://www.smartcopying.edu.au/glossary/glossary/literary-works" TargetMode="External"/><Relationship Id="rId58" Type="http://schemas.openxmlformats.org/officeDocument/2006/relationships/footer" Target="footer3.xml"/><Relationship Id="rId66" Type="http://schemas.openxmlformats.org/officeDocument/2006/relationships/image" Target="media/image6.png"/><Relationship Id="rId74" Type="http://schemas.openxmlformats.org/officeDocument/2006/relationships/image" Target="media/image14.png"/><Relationship Id="rId79" Type="http://schemas.openxmlformats.org/officeDocument/2006/relationships/image" Target="media/image19.png"/><Relationship Id="rId5" Type="http://schemas.openxmlformats.org/officeDocument/2006/relationships/numbering" Target="numbering.xml"/><Relationship Id="rId61" Type="http://schemas.openxmlformats.org/officeDocument/2006/relationships/footer" Target="footer5.xml"/><Relationship Id="rId82" Type="http://schemas.openxmlformats.org/officeDocument/2006/relationships/footer" Target="footer7.xml"/><Relationship Id="rId19" Type="http://schemas.openxmlformats.org/officeDocument/2006/relationships/hyperlink" Target="http://www.smartcopying.edu.au/glossary/glossary/literary-work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smartcopying.edu.au/glossary/glossary/website" TargetMode="External"/><Relationship Id="rId27" Type="http://schemas.openxmlformats.org/officeDocument/2006/relationships/hyperlink" Target="http://www.smartcopying.edu.au/glossary/glossary/works" TargetMode="External"/><Relationship Id="rId30" Type="http://schemas.openxmlformats.org/officeDocument/2006/relationships/hyperlink" Target="http://www.smartcopying.edu.au/glossary/glossary/author" TargetMode="External"/><Relationship Id="rId35" Type="http://schemas.openxmlformats.org/officeDocument/2006/relationships/hyperlink" Target="http://www.smartcopying.edu.au/glossary/glossary/works" TargetMode="External"/><Relationship Id="rId43" Type="http://schemas.openxmlformats.org/officeDocument/2006/relationships/hyperlink" Target="http://www.smartcopying.edu.au/glossary/glossary/educational-institutions" TargetMode="External"/><Relationship Id="rId48" Type="http://schemas.openxmlformats.org/officeDocument/2006/relationships/hyperlink" Target="http://www.smartcopying.edu.au/glossary/glossary/statutory-broadcast-licence" TargetMode="External"/><Relationship Id="rId56" Type="http://schemas.openxmlformats.org/officeDocument/2006/relationships/hyperlink" Target="http://www.smartcopying.edu.au/glossary/glossary/artistic-works" TargetMode="External"/><Relationship Id="rId64" Type="http://schemas.openxmlformats.org/officeDocument/2006/relationships/image" Target="media/image4.png"/><Relationship Id="rId69" Type="http://schemas.openxmlformats.org/officeDocument/2006/relationships/image" Target="media/image9.jpeg"/><Relationship Id="rId77" Type="http://schemas.openxmlformats.org/officeDocument/2006/relationships/image" Target="media/image17.png"/><Relationship Id="rId8" Type="http://schemas.openxmlformats.org/officeDocument/2006/relationships/webSettings" Target="webSettings.xml"/><Relationship Id="rId51" Type="http://schemas.openxmlformats.org/officeDocument/2006/relationships/hyperlink" Target="http://www.smartcopying.edu.au/glossary/glossary/collecting-society" TargetMode="External"/><Relationship Id="rId72" Type="http://schemas.openxmlformats.org/officeDocument/2006/relationships/image" Target="media/image12.png"/><Relationship Id="rId80" Type="http://schemas.openxmlformats.org/officeDocument/2006/relationships/image" Target="media/image20.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smartcopying.edu.au/glossary/glossary/works" TargetMode="External"/><Relationship Id="rId25" Type="http://schemas.openxmlformats.org/officeDocument/2006/relationships/hyperlink" Target="http://www.smartcopying.edu.au/glossary/glossary/works" TargetMode="External"/><Relationship Id="rId33" Type="http://schemas.openxmlformats.org/officeDocument/2006/relationships/hyperlink" Target="http://www.smartcopying.edu.au/glossary/glossary/schools" TargetMode="External"/><Relationship Id="rId38" Type="http://schemas.openxmlformats.org/officeDocument/2006/relationships/hyperlink" Target="http://www.smartcopying.edu.au/glossary/glossary/fair-dealing" TargetMode="External"/><Relationship Id="rId46" Type="http://schemas.openxmlformats.org/officeDocument/2006/relationships/hyperlink" Target="http://www.smartcopying.edu.au/glossary/glossary/broadcast" TargetMode="External"/><Relationship Id="rId59" Type="http://schemas.openxmlformats.org/officeDocument/2006/relationships/image" Target="media/image2.png"/><Relationship Id="rId67" Type="http://schemas.openxmlformats.org/officeDocument/2006/relationships/image" Target="media/image7.png"/><Relationship Id="rId20" Type="http://schemas.openxmlformats.org/officeDocument/2006/relationships/hyperlink" Target="http://www.smartcopying.edu.au/glossary/glossary/musical-works" TargetMode="External"/><Relationship Id="rId41" Type="http://schemas.openxmlformats.org/officeDocument/2006/relationships/hyperlink" Target="http://www.smartcopying.edu.au/glossary/glossary/communicate" TargetMode="External"/><Relationship Id="rId54" Type="http://schemas.openxmlformats.org/officeDocument/2006/relationships/hyperlink" Target="http://www.smartcopying.edu.au/glossary/glossary/dramatic-works" TargetMode="External"/><Relationship Id="rId62" Type="http://schemas.openxmlformats.org/officeDocument/2006/relationships/footer" Target="footer6.xml"/><Relationship Id="rId70" Type="http://schemas.openxmlformats.org/officeDocument/2006/relationships/image" Target="media/image10.jpeg"/><Relationship Id="rId75" Type="http://schemas.openxmlformats.org/officeDocument/2006/relationships/image" Target="media/image15.png"/><Relationship Id="rId83"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smartcopying.edu.au/glossary/glossary/works" TargetMode="External"/><Relationship Id="rId28" Type="http://schemas.openxmlformats.org/officeDocument/2006/relationships/hyperlink" Target="http://www.smartcopying.edu.au/glossary/glossary/licence" TargetMode="External"/><Relationship Id="rId36" Type="http://schemas.openxmlformats.org/officeDocument/2006/relationships/hyperlink" Target="http://www.smartcopying.edu.au/glossary/glossary/parody" TargetMode="External"/><Relationship Id="rId49" Type="http://schemas.openxmlformats.org/officeDocument/2006/relationships/hyperlink" Target="http://www.smartcopying.edu.au/glossary/glossary/statutory-text-and-artistic-licence" TargetMode="External"/><Relationship Id="rId57"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hyperlink" Target="http://www.smartcopying.edu.au/glossary/glossary/statutory-licences" TargetMode="External"/><Relationship Id="rId44" Type="http://schemas.openxmlformats.org/officeDocument/2006/relationships/hyperlink" Target="http://www.smartcopying.edu.au/glossary/glossary/communicate" TargetMode="External"/><Relationship Id="rId52" Type="http://schemas.openxmlformats.org/officeDocument/2006/relationships/hyperlink" Target="http://www.smartcopying.edu.au/glossary/glossary/works" TargetMode="External"/><Relationship Id="rId60" Type="http://schemas.openxmlformats.org/officeDocument/2006/relationships/footer" Target="footer4.xml"/><Relationship Id="rId65" Type="http://schemas.openxmlformats.org/officeDocument/2006/relationships/image" Target="media/image5.png"/><Relationship Id="rId73" Type="http://schemas.openxmlformats.org/officeDocument/2006/relationships/image" Target="media/image13.png"/><Relationship Id="rId78" Type="http://schemas.openxmlformats.org/officeDocument/2006/relationships/image" Target="media/image18.png"/><Relationship Id="rId81" Type="http://schemas.openxmlformats.org/officeDocument/2006/relationships/image" Target="media/image21.png"/><Relationship Id="rId86"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n\APPDATA\LOCAL\TEMP\wz5657\EY_World_Report_Cover_Portrait_Included.dotx" TargetMode="External"/></Relationships>
</file>

<file path=word/theme/theme1.xml><?xml version="1.0" encoding="utf-8"?>
<a:theme xmlns:a="http://schemas.openxmlformats.org/drawingml/2006/main" name="Office Theme">
  <a:themeElements>
    <a:clrScheme name="EY dark print-ready">
      <a:dk1>
        <a:srgbClr val="FFFFFF"/>
      </a:dk1>
      <a:lt1>
        <a:srgbClr val="FFFFFF"/>
      </a:lt1>
      <a:dk2>
        <a:srgbClr val="333333"/>
      </a:dk2>
      <a:lt2>
        <a:srgbClr val="FFE600"/>
      </a:lt2>
      <a:accent1>
        <a:srgbClr val="808080"/>
      </a:accent1>
      <a:accent2>
        <a:srgbClr val="FFE600"/>
      </a:accent2>
      <a:accent3>
        <a:srgbClr val="999999"/>
      </a:accent3>
      <a:accent4>
        <a:srgbClr val="F0F0F0"/>
      </a:accent4>
      <a:accent5>
        <a:srgbClr val="00A3AE"/>
      </a:accent5>
      <a:accent6>
        <a:srgbClr val="7FD1D6"/>
      </a:accent6>
      <a:hlink>
        <a:srgbClr val="336699"/>
      </a:hlink>
      <a:folHlink>
        <a:srgbClr val="91278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B6686C96B54EB41AE9A8A1924A18B28" ma:contentTypeVersion="0" ma:contentTypeDescription="Create a new document." ma:contentTypeScope="" ma:versionID="2965a1c4bdcaff5ad2a3375fc8e29d21">
  <xsd:schema xmlns:xsd="http://www.w3.org/2001/XMLSchema" xmlns:xs="http://www.w3.org/2001/XMLSchema" xmlns:p="http://schemas.microsoft.com/office/2006/metadata/properties" targetNamespace="http://schemas.microsoft.com/office/2006/metadata/properties" ma:root="true" ma:fieldsID="4c374274b5874be9daf3b303b797f61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C6099-EB1B-408E-8C0E-7A0027B85EC6}">
  <ds:schemaRefs>
    <ds:schemaRef ds:uri="http://schemas.microsoft.com/sharepoint/v3/contenttype/forms"/>
  </ds:schemaRefs>
</ds:datastoreItem>
</file>

<file path=customXml/itemProps2.xml><?xml version="1.0" encoding="utf-8"?>
<ds:datastoreItem xmlns:ds="http://schemas.openxmlformats.org/officeDocument/2006/customXml" ds:itemID="{176031EE-BB2A-4E11-AE30-AE7ACA19E40A}">
  <ds:schemaRefs>
    <ds:schemaRef ds:uri="http://purl.org/dc/terms/"/>
    <ds:schemaRef ds:uri="http://www.w3.org/XML/1998/namespac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C4A5E1C3-0FD4-42C5-B3A8-FD9AACE8C1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043568A-7EEB-4B58-8D5E-7648C42C9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EY_World_Report_Cover_Portrait_Included.dotx</Template>
  <TotalTime>9</TotalTime>
  <Pages>114</Pages>
  <Words>40001</Words>
  <Characters>221603</Characters>
  <Application>Microsoft Office Word</Application>
  <DocSecurity>0</DocSecurity>
  <Lines>1846</Lines>
  <Paragraphs>522</Paragraphs>
  <ScaleCrop>false</ScaleCrop>
  <HeadingPairs>
    <vt:vector size="2" baseType="variant">
      <vt:variant>
        <vt:lpstr>Title</vt:lpstr>
      </vt:variant>
      <vt:variant>
        <vt:i4>1</vt:i4>
      </vt:variant>
    </vt:vector>
  </HeadingPairs>
  <TitlesOfParts>
    <vt:vector size="1" baseType="lpstr">
      <vt:lpstr>Cost benefit analysis of changes to the Copyright Act 1968</vt:lpstr>
    </vt:vector>
  </TitlesOfParts>
  <Company>EY</Company>
  <LinksUpToDate>false</LinksUpToDate>
  <CharactersWithSpaces>261082</CharactersWithSpaces>
  <SharedDoc>false</SharedDoc>
  <HLinks>
    <vt:vector size="24" baseType="variant">
      <vt:variant>
        <vt:i4>1572915</vt:i4>
      </vt:variant>
      <vt:variant>
        <vt:i4>20</vt:i4>
      </vt:variant>
      <vt:variant>
        <vt:i4>0</vt:i4>
      </vt:variant>
      <vt:variant>
        <vt:i4>5</vt:i4>
      </vt:variant>
      <vt:variant>
        <vt:lpwstr/>
      </vt:variant>
      <vt:variant>
        <vt:lpwstr>_Toc212966515</vt:lpwstr>
      </vt:variant>
      <vt:variant>
        <vt:i4>1572915</vt:i4>
      </vt:variant>
      <vt:variant>
        <vt:i4>14</vt:i4>
      </vt:variant>
      <vt:variant>
        <vt:i4>0</vt:i4>
      </vt:variant>
      <vt:variant>
        <vt:i4>5</vt:i4>
      </vt:variant>
      <vt:variant>
        <vt:lpwstr/>
      </vt:variant>
      <vt:variant>
        <vt:lpwstr>_Toc212966514</vt:lpwstr>
      </vt:variant>
      <vt:variant>
        <vt:i4>1572915</vt:i4>
      </vt:variant>
      <vt:variant>
        <vt:i4>8</vt:i4>
      </vt:variant>
      <vt:variant>
        <vt:i4>0</vt:i4>
      </vt:variant>
      <vt:variant>
        <vt:i4>5</vt:i4>
      </vt:variant>
      <vt:variant>
        <vt:lpwstr/>
      </vt:variant>
      <vt:variant>
        <vt:lpwstr>_Toc212966513</vt:lpwstr>
      </vt:variant>
      <vt:variant>
        <vt:i4>1572915</vt:i4>
      </vt:variant>
      <vt:variant>
        <vt:i4>2</vt:i4>
      </vt:variant>
      <vt:variant>
        <vt:i4>0</vt:i4>
      </vt:variant>
      <vt:variant>
        <vt:i4>5</vt:i4>
      </vt:variant>
      <vt:variant>
        <vt:lpwstr/>
      </vt:variant>
      <vt:variant>
        <vt:lpwstr>_Toc212966512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benefit analysis of changes to the Copyright Act 1968</dc:title>
  <dc:creator>Anastasia Andressakis</dc:creator>
  <cp:lastModifiedBy>th</cp:lastModifiedBy>
  <cp:revision>3</cp:revision>
  <cp:lastPrinted>2016-12-19T23:39:00Z</cp:lastPrinted>
  <dcterms:created xsi:type="dcterms:W3CDTF">2016-12-19T23:37:00Z</dcterms:created>
  <dcterms:modified xsi:type="dcterms:W3CDTF">2016-12-19T23:42:00Z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0x010100CB6686C96B54EB41AE9A8A1924A18B28</vt:lpwstr>
  </property>
  <property fmtid="{D5CDD505-2E9C-101B-9397-08002B2CF9AE}" pid="3" name="TrimRevisionNumber">
    <vt:i4>1</vt:i4>
  </property>
  <property fmtid="{D5CDD505-2E9C-101B-9397-08002B2CF9AE}" pid="4" name="IsMyDocuments">
    <vt:bool>true</vt:bool>
  </property>
</Properties>
</file>