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95" w:rsidRDefault="005113AA" w:rsidP="005113AA">
      <w:pPr>
        <w:ind w:left="-1418"/>
        <w:sectPr w:rsidR="00471D95" w:rsidSect="00BB5DE7">
          <w:headerReference w:type="default" r:id="rId11"/>
          <w:footerReference w:type="default" r:id="rId12"/>
          <w:footerReference w:type="first" r:id="rId13"/>
          <w:pgSz w:w="11906" w:h="16838"/>
          <w:pgMar w:top="0" w:right="1274" w:bottom="1440" w:left="1440" w:header="708" w:footer="283" w:gutter="0"/>
          <w:cols w:space="708"/>
          <w:titlePg/>
          <w:docGrid w:linePitch="360"/>
        </w:sectPr>
      </w:pPr>
      <w:r>
        <w:rPr>
          <w:noProof/>
          <w:lang w:eastAsia="en-AU"/>
        </w:rPr>
        <w:drawing>
          <wp:inline distT="0" distB="0" distL="0" distR="0" wp14:anchorId="6DCF1C4A" wp14:editId="3D7D3CB7">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5113AA" w:rsidRPr="009437C4" w:rsidRDefault="00FE604A" w:rsidP="005113AA">
      <w:pPr>
        <w:pStyle w:val="Heading1"/>
        <w:rPr>
          <w:sz w:val="40"/>
        </w:rPr>
      </w:pPr>
      <w:r w:rsidRPr="009437C4">
        <w:rPr>
          <w:sz w:val="40"/>
        </w:rPr>
        <w:t xml:space="preserve">Review </w:t>
      </w:r>
      <w:r w:rsidR="005E31BE">
        <w:rPr>
          <w:sz w:val="40"/>
        </w:rPr>
        <w:t>of Australian classification regulation</w:t>
      </w:r>
    </w:p>
    <w:p w:rsidR="005113AA" w:rsidRPr="005113AA" w:rsidRDefault="006A64AE" w:rsidP="005113AA">
      <w:pPr>
        <w:rPr>
          <w:rFonts w:ascii="Calibri" w:eastAsia="PMingLiU" w:hAnsi="Calibri" w:cs="Mangal"/>
        </w:rPr>
      </w:pPr>
      <w:r w:rsidRPr="00C5578E">
        <w:rPr>
          <w:rFonts w:ascii="Calibri" w:eastAsia="PMingLiU" w:hAnsi="Calibri" w:cs="Mangal"/>
          <w:lang w:eastAsia="zh-TW"/>
        </w:rPr>
        <w:t xml:space="preserve">January </w:t>
      </w:r>
      <w:r w:rsidR="00906A62" w:rsidRPr="00C5578E">
        <w:rPr>
          <w:rFonts w:ascii="Calibri" w:eastAsia="PMingLiU" w:hAnsi="Calibri" w:cs="Mangal"/>
          <w:lang w:eastAsia="zh-TW"/>
        </w:rPr>
        <w:t>2020</w:t>
      </w:r>
    </w:p>
    <w:p w:rsidR="005113AA" w:rsidRDefault="005113AA" w:rsidP="003D193C">
      <w:pPr>
        <w:spacing w:before="4440" w:after="0"/>
        <w:jc w:val="center"/>
      </w:pPr>
      <w:r>
        <w:br w:type="page"/>
      </w:r>
    </w:p>
    <w:p w:rsidR="005113AA" w:rsidRPr="005113AA" w:rsidRDefault="005113AA" w:rsidP="00800F3F">
      <w:pPr>
        <w:pStyle w:val="Heading2notshowing"/>
      </w:pPr>
      <w:r w:rsidRPr="005113AA">
        <w:lastRenderedPageBreak/>
        <w:t>Disclaimer</w:t>
      </w:r>
    </w:p>
    <w:p w:rsidR="005113AA" w:rsidRPr="005113AA" w:rsidRDefault="005113AA" w:rsidP="00F63D35">
      <w:pPr>
        <w:pStyle w:val="Normal-disclaimerpage"/>
      </w:pPr>
      <w:r w:rsidRPr="005113AA">
        <w:t xml:space="preserve">The material in </w:t>
      </w:r>
      <w:r w:rsidR="00FE604A">
        <w:t xml:space="preserve">this report </w:t>
      </w:r>
      <w:r w:rsidRPr="005113AA">
        <w:t>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w:t>
      </w:r>
      <w:r w:rsidR="00FE604A">
        <w:t xml:space="preserve"> this report</w:t>
      </w:r>
      <w:r w:rsidRPr="005113AA">
        <w:t>.</w:t>
      </w:r>
    </w:p>
    <w:p w:rsidR="005113AA" w:rsidRPr="005113AA" w:rsidRDefault="005113AA" w:rsidP="00F63D35">
      <w:pPr>
        <w:pStyle w:val="Normal-disclaimerpage"/>
      </w:pPr>
      <w:r w:rsidRPr="00FE604A">
        <w:t>T</w:t>
      </w:r>
      <w:r w:rsidR="00943D91" w:rsidRPr="00FE604A">
        <w:t>his</w:t>
      </w:r>
      <w:r w:rsidR="00FE604A" w:rsidRPr="00FE604A">
        <w:t xml:space="preserve"> </w:t>
      </w:r>
      <w:r w:rsidR="00943D91" w:rsidRPr="00FE604A">
        <w:t>report</w:t>
      </w:r>
      <w:r w:rsidRPr="00FE604A">
        <w:t xml:space="preserve"> has</w:t>
      </w:r>
      <w:r w:rsidRPr="005113AA">
        <w:t xml:space="preserve"> been prepared for consultation purposes only and does not indicate the Commonwealth’s commitment to a particular course of action. Additionally, any third party views or recommendations included in</w:t>
      </w:r>
      <w:r w:rsidR="00FE604A">
        <w:t xml:space="preserve"> this report </w:t>
      </w:r>
      <w:r w:rsidRPr="005113AA">
        <w:t>do not reflect the views of the Commonwealth, or indicate its commitment to a particular course of action.</w:t>
      </w:r>
    </w:p>
    <w:p w:rsidR="005113AA" w:rsidRPr="005113AA" w:rsidRDefault="005113AA" w:rsidP="00C54D61">
      <w:pPr>
        <w:pStyle w:val="Heading2notshowing"/>
      </w:pPr>
      <w:r w:rsidRPr="005113AA">
        <w:t>Copyright</w:t>
      </w:r>
    </w:p>
    <w:p w:rsidR="005113AA" w:rsidRPr="005113AA" w:rsidRDefault="005113AA" w:rsidP="00F63D35">
      <w:pPr>
        <w:pStyle w:val="Normal-disclaimerpage"/>
      </w:pPr>
      <w:r w:rsidRPr="005113AA">
        <w:t xml:space="preserve">© Commonwealth of Australia </w:t>
      </w:r>
      <w:r w:rsidR="001629C7">
        <w:t>2020</w:t>
      </w:r>
    </w:p>
    <w:p w:rsidR="005113AA" w:rsidRPr="005113AA" w:rsidRDefault="005113AA" w:rsidP="00F63D35">
      <w:pPr>
        <w:pStyle w:val="Normal-disclaimerpage"/>
      </w:pPr>
      <w:r w:rsidRPr="005113AA">
        <w:rPr>
          <w:noProof/>
          <w:lang w:eastAsia="en-AU"/>
        </w:rPr>
        <w:drawing>
          <wp:inline distT="0" distB="0" distL="0" distR="0" wp14:anchorId="088F1FCF" wp14:editId="75C40E2E">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The material in</w:t>
      </w:r>
      <w:r w:rsidR="00FE604A">
        <w:t xml:space="preserve"> this report </w:t>
      </w:r>
      <w:r w:rsidRPr="005113AA">
        <w:t>is licensed under a Creative Commons Attribution—4.0</w:t>
      </w:r>
      <w:r w:rsidR="001629C7">
        <w:t> </w:t>
      </w:r>
      <w:r w:rsidRPr="005113AA">
        <w:t>International licence, with the exception of:</w:t>
      </w:r>
    </w:p>
    <w:p w:rsidR="005113AA" w:rsidRPr="00F63D35" w:rsidRDefault="005113AA" w:rsidP="00943D91">
      <w:pPr>
        <w:pStyle w:val="Listparagraphbullets"/>
        <w:spacing w:after="120"/>
        <w:rPr>
          <w:sz w:val="21"/>
          <w:szCs w:val="21"/>
        </w:rPr>
      </w:pPr>
      <w:r w:rsidRPr="00F63D35">
        <w:rPr>
          <w:sz w:val="21"/>
          <w:szCs w:val="21"/>
        </w:rPr>
        <w:t>the Commonwealth Coat of Arms</w:t>
      </w:r>
    </w:p>
    <w:p w:rsidR="005113AA" w:rsidRPr="00F63D35" w:rsidRDefault="005113AA" w:rsidP="00943D91">
      <w:pPr>
        <w:pStyle w:val="Listparagraphbullets"/>
        <w:spacing w:after="120"/>
        <w:rPr>
          <w:sz w:val="21"/>
          <w:szCs w:val="21"/>
        </w:rPr>
      </w:pPr>
      <w:r w:rsidRPr="00F63D35">
        <w:rPr>
          <w:sz w:val="21"/>
          <w:szCs w:val="21"/>
        </w:rPr>
        <w:t>this Department’s logo</w:t>
      </w:r>
    </w:p>
    <w:p w:rsidR="005113AA" w:rsidRPr="00F63D35" w:rsidRDefault="005113AA" w:rsidP="00943D91">
      <w:pPr>
        <w:pStyle w:val="Listparagraphbullets"/>
        <w:spacing w:after="120"/>
        <w:rPr>
          <w:sz w:val="21"/>
          <w:szCs w:val="21"/>
        </w:rPr>
      </w:pPr>
      <w:r w:rsidRPr="00F63D35">
        <w:rPr>
          <w:sz w:val="21"/>
          <w:szCs w:val="21"/>
        </w:rPr>
        <w:t>any third party material</w:t>
      </w:r>
    </w:p>
    <w:p w:rsidR="005113AA" w:rsidRPr="00F63D35" w:rsidRDefault="005113AA" w:rsidP="00943D91">
      <w:pPr>
        <w:pStyle w:val="Listparagraphbullets"/>
        <w:spacing w:after="120"/>
        <w:rPr>
          <w:sz w:val="21"/>
          <w:szCs w:val="21"/>
        </w:rPr>
      </w:pPr>
      <w:r w:rsidRPr="00F63D35">
        <w:rPr>
          <w:sz w:val="21"/>
          <w:szCs w:val="21"/>
        </w:rPr>
        <w:t>any material protected by a trademark, and</w:t>
      </w:r>
    </w:p>
    <w:p w:rsidR="005113AA" w:rsidRPr="00F63D35" w:rsidRDefault="005113AA" w:rsidP="00943D91">
      <w:pPr>
        <w:pStyle w:val="Listparagraphbullets"/>
        <w:spacing w:after="120"/>
        <w:rPr>
          <w:sz w:val="21"/>
          <w:szCs w:val="21"/>
        </w:rPr>
      </w:pPr>
      <w:proofErr w:type="gramStart"/>
      <w:r w:rsidRPr="00F63D35">
        <w:rPr>
          <w:sz w:val="21"/>
          <w:szCs w:val="21"/>
        </w:rPr>
        <w:t>any</w:t>
      </w:r>
      <w:proofErr w:type="gramEnd"/>
      <w:r w:rsidRPr="00F63D35">
        <w:rPr>
          <w:sz w:val="21"/>
          <w:szCs w:val="21"/>
        </w:rPr>
        <w:t xml:space="preserve"> images and/or photographs.</w:t>
      </w:r>
    </w:p>
    <w:p w:rsidR="005113AA" w:rsidRPr="005113AA" w:rsidRDefault="005113AA" w:rsidP="00F63D35">
      <w:pPr>
        <w:pStyle w:val="Normal-disclaimerpage"/>
      </w:pPr>
      <w:r w:rsidRPr="005113AA">
        <w:t>More information on this CC BY licence is set out as follows:</w:t>
      </w:r>
    </w:p>
    <w:p w:rsidR="005113AA" w:rsidRPr="00F63D35" w:rsidRDefault="005113AA" w:rsidP="00943D91">
      <w:pPr>
        <w:pStyle w:val="Listparagraphbullets"/>
        <w:spacing w:after="120"/>
        <w:rPr>
          <w:sz w:val="21"/>
          <w:szCs w:val="21"/>
        </w:rPr>
      </w:pPr>
      <w:r w:rsidRPr="00F63D35">
        <w:rPr>
          <w:sz w:val="21"/>
          <w:szCs w:val="21"/>
        </w:rPr>
        <w:t>Creative Commons website—</w:t>
      </w:r>
      <w:hyperlink r:id="rId17" w:history="1">
        <w:r w:rsidRPr="00F63D35">
          <w:rPr>
            <w:rStyle w:val="Hyperlink"/>
            <w:sz w:val="21"/>
            <w:szCs w:val="21"/>
          </w:rPr>
          <w:t>www.creativecommons.org</w:t>
        </w:r>
      </w:hyperlink>
    </w:p>
    <w:p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8" w:history="1">
        <w:r w:rsidRPr="00F63D35">
          <w:rPr>
            <w:rStyle w:val="Hyperlink"/>
            <w:sz w:val="21"/>
            <w:szCs w:val="21"/>
          </w:rPr>
          <w:t>www.creativecommons.org/licenses/by/4.0</w:t>
        </w:r>
      </w:hyperlink>
      <w:r w:rsidRPr="00F63D35">
        <w:rPr>
          <w:sz w:val="21"/>
          <w:szCs w:val="21"/>
        </w:rPr>
        <w:t>.</w:t>
      </w:r>
    </w:p>
    <w:p w:rsidR="005113AA" w:rsidRPr="005113AA" w:rsidRDefault="005113AA" w:rsidP="00F63D35">
      <w:pPr>
        <w:pStyle w:val="Normal-disclaimerpage"/>
      </w:pPr>
      <w:r w:rsidRPr="005113AA">
        <w:t xml:space="preserve">Enquiries about this licence and any use of this discussion paper can be sent to: </w:t>
      </w:r>
      <w:hyperlink r:id="rId19" w:history="1">
        <w:r w:rsidRPr="00943D91">
          <w:rPr>
            <w:rStyle w:val="Hyperlink"/>
          </w:rPr>
          <w:t>copyright@communications.gov.au</w:t>
        </w:r>
      </w:hyperlink>
      <w:r w:rsidRPr="005113AA">
        <w:t>.</w:t>
      </w:r>
    </w:p>
    <w:p w:rsidR="005113AA" w:rsidRPr="005113AA" w:rsidRDefault="005113AA" w:rsidP="00943D91">
      <w:pPr>
        <w:pStyle w:val="Heading3notshowing"/>
      </w:pPr>
      <w:bookmarkStart w:id="0" w:name="_Toc490666776"/>
      <w:bookmarkStart w:id="1" w:name="_Toc490744403"/>
      <w:r w:rsidRPr="005113AA">
        <w:lastRenderedPageBreak/>
        <w:t>Third party copyright</w:t>
      </w:r>
    </w:p>
    <w:p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rsidR="005113AA" w:rsidRPr="005113AA" w:rsidRDefault="005113AA" w:rsidP="00943D91">
      <w:pPr>
        <w:pStyle w:val="Heading3notshowing"/>
      </w:pPr>
      <w:r w:rsidRPr="005113AA">
        <w:t>Attribution</w:t>
      </w:r>
      <w:bookmarkEnd w:id="0"/>
      <w:bookmarkEnd w:id="1"/>
    </w:p>
    <w:p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5113AA" w:rsidRPr="005113AA" w:rsidRDefault="005113AA" w:rsidP="00F63D35">
      <w:pPr>
        <w:pStyle w:val="Normal-disclaimerpage"/>
        <w:ind w:left="567"/>
      </w:pPr>
      <w:r w:rsidRPr="005113AA">
        <w:t>Licensed from the Commonwealth of Australia under a Creative Commons Attribution 4.0 International licence.</w:t>
      </w:r>
    </w:p>
    <w:p w:rsidR="005113AA" w:rsidRPr="005113AA" w:rsidRDefault="005113AA" w:rsidP="00F63D35">
      <w:pPr>
        <w:pStyle w:val="Normal-disclaimerpage"/>
      </w:pPr>
      <w:r w:rsidRPr="005113AA">
        <w:t xml:space="preserve">Enquiries about the use of any material in this publication can be sent to: </w:t>
      </w:r>
      <w:hyperlink r:id="rId20" w:history="1">
        <w:r w:rsidRPr="00F63D35">
          <w:rPr>
            <w:rStyle w:val="Hyperlink"/>
          </w:rPr>
          <w:t>copyright@communications.gov.au</w:t>
        </w:r>
      </w:hyperlink>
      <w:r w:rsidRPr="005113AA">
        <w:t>.</w:t>
      </w:r>
    </w:p>
    <w:p w:rsidR="005113AA" w:rsidRPr="005113AA" w:rsidRDefault="005113AA" w:rsidP="00943D91">
      <w:pPr>
        <w:pStyle w:val="Heading2notshowing"/>
      </w:pPr>
      <w:r w:rsidRPr="005113AA">
        <w:t>Using the Commonwealth Coat of Arms</w:t>
      </w:r>
    </w:p>
    <w:p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21" w:history="1">
        <w:r w:rsidRPr="005113AA">
          <w:rPr>
            <w:color w:val="155589"/>
            <w:u w:val="single"/>
          </w:rPr>
          <w:t>www.pmc.gov.au/government/its-honour</w:t>
        </w:r>
      </w:hyperlink>
      <w:r w:rsidRPr="005113AA">
        <w:t>.</w:t>
      </w:r>
      <w:r w:rsidRPr="005113AA">
        <w:br w:type="page"/>
      </w:r>
    </w:p>
    <w:p w:rsidR="005113AA" w:rsidRPr="005113AA" w:rsidRDefault="005113AA" w:rsidP="00943D91">
      <w:pPr>
        <w:pStyle w:val="Heading2notshowing"/>
      </w:pPr>
      <w:r w:rsidRPr="005113AA">
        <w:lastRenderedPageBreak/>
        <w:t>Contents</w:t>
      </w:r>
    </w:p>
    <w:p w:rsidR="00292A31"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29289948" w:history="1">
        <w:r w:rsidR="00292A31" w:rsidRPr="00787E9D">
          <w:rPr>
            <w:rStyle w:val="Hyperlink"/>
            <w:noProof/>
          </w:rPr>
          <w:t>Current arrangements</w:t>
        </w:r>
        <w:r w:rsidR="00292A31">
          <w:rPr>
            <w:noProof/>
            <w:webHidden/>
          </w:rPr>
          <w:tab/>
        </w:r>
        <w:r w:rsidR="00292A31">
          <w:rPr>
            <w:noProof/>
            <w:webHidden/>
          </w:rPr>
          <w:fldChar w:fldCharType="begin"/>
        </w:r>
        <w:r w:rsidR="00292A31">
          <w:rPr>
            <w:noProof/>
            <w:webHidden/>
          </w:rPr>
          <w:instrText xml:space="preserve"> PAGEREF _Toc29289948 \h </w:instrText>
        </w:r>
        <w:r w:rsidR="00292A31">
          <w:rPr>
            <w:noProof/>
            <w:webHidden/>
          </w:rPr>
        </w:r>
        <w:r w:rsidR="00292A31">
          <w:rPr>
            <w:noProof/>
            <w:webHidden/>
          </w:rPr>
          <w:fldChar w:fldCharType="separate"/>
        </w:r>
        <w:r w:rsidR="00292A31">
          <w:rPr>
            <w:noProof/>
            <w:webHidden/>
          </w:rPr>
          <w:t>4</w:t>
        </w:r>
        <w:r w:rsidR="00292A31">
          <w:rPr>
            <w:noProof/>
            <w:webHidden/>
          </w:rPr>
          <w:fldChar w:fldCharType="end"/>
        </w:r>
      </w:hyperlink>
    </w:p>
    <w:p w:rsidR="00292A31" w:rsidRDefault="00292A31">
      <w:pPr>
        <w:pStyle w:val="TOC2"/>
        <w:rPr>
          <w:rFonts w:eastAsiaTheme="minorEastAsia"/>
          <w:noProof/>
          <w:lang w:eastAsia="en-AU"/>
        </w:rPr>
      </w:pPr>
      <w:hyperlink w:anchor="_Toc29289949" w:history="1">
        <w:r w:rsidRPr="00787E9D">
          <w:rPr>
            <w:rStyle w:val="Hyperlink"/>
            <w:noProof/>
          </w:rPr>
          <w:t>National Classification Scheme</w:t>
        </w:r>
        <w:r>
          <w:rPr>
            <w:noProof/>
            <w:webHidden/>
          </w:rPr>
          <w:tab/>
        </w:r>
        <w:r>
          <w:rPr>
            <w:noProof/>
            <w:webHidden/>
          </w:rPr>
          <w:fldChar w:fldCharType="begin"/>
        </w:r>
        <w:r>
          <w:rPr>
            <w:noProof/>
            <w:webHidden/>
          </w:rPr>
          <w:instrText xml:space="preserve"> PAGEREF _Toc29289949 \h </w:instrText>
        </w:r>
        <w:r>
          <w:rPr>
            <w:noProof/>
            <w:webHidden/>
          </w:rPr>
        </w:r>
        <w:r>
          <w:rPr>
            <w:noProof/>
            <w:webHidden/>
          </w:rPr>
          <w:fldChar w:fldCharType="separate"/>
        </w:r>
        <w:r>
          <w:rPr>
            <w:noProof/>
            <w:webHidden/>
          </w:rPr>
          <w:t>4</w:t>
        </w:r>
        <w:r>
          <w:rPr>
            <w:noProof/>
            <w:webHidden/>
          </w:rPr>
          <w:fldChar w:fldCharType="end"/>
        </w:r>
      </w:hyperlink>
    </w:p>
    <w:p w:rsidR="00292A31" w:rsidRDefault="00292A31">
      <w:pPr>
        <w:pStyle w:val="TOC2"/>
        <w:rPr>
          <w:rFonts w:eastAsiaTheme="minorEastAsia"/>
          <w:noProof/>
          <w:lang w:eastAsia="en-AU"/>
        </w:rPr>
      </w:pPr>
      <w:hyperlink w:anchor="_Toc29289950" w:history="1">
        <w:r w:rsidRPr="00787E9D">
          <w:rPr>
            <w:rStyle w:val="Hyperlink"/>
            <w:noProof/>
          </w:rPr>
          <w:t>Television classification</w:t>
        </w:r>
        <w:r>
          <w:rPr>
            <w:noProof/>
            <w:webHidden/>
          </w:rPr>
          <w:tab/>
        </w:r>
        <w:r>
          <w:rPr>
            <w:noProof/>
            <w:webHidden/>
          </w:rPr>
          <w:fldChar w:fldCharType="begin"/>
        </w:r>
        <w:r>
          <w:rPr>
            <w:noProof/>
            <w:webHidden/>
          </w:rPr>
          <w:instrText xml:space="preserve"> PAGEREF _Toc29289950 \h </w:instrText>
        </w:r>
        <w:r>
          <w:rPr>
            <w:noProof/>
            <w:webHidden/>
          </w:rPr>
        </w:r>
        <w:r>
          <w:rPr>
            <w:noProof/>
            <w:webHidden/>
          </w:rPr>
          <w:fldChar w:fldCharType="separate"/>
        </w:r>
        <w:r>
          <w:rPr>
            <w:noProof/>
            <w:webHidden/>
          </w:rPr>
          <w:t>5</w:t>
        </w:r>
        <w:r>
          <w:rPr>
            <w:noProof/>
            <w:webHidden/>
          </w:rPr>
          <w:fldChar w:fldCharType="end"/>
        </w:r>
      </w:hyperlink>
    </w:p>
    <w:p w:rsidR="00292A31" w:rsidRDefault="00292A31">
      <w:pPr>
        <w:pStyle w:val="TOC1"/>
        <w:rPr>
          <w:rFonts w:eastAsiaTheme="minorEastAsia"/>
          <w:b w:val="0"/>
          <w:noProof/>
          <w:color w:val="auto"/>
          <w:lang w:eastAsia="en-AU"/>
        </w:rPr>
      </w:pPr>
      <w:hyperlink w:anchor="_Toc29289951" w:history="1">
        <w:r w:rsidRPr="00787E9D">
          <w:rPr>
            <w:rStyle w:val="Hyperlink"/>
            <w:noProof/>
          </w:rPr>
          <w:t>Purpose of the consultation</w:t>
        </w:r>
        <w:r>
          <w:rPr>
            <w:noProof/>
            <w:webHidden/>
          </w:rPr>
          <w:tab/>
        </w:r>
        <w:r>
          <w:rPr>
            <w:noProof/>
            <w:webHidden/>
          </w:rPr>
          <w:fldChar w:fldCharType="begin"/>
        </w:r>
        <w:r>
          <w:rPr>
            <w:noProof/>
            <w:webHidden/>
          </w:rPr>
          <w:instrText xml:space="preserve"> PAGEREF _Toc29289951 \h </w:instrText>
        </w:r>
        <w:r>
          <w:rPr>
            <w:noProof/>
            <w:webHidden/>
          </w:rPr>
        </w:r>
        <w:r>
          <w:rPr>
            <w:noProof/>
            <w:webHidden/>
          </w:rPr>
          <w:fldChar w:fldCharType="separate"/>
        </w:r>
        <w:r>
          <w:rPr>
            <w:noProof/>
            <w:webHidden/>
          </w:rPr>
          <w:t>5</w:t>
        </w:r>
        <w:r>
          <w:rPr>
            <w:noProof/>
            <w:webHidden/>
          </w:rPr>
          <w:fldChar w:fldCharType="end"/>
        </w:r>
      </w:hyperlink>
    </w:p>
    <w:p w:rsidR="00292A31" w:rsidRDefault="00292A31">
      <w:pPr>
        <w:pStyle w:val="TOC1"/>
        <w:rPr>
          <w:rFonts w:eastAsiaTheme="minorEastAsia"/>
          <w:b w:val="0"/>
          <w:noProof/>
          <w:color w:val="auto"/>
          <w:lang w:eastAsia="en-AU"/>
        </w:rPr>
      </w:pPr>
      <w:hyperlink w:anchor="_Toc29289952" w:history="1">
        <w:r w:rsidRPr="00787E9D">
          <w:rPr>
            <w:rStyle w:val="Hyperlink"/>
            <w:noProof/>
          </w:rPr>
          <w:t>Submitting your comments</w:t>
        </w:r>
        <w:r>
          <w:rPr>
            <w:noProof/>
            <w:webHidden/>
          </w:rPr>
          <w:tab/>
        </w:r>
        <w:r>
          <w:rPr>
            <w:noProof/>
            <w:webHidden/>
          </w:rPr>
          <w:fldChar w:fldCharType="begin"/>
        </w:r>
        <w:r>
          <w:rPr>
            <w:noProof/>
            <w:webHidden/>
          </w:rPr>
          <w:instrText xml:space="preserve"> PAGEREF _Toc29289952 \h </w:instrText>
        </w:r>
        <w:r>
          <w:rPr>
            <w:noProof/>
            <w:webHidden/>
          </w:rPr>
        </w:r>
        <w:r>
          <w:rPr>
            <w:noProof/>
            <w:webHidden/>
          </w:rPr>
          <w:fldChar w:fldCharType="separate"/>
        </w:r>
        <w:r>
          <w:rPr>
            <w:noProof/>
            <w:webHidden/>
          </w:rPr>
          <w:t>7</w:t>
        </w:r>
        <w:r>
          <w:rPr>
            <w:noProof/>
            <w:webHidden/>
          </w:rPr>
          <w:fldChar w:fldCharType="end"/>
        </w:r>
      </w:hyperlink>
    </w:p>
    <w:p w:rsidR="00292A31" w:rsidRDefault="00292A31">
      <w:pPr>
        <w:pStyle w:val="TOC2"/>
        <w:rPr>
          <w:rFonts w:eastAsiaTheme="minorEastAsia"/>
          <w:noProof/>
          <w:lang w:eastAsia="en-AU"/>
        </w:rPr>
      </w:pPr>
      <w:hyperlink w:anchor="_Toc29289953" w:history="1">
        <w:r w:rsidRPr="00787E9D">
          <w:rPr>
            <w:rStyle w:val="Hyperlink"/>
            <w:noProof/>
          </w:rPr>
          <w:t>How to submit comments</w:t>
        </w:r>
        <w:r>
          <w:rPr>
            <w:noProof/>
            <w:webHidden/>
          </w:rPr>
          <w:tab/>
        </w:r>
        <w:r>
          <w:rPr>
            <w:noProof/>
            <w:webHidden/>
          </w:rPr>
          <w:fldChar w:fldCharType="begin"/>
        </w:r>
        <w:r>
          <w:rPr>
            <w:noProof/>
            <w:webHidden/>
          </w:rPr>
          <w:instrText xml:space="preserve"> PAGEREF _Toc29289953 \h </w:instrText>
        </w:r>
        <w:r>
          <w:rPr>
            <w:noProof/>
            <w:webHidden/>
          </w:rPr>
        </w:r>
        <w:r>
          <w:rPr>
            <w:noProof/>
            <w:webHidden/>
          </w:rPr>
          <w:fldChar w:fldCharType="separate"/>
        </w:r>
        <w:r>
          <w:rPr>
            <w:noProof/>
            <w:webHidden/>
          </w:rPr>
          <w:t>7</w:t>
        </w:r>
        <w:r>
          <w:rPr>
            <w:noProof/>
            <w:webHidden/>
          </w:rPr>
          <w:fldChar w:fldCharType="end"/>
        </w:r>
      </w:hyperlink>
    </w:p>
    <w:p w:rsidR="00292A31" w:rsidRDefault="00292A31">
      <w:pPr>
        <w:pStyle w:val="TOC2"/>
        <w:rPr>
          <w:rFonts w:eastAsiaTheme="minorEastAsia"/>
          <w:noProof/>
          <w:lang w:eastAsia="en-AU"/>
        </w:rPr>
      </w:pPr>
      <w:hyperlink w:anchor="_Toc29289954" w:history="1">
        <w:r w:rsidRPr="00787E9D">
          <w:rPr>
            <w:rStyle w:val="Hyperlink"/>
            <w:noProof/>
          </w:rPr>
          <w:t>What happens next</w:t>
        </w:r>
        <w:r>
          <w:rPr>
            <w:noProof/>
            <w:webHidden/>
          </w:rPr>
          <w:tab/>
        </w:r>
        <w:r>
          <w:rPr>
            <w:noProof/>
            <w:webHidden/>
          </w:rPr>
          <w:fldChar w:fldCharType="begin"/>
        </w:r>
        <w:r>
          <w:rPr>
            <w:noProof/>
            <w:webHidden/>
          </w:rPr>
          <w:instrText xml:space="preserve"> PAGEREF _Toc29289954 \h </w:instrText>
        </w:r>
        <w:r>
          <w:rPr>
            <w:noProof/>
            <w:webHidden/>
          </w:rPr>
        </w:r>
        <w:r>
          <w:rPr>
            <w:noProof/>
            <w:webHidden/>
          </w:rPr>
          <w:fldChar w:fldCharType="separate"/>
        </w:r>
        <w:r>
          <w:rPr>
            <w:noProof/>
            <w:webHidden/>
          </w:rPr>
          <w:t>8</w:t>
        </w:r>
        <w:r>
          <w:rPr>
            <w:noProof/>
            <w:webHidden/>
          </w:rPr>
          <w:fldChar w:fldCharType="end"/>
        </w:r>
      </w:hyperlink>
    </w:p>
    <w:p w:rsidR="00292A31" w:rsidRDefault="00292A31">
      <w:pPr>
        <w:pStyle w:val="TOC1"/>
        <w:rPr>
          <w:rFonts w:eastAsiaTheme="minorEastAsia"/>
          <w:b w:val="0"/>
          <w:noProof/>
          <w:color w:val="auto"/>
          <w:lang w:eastAsia="en-AU"/>
        </w:rPr>
      </w:pPr>
      <w:hyperlink w:anchor="_Toc29289955" w:history="1">
        <w:r w:rsidRPr="00787E9D">
          <w:rPr>
            <w:rStyle w:val="Hyperlink"/>
            <w:noProof/>
          </w:rPr>
          <w:t>Part 1: Classification categories and standards for films and computer games</w:t>
        </w:r>
        <w:r>
          <w:rPr>
            <w:noProof/>
            <w:webHidden/>
          </w:rPr>
          <w:tab/>
        </w:r>
        <w:r>
          <w:rPr>
            <w:noProof/>
            <w:webHidden/>
          </w:rPr>
          <w:fldChar w:fldCharType="begin"/>
        </w:r>
        <w:r>
          <w:rPr>
            <w:noProof/>
            <w:webHidden/>
          </w:rPr>
          <w:instrText xml:space="preserve"> PAGEREF _Toc29289955 \h </w:instrText>
        </w:r>
        <w:r>
          <w:rPr>
            <w:noProof/>
            <w:webHidden/>
          </w:rPr>
        </w:r>
        <w:r>
          <w:rPr>
            <w:noProof/>
            <w:webHidden/>
          </w:rPr>
          <w:fldChar w:fldCharType="separate"/>
        </w:r>
        <w:r>
          <w:rPr>
            <w:noProof/>
            <w:webHidden/>
          </w:rPr>
          <w:t>8</w:t>
        </w:r>
        <w:r>
          <w:rPr>
            <w:noProof/>
            <w:webHidden/>
          </w:rPr>
          <w:fldChar w:fldCharType="end"/>
        </w:r>
      </w:hyperlink>
    </w:p>
    <w:p w:rsidR="00292A31" w:rsidRDefault="00292A31">
      <w:pPr>
        <w:pStyle w:val="TOC2"/>
        <w:rPr>
          <w:rFonts w:eastAsiaTheme="minorEastAsia"/>
          <w:noProof/>
          <w:lang w:eastAsia="en-AU"/>
        </w:rPr>
      </w:pPr>
      <w:hyperlink w:anchor="_Toc29289956" w:history="1">
        <w:r w:rsidRPr="00787E9D">
          <w:rPr>
            <w:rStyle w:val="Hyperlink"/>
            <w:noProof/>
          </w:rPr>
          <w:t>National Classification Scheme</w:t>
        </w:r>
        <w:r>
          <w:rPr>
            <w:noProof/>
            <w:webHidden/>
          </w:rPr>
          <w:tab/>
        </w:r>
        <w:r>
          <w:rPr>
            <w:noProof/>
            <w:webHidden/>
          </w:rPr>
          <w:fldChar w:fldCharType="begin"/>
        </w:r>
        <w:r>
          <w:rPr>
            <w:noProof/>
            <w:webHidden/>
          </w:rPr>
          <w:instrText xml:space="preserve"> PAGEREF _Toc29289956 \h </w:instrText>
        </w:r>
        <w:r>
          <w:rPr>
            <w:noProof/>
            <w:webHidden/>
          </w:rPr>
        </w:r>
        <w:r>
          <w:rPr>
            <w:noProof/>
            <w:webHidden/>
          </w:rPr>
          <w:fldChar w:fldCharType="separate"/>
        </w:r>
        <w:r>
          <w:rPr>
            <w:noProof/>
            <w:webHidden/>
          </w:rPr>
          <w:t>8</w:t>
        </w:r>
        <w:r>
          <w:rPr>
            <w:noProof/>
            <w:webHidden/>
          </w:rPr>
          <w:fldChar w:fldCharType="end"/>
        </w:r>
      </w:hyperlink>
    </w:p>
    <w:p w:rsidR="00292A31" w:rsidRDefault="00292A31">
      <w:pPr>
        <w:pStyle w:val="TOC2"/>
        <w:rPr>
          <w:rFonts w:eastAsiaTheme="minorEastAsia"/>
          <w:noProof/>
          <w:lang w:eastAsia="en-AU"/>
        </w:rPr>
      </w:pPr>
      <w:hyperlink w:anchor="_Toc29289957" w:history="1">
        <w:r w:rsidRPr="00787E9D">
          <w:rPr>
            <w:rStyle w:val="Hyperlink"/>
            <w:noProof/>
          </w:rPr>
          <w:t>Broadcasting codes of practice</w:t>
        </w:r>
        <w:r>
          <w:rPr>
            <w:noProof/>
            <w:webHidden/>
          </w:rPr>
          <w:tab/>
        </w:r>
        <w:r>
          <w:rPr>
            <w:noProof/>
            <w:webHidden/>
          </w:rPr>
          <w:fldChar w:fldCharType="begin"/>
        </w:r>
        <w:r>
          <w:rPr>
            <w:noProof/>
            <w:webHidden/>
          </w:rPr>
          <w:instrText xml:space="preserve"> PAGEREF _Toc29289957 \h </w:instrText>
        </w:r>
        <w:r>
          <w:rPr>
            <w:noProof/>
            <w:webHidden/>
          </w:rPr>
        </w:r>
        <w:r>
          <w:rPr>
            <w:noProof/>
            <w:webHidden/>
          </w:rPr>
          <w:fldChar w:fldCharType="separate"/>
        </w:r>
        <w:r>
          <w:rPr>
            <w:noProof/>
            <w:webHidden/>
          </w:rPr>
          <w:t>9</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58" w:history="1">
        <w:r w:rsidRPr="00787E9D">
          <w:rPr>
            <w:rStyle w:val="Hyperlink"/>
            <w:noProof/>
          </w:rPr>
          <w:t>1.</w:t>
        </w:r>
        <w:r>
          <w:rPr>
            <w:rFonts w:eastAsiaTheme="minorEastAsia"/>
            <w:noProof/>
            <w:lang w:eastAsia="en-AU"/>
          </w:rPr>
          <w:tab/>
        </w:r>
        <w:r w:rsidRPr="00787E9D">
          <w:rPr>
            <w:rStyle w:val="Hyperlink"/>
            <w:noProof/>
          </w:rPr>
          <w:t>Classification categories</w:t>
        </w:r>
        <w:r>
          <w:rPr>
            <w:noProof/>
            <w:webHidden/>
          </w:rPr>
          <w:tab/>
        </w:r>
        <w:r>
          <w:rPr>
            <w:noProof/>
            <w:webHidden/>
          </w:rPr>
          <w:fldChar w:fldCharType="begin"/>
        </w:r>
        <w:r>
          <w:rPr>
            <w:noProof/>
            <w:webHidden/>
          </w:rPr>
          <w:instrText xml:space="preserve"> PAGEREF _Toc29289958 \h </w:instrText>
        </w:r>
        <w:r>
          <w:rPr>
            <w:noProof/>
            <w:webHidden/>
          </w:rPr>
        </w:r>
        <w:r>
          <w:rPr>
            <w:noProof/>
            <w:webHidden/>
          </w:rPr>
          <w:fldChar w:fldCharType="separate"/>
        </w:r>
        <w:r>
          <w:rPr>
            <w:noProof/>
            <w:webHidden/>
          </w:rPr>
          <w:t>10</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59" w:history="1">
        <w:r w:rsidRPr="00787E9D">
          <w:rPr>
            <w:rStyle w:val="Hyperlink"/>
            <w:noProof/>
          </w:rPr>
          <w:t>2.</w:t>
        </w:r>
        <w:r>
          <w:rPr>
            <w:rFonts w:eastAsiaTheme="minorEastAsia"/>
            <w:noProof/>
            <w:lang w:eastAsia="en-AU"/>
          </w:rPr>
          <w:tab/>
        </w:r>
        <w:r w:rsidRPr="00787E9D">
          <w:rPr>
            <w:rStyle w:val="Hyperlink"/>
            <w:noProof/>
          </w:rPr>
          <w:t>Classifiable elements</w:t>
        </w:r>
        <w:r>
          <w:rPr>
            <w:noProof/>
            <w:webHidden/>
          </w:rPr>
          <w:tab/>
        </w:r>
        <w:r>
          <w:rPr>
            <w:noProof/>
            <w:webHidden/>
          </w:rPr>
          <w:fldChar w:fldCharType="begin"/>
        </w:r>
        <w:r>
          <w:rPr>
            <w:noProof/>
            <w:webHidden/>
          </w:rPr>
          <w:instrText xml:space="preserve"> PAGEREF _Toc29289959 \h </w:instrText>
        </w:r>
        <w:r>
          <w:rPr>
            <w:noProof/>
            <w:webHidden/>
          </w:rPr>
        </w:r>
        <w:r>
          <w:rPr>
            <w:noProof/>
            <w:webHidden/>
          </w:rPr>
          <w:fldChar w:fldCharType="separate"/>
        </w:r>
        <w:r>
          <w:rPr>
            <w:noProof/>
            <w:webHidden/>
          </w:rPr>
          <w:t>11</w:t>
        </w:r>
        <w:r>
          <w:rPr>
            <w:noProof/>
            <w:webHidden/>
          </w:rPr>
          <w:fldChar w:fldCharType="end"/>
        </w:r>
      </w:hyperlink>
    </w:p>
    <w:p w:rsidR="00292A31" w:rsidRDefault="00292A31">
      <w:pPr>
        <w:pStyle w:val="TOC3"/>
        <w:tabs>
          <w:tab w:val="left" w:pos="1540"/>
        </w:tabs>
        <w:rPr>
          <w:rFonts w:eastAsiaTheme="minorEastAsia"/>
          <w:noProof/>
          <w:lang w:eastAsia="en-AU"/>
        </w:rPr>
      </w:pPr>
      <w:hyperlink w:anchor="_Toc29289960" w:history="1">
        <w:r w:rsidRPr="00787E9D">
          <w:rPr>
            <w:rStyle w:val="Hyperlink"/>
            <w:noProof/>
          </w:rPr>
          <w:t>a)</w:t>
        </w:r>
        <w:r>
          <w:rPr>
            <w:rFonts w:eastAsiaTheme="minorEastAsia"/>
            <w:noProof/>
            <w:lang w:eastAsia="en-AU"/>
          </w:rPr>
          <w:tab/>
        </w:r>
        <w:r w:rsidRPr="00787E9D">
          <w:rPr>
            <w:rStyle w:val="Hyperlink"/>
            <w:noProof/>
          </w:rPr>
          <w:t>Themes</w:t>
        </w:r>
        <w:r>
          <w:rPr>
            <w:noProof/>
            <w:webHidden/>
          </w:rPr>
          <w:tab/>
        </w:r>
        <w:r>
          <w:rPr>
            <w:noProof/>
            <w:webHidden/>
          </w:rPr>
          <w:fldChar w:fldCharType="begin"/>
        </w:r>
        <w:r>
          <w:rPr>
            <w:noProof/>
            <w:webHidden/>
          </w:rPr>
          <w:instrText xml:space="preserve"> PAGEREF _Toc29289960 \h </w:instrText>
        </w:r>
        <w:r>
          <w:rPr>
            <w:noProof/>
            <w:webHidden/>
          </w:rPr>
        </w:r>
        <w:r>
          <w:rPr>
            <w:noProof/>
            <w:webHidden/>
          </w:rPr>
          <w:fldChar w:fldCharType="separate"/>
        </w:r>
        <w:r>
          <w:rPr>
            <w:noProof/>
            <w:webHidden/>
          </w:rPr>
          <w:t>11</w:t>
        </w:r>
        <w:r>
          <w:rPr>
            <w:noProof/>
            <w:webHidden/>
          </w:rPr>
          <w:fldChar w:fldCharType="end"/>
        </w:r>
      </w:hyperlink>
    </w:p>
    <w:p w:rsidR="00292A31" w:rsidRDefault="00292A31">
      <w:pPr>
        <w:pStyle w:val="TOC3"/>
        <w:tabs>
          <w:tab w:val="left" w:pos="1540"/>
        </w:tabs>
        <w:rPr>
          <w:rFonts w:eastAsiaTheme="minorEastAsia"/>
          <w:noProof/>
          <w:lang w:eastAsia="en-AU"/>
        </w:rPr>
      </w:pPr>
      <w:hyperlink w:anchor="_Toc29289961" w:history="1">
        <w:r w:rsidRPr="00787E9D">
          <w:rPr>
            <w:rStyle w:val="Hyperlink"/>
            <w:noProof/>
          </w:rPr>
          <w:t>b)</w:t>
        </w:r>
        <w:r>
          <w:rPr>
            <w:rFonts w:eastAsiaTheme="minorEastAsia"/>
            <w:noProof/>
            <w:lang w:eastAsia="en-AU"/>
          </w:rPr>
          <w:tab/>
        </w:r>
        <w:r w:rsidRPr="00787E9D">
          <w:rPr>
            <w:rStyle w:val="Hyperlink"/>
            <w:noProof/>
          </w:rPr>
          <w:t>Violence</w:t>
        </w:r>
        <w:r>
          <w:rPr>
            <w:noProof/>
            <w:webHidden/>
          </w:rPr>
          <w:tab/>
        </w:r>
        <w:r>
          <w:rPr>
            <w:noProof/>
            <w:webHidden/>
          </w:rPr>
          <w:fldChar w:fldCharType="begin"/>
        </w:r>
        <w:r>
          <w:rPr>
            <w:noProof/>
            <w:webHidden/>
          </w:rPr>
          <w:instrText xml:space="preserve"> PAGEREF _Toc29289961 \h </w:instrText>
        </w:r>
        <w:r>
          <w:rPr>
            <w:noProof/>
            <w:webHidden/>
          </w:rPr>
        </w:r>
        <w:r>
          <w:rPr>
            <w:noProof/>
            <w:webHidden/>
          </w:rPr>
          <w:fldChar w:fldCharType="separate"/>
        </w:r>
        <w:r>
          <w:rPr>
            <w:noProof/>
            <w:webHidden/>
          </w:rPr>
          <w:t>11</w:t>
        </w:r>
        <w:r>
          <w:rPr>
            <w:noProof/>
            <w:webHidden/>
          </w:rPr>
          <w:fldChar w:fldCharType="end"/>
        </w:r>
      </w:hyperlink>
    </w:p>
    <w:p w:rsidR="00292A31" w:rsidRDefault="00292A31">
      <w:pPr>
        <w:pStyle w:val="TOC3"/>
        <w:tabs>
          <w:tab w:val="left" w:pos="1540"/>
        </w:tabs>
        <w:rPr>
          <w:rFonts w:eastAsiaTheme="minorEastAsia"/>
          <w:noProof/>
          <w:lang w:eastAsia="en-AU"/>
        </w:rPr>
      </w:pPr>
      <w:hyperlink w:anchor="_Toc29289962" w:history="1">
        <w:r w:rsidRPr="00787E9D">
          <w:rPr>
            <w:rStyle w:val="Hyperlink"/>
            <w:noProof/>
          </w:rPr>
          <w:t>c)</w:t>
        </w:r>
        <w:r>
          <w:rPr>
            <w:rFonts w:eastAsiaTheme="minorEastAsia"/>
            <w:noProof/>
            <w:lang w:eastAsia="en-AU"/>
          </w:rPr>
          <w:tab/>
        </w:r>
        <w:r w:rsidRPr="00787E9D">
          <w:rPr>
            <w:rStyle w:val="Hyperlink"/>
            <w:noProof/>
          </w:rPr>
          <w:t>Sex</w:t>
        </w:r>
        <w:r>
          <w:rPr>
            <w:noProof/>
            <w:webHidden/>
          </w:rPr>
          <w:tab/>
        </w:r>
        <w:r>
          <w:rPr>
            <w:noProof/>
            <w:webHidden/>
          </w:rPr>
          <w:fldChar w:fldCharType="begin"/>
        </w:r>
        <w:r>
          <w:rPr>
            <w:noProof/>
            <w:webHidden/>
          </w:rPr>
          <w:instrText xml:space="preserve"> PAGEREF _Toc29289962 \h </w:instrText>
        </w:r>
        <w:r>
          <w:rPr>
            <w:noProof/>
            <w:webHidden/>
          </w:rPr>
        </w:r>
        <w:r>
          <w:rPr>
            <w:noProof/>
            <w:webHidden/>
          </w:rPr>
          <w:fldChar w:fldCharType="separate"/>
        </w:r>
        <w:r>
          <w:rPr>
            <w:noProof/>
            <w:webHidden/>
          </w:rPr>
          <w:t>11</w:t>
        </w:r>
        <w:r>
          <w:rPr>
            <w:noProof/>
            <w:webHidden/>
          </w:rPr>
          <w:fldChar w:fldCharType="end"/>
        </w:r>
      </w:hyperlink>
    </w:p>
    <w:p w:rsidR="00292A31" w:rsidRDefault="00292A31">
      <w:pPr>
        <w:pStyle w:val="TOC3"/>
        <w:tabs>
          <w:tab w:val="left" w:pos="1540"/>
        </w:tabs>
        <w:rPr>
          <w:rFonts w:eastAsiaTheme="minorEastAsia"/>
          <w:noProof/>
          <w:lang w:eastAsia="en-AU"/>
        </w:rPr>
      </w:pPr>
      <w:hyperlink w:anchor="_Toc29289963" w:history="1">
        <w:r w:rsidRPr="00787E9D">
          <w:rPr>
            <w:rStyle w:val="Hyperlink"/>
            <w:noProof/>
          </w:rPr>
          <w:t>d)</w:t>
        </w:r>
        <w:r>
          <w:rPr>
            <w:rFonts w:eastAsiaTheme="minorEastAsia"/>
            <w:noProof/>
            <w:lang w:eastAsia="en-AU"/>
          </w:rPr>
          <w:tab/>
        </w:r>
        <w:r w:rsidRPr="00787E9D">
          <w:rPr>
            <w:rStyle w:val="Hyperlink"/>
            <w:noProof/>
          </w:rPr>
          <w:t>Language</w:t>
        </w:r>
        <w:r>
          <w:rPr>
            <w:noProof/>
            <w:webHidden/>
          </w:rPr>
          <w:tab/>
        </w:r>
        <w:r>
          <w:rPr>
            <w:noProof/>
            <w:webHidden/>
          </w:rPr>
          <w:fldChar w:fldCharType="begin"/>
        </w:r>
        <w:r>
          <w:rPr>
            <w:noProof/>
            <w:webHidden/>
          </w:rPr>
          <w:instrText xml:space="preserve"> PAGEREF _Toc29289963 \h </w:instrText>
        </w:r>
        <w:r>
          <w:rPr>
            <w:noProof/>
            <w:webHidden/>
          </w:rPr>
        </w:r>
        <w:r>
          <w:rPr>
            <w:noProof/>
            <w:webHidden/>
          </w:rPr>
          <w:fldChar w:fldCharType="separate"/>
        </w:r>
        <w:r>
          <w:rPr>
            <w:noProof/>
            <w:webHidden/>
          </w:rPr>
          <w:t>12</w:t>
        </w:r>
        <w:r>
          <w:rPr>
            <w:noProof/>
            <w:webHidden/>
          </w:rPr>
          <w:fldChar w:fldCharType="end"/>
        </w:r>
      </w:hyperlink>
    </w:p>
    <w:p w:rsidR="00292A31" w:rsidRDefault="00292A31">
      <w:pPr>
        <w:pStyle w:val="TOC3"/>
        <w:tabs>
          <w:tab w:val="left" w:pos="1540"/>
        </w:tabs>
        <w:rPr>
          <w:rFonts w:eastAsiaTheme="minorEastAsia"/>
          <w:noProof/>
          <w:lang w:eastAsia="en-AU"/>
        </w:rPr>
      </w:pPr>
      <w:hyperlink w:anchor="_Toc29289964" w:history="1">
        <w:r w:rsidRPr="00787E9D">
          <w:rPr>
            <w:rStyle w:val="Hyperlink"/>
            <w:noProof/>
          </w:rPr>
          <w:t>e)</w:t>
        </w:r>
        <w:r>
          <w:rPr>
            <w:rFonts w:eastAsiaTheme="minorEastAsia"/>
            <w:noProof/>
            <w:lang w:eastAsia="en-AU"/>
          </w:rPr>
          <w:tab/>
        </w:r>
        <w:r w:rsidRPr="00787E9D">
          <w:rPr>
            <w:rStyle w:val="Hyperlink"/>
            <w:noProof/>
          </w:rPr>
          <w:t>Drug use</w:t>
        </w:r>
        <w:r>
          <w:rPr>
            <w:noProof/>
            <w:webHidden/>
          </w:rPr>
          <w:tab/>
        </w:r>
        <w:r>
          <w:rPr>
            <w:noProof/>
            <w:webHidden/>
          </w:rPr>
          <w:fldChar w:fldCharType="begin"/>
        </w:r>
        <w:r>
          <w:rPr>
            <w:noProof/>
            <w:webHidden/>
          </w:rPr>
          <w:instrText xml:space="preserve"> PAGEREF _Toc29289964 \h </w:instrText>
        </w:r>
        <w:r>
          <w:rPr>
            <w:noProof/>
            <w:webHidden/>
          </w:rPr>
        </w:r>
        <w:r>
          <w:rPr>
            <w:noProof/>
            <w:webHidden/>
          </w:rPr>
          <w:fldChar w:fldCharType="separate"/>
        </w:r>
        <w:r>
          <w:rPr>
            <w:noProof/>
            <w:webHidden/>
          </w:rPr>
          <w:t>12</w:t>
        </w:r>
        <w:r>
          <w:rPr>
            <w:noProof/>
            <w:webHidden/>
          </w:rPr>
          <w:fldChar w:fldCharType="end"/>
        </w:r>
      </w:hyperlink>
    </w:p>
    <w:p w:rsidR="00292A31" w:rsidRDefault="00292A31">
      <w:pPr>
        <w:pStyle w:val="TOC3"/>
        <w:tabs>
          <w:tab w:val="left" w:pos="1540"/>
        </w:tabs>
        <w:rPr>
          <w:rFonts w:eastAsiaTheme="minorEastAsia"/>
          <w:noProof/>
          <w:lang w:eastAsia="en-AU"/>
        </w:rPr>
      </w:pPr>
      <w:hyperlink w:anchor="_Toc29289965" w:history="1">
        <w:r w:rsidRPr="00787E9D">
          <w:rPr>
            <w:rStyle w:val="Hyperlink"/>
            <w:noProof/>
          </w:rPr>
          <w:t>f)</w:t>
        </w:r>
        <w:r>
          <w:rPr>
            <w:rFonts w:eastAsiaTheme="minorEastAsia"/>
            <w:noProof/>
            <w:lang w:eastAsia="en-AU"/>
          </w:rPr>
          <w:tab/>
        </w:r>
        <w:r w:rsidRPr="00787E9D">
          <w:rPr>
            <w:rStyle w:val="Hyperlink"/>
            <w:noProof/>
          </w:rPr>
          <w:t>Nudity</w:t>
        </w:r>
        <w:r>
          <w:rPr>
            <w:noProof/>
            <w:webHidden/>
          </w:rPr>
          <w:tab/>
        </w:r>
        <w:r>
          <w:rPr>
            <w:noProof/>
            <w:webHidden/>
          </w:rPr>
          <w:fldChar w:fldCharType="begin"/>
        </w:r>
        <w:r>
          <w:rPr>
            <w:noProof/>
            <w:webHidden/>
          </w:rPr>
          <w:instrText xml:space="preserve"> PAGEREF _Toc29289965 \h </w:instrText>
        </w:r>
        <w:r>
          <w:rPr>
            <w:noProof/>
            <w:webHidden/>
          </w:rPr>
        </w:r>
        <w:r>
          <w:rPr>
            <w:noProof/>
            <w:webHidden/>
          </w:rPr>
          <w:fldChar w:fldCharType="separate"/>
        </w:r>
        <w:r>
          <w:rPr>
            <w:noProof/>
            <w:webHidden/>
          </w:rPr>
          <w:t>12</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66" w:history="1">
        <w:r w:rsidRPr="00787E9D">
          <w:rPr>
            <w:rStyle w:val="Hyperlink"/>
            <w:noProof/>
          </w:rPr>
          <w:t>3.</w:t>
        </w:r>
        <w:r>
          <w:rPr>
            <w:rFonts w:eastAsiaTheme="minorEastAsia"/>
            <w:noProof/>
            <w:lang w:eastAsia="en-AU"/>
          </w:rPr>
          <w:tab/>
        </w:r>
        <w:r w:rsidRPr="00787E9D">
          <w:rPr>
            <w:rStyle w:val="Hyperlink"/>
            <w:noProof/>
          </w:rPr>
          <w:t>Other comments</w:t>
        </w:r>
        <w:r>
          <w:rPr>
            <w:noProof/>
            <w:webHidden/>
          </w:rPr>
          <w:tab/>
        </w:r>
        <w:r>
          <w:rPr>
            <w:noProof/>
            <w:webHidden/>
          </w:rPr>
          <w:fldChar w:fldCharType="begin"/>
        </w:r>
        <w:r>
          <w:rPr>
            <w:noProof/>
            <w:webHidden/>
          </w:rPr>
          <w:instrText xml:space="preserve"> PAGEREF _Toc29289966 \h </w:instrText>
        </w:r>
        <w:r>
          <w:rPr>
            <w:noProof/>
            <w:webHidden/>
          </w:rPr>
        </w:r>
        <w:r>
          <w:rPr>
            <w:noProof/>
            <w:webHidden/>
          </w:rPr>
          <w:fldChar w:fldCharType="separate"/>
        </w:r>
        <w:r>
          <w:rPr>
            <w:noProof/>
            <w:webHidden/>
          </w:rPr>
          <w:t>12</w:t>
        </w:r>
        <w:r>
          <w:rPr>
            <w:noProof/>
            <w:webHidden/>
          </w:rPr>
          <w:fldChar w:fldCharType="end"/>
        </w:r>
      </w:hyperlink>
    </w:p>
    <w:p w:rsidR="00292A31" w:rsidRDefault="00292A31">
      <w:pPr>
        <w:pStyle w:val="TOC1"/>
        <w:rPr>
          <w:rFonts w:eastAsiaTheme="minorEastAsia"/>
          <w:b w:val="0"/>
          <w:noProof/>
          <w:color w:val="auto"/>
          <w:lang w:eastAsia="en-AU"/>
        </w:rPr>
      </w:pPr>
      <w:hyperlink w:anchor="_Toc29289967" w:history="1">
        <w:r w:rsidRPr="00787E9D">
          <w:rPr>
            <w:rStyle w:val="Hyperlink"/>
            <w:noProof/>
          </w:rPr>
          <w:t>Part 2: Modernising classification legislation</w:t>
        </w:r>
        <w:r>
          <w:rPr>
            <w:noProof/>
            <w:webHidden/>
          </w:rPr>
          <w:tab/>
        </w:r>
        <w:r>
          <w:rPr>
            <w:noProof/>
            <w:webHidden/>
          </w:rPr>
          <w:fldChar w:fldCharType="begin"/>
        </w:r>
        <w:r>
          <w:rPr>
            <w:noProof/>
            <w:webHidden/>
          </w:rPr>
          <w:instrText xml:space="preserve"> PAGEREF _Toc29289967 \h </w:instrText>
        </w:r>
        <w:r>
          <w:rPr>
            <w:noProof/>
            <w:webHidden/>
          </w:rPr>
        </w:r>
        <w:r>
          <w:rPr>
            <w:noProof/>
            <w:webHidden/>
          </w:rPr>
          <w:fldChar w:fldCharType="separate"/>
        </w:r>
        <w:r>
          <w:rPr>
            <w:noProof/>
            <w:webHidden/>
          </w:rPr>
          <w:t>13</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68" w:history="1">
        <w:r w:rsidRPr="00787E9D">
          <w:rPr>
            <w:rStyle w:val="Hyperlink"/>
            <w:noProof/>
          </w:rPr>
          <w:t>4.</w:t>
        </w:r>
        <w:r>
          <w:rPr>
            <w:rFonts w:eastAsiaTheme="minorEastAsia"/>
            <w:noProof/>
            <w:lang w:eastAsia="en-AU"/>
          </w:rPr>
          <w:tab/>
        </w:r>
        <w:r w:rsidRPr="00787E9D">
          <w:rPr>
            <w:rStyle w:val="Hyperlink"/>
            <w:noProof/>
          </w:rPr>
          <w:t>Content to be classified</w:t>
        </w:r>
        <w:r>
          <w:rPr>
            <w:noProof/>
            <w:webHidden/>
          </w:rPr>
          <w:tab/>
        </w:r>
        <w:r>
          <w:rPr>
            <w:noProof/>
            <w:webHidden/>
          </w:rPr>
          <w:fldChar w:fldCharType="begin"/>
        </w:r>
        <w:r>
          <w:rPr>
            <w:noProof/>
            <w:webHidden/>
          </w:rPr>
          <w:instrText xml:space="preserve"> PAGEREF _Toc29289968 \h </w:instrText>
        </w:r>
        <w:r>
          <w:rPr>
            <w:noProof/>
            <w:webHidden/>
          </w:rPr>
        </w:r>
        <w:r>
          <w:rPr>
            <w:noProof/>
            <w:webHidden/>
          </w:rPr>
          <w:fldChar w:fldCharType="separate"/>
        </w:r>
        <w:r>
          <w:rPr>
            <w:noProof/>
            <w:webHidden/>
          </w:rPr>
          <w:t>13</w:t>
        </w:r>
        <w:r>
          <w:rPr>
            <w:noProof/>
            <w:webHidden/>
          </w:rPr>
          <w:fldChar w:fldCharType="end"/>
        </w:r>
      </w:hyperlink>
    </w:p>
    <w:p w:rsidR="00292A31" w:rsidRDefault="00292A31">
      <w:pPr>
        <w:pStyle w:val="TOC3"/>
        <w:rPr>
          <w:rFonts w:eastAsiaTheme="minorEastAsia"/>
          <w:noProof/>
          <w:lang w:eastAsia="en-AU"/>
        </w:rPr>
      </w:pPr>
      <w:hyperlink w:anchor="_Toc29289969" w:history="1">
        <w:r w:rsidRPr="00787E9D">
          <w:rPr>
            <w:rStyle w:val="Hyperlink"/>
            <w:noProof/>
          </w:rPr>
          <w:t>Films</w:t>
        </w:r>
        <w:r>
          <w:rPr>
            <w:noProof/>
            <w:webHidden/>
          </w:rPr>
          <w:tab/>
        </w:r>
        <w:r>
          <w:rPr>
            <w:noProof/>
            <w:webHidden/>
          </w:rPr>
          <w:fldChar w:fldCharType="begin"/>
        </w:r>
        <w:r>
          <w:rPr>
            <w:noProof/>
            <w:webHidden/>
          </w:rPr>
          <w:instrText xml:space="preserve"> PAGEREF _Toc29289969 \h </w:instrText>
        </w:r>
        <w:r>
          <w:rPr>
            <w:noProof/>
            <w:webHidden/>
          </w:rPr>
        </w:r>
        <w:r>
          <w:rPr>
            <w:noProof/>
            <w:webHidden/>
          </w:rPr>
          <w:fldChar w:fldCharType="separate"/>
        </w:r>
        <w:r>
          <w:rPr>
            <w:noProof/>
            <w:webHidden/>
          </w:rPr>
          <w:t>13</w:t>
        </w:r>
        <w:r>
          <w:rPr>
            <w:noProof/>
            <w:webHidden/>
          </w:rPr>
          <w:fldChar w:fldCharType="end"/>
        </w:r>
      </w:hyperlink>
    </w:p>
    <w:p w:rsidR="00292A31" w:rsidRDefault="00292A31">
      <w:pPr>
        <w:pStyle w:val="TOC3"/>
        <w:rPr>
          <w:rFonts w:eastAsiaTheme="minorEastAsia"/>
          <w:noProof/>
          <w:lang w:eastAsia="en-AU"/>
        </w:rPr>
      </w:pPr>
      <w:hyperlink w:anchor="_Toc29289970" w:history="1">
        <w:r w:rsidRPr="00787E9D">
          <w:rPr>
            <w:rStyle w:val="Hyperlink"/>
            <w:noProof/>
          </w:rPr>
          <w:t>Computer games</w:t>
        </w:r>
        <w:r>
          <w:rPr>
            <w:noProof/>
            <w:webHidden/>
          </w:rPr>
          <w:tab/>
        </w:r>
        <w:r>
          <w:rPr>
            <w:noProof/>
            <w:webHidden/>
          </w:rPr>
          <w:fldChar w:fldCharType="begin"/>
        </w:r>
        <w:r>
          <w:rPr>
            <w:noProof/>
            <w:webHidden/>
          </w:rPr>
          <w:instrText xml:space="preserve"> PAGEREF _Toc29289970 \h </w:instrText>
        </w:r>
        <w:r>
          <w:rPr>
            <w:noProof/>
            <w:webHidden/>
          </w:rPr>
        </w:r>
        <w:r>
          <w:rPr>
            <w:noProof/>
            <w:webHidden/>
          </w:rPr>
          <w:fldChar w:fldCharType="separate"/>
        </w:r>
        <w:r>
          <w:rPr>
            <w:noProof/>
            <w:webHidden/>
          </w:rPr>
          <w:t>14</w:t>
        </w:r>
        <w:r>
          <w:rPr>
            <w:noProof/>
            <w:webHidden/>
          </w:rPr>
          <w:fldChar w:fldCharType="end"/>
        </w:r>
      </w:hyperlink>
    </w:p>
    <w:p w:rsidR="00292A31" w:rsidRDefault="00292A31">
      <w:pPr>
        <w:pStyle w:val="TOC3"/>
        <w:rPr>
          <w:rFonts w:eastAsiaTheme="minorEastAsia"/>
          <w:noProof/>
          <w:lang w:eastAsia="en-AU"/>
        </w:rPr>
      </w:pPr>
      <w:hyperlink w:anchor="_Toc29289971" w:history="1">
        <w:r w:rsidRPr="00787E9D">
          <w:rPr>
            <w:rStyle w:val="Hyperlink"/>
            <w:noProof/>
          </w:rPr>
          <w:t>Certain publications to be restricted to adults</w:t>
        </w:r>
        <w:r>
          <w:rPr>
            <w:noProof/>
            <w:webHidden/>
          </w:rPr>
          <w:tab/>
        </w:r>
        <w:r>
          <w:rPr>
            <w:noProof/>
            <w:webHidden/>
          </w:rPr>
          <w:fldChar w:fldCharType="begin"/>
        </w:r>
        <w:r>
          <w:rPr>
            <w:noProof/>
            <w:webHidden/>
          </w:rPr>
          <w:instrText xml:space="preserve"> PAGEREF _Toc29289971 \h </w:instrText>
        </w:r>
        <w:r>
          <w:rPr>
            <w:noProof/>
            <w:webHidden/>
          </w:rPr>
        </w:r>
        <w:r>
          <w:rPr>
            <w:noProof/>
            <w:webHidden/>
          </w:rPr>
          <w:fldChar w:fldCharType="separate"/>
        </w:r>
        <w:r>
          <w:rPr>
            <w:noProof/>
            <w:webHidden/>
          </w:rPr>
          <w:t>14</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72" w:history="1">
        <w:r w:rsidRPr="00787E9D">
          <w:rPr>
            <w:rStyle w:val="Hyperlink"/>
            <w:noProof/>
          </w:rPr>
          <w:t>5.</w:t>
        </w:r>
        <w:r>
          <w:rPr>
            <w:rFonts w:eastAsiaTheme="minorEastAsia"/>
            <w:noProof/>
            <w:lang w:eastAsia="en-AU"/>
          </w:rPr>
          <w:tab/>
        </w:r>
        <w:r w:rsidRPr="00787E9D">
          <w:rPr>
            <w:rStyle w:val="Hyperlink"/>
            <w:noProof/>
          </w:rPr>
          <w:t>Applying the same classification standards across delivery formats</w:t>
        </w:r>
        <w:r>
          <w:rPr>
            <w:noProof/>
            <w:webHidden/>
          </w:rPr>
          <w:tab/>
        </w:r>
        <w:r>
          <w:rPr>
            <w:noProof/>
            <w:webHidden/>
          </w:rPr>
          <w:fldChar w:fldCharType="begin"/>
        </w:r>
        <w:r>
          <w:rPr>
            <w:noProof/>
            <w:webHidden/>
          </w:rPr>
          <w:instrText xml:space="preserve"> PAGEREF _Toc29289972 \h </w:instrText>
        </w:r>
        <w:r>
          <w:rPr>
            <w:noProof/>
            <w:webHidden/>
          </w:rPr>
        </w:r>
        <w:r>
          <w:rPr>
            <w:noProof/>
            <w:webHidden/>
          </w:rPr>
          <w:fldChar w:fldCharType="separate"/>
        </w:r>
        <w:r>
          <w:rPr>
            <w:noProof/>
            <w:webHidden/>
          </w:rPr>
          <w:t>14</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73" w:history="1">
        <w:r w:rsidRPr="00787E9D">
          <w:rPr>
            <w:rStyle w:val="Hyperlink"/>
            <w:noProof/>
          </w:rPr>
          <w:t>6.</w:t>
        </w:r>
        <w:r>
          <w:rPr>
            <w:rFonts w:eastAsiaTheme="minorEastAsia"/>
            <w:noProof/>
            <w:lang w:eastAsia="en-AU"/>
          </w:rPr>
          <w:tab/>
        </w:r>
        <w:r w:rsidRPr="00787E9D">
          <w:rPr>
            <w:rStyle w:val="Hyperlink"/>
            <w:noProof/>
          </w:rPr>
          <w:t>Classification processes</w:t>
        </w:r>
        <w:r>
          <w:rPr>
            <w:noProof/>
            <w:webHidden/>
          </w:rPr>
          <w:tab/>
        </w:r>
        <w:r>
          <w:rPr>
            <w:noProof/>
            <w:webHidden/>
          </w:rPr>
          <w:fldChar w:fldCharType="begin"/>
        </w:r>
        <w:r>
          <w:rPr>
            <w:noProof/>
            <w:webHidden/>
          </w:rPr>
          <w:instrText xml:space="preserve"> PAGEREF _Toc29289973 \h </w:instrText>
        </w:r>
        <w:r>
          <w:rPr>
            <w:noProof/>
            <w:webHidden/>
          </w:rPr>
        </w:r>
        <w:r>
          <w:rPr>
            <w:noProof/>
            <w:webHidden/>
          </w:rPr>
          <w:fldChar w:fldCharType="separate"/>
        </w:r>
        <w:r>
          <w:rPr>
            <w:noProof/>
            <w:webHidden/>
          </w:rPr>
          <w:t>15</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74" w:history="1">
        <w:r w:rsidRPr="00787E9D">
          <w:rPr>
            <w:rStyle w:val="Hyperlink"/>
            <w:noProof/>
          </w:rPr>
          <w:t>7.</w:t>
        </w:r>
        <w:r>
          <w:rPr>
            <w:rFonts w:eastAsiaTheme="minorEastAsia"/>
            <w:noProof/>
            <w:lang w:eastAsia="en-AU"/>
          </w:rPr>
          <w:tab/>
        </w:r>
        <w:r w:rsidRPr="00787E9D">
          <w:rPr>
            <w:rStyle w:val="Hyperlink"/>
            <w:noProof/>
          </w:rPr>
          <w:t>Reviews of classification decisions</w:t>
        </w:r>
        <w:r>
          <w:rPr>
            <w:noProof/>
            <w:webHidden/>
          </w:rPr>
          <w:tab/>
        </w:r>
        <w:r>
          <w:rPr>
            <w:noProof/>
            <w:webHidden/>
          </w:rPr>
          <w:fldChar w:fldCharType="begin"/>
        </w:r>
        <w:r>
          <w:rPr>
            <w:noProof/>
            <w:webHidden/>
          </w:rPr>
          <w:instrText xml:space="preserve"> PAGEREF _Toc29289974 \h </w:instrText>
        </w:r>
        <w:r>
          <w:rPr>
            <w:noProof/>
            <w:webHidden/>
          </w:rPr>
        </w:r>
        <w:r>
          <w:rPr>
            <w:noProof/>
            <w:webHidden/>
          </w:rPr>
          <w:fldChar w:fldCharType="separate"/>
        </w:r>
        <w:r>
          <w:rPr>
            <w:noProof/>
            <w:webHidden/>
          </w:rPr>
          <w:t>16</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75" w:history="1">
        <w:r w:rsidRPr="00787E9D">
          <w:rPr>
            <w:rStyle w:val="Hyperlink"/>
            <w:noProof/>
          </w:rPr>
          <w:t>8.</w:t>
        </w:r>
        <w:r>
          <w:rPr>
            <w:rFonts w:eastAsiaTheme="minorEastAsia"/>
            <w:noProof/>
            <w:lang w:eastAsia="en-AU"/>
          </w:rPr>
          <w:tab/>
        </w:r>
        <w:r w:rsidRPr="00787E9D">
          <w:rPr>
            <w:rStyle w:val="Hyperlink"/>
            <w:noProof/>
          </w:rPr>
          <w:t>Classification governance</w:t>
        </w:r>
        <w:r>
          <w:rPr>
            <w:noProof/>
            <w:webHidden/>
          </w:rPr>
          <w:tab/>
        </w:r>
        <w:r>
          <w:rPr>
            <w:noProof/>
            <w:webHidden/>
          </w:rPr>
          <w:fldChar w:fldCharType="begin"/>
        </w:r>
        <w:r>
          <w:rPr>
            <w:noProof/>
            <w:webHidden/>
          </w:rPr>
          <w:instrText xml:space="preserve"> PAGEREF _Toc29289975 \h </w:instrText>
        </w:r>
        <w:r>
          <w:rPr>
            <w:noProof/>
            <w:webHidden/>
          </w:rPr>
        </w:r>
        <w:r>
          <w:rPr>
            <w:noProof/>
            <w:webHidden/>
          </w:rPr>
          <w:fldChar w:fldCharType="separate"/>
        </w:r>
        <w:r>
          <w:rPr>
            <w:noProof/>
            <w:webHidden/>
          </w:rPr>
          <w:t>17</w:t>
        </w:r>
        <w:r>
          <w:rPr>
            <w:noProof/>
            <w:webHidden/>
          </w:rPr>
          <w:fldChar w:fldCharType="end"/>
        </w:r>
      </w:hyperlink>
    </w:p>
    <w:p w:rsidR="00292A31" w:rsidRDefault="00292A31">
      <w:pPr>
        <w:pStyle w:val="TOC2"/>
        <w:tabs>
          <w:tab w:val="left" w:pos="1418"/>
        </w:tabs>
        <w:rPr>
          <w:rFonts w:eastAsiaTheme="minorEastAsia"/>
          <w:noProof/>
          <w:lang w:eastAsia="en-AU"/>
        </w:rPr>
      </w:pPr>
      <w:hyperlink w:anchor="_Toc29289976" w:history="1">
        <w:r w:rsidRPr="00787E9D">
          <w:rPr>
            <w:rStyle w:val="Hyperlink"/>
            <w:noProof/>
          </w:rPr>
          <w:t>9.</w:t>
        </w:r>
        <w:r>
          <w:rPr>
            <w:rFonts w:eastAsiaTheme="minorEastAsia"/>
            <w:noProof/>
            <w:lang w:eastAsia="en-AU"/>
          </w:rPr>
          <w:tab/>
        </w:r>
        <w:r w:rsidRPr="00787E9D">
          <w:rPr>
            <w:rStyle w:val="Hyperlink"/>
            <w:noProof/>
          </w:rPr>
          <w:t>Other comments</w:t>
        </w:r>
        <w:r>
          <w:rPr>
            <w:noProof/>
            <w:webHidden/>
          </w:rPr>
          <w:tab/>
        </w:r>
        <w:r>
          <w:rPr>
            <w:noProof/>
            <w:webHidden/>
          </w:rPr>
          <w:fldChar w:fldCharType="begin"/>
        </w:r>
        <w:r>
          <w:rPr>
            <w:noProof/>
            <w:webHidden/>
          </w:rPr>
          <w:instrText xml:space="preserve"> PAGEREF _Toc29289976 \h </w:instrText>
        </w:r>
        <w:r>
          <w:rPr>
            <w:noProof/>
            <w:webHidden/>
          </w:rPr>
        </w:r>
        <w:r>
          <w:rPr>
            <w:noProof/>
            <w:webHidden/>
          </w:rPr>
          <w:fldChar w:fldCharType="separate"/>
        </w:r>
        <w:r>
          <w:rPr>
            <w:noProof/>
            <w:webHidden/>
          </w:rPr>
          <w:t>18</w:t>
        </w:r>
        <w:r>
          <w:rPr>
            <w:noProof/>
            <w:webHidden/>
          </w:rPr>
          <w:fldChar w:fldCharType="end"/>
        </w:r>
      </w:hyperlink>
    </w:p>
    <w:p w:rsidR="00292A31" w:rsidRDefault="00292A31">
      <w:pPr>
        <w:pStyle w:val="TOC1"/>
        <w:rPr>
          <w:rFonts w:eastAsiaTheme="minorEastAsia"/>
          <w:b w:val="0"/>
          <w:noProof/>
          <w:color w:val="auto"/>
          <w:lang w:eastAsia="en-AU"/>
        </w:rPr>
      </w:pPr>
      <w:hyperlink w:anchor="_Toc29289977" w:history="1">
        <w:r w:rsidRPr="00787E9D">
          <w:rPr>
            <w:rStyle w:val="Hyperlink"/>
            <w:noProof/>
          </w:rPr>
          <w:t>Appendix 1 – Current legislation</w:t>
        </w:r>
        <w:r>
          <w:rPr>
            <w:noProof/>
            <w:webHidden/>
          </w:rPr>
          <w:tab/>
        </w:r>
        <w:r>
          <w:rPr>
            <w:noProof/>
            <w:webHidden/>
          </w:rPr>
          <w:fldChar w:fldCharType="begin"/>
        </w:r>
        <w:r>
          <w:rPr>
            <w:noProof/>
            <w:webHidden/>
          </w:rPr>
          <w:instrText xml:space="preserve"> PAGEREF _Toc29289977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2"/>
        <w:rPr>
          <w:rFonts w:eastAsiaTheme="minorEastAsia"/>
          <w:noProof/>
          <w:lang w:eastAsia="en-AU"/>
        </w:rPr>
      </w:pPr>
      <w:hyperlink w:anchor="_Toc29289978" w:history="1">
        <w:r w:rsidRPr="00787E9D">
          <w:rPr>
            <w:rStyle w:val="Hyperlink"/>
            <w:noProof/>
          </w:rPr>
          <w:t>The National Classification Code</w:t>
        </w:r>
        <w:r>
          <w:rPr>
            <w:noProof/>
            <w:webHidden/>
          </w:rPr>
          <w:tab/>
        </w:r>
        <w:r>
          <w:rPr>
            <w:noProof/>
            <w:webHidden/>
          </w:rPr>
          <w:fldChar w:fldCharType="begin"/>
        </w:r>
        <w:r>
          <w:rPr>
            <w:noProof/>
            <w:webHidden/>
          </w:rPr>
          <w:instrText xml:space="preserve"> PAGEREF _Toc29289978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2"/>
        <w:rPr>
          <w:rFonts w:eastAsiaTheme="minorEastAsia"/>
          <w:noProof/>
          <w:lang w:eastAsia="en-AU"/>
        </w:rPr>
      </w:pPr>
      <w:hyperlink w:anchor="_Toc29289979" w:history="1">
        <w:r w:rsidRPr="00787E9D">
          <w:rPr>
            <w:rStyle w:val="Hyperlink"/>
            <w:noProof/>
          </w:rPr>
          <w:t>Guidelines for the Classification of Films</w:t>
        </w:r>
        <w:r>
          <w:rPr>
            <w:noProof/>
            <w:webHidden/>
          </w:rPr>
          <w:tab/>
        </w:r>
        <w:r>
          <w:rPr>
            <w:noProof/>
            <w:webHidden/>
          </w:rPr>
          <w:fldChar w:fldCharType="begin"/>
        </w:r>
        <w:r>
          <w:rPr>
            <w:noProof/>
            <w:webHidden/>
          </w:rPr>
          <w:instrText xml:space="preserve"> PAGEREF _Toc29289979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2"/>
        <w:rPr>
          <w:rFonts w:eastAsiaTheme="minorEastAsia"/>
          <w:noProof/>
          <w:lang w:eastAsia="en-AU"/>
        </w:rPr>
      </w:pPr>
      <w:hyperlink w:anchor="_Toc29289980" w:history="1">
        <w:r w:rsidRPr="00787E9D">
          <w:rPr>
            <w:rStyle w:val="Hyperlink"/>
            <w:noProof/>
          </w:rPr>
          <w:t>Guidelines for the Classification of Computer Games</w:t>
        </w:r>
        <w:r>
          <w:rPr>
            <w:noProof/>
            <w:webHidden/>
          </w:rPr>
          <w:tab/>
        </w:r>
        <w:r>
          <w:rPr>
            <w:noProof/>
            <w:webHidden/>
          </w:rPr>
          <w:fldChar w:fldCharType="begin"/>
        </w:r>
        <w:r>
          <w:rPr>
            <w:noProof/>
            <w:webHidden/>
          </w:rPr>
          <w:instrText xml:space="preserve"> PAGEREF _Toc29289980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2"/>
        <w:rPr>
          <w:rFonts w:eastAsiaTheme="minorEastAsia"/>
          <w:noProof/>
          <w:lang w:eastAsia="en-AU"/>
        </w:rPr>
      </w:pPr>
      <w:hyperlink w:anchor="_Toc29289981" w:history="1">
        <w:r w:rsidRPr="00787E9D">
          <w:rPr>
            <w:rStyle w:val="Hyperlink"/>
            <w:noProof/>
          </w:rPr>
          <w:t>Guidelines for the Classification of Publications</w:t>
        </w:r>
        <w:r>
          <w:rPr>
            <w:noProof/>
            <w:webHidden/>
          </w:rPr>
          <w:tab/>
        </w:r>
        <w:r>
          <w:rPr>
            <w:noProof/>
            <w:webHidden/>
          </w:rPr>
          <w:fldChar w:fldCharType="begin"/>
        </w:r>
        <w:r>
          <w:rPr>
            <w:noProof/>
            <w:webHidden/>
          </w:rPr>
          <w:instrText xml:space="preserve"> PAGEREF _Toc29289981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2"/>
        <w:rPr>
          <w:rFonts w:eastAsiaTheme="minorEastAsia"/>
          <w:noProof/>
          <w:lang w:eastAsia="en-AU"/>
        </w:rPr>
      </w:pPr>
      <w:hyperlink w:anchor="_Toc29289982" w:history="1">
        <w:r w:rsidRPr="00787E9D">
          <w:rPr>
            <w:rStyle w:val="Hyperlink"/>
            <w:noProof/>
          </w:rPr>
          <w:t>Classification (Publications, Films and Computer Games) Act 1995</w:t>
        </w:r>
        <w:r>
          <w:rPr>
            <w:noProof/>
            <w:webHidden/>
          </w:rPr>
          <w:tab/>
        </w:r>
        <w:r>
          <w:rPr>
            <w:noProof/>
            <w:webHidden/>
          </w:rPr>
          <w:fldChar w:fldCharType="begin"/>
        </w:r>
        <w:r>
          <w:rPr>
            <w:noProof/>
            <w:webHidden/>
          </w:rPr>
          <w:instrText xml:space="preserve"> PAGEREF _Toc29289982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3"/>
        <w:rPr>
          <w:rFonts w:eastAsiaTheme="minorEastAsia"/>
          <w:noProof/>
          <w:lang w:eastAsia="en-AU"/>
        </w:rPr>
      </w:pPr>
      <w:hyperlink w:anchor="_Toc29289983" w:history="1">
        <w:r w:rsidRPr="00787E9D">
          <w:rPr>
            <w:rStyle w:val="Hyperlink"/>
            <w:noProof/>
          </w:rPr>
          <w:t>Particular sections of relevance in the Classification Act:</w:t>
        </w:r>
        <w:r>
          <w:rPr>
            <w:noProof/>
            <w:webHidden/>
          </w:rPr>
          <w:tab/>
        </w:r>
        <w:r>
          <w:rPr>
            <w:noProof/>
            <w:webHidden/>
          </w:rPr>
          <w:fldChar w:fldCharType="begin"/>
        </w:r>
        <w:r>
          <w:rPr>
            <w:noProof/>
            <w:webHidden/>
          </w:rPr>
          <w:instrText xml:space="preserve"> PAGEREF _Toc29289983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2"/>
        <w:rPr>
          <w:rFonts w:eastAsiaTheme="minorEastAsia"/>
          <w:noProof/>
          <w:lang w:eastAsia="en-AU"/>
        </w:rPr>
      </w:pPr>
      <w:hyperlink w:anchor="_Toc29289984" w:history="1">
        <w:r w:rsidRPr="00787E9D">
          <w:rPr>
            <w:rStyle w:val="Hyperlink"/>
            <w:noProof/>
          </w:rPr>
          <w:t>Codes of Practice for ABC, SBS, commercial and subscription broadcasters</w:t>
        </w:r>
        <w:r>
          <w:rPr>
            <w:noProof/>
            <w:webHidden/>
          </w:rPr>
          <w:tab/>
        </w:r>
        <w:r>
          <w:rPr>
            <w:noProof/>
            <w:webHidden/>
          </w:rPr>
          <w:fldChar w:fldCharType="begin"/>
        </w:r>
        <w:r>
          <w:rPr>
            <w:noProof/>
            <w:webHidden/>
          </w:rPr>
          <w:instrText xml:space="preserve"> PAGEREF _Toc29289984 \h </w:instrText>
        </w:r>
        <w:r>
          <w:rPr>
            <w:noProof/>
            <w:webHidden/>
          </w:rPr>
        </w:r>
        <w:r>
          <w:rPr>
            <w:noProof/>
            <w:webHidden/>
          </w:rPr>
          <w:fldChar w:fldCharType="separate"/>
        </w:r>
        <w:r>
          <w:rPr>
            <w:noProof/>
            <w:webHidden/>
          </w:rPr>
          <w:t>19</w:t>
        </w:r>
        <w:r>
          <w:rPr>
            <w:noProof/>
            <w:webHidden/>
          </w:rPr>
          <w:fldChar w:fldCharType="end"/>
        </w:r>
      </w:hyperlink>
    </w:p>
    <w:p w:rsidR="00292A31" w:rsidRDefault="00292A31">
      <w:pPr>
        <w:pStyle w:val="TOC1"/>
        <w:rPr>
          <w:rFonts w:eastAsiaTheme="minorEastAsia"/>
          <w:b w:val="0"/>
          <w:noProof/>
          <w:color w:val="auto"/>
          <w:lang w:eastAsia="en-AU"/>
        </w:rPr>
      </w:pPr>
      <w:hyperlink w:anchor="_Toc29289985" w:history="1">
        <w:r w:rsidRPr="00787E9D">
          <w:rPr>
            <w:rStyle w:val="Hyperlink"/>
            <w:noProof/>
          </w:rPr>
          <w:t>Appendix 2 – Classification tools: IARC tool and Netflix tool</w:t>
        </w:r>
        <w:r>
          <w:rPr>
            <w:noProof/>
            <w:webHidden/>
          </w:rPr>
          <w:tab/>
        </w:r>
        <w:r>
          <w:rPr>
            <w:noProof/>
            <w:webHidden/>
          </w:rPr>
          <w:fldChar w:fldCharType="begin"/>
        </w:r>
        <w:r>
          <w:rPr>
            <w:noProof/>
            <w:webHidden/>
          </w:rPr>
          <w:instrText xml:space="preserve"> PAGEREF _Toc29289985 \h </w:instrText>
        </w:r>
        <w:r>
          <w:rPr>
            <w:noProof/>
            <w:webHidden/>
          </w:rPr>
        </w:r>
        <w:r>
          <w:rPr>
            <w:noProof/>
            <w:webHidden/>
          </w:rPr>
          <w:fldChar w:fldCharType="separate"/>
        </w:r>
        <w:r>
          <w:rPr>
            <w:noProof/>
            <w:webHidden/>
          </w:rPr>
          <w:t>20</w:t>
        </w:r>
        <w:r>
          <w:rPr>
            <w:noProof/>
            <w:webHidden/>
          </w:rPr>
          <w:fldChar w:fldCharType="end"/>
        </w:r>
      </w:hyperlink>
    </w:p>
    <w:p w:rsidR="00292A31" w:rsidRDefault="00292A31">
      <w:pPr>
        <w:pStyle w:val="TOC2"/>
        <w:rPr>
          <w:rFonts w:eastAsiaTheme="minorEastAsia"/>
          <w:noProof/>
          <w:lang w:eastAsia="en-AU"/>
        </w:rPr>
      </w:pPr>
      <w:hyperlink w:anchor="_Toc29289986" w:history="1">
        <w:r w:rsidRPr="00787E9D">
          <w:rPr>
            <w:rStyle w:val="Hyperlink"/>
            <w:noProof/>
          </w:rPr>
          <w:t>International Age Rating Coalition (IARC) tool</w:t>
        </w:r>
        <w:r>
          <w:rPr>
            <w:noProof/>
            <w:webHidden/>
          </w:rPr>
          <w:tab/>
        </w:r>
        <w:r>
          <w:rPr>
            <w:noProof/>
            <w:webHidden/>
          </w:rPr>
          <w:fldChar w:fldCharType="begin"/>
        </w:r>
        <w:r>
          <w:rPr>
            <w:noProof/>
            <w:webHidden/>
          </w:rPr>
          <w:instrText xml:space="preserve"> PAGEREF _Toc29289986 \h </w:instrText>
        </w:r>
        <w:r>
          <w:rPr>
            <w:noProof/>
            <w:webHidden/>
          </w:rPr>
        </w:r>
        <w:r>
          <w:rPr>
            <w:noProof/>
            <w:webHidden/>
          </w:rPr>
          <w:fldChar w:fldCharType="separate"/>
        </w:r>
        <w:r>
          <w:rPr>
            <w:noProof/>
            <w:webHidden/>
          </w:rPr>
          <w:t>20</w:t>
        </w:r>
        <w:r>
          <w:rPr>
            <w:noProof/>
            <w:webHidden/>
          </w:rPr>
          <w:fldChar w:fldCharType="end"/>
        </w:r>
      </w:hyperlink>
    </w:p>
    <w:p w:rsidR="00292A31" w:rsidRDefault="00292A31">
      <w:pPr>
        <w:pStyle w:val="TOC2"/>
        <w:rPr>
          <w:rFonts w:eastAsiaTheme="minorEastAsia"/>
          <w:noProof/>
          <w:lang w:eastAsia="en-AU"/>
        </w:rPr>
      </w:pPr>
      <w:hyperlink w:anchor="_Toc29289987" w:history="1">
        <w:r w:rsidRPr="00787E9D">
          <w:rPr>
            <w:rStyle w:val="Hyperlink"/>
            <w:noProof/>
          </w:rPr>
          <w:t>Netflix tool</w:t>
        </w:r>
        <w:r>
          <w:rPr>
            <w:noProof/>
            <w:webHidden/>
          </w:rPr>
          <w:tab/>
        </w:r>
        <w:r>
          <w:rPr>
            <w:noProof/>
            <w:webHidden/>
          </w:rPr>
          <w:fldChar w:fldCharType="begin"/>
        </w:r>
        <w:r>
          <w:rPr>
            <w:noProof/>
            <w:webHidden/>
          </w:rPr>
          <w:instrText xml:space="preserve"> PAGEREF _Toc29289987 \h </w:instrText>
        </w:r>
        <w:r>
          <w:rPr>
            <w:noProof/>
            <w:webHidden/>
          </w:rPr>
        </w:r>
        <w:r>
          <w:rPr>
            <w:noProof/>
            <w:webHidden/>
          </w:rPr>
          <w:fldChar w:fldCharType="separate"/>
        </w:r>
        <w:r>
          <w:rPr>
            <w:noProof/>
            <w:webHidden/>
          </w:rPr>
          <w:t>20</w:t>
        </w:r>
        <w:r>
          <w:rPr>
            <w:noProof/>
            <w:webHidden/>
          </w:rPr>
          <w:fldChar w:fldCharType="end"/>
        </w:r>
      </w:hyperlink>
    </w:p>
    <w:p w:rsidR="00FE604A" w:rsidRDefault="003D193C" w:rsidP="005113AA">
      <w:pPr>
        <w:rPr>
          <w:rFonts w:ascii="Calibri" w:eastAsia="PMingLiU" w:hAnsi="Calibri" w:cs="Mangal"/>
        </w:rPr>
      </w:pPr>
      <w:r>
        <w:fldChar w:fldCharType="end"/>
      </w:r>
      <w:r w:rsidR="005113AA" w:rsidRPr="005113AA">
        <w:rPr>
          <w:rFonts w:ascii="Calibri" w:eastAsia="PMingLiU" w:hAnsi="Calibri" w:cs="Mangal"/>
        </w:rPr>
        <w:fldChar w:fldCharType="begin"/>
      </w:r>
      <w:r w:rsidR="005113AA" w:rsidRPr="005113AA">
        <w:rPr>
          <w:rFonts w:ascii="Calibri" w:eastAsia="PMingLiU" w:hAnsi="Calibri" w:cs="Mangal"/>
        </w:rPr>
        <w:instrText xml:space="preserve"> TOC \h \z \t "Table/figure heading,4,Table heading,4" </w:instrText>
      </w:r>
      <w:r w:rsidR="005113AA" w:rsidRPr="005113AA">
        <w:rPr>
          <w:rFonts w:ascii="Calibri" w:eastAsia="PMingLiU" w:hAnsi="Calibri" w:cs="Mangal"/>
        </w:rPr>
        <w:fldChar w:fldCharType="end"/>
      </w:r>
      <w:r w:rsidR="00FE604A">
        <w:rPr>
          <w:rFonts w:ascii="Calibri" w:eastAsia="PMingLiU" w:hAnsi="Calibri" w:cs="Mangal"/>
        </w:rPr>
        <w:br w:type="page"/>
      </w:r>
    </w:p>
    <w:p w:rsidR="00FE604A" w:rsidRDefault="00FE604A" w:rsidP="00FE604A">
      <w:pPr>
        <w:spacing w:after="0"/>
        <w:sectPr w:rsidR="00FE604A" w:rsidSect="00FE604A">
          <w:type w:val="continuous"/>
          <w:pgSz w:w="11906" w:h="16838"/>
          <w:pgMar w:top="1843" w:right="1133" w:bottom="1276" w:left="1440" w:header="708" w:footer="283" w:gutter="0"/>
          <w:cols w:space="720"/>
        </w:sectPr>
      </w:pPr>
    </w:p>
    <w:p w:rsidR="005113AA" w:rsidRDefault="00FE604A" w:rsidP="005B08AA">
      <w:pPr>
        <w:pStyle w:val="Heading2"/>
      </w:pPr>
      <w:bookmarkStart w:id="3" w:name="_Toc23249315"/>
      <w:bookmarkStart w:id="4" w:name="_Toc23425784"/>
      <w:bookmarkStart w:id="5" w:name="_Toc23426113"/>
      <w:bookmarkStart w:id="6" w:name="_Toc23428006"/>
      <w:bookmarkStart w:id="7" w:name="_Toc23431515"/>
      <w:bookmarkStart w:id="8" w:name="_Toc29289948"/>
      <w:r>
        <w:lastRenderedPageBreak/>
        <w:t>Current arrangements</w:t>
      </w:r>
      <w:bookmarkEnd w:id="3"/>
      <w:bookmarkEnd w:id="4"/>
      <w:bookmarkEnd w:id="5"/>
      <w:bookmarkEnd w:id="6"/>
      <w:bookmarkEnd w:id="7"/>
      <w:bookmarkEnd w:id="8"/>
    </w:p>
    <w:p w:rsidR="001629C7" w:rsidRDefault="007A0B73" w:rsidP="006E5CE6">
      <w:r>
        <w:t xml:space="preserve">Classification </w:t>
      </w:r>
      <w:r w:rsidR="00605839">
        <w:t>helps</w:t>
      </w:r>
      <w:r>
        <w:t xml:space="preserve"> Australian</w:t>
      </w:r>
      <w:r w:rsidR="005E31BE">
        <w:t xml:space="preserve"> con</w:t>
      </w:r>
      <w:bookmarkStart w:id="9" w:name="_GoBack"/>
      <w:bookmarkEnd w:id="9"/>
      <w:r w:rsidR="005E31BE">
        <w:t>sumers</w:t>
      </w:r>
      <w:r>
        <w:t xml:space="preserve"> make informed decisions </w:t>
      </w:r>
      <w:r w:rsidR="00335D16">
        <w:t>about content</w:t>
      </w:r>
      <w:r w:rsidR="005E31BE">
        <w:t xml:space="preserve"> and helps parents and carers protect their children from inappropriate content</w:t>
      </w:r>
      <w:r>
        <w:t>.</w:t>
      </w:r>
    </w:p>
    <w:p w:rsidR="000C18D2" w:rsidRDefault="000C18D2" w:rsidP="005B08AA">
      <w:pPr>
        <w:pStyle w:val="Heading3"/>
      </w:pPr>
      <w:bookmarkStart w:id="10" w:name="_Toc23249316"/>
      <w:bookmarkStart w:id="11" w:name="_Toc23425785"/>
      <w:bookmarkStart w:id="12" w:name="_Toc23426114"/>
      <w:bookmarkStart w:id="13" w:name="_Toc23428007"/>
      <w:bookmarkStart w:id="14" w:name="_Toc23431516"/>
      <w:bookmarkStart w:id="15" w:name="_Toc29289949"/>
      <w:r>
        <w:t>National Classification Scheme</w:t>
      </w:r>
      <w:bookmarkEnd w:id="10"/>
      <w:bookmarkEnd w:id="11"/>
      <w:bookmarkEnd w:id="12"/>
      <w:bookmarkEnd w:id="13"/>
      <w:bookmarkEnd w:id="14"/>
      <w:bookmarkEnd w:id="15"/>
    </w:p>
    <w:p w:rsidR="003209E4" w:rsidRDefault="00BC4A65" w:rsidP="00CB1108">
      <w:r>
        <w:t xml:space="preserve">The National Classification Scheme </w:t>
      </w:r>
      <w:r w:rsidR="00C64E6C">
        <w:t>sets out the regulatory f</w:t>
      </w:r>
      <w:r w:rsidR="000C18D2">
        <w:t xml:space="preserve">ramework for </w:t>
      </w:r>
      <w:r w:rsidR="0054574D">
        <w:t>classifying films</w:t>
      </w:r>
      <w:r w:rsidR="00262E23">
        <w:t xml:space="preserve"> (including episodic series)</w:t>
      </w:r>
      <w:r w:rsidR="0054574D">
        <w:rPr>
          <w:rStyle w:val="FootnoteReference"/>
        </w:rPr>
        <w:footnoteReference w:id="2"/>
      </w:r>
      <w:r w:rsidR="00262E23">
        <w:t xml:space="preserve"> not broadcast on television;</w:t>
      </w:r>
      <w:r w:rsidR="000C18D2">
        <w:t xml:space="preserve"> computer games</w:t>
      </w:r>
      <w:r w:rsidR="00262E23">
        <w:t>;</w:t>
      </w:r>
      <w:r w:rsidR="000C18D2">
        <w:t xml:space="preserve"> </w:t>
      </w:r>
      <w:r w:rsidR="00C64E6C">
        <w:t xml:space="preserve">and certain publications. It </w:t>
      </w:r>
      <w:r>
        <w:t>is a co</w:t>
      </w:r>
      <w:r>
        <w:noBreakHyphen/>
        <w:t xml:space="preserve">operative </w:t>
      </w:r>
      <w:r w:rsidR="004508C4">
        <w:t>scheme</w:t>
      </w:r>
      <w:r>
        <w:t xml:space="preserve"> between the </w:t>
      </w:r>
      <w:r w:rsidR="00C64E6C">
        <w:t>Australian Government</w:t>
      </w:r>
      <w:r>
        <w:t xml:space="preserve"> </w:t>
      </w:r>
      <w:r w:rsidR="00F81753">
        <w:t>and</w:t>
      </w:r>
      <w:r w:rsidR="00C64E6C">
        <w:t xml:space="preserve"> the states and territories, where the Australian Government is responsible for classifying </w:t>
      </w:r>
      <w:r w:rsidR="00693CFB">
        <w:t xml:space="preserve">content and the states and territories are responsible for regulating the sale, exhibition, advertising and hire of classifiable content. </w:t>
      </w:r>
      <w:r w:rsidR="0054574D" w:rsidRPr="005A7A9E">
        <w:t xml:space="preserve">Each </w:t>
      </w:r>
      <w:r w:rsidR="0054574D">
        <w:t>state and t</w:t>
      </w:r>
      <w:r w:rsidR="004508C4">
        <w:t xml:space="preserve">erritory has a </w:t>
      </w:r>
      <w:r w:rsidR="0054574D" w:rsidRPr="005A7A9E">
        <w:t>classification Act</w:t>
      </w:r>
      <w:r w:rsidR="0054574D" w:rsidRPr="006D00FF">
        <w:rPr>
          <w:vertAlign w:val="superscript"/>
        </w:rPr>
        <w:footnoteReference w:id="3"/>
      </w:r>
      <w:r w:rsidR="0054574D">
        <w:t xml:space="preserve"> enforced by state and territory </w:t>
      </w:r>
      <w:r w:rsidR="0054574D" w:rsidRPr="005A7A9E">
        <w:t xml:space="preserve">police or </w:t>
      </w:r>
      <w:r w:rsidR="0054574D">
        <w:t>fair trading</w:t>
      </w:r>
      <w:r w:rsidR="0054574D" w:rsidRPr="005A7A9E">
        <w:t xml:space="preserve"> bodies.</w:t>
      </w:r>
    </w:p>
    <w:p w:rsidR="001629C7" w:rsidRDefault="00693CFB" w:rsidP="00CB1108">
      <w:r>
        <w:t xml:space="preserve">The </w:t>
      </w:r>
      <w:r w:rsidRPr="008748FA">
        <w:rPr>
          <w:i/>
        </w:rPr>
        <w:t>Classification (Publications, Films and Computer Games) Act 1995</w:t>
      </w:r>
      <w:r w:rsidRPr="005A7A9E">
        <w:t xml:space="preserve"> (</w:t>
      </w:r>
      <w:proofErr w:type="spellStart"/>
      <w:r w:rsidRPr="005A7A9E">
        <w:t>Cth</w:t>
      </w:r>
      <w:proofErr w:type="spellEnd"/>
      <w:r w:rsidRPr="005A7A9E">
        <w:t xml:space="preserve">) </w:t>
      </w:r>
      <w:r>
        <w:t>(Classification Act) establishes the Classification Board (the Board) and the Classification Review Board (</w:t>
      </w:r>
      <w:r w:rsidR="00403D88">
        <w:t xml:space="preserve">the </w:t>
      </w:r>
      <w:r>
        <w:t xml:space="preserve">Review Board), </w:t>
      </w:r>
      <w:r w:rsidR="004508C4">
        <w:t xml:space="preserve">which are </w:t>
      </w:r>
      <w:r>
        <w:t xml:space="preserve">statutory bodies that are independent from the Government. </w:t>
      </w:r>
      <w:r w:rsidR="00001551">
        <w:t>O</w:t>
      </w:r>
      <w:r w:rsidR="00001551" w:rsidRPr="007B220F">
        <w:t xml:space="preserve">ver the last </w:t>
      </w:r>
      <w:r w:rsidR="00001551">
        <w:t>15</w:t>
      </w:r>
      <w:r w:rsidR="00001551" w:rsidRPr="007B220F">
        <w:t xml:space="preserve"> years, the Board </w:t>
      </w:r>
      <w:r w:rsidR="00001551">
        <w:t>has classified 5,172</w:t>
      </w:r>
      <w:r w:rsidR="00001551" w:rsidRPr="007B220F">
        <w:t xml:space="preserve"> items per year on average</w:t>
      </w:r>
      <w:r w:rsidR="00001551">
        <w:t>.</w:t>
      </w:r>
      <w:r w:rsidR="006E47D3">
        <w:rPr>
          <w:rStyle w:val="FootnoteReference"/>
        </w:rPr>
        <w:footnoteReference w:id="4"/>
      </w:r>
      <w:r w:rsidR="00001551" w:rsidRPr="00470CB2">
        <w:t xml:space="preserve"> </w:t>
      </w:r>
      <w:r w:rsidR="00F41984" w:rsidRPr="00470CB2">
        <w:t>The Board</w:t>
      </w:r>
      <w:r w:rsidR="00F41984">
        <w:t xml:space="preserve"> and the Review Board’s </w:t>
      </w:r>
      <w:r w:rsidR="00F41984" w:rsidRPr="00470CB2">
        <w:t xml:space="preserve">services </w:t>
      </w:r>
      <w:r w:rsidR="00F41984">
        <w:t xml:space="preserve">are </w:t>
      </w:r>
      <w:r w:rsidR="00F41984" w:rsidRPr="00470CB2">
        <w:t xml:space="preserve">partially cost recovered from fees charged to </w:t>
      </w:r>
      <w:r w:rsidR="00F41984">
        <w:t>industry.</w:t>
      </w:r>
      <w:r w:rsidR="00F41984">
        <w:rPr>
          <w:rStyle w:val="FootnoteReference"/>
        </w:rPr>
        <w:footnoteReference w:id="5"/>
      </w:r>
    </w:p>
    <w:p w:rsidR="007A0B73" w:rsidRDefault="00693CFB" w:rsidP="00CB1108">
      <w:pPr>
        <w:spacing w:after="120"/>
      </w:pPr>
      <w:r>
        <w:t xml:space="preserve">The </w:t>
      </w:r>
      <w:r w:rsidR="006028A1">
        <w:t xml:space="preserve">Board and the Review Board </w:t>
      </w:r>
      <w:r w:rsidR="003C5183">
        <w:t xml:space="preserve">must </w:t>
      </w:r>
      <w:r w:rsidR="006028A1">
        <w:t>make c</w:t>
      </w:r>
      <w:r w:rsidR="00091406">
        <w:t xml:space="preserve">lassification decisions using </w:t>
      </w:r>
      <w:r w:rsidR="00231021">
        <w:t>t</w:t>
      </w:r>
      <w:r w:rsidR="00091406" w:rsidRPr="005A7A9E">
        <w:t>he Classification Act</w:t>
      </w:r>
      <w:r w:rsidR="00091406">
        <w:t xml:space="preserve">, </w:t>
      </w:r>
      <w:r w:rsidR="007A0B73">
        <w:t>t</w:t>
      </w:r>
      <w:r w:rsidR="008413CC">
        <w:t>he</w:t>
      </w:r>
      <w:r w:rsidR="009A1B1B">
        <w:t xml:space="preserve"> National Classification</w:t>
      </w:r>
      <w:r w:rsidR="008413CC">
        <w:t xml:space="preserve"> Code </w:t>
      </w:r>
      <w:r w:rsidR="00403D88">
        <w:t>(</w:t>
      </w:r>
      <w:r w:rsidR="004508C4">
        <w:t>the</w:t>
      </w:r>
      <w:r w:rsidR="00403D88">
        <w:t xml:space="preserve"> Code) </w:t>
      </w:r>
      <w:r w:rsidR="006E5CE6">
        <w:t>and</w:t>
      </w:r>
      <w:r w:rsidR="004508C4">
        <w:t xml:space="preserve"> the</w:t>
      </w:r>
      <w:r w:rsidR="006E5CE6">
        <w:t>:</w:t>
      </w:r>
    </w:p>
    <w:p w:rsidR="006E5CE6" w:rsidRDefault="009A1B1B" w:rsidP="001629C7">
      <w:pPr>
        <w:pStyle w:val="Listparagraphbullets"/>
      </w:pPr>
      <w:r>
        <w:lastRenderedPageBreak/>
        <w:t>Guidelines for the Classification of Films (</w:t>
      </w:r>
      <w:r w:rsidR="005E31BE">
        <w:t xml:space="preserve">the </w:t>
      </w:r>
      <w:r w:rsidR="006E5CE6">
        <w:t>Films Guidelines)</w:t>
      </w:r>
      <w:r w:rsidR="001507C0" w:rsidRPr="001507C0" w:rsidDel="008C7B85">
        <w:t xml:space="preserve"> </w:t>
      </w:r>
      <w:r w:rsidR="001507C0">
        <w:t>or</w:t>
      </w:r>
    </w:p>
    <w:p w:rsidR="001507C0" w:rsidRDefault="001507C0" w:rsidP="001629C7">
      <w:pPr>
        <w:pStyle w:val="Listparagraphbullets"/>
      </w:pPr>
      <w:r>
        <w:t>Guidelines for the Classification of Computer Games (</w:t>
      </w:r>
      <w:r w:rsidR="005E31BE">
        <w:t xml:space="preserve">the </w:t>
      </w:r>
      <w:r>
        <w:t xml:space="preserve">Computer Games Guidelines) </w:t>
      </w:r>
      <w:r w:rsidR="00CE6FB6">
        <w:t>or</w:t>
      </w:r>
    </w:p>
    <w:p w:rsidR="00335D16" w:rsidRDefault="005E31BE" w:rsidP="001629C7">
      <w:pPr>
        <w:pStyle w:val="Listparagraphbullets"/>
      </w:pPr>
      <w:r>
        <w:t>Guidelines for the Classification of Publications (the Publications Guidelines)</w:t>
      </w:r>
      <w:r w:rsidR="001629C7">
        <w:t>.</w:t>
      </w:r>
    </w:p>
    <w:p w:rsidR="001629C7" w:rsidRDefault="007809DB" w:rsidP="00CB1108">
      <w:pPr>
        <w:spacing w:after="120"/>
      </w:pPr>
      <w:r>
        <w:t>The same classification categories apply to both films and computer games (with the exception of X 18+</w:t>
      </w:r>
      <w:r w:rsidR="00B95A24">
        <w:t xml:space="preserve"> which only applies to film</w:t>
      </w:r>
      <w:r w:rsidR="00CE3488">
        <w:t>s</w:t>
      </w:r>
      <w:r>
        <w:t>). However, there are some differences between the Films Guidelines and the Computer Games Guidelines in relation to what is permitted in each category.</w:t>
      </w:r>
    </w:p>
    <w:p w:rsidR="007E335C" w:rsidRDefault="007E335C" w:rsidP="00CB1108">
      <w:pPr>
        <w:spacing w:after="120"/>
      </w:pPr>
      <w:r>
        <w:t xml:space="preserve">When a film or game is classified, it is given a classification rating and consumer advice (for example, ‘high impact </w:t>
      </w:r>
      <w:r w:rsidRPr="002E1A07">
        <w:t xml:space="preserve">horror </w:t>
      </w:r>
      <w:r>
        <w:t>violence’, ‘sexual references’, ‘strong coarse language’). Consumer advice is separate to the Code and the Guidelines and can be determined by the Board.</w:t>
      </w:r>
    </w:p>
    <w:p w:rsidR="007D690D" w:rsidRDefault="004508C4" w:rsidP="00CB1108">
      <w:pPr>
        <w:spacing w:after="120"/>
      </w:pPr>
      <w:r>
        <w:t>The definition of ‘film’ and ‘computer game’ in t</w:t>
      </w:r>
      <w:r w:rsidR="00F1762D">
        <w:t xml:space="preserve">he Classification Act applies to </w:t>
      </w:r>
      <w:r w:rsidR="003F1D5F">
        <w:t>online films and games</w:t>
      </w:r>
      <w:r>
        <w:t xml:space="preserve">. </w:t>
      </w:r>
      <w:r w:rsidR="00A7611C">
        <w:t>I</w:t>
      </w:r>
      <w:r w:rsidR="007D690D">
        <w:t>n 2014</w:t>
      </w:r>
      <w:r w:rsidR="00A7611C">
        <w:t>, the Classification Act was amended</w:t>
      </w:r>
      <w:r w:rsidR="007D690D">
        <w:t xml:space="preserve"> to enable the Minister to ap</w:t>
      </w:r>
      <w:r w:rsidR="003F1D5F">
        <w:t>p</w:t>
      </w:r>
      <w:r w:rsidR="002D770B">
        <w:t xml:space="preserve">rove classification tools. </w:t>
      </w:r>
      <w:r w:rsidR="00A7611C">
        <w:t>T</w:t>
      </w:r>
      <w:r w:rsidR="00A7611C" w:rsidRPr="00A7611C">
        <w:t>ool</w:t>
      </w:r>
      <w:r w:rsidR="00A7611C">
        <w:t>s</w:t>
      </w:r>
      <w:r w:rsidR="00A7611C" w:rsidRPr="00A7611C">
        <w:t xml:space="preserve"> </w:t>
      </w:r>
      <w:r w:rsidR="00A7611C">
        <w:t>can</w:t>
      </w:r>
      <w:r w:rsidR="00CE3488">
        <w:t xml:space="preserve"> be used to</w:t>
      </w:r>
      <w:r w:rsidR="00A7611C">
        <w:t xml:space="preserve"> </w:t>
      </w:r>
      <w:r w:rsidR="00A7611C" w:rsidRPr="00A7611C">
        <w:t>classif</w:t>
      </w:r>
      <w:r w:rsidR="00A7611C">
        <w:t>y</w:t>
      </w:r>
      <w:r w:rsidR="00A7611C" w:rsidRPr="00A7611C">
        <w:t xml:space="preserve"> content in a cost-effective and timely manner, providing a solution to classifying large volumes of </w:t>
      </w:r>
      <w:r w:rsidR="00A7611C">
        <w:t>online</w:t>
      </w:r>
      <w:r w:rsidR="00A7611C" w:rsidRPr="00A7611C">
        <w:t xml:space="preserve"> content</w:t>
      </w:r>
      <w:r w:rsidR="00A7611C">
        <w:t>.</w:t>
      </w:r>
      <w:r w:rsidR="00A7611C" w:rsidRPr="00A7611C">
        <w:t xml:space="preserve"> </w:t>
      </w:r>
      <w:r w:rsidR="002D770B">
        <w:t xml:space="preserve">Two </w:t>
      </w:r>
      <w:r w:rsidR="00F75E7B">
        <w:t>industry self-</w:t>
      </w:r>
      <w:r w:rsidR="003F1D5F">
        <w:t xml:space="preserve">classification tools have been approved – the </w:t>
      </w:r>
      <w:r w:rsidR="007D690D">
        <w:t xml:space="preserve">International Age Rating Coalition (IARC) tool for online and mobile games </w:t>
      </w:r>
      <w:r w:rsidR="002D770B">
        <w:t>(</w:t>
      </w:r>
      <w:r w:rsidR="007D690D">
        <w:t>on participating storefronts) and the Netflix t</w:t>
      </w:r>
      <w:r>
        <w:t xml:space="preserve">ool, </w:t>
      </w:r>
      <w:r w:rsidR="0054574D">
        <w:t xml:space="preserve">explained at </w:t>
      </w:r>
      <w:hyperlink w:anchor="_Appendix_2_–" w:history="1">
        <w:r w:rsidR="0054574D" w:rsidRPr="005F47F6">
          <w:rPr>
            <w:rStyle w:val="Hyperlink"/>
          </w:rPr>
          <w:t>Appendix </w:t>
        </w:r>
        <w:r w:rsidR="007D690D" w:rsidRPr="005F47F6">
          <w:rPr>
            <w:rStyle w:val="Hyperlink"/>
          </w:rPr>
          <w:t>2</w:t>
        </w:r>
      </w:hyperlink>
      <w:r w:rsidR="007D690D">
        <w:t xml:space="preserve">. </w:t>
      </w:r>
      <w:r w:rsidR="007D690D" w:rsidRPr="00957D11">
        <w:t>The</w:t>
      </w:r>
      <w:r>
        <w:t xml:space="preserve"> algorithm of the</w:t>
      </w:r>
      <w:r w:rsidR="007D690D" w:rsidRPr="00957D11">
        <w:t xml:space="preserve"> IARC and the Netflix tools generate classification</w:t>
      </w:r>
      <w:r w:rsidR="007D690D">
        <w:t xml:space="preserve">s </w:t>
      </w:r>
      <w:r w:rsidR="0054574D">
        <w:t xml:space="preserve">that are broadly consistent with the Board’s decisions, </w:t>
      </w:r>
      <w:r w:rsidR="007D690D">
        <w:t xml:space="preserve">based on the current </w:t>
      </w:r>
      <w:r>
        <w:t xml:space="preserve">Computer Games Guidelines and Films </w:t>
      </w:r>
      <w:r w:rsidR="007D690D">
        <w:t>Guidelines</w:t>
      </w:r>
      <w:r>
        <w:t xml:space="preserve"> respectively</w:t>
      </w:r>
      <w:r w:rsidR="007D690D" w:rsidRPr="00957D11">
        <w:t>. If the Guidelines are updated following this review, the algorithms of the IARC and Netflix tools will be updated accordingly to reflect the new Guidelines.</w:t>
      </w:r>
    </w:p>
    <w:p w:rsidR="00EE6A36" w:rsidRDefault="0054574D" w:rsidP="00EE6A36">
      <w:r>
        <w:t xml:space="preserve">More information about </w:t>
      </w:r>
      <w:r w:rsidR="00EE6A36">
        <w:t>the</w:t>
      </w:r>
      <w:r>
        <w:t xml:space="preserve"> clas</w:t>
      </w:r>
      <w:r w:rsidR="00E61E02">
        <w:t xml:space="preserve">sification process, Board statistics </w:t>
      </w:r>
      <w:r>
        <w:t xml:space="preserve">and </w:t>
      </w:r>
      <w:r w:rsidR="004508C4">
        <w:t xml:space="preserve">the National Classification Database of </w:t>
      </w:r>
      <w:r>
        <w:t xml:space="preserve">classification decisions </w:t>
      </w:r>
      <w:r w:rsidR="00EE6A36">
        <w:t xml:space="preserve">are available at </w:t>
      </w:r>
      <w:hyperlink r:id="rId22" w:history="1">
        <w:r w:rsidR="00EE6A36" w:rsidRPr="003C0777">
          <w:rPr>
            <w:rStyle w:val="Hyperlink"/>
          </w:rPr>
          <w:t>www.classification.gov.au</w:t>
        </w:r>
      </w:hyperlink>
      <w:r w:rsidR="00EE6A36">
        <w:t>.</w:t>
      </w:r>
    </w:p>
    <w:p w:rsidR="001629C7" w:rsidRDefault="000C18D2" w:rsidP="00EE6A36">
      <w:pPr>
        <w:pStyle w:val="Heading3"/>
      </w:pPr>
      <w:bookmarkStart w:id="16" w:name="_Toc23249317"/>
      <w:bookmarkStart w:id="17" w:name="_Toc23428008"/>
      <w:bookmarkStart w:id="18" w:name="_Toc23431517"/>
      <w:bookmarkStart w:id="19" w:name="_Toc23425786"/>
      <w:bookmarkStart w:id="20" w:name="_Toc23426115"/>
      <w:bookmarkStart w:id="21" w:name="_Toc29289950"/>
      <w:r>
        <w:lastRenderedPageBreak/>
        <w:t>Television classification</w:t>
      </w:r>
      <w:bookmarkEnd w:id="16"/>
      <w:bookmarkEnd w:id="17"/>
      <w:bookmarkEnd w:id="18"/>
      <w:bookmarkEnd w:id="21"/>
    </w:p>
    <w:bookmarkEnd w:id="19"/>
    <w:bookmarkEnd w:id="20"/>
    <w:p w:rsidR="00CC1443" w:rsidRDefault="007D690D" w:rsidP="00CC1443">
      <w:r>
        <w:t xml:space="preserve">The </w:t>
      </w:r>
      <w:r w:rsidR="00DE53E2">
        <w:t xml:space="preserve">National Classification Scheme </w:t>
      </w:r>
      <w:r>
        <w:t>does</w:t>
      </w:r>
      <w:r w:rsidR="00262E23">
        <w:t xml:space="preserve"> not</w:t>
      </w:r>
      <w:r>
        <w:t xml:space="preserve"> </w:t>
      </w:r>
      <w:r w:rsidR="00DE53E2">
        <w:t xml:space="preserve">apply to broadcasting services. </w:t>
      </w:r>
      <w:r>
        <w:t xml:space="preserve">The </w:t>
      </w:r>
      <w:r w:rsidRPr="001201D2">
        <w:t xml:space="preserve">Broadcasting Services Act 1992 </w:t>
      </w:r>
      <w:r w:rsidR="00045AC7" w:rsidRPr="001201D2">
        <w:t xml:space="preserve">(BSA) </w:t>
      </w:r>
      <w:r w:rsidR="00267C26" w:rsidRPr="001201D2">
        <w:t xml:space="preserve">provides for certain radio and television industry groups, including those representing </w:t>
      </w:r>
      <w:r w:rsidRPr="001201D2">
        <w:t>free-to-a</w:t>
      </w:r>
      <w:r>
        <w:t>ir and subscription broadcasters</w:t>
      </w:r>
      <w:r w:rsidR="00267C26">
        <w:t>,</w:t>
      </w:r>
      <w:r>
        <w:t xml:space="preserve"> to develop industry co</w:t>
      </w:r>
      <w:r w:rsidR="00CC1443">
        <w:t>d</w:t>
      </w:r>
      <w:r>
        <w:t>e</w:t>
      </w:r>
      <w:r w:rsidR="00CC1443">
        <w:t>s</w:t>
      </w:r>
      <w:r>
        <w:t xml:space="preserve"> of practice </w:t>
      </w:r>
      <w:r w:rsidR="00267C26">
        <w:t xml:space="preserve">and specifies issues that such codes may relate to. One of the specified issues is methods for </w:t>
      </w:r>
      <w:r>
        <w:t>classif</w:t>
      </w:r>
      <w:r w:rsidR="00267C26">
        <w:t>ying programs that reflect community standards. In developing these classification methods, the BSA requires broadcasters to consider community attitudes to a range of matters, which broadly reflect the classifiable elements of themes, violence, sex, language, drug use and nudity.</w:t>
      </w:r>
      <w:r w:rsidR="00267C26">
        <w:rPr>
          <w:rStyle w:val="FootnoteReference"/>
        </w:rPr>
        <w:footnoteReference w:id="6"/>
      </w:r>
      <w:r>
        <w:t xml:space="preserve"> </w:t>
      </w:r>
      <w:r w:rsidR="00267C26">
        <w:t>T</w:t>
      </w:r>
      <w:r>
        <w:t xml:space="preserve">he Australian </w:t>
      </w:r>
      <w:r w:rsidR="005721EC">
        <w:t xml:space="preserve">Communications and </w:t>
      </w:r>
      <w:r>
        <w:t>Media A</w:t>
      </w:r>
      <w:r w:rsidR="000C18D2">
        <w:t>uthority (ACMA)</w:t>
      </w:r>
      <w:r w:rsidR="00267C26" w:rsidRPr="004F79BA">
        <w:t xml:space="preserve"> </w:t>
      </w:r>
      <w:r w:rsidR="00267C26">
        <w:t>is required to register a code of practice in line with obligations set by the BSA.</w:t>
      </w:r>
      <w:r w:rsidR="00267C26">
        <w:rPr>
          <w:rStyle w:val="FootnoteReference"/>
        </w:rPr>
        <w:footnoteReference w:id="7"/>
      </w:r>
      <w:r w:rsidR="000C18D2">
        <w:t xml:space="preserve"> The Australian Broadcasting Corporation (ABC) and the Special Broadcasting Service </w:t>
      </w:r>
      <w:r w:rsidR="006C4653">
        <w:t xml:space="preserve">Corporation </w:t>
      </w:r>
      <w:r w:rsidR="000C18D2">
        <w:t>(SBS) are required by their enabling legislation to develop their own codes of practice and notify these to the ACMA.</w:t>
      </w:r>
      <w:r w:rsidR="000018C6">
        <w:t xml:space="preserve"> </w:t>
      </w:r>
      <w:r w:rsidR="00262E23">
        <w:t>To manage the enormous volume of content on television, broadcasters can classify content themselves</w:t>
      </w:r>
      <w:r w:rsidR="00033C97">
        <w:t xml:space="preserve"> </w:t>
      </w:r>
      <w:r w:rsidR="00262E23">
        <w:t>using staff classifiers.</w:t>
      </w:r>
    </w:p>
    <w:p w:rsidR="001629C7" w:rsidRDefault="00FE604A" w:rsidP="00FE604A">
      <w:pPr>
        <w:pStyle w:val="Heading2"/>
      </w:pPr>
      <w:bookmarkStart w:id="22" w:name="_Toc23249318"/>
      <w:bookmarkStart w:id="23" w:name="_Toc23425787"/>
      <w:bookmarkStart w:id="24" w:name="_Toc23426116"/>
      <w:bookmarkStart w:id="25" w:name="_Toc23428009"/>
      <w:bookmarkStart w:id="26" w:name="_Toc23431518"/>
      <w:bookmarkStart w:id="27" w:name="_Toc29289951"/>
      <w:r>
        <w:t>Purpose</w:t>
      </w:r>
      <w:r w:rsidR="004C271F">
        <w:t xml:space="preserve"> of </w:t>
      </w:r>
      <w:r w:rsidR="006C5DC8">
        <w:t xml:space="preserve">the </w:t>
      </w:r>
      <w:r w:rsidR="00F81753">
        <w:t>consultation</w:t>
      </w:r>
      <w:bookmarkEnd w:id="22"/>
      <w:bookmarkEnd w:id="23"/>
      <w:bookmarkEnd w:id="24"/>
      <w:bookmarkEnd w:id="25"/>
      <w:bookmarkEnd w:id="26"/>
      <w:bookmarkEnd w:id="27"/>
    </w:p>
    <w:p w:rsidR="00262E23" w:rsidRDefault="00262E23" w:rsidP="00262E23">
      <w:r>
        <w:t xml:space="preserve">Part 1 </w:t>
      </w:r>
      <w:r w:rsidR="004D1B20">
        <w:t>focuses on updating</w:t>
      </w:r>
      <w:r>
        <w:t xml:space="preserve"> the</w:t>
      </w:r>
      <w:r w:rsidR="00177FDA">
        <w:t xml:space="preserve"> criteria </w:t>
      </w:r>
      <w:r>
        <w:t>used to classify films, episodic series and computer games</w:t>
      </w:r>
      <w:r w:rsidR="004D1B20">
        <w:t xml:space="preserve">. </w:t>
      </w:r>
      <w:r>
        <w:t>On 28 June 2019, the Council of Attorneys-General agreed to a review of the</w:t>
      </w:r>
      <w:r w:rsidR="004D1B20">
        <w:t xml:space="preserve"> Films Guidelines, the Computer Games Guidelines and the </w:t>
      </w:r>
      <w:r>
        <w:t>Code.</w:t>
      </w:r>
      <w:r w:rsidR="004D1B20">
        <w:t xml:space="preserve"> </w:t>
      </w:r>
      <w:r>
        <w:t xml:space="preserve">The Films Guidelines were last reviewed in 2002 and the Code and the Computer Games Guidelines were last reviewed </w:t>
      </w:r>
      <w:r w:rsidR="004508C4">
        <w:t xml:space="preserve">ahead of the R 18+ category being </w:t>
      </w:r>
      <w:r>
        <w:t xml:space="preserve">introduced for computer games in 2013. </w:t>
      </w:r>
      <w:r w:rsidR="004D1B20">
        <w:t>It is important to review these so they continue to reflect contemporary Australian community standards and are clear, accessible and informative.</w:t>
      </w:r>
    </w:p>
    <w:p w:rsidR="001629C7" w:rsidRDefault="004D1B20" w:rsidP="004D1B20">
      <w:r>
        <w:lastRenderedPageBreak/>
        <w:t xml:space="preserve">Part 2 focuses on </w:t>
      </w:r>
      <w:r w:rsidR="00054279">
        <w:t xml:space="preserve">redesigning </w:t>
      </w:r>
      <w:r w:rsidR="004508C4">
        <w:t>current classification laws so classi</w:t>
      </w:r>
      <w:r w:rsidR="00E40F16">
        <w:t xml:space="preserve">fication processes </w:t>
      </w:r>
      <w:r w:rsidR="00A372BD">
        <w:t>suit</w:t>
      </w:r>
      <w:r w:rsidR="007E2740">
        <w:t xml:space="preserve"> a modern content </w:t>
      </w:r>
      <w:r w:rsidR="00A372BD">
        <w:t>market and provide</w:t>
      </w:r>
      <w:r>
        <w:t xml:space="preserve"> quality </w:t>
      </w:r>
      <w:r w:rsidR="00054279">
        <w:t xml:space="preserve">classification </w:t>
      </w:r>
      <w:r>
        <w:t xml:space="preserve">information for consumers. </w:t>
      </w:r>
      <w:r w:rsidR="00A16A96">
        <w:t>T</w:t>
      </w:r>
      <w:r w:rsidR="005E31BE">
        <w:t xml:space="preserve">he media </w:t>
      </w:r>
      <w:r w:rsidR="00054279">
        <w:t>market</w:t>
      </w:r>
      <w:r w:rsidR="005E31BE">
        <w:t xml:space="preserve"> has significantly changed</w:t>
      </w:r>
      <w:r w:rsidR="008D542F">
        <w:t xml:space="preserve"> since the National Classificat</w:t>
      </w:r>
      <w:r w:rsidR="0054574D">
        <w:t>ion Scheme was enacted in 1995</w:t>
      </w:r>
      <w:r>
        <w:t>, and t</w:t>
      </w:r>
      <w:r w:rsidR="005E31BE">
        <w:t xml:space="preserve">he </w:t>
      </w:r>
      <w:r w:rsidR="00F81753">
        <w:t>current</w:t>
      </w:r>
      <w:r w:rsidR="005E31BE">
        <w:t xml:space="preserve"> system was not designed to manage </w:t>
      </w:r>
      <w:r w:rsidR="00054279">
        <w:t>media convergence</w:t>
      </w:r>
      <w:r w:rsidR="00581694">
        <w:t xml:space="preserve"> or the large volumes of content </w:t>
      </w:r>
      <w:r w:rsidR="00684A35">
        <w:t>now</w:t>
      </w:r>
      <w:r w:rsidR="00581694">
        <w:t xml:space="preserve"> available via streaming services, </w:t>
      </w:r>
      <w:r w:rsidR="00684A35">
        <w:t xml:space="preserve">online game storefronts and </w:t>
      </w:r>
      <w:r w:rsidR="00207075">
        <w:t>other profes</w:t>
      </w:r>
      <w:r w:rsidR="00DE16D8">
        <w:t>s</w:t>
      </w:r>
      <w:r w:rsidR="00207075">
        <w:t>ionally produced content</w:t>
      </w:r>
      <w:r w:rsidR="005B5577">
        <w:t xml:space="preserve"> platforms</w:t>
      </w:r>
      <w:r w:rsidR="005E31BE">
        <w:t>.</w:t>
      </w:r>
      <w:r w:rsidR="008D542F">
        <w:t xml:space="preserve"> </w:t>
      </w:r>
      <w:r w:rsidR="00AF414C">
        <w:t>In the current content market, t</w:t>
      </w:r>
      <w:r w:rsidR="00CE3488">
        <w:t xml:space="preserve">here are varying levels of compliance with </w:t>
      </w:r>
      <w:r w:rsidR="00AF414C">
        <w:t>existing</w:t>
      </w:r>
      <w:r w:rsidR="00CE3488">
        <w:t xml:space="preserve"> classification laws. </w:t>
      </w:r>
      <w:r w:rsidR="005E31BE">
        <w:t>Since 2012, a number of reviews have taken place:</w:t>
      </w:r>
    </w:p>
    <w:p w:rsidR="005E31BE" w:rsidRDefault="005E31BE" w:rsidP="001629C7">
      <w:pPr>
        <w:pStyle w:val="Listparagraphbullets"/>
      </w:pPr>
      <w:r>
        <w:t xml:space="preserve">2012 – </w:t>
      </w:r>
      <w:proofErr w:type="gramStart"/>
      <w:r>
        <w:t>the</w:t>
      </w:r>
      <w:proofErr w:type="gramEnd"/>
      <w:r>
        <w:t xml:space="preserve"> </w:t>
      </w:r>
      <w:r w:rsidRPr="0067105B">
        <w:t>Australian Law Reform Commission</w:t>
      </w:r>
      <w:r>
        <w:t>’s review</w:t>
      </w:r>
      <w:r w:rsidRPr="0067105B">
        <w:t xml:space="preserve">, </w:t>
      </w:r>
      <w:r>
        <w:t>‘</w:t>
      </w:r>
      <w:r w:rsidRPr="0067105B">
        <w:t>Classification: Content Regulation and Convergent Media</w:t>
      </w:r>
      <w:r>
        <w:t>’ (ALRC review) which found that ‘the current classification scheme does not deal adequately with the challenges of media convergence and the volume of media content available to Australians.’</w:t>
      </w:r>
      <w:r>
        <w:rPr>
          <w:rStyle w:val="FootnoteReference"/>
        </w:rPr>
        <w:footnoteReference w:id="8"/>
      </w:r>
      <w:r>
        <w:t xml:space="preserve"> </w:t>
      </w:r>
      <w:r w:rsidR="00692A1D">
        <w:t xml:space="preserve">It </w:t>
      </w:r>
      <w:r>
        <w:t>made 57 recommendations</w:t>
      </w:r>
      <w:r w:rsidR="00054279">
        <w:t>, some of which were implemented in a first tranche of reforms.</w:t>
      </w:r>
      <w:r w:rsidR="00054279">
        <w:rPr>
          <w:rStyle w:val="FootnoteReference"/>
        </w:rPr>
        <w:footnoteReference w:id="9"/>
      </w:r>
    </w:p>
    <w:p w:rsidR="005E31BE" w:rsidRDefault="005E31BE" w:rsidP="001629C7">
      <w:pPr>
        <w:pStyle w:val="Listparagraphbullets"/>
      </w:pPr>
      <w:r>
        <w:t xml:space="preserve">2012 – </w:t>
      </w:r>
      <w:proofErr w:type="gramStart"/>
      <w:r>
        <w:t>a</w:t>
      </w:r>
      <w:proofErr w:type="gramEnd"/>
      <w:r>
        <w:t xml:space="preserve"> review of Australia's media and communications policy framework (the Convergence review) was conducted concurrently with the ALRC review. </w:t>
      </w:r>
      <w:r w:rsidR="00054279">
        <w:t>It</w:t>
      </w:r>
      <w:r>
        <w:t xml:space="preserve"> found that classification had evolved into a complex set of parallel and sometimes overlapping systems</w:t>
      </w:r>
      <w:r w:rsidR="00054279">
        <w:t xml:space="preserve"> and</w:t>
      </w:r>
      <w:r>
        <w:t xml:space="preserve"> </w:t>
      </w:r>
      <w:r w:rsidR="00054279">
        <w:t xml:space="preserve">it </w:t>
      </w:r>
      <w:r>
        <w:t>endorsed the findings of the ALRC review.</w:t>
      </w:r>
      <w:r>
        <w:rPr>
          <w:rStyle w:val="FootnoteReference"/>
        </w:rPr>
        <w:footnoteReference w:id="10"/>
      </w:r>
    </w:p>
    <w:p w:rsidR="001629C7" w:rsidRDefault="005E31BE" w:rsidP="001629C7">
      <w:pPr>
        <w:pStyle w:val="Listparagraphbullets"/>
      </w:pPr>
      <w:r>
        <w:t>2017 –</w:t>
      </w:r>
      <w:r w:rsidR="002D7AB4">
        <w:t xml:space="preserve"> </w:t>
      </w:r>
      <w:proofErr w:type="gramStart"/>
      <w:r w:rsidR="002D7AB4">
        <w:t>the</w:t>
      </w:r>
      <w:proofErr w:type="gramEnd"/>
      <w:r w:rsidR="002D7AB4">
        <w:t xml:space="preserve"> Department’s </w:t>
      </w:r>
      <w:r>
        <w:t>ACMA review recommended</w:t>
      </w:r>
      <w:r w:rsidRPr="00FE2FA8">
        <w:t xml:space="preserve"> that ‘the Department </w:t>
      </w:r>
      <w:r w:rsidR="004722E4">
        <w:t xml:space="preserve">will </w:t>
      </w:r>
      <w:r w:rsidRPr="00FE2FA8">
        <w:t>undertake further work on the potential to expand the ACMA’s remit to include the functions of the Classification Board and the Classification Review Board.’</w:t>
      </w:r>
      <w:r>
        <w:rPr>
          <w:rStyle w:val="FootnoteReference"/>
        </w:rPr>
        <w:footnoteReference w:id="11"/>
      </w:r>
    </w:p>
    <w:p w:rsidR="001629C7" w:rsidRPr="001629C7" w:rsidRDefault="00C21FAA" w:rsidP="0070502D">
      <w:pPr>
        <w:pStyle w:val="Listparagraphbullets"/>
      </w:pPr>
      <w:r w:rsidRPr="001629C7">
        <w:t xml:space="preserve">2018 – the Statutory Review of the Enhancing Online Safety Act 2015 and the Review of Schedules 5 and 7 to the </w:t>
      </w:r>
      <w:r w:rsidRPr="001201D2">
        <w:t xml:space="preserve">Broadcasting Services Act 1992 </w:t>
      </w:r>
      <w:r w:rsidRPr="001629C7">
        <w:t xml:space="preserve">(Online Content Scheme) recommended removing the requirement for the Board </w:t>
      </w:r>
      <w:r w:rsidRPr="001629C7">
        <w:lastRenderedPageBreak/>
        <w:t xml:space="preserve">to classify online content hosted in Australia before it can be taken down by the </w:t>
      </w:r>
      <w:proofErr w:type="spellStart"/>
      <w:r w:rsidRPr="001629C7">
        <w:t>eSafety</w:t>
      </w:r>
      <w:proofErr w:type="spellEnd"/>
      <w:r w:rsidRPr="001629C7">
        <w:t xml:space="preserve"> Commissioner, suggesting that the involvement of the Board should not be necessary</w:t>
      </w:r>
      <w:r w:rsidR="002C0017" w:rsidRPr="001629C7">
        <w:t xml:space="preserve"> to determine whether such content is harmful</w:t>
      </w:r>
      <w:r w:rsidRPr="001629C7">
        <w:t xml:space="preserve">. The review also suggested an alternative ‘harm standard’ should be developed for certain online content rather than  using classification standards (MA 15+, R 18+, X 18+ and Refused Classification </w:t>
      </w:r>
      <w:r w:rsidR="00516907" w:rsidRPr="001629C7">
        <w:t xml:space="preserve">standards </w:t>
      </w:r>
      <w:r w:rsidRPr="001629C7">
        <w:t>are currently used in the Online Content Scheme).</w:t>
      </w:r>
      <w:r w:rsidRPr="001629C7">
        <w:rPr>
          <w:rStyle w:val="FootnoteReference"/>
        </w:rPr>
        <w:footnoteReference w:id="12"/>
      </w:r>
      <w:r w:rsidR="00174698" w:rsidRPr="001629C7">
        <w:t xml:space="preserve"> Information on</w:t>
      </w:r>
      <w:r w:rsidR="00B1135C" w:rsidRPr="001629C7">
        <w:t xml:space="preserve"> the Department’s</w:t>
      </w:r>
      <w:r w:rsidR="00174698" w:rsidRPr="001629C7">
        <w:t xml:space="preserve"> work to progress this review is on the following page.</w:t>
      </w:r>
    </w:p>
    <w:p w:rsidR="005E31BE" w:rsidRPr="001629C7" w:rsidRDefault="005E31BE" w:rsidP="00CB1108">
      <w:pPr>
        <w:pStyle w:val="Listparagraphbullets"/>
        <w:spacing w:after="120"/>
      </w:pPr>
      <w:r w:rsidRPr="001629C7">
        <w:t xml:space="preserve">2019 – the </w:t>
      </w:r>
      <w:r w:rsidR="00920FF3" w:rsidRPr="001629C7">
        <w:t>Australian Competition and Consumer Commission’s (</w:t>
      </w:r>
      <w:r w:rsidRPr="001629C7">
        <w:t>ACCC</w:t>
      </w:r>
      <w:r w:rsidR="00920FF3" w:rsidRPr="001629C7">
        <w:t>)</w:t>
      </w:r>
      <w:r w:rsidRPr="001629C7">
        <w:t xml:space="preserve"> Digital Platforms Inquiry </w:t>
      </w:r>
      <w:r w:rsidR="00E24981" w:rsidRPr="001629C7">
        <w:t xml:space="preserve">final </w:t>
      </w:r>
      <w:r w:rsidRPr="001629C7">
        <w:t>report</w:t>
      </w:r>
      <w:r w:rsidR="00E24981" w:rsidRPr="001629C7">
        <w:t xml:space="preserve"> recommended</w:t>
      </w:r>
      <w:r w:rsidRPr="001629C7">
        <w:t xml:space="preserve"> </w:t>
      </w:r>
      <w:r w:rsidR="00E24981" w:rsidRPr="001629C7">
        <w:t xml:space="preserve">the development of a new platform-neutral regulatory framework including the creation of ‘a nationally uniform classification scheme to classify or restrict access to content </w:t>
      </w:r>
      <w:r w:rsidR="00E3682D" w:rsidRPr="001629C7">
        <w:t xml:space="preserve">consistently </w:t>
      </w:r>
      <w:r w:rsidR="00E24981" w:rsidRPr="001629C7">
        <w:t>ac</w:t>
      </w:r>
      <w:r w:rsidR="00054279" w:rsidRPr="001629C7">
        <w:t>ross different delivery formats</w:t>
      </w:r>
      <w:r w:rsidR="00E24981" w:rsidRPr="001629C7">
        <w:t>’</w:t>
      </w:r>
      <w:r w:rsidR="00054279" w:rsidRPr="001629C7">
        <w:t xml:space="preserve"> (Recommendation 6).</w:t>
      </w:r>
      <w:r w:rsidR="001E34E6" w:rsidRPr="001629C7">
        <w:rPr>
          <w:rStyle w:val="FootnoteReference"/>
        </w:rPr>
        <w:footnoteReference w:id="13"/>
      </w:r>
    </w:p>
    <w:p w:rsidR="001629C7" w:rsidRDefault="00D42E11" w:rsidP="00CB1108">
      <w:pPr>
        <w:spacing w:after="120"/>
      </w:pPr>
      <w:r>
        <w:t xml:space="preserve">This </w:t>
      </w:r>
      <w:r w:rsidR="00E40F16">
        <w:t>consultation process</w:t>
      </w:r>
      <w:r w:rsidR="00E24981">
        <w:t xml:space="preserve"> build</w:t>
      </w:r>
      <w:r w:rsidR="00E40F16">
        <w:t>s</w:t>
      </w:r>
      <w:r w:rsidR="00E24981">
        <w:t xml:space="preserve"> on past reviews to </w:t>
      </w:r>
      <w:r>
        <w:t xml:space="preserve">inform the development of </w:t>
      </w:r>
      <w:r w:rsidR="00E24981">
        <w:t>a modern classification framework. Since the ALRC review, t</w:t>
      </w:r>
      <w:r w:rsidR="005E31BE">
        <w:t>here have been significant technological and market changes</w:t>
      </w:r>
      <w:r w:rsidR="00E24981">
        <w:t xml:space="preserve"> as well as</w:t>
      </w:r>
      <w:r w:rsidR="005E31BE">
        <w:t xml:space="preserve"> regulatory changes</w:t>
      </w:r>
      <w:r w:rsidR="00E24981">
        <w:t>,</w:t>
      </w:r>
      <w:r w:rsidR="005E31BE">
        <w:t xml:space="preserve"> including the establishment of the </w:t>
      </w:r>
      <w:proofErr w:type="spellStart"/>
      <w:r w:rsidR="00F4204A">
        <w:t>eSafety</w:t>
      </w:r>
      <w:proofErr w:type="spellEnd"/>
      <w:r w:rsidR="00F4204A">
        <w:t xml:space="preserve"> Commissioner</w:t>
      </w:r>
      <w:r w:rsidR="005E31BE">
        <w:t xml:space="preserve"> in 2015 and changes to the Classification Act to ena</w:t>
      </w:r>
      <w:r w:rsidR="00F4204A">
        <w:t xml:space="preserve">ble the introduction of </w:t>
      </w:r>
      <w:r w:rsidR="007E2740">
        <w:t>classification</w:t>
      </w:r>
      <w:r w:rsidR="00F4204A">
        <w:t xml:space="preserve"> tools</w:t>
      </w:r>
      <w:r w:rsidR="007E2740">
        <w:t xml:space="preserve"> to generate decisions for classifiable content</w:t>
      </w:r>
      <w:r w:rsidR="005E31BE">
        <w:t xml:space="preserve">. </w:t>
      </w:r>
      <w:r>
        <w:t xml:space="preserve">It is timely to </w:t>
      </w:r>
      <w:r w:rsidR="00C24D40">
        <w:t xml:space="preserve">seek stakeholder and community views on classification to reflect </w:t>
      </w:r>
      <w:r w:rsidR="00E40F16">
        <w:t xml:space="preserve">a modern content </w:t>
      </w:r>
      <w:r w:rsidR="00C24D40">
        <w:t>market.</w:t>
      </w:r>
    </w:p>
    <w:p w:rsidR="00A5031E" w:rsidRDefault="008C0734" w:rsidP="00CB1108">
      <w:pPr>
        <w:spacing w:after="120"/>
      </w:pPr>
      <w:r>
        <w:t>Thi</w:t>
      </w:r>
      <w:r w:rsidR="00545384">
        <w:t xml:space="preserve">s review is one component of reform work </w:t>
      </w:r>
      <w:r w:rsidR="007E2740">
        <w:t>being undertaken</w:t>
      </w:r>
      <w:r w:rsidR="00753259">
        <w:t xml:space="preserve"> as part of the</w:t>
      </w:r>
      <w:r w:rsidR="00646D57">
        <w:t xml:space="preserve"> </w:t>
      </w:r>
      <w:r w:rsidR="00121C58">
        <w:t>G</w:t>
      </w:r>
      <w:r w:rsidR="00646D57">
        <w:t>overnment</w:t>
      </w:r>
      <w:r w:rsidR="00A25027">
        <w:t>’s r</w:t>
      </w:r>
      <w:r w:rsidR="00646D57">
        <w:t>esponse to</w:t>
      </w:r>
      <w:r w:rsidR="008D63C7">
        <w:t xml:space="preserve"> the ACCC</w:t>
      </w:r>
      <w:r w:rsidR="003F5F9D">
        <w:t>’s</w:t>
      </w:r>
      <w:r w:rsidR="008D63C7">
        <w:t xml:space="preserve"> </w:t>
      </w:r>
      <w:r w:rsidR="00545384">
        <w:t>Digital Platforms Inquiry</w:t>
      </w:r>
      <w:r w:rsidR="00753259">
        <w:t>. The Government response and regulatory roadmap is</w:t>
      </w:r>
      <w:r w:rsidR="008F3279">
        <w:t xml:space="preserve"> available at</w:t>
      </w:r>
      <w:r w:rsidR="00A5031E" w:rsidRPr="00F4646F">
        <w:t xml:space="preserve"> </w:t>
      </w:r>
      <w:hyperlink r:id="rId23" w:history="1">
        <w:r w:rsidR="00F4646F" w:rsidRPr="003232F3">
          <w:rPr>
            <w:rStyle w:val="Hyperlink"/>
          </w:rPr>
          <w:t>www.treasury.gov.au/publication/p2019-41708</w:t>
        </w:r>
      </w:hyperlink>
      <w:r w:rsidR="001629C7">
        <w:t>.</w:t>
      </w:r>
    </w:p>
    <w:p w:rsidR="00A45FA3" w:rsidRPr="002F5C38" w:rsidRDefault="00A45FA3" w:rsidP="001629C7">
      <w:pPr>
        <w:pBdr>
          <w:top w:val="single" w:sz="4" w:space="1" w:color="auto"/>
          <w:left w:val="single" w:sz="4" w:space="1" w:color="auto"/>
          <w:bottom w:val="single" w:sz="4" w:space="1" w:color="auto"/>
          <w:right w:val="single" w:sz="4" w:space="1" w:color="auto"/>
        </w:pBdr>
        <w:shd w:val="clear" w:color="auto" w:fill="DAE7F4"/>
        <w:spacing w:after="0" w:line="256" w:lineRule="auto"/>
        <w:rPr>
          <w:b/>
        </w:rPr>
      </w:pPr>
      <w:r>
        <w:rPr>
          <w:b/>
        </w:rPr>
        <w:t>Please note that the following issues are o</w:t>
      </w:r>
      <w:r w:rsidRPr="002F5C38">
        <w:rPr>
          <w:b/>
        </w:rPr>
        <w:t xml:space="preserve">ut of scope </w:t>
      </w:r>
      <w:r>
        <w:rPr>
          <w:b/>
        </w:rPr>
        <w:t>and comments on these issues cannot be considered:</w:t>
      </w:r>
    </w:p>
    <w:p w:rsidR="00A45FA3" w:rsidRDefault="00A45FA3" w:rsidP="001629C7">
      <w:pPr>
        <w:pStyle w:val="Listparagraphbullets"/>
        <w:pBdr>
          <w:top w:val="single" w:sz="4" w:space="1" w:color="auto"/>
          <w:left w:val="single" w:sz="4" w:space="1" w:color="auto"/>
          <w:bottom w:val="single" w:sz="4" w:space="1" w:color="auto"/>
          <w:right w:val="single" w:sz="4" w:space="1" w:color="auto"/>
        </w:pBdr>
        <w:shd w:val="clear" w:color="auto" w:fill="DAE7F4"/>
      </w:pPr>
      <w:r>
        <w:rPr>
          <w:b/>
        </w:rPr>
        <w:lastRenderedPageBreak/>
        <w:t>T</w:t>
      </w:r>
      <w:r w:rsidRPr="00FF0B4C">
        <w:rPr>
          <w:b/>
        </w:rPr>
        <w:t>he types of films, TV series and games being produced</w:t>
      </w:r>
      <w:r>
        <w:rPr>
          <w:b/>
        </w:rPr>
        <w:t>,</w:t>
      </w:r>
      <w:r>
        <w:t xml:space="preserve"> for example the level of violence in films, TV series or games being produced. While the content </w:t>
      </w:r>
      <w:r w:rsidR="000D3A09">
        <w:t>permissible</w:t>
      </w:r>
      <w:r>
        <w:t xml:space="preserve"> in each classification category and access to this content are within scope, the type of content that is produced is a decision for content producers.</w:t>
      </w:r>
    </w:p>
    <w:p w:rsidR="00A45FA3" w:rsidRDefault="00A45FA3" w:rsidP="001629C7">
      <w:pPr>
        <w:pStyle w:val="Listparagraphbullets"/>
        <w:pBdr>
          <w:top w:val="single" w:sz="4" w:space="1" w:color="auto"/>
          <w:left w:val="single" w:sz="4" w:space="1" w:color="auto"/>
          <w:bottom w:val="single" w:sz="4" w:space="1" w:color="auto"/>
          <w:right w:val="single" w:sz="4" w:space="1" w:color="auto"/>
        </w:pBdr>
        <w:shd w:val="clear" w:color="auto" w:fill="DAE7F4"/>
      </w:pPr>
      <w:r>
        <w:rPr>
          <w:b/>
        </w:rPr>
        <w:t>Merchandise for</w:t>
      </w:r>
      <w:r w:rsidRPr="00FF0B4C">
        <w:rPr>
          <w:b/>
        </w:rPr>
        <w:t xml:space="preserve"> film</w:t>
      </w:r>
      <w:r>
        <w:rPr>
          <w:b/>
        </w:rPr>
        <w:t>s</w:t>
      </w:r>
      <w:r w:rsidRPr="00FF0B4C">
        <w:rPr>
          <w:b/>
        </w:rPr>
        <w:t xml:space="preserve"> and </w:t>
      </w:r>
      <w:r>
        <w:rPr>
          <w:b/>
        </w:rPr>
        <w:t xml:space="preserve">computer games, </w:t>
      </w:r>
      <w:r>
        <w:t>for example figurines available at food outlets and toy stores.</w:t>
      </w:r>
    </w:p>
    <w:p w:rsidR="00A45FA3" w:rsidRPr="000869BE" w:rsidRDefault="00A45FA3" w:rsidP="001629C7">
      <w:pPr>
        <w:pStyle w:val="Listparagraphbullets"/>
        <w:pBdr>
          <w:top w:val="single" w:sz="4" w:space="1" w:color="auto"/>
          <w:left w:val="single" w:sz="4" w:space="1" w:color="auto"/>
          <w:bottom w:val="single" w:sz="4" w:space="1" w:color="auto"/>
          <w:right w:val="single" w:sz="4" w:space="1" w:color="auto"/>
        </w:pBdr>
        <w:shd w:val="clear" w:color="auto" w:fill="DAE7F4"/>
      </w:pPr>
      <w:r>
        <w:rPr>
          <w:b/>
        </w:rPr>
        <w:t>A</w:t>
      </w:r>
      <w:r w:rsidRPr="00FF0B4C">
        <w:rPr>
          <w:b/>
        </w:rPr>
        <w:t>dvertising</w:t>
      </w:r>
      <w:r>
        <w:rPr>
          <w:b/>
        </w:rPr>
        <w:t xml:space="preserve"> </w:t>
      </w:r>
      <w:r w:rsidRPr="00FF0B4C">
        <w:rPr>
          <w:b/>
        </w:rPr>
        <w:t>in general</w:t>
      </w:r>
      <w:r>
        <w:rPr>
          <w:b/>
        </w:rPr>
        <w:t>,</w:t>
      </w:r>
      <w:r>
        <w:t xml:space="preserve"> for example</w:t>
      </w:r>
      <w:r w:rsidRPr="00E31854">
        <w:t xml:space="preserve"> on television, </w:t>
      </w:r>
      <w:proofErr w:type="spellStart"/>
      <w:r>
        <w:t>catchup</w:t>
      </w:r>
      <w:proofErr w:type="spellEnd"/>
      <w:r>
        <w:t xml:space="preserve"> TV, </w:t>
      </w:r>
      <w:r w:rsidRPr="00E31854">
        <w:t xml:space="preserve">games </w:t>
      </w:r>
      <w:r>
        <w:t>and in</w:t>
      </w:r>
      <w:r w:rsidRPr="00E31854">
        <w:t xml:space="preserve"> cinemas</w:t>
      </w:r>
      <w:r>
        <w:t>. A</w:t>
      </w:r>
      <w:r w:rsidRPr="00F76C8A">
        <w:t>dvertising</w:t>
      </w:r>
      <w:r>
        <w:t xml:space="preserve"> for classifiable content such as film and game trailers and posters are within the scope.</w:t>
      </w:r>
    </w:p>
    <w:p w:rsidR="001629C7" w:rsidRDefault="00A45FA3" w:rsidP="001629C7">
      <w:pPr>
        <w:pStyle w:val="Listparagraphbullets"/>
        <w:pBdr>
          <w:top w:val="single" w:sz="4" w:space="1" w:color="auto"/>
          <w:left w:val="single" w:sz="4" w:space="1" w:color="auto"/>
          <w:bottom w:val="single" w:sz="4" w:space="1" w:color="auto"/>
          <w:right w:val="single" w:sz="4" w:space="1" w:color="auto"/>
        </w:pBdr>
        <w:shd w:val="clear" w:color="auto" w:fill="DAE7F4"/>
        <w:rPr>
          <w:b/>
        </w:rPr>
      </w:pPr>
      <w:r>
        <w:rPr>
          <w:b/>
        </w:rPr>
        <w:t>Specific</w:t>
      </w:r>
      <w:r w:rsidRPr="00FF0B4C">
        <w:rPr>
          <w:b/>
        </w:rPr>
        <w:t xml:space="preserve"> time zones in which classified content is shown </w:t>
      </w:r>
      <w:r>
        <w:rPr>
          <w:b/>
        </w:rPr>
        <w:t>o</w:t>
      </w:r>
      <w:r w:rsidRPr="00FF0B4C">
        <w:rPr>
          <w:b/>
        </w:rPr>
        <w:t>n</w:t>
      </w:r>
      <w:r>
        <w:rPr>
          <w:b/>
        </w:rPr>
        <w:t xml:space="preserve"> broadcast television</w:t>
      </w:r>
      <w:r w:rsidRPr="00FF0B4C">
        <w:rPr>
          <w:b/>
        </w:rPr>
        <w:t>.</w:t>
      </w:r>
    </w:p>
    <w:p w:rsidR="001629C7" w:rsidRDefault="00A45FA3" w:rsidP="001629C7">
      <w:pPr>
        <w:pStyle w:val="Listparagraphbullets"/>
        <w:pBdr>
          <w:top w:val="single" w:sz="4" w:space="1" w:color="auto"/>
          <w:left w:val="single" w:sz="4" w:space="1" w:color="auto"/>
          <w:bottom w:val="single" w:sz="4" w:space="1" w:color="auto"/>
          <w:right w:val="single" w:sz="4" w:space="1" w:color="auto"/>
        </w:pBdr>
        <w:shd w:val="clear" w:color="auto" w:fill="DAE7F4"/>
        <w:rPr>
          <w:b/>
        </w:rPr>
      </w:pPr>
      <w:r>
        <w:rPr>
          <w:b/>
        </w:rPr>
        <w:t>News</w:t>
      </w:r>
      <w:r w:rsidR="007D0158">
        <w:rPr>
          <w:b/>
        </w:rPr>
        <w:t>,</w:t>
      </w:r>
      <w:r>
        <w:rPr>
          <w:b/>
        </w:rPr>
        <w:t xml:space="preserve"> current affairs </w:t>
      </w:r>
      <w:r w:rsidR="007D0158">
        <w:rPr>
          <w:b/>
        </w:rPr>
        <w:t xml:space="preserve">and sports </w:t>
      </w:r>
      <w:r>
        <w:rPr>
          <w:b/>
        </w:rPr>
        <w:t>broadcast on television.</w:t>
      </w:r>
    </w:p>
    <w:p w:rsidR="00A45FA3" w:rsidRPr="009B21B9" w:rsidRDefault="00A45FA3" w:rsidP="001629C7">
      <w:pPr>
        <w:pStyle w:val="Listparagraphbullets"/>
        <w:pBdr>
          <w:top w:val="single" w:sz="4" w:space="1" w:color="auto"/>
          <w:left w:val="single" w:sz="4" w:space="1" w:color="auto"/>
          <w:bottom w:val="single" w:sz="4" w:space="1" w:color="auto"/>
          <w:right w:val="single" w:sz="4" w:space="1" w:color="auto"/>
        </w:pBdr>
        <w:shd w:val="clear" w:color="auto" w:fill="DAE7F4"/>
        <w:rPr>
          <w:b/>
        </w:rPr>
      </w:pPr>
      <w:r w:rsidRPr="009B21B9">
        <w:rPr>
          <w:b/>
        </w:rPr>
        <w:t xml:space="preserve">Quotas for the production of Australian content and </w:t>
      </w:r>
      <w:r>
        <w:rPr>
          <w:b/>
        </w:rPr>
        <w:t>r</w:t>
      </w:r>
      <w:r w:rsidRPr="009B21B9">
        <w:rPr>
          <w:b/>
        </w:rPr>
        <w:t>egulatory arrangements for programs broadcast on commercial free-to-air television for children of school age (C) and for preschool children (P).</w:t>
      </w:r>
      <w:r w:rsidRPr="00304B85">
        <w:rPr>
          <w:rStyle w:val="FootnoteReference"/>
          <w:b/>
        </w:rPr>
        <w:footnoteReference w:id="14"/>
      </w:r>
    </w:p>
    <w:p w:rsidR="00A45FA3" w:rsidRDefault="00A45FA3" w:rsidP="001629C7">
      <w:pPr>
        <w:pStyle w:val="Listparagraphbullets"/>
        <w:pBdr>
          <w:top w:val="single" w:sz="4" w:space="1" w:color="auto"/>
          <w:left w:val="single" w:sz="4" w:space="1" w:color="auto"/>
          <w:bottom w:val="single" w:sz="4" w:space="1" w:color="auto"/>
          <w:right w:val="single" w:sz="4" w:space="1" w:color="auto"/>
        </w:pBdr>
        <w:shd w:val="clear" w:color="auto" w:fill="DAE7F4"/>
        <w:rPr>
          <w:b/>
        </w:rPr>
      </w:pPr>
      <w:r w:rsidRPr="00EE29C4">
        <w:rPr>
          <w:b/>
        </w:rPr>
        <w:t xml:space="preserve">Part 10 of the Classification Act, which is the responsibility </w:t>
      </w:r>
      <w:r w:rsidR="002635A0">
        <w:rPr>
          <w:b/>
        </w:rPr>
        <w:t>of</w:t>
      </w:r>
      <w:r w:rsidR="002635A0" w:rsidRPr="00EE29C4">
        <w:rPr>
          <w:b/>
        </w:rPr>
        <w:t xml:space="preserve"> </w:t>
      </w:r>
      <w:r w:rsidRPr="00EE29C4">
        <w:rPr>
          <w:b/>
        </w:rPr>
        <w:t>the Minister for Indigenous Australians.</w:t>
      </w:r>
    </w:p>
    <w:p w:rsidR="00A3082F" w:rsidRDefault="00A3082F" w:rsidP="00A3082F">
      <w:pPr>
        <w:pStyle w:val="Heading2"/>
      </w:pPr>
      <w:bookmarkStart w:id="28" w:name="_Toc23249338"/>
      <w:bookmarkStart w:id="29" w:name="_Toc23425788"/>
      <w:bookmarkStart w:id="30" w:name="_Toc23426117"/>
      <w:bookmarkStart w:id="31" w:name="_Toc23428010"/>
      <w:bookmarkStart w:id="32" w:name="_Toc23431519"/>
      <w:bookmarkStart w:id="33" w:name="_Toc29289952"/>
      <w:r>
        <w:t>Submitting your comments</w:t>
      </w:r>
      <w:bookmarkEnd w:id="28"/>
      <w:bookmarkEnd w:id="29"/>
      <w:bookmarkEnd w:id="30"/>
      <w:bookmarkEnd w:id="31"/>
      <w:bookmarkEnd w:id="32"/>
      <w:bookmarkEnd w:id="33"/>
    </w:p>
    <w:p w:rsidR="00753259" w:rsidRDefault="00A3082F" w:rsidP="00753259">
      <w:pPr>
        <w:rPr>
          <w:rFonts w:ascii="Calibri Light" w:eastAsia="MingLiU" w:hAnsi="Calibri Light" w:cs="Mangal"/>
          <w:b/>
          <w:color w:val="001C40"/>
          <w:sz w:val="30"/>
          <w:szCs w:val="24"/>
        </w:rPr>
      </w:pPr>
      <w:bookmarkStart w:id="34" w:name="_Toc23249320"/>
      <w:bookmarkStart w:id="35" w:name="_Toc23425790"/>
      <w:bookmarkStart w:id="36" w:name="_Toc23426119"/>
      <w:bookmarkStart w:id="37" w:name="_Toc23428012"/>
      <w:bookmarkStart w:id="38" w:name="_Toc23431521"/>
      <w:bookmarkStart w:id="39" w:name="_Toc23249319"/>
      <w:r w:rsidRPr="00D87861">
        <w:rPr>
          <w:rFonts w:ascii="Calibri Light" w:eastAsia="MingLiU" w:hAnsi="Calibri Light" w:cs="Mangal"/>
          <w:b/>
          <w:color w:val="001C40"/>
          <w:sz w:val="30"/>
          <w:szCs w:val="24"/>
        </w:rPr>
        <w:t>Before you comment</w:t>
      </w:r>
      <w:bookmarkEnd w:id="34"/>
      <w:bookmarkEnd w:id="35"/>
      <w:bookmarkEnd w:id="36"/>
      <w:bookmarkEnd w:id="37"/>
      <w:bookmarkEnd w:id="38"/>
    </w:p>
    <w:p w:rsidR="001629C7" w:rsidRDefault="00A45FA3" w:rsidP="009B5351">
      <w:pPr>
        <w:spacing w:after="160" w:line="257" w:lineRule="auto"/>
        <w:rPr>
          <w:b/>
        </w:rPr>
      </w:pPr>
      <w:r>
        <w:rPr>
          <w:b/>
        </w:rPr>
        <w:t>Current c</w:t>
      </w:r>
      <w:r w:rsidR="009B5351">
        <w:rPr>
          <w:b/>
        </w:rPr>
        <w:t>onsultation on a new Online Safety Act</w:t>
      </w:r>
    </w:p>
    <w:p w:rsidR="009B5351" w:rsidRDefault="009B5351" w:rsidP="00AB56DD">
      <w:pPr>
        <w:spacing w:after="160"/>
      </w:pPr>
      <w:r>
        <w:t>To complement this review of classification regulation, the Government is also developing a new Online Safety Act, informed by the Statutory</w:t>
      </w:r>
      <w:r w:rsidRPr="00A80CBA">
        <w:t xml:space="preserve"> </w:t>
      </w:r>
      <w:r>
        <w:t>R</w:t>
      </w:r>
      <w:r w:rsidRPr="00A80CBA">
        <w:t xml:space="preserve">eview of the Enhancing Online Safety Act 2015 and Schedules 5 and 7 </w:t>
      </w:r>
      <w:r>
        <w:t>to</w:t>
      </w:r>
      <w:r w:rsidRPr="00A80CBA">
        <w:t xml:space="preserve"> the </w:t>
      </w:r>
      <w:r>
        <w:t xml:space="preserve">BSA (Online </w:t>
      </w:r>
      <w:r>
        <w:lastRenderedPageBreak/>
        <w:t xml:space="preserve">Content Scheme). </w:t>
      </w:r>
      <w:r w:rsidR="00B1135C" w:rsidRPr="00B1135C">
        <w:t xml:space="preserve">On 11 December 2019, the Department launched a consultation seeking feedback on proposals for a new Online Safety Act to improve Australia's online safety regulatory framework. One of these proposals includes empowering the </w:t>
      </w:r>
      <w:proofErr w:type="spellStart"/>
      <w:r w:rsidR="00B1135C" w:rsidRPr="00B1135C">
        <w:t>eSafety</w:t>
      </w:r>
      <w:proofErr w:type="spellEnd"/>
      <w:r w:rsidR="00B1135C" w:rsidRPr="00B1135C">
        <w:t xml:space="preserve"> Commissioner to determine if particular online content is harmful enough to require take</w:t>
      </w:r>
      <w:r w:rsidR="00630376">
        <w:noBreakHyphen/>
      </w:r>
      <w:r w:rsidR="00B1135C" w:rsidRPr="00B1135C">
        <w:t>down action, rather than using the existing and more time-consuming Board process.</w:t>
      </w:r>
    </w:p>
    <w:p w:rsidR="009B5351" w:rsidRDefault="009B5351" w:rsidP="00B1135C">
      <w:pPr>
        <w:pBdr>
          <w:top w:val="single" w:sz="4" w:space="1" w:color="auto"/>
          <w:left w:val="single" w:sz="4" w:space="4" w:color="auto"/>
          <w:bottom w:val="single" w:sz="4" w:space="1" w:color="auto"/>
          <w:right w:val="single" w:sz="4" w:space="4" w:color="auto"/>
        </w:pBdr>
        <w:shd w:val="clear" w:color="auto" w:fill="DAE7F4" w:themeFill="accent4" w:themeFillTint="33"/>
        <w:spacing w:after="160" w:line="257" w:lineRule="auto"/>
      </w:pPr>
      <w:r>
        <w:t xml:space="preserve">A public consultation process is currently in place to inform development of the new Online Safety Act. Information about this consultation process and how to make a submission is available at </w:t>
      </w:r>
      <w:hyperlink r:id="rId24" w:history="1">
        <w:r w:rsidRPr="00B03878">
          <w:rPr>
            <w:rStyle w:val="Hyperlink"/>
          </w:rPr>
          <w:t>www.communications.gov.au/have-your-say/consultation-new-online-safety-act</w:t>
        </w:r>
      </w:hyperlink>
      <w:r w:rsidRPr="00F66ECD">
        <w:t>.</w:t>
      </w:r>
    </w:p>
    <w:p w:rsidR="009B5351" w:rsidRPr="00273105" w:rsidRDefault="00630376" w:rsidP="00A95052">
      <w:pPr>
        <w:pBdr>
          <w:top w:val="single" w:sz="4" w:space="1" w:color="auto"/>
          <w:left w:val="single" w:sz="4" w:space="4" w:color="auto"/>
          <w:bottom w:val="single" w:sz="4" w:space="1" w:color="auto"/>
          <w:right w:val="single" w:sz="4" w:space="4" w:color="auto"/>
        </w:pBdr>
        <w:shd w:val="clear" w:color="auto" w:fill="DAE7F4" w:themeFill="accent4" w:themeFillTint="33"/>
        <w:spacing w:after="160" w:line="257" w:lineRule="auto"/>
      </w:pPr>
      <w:r>
        <w:t xml:space="preserve">The development of a new Online Safety Act covers cyberbullying, image-based abuse and other online issues of concern. </w:t>
      </w:r>
      <w:r w:rsidR="009B5351">
        <w:t xml:space="preserve">If your concerns are not specifically related to classification, you may consider providing a submission to inform the development of a new Online Safety Act. Submissions are due </w:t>
      </w:r>
      <w:r w:rsidR="00F12556">
        <w:t xml:space="preserve">by </w:t>
      </w:r>
      <w:r w:rsidR="009B5351">
        <w:t>19 February 2020.</w:t>
      </w:r>
    </w:p>
    <w:p w:rsidR="00330DE0" w:rsidRDefault="00330DE0" w:rsidP="00330DE0">
      <w:pPr>
        <w:rPr>
          <w:b/>
        </w:rPr>
      </w:pPr>
      <w:r>
        <w:rPr>
          <w:b/>
        </w:rPr>
        <w:t>Community research reports</w:t>
      </w:r>
    </w:p>
    <w:p w:rsidR="001629C7" w:rsidRDefault="00330DE0" w:rsidP="001629C7">
      <w:r>
        <w:t xml:space="preserve">You may find the following research reports on </w:t>
      </w:r>
      <w:hyperlink r:id="rId25" w:history="1">
        <w:r>
          <w:rPr>
            <w:rStyle w:val="Hyperlink"/>
          </w:rPr>
          <w:t>www.classification.gov.au</w:t>
        </w:r>
      </w:hyperlink>
      <w:r>
        <w:rPr>
          <w:rStyle w:val="Hyperlink"/>
        </w:rPr>
        <w:t xml:space="preserve"> </w:t>
      </w:r>
      <w:r>
        <w:t>useful when considering the questions in this paper. These reports reflect qualitative or quantitative research conducted or commissioned by the Department to better understand Australian community behaviours, views and expectations on classification.</w:t>
      </w:r>
    </w:p>
    <w:p w:rsidR="001629C7" w:rsidRDefault="00330DE0" w:rsidP="001629C7">
      <w:pPr>
        <w:pStyle w:val="Listparagraphbullets"/>
      </w:pPr>
      <w:r>
        <w:t>Community standards and media content: research with the general public (</w:t>
      </w:r>
      <w:proofErr w:type="spellStart"/>
      <w:r>
        <w:t>DoCA</w:t>
      </w:r>
      <w:proofErr w:type="spellEnd"/>
      <w:r>
        <w:t>, 2016)</w:t>
      </w:r>
    </w:p>
    <w:p w:rsidR="001629C7" w:rsidRDefault="00330DE0" w:rsidP="001629C7">
      <w:pPr>
        <w:pStyle w:val="Listparagraphbullets"/>
      </w:pPr>
      <w:r>
        <w:t>Classification usage and attitudes research (</w:t>
      </w:r>
      <w:proofErr w:type="spellStart"/>
      <w:r>
        <w:t>DoCA</w:t>
      </w:r>
      <w:proofErr w:type="spellEnd"/>
      <w:r>
        <w:t>, 2016)</w:t>
      </w:r>
    </w:p>
    <w:p w:rsidR="00330DE0" w:rsidRDefault="00330DE0" w:rsidP="001629C7">
      <w:pPr>
        <w:pStyle w:val="Listparagraphbullets"/>
      </w:pPr>
      <w:r>
        <w:t>Computer games content research (</w:t>
      </w:r>
      <w:proofErr w:type="spellStart"/>
      <w:r>
        <w:t>Whereto</w:t>
      </w:r>
      <w:proofErr w:type="spellEnd"/>
      <w:r>
        <w:t xml:space="preserve"> Research Based Consulting, 2018)</w:t>
      </w:r>
    </w:p>
    <w:p w:rsidR="00330DE0" w:rsidRPr="002F1C79" w:rsidRDefault="00330DE0" w:rsidP="001629C7">
      <w:pPr>
        <w:pStyle w:val="Listparagraphbullets"/>
        <w:rPr>
          <w:rFonts w:ascii="Times New Roman" w:hAnsi="Times New Roman" w:cs="Times New Roman"/>
          <w:sz w:val="24"/>
          <w:szCs w:val="24"/>
          <w:lang w:eastAsia="en-AU"/>
        </w:rPr>
      </w:pPr>
      <w:r w:rsidRPr="002F1C79">
        <w:lastRenderedPageBreak/>
        <w:t>Classification survey report: findings on loot boxes and simulated gambling in games</w:t>
      </w:r>
      <w:r>
        <w:t xml:space="preserve"> (</w:t>
      </w:r>
      <w:proofErr w:type="spellStart"/>
      <w:r>
        <w:t>DoCA</w:t>
      </w:r>
      <w:proofErr w:type="spellEnd"/>
      <w:r>
        <w:t>, 2018).</w:t>
      </w:r>
      <w:r>
        <w:rPr>
          <w:rStyle w:val="FootnoteReference"/>
        </w:rPr>
        <w:footnoteReference w:id="15"/>
      </w:r>
    </w:p>
    <w:p w:rsidR="00753259" w:rsidRDefault="00753259" w:rsidP="00753259">
      <w:pPr>
        <w:pStyle w:val="Heading3"/>
      </w:pPr>
      <w:bookmarkStart w:id="40" w:name="_Toc23425791"/>
      <w:bookmarkStart w:id="41" w:name="_Toc23426120"/>
      <w:bookmarkStart w:id="42" w:name="_Toc23428013"/>
      <w:bookmarkStart w:id="43" w:name="_Toc23431522"/>
      <w:bookmarkStart w:id="44" w:name="_Toc29289953"/>
      <w:r>
        <w:t>How to submit comments</w:t>
      </w:r>
      <w:bookmarkEnd w:id="44"/>
    </w:p>
    <w:p w:rsidR="00753259" w:rsidRDefault="00753259" w:rsidP="001629C7">
      <w:pPr>
        <w:keepNext/>
      </w:pPr>
      <w:r>
        <w:t xml:space="preserve">The Department invites submissions by </w:t>
      </w:r>
      <w:r w:rsidR="00233FEF" w:rsidRPr="00C5578E">
        <w:rPr>
          <w:b/>
        </w:rPr>
        <w:t>19 February</w:t>
      </w:r>
      <w:r w:rsidRPr="00C5578E">
        <w:rPr>
          <w:b/>
        </w:rPr>
        <w:t xml:space="preserve"> 2020</w:t>
      </w:r>
      <w:r w:rsidR="00F12556">
        <w:rPr>
          <w:b/>
        </w:rPr>
        <w:t>, 17.00 AEDT</w:t>
      </w:r>
      <w:r>
        <w:t>.</w:t>
      </w:r>
    </w:p>
    <w:p w:rsidR="001629C7" w:rsidRDefault="00753259" w:rsidP="00753259">
      <w:pPr>
        <w:rPr>
          <w:rStyle w:val="Hyperlink"/>
          <w:u w:val="none"/>
        </w:rPr>
      </w:pPr>
      <w:r>
        <w:t xml:space="preserve">Submissions should be lodged via the submission form on the Department’s website at </w:t>
      </w:r>
      <w:hyperlink r:id="rId26" w:history="1">
        <w:r>
          <w:rPr>
            <w:rStyle w:val="Hyperlink"/>
          </w:rPr>
          <w:t>www.communications.gov.au/have-your-say</w:t>
        </w:r>
      </w:hyperlink>
      <w:r w:rsidRPr="000C686B">
        <w:rPr>
          <w:rStyle w:val="Hyperlink"/>
          <w:u w:val="none"/>
        </w:rPr>
        <w:t>.</w:t>
      </w:r>
    </w:p>
    <w:p w:rsidR="001629C7" w:rsidRDefault="00753259" w:rsidP="00753259">
      <w:r>
        <w:t>Please provide your name, organisation (if relevant) and contact details along with your submission. The Department will not consider submissions without verifiable contact details.</w:t>
      </w:r>
    </w:p>
    <w:p w:rsidR="00753259" w:rsidRDefault="00753259" w:rsidP="00753259">
      <w:pPr>
        <w:spacing w:line="259" w:lineRule="auto"/>
      </w:pPr>
      <w:r w:rsidRPr="00156B1D">
        <w:t xml:space="preserve">If you have any questions about the submission process or </w:t>
      </w:r>
      <w:r>
        <w:t>cannot</w:t>
      </w:r>
      <w:r w:rsidRPr="00156B1D">
        <w:t xml:space="preserve"> submit your comments through the online form, </w:t>
      </w:r>
      <w:r>
        <w:t xml:space="preserve">please email </w:t>
      </w:r>
      <w:hyperlink r:id="rId27" w:history="1">
        <w:r w:rsidRPr="00AD7E79">
          <w:rPr>
            <w:rStyle w:val="Hyperlink"/>
          </w:rPr>
          <w:t>consultation@classification.gov.au</w:t>
        </w:r>
      </w:hyperlink>
      <w:hyperlink r:id="rId28" w:history="1"/>
      <w:r w:rsidRPr="00156B1D">
        <w:t xml:space="preserve"> or post your submission to:</w:t>
      </w:r>
    </w:p>
    <w:p w:rsidR="00753259" w:rsidRPr="006721BA" w:rsidRDefault="00753259" w:rsidP="001629C7">
      <w:pPr>
        <w:ind w:left="567"/>
        <w:contextualSpacing/>
        <w:rPr>
          <w:rStyle w:val="Hyperlink"/>
          <w:color w:val="auto"/>
          <w:u w:val="none"/>
        </w:rPr>
      </w:pPr>
      <w:r w:rsidRPr="00B06835">
        <w:rPr>
          <w:rStyle w:val="Hyperlink"/>
          <w:color w:val="auto"/>
          <w:u w:val="none"/>
        </w:rPr>
        <w:t>Director, Policy and Research</w:t>
      </w:r>
      <w:r>
        <w:rPr>
          <w:rStyle w:val="Hyperlink"/>
          <w:color w:val="auto"/>
          <w:u w:val="none"/>
        </w:rPr>
        <w:t>, Classification Branch</w:t>
      </w:r>
    </w:p>
    <w:p w:rsidR="00753259" w:rsidRPr="008520FD" w:rsidRDefault="00753259" w:rsidP="001629C7">
      <w:pPr>
        <w:ind w:left="567"/>
        <w:contextualSpacing/>
        <w:rPr>
          <w:rStyle w:val="Hyperlink"/>
          <w:color w:val="auto"/>
          <w:u w:val="none"/>
        </w:rPr>
      </w:pPr>
      <w:r w:rsidRPr="008520FD">
        <w:rPr>
          <w:rStyle w:val="Hyperlink"/>
          <w:color w:val="auto"/>
          <w:u w:val="none"/>
        </w:rPr>
        <w:t>Department of Communications and the Arts</w:t>
      </w:r>
    </w:p>
    <w:p w:rsidR="00753259" w:rsidRPr="008520FD" w:rsidRDefault="00753259" w:rsidP="001629C7">
      <w:pPr>
        <w:ind w:left="567"/>
        <w:contextualSpacing/>
        <w:rPr>
          <w:rStyle w:val="Hyperlink"/>
          <w:color w:val="auto"/>
          <w:u w:val="none"/>
        </w:rPr>
      </w:pPr>
      <w:r w:rsidRPr="008520FD">
        <w:rPr>
          <w:rStyle w:val="Hyperlink"/>
          <w:color w:val="auto"/>
          <w:u w:val="none"/>
        </w:rPr>
        <w:t>Locked Bag 3</w:t>
      </w:r>
    </w:p>
    <w:p w:rsidR="001629C7" w:rsidRDefault="00753259" w:rsidP="001629C7">
      <w:pPr>
        <w:ind w:left="567"/>
        <w:rPr>
          <w:rStyle w:val="Hyperlink"/>
          <w:color w:val="auto"/>
          <w:u w:val="none"/>
        </w:rPr>
      </w:pPr>
      <w:r w:rsidRPr="008520FD">
        <w:rPr>
          <w:rStyle w:val="Hyperlink"/>
          <w:color w:val="auto"/>
          <w:u w:val="none"/>
        </w:rPr>
        <w:t>Haymarket NSW 1240</w:t>
      </w:r>
    </w:p>
    <w:p w:rsidR="001629C7" w:rsidRDefault="00753259" w:rsidP="00753259">
      <w:r>
        <w:t>Submissions will be treated as non-confidential information and may be made publicly available on the Department’s website, unless you specifically request that your submission, or a part of your submission, is kept confiden</w:t>
      </w:r>
      <w:r>
        <w:lastRenderedPageBreak/>
        <w:t>tial. Please note that if the Department makes a submission or part of a submission publicly available, the respondent’s name will be included. You should clearly indicate when submitting your comments if you do not wish your name to be included in anything that the Department may publish relating to the consultation.</w:t>
      </w:r>
    </w:p>
    <w:p w:rsidR="00753259" w:rsidRDefault="00753259" w:rsidP="00753259">
      <w:r>
        <w:t xml:space="preserve">The Department reserves the right not to publish a submission, or any part of a submission, at its absolute discretion. The Department will not enter into any correspondence with respondents in relation to any decisions not to publish a submission in whole or in part. The Department is subject to the </w:t>
      </w:r>
      <w:r>
        <w:rPr>
          <w:i/>
        </w:rPr>
        <w:t>Freedom of Information Act 1982</w:t>
      </w:r>
      <w:r>
        <w:t xml:space="preserve"> and may be required to disclose submissions in response to requests made under that Act.</w:t>
      </w:r>
    </w:p>
    <w:p w:rsidR="001629C7" w:rsidRDefault="00753259" w:rsidP="00753259">
      <w:r>
        <w:t xml:space="preserve">The </w:t>
      </w:r>
      <w:r>
        <w:rPr>
          <w:i/>
        </w:rPr>
        <w:t>Privacy Act 1988</w:t>
      </w:r>
      <w:r>
        <w:t xml:space="preserve"> (Privacy Act) establishes certain principles regarding the collection, use and disclosure of information about individuals. Any personal information respondents provide to the Department through submissions will be used for purposes related to considering issues raised in this paper, in accordance with the Privacy Act.</w:t>
      </w:r>
    </w:p>
    <w:p w:rsidR="00753259" w:rsidRDefault="00753259" w:rsidP="00753259">
      <w:pPr>
        <w:pStyle w:val="Heading3"/>
      </w:pPr>
      <w:bookmarkStart w:id="45" w:name="_Toc23249339"/>
      <w:bookmarkStart w:id="46" w:name="_Toc23425789"/>
      <w:bookmarkStart w:id="47" w:name="_Toc23426118"/>
      <w:bookmarkStart w:id="48" w:name="_Toc23428011"/>
      <w:bookmarkStart w:id="49" w:name="_Toc23431520"/>
      <w:bookmarkStart w:id="50" w:name="_Toc29289954"/>
      <w:r>
        <w:t>What happens next</w:t>
      </w:r>
      <w:bookmarkEnd w:id="45"/>
      <w:bookmarkEnd w:id="46"/>
      <w:bookmarkEnd w:id="47"/>
      <w:bookmarkEnd w:id="48"/>
      <w:bookmarkEnd w:id="49"/>
      <w:bookmarkEnd w:id="50"/>
    </w:p>
    <w:p w:rsidR="001629C7" w:rsidRDefault="00753259" w:rsidP="00753259">
      <w:r>
        <w:t>The independent expert leading the review, Mr Neville Stevens AO, and the Department may consult further with stakeholders as needed. After submissions are analysed, Mr Stevens will present a report to the Minister for Communications, Cyber Safety and the Arts for consideration.</w:t>
      </w:r>
    </w:p>
    <w:p w:rsidR="00753259" w:rsidRDefault="00753259" w:rsidP="00753259">
      <w:r>
        <w:t xml:space="preserve">Under an intergovernmental agreement, all Commonwealth, state and territory classification Ministers must </w:t>
      </w:r>
      <w:r w:rsidRPr="009F13E2">
        <w:rPr>
          <w:i/>
        </w:rPr>
        <w:t>unanimously</w:t>
      </w:r>
      <w:r>
        <w:t xml:space="preserve"> agree to any amended Code, Films Guidelines and Computer Games Guidelines. This will be considered through the Council of Attorneys-General process.</w:t>
      </w:r>
    </w:p>
    <w:p w:rsidR="00A3082F" w:rsidRDefault="00A3082F" w:rsidP="00EE29C4">
      <w:pPr>
        <w:pStyle w:val="Heading2"/>
      </w:pPr>
      <w:bookmarkStart w:id="51" w:name="_Toc29289955"/>
      <w:r>
        <w:lastRenderedPageBreak/>
        <w:t xml:space="preserve">Part 1: </w:t>
      </w:r>
      <w:r w:rsidR="002D7AB4">
        <w:t>Classification categories and standards for</w:t>
      </w:r>
      <w:r>
        <w:t xml:space="preserve"> films and computer games</w:t>
      </w:r>
      <w:bookmarkEnd w:id="39"/>
      <w:bookmarkEnd w:id="40"/>
      <w:bookmarkEnd w:id="41"/>
      <w:bookmarkEnd w:id="42"/>
      <w:bookmarkEnd w:id="43"/>
      <w:bookmarkEnd w:id="51"/>
    </w:p>
    <w:p w:rsidR="00307B57" w:rsidRPr="00307B57" w:rsidRDefault="00307B57" w:rsidP="001629C7">
      <w:pPr>
        <w:pStyle w:val="Heading3"/>
        <w:rPr>
          <w:rStyle w:val="Text-Normal"/>
          <w:b w:val="0"/>
          <w:sz w:val="22"/>
        </w:rPr>
      </w:pPr>
      <w:bookmarkStart w:id="52" w:name="_Toc29289956"/>
      <w:r w:rsidRPr="00307B57">
        <w:rPr>
          <w:rStyle w:val="Text-Normal"/>
          <w:sz w:val="22"/>
        </w:rPr>
        <w:t>National Classification Scheme</w:t>
      </w:r>
      <w:bookmarkEnd w:id="52"/>
    </w:p>
    <w:p w:rsidR="00A3082F" w:rsidRDefault="00FA28C4" w:rsidP="001629C7">
      <w:pPr>
        <w:keepLines/>
        <w:spacing w:line="259" w:lineRule="auto"/>
        <w:rPr>
          <w:rStyle w:val="Text-Normal"/>
          <w:sz w:val="22"/>
        </w:rPr>
      </w:pPr>
      <w:r>
        <w:rPr>
          <w:rStyle w:val="Text-Normal"/>
          <w:sz w:val="22"/>
        </w:rPr>
        <w:t>F</w:t>
      </w:r>
      <w:r w:rsidR="006A0BF1">
        <w:rPr>
          <w:rStyle w:val="Text-Normal"/>
          <w:sz w:val="22"/>
        </w:rPr>
        <w:t>ilms (including episodic series) not broadcast on television, computer games and submittable publications are</w:t>
      </w:r>
      <w:r w:rsidR="00A3082F">
        <w:rPr>
          <w:rStyle w:val="Text-Normal"/>
          <w:sz w:val="22"/>
        </w:rPr>
        <w:t xml:space="preserve"> classified using</w:t>
      </w:r>
      <w:r w:rsidR="00AF7FEE">
        <w:rPr>
          <w:rStyle w:val="Text-Normal"/>
          <w:sz w:val="22"/>
        </w:rPr>
        <w:t>:</w:t>
      </w:r>
      <w:r w:rsidR="00A3082F">
        <w:rPr>
          <w:rStyle w:val="Text-Normal"/>
          <w:sz w:val="22"/>
        </w:rPr>
        <w:t xml:space="preserve"> </w:t>
      </w:r>
      <w:r w:rsidR="006A0BF1">
        <w:rPr>
          <w:rStyle w:val="Text-Normal"/>
          <w:sz w:val="22"/>
        </w:rPr>
        <w:t>the Code</w:t>
      </w:r>
      <w:r w:rsidR="00AF7FEE">
        <w:rPr>
          <w:rStyle w:val="Text-Normal"/>
          <w:sz w:val="22"/>
        </w:rPr>
        <w:t>;</w:t>
      </w:r>
      <w:r w:rsidR="006A0BF1">
        <w:rPr>
          <w:rStyle w:val="Text-Normal"/>
          <w:sz w:val="22"/>
        </w:rPr>
        <w:t xml:space="preserve"> </w:t>
      </w:r>
      <w:r w:rsidR="00A3082F">
        <w:rPr>
          <w:rStyle w:val="Text-Normal"/>
          <w:sz w:val="22"/>
        </w:rPr>
        <w:t xml:space="preserve">either the Films Guidelines, the </w:t>
      </w:r>
      <w:r w:rsidR="003030D5">
        <w:rPr>
          <w:rStyle w:val="Text-Normal"/>
          <w:sz w:val="22"/>
        </w:rPr>
        <w:t xml:space="preserve">Computer </w:t>
      </w:r>
      <w:r w:rsidR="00A3082F">
        <w:rPr>
          <w:rStyle w:val="Text-Normal"/>
          <w:sz w:val="22"/>
        </w:rPr>
        <w:t>Games Guidelines or the Publications Guidelines (</w:t>
      </w:r>
      <w:r w:rsidR="00AB56DD">
        <w:rPr>
          <w:rStyle w:val="Text-Normal"/>
          <w:sz w:val="22"/>
        </w:rPr>
        <w:t xml:space="preserve">collectively, </w:t>
      </w:r>
      <w:r w:rsidR="00A3082F">
        <w:rPr>
          <w:rStyle w:val="Text-Normal"/>
          <w:sz w:val="22"/>
        </w:rPr>
        <w:t>the Guidelines)</w:t>
      </w:r>
      <w:r w:rsidR="00AF7FEE">
        <w:rPr>
          <w:rStyle w:val="Text-Normal"/>
          <w:sz w:val="22"/>
        </w:rPr>
        <w:t>;</w:t>
      </w:r>
      <w:r w:rsidR="00EB52E6">
        <w:rPr>
          <w:rStyle w:val="Text-Normal"/>
          <w:sz w:val="22"/>
        </w:rPr>
        <w:t xml:space="preserve"> and the Classification Act</w:t>
      </w:r>
      <w:r w:rsidR="00A3082F">
        <w:rPr>
          <w:rStyle w:val="Text-Normal"/>
          <w:sz w:val="22"/>
        </w:rPr>
        <w:t>.</w:t>
      </w:r>
    </w:p>
    <w:p w:rsidR="001629C7" w:rsidRDefault="00A3082F" w:rsidP="00CB1108">
      <w:pPr>
        <w:spacing w:after="120" w:line="259" w:lineRule="auto"/>
      </w:pPr>
      <w:r>
        <w:t>The Code outlines four classification principles:</w:t>
      </w:r>
    </w:p>
    <w:p w:rsidR="00A3082F" w:rsidRDefault="00A3082F" w:rsidP="001629C7">
      <w:pPr>
        <w:pStyle w:val="ListParagraph"/>
        <w:numPr>
          <w:ilvl w:val="0"/>
          <w:numId w:val="10"/>
        </w:numPr>
        <w:ind w:left="567" w:hanging="567"/>
      </w:pPr>
      <w:r>
        <w:t>adults should be able to read, hear, see and play what they want</w:t>
      </w:r>
    </w:p>
    <w:p w:rsidR="00A3082F" w:rsidRDefault="00A3082F" w:rsidP="001629C7">
      <w:pPr>
        <w:pStyle w:val="ListParagraph"/>
        <w:numPr>
          <w:ilvl w:val="0"/>
          <w:numId w:val="10"/>
        </w:numPr>
        <w:ind w:left="567" w:hanging="567"/>
      </w:pPr>
      <w:r>
        <w:t>minors should be protected from material likely to harm or disturb them</w:t>
      </w:r>
    </w:p>
    <w:p w:rsidR="00A3082F" w:rsidRDefault="00A3082F" w:rsidP="001629C7">
      <w:pPr>
        <w:pStyle w:val="ListParagraph"/>
        <w:numPr>
          <w:ilvl w:val="0"/>
          <w:numId w:val="10"/>
        </w:numPr>
        <w:ind w:left="567" w:hanging="567"/>
      </w:pPr>
      <w:r>
        <w:t>everyone should be protected from exposure to unsolicited material that they find offensive</w:t>
      </w:r>
    </w:p>
    <w:p w:rsidR="00A3082F" w:rsidRDefault="00A3082F" w:rsidP="001629C7">
      <w:pPr>
        <w:pStyle w:val="ListParagraph"/>
        <w:numPr>
          <w:ilvl w:val="0"/>
          <w:numId w:val="10"/>
        </w:numPr>
        <w:ind w:left="567" w:hanging="567"/>
      </w:pPr>
      <w:proofErr w:type="gramStart"/>
      <w:r>
        <w:t>the</w:t>
      </w:r>
      <w:proofErr w:type="gramEnd"/>
      <w:r>
        <w:t xml:space="preserve"> need to take account of community concerns about depictions that condone or incite violence, particularly sexual violence, and the portrayal of persons in a demeaning manner.</w:t>
      </w:r>
    </w:p>
    <w:p w:rsidR="00A3082F" w:rsidRDefault="00A3082F" w:rsidP="00A3082F">
      <w:r>
        <w:t xml:space="preserve">The Code also broadly outlines the type of content permissible and age recommendations or restrictions for the classification categories. Refer to </w:t>
      </w:r>
      <w:hyperlink w:anchor="_Appendix_1_–" w:history="1">
        <w:r w:rsidR="005F47F6" w:rsidRPr="00A53F3C">
          <w:rPr>
            <w:rStyle w:val="Hyperlink"/>
          </w:rPr>
          <w:t>Appendix 1</w:t>
        </w:r>
      </w:hyperlink>
      <w:r>
        <w:t xml:space="preserve"> to read the full Code.</w:t>
      </w:r>
    </w:p>
    <w:p w:rsidR="001629C7" w:rsidRDefault="00A3082F" w:rsidP="00A3082F">
      <w:r>
        <w:t xml:space="preserve">The Guidelines </w:t>
      </w:r>
      <w:r w:rsidR="009800FF">
        <w:t>assist panel members of the</w:t>
      </w:r>
      <w:r>
        <w:t xml:space="preserve"> Board </w:t>
      </w:r>
      <w:r w:rsidR="009800FF">
        <w:t xml:space="preserve">to </w:t>
      </w:r>
      <w:r>
        <w:t>apply the criteria in the Code and describe the content permissible in each classification category in more detail based on the context and impact of six classifiable elements: themes, violence, sex, language, drug use and nudity.</w:t>
      </w:r>
    </w:p>
    <w:p w:rsidR="00EB52E6" w:rsidRDefault="00EB52E6" w:rsidP="00EB52E6">
      <w:r>
        <w:t xml:space="preserve">Section 11 of the </w:t>
      </w:r>
      <w:r w:rsidRPr="00644B37">
        <w:t>Classification Act requires the Board to consider matters including community standards, the nature of the content and whether it has any artistic or educational value, and who the intended audience is.</w:t>
      </w:r>
      <w:r>
        <w:t xml:space="preserve"> </w:t>
      </w:r>
      <w:r w:rsidRPr="00973A59">
        <w:t>Section 9A deals with the classification of terrorist material.</w:t>
      </w:r>
      <w:r>
        <w:t xml:space="preserve"> Refer to </w:t>
      </w:r>
      <w:hyperlink w:anchor="_Appendix_1_–" w:history="1">
        <w:r w:rsidR="005F47F6" w:rsidRPr="00A53F3C">
          <w:rPr>
            <w:rStyle w:val="Hyperlink"/>
          </w:rPr>
          <w:t>Appendix 1</w:t>
        </w:r>
      </w:hyperlink>
      <w:r>
        <w:t>.</w:t>
      </w:r>
    </w:p>
    <w:p w:rsidR="000F13C4" w:rsidRPr="00973A59" w:rsidRDefault="000F13C4" w:rsidP="001629C7">
      <w:pPr>
        <w:pStyle w:val="Heading3"/>
      </w:pPr>
      <w:bookmarkStart w:id="53" w:name="_Toc29289957"/>
      <w:r>
        <w:lastRenderedPageBreak/>
        <w:t>Broadcasting codes of practice</w:t>
      </w:r>
      <w:bookmarkEnd w:id="53"/>
    </w:p>
    <w:p w:rsidR="001629C7" w:rsidRDefault="000F13C4" w:rsidP="000F13C4">
      <w:pPr>
        <w:rPr>
          <w:rStyle w:val="Text-Normal"/>
          <w:sz w:val="22"/>
        </w:rPr>
      </w:pPr>
      <w:r w:rsidRPr="007F21D2">
        <w:rPr>
          <w:rStyle w:val="Text-Normal"/>
          <w:sz w:val="22"/>
        </w:rPr>
        <w:t xml:space="preserve">Under </w:t>
      </w:r>
      <w:r>
        <w:rPr>
          <w:rStyle w:val="Text-Normal"/>
          <w:sz w:val="22"/>
        </w:rPr>
        <w:t>broadcasting</w:t>
      </w:r>
      <w:r w:rsidRPr="007F21D2">
        <w:rPr>
          <w:rStyle w:val="Text-Normal"/>
          <w:sz w:val="22"/>
        </w:rPr>
        <w:t xml:space="preserve"> codes of practice, Free TV Australia (Free TV), the Australian Subscription Televisio</w:t>
      </w:r>
      <w:r>
        <w:rPr>
          <w:rStyle w:val="Text-Normal"/>
          <w:sz w:val="22"/>
        </w:rPr>
        <w:t xml:space="preserve">n and Radio Association (ASTRA), ABC and SBS </w:t>
      </w:r>
      <w:r w:rsidRPr="007F21D2">
        <w:rPr>
          <w:rStyle w:val="Text-Normal"/>
          <w:sz w:val="22"/>
        </w:rPr>
        <w:t>each use their own classification guidelines</w:t>
      </w:r>
      <w:r w:rsidRPr="00CC1443">
        <w:rPr>
          <w:rStyle w:val="FootnoteReference"/>
          <w:color w:val="000000"/>
          <w:sz w:val="20"/>
        </w:rPr>
        <w:footnoteReference w:id="16"/>
      </w:r>
      <w:r w:rsidRPr="007F21D2">
        <w:rPr>
          <w:rStyle w:val="Text-Normal"/>
          <w:sz w:val="22"/>
        </w:rPr>
        <w:t xml:space="preserve"> </w:t>
      </w:r>
      <w:r>
        <w:rPr>
          <w:rStyle w:val="Text-Normal"/>
          <w:sz w:val="22"/>
        </w:rPr>
        <w:t>which outline the classification categories, content permissible in each category, and rules for showing content in particular time zones to help protect children from viewing material that may be unsuitable for them.</w:t>
      </w:r>
    </w:p>
    <w:p w:rsidR="00166D1B" w:rsidRDefault="000F13C4" w:rsidP="00166D1B">
      <w:pPr>
        <w:rPr>
          <w:rStyle w:val="Text-Normal"/>
          <w:sz w:val="22"/>
        </w:rPr>
      </w:pPr>
      <w:r w:rsidRPr="007F21D2">
        <w:rPr>
          <w:rStyle w:val="Text-Normal"/>
          <w:sz w:val="22"/>
        </w:rPr>
        <w:t>The</w:t>
      </w:r>
      <w:r>
        <w:rPr>
          <w:rStyle w:val="Text-Normal"/>
          <w:sz w:val="22"/>
        </w:rPr>
        <w:t xml:space="preserve">se guidelines share some </w:t>
      </w:r>
      <w:r w:rsidRPr="007F21D2">
        <w:rPr>
          <w:rStyle w:val="Text-Normal"/>
          <w:sz w:val="22"/>
        </w:rPr>
        <w:t xml:space="preserve">similarities with each other and the </w:t>
      </w:r>
      <w:r>
        <w:rPr>
          <w:rStyle w:val="Text-Normal"/>
          <w:sz w:val="22"/>
        </w:rPr>
        <w:t>Films G</w:t>
      </w:r>
      <w:r w:rsidRPr="007F21D2">
        <w:rPr>
          <w:rStyle w:val="Text-Normal"/>
          <w:sz w:val="22"/>
        </w:rPr>
        <w:t xml:space="preserve">uidelines </w:t>
      </w:r>
      <w:r>
        <w:rPr>
          <w:rStyle w:val="Text-Normal"/>
          <w:sz w:val="22"/>
        </w:rPr>
        <w:t>used</w:t>
      </w:r>
      <w:r w:rsidRPr="007F21D2">
        <w:rPr>
          <w:rStyle w:val="Text-Normal"/>
          <w:sz w:val="22"/>
        </w:rPr>
        <w:t xml:space="preserve"> in the National Classification Scheme. For example, all use the classification symbols G, PG, M and MA 15+ and the classifiable elements of themes, violence, sex, language, drug use and nudity. </w:t>
      </w:r>
      <w:r>
        <w:rPr>
          <w:rStyle w:val="Text-Normal"/>
          <w:sz w:val="22"/>
        </w:rPr>
        <w:t xml:space="preserve">However, the guidelines are not </w:t>
      </w:r>
      <w:r w:rsidR="00FA28C4">
        <w:rPr>
          <w:rStyle w:val="Text-Normal"/>
          <w:sz w:val="22"/>
        </w:rPr>
        <w:t>identical – for example, ‘suicide’ and ‘dangerous imitable activity’</w:t>
      </w:r>
      <w:r>
        <w:rPr>
          <w:rStyle w:val="Text-Normal"/>
          <w:sz w:val="22"/>
        </w:rPr>
        <w:t xml:space="preserve"> </w:t>
      </w:r>
      <w:r w:rsidR="00FA28C4">
        <w:rPr>
          <w:rStyle w:val="Text-Normal"/>
          <w:sz w:val="22"/>
        </w:rPr>
        <w:t>are separate</w:t>
      </w:r>
      <w:r>
        <w:rPr>
          <w:rStyle w:val="Text-Normal"/>
          <w:sz w:val="22"/>
        </w:rPr>
        <w:t xml:space="preserve"> classifiable element</w:t>
      </w:r>
      <w:r w:rsidR="00FA28C4">
        <w:rPr>
          <w:rStyle w:val="Text-Normal"/>
          <w:sz w:val="22"/>
        </w:rPr>
        <w:t>s</w:t>
      </w:r>
      <w:r>
        <w:rPr>
          <w:rStyle w:val="Text-Normal"/>
          <w:sz w:val="22"/>
        </w:rPr>
        <w:t xml:space="preserve"> in Free TV’s code of practice.</w:t>
      </w:r>
    </w:p>
    <w:p w:rsidR="001629C7" w:rsidRDefault="00FA28C4" w:rsidP="001201D2">
      <w:pPr>
        <w:pBdr>
          <w:top w:val="single" w:sz="4" w:space="1" w:color="auto"/>
          <w:left w:val="single" w:sz="4" w:space="4" w:color="auto"/>
          <w:bottom w:val="single" w:sz="4" w:space="1" w:color="auto"/>
          <w:right w:val="single" w:sz="4" w:space="4" w:color="auto"/>
        </w:pBdr>
        <w:shd w:val="clear" w:color="auto" w:fill="DAE7F4"/>
      </w:pPr>
      <w:r>
        <w:t>Please take the time to read</w:t>
      </w:r>
      <w:r w:rsidR="000F13C4" w:rsidRPr="000F13C4">
        <w:t xml:space="preserve"> the current Code, the Films Guidelines, the Computer Games Guidelines, the relevant sections of the Classification Act</w:t>
      </w:r>
      <w:r w:rsidR="000F13C4">
        <w:t>,</w:t>
      </w:r>
      <w:r w:rsidR="000F13C4" w:rsidRPr="000F13C4">
        <w:t xml:space="preserve"> and </w:t>
      </w:r>
      <w:r w:rsidR="008A33C6">
        <w:t xml:space="preserve">the </w:t>
      </w:r>
      <w:r w:rsidR="000F13C4" w:rsidRPr="000F13C4">
        <w:t xml:space="preserve">broadcasting codes of practice. Links are in </w:t>
      </w:r>
      <w:hyperlink w:anchor="_Appendix_1_–" w:history="1">
        <w:r w:rsidR="000F13C4" w:rsidRPr="00E821B2">
          <w:rPr>
            <w:rStyle w:val="Hyperlink"/>
          </w:rPr>
          <w:t xml:space="preserve">Appendix </w:t>
        </w:r>
        <w:r w:rsidR="002D7AB4" w:rsidRPr="00E821B2">
          <w:rPr>
            <w:rStyle w:val="Hyperlink"/>
          </w:rPr>
          <w:t>1</w:t>
        </w:r>
      </w:hyperlink>
      <w:r w:rsidR="002D7AB4">
        <w:t>.</w:t>
      </w:r>
    </w:p>
    <w:p w:rsidR="002F5C38" w:rsidRDefault="00212617" w:rsidP="001201D2">
      <w:pPr>
        <w:pBdr>
          <w:top w:val="single" w:sz="4" w:space="1" w:color="auto"/>
          <w:left w:val="single" w:sz="4" w:space="4" w:color="auto"/>
          <w:bottom w:val="single" w:sz="4" w:space="1" w:color="auto"/>
          <w:right w:val="single" w:sz="4" w:space="4" w:color="auto"/>
        </w:pBdr>
        <w:shd w:val="clear" w:color="auto" w:fill="DAE7F4"/>
      </w:pPr>
      <w:r>
        <w:t xml:space="preserve">The following questions relate to the classification of films and computer games only. Changes to the Publications Guidelines will depend on the broader approach to regulation of publications discussed in </w:t>
      </w:r>
      <w:r w:rsidR="00D76230" w:rsidRPr="00501ED8">
        <w:t>Part 2</w:t>
      </w:r>
      <w:r w:rsidR="00D76230">
        <w:t xml:space="preserve"> </w:t>
      </w:r>
      <w:r>
        <w:t>of this paper.</w:t>
      </w:r>
    </w:p>
    <w:p w:rsidR="0078303D" w:rsidRDefault="000F13C4" w:rsidP="000F13C4">
      <w:pPr>
        <w:pStyle w:val="Heading3"/>
        <w:numPr>
          <w:ilvl w:val="0"/>
          <w:numId w:val="7"/>
        </w:numPr>
        <w:spacing w:after="160"/>
        <w:ind w:left="426" w:hanging="426"/>
      </w:pPr>
      <w:bookmarkStart w:id="54" w:name="_Toc23249322"/>
      <w:r>
        <w:t xml:space="preserve"> </w:t>
      </w:r>
      <w:bookmarkStart w:id="55" w:name="_Toc23425793"/>
      <w:bookmarkStart w:id="56" w:name="_Toc23426122"/>
      <w:bookmarkStart w:id="57" w:name="_Toc23428015"/>
      <w:bookmarkStart w:id="58" w:name="_Toc23431524"/>
      <w:bookmarkStart w:id="59" w:name="_Toc29289958"/>
      <w:r w:rsidR="008D1085">
        <w:t>Cl</w:t>
      </w:r>
      <w:r w:rsidR="0078303D" w:rsidRPr="00CE16A0">
        <w:t>assification categories</w:t>
      </w:r>
      <w:bookmarkEnd w:id="54"/>
      <w:bookmarkEnd w:id="55"/>
      <w:bookmarkEnd w:id="56"/>
      <w:bookmarkEnd w:id="57"/>
      <w:bookmarkEnd w:id="58"/>
      <w:bookmarkEnd w:id="59"/>
    </w:p>
    <w:p w:rsidR="001629C7" w:rsidRDefault="009E42EA" w:rsidP="00CB1108">
      <w:pPr>
        <w:keepNext/>
        <w:keepLines/>
        <w:spacing w:after="160"/>
      </w:pPr>
      <w:r>
        <w:t>Table 1 shows the classification categories for f</w:t>
      </w:r>
      <w:r w:rsidR="00FD1AE7">
        <w:t>ilms and computer games</w:t>
      </w:r>
      <w:r w:rsidR="00FD1AE7" w:rsidDel="005A4F91">
        <w:t xml:space="preserve"> and the </w:t>
      </w:r>
      <w:r w:rsidDel="005A4F91">
        <w:t>impact levels</w:t>
      </w:r>
      <w:r>
        <w:t>.</w:t>
      </w:r>
    </w:p>
    <w:p w:rsidR="009E42EA" w:rsidRDefault="009E42EA" w:rsidP="00CB1108">
      <w:pPr>
        <w:pStyle w:val="Tablefigureheading"/>
        <w:keepLines/>
      </w:pPr>
      <w:r w:rsidRPr="002514B9">
        <w:t xml:space="preserve">Table </w:t>
      </w:r>
      <w:fldSimple w:instr=" SEQ Table \* ARABIC ">
        <w:r w:rsidR="0087372B">
          <w:rPr>
            <w:noProof/>
          </w:rPr>
          <w:t>1</w:t>
        </w:r>
      </w:fldSimple>
      <w:r w:rsidRPr="002514B9">
        <w:t>. Cl</w:t>
      </w:r>
      <w:r>
        <w:t xml:space="preserve">assification categories and </w:t>
      </w:r>
      <w:r w:rsidRPr="002514B9">
        <w:t>impact level</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lassification categories and impact level."/>
      </w:tblPr>
      <w:tblGrid>
        <w:gridCol w:w="1276"/>
        <w:gridCol w:w="6237"/>
        <w:gridCol w:w="1679"/>
      </w:tblGrid>
      <w:tr w:rsidR="003369F8" w:rsidRPr="005113AA" w:rsidTr="003369F8">
        <w:trPr>
          <w:cantSplit/>
          <w:tblHeader/>
        </w:trPr>
        <w:tc>
          <w:tcPr>
            <w:tcW w:w="1276" w:type="dxa"/>
            <w:tcBorders>
              <w:top w:val="nil"/>
              <w:left w:val="nil"/>
              <w:bottom w:val="thickThinLargeGap" w:sz="24" w:space="0" w:color="auto"/>
              <w:right w:val="nil"/>
            </w:tcBorders>
            <w:shd w:val="clear" w:color="auto" w:fill="E4E4E4"/>
          </w:tcPr>
          <w:p w:rsidR="003369F8" w:rsidRPr="005113AA" w:rsidRDefault="003369F8" w:rsidP="00CB1108">
            <w:pPr>
              <w:pStyle w:val="Tablerowcolumnheadingcentred"/>
              <w:keepNext/>
              <w:keepLines/>
            </w:pPr>
            <w:r>
              <w:t>Symbol</w:t>
            </w:r>
          </w:p>
        </w:tc>
        <w:tc>
          <w:tcPr>
            <w:tcW w:w="6237" w:type="dxa"/>
            <w:tcBorders>
              <w:top w:val="nil"/>
              <w:left w:val="nil"/>
              <w:bottom w:val="thickThinLargeGap" w:sz="24" w:space="0" w:color="auto"/>
              <w:right w:val="nil"/>
            </w:tcBorders>
            <w:shd w:val="clear" w:color="auto" w:fill="E4E4E4"/>
          </w:tcPr>
          <w:p w:rsidR="003369F8" w:rsidRPr="005113AA" w:rsidRDefault="003369F8" w:rsidP="00CB1108">
            <w:pPr>
              <w:pStyle w:val="Tablerowcolumnheading"/>
              <w:keepNext/>
              <w:keepLines/>
            </w:pPr>
            <w:r>
              <w:t>Classification description</w:t>
            </w:r>
          </w:p>
        </w:tc>
        <w:tc>
          <w:tcPr>
            <w:tcW w:w="1679" w:type="dxa"/>
            <w:tcBorders>
              <w:top w:val="nil"/>
              <w:left w:val="nil"/>
              <w:bottom w:val="thickThinLargeGap" w:sz="24" w:space="0" w:color="auto"/>
              <w:right w:val="nil"/>
            </w:tcBorders>
            <w:shd w:val="clear" w:color="auto" w:fill="E4E4E4"/>
          </w:tcPr>
          <w:p w:rsidR="003369F8" w:rsidRPr="005113AA" w:rsidRDefault="003369F8" w:rsidP="00CB1108">
            <w:pPr>
              <w:pStyle w:val="Tablerowcolumnheadingcentred"/>
              <w:keepNext/>
              <w:keepLines/>
            </w:pPr>
            <w:r>
              <w:t>Impact level</w:t>
            </w:r>
          </w:p>
        </w:tc>
      </w:tr>
      <w:tr w:rsidR="003369F8" w:rsidRPr="005113AA" w:rsidTr="003369F8">
        <w:trPr>
          <w:cantSplit/>
        </w:trPr>
        <w:tc>
          <w:tcPr>
            <w:tcW w:w="1276" w:type="dxa"/>
            <w:tcBorders>
              <w:top w:val="thickThinLargeGap" w:sz="24" w:space="0" w:color="auto"/>
              <w:left w:val="nil"/>
              <w:bottom w:val="single" w:sz="4" w:space="0" w:color="auto"/>
              <w:right w:val="nil"/>
            </w:tcBorders>
            <w:vAlign w:val="center"/>
          </w:tcPr>
          <w:p w:rsidR="003369F8" w:rsidRDefault="003369F8" w:rsidP="00CB1108">
            <w:pPr>
              <w:pStyle w:val="Tabletextcentred"/>
              <w:keepNext/>
              <w:keepLines/>
            </w:pPr>
            <w:r>
              <w:rPr>
                <w:noProof/>
                <w:lang w:eastAsia="en-AU"/>
              </w:rPr>
              <w:drawing>
                <wp:inline distT="0" distB="0" distL="0" distR="0">
                  <wp:extent cx="501650" cy="476250"/>
                  <wp:effectExtent l="0" t="0" r="0" b="0"/>
                  <wp:docPr id="4" name="Picture 4" descr="Inside a green square there is a capital G in white text that is bordered by the outline of a white triangle. " title="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01650" cy="476250"/>
                          </a:xfrm>
                          <a:prstGeom prst="rect">
                            <a:avLst/>
                          </a:prstGeom>
                        </pic:spPr>
                      </pic:pic>
                    </a:graphicData>
                  </a:graphic>
                </wp:inline>
              </w:drawing>
            </w:r>
          </w:p>
        </w:tc>
        <w:tc>
          <w:tcPr>
            <w:tcW w:w="6237" w:type="dxa"/>
            <w:tcBorders>
              <w:top w:val="thickThinLargeGap" w:sz="24" w:space="0" w:color="auto"/>
              <w:left w:val="nil"/>
              <w:bottom w:val="single" w:sz="4" w:space="0" w:color="auto"/>
              <w:right w:val="nil"/>
            </w:tcBorders>
            <w:vAlign w:val="center"/>
          </w:tcPr>
          <w:p w:rsidR="003369F8" w:rsidRDefault="003369F8" w:rsidP="00CB1108">
            <w:pPr>
              <w:pStyle w:val="Tabletext"/>
              <w:keepNext/>
              <w:keepLines/>
            </w:pPr>
            <w:r>
              <w:t xml:space="preserve">General </w:t>
            </w:r>
          </w:p>
        </w:tc>
        <w:tc>
          <w:tcPr>
            <w:tcW w:w="1679" w:type="dxa"/>
            <w:tcBorders>
              <w:top w:val="thickThinLargeGap" w:sz="24" w:space="0" w:color="auto"/>
              <w:left w:val="nil"/>
              <w:bottom w:val="single" w:sz="4" w:space="0" w:color="auto"/>
              <w:right w:val="nil"/>
            </w:tcBorders>
            <w:vAlign w:val="center"/>
          </w:tcPr>
          <w:p w:rsidR="003369F8" w:rsidRDefault="003369F8" w:rsidP="00CB1108">
            <w:pPr>
              <w:pStyle w:val="Tabletextcentred"/>
              <w:keepNext/>
              <w:keepLines/>
            </w:pPr>
            <w:r>
              <w:t>Very mild</w:t>
            </w:r>
          </w:p>
        </w:tc>
      </w:tr>
      <w:tr w:rsidR="003369F8" w:rsidRPr="005113AA" w:rsidTr="003369F8">
        <w:trPr>
          <w:cantSplit/>
        </w:trPr>
        <w:tc>
          <w:tcPr>
            <w:tcW w:w="1276"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rPr>
                <w:noProof/>
                <w:lang w:eastAsia="en-AU"/>
              </w:rPr>
              <w:lastRenderedPageBreak/>
              <w:drawing>
                <wp:inline distT="0" distB="0" distL="0" distR="0">
                  <wp:extent cx="488950" cy="438150"/>
                  <wp:effectExtent l="0" t="0" r="6350" b="0"/>
                  <wp:docPr id="9" name="Picture 9" descr="Inside a yellow square there is a capital PG in black text that is bordered by the outline of a black rectangle. " title="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488950" cy="438150"/>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rsidR="003369F8" w:rsidRDefault="003369F8" w:rsidP="00CB1108">
            <w:pPr>
              <w:pStyle w:val="Tabletext"/>
              <w:keepNext/>
              <w:keepLines/>
            </w:pPr>
            <w:r>
              <w:t>Parental Guidance – Parental guidance recommended for people under 15</w:t>
            </w:r>
          </w:p>
        </w:tc>
        <w:tc>
          <w:tcPr>
            <w:tcW w:w="1679"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t xml:space="preserve">Mild </w:t>
            </w:r>
          </w:p>
        </w:tc>
      </w:tr>
      <w:tr w:rsidR="003369F8" w:rsidRPr="005113AA" w:rsidTr="003369F8">
        <w:trPr>
          <w:cantSplit/>
        </w:trPr>
        <w:tc>
          <w:tcPr>
            <w:tcW w:w="1276" w:type="dxa"/>
            <w:tcBorders>
              <w:top w:val="single" w:sz="4" w:space="0" w:color="auto"/>
              <w:left w:val="nil"/>
              <w:bottom w:val="single" w:sz="4" w:space="0" w:color="auto"/>
              <w:right w:val="nil"/>
            </w:tcBorders>
            <w:vAlign w:val="center"/>
          </w:tcPr>
          <w:p w:rsidR="003369F8" w:rsidRPr="00C50245" w:rsidRDefault="003369F8" w:rsidP="00CB1108">
            <w:pPr>
              <w:pStyle w:val="Tabletextcentred"/>
              <w:keepNext/>
              <w:keepLines/>
            </w:pPr>
            <w:r>
              <w:rPr>
                <w:noProof/>
                <w:lang w:eastAsia="en-AU"/>
              </w:rPr>
              <w:drawing>
                <wp:inline distT="0" distB="0" distL="0" distR="0">
                  <wp:extent cx="508000" cy="476250"/>
                  <wp:effectExtent l="0" t="0" r="6350" b="0"/>
                  <wp:docPr id="10" name="Picture 10" descr="Inside a blue square there is a capital M in white text that is bordered by the outline of a white circle. " titl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08000" cy="476250"/>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rsidR="003369F8" w:rsidRDefault="003369F8" w:rsidP="00CB1108">
            <w:pPr>
              <w:pStyle w:val="Tabletext"/>
              <w:keepNext/>
              <w:keepLines/>
            </w:pPr>
            <w:r>
              <w:t>Mature – Recommended for mature audiences 15 years and over</w:t>
            </w:r>
          </w:p>
        </w:tc>
        <w:tc>
          <w:tcPr>
            <w:tcW w:w="1679"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t xml:space="preserve">Moderate </w:t>
            </w:r>
          </w:p>
        </w:tc>
      </w:tr>
      <w:tr w:rsidR="003369F8" w:rsidRPr="005113AA" w:rsidTr="003369F8">
        <w:trPr>
          <w:cantSplit/>
        </w:trPr>
        <w:tc>
          <w:tcPr>
            <w:tcW w:w="1276"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rPr>
                <w:noProof/>
                <w:lang w:eastAsia="en-AU"/>
              </w:rPr>
              <w:drawing>
                <wp:inline distT="0" distB="0" distL="0" distR="0">
                  <wp:extent cx="488950" cy="482600"/>
                  <wp:effectExtent l="0" t="0" r="6350" b="0"/>
                  <wp:docPr id="11" name="Picture 11" descr="Inside a red square there is a capital MA in white text that is bordered by the outline of a white hexagon. Next to the furtherest right point of the hexagon are the numerals 15+.  Underneath the red square is a black rectangle that runs the length of the square, and 'restricted' is written in capitals in white text. " title="MA 15+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88950" cy="482600"/>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rsidR="003369F8" w:rsidRDefault="003369F8" w:rsidP="00CB1108">
            <w:pPr>
              <w:pStyle w:val="Tabletext"/>
              <w:keepNext/>
              <w:keepLines/>
            </w:pPr>
            <w:r>
              <w:t>Mature Accompanied – Not suitable for people under 15. People under 15 must be accompanied by a parent or adult guardian</w:t>
            </w:r>
          </w:p>
        </w:tc>
        <w:tc>
          <w:tcPr>
            <w:tcW w:w="1679"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t xml:space="preserve">Strong </w:t>
            </w:r>
          </w:p>
        </w:tc>
      </w:tr>
      <w:tr w:rsidR="003369F8" w:rsidRPr="005113AA" w:rsidTr="003369F8">
        <w:trPr>
          <w:cantSplit/>
        </w:trPr>
        <w:tc>
          <w:tcPr>
            <w:tcW w:w="1276"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rPr>
                <w:noProof/>
                <w:lang w:eastAsia="en-AU"/>
              </w:rPr>
              <w:drawing>
                <wp:inline distT="0" distB="0" distL="0" distR="0">
                  <wp:extent cx="514350" cy="457200"/>
                  <wp:effectExtent l="0" t="0" r="0" b="0"/>
                  <wp:docPr id="12" name="Picture 12" descr="Inside a black square there is a capital R in white text that is bordered by the outline of a white diamond. Next to the far right point of the diamond are the numerals '18+' in white text. There is a a white line underneath the diamond that runs the length of the square. Underneath this line is the word 'Restricted' written in capitals in white text.    " title="R 18+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14350" cy="457200"/>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rsidR="003369F8" w:rsidRDefault="003369F8" w:rsidP="00CB1108">
            <w:pPr>
              <w:pStyle w:val="Tabletext"/>
              <w:keepNext/>
              <w:keepLines/>
            </w:pPr>
            <w:r>
              <w:t>R 18+ – Restricted to adults 18 and over</w:t>
            </w:r>
          </w:p>
        </w:tc>
        <w:tc>
          <w:tcPr>
            <w:tcW w:w="1679"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t xml:space="preserve">High </w:t>
            </w:r>
          </w:p>
        </w:tc>
      </w:tr>
      <w:tr w:rsidR="003369F8" w:rsidRPr="005113AA" w:rsidTr="003369F8">
        <w:trPr>
          <w:cantSplit/>
        </w:trPr>
        <w:tc>
          <w:tcPr>
            <w:tcW w:w="1276"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rPr>
                <w:noProof/>
                <w:lang w:eastAsia="en-AU"/>
              </w:rPr>
              <w:drawing>
                <wp:inline distT="0" distB="0" distL="0" distR="0">
                  <wp:extent cx="533400" cy="488950"/>
                  <wp:effectExtent l="0" t="0" r="0" b="6350"/>
                  <wp:docPr id="14" name="Picture 14" descr="Inside a black square there is a capital X in white text that is bordered by the outline of a white square. Next to the right side of the square are the numerals '18+' in white text. There is a a white line underneath the square that runs the length of the square. Underneath this line is the word 'Restricted' written in capitals in white text.    " title="X 18+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33400" cy="488950"/>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rsidR="003369F8" w:rsidRPr="009E42EA" w:rsidRDefault="003369F8" w:rsidP="00CB1108">
            <w:pPr>
              <w:pStyle w:val="Tabletext"/>
              <w:keepNext/>
              <w:keepLines/>
              <w:rPr>
                <w:b/>
              </w:rPr>
            </w:pPr>
            <w:r>
              <w:t>X 18+ – For films that contain sexually explicit activity between consenting adults (Film only)</w:t>
            </w:r>
          </w:p>
        </w:tc>
        <w:tc>
          <w:tcPr>
            <w:tcW w:w="1679" w:type="dxa"/>
            <w:tcBorders>
              <w:top w:val="single" w:sz="4" w:space="0" w:color="auto"/>
              <w:left w:val="nil"/>
              <w:bottom w:val="single" w:sz="4" w:space="0" w:color="auto"/>
              <w:right w:val="nil"/>
            </w:tcBorders>
            <w:vAlign w:val="center"/>
          </w:tcPr>
          <w:p w:rsidR="003369F8" w:rsidRDefault="003369F8" w:rsidP="00CB1108">
            <w:pPr>
              <w:pStyle w:val="Tabletextcentred"/>
              <w:keepNext/>
              <w:keepLines/>
            </w:pPr>
            <w:r>
              <w:t xml:space="preserve">N/A </w:t>
            </w:r>
          </w:p>
        </w:tc>
      </w:tr>
      <w:tr w:rsidR="003369F8" w:rsidRPr="005113AA" w:rsidTr="003369F8">
        <w:trPr>
          <w:cantSplit/>
        </w:trPr>
        <w:tc>
          <w:tcPr>
            <w:tcW w:w="1276" w:type="dxa"/>
            <w:tcBorders>
              <w:top w:val="single" w:sz="4" w:space="0" w:color="auto"/>
              <w:left w:val="nil"/>
              <w:bottom w:val="single" w:sz="12" w:space="0" w:color="auto"/>
              <w:right w:val="nil"/>
            </w:tcBorders>
            <w:vAlign w:val="center"/>
          </w:tcPr>
          <w:p w:rsidR="003369F8" w:rsidRDefault="003369F8" w:rsidP="00CB1108">
            <w:pPr>
              <w:pStyle w:val="Tabletextcentred"/>
              <w:keepNext/>
              <w:keepLines/>
            </w:pPr>
            <w:r>
              <w:t>No symbol</w:t>
            </w:r>
          </w:p>
        </w:tc>
        <w:tc>
          <w:tcPr>
            <w:tcW w:w="6237" w:type="dxa"/>
            <w:tcBorders>
              <w:top w:val="single" w:sz="4" w:space="0" w:color="auto"/>
              <w:left w:val="nil"/>
              <w:bottom w:val="single" w:sz="12" w:space="0" w:color="auto"/>
              <w:right w:val="nil"/>
            </w:tcBorders>
            <w:vAlign w:val="center"/>
          </w:tcPr>
          <w:p w:rsidR="003369F8" w:rsidRDefault="003369F8" w:rsidP="00CB1108">
            <w:pPr>
              <w:pStyle w:val="Tabletext"/>
              <w:keepNext/>
              <w:keepLines/>
            </w:pPr>
            <w:r>
              <w:t>Refused Classification – prohibited</w:t>
            </w:r>
          </w:p>
        </w:tc>
        <w:tc>
          <w:tcPr>
            <w:tcW w:w="1679" w:type="dxa"/>
            <w:tcBorders>
              <w:top w:val="single" w:sz="4" w:space="0" w:color="auto"/>
              <w:left w:val="nil"/>
              <w:bottom w:val="single" w:sz="12" w:space="0" w:color="auto"/>
              <w:right w:val="nil"/>
            </w:tcBorders>
            <w:vAlign w:val="center"/>
          </w:tcPr>
          <w:p w:rsidR="003369F8" w:rsidRDefault="003369F8" w:rsidP="00CB1108">
            <w:pPr>
              <w:pStyle w:val="Tabletextcentred"/>
              <w:keepNext/>
              <w:keepLines/>
            </w:pPr>
            <w:r>
              <w:t>N/A</w:t>
            </w:r>
          </w:p>
        </w:tc>
      </w:tr>
    </w:tbl>
    <w:p w:rsidR="001629C7" w:rsidRDefault="001629C7" w:rsidP="001629C7"/>
    <w:p w:rsidR="005A4F91" w:rsidRDefault="005A4F91" w:rsidP="0078303D">
      <w:pPr>
        <w:spacing w:after="160"/>
      </w:pPr>
      <w:r>
        <w:t>Legal restrictions for MA 15+, R 18+, X 18+ and R</w:t>
      </w:r>
      <w:r w:rsidR="00403434">
        <w:t xml:space="preserve">efused </w:t>
      </w:r>
      <w:r>
        <w:t>C</w:t>
      </w:r>
      <w:r w:rsidR="00403434">
        <w:t>lassification</w:t>
      </w:r>
      <w:r>
        <w:t xml:space="preserve"> </w:t>
      </w:r>
      <w:r w:rsidR="00C7595A">
        <w:t xml:space="preserve">content </w:t>
      </w:r>
      <w:r w:rsidR="00B765C7">
        <w:t xml:space="preserve">are </w:t>
      </w:r>
      <w:r w:rsidR="00A720C3">
        <w:t>set out in</w:t>
      </w:r>
      <w:r>
        <w:t xml:space="preserve"> state and territory classification laws</w:t>
      </w:r>
      <w:r w:rsidR="00403434">
        <w:t xml:space="preserve">. For example, people under 18 years old are not permitted to see </w:t>
      </w:r>
      <w:r w:rsidR="000D3A09">
        <w:t>an</w:t>
      </w:r>
      <w:r w:rsidR="00403434">
        <w:t xml:space="preserve"> R 18+ film in a cinema or buy </w:t>
      </w:r>
      <w:r w:rsidR="000D3A09">
        <w:t>an</w:t>
      </w:r>
      <w:r w:rsidR="00403434">
        <w:t xml:space="preserve"> R 18+ </w:t>
      </w:r>
      <w:r w:rsidR="00A720C3">
        <w:t xml:space="preserve">computer </w:t>
      </w:r>
      <w:r w:rsidR="00403434">
        <w:t>game</w:t>
      </w:r>
      <w:r w:rsidR="00F24220">
        <w:t xml:space="preserve"> or film</w:t>
      </w:r>
      <w:r w:rsidR="00403434">
        <w:t xml:space="preserve">. </w:t>
      </w:r>
      <w:r w:rsidR="00A720C3">
        <w:t>P</w:t>
      </w:r>
      <w:r w:rsidR="00403434">
        <w:t xml:space="preserve">eople under 15 years old are not permitted to see a MA 15+ film in a cinema </w:t>
      </w:r>
      <w:r w:rsidR="00F5259E">
        <w:t>or</w:t>
      </w:r>
      <w:r w:rsidR="00A720C3">
        <w:t xml:space="preserve"> </w:t>
      </w:r>
      <w:r w:rsidR="00403434">
        <w:t>buy a MA 15+ game</w:t>
      </w:r>
      <w:r w:rsidR="00F24220">
        <w:t xml:space="preserve"> or film</w:t>
      </w:r>
      <w:r w:rsidR="00403434">
        <w:t xml:space="preserve"> unless accompanied by a parent or adult guardian</w:t>
      </w:r>
      <w:r w:rsidR="00F24220">
        <w:t xml:space="preserve"> (adult in Queensland)</w:t>
      </w:r>
      <w:r w:rsidR="00403434">
        <w:t>.</w:t>
      </w:r>
      <w:r w:rsidR="001821D9">
        <w:t xml:space="preserve"> Depending on the state </w:t>
      </w:r>
      <w:r w:rsidR="00596781">
        <w:t>or</w:t>
      </w:r>
      <w:r w:rsidR="001821D9">
        <w:t xml:space="preserve"> territory, X 18+ content is either legally restricted to adults </w:t>
      </w:r>
      <w:r w:rsidR="00596781">
        <w:t>or it is prohibited</w:t>
      </w:r>
      <w:r w:rsidR="001821D9">
        <w:t>.</w:t>
      </w:r>
      <w:r w:rsidR="00596781">
        <w:t xml:space="preserve"> The sale, exhibition and advertising of Refused Classification content is prohibited in all states and territories.</w:t>
      </w:r>
    </w:p>
    <w:p w:rsidR="001629C7" w:rsidRDefault="00267C26" w:rsidP="0078303D">
      <w:pPr>
        <w:spacing w:after="160"/>
      </w:pPr>
      <w:r>
        <w:t>Free TV’s Code of Practice only allows commercial television broadcasters to show television programs up to MA</w:t>
      </w:r>
      <w:r w:rsidR="00986391">
        <w:t> </w:t>
      </w:r>
      <w:r>
        <w:t>15+.</w:t>
      </w:r>
      <w:r w:rsidR="00A720C3">
        <w:t xml:space="preserve"> </w:t>
      </w:r>
      <w:r>
        <w:t>C</w:t>
      </w:r>
      <w:r w:rsidR="00A720C3">
        <w:t>odes of practice</w:t>
      </w:r>
      <w:r w:rsidR="00F5259E">
        <w:t xml:space="preserve"> for</w:t>
      </w:r>
      <w:r w:rsidR="00A720C3">
        <w:t xml:space="preserve"> the ABC and the SBS </w:t>
      </w:r>
      <w:r>
        <w:t xml:space="preserve">similarly </w:t>
      </w:r>
      <w:r w:rsidR="00986391">
        <w:t xml:space="preserve">only </w:t>
      </w:r>
      <w:r>
        <w:t>allow content up to MA</w:t>
      </w:r>
      <w:r w:rsidR="00986391">
        <w:t> </w:t>
      </w:r>
      <w:r>
        <w:t xml:space="preserve">15+ to be broadcast. Codes of practice from these broadcasters </w:t>
      </w:r>
      <w:r w:rsidR="00A720C3">
        <w:t xml:space="preserve">set out time zones </w:t>
      </w:r>
      <w:r w:rsidR="007637FD">
        <w:t>so that c</w:t>
      </w:r>
      <w:r w:rsidR="00A720C3">
        <w:t xml:space="preserve">ontent in </w:t>
      </w:r>
      <w:r w:rsidR="007637FD">
        <w:t>certain</w:t>
      </w:r>
      <w:r w:rsidR="00A720C3">
        <w:t xml:space="preserve"> classifications</w:t>
      </w:r>
      <w:r w:rsidR="007637FD">
        <w:t xml:space="preserve"> can only be shown at particular times of the day</w:t>
      </w:r>
      <w:r w:rsidR="00A720C3">
        <w:t>.</w:t>
      </w:r>
    </w:p>
    <w:p w:rsidR="00A720C3" w:rsidRDefault="00516D7E" w:rsidP="0078303D">
      <w:pPr>
        <w:spacing w:after="160"/>
      </w:pPr>
      <w:r>
        <w:lastRenderedPageBreak/>
        <w:t>S</w:t>
      </w:r>
      <w:r w:rsidR="00267C26">
        <w:t xml:space="preserve">ubscription television </w:t>
      </w:r>
      <w:r>
        <w:t xml:space="preserve">broadcasters </w:t>
      </w:r>
      <w:r w:rsidR="00267C26">
        <w:t>(e.g. Foxtel) are currently prohibited from broadcasting R 18+ programs</w:t>
      </w:r>
      <w:r>
        <w:t xml:space="preserve"> as a condition of their licence under the BSA</w:t>
      </w:r>
      <w:r w:rsidR="00EC3029">
        <w:t>,</w:t>
      </w:r>
      <w:r w:rsidR="00DA7992">
        <w:rPr>
          <w:rStyle w:val="FootnoteReference"/>
        </w:rPr>
        <w:footnoteReference w:id="17"/>
      </w:r>
      <w:r w:rsidR="0058324C">
        <w:t xml:space="preserve"> </w:t>
      </w:r>
      <w:r w:rsidR="00EC3029">
        <w:t>and o</w:t>
      </w:r>
      <w:r w:rsidR="00267C26">
        <w:t>nly subscription narrowcast services may show R 18+ content</w:t>
      </w:r>
      <w:r>
        <w:t xml:space="preserve"> (access to which must be restricted by an appropriate disabling device as required in their code of practice)</w:t>
      </w:r>
      <w:r w:rsidR="00267C26">
        <w:t>. S</w:t>
      </w:r>
      <w:r w:rsidR="007637FD">
        <w:t>ubscription television customers</w:t>
      </w:r>
      <w:r w:rsidR="00A720C3">
        <w:t xml:space="preserve"> can </w:t>
      </w:r>
      <w:r w:rsidR="002776D4">
        <w:t>disable</w:t>
      </w:r>
      <w:r w:rsidR="00A720C3">
        <w:t xml:space="preserve"> certain levels of classified content using their subscription television equipment.</w:t>
      </w:r>
      <w:r w:rsidR="00267C26">
        <w:t xml:space="preserve"> ASTRA’s codes of practice for subscription broadcast</w:t>
      </w:r>
      <w:r>
        <w:t>ers</w:t>
      </w:r>
      <w:r w:rsidR="00267C26">
        <w:t xml:space="preserve"> and narrowcast</w:t>
      </w:r>
      <w:r>
        <w:t>ers</w:t>
      </w:r>
      <w:r w:rsidR="00267C26">
        <w:t xml:space="preserve"> reflect </w:t>
      </w:r>
      <w:r>
        <w:t>relevant requirements in</w:t>
      </w:r>
      <w:r w:rsidR="00267C26">
        <w:t xml:space="preserve"> the BSA.</w:t>
      </w:r>
    </w:p>
    <w:p w:rsidR="003C4372" w:rsidRDefault="00403434" w:rsidP="0078303D">
      <w:pPr>
        <w:spacing w:after="160"/>
      </w:pPr>
      <w:r>
        <w:t xml:space="preserve">Under the Online Content Scheme in Schedules 5 and 7 </w:t>
      </w:r>
      <w:r w:rsidR="00121C58">
        <w:t>to</w:t>
      </w:r>
      <w:r>
        <w:t xml:space="preserve"> the BSA,</w:t>
      </w:r>
      <w:r w:rsidR="00A720C3">
        <w:t xml:space="preserve"> the</w:t>
      </w:r>
      <w:r>
        <w:t xml:space="preserve"> </w:t>
      </w:r>
      <w:proofErr w:type="spellStart"/>
      <w:r>
        <w:rPr>
          <w:rFonts w:ascii="Calibri" w:eastAsia="PMingLiU" w:hAnsi="Calibri" w:cs="Mangal"/>
          <w:color w:val="000000"/>
          <w:szCs w:val="24"/>
          <w:lang w:eastAsia="zh-TW"/>
        </w:rPr>
        <w:t>eSafety</w:t>
      </w:r>
      <w:proofErr w:type="spellEnd"/>
      <w:r>
        <w:rPr>
          <w:rFonts w:ascii="Calibri" w:eastAsia="PMingLiU" w:hAnsi="Calibri" w:cs="Mangal"/>
          <w:color w:val="000000"/>
          <w:szCs w:val="24"/>
          <w:lang w:eastAsia="zh-TW"/>
        </w:rPr>
        <w:t xml:space="preserve"> Commissioner may </w:t>
      </w:r>
      <w:r w:rsidRPr="00585F0A">
        <w:rPr>
          <w:rFonts w:ascii="Calibri" w:eastAsia="PMingLiU" w:hAnsi="Calibri" w:cs="Mangal"/>
          <w:color w:val="000000"/>
          <w:szCs w:val="24"/>
          <w:lang w:eastAsia="zh-TW"/>
        </w:rPr>
        <w:t>investigate complaints about</w:t>
      </w:r>
      <w:r>
        <w:rPr>
          <w:rFonts w:ascii="Calibri" w:eastAsia="PMingLiU" w:hAnsi="Calibri" w:cs="Mangal"/>
          <w:color w:val="000000"/>
          <w:szCs w:val="24"/>
          <w:lang w:eastAsia="zh-TW"/>
        </w:rPr>
        <w:t xml:space="preserve"> </w:t>
      </w:r>
      <w:r w:rsidR="00672722">
        <w:rPr>
          <w:rFonts w:ascii="Calibri" w:eastAsia="PMingLiU" w:hAnsi="Calibri" w:cs="Mangal"/>
          <w:color w:val="000000"/>
          <w:szCs w:val="24"/>
          <w:lang w:eastAsia="zh-TW"/>
        </w:rPr>
        <w:t xml:space="preserve">online </w:t>
      </w:r>
      <w:r>
        <w:rPr>
          <w:rFonts w:ascii="Calibri" w:eastAsia="PMingLiU" w:hAnsi="Calibri" w:cs="Mangal"/>
          <w:color w:val="000000"/>
          <w:szCs w:val="24"/>
          <w:lang w:eastAsia="zh-TW"/>
        </w:rPr>
        <w:t>content</w:t>
      </w:r>
      <w:r w:rsidRPr="00585F0A">
        <w:rPr>
          <w:rFonts w:ascii="Calibri" w:eastAsia="PMingLiU" w:hAnsi="Calibri" w:cs="Mangal"/>
          <w:color w:val="000000"/>
          <w:szCs w:val="24"/>
          <w:lang w:eastAsia="zh-TW"/>
        </w:rPr>
        <w:t xml:space="preserve"> </w:t>
      </w:r>
      <w:r>
        <w:rPr>
          <w:rFonts w:ascii="Calibri" w:eastAsia="PMingLiU" w:hAnsi="Calibri" w:cs="Mangal"/>
          <w:color w:val="000000"/>
          <w:szCs w:val="24"/>
          <w:lang w:eastAsia="zh-TW"/>
        </w:rPr>
        <w:t xml:space="preserve">classified (or with a </w:t>
      </w:r>
      <w:r w:rsidRPr="00585F0A">
        <w:rPr>
          <w:rFonts w:ascii="Calibri" w:eastAsia="PMingLiU" w:hAnsi="Calibri" w:cs="Mangal"/>
          <w:color w:val="000000"/>
          <w:szCs w:val="24"/>
          <w:lang w:eastAsia="zh-TW"/>
        </w:rPr>
        <w:t>substantial likelihood of being classified</w:t>
      </w:r>
      <w:r>
        <w:rPr>
          <w:rFonts w:ascii="Calibri" w:eastAsia="PMingLiU" w:hAnsi="Calibri" w:cs="Mangal"/>
          <w:color w:val="000000"/>
          <w:szCs w:val="24"/>
          <w:lang w:eastAsia="zh-TW"/>
        </w:rPr>
        <w:t>)</w:t>
      </w:r>
      <w:r w:rsidRPr="00585F0A">
        <w:rPr>
          <w:rFonts w:ascii="Calibri" w:eastAsia="PMingLiU" w:hAnsi="Calibri" w:cs="Mangal"/>
          <w:color w:val="000000"/>
          <w:szCs w:val="24"/>
          <w:lang w:eastAsia="zh-TW"/>
        </w:rPr>
        <w:t xml:space="preserve"> </w:t>
      </w:r>
      <w:r>
        <w:rPr>
          <w:rFonts w:ascii="Calibri" w:eastAsia="PMingLiU" w:hAnsi="Calibri" w:cs="Mangal"/>
          <w:color w:val="000000"/>
          <w:szCs w:val="24"/>
          <w:lang w:eastAsia="zh-TW"/>
        </w:rPr>
        <w:t xml:space="preserve">Refused Classification and </w:t>
      </w:r>
      <w:r w:rsidRPr="00585F0A">
        <w:rPr>
          <w:rFonts w:ascii="Calibri" w:eastAsia="PMingLiU" w:hAnsi="Calibri" w:cs="Mangal"/>
          <w:color w:val="000000"/>
          <w:szCs w:val="24"/>
          <w:lang w:eastAsia="zh-TW"/>
        </w:rPr>
        <w:t>X 18+</w:t>
      </w:r>
      <w:r>
        <w:rPr>
          <w:rFonts w:ascii="Calibri" w:eastAsia="PMingLiU" w:hAnsi="Calibri" w:cs="Mangal"/>
          <w:color w:val="000000"/>
          <w:szCs w:val="24"/>
          <w:lang w:eastAsia="zh-TW"/>
        </w:rPr>
        <w:t>,</w:t>
      </w:r>
      <w:r w:rsidRPr="00585F0A">
        <w:rPr>
          <w:rFonts w:ascii="Calibri" w:eastAsia="PMingLiU" w:hAnsi="Calibri" w:cs="Mangal"/>
          <w:color w:val="000000"/>
          <w:szCs w:val="24"/>
          <w:lang w:eastAsia="zh-TW"/>
        </w:rPr>
        <w:t xml:space="preserve"> or</w:t>
      </w:r>
      <w:r>
        <w:rPr>
          <w:rFonts w:ascii="Calibri" w:eastAsia="PMingLiU" w:hAnsi="Calibri" w:cs="Mangal"/>
          <w:color w:val="000000"/>
          <w:szCs w:val="24"/>
          <w:lang w:eastAsia="zh-TW"/>
        </w:rPr>
        <w:t xml:space="preserve"> content classified</w:t>
      </w:r>
      <w:r w:rsidRPr="00585F0A">
        <w:rPr>
          <w:rFonts w:ascii="Calibri" w:eastAsia="PMingLiU" w:hAnsi="Calibri" w:cs="Mangal"/>
          <w:color w:val="000000"/>
          <w:szCs w:val="24"/>
          <w:lang w:eastAsia="zh-TW"/>
        </w:rPr>
        <w:t xml:space="preserve"> </w:t>
      </w:r>
      <w:r w:rsidR="0070502D">
        <w:rPr>
          <w:rFonts w:ascii="Calibri" w:eastAsia="PMingLiU" w:hAnsi="Calibri" w:cs="Mangal"/>
          <w:color w:val="000000"/>
          <w:szCs w:val="24"/>
          <w:lang w:eastAsia="zh-TW"/>
        </w:rPr>
        <w:t xml:space="preserve">(or with a </w:t>
      </w:r>
      <w:r w:rsidR="0070502D" w:rsidRPr="00585F0A">
        <w:rPr>
          <w:rFonts w:ascii="Calibri" w:eastAsia="PMingLiU" w:hAnsi="Calibri" w:cs="Mangal"/>
          <w:color w:val="000000"/>
          <w:szCs w:val="24"/>
          <w:lang w:eastAsia="zh-TW"/>
        </w:rPr>
        <w:t>substantial likelihood of being classified</w:t>
      </w:r>
      <w:r w:rsidR="0070502D">
        <w:rPr>
          <w:rFonts w:ascii="Calibri" w:eastAsia="PMingLiU" w:hAnsi="Calibri" w:cs="Mangal"/>
          <w:color w:val="000000"/>
          <w:szCs w:val="24"/>
          <w:lang w:eastAsia="zh-TW"/>
        </w:rPr>
        <w:t xml:space="preserve">) </w:t>
      </w:r>
      <w:r w:rsidRPr="00585F0A">
        <w:rPr>
          <w:rFonts w:ascii="Calibri" w:eastAsia="PMingLiU" w:hAnsi="Calibri" w:cs="Mangal"/>
          <w:color w:val="000000"/>
          <w:szCs w:val="24"/>
          <w:lang w:eastAsia="zh-TW"/>
        </w:rPr>
        <w:t xml:space="preserve">MA 15+ </w:t>
      </w:r>
      <w:r>
        <w:rPr>
          <w:rFonts w:ascii="Calibri" w:eastAsia="PMingLiU" w:hAnsi="Calibri" w:cs="Mangal"/>
          <w:color w:val="000000"/>
          <w:szCs w:val="24"/>
          <w:lang w:eastAsia="zh-TW"/>
        </w:rPr>
        <w:t>and</w:t>
      </w:r>
      <w:r w:rsidRPr="00585F0A">
        <w:rPr>
          <w:rFonts w:ascii="Calibri" w:eastAsia="PMingLiU" w:hAnsi="Calibri" w:cs="Mangal"/>
          <w:color w:val="000000"/>
          <w:szCs w:val="24"/>
          <w:lang w:eastAsia="zh-TW"/>
        </w:rPr>
        <w:t xml:space="preserve"> R 18+ wh</w:t>
      </w:r>
      <w:r>
        <w:rPr>
          <w:rFonts w:ascii="Calibri" w:eastAsia="PMingLiU" w:hAnsi="Calibri" w:cs="Mangal"/>
          <w:color w:val="000000"/>
          <w:szCs w:val="24"/>
          <w:lang w:eastAsia="zh-TW"/>
        </w:rPr>
        <w:t xml:space="preserve">ere access is not subject to a </w:t>
      </w:r>
      <w:r w:rsidRPr="00585F0A">
        <w:rPr>
          <w:rFonts w:ascii="Calibri" w:eastAsia="PMingLiU" w:hAnsi="Calibri" w:cs="Mangal"/>
          <w:color w:val="000000"/>
          <w:szCs w:val="24"/>
          <w:lang w:eastAsia="zh-TW"/>
        </w:rPr>
        <w:t>restricted access system.</w:t>
      </w:r>
      <w:r w:rsidRPr="00585F0A">
        <w:rPr>
          <w:rFonts w:ascii="Calibri" w:eastAsia="PMingLiU" w:hAnsi="Calibri" w:cs="Mangal"/>
          <w:color w:val="000000"/>
          <w:vertAlign w:val="superscript"/>
          <w:lang w:eastAsia="zh-TW"/>
        </w:rPr>
        <w:footnoteReference w:id="18"/>
      </w:r>
      <w:r w:rsidR="008B1E57">
        <w:rPr>
          <w:rFonts w:ascii="Calibri" w:eastAsia="PMingLiU" w:hAnsi="Calibri" w:cs="Mangal"/>
          <w:color w:val="000000"/>
          <w:szCs w:val="24"/>
          <w:lang w:eastAsia="zh-TW"/>
        </w:rPr>
        <w:t xml:space="preserve"> In addition, online services have their own parental control</w:t>
      </w:r>
      <w:r w:rsidR="00255FDE">
        <w:rPr>
          <w:rFonts w:ascii="Calibri" w:eastAsia="PMingLiU" w:hAnsi="Calibri" w:cs="Mangal"/>
          <w:color w:val="000000"/>
          <w:szCs w:val="24"/>
          <w:lang w:eastAsia="zh-TW"/>
        </w:rPr>
        <w:t>s</w:t>
      </w:r>
      <w:r w:rsidR="008B1E57">
        <w:rPr>
          <w:rFonts w:ascii="Calibri" w:eastAsia="PMingLiU" w:hAnsi="Calibri" w:cs="Mangal"/>
          <w:color w:val="000000"/>
          <w:szCs w:val="24"/>
          <w:lang w:eastAsia="zh-TW"/>
        </w:rPr>
        <w:t xml:space="preserve"> or age restriction features.</w:t>
      </w:r>
    </w:p>
    <w:p w:rsidR="0078303D" w:rsidRPr="006922C7" w:rsidRDefault="00DC38DC" w:rsidP="0078303D">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60" w:line="256" w:lineRule="auto"/>
        <w:rPr>
          <w:b/>
        </w:rPr>
      </w:pPr>
      <w:r>
        <w:rPr>
          <w:b/>
        </w:rPr>
        <w:t>1</w:t>
      </w:r>
      <w:r w:rsidR="0078303D" w:rsidRPr="00B2214B">
        <w:rPr>
          <w:b/>
        </w:rPr>
        <w:t>) Are the classification categories</w:t>
      </w:r>
      <w:r w:rsidR="009E42EA">
        <w:rPr>
          <w:b/>
        </w:rPr>
        <w:t xml:space="preserve"> for films and computer games </w:t>
      </w:r>
      <w:r w:rsidR="0078303D" w:rsidRPr="00B2214B">
        <w:rPr>
          <w:b/>
        </w:rPr>
        <w:t xml:space="preserve">still </w:t>
      </w:r>
      <w:r w:rsidR="002E1B40">
        <w:rPr>
          <w:b/>
        </w:rPr>
        <w:t>appropriate and useful</w:t>
      </w:r>
      <w:r w:rsidR="0078303D" w:rsidRPr="00B2214B">
        <w:rPr>
          <w:b/>
        </w:rPr>
        <w:t xml:space="preserve">? </w:t>
      </w:r>
      <w:r w:rsidR="000F13C4">
        <w:rPr>
          <w:b/>
        </w:rPr>
        <w:t>If not, how should they change?</w:t>
      </w:r>
    </w:p>
    <w:p w:rsidR="00E34C88" w:rsidRDefault="002D7AB4" w:rsidP="008A40B6">
      <w:pPr>
        <w:pStyle w:val="Heading3"/>
        <w:numPr>
          <w:ilvl w:val="0"/>
          <w:numId w:val="7"/>
        </w:numPr>
        <w:spacing w:after="160"/>
        <w:ind w:left="426" w:hanging="426"/>
      </w:pPr>
      <w:bookmarkStart w:id="60" w:name="_Toc23249323"/>
      <w:bookmarkStart w:id="61" w:name="_Toc23425794"/>
      <w:bookmarkStart w:id="62" w:name="_Toc23426123"/>
      <w:bookmarkStart w:id="63" w:name="_Toc23428016"/>
      <w:bookmarkStart w:id="64" w:name="_Toc23431525"/>
      <w:bookmarkStart w:id="65" w:name="_Toc29289959"/>
      <w:r>
        <w:t>C</w:t>
      </w:r>
      <w:r w:rsidR="00054EB5">
        <w:t>lassifiable elements</w:t>
      </w:r>
      <w:bookmarkEnd w:id="60"/>
      <w:bookmarkEnd w:id="61"/>
      <w:bookmarkEnd w:id="62"/>
      <w:bookmarkEnd w:id="63"/>
      <w:bookmarkEnd w:id="64"/>
      <w:bookmarkEnd w:id="65"/>
    </w:p>
    <w:p w:rsidR="001629C7" w:rsidRDefault="00CE16A0" w:rsidP="008A40B6">
      <w:pPr>
        <w:pStyle w:val="Heading4"/>
        <w:numPr>
          <w:ilvl w:val="0"/>
          <w:numId w:val="9"/>
        </w:numPr>
        <w:spacing w:after="160"/>
        <w:ind w:left="426" w:hanging="426"/>
      </w:pPr>
      <w:bookmarkStart w:id="66" w:name="_Toc23249324"/>
      <w:bookmarkStart w:id="67" w:name="_Toc23425795"/>
      <w:bookmarkStart w:id="68" w:name="_Toc23426124"/>
      <w:bookmarkStart w:id="69" w:name="_Toc23428017"/>
      <w:bookmarkStart w:id="70" w:name="_Toc23431526"/>
      <w:bookmarkStart w:id="71" w:name="_Toc29289960"/>
      <w:r>
        <w:t>Themes</w:t>
      </w:r>
      <w:bookmarkEnd w:id="66"/>
      <w:bookmarkEnd w:id="67"/>
      <w:bookmarkEnd w:id="68"/>
      <w:bookmarkEnd w:id="69"/>
      <w:bookmarkEnd w:id="70"/>
      <w:bookmarkEnd w:id="71"/>
    </w:p>
    <w:p w:rsidR="00FE7C93" w:rsidRDefault="0098641D" w:rsidP="00A0227D">
      <w:pPr>
        <w:spacing w:after="160" w:line="256" w:lineRule="auto"/>
      </w:pPr>
      <w:r>
        <w:t>‘</w:t>
      </w:r>
      <w:r w:rsidR="00A704E6">
        <w:t>Themes</w:t>
      </w:r>
      <w:r>
        <w:t>’</w:t>
      </w:r>
      <w:r w:rsidR="00A704E6">
        <w:t xml:space="preserve"> </w:t>
      </w:r>
      <w:r>
        <w:t xml:space="preserve">includes </w:t>
      </w:r>
      <w:r w:rsidR="00E242D2">
        <w:t xml:space="preserve">social </w:t>
      </w:r>
      <w:r w:rsidR="00A704E6">
        <w:t xml:space="preserve">issues </w:t>
      </w:r>
      <w:r>
        <w:t>such as crime, suicide, drug and alcohol dependency, death, serious illness, family breakdown</w:t>
      </w:r>
      <w:r w:rsidR="00E3720C">
        <w:t>,</w:t>
      </w:r>
      <w:r>
        <w:t xml:space="preserve"> racism</w:t>
      </w:r>
      <w:r w:rsidR="00E3720C">
        <w:t xml:space="preserve"> and other forms of discrimination</w:t>
      </w:r>
      <w:r>
        <w:t xml:space="preserve">. </w:t>
      </w:r>
      <w:r w:rsidR="00B817A4">
        <w:t>‘Themes’ also</w:t>
      </w:r>
      <w:r w:rsidR="00977556">
        <w:t xml:space="preserve"> </w:t>
      </w:r>
      <w:r w:rsidR="00B817A4">
        <w:t xml:space="preserve">covers the level of </w:t>
      </w:r>
      <w:r w:rsidR="0089182A">
        <w:t>threat and menace</w:t>
      </w:r>
      <w:r w:rsidR="00B817A4">
        <w:t xml:space="preserve"> in a film or game,</w:t>
      </w:r>
      <w:r w:rsidR="0089182A">
        <w:t xml:space="preserve"> </w:t>
      </w:r>
      <w:r w:rsidR="00B817A4">
        <w:t xml:space="preserve">as well as </w:t>
      </w:r>
      <w:r w:rsidR="00E242D2">
        <w:t>horror</w:t>
      </w:r>
      <w:r w:rsidR="00B817A4">
        <w:t xml:space="preserve"> content and </w:t>
      </w:r>
      <w:r w:rsidR="00E242D2">
        <w:t>supernatural content.</w:t>
      </w:r>
    </w:p>
    <w:p w:rsidR="001629C7" w:rsidRDefault="00D559E8" w:rsidP="00A0227D">
      <w:pPr>
        <w:spacing w:after="160" w:line="256" w:lineRule="auto"/>
      </w:pPr>
      <w:r>
        <w:lastRenderedPageBreak/>
        <w:t xml:space="preserve">‘Themes’ </w:t>
      </w:r>
      <w:r w:rsidR="00FD3E07">
        <w:t>can</w:t>
      </w:r>
      <w:r w:rsidR="00E411E4">
        <w:t xml:space="preserve"> also</w:t>
      </w:r>
      <w:r w:rsidR="00FD3E07">
        <w:t xml:space="preserve"> include depictions of </w:t>
      </w:r>
      <w:r w:rsidR="0089182A">
        <w:t xml:space="preserve">gambling and </w:t>
      </w:r>
      <w:r w:rsidR="00FE7C93">
        <w:t>simulated gambling</w:t>
      </w:r>
      <w:r w:rsidR="00FB3105">
        <w:t xml:space="preserve"> games (for example, casino</w:t>
      </w:r>
      <w:r w:rsidR="00FB3105">
        <w:noBreakHyphen/>
      </w:r>
      <w:r w:rsidR="00FE7C93">
        <w:t>style games where the player cannot cash out winnings)</w:t>
      </w:r>
      <w:r>
        <w:t>.</w:t>
      </w:r>
    </w:p>
    <w:p w:rsidR="00CE16A0" w:rsidRPr="00CE16A0" w:rsidRDefault="00DC38DC" w:rsidP="00A0227D">
      <w:pPr>
        <w:pBdr>
          <w:top w:val="single" w:sz="4" w:space="1" w:color="auto"/>
          <w:left w:val="single" w:sz="4" w:space="4" w:color="auto"/>
          <w:bottom w:val="single" w:sz="4" w:space="1" w:color="auto"/>
          <w:right w:val="single" w:sz="4" w:space="4" w:color="auto"/>
        </w:pBdr>
        <w:shd w:val="clear" w:color="auto" w:fill="E4E4E4"/>
        <w:spacing w:after="160" w:line="256" w:lineRule="auto"/>
        <w:rPr>
          <w:b/>
        </w:rPr>
      </w:pPr>
      <w:r>
        <w:rPr>
          <w:b/>
        </w:rPr>
        <w:t>2</w:t>
      </w:r>
      <w:r w:rsidR="00465EA9">
        <w:rPr>
          <w:b/>
        </w:rPr>
        <w:t>a</w:t>
      </w:r>
      <w:r w:rsidR="00CE16A0">
        <w:rPr>
          <w:b/>
        </w:rPr>
        <w:t xml:space="preserve">) </w:t>
      </w:r>
      <w:r w:rsidR="00CE16A0" w:rsidRPr="00CE16A0">
        <w:rPr>
          <w:b/>
        </w:rPr>
        <w:t xml:space="preserve">Do the provisions in </w:t>
      </w:r>
      <w:r w:rsidR="006922C7">
        <w:rPr>
          <w:b/>
        </w:rPr>
        <w:t xml:space="preserve">the </w:t>
      </w:r>
      <w:r w:rsidR="00C3057D">
        <w:rPr>
          <w:b/>
        </w:rPr>
        <w:t xml:space="preserve">Code, the Films </w:t>
      </w:r>
      <w:r w:rsidR="00CE16A0" w:rsidRPr="00CE16A0">
        <w:rPr>
          <w:b/>
        </w:rPr>
        <w:t>Guidelines</w:t>
      </w:r>
      <w:r w:rsidR="00C3057D">
        <w:rPr>
          <w:b/>
        </w:rPr>
        <w:t xml:space="preserve"> </w:t>
      </w:r>
      <w:r w:rsidR="00C7595A">
        <w:rPr>
          <w:b/>
        </w:rPr>
        <w:t xml:space="preserve">or </w:t>
      </w:r>
      <w:r w:rsidR="00C3057D">
        <w:rPr>
          <w:b/>
        </w:rPr>
        <w:t xml:space="preserve">the </w:t>
      </w:r>
      <w:r w:rsidR="003030D5">
        <w:rPr>
          <w:b/>
        </w:rPr>
        <w:t xml:space="preserve">Computer </w:t>
      </w:r>
      <w:r w:rsidR="00C3057D">
        <w:rPr>
          <w:b/>
        </w:rPr>
        <w:t>Games Guidelines</w:t>
      </w:r>
      <w:r w:rsidR="00CE16A0" w:rsidRPr="00CE16A0">
        <w:rPr>
          <w:b/>
        </w:rPr>
        <w:t xml:space="preserve"> relating to </w:t>
      </w:r>
      <w:r w:rsidR="00A704E6">
        <w:rPr>
          <w:b/>
        </w:rPr>
        <w:t>‘</w:t>
      </w:r>
      <w:r w:rsidR="00CE16A0" w:rsidRPr="00CE16A0">
        <w:rPr>
          <w:b/>
        </w:rPr>
        <w:t>themes</w:t>
      </w:r>
      <w:r w:rsidR="00A704E6">
        <w:rPr>
          <w:b/>
        </w:rPr>
        <w:t>’</w:t>
      </w:r>
      <w:r w:rsidR="00CE16A0" w:rsidRPr="00CE16A0">
        <w:rPr>
          <w:b/>
        </w:rPr>
        <w:t xml:space="preserve"> </w:t>
      </w:r>
      <w:r w:rsidR="00FD1AE7">
        <w:rPr>
          <w:b/>
        </w:rPr>
        <w:t>reflect community standards</w:t>
      </w:r>
      <w:r w:rsidR="00167CED">
        <w:rPr>
          <w:b/>
        </w:rPr>
        <w:t xml:space="preserve"> and concerns</w:t>
      </w:r>
      <w:r w:rsidR="00C7595A">
        <w:rPr>
          <w:b/>
        </w:rPr>
        <w:t xml:space="preserve">? </w:t>
      </w:r>
      <w:r w:rsidR="003F24FD">
        <w:rPr>
          <w:b/>
        </w:rPr>
        <w:t>Do</w:t>
      </w:r>
      <w:r w:rsidR="00FD1AE7">
        <w:rPr>
          <w:b/>
        </w:rPr>
        <w:t xml:space="preserve"> they </w:t>
      </w:r>
      <w:r w:rsidR="00CE16A0" w:rsidRPr="00CE16A0">
        <w:rPr>
          <w:b/>
        </w:rPr>
        <w:t xml:space="preserve">need to change in any particular classification category or overall? </w:t>
      </w:r>
      <w:r w:rsidR="00FD1AE7">
        <w:rPr>
          <w:b/>
        </w:rPr>
        <w:t>Are ‘themes’ understood and is there sufficient guidance on what they mean?</w:t>
      </w:r>
    </w:p>
    <w:p w:rsidR="001629C7" w:rsidRDefault="00CE16A0" w:rsidP="008A40B6">
      <w:pPr>
        <w:pStyle w:val="Heading4"/>
        <w:numPr>
          <w:ilvl w:val="0"/>
          <w:numId w:val="9"/>
        </w:numPr>
        <w:spacing w:after="160"/>
        <w:ind w:left="426" w:hanging="426"/>
      </w:pPr>
      <w:bookmarkStart w:id="72" w:name="_Toc23249325"/>
      <w:bookmarkStart w:id="73" w:name="_Toc23425796"/>
      <w:bookmarkStart w:id="74" w:name="_Toc23426125"/>
      <w:bookmarkStart w:id="75" w:name="_Toc23428018"/>
      <w:bookmarkStart w:id="76" w:name="_Toc23431527"/>
      <w:bookmarkStart w:id="77" w:name="_Toc29289961"/>
      <w:r>
        <w:t>Violence</w:t>
      </w:r>
      <w:bookmarkEnd w:id="72"/>
      <w:bookmarkEnd w:id="73"/>
      <w:bookmarkEnd w:id="74"/>
      <w:bookmarkEnd w:id="75"/>
      <w:bookmarkEnd w:id="76"/>
      <w:bookmarkEnd w:id="77"/>
    </w:p>
    <w:p w:rsidR="001629C7" w:rsidRDefault="006D42E8" w:rsidP="00A0227D">
      <w:pPr>
        <w:spacing w:after="160" w:line="256" w:lineRule="auto"/>
      </w:pPr>
      <w:r>
        <w:t>‘Violence’ includes</w:t>
      </w:r>
      <w:r w:rsidR="00977556">
        <w:t xml:space="preserve"> acts of violence (such as pun</w:t>
      </w:r>
      <w:r w:rsidR="006721BA">
        <w:t>ching, kicking, torture, and use of weapons such as guns and knives</w:t>
      </w:r>
      <w:r>
        <w:t xml:space="preserve">), </w:t>
      </w:r>
      <w:r w:rsidR="00977556">
        <w:t xml:space="preserve">the threat </w:t>
      </w:r>
      <w:r w:rsidR="00B9661A">
        <w:t xml:space="preserve">of violence (such as pointing guns), </w:t>
      </w:r>
      <w:r w:rsidR="00977556">
        <w:t>or</w:t>
      </w:r>
      <w:r w:rsidR="00B9661A">
        <w:t xml:space="preserve"> the</w:t>
      </w:r>
      <w:r w:rsidR="00977556">
        <w:t xml:space="preserve"> </w:t>
      </w:r>
      <w:r w:rsidR="0098641D">
        <w:t xml:space="preserve">effects </w:t>
      </w:r>
      <w:r w:rsidR="00977556">
        <w:t>of violence</w:t>
      </w:r>
      <w:r w:rsidR="006721BA">
        <w:t xml:space="preserve"> (ranging from cuts and bruises to gory blood and </w:t>
      </w:r>
      <w:r w:rsidR="00977556">
        <w:t>injury detail</w:t>
      </w:r>
      <w:r w:rsidR="006721BA">
        <w:t>)</w:t>
      </w:r>
      <w:r w:rsidR="00B9661A">
        <w:t>. Violence can be depicted on-screen or</w:t>
      </w:r>
      <w:r>
        <w:t xml:space="preserve"> implied </w:t>
      </w:r>
      <w:r w:rsidR="00B9661A">
        <w:t>off</w:t>
      </w:r>
      <w:r w:rsidR="00B9661A">
        <w:noBreakHyphen/>
      </w:r>
      <w:r>
        <w:t>screen</w:t>
      </w:r>
      <w:r w:rsidR="006721BA">
        <w:t xml:space="preserve">. </w:t>
      </w:r>
    </w:p>
    <w:p w:rsidR="00CE16A0" w:rsidRDefault="00977556" w:rsidP="00A0227D">
      <w:pPr>
        <w:spacing w:after="160" w:line="256" w:lineRule="auto"/>
      </w:pPr>
      <w:r>
        <w:t>‘</w:t>
      </w:r>
      <w:r w:rsidR="00895DAF">
        <w:t>Violence</w:t>
      </w:r>
      <w:r>
        <w:t xml:space="preserve">’ also </w:t>
      </w:r>
      <w:r w:rsidR="00C44152">
        <w:t>includes sexual violence</w:t>
      </w:r>
      <w:r w:rsidR="006721BA">
        <w:t>,</w:t>
      </w:r>
      <w:r w:rsidR="00FB3105">
        <w:t xml:space="preserve"> which covers sexual assault or aggression in which the victim does not consent.</w:t>
      </w:r>
    </w:p>
    <w:p w:rsidR="00CE16A0" w:rsidRPr="00CE16A0" w:rsidRDefault="00DC38DC" w:rsidP="00A0227D">
      <w:pPr>
        <w:pBdr>
          <w:top w:val="single" w:sz="4" w:space="1" w:color="auto"/>
          <w:left w:val="single" w:sz="4" w:space="4" w:color="auto"/>
          <w:bottom w:val="single" w:sz="4" w:space="1" w:color="auto"/>
          <w:right w:val="single" w:sz="4" w:space="4" w:color="auto"/>
        </w:pBdr>
        <w:shd w:val="clear" w:color="auto" w:fill="E4E4E4"/>
        <w:spacing w:after="160" w:line="256" w:lineRule="auto"/>
        <w:rPr>
          <w:b/>
        </w:rPr>
      </w:pPr>
      <w:r>
        <w:rPr>
          <w:b/>
        </w:rPr>
        <w:t>2</w:t>
      </w:r>
      <w:r w:rsidR="00465EA9">
        <w:rPr>
          <w:b/>
        </w:rPr>
        <w:t>b</w:t>
      </w:r>
      <w:r w:rsidR="00CE16A0">
        <w:rPr>
          <w:b/>
        </w:rPr>
        <w:t xml:space="preserve">) </w:t>
      </w:r>
      <w:r w:rsidR="00CE16A0" w:rsidRPr="00CE16A0">
        <w:rPr>
          <w:b/>
        </w:rPr>
        <w:t>Do the provisions in the Code</w:t>
      </w:r>
      <w:r w:rsidR="00FD1AE7">
        <w:rPr>
          <w:b/>
        </w:rPr>
        <w:t>, the Films</w:t>
      </w:r>
      <w:r w:rsidR="00CE16A0" w:rsidRPr="00CE16A0">
        <w:rPr>
          <w:b/>
        </w:rPr>
        <w:t xml:space="preserve"> Guidelines</w:t>
      </w:r>
      <w:r w:rsidR="00FD1AE7">
        <w:rPr>
          <w:b/>
        </w:rPr>
        <w:t xml:space="preserve"> </w:t>
      </w:r>
      <w:r w:rsidR="003F24FD">
        <w:rPr>
          <w:b/>
        </w:rPr>
        <w:t xml:space="preserve">or </w:t>
      </w:r>
      <w:r w:rsidR="00FD1AE7">
        <w:rPr>
          <w:b/>
        </w:rPr>
        <w:t xml:space="preserve">the </w:t>
      </w:r>
      <w:r w:rsidR="003030D5">
        <w:rPr>
          <w:b/>
        </w:rPr>
        <w:t xml:space="preserve">Computer </w:t>
      </w:r>
      <w:r w:rsidR="00FD1AE7">
        <w:rPr>
          <w:b/>
        </w:rPr>
        <w:t>Games Guidelines</w:t>
      </w:r>
      <w:r w:rsidR="00CE16A0" w:rsidRPr="00CE16A0">
        <w:rPr>
          <w:b/>
        </w:rPr>
        <w:t xml:space="preserve"> relating to ‘violence’ </w:t>
      </w:r>
      <w:r w:rsidR="00FD1AE7">
        <w:rPr>
          <w:b/>
        </w:rPr>
        <w:t>reflect community standards</w:t>
      </w:r>
      <w:r w:rsidR="00C61013">
        <w:rPr>
          <w:b/>
        </w:rPr>
        <w:t xml:space="preserve"> and concerns</w:t>
      </w:r>
      <w:r w:rsidR="003F24FD">
        <w:rPr>
          <w:b/>
        </w:rPr>
        <w:t>? D</w:t>
      </w:r>
      <w:r w:rsidR="00FD1AE7">
        <w:rPr>
          <w:b/>
        </w:rPr>
        <w:t xml:space="preserve">o they </w:t>
      </w:r>
      <w:r w:rsidR="00CE16A0" w:rsidRPr="00CE16A0">
        <w:rPr>
          <w:b/>
        </w:rPr>
        <w:t>need to be changed in any particular classification category or overall?</w:t>
      </w:r>
    </w:p>
    <w:p w:rsidR="00CE16A0" w:rsidRDefault="00CE16A0" w:rsidP="008A40B6">
      <w:pPr>
        <w:pStyle w:val="Heading4"/>
        <w:numPr>
          <w:ilvl w:val="0"/>
          <w:numId w:val="9"/>
        </w:numPr>
        <w:spacing w:after="160"/>
        <w:ind w:left="426" w:hanging="426"/>
      </w:pPr>
      <w:bookmarkStart w:id="78" w:name="_Toc23249326"/>
      <w:bookmarkStart w:id="79" w:name="_Toc23425797"/>
      <w:bookmarkStart w:id="80" w:name="_Toc23426126"/>
      <w:bookmarkStart w:id="81" w:name="_Toc23428019"/>
      <w:bookmarkStart w:id="82" w:name="_Toc23431528"/>
      <w:bookmarkStart w:id="83" w:name="_Toc29289962"/>
      <w:r>
        <w:t>Sex</w:t>
      </w:r>
      <w:bookmarkEnd w:id="78"/>
      <w:bookmarkEnd w:id="79"/>
      <w:bookmarkEnd w:id="80"/>
      <w:bookmarkEnd w:id="81"/>
      <w:bookmarkEnd w:id="82"/>
      <w:bookmarkEnd w:id="83"/>
    </w:p>
    <w:p w:rsidR="00FD3E07" w:rsidRPr="00155E7A" w:rsidRDefault="00FD3E07" w:rsidP="00A0227D">
      <w:pPr>
        <w:spacing w:after="160" w:line="256" w:lineRule="auto"/>
      </w:pPr>
      <w:r>
        <w:t>‘Sex’ includes sexual acti</w:t>
      </w:r>
      <w:r w:rsidR="00BA0A88">
        <w:t xml:space="preserve">vity at different impact levels. It may be implied, simulated </w:t>
      </w:r>
      <w:r w:rsidR="0098641D">
        <w:t>or explicit</w:t>
      </w:r>
      <w:r w:rsidR="00D61E64">
        <w:t xml:space="preserve"> (actual)</w:t>
      </w:r>
      <w:r w:rsidR="00BA0A88">
        <w:t xml:space="preserve"> depending on the classification level.</w:t>
      </w:r>
      <w:r w:rsidR="00E5577B">
        <w:t xml:space="preserve"> </w:t>
      </w:r>
      <w:r w:rsidR="00BA0A88">
        <w:t xml:space="preserve">‘Sex’ also includes </w:t>
      </w:r>
      <w:r>
        <w:t>sexual references,</w:t>
      </w:r>
      <w:r w:rsidR="00B9284C">
        <w:t xml:space="preserve"> which can be verbal or visual.</w:t>
      </w:r>
    </w:p>
    <w:p w:rsidR="00CE16A0" w:rsidRPr="00CE16A0" w:rsidRDefault="00DC38DC" w:rsidP="00A0227D">
      <w:pPr>
        <w:pBdr>
          <w:top w:val="single" w:sz="4" w:space="1" w:color="auto"/>
          <w:left w:val="single" w:sz="4" w:space="4" w:color="auto"/>
          <w:bottom w:val="single" w:sz="4" w:space="1" w:color="auto"/>
          <w:right w:val="single" w:sz="4" w:space="4" w:color="auto"/>
        </w:pBdr>
        <w:shd w:val="clear" w:color="auto" w:fill="E4E4E4"/>
        <w:spacing w:after="160" w:line="256" w:lineRule="auto"/>
        <w:rPr>
          <w:b/>
        </w:rPr>
      </w:pPr>
      <w:r>
        <w:rPr>
          <w:b/>
        </w:rPr>
        <w:t>2</w:t>
      </w:r>
      <w:r w:rsidR="00465EA9">
        <w:rPr>
          <w:b/>
        </w:rPr>
        <w:t>c</w:t>
      </w:r>
      <w:r w:rsidR="00CE16A0">
        <w:rPr>
          <w:b/>
        </w:rPr>
        <w:t xml:space="preserve">) </w:t>
      </w:r>
      <w:r w:rsidR="00CE16A0" w:rsidRPr="00CE16A0">
        <w:rPr>
          <w:b/>
        </w:rPr>
        <w:t>Do the provisions in the Code</w:t>
      </w:r>
      <w:r w:rsidR="00FD1AE7">
        <w:rPr>
          <w:b/>
        </w:rPr>
        <w:t>, the Films Guidelines</w:t>
      </w:r>
      <w:r w:rsidR="00CE16A0" w:rsidRPr="00CE16A0">
        <w:rPr>
          <w:b/>
        </w:rPr>
        <w:t xml:space="preserve"> </w:t>
      </w:r>
      <w:r w:rsidR="003F24FD">
        <w:rPr>
          <w:b/>
        </w:rPr>
        <w:t xml:space="preserve">or </w:t>
      </w:r>
      <w:r w:rsidR="00FD1AE7">
        <w:rPr>
          <w:b/>
        </w:rPr>
        <w:t xml:space="preserve">the </w:t>
      </w:r>
      <w:r w:rsidR="003030D5">
        <w:rPr>
          <w:b/>
        </w:rPr>
        <w:t xml:space="preserve">Computer </w:t>
      </w:r>
      <w:r w:rsidR="00FD1AE7">
        <w:rPr>
          <w:b/>
        </w:rPr>
        <w:t>Games</w:t>
      </w:r>
      <w:r w:rsidR="00CE16A0" w:rsidRPr="00CE16A0">
        <w:rPr>
          <w:b/>
        </w:rPr>
        <w:t xml:space="preserve"> Guidelines relating to ‘</w:t>
      </w:r>
      <w:r w:rsidR="00CE16A0">
        <w:rPr>
          <w:b/>
        </w:rPr>
        <w:t>sex</w:t>
      </w:r>
      <w:r w:rsidR="00CE16A0" w:rsidRPr="00CE16A0">
        <w:rPr>
          <w:b/>
        </w:rPr>
        <w:t>’</w:t>
      </w:r>
      <w:r w:rsidR="00FD1AE7">
        <w:rPr>
          <w:b/>
        </w:rPr>
        <w:t xml:space="preserve"> reflect community standards</w:t>
      </w:r>
      <w:r w:rsidR="00C61013">
        <w:rPr>
          <w:b/>
        </w:rPr>
        <w:t xml:space="preserve"> and concerns</w:t>
      </w:r>
      <w:r w:rsidR="003F24FD">
        <w:rPr>
          <w:b/>
        </w:rPr>
        <w:t xml:space="preserve">? </w:t>
      </w:r>
      <w:r w:rsidR="00FD1AE7">
        <w:rPr>
          <w:b/>
        </w:rPr>
        <w:t xml:space="preserve"> </w:t>
      </w:r>
      <w:r w:rsidR="003F24FD">
        <w:rPr>
          <w:b/>
        </w:rPr>
        <w:t>D</w:t>
      </w:r>
      <w:r w:rsidR="00FD1AE7">
        <w:rPr>
          <w:b/>
        </w:rPr>
        <w:t>o they</w:t>
      </w:r>
      <w:r w:rsidR="00CE16A0" w:rsidRPr="00CE16A0">
        <w:rPr>
          <w:b/>
        </w:rPr>
        <w:t xml:space="preserve"> need to be changed in any particular classification category or overall?</w:t>
      </w:r>
    </w:p>
    <w:p w:rsidR="00CE16A0" w:rsidRDefault="00CE16A0" w:rsidP="008A40B6">
      <w:pPr>
        <w:pStyle w:val="Heading4"/>
        <w:numPr>
          <w:ilvl w:val="0"/>
          <w:numId w:val="9"/>
        </w:numPr>
        <w:spacing w:after="160"/>
        <w:ind w:left="426" w:hanging="426"/>
      </w:pPr>
      <w:bookmarkStart w:id="84" w:name="_Toc23249327"/>
      <w:bookmarkStart w:id="85" w:name="_Toc23425798"/>
      <w:bookmarkStart w:id="86" w:name="_Toc23426127"/>
      <w:bookmarkStart w:id="87" w:name="_Toc23428020"/>
      <w:bookmarkStart w:id="88" w:name="_Toc23431529"/>
      <w:bookmarkStart w:id="89" w:name="_Toc29289963"/>
      <w:r>
        <w:lastRenderedPageBreak/>
        <w:t>Language</w:t>
      </w:r>
      <w:bookmarkEnd w:id="84"/>
      <w:bookmarkEnd w:id="85"/>
      <w:bookmarkEnd w:id="86"/>
      <w:bookmarkEnd w:id="87"/>
      <w:bookmarkEnd w:id="88"/>
      <w:bookmarkEnd w:id="89"/>
    </w:p>
    <w:p w:rsidR="006721BA" w:rsidRPr="00155E7A" w:rsidRDefault="006721BA" w:rsidP="00A0227D">
      <w:pPr>
        <w:spacing w:after="160" w:line="256" w:lineRule="auto"/>
      </w:pPr>
      <w:r>
        <w:t>‘Language’</w:t>
      </w:r>
      <w:r w:rsidR="00FD3E07">
        <w:t xml:space="preserve"> </w:t>
      </w:r>
      <w:r>
        <w:t>covers coarse language (</w:t>
      </w:r>
      <w:r w:rsidR="00B71B4A">
        <w:t xml:space="preserve">ranging from </w:t>
      </w:r>
      <w:r w:rsidR="006D42E8">
        <w:t xml:space="preserve">very </w:t>
      </w:r>
      <w:r w:rsidR="00B71B4A">
        <w:t xml:space="preserve">mild </w:t>
      </w:r>
      <w:r w:rsidR="00B9661A">
        <w:t xml:space="preserve">words </w:t>
      </w:r>
      <w:r w:rsidR="00B71B4A">
        <w:t xml:space="preserve">to more impactful </w:t>
      </w:r>
      <w:r>
        <w:t>swear words)</w:t>
      </w:r>
      <w:r w:rsidR="004762A8">
        <w:t>. T</w:t>
      </w:r>
      <w:r>
        <w:t>he impact of coarse language depends on the type of word</w:t>
      </w:r>
      <w:r w:rsidR="00DA52FD">
        <w:t>, the frequency of coarse language</w:t>
      </w:r>
      <w:r w:rsidR="0035052C">
        <w:t>,</w:t>
      </w:r>
      <w:r>
        <w:t xml:space="preserve"> and the context of how the word is used (such as if it is used in an aggressive or threatening manner).</w:t>
      </w:r>
    </w:p>
    <w:p w:rsidR="00CE16A0" w:rsidRPr="00CE16A0" w:rsidRDefault="00DC38DC" w:rsidP="00A0227D">
      <w:pPr>
        <w:pBdr>
          <w:top w:val="single" w:sz="4" w:space="1" w:color="auto"/>
          <w:left w:val="single" w:sz="4" w:space="4" w:color="auto"/>
          <w:bottom w:val="single" w:sz="4" w:space="1" w:color="auto"/>
          <w:right w:val="single" w:sz="4" w:space="4" w:color="auto"/>
        </w:pBdr>
        <w:shd w:val="clear" w:color="auto" w:fill="E4E4E4"/>
        <w:spacing w:after="160" w:line="256" w:lineRule="auto"/>
        <w:rPr>
          <w:b/>
        </w:rPr>
      </w:pPr>
      <w:r>
        <w:rPr>
          <w:b/>
        </w:rPr>
        <w:t>2</w:t>
      </w:r>
      <w:r w:rsidR="00465EA9">
        <w:rPr>
          <w:b/>
        </w:rPr>
        <w:t>d</w:t>
      </w:r>
      <w:r w:rsidR="00CE16A0">
        <w:rPr>
          <w:b/>
        </w:rPr>
        <w:t xml:space="preserve">) </w:t>
      </w:r>
      <w:r w:rsidR="00CE16A0" w:rsidRPr="00CE16A0">
        <w:rPr>
          <w:b/>
        </w:rPr>
        <w:t>Do the provi</w:t>
      </w:r>
      <w:r w:rsidR="006D5D7C">
        <w:rPr>
          <w:b/>
        </w:rPr>
        <w:t>sions in the Code, the Films Guidelines</w:t>
      </w:r>
      <w:r w:rsidR="006D5D7C" w:rsidRPr="00CE16A0">
        <w:rPr>
          <w:b/>
        </w:rPr>
        <w:t xml:space="preserve"> </w:t>
      </w:r>
      <w:r w:rsidR="003F24FD">
        <w:rPr>
          <w:b/>
        </w:rPr>
        <w:t xml:space="preserve">or </w:t>
      </w:r>
      <w:r w:rsidR="006D5D7C">
        <w:rPr>
          <w:b/>
        </w:rPr>
        <w:t xml:space="preserve">the </w:t>
      </w:r>
      <w:r w:rsidR="003030D5">
        <w:rPr>
          <w:b/>
        </w:rPr>
        <w:t xml:space="preserve">Computer </w:t>
      </w:r>
      <w:r w:rsidR="006D5D7C">
        <w:rPr>
          <w:b/>
        </w:rPr>
        <w:t>Games</w:t>
      </w:r>
      <w:r w:rsidR="006D5D7C" w:rsidRPr="00CE16A0">
        <w:rPr>
          <w:b/>
        </w:rPr>
        <w:t xml:space="preserve"> Guidelines </w:t>
      </w:r>
      <w:r w:rsidR="00CE16A0" w:rsidRPr="00CE16A0">
        <w:rPr>
          <w:b/>
        </w:rPr>
        <w:t>relating to ‘</w:t>
      </w:r>
      <w:r w:rsidR="00CE16A0">
        <w:rPr>
          <w:b/>
        </w:rPr>
        <w:t>language</w:t>
      </w:r>
      <w:r w:rsidR="00CE16A0" w:rsidRPr="00CE16A0">
        <w:rPr>
          <w:b/>
        </w:rPr>
        <w:t>’</w:t>
      </w:r>
      <w:r w:rsidR="00FD1AE7">
        <w:rPr>
          <w:b/>
        </w:rPr>
        <w:t xml:space="preserve"> reflect community standards</w:t>
      </w:r>
      <w:r w:rsidR="00C61013">
        <w:rPr>
          <w:b/>
        </w:rPr>
        <w:t xml:space="preserve"> and concerns</w:t>
      </w:r>
      <w:r w:rsidR="003F24FD">
        <w:rPr>
          <w:b/>
        </w:rPr>
        <w:t>? D</w:t>
      </w:r>
      <w:r w:rsidR="00FD1AE7">
        <w:rPr>
          <w:b/>
        </w:rPr>
        <w:t>o they</w:t>
      </w:r>
      <w:r w:rsidR="00CE16A0" w:rsidRPr="00CE16A0">
        <w:rPr>
          <w:b/>
        </w:rPr>
        <w:t xml:space="preserve"> need to be changed in any particular classification category or overall?</w:t>
      </w:r>
    </w:p>
    <w:p w:rsidR="00CE16A0" w:rsidRDefault="00CE16A0" w:rsidP="008A40B6">
      <w:pPr>
        <w:pStyle w:val="Heading4"/>
        <w:numPr>
          <w:ilvl w:val="0"/>
          <w:numId w:val="9"/>
        </w:numPr>
        <w:spacing w:after="160"/>
        <w:ind w:left="426" w:hanging="426"/>
      </w:pPr>
      <w:bookmarkStart w:id="90" w:name="_Toc23249328"/>
      <w:bookmarkStart w:id="91" w:name="_Toc23425799"/>
      <w:bookmarkStart w:id="92" w:name="_Toc23426128"/>
      <w:bookmarkStart w:id="93" w:name="_Toc23428021"/>
      <w:bookmarkStart w:id="94" w:name="_Toc23431530"/>
      <w:bookmarkStart w:id="95" w:name="_Toc29289964"/>
      <w:r>
        <w:t>Drug use</w:t>
      </w:r>
      <w:bookmarkEnd w:id="90"/>
      <w:bookmarkEnd w:id="91"/>
      <w:bookmarkEnd w:id="92"/>
      <w:bookmarkEnd w:id="93"/>
      <w:bookmarkEnd w:id="94"/>
      <w:bookmarkEnd w:id="95"/>
    </w:p>
    <w:p w:rsidR="005464CC" w:rsidRDefault="00FD3E07" w:rsidP="00A0227D">
      <w:pPr>
        <w:spacing w:after="160" w:line="257" w:lineRule="auto"/>
      </w:pPr>
      <w:r>
        <w:t>‘</w:t>
      </w:r>
      <w:r w:rsidR="00977556">
        <w:t>Drug use</w:t>
      </w:r>
      <w:r>
        <w:t xml:space="preserve">’ </w:t>
      </w:r>
      <w:r w:rsidR="00977556">
        <w:t xml:space="preserve">includes depictions of the use </w:t>
      </w:r>
      <w:r w:rsidR="00B9661A">
        <w:t>of</w:t>
      </w:r>
      <w:r w:rsidR="00910CA7">
        <w:t xml:space="preserve"> proscribed</w:t>
      </w:r>
      <w:r w:rsidR="00B9661A">
        <w:t xml:space="preserve"> </w:t>
      </w:r>
      <w:r w:rsidR="00910CA7">
        <w:t>(</w:t>
      </w:r>
      <w:r w:rsidR="00DA52FD">
        <w:t>illegal</w:t>
      </w:r>
      <w:r w:rsidR="00910CA7">
        <w:t>)</w:t>
      </w:r>
      <w:r w:rsidR="00DA52FD">
        <w:t xml:space="preserve"> </w:t>
      </w:r>
      <w:r w:rsidR="00B9661A">
        <w:t xml:space="preserve">drugs </w:t>
      </w:r>
      <w:r w:rsidR="00842D21">
        <w:t xml:space="preserve">as well as references </w:t>
      </w:r>
      <w:r w:rsidR="00B9661A">
        <w:t xml:space="preserve">to </w:t>
      </w:r>
      <w:r w:rsidR="00977556">
        <w:t>drugs.</w:t>
      </w:r>
      <w:r w:rsidR="005D5715">
        <w:t xml:space="preserve"> </w:t>
      </w:r>
      <w:r w:rsidR="00B9661A">
        <w:t>Drug use can be shown or implied.</w:t>
      </w:r>
      <w:r w:rsidR="00E5577B">
        <w:t xml:space="preserve"> </w:t>
      </w:r>
      <w:r>
        <w:t>‘</w:t>
      </w:r>
      <w:r w:rsidR="00977556">
        <w:t>Drug use</w:t>
      </w:r>
      <w:r>
        <w:t>’</w:t>
      </w:r>
      <w:r w:rsidR="00977556">
        <w:t xml:space="preserve"> does not include smoking or use of </w:t>
      </w:r>
      <w:r>
        <w:t>alcohol</w:t>
      </w:r>
      <w:r w:rsidR="0035052C">
        <w:t>, nor does it cover abuse of prescription or over-the-counter medication</w:t>
      </w:r>
      <w:r w:rsidR="00DA52FD">
        <w:t>.</w:t>
      </w:r>
      <w:r w:rsidR="00977556">
        <w:t xml:space="preserve"> </w:t>
      </w:r>
      <w:r w:rsidR="00DA52FD">
        <w:t>D</w:t>
      </w:r>
      <w:r w:rsidR="00977556">
        <w:t>epictions of smoking</w:t>
      </w:r>
      <w:r w:rsidR="0035052C">
        <w:t xml:space="preserve">, </w:t>
      </w:r>
      <w:r w:rsidR="00977556">
        <w:t>alcohol</w:t>
      </w:r>
      <w:r w:rsidR="008E0E0E">
        <w:t xml:space="preserve"> dependency</w:t>
      </w:r>
      <w:r w:rsidR="0035052C">
        <w:t xml:space="preserve"> and misuse of medication</w:t>
      </w:r>
      <w:r w:rsidR="00977556">
        <w:t xml:space="preserve"> </w:t>
      </w:r>
      <w:r w:rsidR="008E0E0E">
        <w:t xml:space="preserve">may </w:t>
      </w:r>
      <w:r>
        <w:t xml:space="preserve">be </w:t>
      </w:r>
      <w:r w:rsidR="00977556">
        <w:t>covered under ‘themes’</w:t>
      </w:r>
      <w:r>
        <w:t xml:space="preserve"> </w:t>
      </w:r>
      <w:r w:rsidR="00977556">
        <w:t xml:space="preserve">(for example, </w:t>
      </w:r>
      <w:r>
        <w:t xml:space="preserve">depictions of </w:t>
      </w:r>
      <w:r w:rsidR="00977556">
        <w:t>underage drinking or binge drinking).</w:t>
      </w:r>
    </w:p>
    <w:p w:rsidR="00421973" w:rsidRDefault="00DC38DC" w:rsidP="00A0227D">
      <w:pPr>
        <w:pBdr>
          <w:top w:val="single" w:sz="4" w:space="1" w:color="auto"/>
          <w:left w:val="single" w:sz="4" w:space="4" w:color="auto"/>
          <w:bottom w:val="single" w:sz="4" w:space="1" w:color="auto"/>
          <w:right w:val="single" w:sz="4" w:space="4" w:color="auto"/>
        </w:pBdr>
        <w:shd w:val="clear" w:color="auto" w:fill="E4E4E4"/>
        <w:spacing w:after="160" w:line="256" w:lineRule="auto"/>
      </w:pPr>
      <w:r>
        <w:rPr>
          <w:b/>
        </w:rPr>
        <w:t>2</w:t>
      </w:r>
      <w:r w:rsidR="00465EA9">
        <w:rPr>
          <w:b/>
        </w:rPr>
        <w:t>e</w:t>
      </w:r>
      <w:r w:rsidR="00CE16A0">
        <w:rPr>
          <w:b/>
        </w:rPr>
        <w:t xml:space="preserve">) </w:t>
      </w:r>
      <w:r w:rsidR="00CE16A0" w:rsidRPr="00CE16A0">
        <w:rPr>
          <w:b/>
        </w:rPr>
        <w:t xml:space="preserve">Do the provisions in </w:t>
      </w:r>
      <w:r w:rsidR="006D5D7C">
        <w:rPr>
          <w:b/>
        </w:rPr>
        <w:t>the Code, the Films Guidelines</w:t>
      </w:r>
      <w:r w:rsidR="006D5D7C" w:rsidRPr="00CE16A0">
        <w:rPr>
          <w:b/>
        </w:rPr>
        <w:t xml:space="preserve"> and</w:t>
      </w:r>
      <w:r w:rsidR="006D5D7C">
        <w:rPr>
          <w:b/>
        </w:rPr>
        <w:t xml:space="preserve"> the </w:t>
      </w:r>
      <w:r w:rsidR="003030D5">
        <w:rPr>
          <w:b/>
        </w:rPr>
        <w:t xml:space="preserve">Computer </w:t>
      </w:r>
      <w:r w:rsidR="006D5D7C">
        <w:rPr>
          <w:b/>
        </w:rPr>
        <w:t>Games</w:t>
      </w:r>
      <w:r w:rsidR="006D5D7C" w:rsidRPr="00CE16A0">
        <w:rPr>
          <w:b/>
        </w:rPr>
        <w:t xml:space="preserve"> Guidelines </w:t>
      </w:r>
      <w:r w:rsidR="00CE16A0" w:rsidRPr="00CE16A0">
        <w:rPr>
          <w:b/>
        </w:rPr>
        <w:t>relating to ‘</w:t>
      </w:r>
      <w:r w:rsidR="00CE16A0">
        <w:rPr>
          <w:b/>
        </w:rPr>
        <w:t>drug use</w:t>
      </w:r>
      <w:r w:rsidR="00CE16A0" w:rsidRPr="00CE16A0">
        <w:rPr>
          <w:b/>
        </w:rPr>
        <w:t xml:space="preserve">’ </w:t>
      </w:r>
      <w:r w:rsidR="002E1B40">
        <w:rPr>
          <w:b/>
        </w:rPr>
        <w:t>reflect community standards</w:t>
      </w:r>
      <w:r w:rsidR="00C61013">
        <w:rPr>
          <w:b/>
        </w:rPr>
        <w:t xml:space="preserve"> and concerns</w:t>
      </w:r>
      <w:r w:rsidR="003F24FD">
        <w:rPr>
          <w:b/>
        </w:rPr>
        <w:t>? D</w:t>
      </w:r>
      <w:r w:rsidR="002E1B40">
        <w:rPr>
          <w:b/>
        </w:rPr>
        <w:t xml:space="preserve">o they </w:t>
      </w:r>
      <w:r w:rsidR="00CE16A0" w:rsidRPr="00CE16A0">
        <w:rPr>
          <w:b/>
        </w:rPr>
        <w:t>need to be changed in any particular classification category or overall?</w:t>
      </w:r>
    </w:p>
    <w:p w:rsidR="00CE16A0" w:rsidRDefault="00CE16A0" w:rsidP="008A40B6">
      <w:pPr>
        <w:pStyle w:val="Heading4"/>
        <w:numPr>
          <w:ilvl w:val="0"/>
          <w:numId w:val="9"/>
        </w:numPr>
        <w:spacing w:after="160"/>
        <w:ind w:left="426" w:hanging="426"/>
      </w:pPr>
      <w:bookmarkStart w:id="96" w:name="_Toc23249329"/>
      <w:bookmarkStart w:id="97" w:name="_Toc23425800"/>
      <w:bookmarkStart w:id="98" w:name="_Toc23426129"/>
      <w:bookmarkStart w:id="99" w:name="_Toc23428022"/>
      <w:bookmarkStart w:id="100" w:name="_Toc23431531"/>
      <w:bookmarkStart w:id="101" w:name="_Toc29289965"/>
      <w:r>
        <w:t>Nudity</w:t>
      </w:r>
      <w:bookmarkEnd w:id="96"/>
      <w:bookmarkEnd w:id="97"/>
      <w:bookmarkEnd w:id="98"/>
      <w:bookmarkEnd w:id="99"/>
      <w:bookmarkEnd w:id="100"/>
      <w:bookmarkEnd w:id="101"/>
    </w:p>
    <w:p w:rsidR="000B393F" w:rsidRPr="000B393F" w:rsidRDefault="00977556" w:rsidP="00A0227D">
      <w:pPr>
        <w:spacing w:after="160"/>
        <w:rPr>
          <w:lang w:eastAsia="zh-TW"/>
        </w:rPr>
      </w:pPr>
      <w:r>
        <w:rPr>
          <w:lang w:eastAsia="zh-TW"/>
        </w:rPr>
        <w:t>Nudity is e</w:t>
      </w:r>
      <w:r w:rsidR="000B393F">
        <w:rPr>
          <w:lang w:eastAsia="zh-TW"/>
        </w:rPr>
        <w:t>xposure of parts of the body, such as breasts, buttocks or genitalia</w:t>
      </w:r>
      <w:r w:rsidR="005D5715">
        <w:rPr>
          <w:lang w:eastAsia="zh-TW"/>
        </w:rPr>
        <w:t xml:space="preserve">. </w:t>
      </w:r>
      <w:r w:rsidR="00B9661A">
        <w:rPr>
          <w:lang w:eastAsia="zh-TW"/>
        </w:rPr>
        <w:t>Nudity</w:t>
      </w:r>
      <w:r w:rsidR="005D5715">
        <w:rPr>
          <w:lang w:eastAsia="zh-TW"/>
        </w:rPr>
        <w:t xml:space="preserve"> may </w:t>
      </w:r>
      <w:r w:rsidR="00B9284C">
        <w:rPr>
          <w:lang w:eastAsia="zh-TW"/>
        </w:rPr>
        <w:t>or may not be sexual in nature.</w:t>
      </w:r>
    </w:p>
    <w:p w:rsidR="00CE16A0" w:rsidRPr="006922C7" w:rsidRDefault="00DC38DC" w:rsidP="00A0227D">
      <w:pPr>
        <w:pBdr>
          <w:top w:val="single" w:sz="4" w:space="1" w:color="auto"/>
          <w:left w:val="single" w:sz="4" w:space="4" w:color="auto"/>
          <w:bottom w:val="single" w:sz="4" w:space="1" w:color="auto"/>
          <w:right w:val="single" w:sz="4" w:space="4" w:color="auto"/>
        </w:pBdr>
        <w:shd w:val="clear" w:color="auto" w:fill="E4E4E4"/>
        <w:spacing w:after="160" w:line="256" w:lineRule="auto"/>
        <w:rPr>
          <w:b/>
        </w:rPr>
      </w:pPr>
      <w:r>
        <w:rPr>
          <w:b/>
        </w:rPr>
        <w:lastRenderedPageBreak/>
        <w:t>2</w:t>
      </w:r>
      <w:r w:rsidR="00465EA9">
        <w:rPr>
          <w:b/>
        </w:rPr>
        <w:t>f</w:t>
      </w:r>
      <w:r w:rsidR="00CE16A0">
        <w:rPr>
          <w:b/>
        </w:rPr>
        <w:t xml:space="preserve">) </w:t>
      </w:r>
      <w:r w:rsidR="002E1B40">
        <w:rPr>
          <w:b/>
        </w:rPr>
        <w:t xml:space="preserve">Do the provisions in the Code, the Films Guidelines </w:t>
      </w:r>
      <w:r w:rsidR="003F24FD">
        <w:rPr>
          <w:b/>
        </w:rPr>
        <w:t xml:space="preserve">or </w:t>
      </w:r>
      <w:r w:rsidR="002E1B40">
        <w:rPr>
          <w:b/>
        </w:rPr>
        <w:t xml:space="preserve">the </w:t>
      </w:r>
      <w:r w:rsidR="003030D5">
        <w:rPr>
          <w:b/>
        </w:rPr>
        <w:t xml:space="preserve">Computer </w:t>
      </w:r>
      <w:r w:rsidR="002E1B40">
        <w:rPr>
          <w:b/>
        </w:rPr>
        <w:t xml:space="preserve">Games Guidelines </w:t>
      </w:r>
      <w:r w:rsidR="00CE16A0" w:rsidRPr="00CE16A0">
        <w:rPr>
          <w:b/>
        </w:rPr>
        <w:t>relating to ‘</w:t>
      </w:r>
      <w:r w:rsidR="00CE16A0">
        <w:rPr>
          <w:b/>
        </w:rPr>
        <w:t>nudity</w:t>
      </w:r>
      <w:r w:rsidR="00CE16A0" w:rsidRPr="00CE16A0">
        <w:rPr>
          <w:b/>
        </w:rPr>
        <w:t>’</w:t>
      </w:r>
      <w:r w:rsidR="002E1B40">
        <w:rPr>
          <w:b/>
        </w:rPr>
        <w:t xml:space="preserve"> reflect community standards</w:t>
      </w:r>
      <w:r w:rsidR="00C61013">
        <w:rPr>
          <w:b/>
        </w:rPr>
        <w:t xml:space="preserve"> and concerns</w:t>
      </w:r>
      <w:r w:rsidR="003F24FD">
        <w:rPr>
          <w:b/>
        </w:rPr>
        <w:t>? D</w:t>
      </w:r>
      <w:r w:rsidR="002E1B40">
        <w:rPr>
          <w:b/>
        </w:rPr>
        <w:t xml:space="preserve">o they need to be changed in any particular </w:t>
      </w:r>
      <w:r w:rsidR="00CE16A0" w:rsidRPr="00CE16A0">
        <w:rPr>
          <w:b/>
        </w:rPr>
        <w:t>classification category or overall?</w:t>
      </w:r>
    </w:p>
    <w:p w:rsidR="00B2214B" w:rsidRDefault="00F325B2" w:rsidP="008A40B6">
      <w:pPr>
        <w:pStyle w:val="Heading3"/>
        <w:numPr>
          <w:ilvl w:val="0"/>
          <w:numId w:val="7"/>
        </w:numPr>
        <w:spacing w:after="160"/>
        <w:ind w:left="426" w:hanging="426"/>
      </w:pPr>
      <w:bookmarkStart w:id="102" w:name="_Toc23249330"/>
      <w:bookmarkStart w:id="103" w:name="_Toc23425801"/>
      <w:bookmarkStart w:id="104" w:name="_Toc23426130"/>
      <w:bookmarkStart w:id="105" w:name="_Toc23428023"/>
      <w:bookmarkStart w:id="106" w:name="_Toc23431532"/>
      <w:bookmarkStart w:id="107" w:name="_Toc29289966"/>
      <w:r>
        <w:t xml:space="preserve">Other </w:t>
      </w:r>
      <w:bookmarkEnd w:id="102"/>
      <w:r w:rsidR="00A3082F">
        <w:t>comments</w:t>
      </w:r>
      <w:bookmarkEnd w:id="103"/>
      <w:bookmarkEnd w:id="104"/>
      <w:bookmarkEnd w:id="105"/>
      <w:bookmarkEnd w:id="106"/>
      <w:bookmarkEnd w:id="107"/>
    </w:p>
    <w:p w:rsidR="006A0BF1" w:rsidRPr="006A0BF1" w:rsidRDefault="006A0BF1" w:rsidP="006A0BF1">
      <w:r>
        <w:t xml:space="preserve">The Films Guidelines and the Computer Games </w:t>
      </w:r>
      <w:r w:rsidR="004802A0">
        <w:t xml:space="preserve">Guidelines </w:t>
      </w:r>
      <w:r>
        <w:t>outline three essential principles to be used when making a classification decision. These are</w:t>
      </w:r>
      <w:r w:rsidR="007874F6">
        <w:t>:</w:t>
      </w:r>
      <w:r>
        <w:t xml:space="preserve"> the importance of context; the six classifiable elements; </w:t>
      </w:r>
      <w:r w:rsidR="007874F6">
        <w:t xml:space="preserve">and </w:t>
      </w:r>
      <w:r>
        <w:t>assessing impact using a hierarchy of very mild (G), mild (PG), moderate (M), strong (MA 15+), high (R 18+) and very high (RC).</w:t>
      </w:r>
    </w:p>
    <w:p w:rsidR="009778FE" w:rsidRDefault="00DC38DC" w:rsidP="00A0227D">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60" w:line="257" w:lineRule="auto"/>
        <w:contextualSpacing w:val="0"/>
        <w:rPr>
          <w:b/>
        </w:rPr>
      </w:pPr>
      <w:r>
        <w:rPr>
          <w:b/>
        </w:rPr>
        <w:t>3</w:t>
      </w:r>
      <w:r w:rsidR="00A3082F">
        <w:rPr>
          <w:b/>
        </w:rPr>
        <w:t xml:space="preserve">a) </w:t>
      </w:r>
      <w:proofErr w:type="gramStart"/>
      <w:r w:rsidR="00A3082F">
        <w:rPr>
          <w:b/>
        </w:rPr>
        <w:t>What</w:t>
      </w:r>
      <w:proofErr w:type="gramEnd"/>
      <w:r w:rsidR="00A3082F">
        <w:rPr>
          <w:b/>
        </w:rPr>
        <w:t xml:space="preserve"> aspects of the current Code, Films Guidelines </w:t>
      </w:r>
      <w:r w:rsidR="003F24FD">
        <w:rPr>
          <w:b/>
        </w:rPr>
        <w:t>or</w:t>
      </w:r>
      <w:r w:rsidR="00A3082F">
        <w:rPr>
          <w:b/>
        </w:rPr>
        <w:t xml:space="preserve"> Computer Games Guidelines are working well and should be maintained?</w:t>
      </w:r>
      <w:r w:rsidR="00E5577B">
        <w:rPr>
          <w:b/>
        </w:rPr>
        <w:br/>
      </w:r>
      <w:r>
        <w:rPr>
          <w:b/>
        </w:rPr>
        <w:t>3</w:t>
      </w:r>
      <w:r w:rsidR="00A3082F">
        <w:rPr>
          <w:b/>
        </w:rPr>
        <w:t xml:space="preserve">b) </w:t>
      </w:r>
      <w:r w:rsidR="009778FE" w:rsidRPr="00B2214B">
        <w:rPr>
          <w:b/>
        </w:rPr>
        <w:t xml:space="preserve">Are there other issues that the Code, the </w:t>
      </w:r>
      <w:r w:rsidR="009778FE">
        <w:rPr>
          <w:b/>
        </w:rPr>
        <w:t xml:space="preserve">Films </w:t>
      </w:r>
      <w:r w:rsidR="009778FE" w:rsidRPr="00B2214B">
        <w:rPr>
          <w:b/>
        </w:rPr>
        <w:t xml:space="preserve">Guidelines and/or the </w:t>
      </w:r>
      <w:r w:rsidR="009778FE">
        <w:rPr>
          <w:b/>
        </w:rPr>
        <w:t xml:space="preserve">Computer Games </w:t>
      </w:r>
      <w:r w:rsidR="009778FE" w:rsidRPr="00B2214B">
        <w:rPr>
          <w:b/>
        </w:rPr>
        <w:t>Guidelines need to take into account</w:t>
      </w:r>
      <w:r w:rsidR="009778FE">
        <w:rPr>
          <w:b/>
        </w:rPr>
        <w:t xml:space="preserve"> or are there any other </w:t>
      </w:r>
      <w:r w:rsidR="00FC7064">
        <w:rPr>
          <w:b/>
        </w:rPr>
        <w:t>aspects that need to change</w:t>
      </w:r>
      <w:r w:rsidR="009778FE" w:rsidRPr="00B2214B">
        <w:rPr>
          <w:b/>
        </w:rPr>
        <w:t>?</w:t>
      </w:r>
    </w:p>
    <w:p w:rsidR="0078303D" w:rsidRPr="00210E5F" w:rsidRDefault="0078303D" w:rsidP="003369F8">
      <w:pPr>
        <w:pStyle w:val="Heading2"/>
        <w:keepLines/>
      </w:pPr>
      <w:bookmarkStart w:id="108" w:name="_Part_2:_Modernising"/>
      <w:bookmarkStart w:id="109" w:name="_Toc23249332"/>
      <w:bookmarkStart w:id="110" w:name="_Toc23425802"/>
      <w:bookmarkStart w:id="111" w:name="_Toc23426131"/>
      <w:bookmarkStart w:id="112" w:name="_Toc23428024"/>
      <w:bookmarkStart w:id="113" w:name="_Toc23431533"/>
      <w:bookmarkStart w:id="114" w:name="_Toc8906557"/>
      <w:bookmarkStart w:id="115" w:name="_Toc510795736"/>
      <w:bookmarkStart w:id="116" w:name="_Toc513552225"/>
      <w:bookmarkStart w:id="117" w:name="_Toc513650385"/>
      <w:bookmarkStart w:id="118" w:name="_Toc519521227"/>
      <w:bookmarkStart w:id="119" w:name="_Toc519522089"/>
      <w:bookmarkStart w:id="120" w:name="_Toc519523391"/>
      <w:bookmarkStart w:id="121" w:name="_Toc519671134"/>
      <w:bookmarkStart w:id="122" w:name="_Toc520816713"/>
      <w:bookmarkStart w:id="123" w:name="_Toc520817159"/>
      <w:bookmarkStart w:id="124" w:name="_Toc520817663"/>
      <w:bookmarkStart w:id="125" w:name="_Toc29289967"/>
      <w:bookmarkEnd w:id="108"/>
      <w:r w:rsidRPr="00210E5F">
        <w:lastRenderedPageBreak/>
        <w:t xml:space="preserve">Part </w:t>
      </w:r>
      <w:r>
        <w:t>2</w:t>
      </w:r>
      <w:r w:rsidRPr="00210E5F">
        <w:t xml:space="preserve">: </w:t>
      </w:r>
      <w:r w:rsidR="00A02B85">
        <w:t>Modernising</w:t>
      </w:r>
      <w:r w:rsidR="006F05B3">
        <w:t xml:space="preserve"> classification legislation</w:t>
      </w:r>
      <w:bookmarkEnd w:id="109"/>
      <w:bookmarkEnd w:id="110"/>
      <w:bookmarkEnd w:id="111"/>
      <w:bookmarkEnd w:id="112"/>
      <w:bookmarkEnd w:id="113"/>
      <w:bookmarkEnd w:id="125"/>
    </w:p>
    <w:p w:rsidR="00290336" w:rsidRDefault="00C348A4" w:rsidP="003369F8">
      <w:pPr>
        <w:pStyle w:val="Heading3"/>
        <w:keepLines/>
        <w:numPr>
          <w:ilvl w:val="0"/>
          <w:numId w:val="7"/>
        </w:numPr>
        <w:ind w:left="426" w:hanging="426"/>
      </w:pPr>
      <w:bookmarkStart w:id="126" w:name="_Toc23249333"/>
      <w:bookmarkStart w:id="127" w:name="_Toc23425803"/>
      <w:bookmarkStart w:id="128" w:name="_Toc23426132"/>
      <w:bookmarkStart w:id="129" w:name="_Toc23428025"/>
      <w:bookmarkStart w:id="130" w:name="_Toc23431534"/>
      <w:bookmarkStart w:id="131" w:name="_Toc29289968"/>
      <w:r>
        <w:t>C</w:t>
      </w:r>
      <w:r w:rsidR="00290336">
        <w:t>ontent</w:t>
      </w:r>
      <w:r>
        <w:t xml:space="preserve"> to be classified</w:t>
      </w:r>
      <w:bookmarkEnd w:id="126"/>
      <w:bookmarkEnd w:id="127"/>
      <w:bookmarkEnd w:id="128"/>
      <w:bookmarkEnd w:id="129"/>
      <w:bookmarkEnd w:id="130"/>
      <w:bookmarkEnd w:id="131"/>
    </w:p>
    <w:p w:rsidR="001629C7" w:rsidRDefault="00763F7C" w:rsidP="003369F8">
      <w:pPr>
        <w:keepNext/>
        <w:keepLines/>
      </w:pPr>
      <w:r>
        <w:t>Under the Nationa</w:t>
      </w:r>
      <w:r w:rsidR="00845583">
        <w:t>l Classification Scheme, all fi</w:t>
      </w:r>
      <w:r>
        <w:t>lms and computer games must be classified before they are made available in Australia, unless they ar</w:t>
      </w:r>
      <w:r w:rsidR="00845583">
        <w:t>e exempt. Film and computer game</w:t>
      </w:r>
      <w:r>
        <w:t xml:space="preserve"> exemptions are listed in the Classification Act</w:t>
      </w:r>
      <w:r w:rsidR="00B61945">
        <w:rPr>
          <w:rStyle w:val="FootnoteReference"/>
        </w:rPr>
        <w:footnoteReference w:id="19"/>
      </w:r>
      <w:r>
        <w:t xml:space="preserve"> and</w:t>
      </w:r>
      <w:r w:rsidR="00B61945">
        <w:t xml:space="preserve"> are</w:t>
      </w:r>
      <w:r>
        <w:t xml:space="preserve"> available at </w:t>
      </w:r>
      <w:hyperlink r:id="rId35" w:history="1">
        <w:r w:rsidRPr="00E44EA6">
          <w:rPr>
            <w:rStyle w:val="Hyperlink"/>
          </w:rPr>
          <w:t>www.classification.gov.au</w:t>
        </w:r>
      </w:hyperlink>
      <w:r>
        <w:t>.</w:t>
      </w:r>
    </w:p>
    <w:p w:rsidR="00C831E3" w:rsidRDefault="00DF56A4" w:rsidP="003369F8">
      <w:pPr>
        <w:pStyle w:val="Heading4"/>
      </w:pPr>
      <w:bookmarkStart w:id="132" w:name="_Toc29289969"/>
      <w:r w:rsidRPr="00443BEE">
        <w:t>Films</w:t>
      </w:r>
      <w:bookmarkEnd w:id="132"/>
    </w:p>
    <w:p w:rsidR="00996557" w:rsidRPr="00C831E3" w:rsidRDefault="00583E04" w:rsidP="00C831E3">
      <w:pPr>
        <w:rPr>
          <w:b/>
        </w:rPr>
      </w:pPr>
      <w:r>
        <w:t>The definition of ‘film’ in the Classification Act is</w:t>
      </w:r>
      <w:r w:rsidR="00F23C36">
        <w:t xml:space="preserve"> </w:t>
      </w:r>
      <w:r>
        <w:t>broad</w:t>
      </w:r>
      <w:r w:rsidR="00F23C36">
        <w:rPr>
          <w:rStyle w:val="FootnoteReference"/>
        </w:rPr>
        <w:footnoteReference w:id="20"/>
      </w:r>
      <w:r w:rsidR="00F23C36">
        <w:t xml:space="preserve"> </w:t>
      </w:r>
      <w:r w:rsidR="006B3DCF">
        <w:t xml:space="preserve">and </w:t>
      </w:r>
      <w:r w:rsidR="00F23C36">
        <w:t>technically covers all content online apart from online games and online advertis</w:t>
      </w:r>
      <w:r w:rsidR="0057691A">
        <w:t>e</w:t>
      </w:r>
      <w:r w:rsidR="00F23C36">
        <w:t xml:space="preserve">ments. </w:t>
      </w:r>
      <w:r w:rsidR="00AF414C">
        <w:t>This definition covers content such as websites and</w:t>
      </w:r>
      <w:r w:rsidR="005373DA">
        <w:t xml:space="preserve"> videos on</w:t>
      </w:r>
      <w:r w:rsidR="00AF414C">
        <w:t xml:space="preserve"> YouTube</w:t>
      </w:r>
      <w:r w:rsidR="005373DA">
        <w:t xml:space="preserve"> and similar sites</w:t>
      </w:r>
      <w:r w:rsidR="00AF414C">
        <w:t xml:space="preserve">. </w:t>
      </w:r>
      <w:r w:rsidR="003905F5">
        <w:t>The ALRC review noted this issue in the context of online platforms such as YouTube and</w:t>
      </w:r>
      <w:r w:rsidR="00662B7D">
        <w:t xml:space="preserve"> </w:t>
      </w:r>
      <w:r w:rsidR="003905F5">
        <w:t>discussed possible definitions for content that should be classified and not classified.</w:t>
      </w:r>
      <w:r w:rsidR="003905F5">
        <w:rPr>
          <w:rStyle w:val="FootnoteReference"/>
        </w:rPr>
        <w:footnoteReference w:id="21"/>
      </w:r>
      <w:r w:rsidR="003905F5">
        <w:t xml:space="preserve"> </w:t>
      </w:r>
      <w:r w:rsidR="00B71E6F">
        <w:t>There is a need to clarify the definition of ‘film’ so that industry has clearer obligations about what must be classified, as it is impractical that virtually all online content must be classified in the same manner.</w:t>
      </w:r>
    </w:p>
    <w:p w:rsidR="001629C7" w:rsidRDefault="001F0F3D" w:rsidP="00D7124F">
      <w:pPr>
        <w:rPr>
          <w:rFonts w:ascii="Calibri" w:eastAsia="PMingLiU" w:hAnsi="Calibri" w:cs="Mangal"/>
          <w:color w:val="000000"/>
          <w:szCs w:val="24"/>
          <w:lang w:eastAsia="zh-TW"/>
        </w:rPr>
      </w:pPr>
      <w:r>
        <w:rPr>
          <w:rFonts w:ascii="Calibri" w:eastAsia="PMingLiU" w:hAnsi="Calibri" w:cs="Mangal"/>
          <w:color w:val="000000"/>
          <w:szCs w:val="24"/>
          <w:lang w:eastAsia="zh-TW"/>
        </w:rPr>
        <w:t xml:space="preserve">In addition to classification laws, there are online safety laws to manage harmful online content. </w:t>
      </w:r>
      <w:r w:rsidR="00D7124F">
        <w:t xml:space="preserve">Under the Online Content Scheme in Schedules 5 and 7 </w:t>
      </w:r>
      <w:r w:rsidR="00121C58">
        <w:t xml:space="preserve">to </w:t>
      </w:r>
      <w:r w:rsidR="00D7124F">
        <w:t>the BSA, o</w:t>
      </w:r>
      <w:r w:rsidR="00481049">
        <w:rPr>
          <w:rFonts w:ascii="Calibri" w:eastAsia="PMingLiU" w:hAnsi="Calibri" w:cs="Mangal"/>
          <w:color w:val="000000"/>
          <w:szCs w:val="24"/>
          <w:lang w:eastAsia="zh-TW"/>
        </w:rPr>
        <w:t xml:space="preserve">ne of </w:t>
      </w:r>
      <w:r w:rsidR="00D7124F">
        <w:rPr>
          <w:rFonts w:ascii="Calibri" w:eastAsia="PMingLiU" w:hAnsi="Calibri" w:cs="Mangal"/>
          <w:color w:val="000000"/>
          <w:szCs w:val="24"/>
          <w:lang w:eastAsia="zh-TW"/>
        </w:rPr>
        <w:t xml:space="preserve">the </w:t>
      </w:r>
      <w:proofErr w:type="spellStart"/>
      <w:r w:rsidR="00D7124F">
        <w:rPr>
          <w:rFonts w:ascii="Calibri" w:eastAsia="PMingLiU" w:hAnsi="Calibri" w:cs="Mangal"/>
          <w:color w:val="000000"/>
          <w:szCs w:val="24"/>
          <w:lang w:eastAsia="zh-TW"/>
        </w:rPr>
        <w:t>eSafety</w:t>
      </w:r>
      <w:proofErr w:type="spellEnd"/>
      <w:r w:rsidR="00D7124F">
        <w:rPr>
          <w:rFonts w:ascii="Calibri" w:eastAsia="PMingLiU" w:hAnsi="Calibri" w:cs="Mangal"/>
          <w:color w:val="000000"/>
          <w:szCs w:val="24"/>
          <w:lang w:eastAsia="zh-TW"/>
        </w:rPr>
        <w:t xml:space="preserve"> Commissioner’s</w:t>
      </w:r>
      <w:r w:rsidR="00481049">
        <w:rPr>
          <w:rFonts w:ascii="Calibri" w:eastAsia="PMingLiU" w:hAnsi="Calibri" w:cs="Mangal"/>
          <w:color w:val="000000"/>
          <w:szCs w:val="24"/>
          <w:lang w:eastAsia="zh-TW"/>
        </w:rPr>
        <w:t xml:space="preserve"> roles is to </w:t>
      </w:r>
      <w:r w:rsidR="00036E2C">
        <w:t xml:space="preserve">investigate </w:t>
      </w:r>
      <w:r w:rsidR="00481049">
        <w:t>prohibited and potentially prohibited content online, including content on YouTube, social media, and on websites.</w:t>
      </w:r>
      <w:r w:rsidR="00481049" w:rsidRPr="00585F0A">
        <w:rPr>
          <w:rFonts w:ascii="Calibri" w:eastAsia="PMingLiU" w:hAnsi="Calibri" w:cs="Mangal"/>
          <w:color w:val="000000"/>
          <w:szCs w:val="24"/>
          <w:lang w:eastAsia="zh-TW"/>
        </w:rPr>
        <w:t xml:space="preserve"> </w:t>
      </w:r>
      <w:r w:rsidR="00481049">
        <w:rPr>
          <w:rFonts w:ascii="Calibri" w:eastAsia="PMingLiU" w:hAnsi="Calibri" w:cs="Mangal"/>
          <w:color w:val="000000"/>
          <w:szCs w:val="24"/>
          <w:lang w:eastAsia="zh-TW"/>
        </w:rPr>
        <w:t>The</w:t>
      </w:r>
      <w:r w:rsidR="00036E2C">
        <w:rPr>
          <w:rFonts w:ascii="Calibri" w:eastAsia="PMingLiU" w:hAnsi="Calibri" w:cs="Mangal"/>
          <w:color w:val="000000"/>
          <w:szCs w:val="24"/>
          <w:lang w:eastAsia="zh-TW"/>
        </w:rPr>
        <w:t xml:space="preserve"> </w:t>
      </w:r>
      <w:proofErr w:type="spellStart"/>
      <w:r w:rsidR="00481049">
        <w:rPr>
          <w:rFonts w:ascii="Calibri" w:eastAsia="PMingLiU" w:hAnsi="Calibri" w:cs="Mangal"/>
          <w:color w:val="000000"/>
          <w:szCs w:val="24"/>
          <w:lang w:eastAsia="zh-TW"/>
        </w:rPr>
        <w:lastRenderedPageBreak/>
        <w:t>eSafety</w:t>
      </w:r>
      <w:proofErr w:type="spellEnd"/>
      <w:r w:rsidR="00481049">
        <w:rPr>
          <w:rFonts w:ascii="Calibri" w:eastAsia="PMingLiU" w:hAnsi="Calibri" w:cs="Mangal"/>
          <w:color w:val="000000"/>
          <w:szCs w:val="24"/>
          <w:lang w:eastAsia="zh-TW"/>
        </w:rPr>
        <w:t xml:space="preserve"> Commissioner</w:t>
      </w:r>
      <w:r w:rsidR="00036E2C">
        <w:rPr>
          <w:rFonts w:ascii="Calibri" w:eastAsia="PMingLiU" w:hAnsi="Calibri" w:cs="Mangal"/>
          <w:color w:val="000000"/>
          <w:szCs w:val="24"/>
          <w:lang w:eastAsia="zh-TW"/>
        </w:rPr>
        <w:t xml:space="preserve"> may</w:t>
      </w:r>
      <w:r w:rsidR="00481049">
        <w:rPr>
          <w:rFonts w:ascii="Calibri" w:eastAsia="PMingLiU" w:hAnsi="Calibri" w:cs="Mangal"/>
          <w:color w:val="000000"/>
          <w:szCs w:val="24"/>
          <w:lang w:eastAsia="zh-TW"/>
        </w:rPr>
        <w:t xml:space="preserve"> </w:t>
      </w:r>
      <w:r w:rsidR="00481049" w:rsidRPr="00585F0A">
        <w:rPr>
          <w:rFonts w:ascii="Calibri" w:eastAsia="PMingLiU" w:hAnsi="Calibri" w:cs="Mangal"/>
          <w:color w:val="000000"/>
          <w:szCs w:val="24"/>
          <w:lang w:eastAsia="zh-TW"/>
        </w:rPr>
        <w:t>investigate</w:t>
      </w:r>
      <w:r w:rsidR="004A3D14">
        <w:rPr>
          <w:rFonts w:ascii="Calibri" w:eastAsia="PMingLiU" w:hAnsi="Calibri" w:cs="Mangal"/>
          <w:color w:val="000000"/>
          <w:szCs w:val="24"/>
          <w:lang w:eastAsia="zh-TW"/>
        </w:rPr>
        <w:t xml:space="preserve"> complaints about</w:t>
      </w:r>
      <w:r w:rsidR="00036E2C">
        <w:rPr>
          <w:rFonts w:ascii="Calibri" w:eastAsia="PMingLiU" w:hAnsi="Calibri" w:cs="Mangal"/>
          <w:color w:val="000000"/>
          <w:szCs w:val="24"/>
          <w:lang w:eastAsia="zh-TW"/>
        </w:rPr>
        <w:t xml:space="preserve"> </w:t>
      </w:r>
      <w:r w:rsidR="00481049">
        <w:rPr>
          <w:rFonts w:ascii="Calibri" w:eastAsia="PMingLiU" w:hAnsi="Calibri" w:cs="Mangal"/>
          <w:color w:val="000000"/>
          <w:szCs w:val="24"/>
          <w:lang w:eastAsia="zh-TW"/>
        </w:rPr>
        <w:t>content</w:t>
      </w:r>
      <w:r w:rsidR="00481049" w:rsidRPr="00585F0A">
        <w:rPr>
          <w:rFonts w:ascii="Calibri" w:eastAsia="PMingLiU" w:hAnsi="Calibri" w:cs="Mangal"/>
          <w:color w:val="000000"/>
          <w:szCs w:val="24"/>
          <w:lang w:eastAsia="zh-TW"/>
        </w:rPr>
        <w:t xml:space="preserve"> </w:t>
      </w:r>
      <w:r w:rsidR="00481049">
        <w:rPr>
          <w:rFonts w:ascii="Calibri" w:eastAsia="PMingLiU" w:hAnsi="Calibri" w:cs="Mangal"/>
          <w:color w:val="000000"/>
          <w:szCs w:val="24"/>
          <w:lang w:eastAsia="zh-TW"/>
        </w:rPr>
        <w:t xml:space="preserve">classified </w:t>
      </w:r>
      <w:r w:rsidR="00036E2C">
        <w:rPr>
          <w:rFonts w:ascii="Calibri" w:eastAsia="PMingLiU" w:hAnsi="Calibri" w:cs="Mangal"/>
          <w:color w:val="000000"/>
          <w:szCs w:val="24"/>
          <w:lang w:eastAsia="zh-TW"/>
        </w:rPr>
        <w:t>(</w:t>
      </w:r>
      <w:r w:rsidR="00481049">
        <w:rPr>
          <w:rFonts w:ascii="Calibri" w:eastAsia="PMingLiU" w:hAnsi="Calibri" w:cs="Mangal"/>
          <w:color w:val="000000"/>
          <w:szCs w:val="24"/>
          <w:lang w:eastAsia="zh-TW"/>
        </w:rPr>
        <w:t xml:space="preserve">or with a </w:t>
      </w:r>
      <w:r w:rsidR="00481049" w:rsidRPr="00585F0A">
        <w:rPr>
          <w:rFonts w:ascii="Calibri" w:eastAsia="PMingLiU" w:hAnsi="Calibri" w:cs="Mangal"/>
          <w:color w:val="000000"/>
          <w:szCs w:val="24"/>
          <w:lang w:eastAsia="zh-TW"/>
        </w:rPr>
        <w:t>substantial likelihood of being classified</w:t>
      </w:r>
      <w:r w:rsidR="00036E2C">
        <w:rPr>
          <w:rFonts w:ascii="Calibri" w:eastAsia="PMingLiU" w:hAnsi="Calibri" w:cs="Mangal"/>
          <w:color w:val="000000"/>
          <w:szCs w:val="24"/>
          <w:lang w:eastAsia="zh-TW"/>
        </w:rPr>
        <w:t>)</w:t>
      </w:r>
      <w:r w:rsidR="00481049" w:rsidRPr="00585F0A">
        <w:rPr>
          <w:rFonts w:ascii="Calibri" w:eastAsia="PMingLiU" w:hAnsi="Calibri" w:cs="Mangal"/>
          <w:color w:val="000000"/>
          <w:szCs w:val="24"/>
          <w:lang w:eastAsia="zh-TW"/>
        </w:rPr>
        <w:t xml:space="preserve"> </w:t>
      </w:r>
      <w:r w:rsidR="00D7124F">
        <w:rPr>
          <w:rFonts w:ascii="Calibri" w:eastAsia="PMingLiU" w:hAnsi="Calibri" w:cs="Mangal"/>
          <w:color w:val="000000"/>
          <w:szCs w:val="24"/>
          <w:lang w:eastAsia="zh-TW"/>
        </w:rPr>
        <w:t>Refused Classification</w:t>
      </w:r>
      <w:r w:rsidR="00036E2C">
        <w:rPr>
          <w:rFonts w:ascii="Calibri" w:eastAsia="PMingLiU" w:hAnsi="Calibri" w:cs="Mangal"/>
          <w:color w:val="000000"/>
          <w:szCs w:val="24"/>
          <w:lang w:eastAsia="zh-TW"/>
        </w:rPr>
        <w:t xml:space="preserve"> and </w:t>
      </w:r>
      <w:r w:rsidR="00481049" w:rsidRPr="00585F0A">
        <w:rPr>
          <w:rFonts w:ascii="Calibri" w:eastAsia="PMingLiU" w:hAnsi="Calibri" w:cs="Mangal"/>
          <w:color w:val="000000"/>
          <w:szCs w:val="24"/>
          <w:lang w:eastAsia="zh-TW"/>
        </w:rPr>
        <w:t>X 18+</w:t>
      </w:r>
      <w:r w:rsidR="00D7124F">
        <w:rPr>
          <w:rFonts w:ascii="Calibri" w:eastAsia="PMingLiU" w:hAnsi="Calibri" w:cs="Mangal"/>
          <w:color w:val="000000"/>
          <w:szCs w:val="24"/>
          <w:lang w:eastAsia="zh-TW"/>
        </w:rPr>
        <w:t>,</w:t>
      </w:r>
      <w:r w:rsidR="00481049" w:rsidRPr="00585F0A">
        <w:rPr>
          <w:rFonts w:ascii="Calibri" w:eastAsia="PMingLiU" w:hAnsi="Calibri" w:cs="Mangal"/>
          <w:color w:val="000000"/>
          <w:szCs w:val="24"/>
          <w:lang w:eastAsia="zh-TW"/>
        </w:rPr>
        <w:t xml:space="preserve"> or</w:t>
      </w:r>
      <w:r w:rsidR="00036E2C">
        <w:rPr>
          <w:rFonts w:ascii="Calibri" w:eastAsia="PMingLiU" w:hAnsi="Calibri" w:cs="Mangal"/>
          <w:color w:val="000000"/>
          <w:szCs w:val="24"/>
          <w:lang w:eastAsia="zh-TW"/>
        </w:rPr>
        <w:t xml:space="preserve"> content classified</w:t>
      </w:r>
      <w:r w:rsidR="00481049" w:rsidRPr="00585F0A">
        <w:rPr>
          <w:rFonts w:ascii="Calibri" w:eastAsia="PMingLiU" w:hAnsi="Calibri" w:cs="Mangal"/>
          <w:color w:val="000000"/>
          <w:szCs w:val="24"/>
          <w:lang w:eastAsia="zh-TW"/>
        </w:rPr>
        <w:t xml:space="preserve"> </w:t>
      </w:r>
      <w:r w:rsidR="004A3D14">
        <w:rPr>
          <w:rFonts w:ascii="Calibri" w:eastAsia="PMingLiU" w:hAnsi="Calibri" w:cs="Mangal"/>
          <w:color w:val="000000"/>
          <w:szCs w:val="24"/>
          <w:lang w:eastAsia="zh-TW"/>
        </w:rPr>
        <w:t xml:space="preserve">(or with a </w:t>
      </w:r>
      <w:r w:rsidR="004A3D14" w:rsidRPr="00585F0A">
        <w:rPr>
          <w:rFonts w:ascii="Calibri" w:eastAsia="PMingLiU" w:hAnsi="Calibri" w:cs="Mangal"/>
          <w:color w:val="000000"/>
          <w:szCs w:val="24"/>
          <w:lang w:eastAsia="zh-TW"/>
        </w:rPr>
        <w:t>substantial likelihood of being classified</w:t>
      </w:r>
      <w:r w:rsidR="004A3D14">
        <w:rPr>
          <w:rFonts w:ascii="Calibri" w:eastAsia="PMingLiU" w:hAnsi="Calibri" w:cs="Mangal"/>
          <w:color w:val="000000"/>
          <w:szCs w:val="24"/>
          <w:lang w:eastAsia="zh-TW"/>
        </w:rPr>
        <w:t>)</w:t>
      </w:r>
      <w:r w:rsidR="00FA2AFC" w:rsidRPr="00585F0A">
        <w:rPr>
          <w:rFonts w:ascii="Calibri" w:eastAsia="PMingLiU" w:hAnsi="Calibri" w:cs="Mangal"/>
          <w:color w:val="000000"/>
          <w:szCs w:val="24"/>
          <w:lang w:eastAsia="zh-TW"/>
        </w:rPr>
        <w:t xml:space="preserve"> </w:t>
      </w:r>
      <w:r w:rsidR="00FA2AFC">
        <w:rPr>
          <w:rFonts w:ascii="Calibri" w:eastAsia="PMingLiU" w:hAnsi="Calibri" w:cs="Mangal"/>
          <w:color w:val="000000"/>
          <w:szCs w:val="24"/>
          <w:lang w:eastAsia="zh-TW"/>
        </w:rPr>
        <w:t>MA </w:t>
      </w:r>
      <w:r w:rsidR="00481049" w:rsidRPr="00585F0A">
        <w:rPr>
          <w:rFonts w:ascii="Calibri" w:eastAsia="PMingLiU" w:hAnsi="Calibri" w:cs="Mangal"/>
          <w:color w:val="000000"/>
          <w:szCs w:val="24"/>
          <w:lang w:eastAsia="zh-TW"/>
        </w:rPr>
        <w:t xml:space="preserve">15+ </w:t>
      </w:r>
      <w:r w:rsidR="00036E2C">
        <w:rPr>
          <w:rFonts w:ascii="Calibri" w:eastAsia="PMingLiU" w:hAnsi="Calibri" w:cs="Mangal"/>
          <w:color w:val="000000"/>
          <w:szCs w:val="24"/>
          <w:lang w:eastAsia="zh-TW"/>
        </w:rPr>
        <w:t>and</w:t>
      </w:r>
      <w:r w:rsidR="00036E2C" w:rsidRPr="00585F0A">
        <w:rPr>
          <w:rFonts w:ascii="Calibri" w:eastAsia="PMingLiU" w:hAnsi="Calibri" w:cs="Mangal"/>
          <w:color w:val="000000"/>
          <w:szCs w:val="24"/>
          <w:lang w:eastAsia="zh-TW"/>
        </w:rPr>
        <w:t xml:space="preserve"> </w:t>
      </w:r>
      <w:r w:rsidR="00481049" w:rsidRPr="00585F0A">
        <w:rPr>
          <w:rFonts w:ascii="Calibri" w:eastAsia="PMingLiU" w:hAnsi="Calibri" w:cs="Mangal"/>
          <w:color w:val="000000"/>
          <w:szCs w:val="24"/>
          <w:lang w:eastAsia="zh-TW"/>
        </w:rPr>
        <w:t>R 18+ wh</w:t>
      </w:r>
      <w:r w:rsidR="00481049">
        <w:rPr>
          <w:rFonts w:ascii="Calibri" w:eastAsia="PMingLiU" w:hAnsi="Calibri" w:cs="Mangal"/>
          <w:color w:val="000000"/>
          <w:szCs w:val="24"/>
          <w:lang w:eastAsia="zh-TW"/>
        </w:rPr>
        <w:t xml:space="preserve">ere access is not subject to a </w:t>
      </w:r>
      <w:r w:rsidR="00481049" w:rsidRPr="00585F0A">
        <w:rPr>
          <w:rFonts w:ascii="Calibri" w:eastAsia="PMingLiU" w:hAnsi="Calibri" w:cs="Mangal"/>
          <w:color w:val="000000"/>
          <w:szCs w:val="24"/>
          <w:lang w:eastAsia="zh-TW"/>
        </w:rPr>
        <w:t>restricted access system.</w:t>
      </w:r>
      <w:r w:rsidR="00481049" w:rsidRPr="00585F0A">
        <w:rPr>
          <w:rFonts w:ascii="Calibri" w:eastAsia="PMingLiU" w:hAnsi="Calibri" w:cs="Mangal"/>
          <w:color w:val="000000"/>
          <w:vertAlign w:val="superscript"/>
          <w:lang w:eastAsia="zh-TW"/>
        </w:rPr>
        <w:footnoteReference w:id="22"/>
      </w:r>
      <w:r w:rsidR="00481049">
        <w:rPr>
          <w:rFonts w:ascii="Calibri" w:eastAsia="PMingLiU" w:hAnsi="Calibri" w:cs="Mangal"/>
          <w:color w:val="000000"/>
          <w:szCs w:val="24"/>
          <w:lang w:eastAsia="zh-TW"/>
        </w:rPr>
        <w:t xml:space="preserve"> </w:t>
      </w:r>
      <w:r w:rsidR="00520592">
        <w:rPr>
          <w:rFonts w:ascii="Calibri" w:eastAsia="PMingLiU" w:hAnsi="Calibri" w:cs="Mangal"/>
          <w:color w:val="000000"/>
          <w:szCs w:val="24"/>
          <w:lang w:eastAsia="zh-TW"/>
        </w:rPr>
        <w:t>The 201</w:t>
      </w:r>
      <w:r w:rsidR="00D45C01">
        <w:rPr>
          <w:rFonts w:ascii="Calibri" w:eastAsia="PMingLiU" w:hAnsi="Calibri" w:cs="Mangal"/>
          <w:color w:val="000000"/>
          <w:szCs w:val="24"/>
          <w:lang w:eastAsia="zh-TW"/>
        </w:rPr>
        <w:t>8</w:t>
      </w:r>
      <w:r w:rsidR="00F43D10">
        <w:rPr>
          <w:rFonts w:ascii="Calibri" w:eastAsia="PMingLiU" w:hAnsi="Calibri" w:cs="Mangal"/>
          <w:color w:val="000000"/>
          <w:szCs w:val="24"/>
          <w:lang w:eastAsia="zh-TW"/>
        </w:rPr>
        <w:t xml:space="preserve"> </w:t>
      </w:r>
      <w:r w:rsidR="003F7336" w:rsidRPr="005373DA">
        <w:rPr>
          <w:rFonts w:ascii="Calibri" w:eastAsia="PMingLiU" w:hAnsi="Calibri" w:cs="Mangal"/>
          <w:color w:val="000000"/>
          <w:szCs w:val="24"/>
          <w:lang w:eastAsia="zh-TW"/>
        </w:rPr>
        <w:t xml:space="preserve">Statutory Review of </w:t>
      </w:r>
      <w:r w:rsidR="003F7336" w:rsidRPr="006A3448">
        <w:rPr>
          <w:rFonts w:ascii="Calibri" w:eastAsia="PMingLiU" w:hAnsi="Calibri" w:cs="Mangal"/>
          <w:color w:val="000000"/>
          <w:szCs w:val="24"/>
          <w:lang w:eastAsia="zh-TW"/>
        </w:rPr>
        <w:t>the Enhancing Online Safety Act 2015</w:t>
      </w:r>
      <w:r w:rsidR="003F7336">
        <w:rPr>
          <w:rFonts w:ascii="Calibri" w:eastAsia="PMingLiU" w:hAnsi="Calibri" w:cs="Mangal"/>
          <w:color w:val="000000"/>
          <w:szCs w:val="24"/>
          <w:lang w:eastAsia="zh-TW"/>
        </w:rPr>
        <w:t xml:space="preserve"> recommended </w:t>
      </w:r>
      <w:r w:rsidR="0071189E">
        <w:rPr>
          <w:rFonts w:ascii="Calibri" w:eastAsia="PMingLiU" w:hAnsi="Calibri" w:cs="Mangal"/>
          <w:color w:val="000000"/>
          <w:szCs w:val="24"/>
          <w:lang w:eastAsia="zh-TW"/>
        </w:rPr>
        <w:t>that, instead of assessing online material using</w:t>
      </w:r>
      <w:r w:rsidR="003F7336">
        <w:rPr>
          <w:rFonts w:ascii="Calibri" w:eastAsia="PMingLiU" w:hAnsi="Calibri" w:cs="Mangal"/>
          <w:color w:val="000000"/>
          <w:szCs w:val="24"/>
          <w:lang w:eastAsia="zh-TW"/>
        </w:rPr>
        <w:t xml:space="preserve"> classification</w:t>
      </w:r>
      <w:r w:rsidR="00EF5B30">
        <w:rPr>
          <w:rFonts w:ascii="Calibri" w:eastAsia="PMingLiU" w:hAnsi="Calibri" w:cs="Mangal"/>
          <w:color w:val="000000"/>
          <w:szCs w:val="24"/>
          <w:lang w:eastAsia="zh-TW"/>
        </w:rPr>
        <w:t xml:space="preserve"> </w:t>
      </w:r>
      <w:r w:rsidR="0071189E">
        <w:rPr>
          <w:rFonts w:ascii="Calibri" w:eastAsia="PMingLiU" w:hAnsi="Calibri" w:cs="Mangal"/>
          <w:color w:val="000000"/>
          <w:szCs w:val="24"/>
          <w:lang w:eastAsia="zh-TW"/>
        </w:rPr>
        <w:t xml:space="preserve">guidelines </w:t>
      </w:r>
      <w:r w:rsidR="00EF5B30">
        <w:rPr>
          <w:rFonts w:ascii="Calibri" w:eastAsia="PMingLiU" w:hAnsi="Calibri" w:cs="Mangal"/>
          <w:color w:val="000000"/>
          <w:szCs w:val="24"/>
          <w:lang w:eastAsia="zh-TW"/>
        </w:rPr>
        <w:t xml:space="preserve">for </w:t>
      </w:r>
      <w:r w:rsidR="0071189E">
        <w:rPr>
          <w:rFonts w:ascii="Calibri" w:eastAsia="PMingLiU" w:hAnsi="Calibri" w:cs="Mangal"/>
          <w:color w:val="000000"/>
          <w:szCs w:val="24"/>
          <w:lang w:eastAsia="zh-TW"/>
        </w:rPr>
        <w:t>film,</w:t>
      </w:r>
      <w:r w:rsidR="003F7336">
        <w:rPr>
          <w:rFonts w:ascii="Calibri" w:eastAsia="PMingLiU" w:hAnsi="Calibri" w:cs="Mangal"/>
          <w:color w:val="000000"/>
          <w:szCs w:val="24"/>
          <w:lang w:eastAsia="zh-TW"/>
        </w:rPr>
        <w:t xml:space="preserve"> a new </w:t>
      </w:r>
      <w:r w:rsidR="00521615">
        <w:rPr>
          <w:rFonts w:ascii="Calibri" w:eastAsia="PMingLiU" w:hAnsi="Calibri" w:cs="Mangal"/>
          <w:color w:val="000000"/>
          <w:szCs w:val="24"/>
          <w:lang w:eastAsia="zh-TW"/>
        </w:rPr>
        <w:t>‘</w:t>
      </w:r>
      <w:r w:rsidR="003F7336">
        <w:rPr>
          <w:rFonts w:ascii="Calibri" w:eastAsia="PMingLiU" w:hAnsi="Calibri" w:cs="Mangal"/>
          <w:color w:val="000000"/>
          <w:szCs w:val="24"/>
          <w:lang w:eastAsia="zh-TW"/>
        </w:rPr>
        <w:t>harm standard</w:t>
      </w:r>
      <w:r w:rsidR="00521615">
        <w:rPr>
          <w:rFonts w:ascii="Calibri" w:eastAsia="PMingLiU" w:hAnsi="Calibri" w:cs="Mangal"/>
          <w:color w:val="000000"/>
          <w:szCs w:val="24"/>
          <w:lang w:eastAsia="zh-TW"/>
        </w:rPr>
        <w:t>’</w:t>
      </w:r>
      <w:r w:rsidR="003F7336">
        <w:rPr>
          <w:rFonts w:ascii="Calibri" w:eastAsia="PMingLiU" w:hAnsi="Calibri" w:cs="Mangal"/>
          <w:color w:val="000000"/>
          <w:szCs w:val="24"/>
          <w:lang w:eastAsia="zh-TW"/>
        </w:rPr>
        <w:t xml:space="preserve"> </w:t>
      </w:r>
      <w:r w:rsidR="0071189E">
        <w:rPr>
          <w:rFonts w:ascii="Calibri" w:eastAsia="PMingLiU" w:hAnsi="Calibri" w:cs="Mangal"/>
          <w:color w:val="000000"/>
          <w:szCs w:val="24"/>
          <w:lang w:eastAsia="zh-TW"/>
        </w:rPr>
        <w:t>be introduced. This standard would</w:t>
      </w:r>
      <w:r w:rsidR="003F7336">
        <w:rPr>
          <w:rFonts w:ascii="Calibri" w:eastAsia="PMingLiU" w:hAnsi="Calibri" w:cs="Mangal"/>
          <w:color w:val="000000"/>
          <w:szCs w:val="24"/>
          <w:lang w:eastAsia="zh-TW"/>
        </w:rPr>
        <w:t xml:space="preserve"> be determined by the </w:t>
      </w:r>
      <w:proofErr w:type="spellStart"/>
      <w:r w:rsidR="003F7336">
        <w:rPr>
          <w:rFonts w:ascii="Calibri" w:eastAsia="PMingLiU" w:hAnsi="Calibri" w:cs="Mangal"/>
          <w:color w:val="000000"/>
          <w:szCs w:val="24"/>
          <w:lang w:eastAsia="zh-TW"/>
        </w:rPr>
        <w:t>eSafety</w:t>
      </w:r>
      <w:proofErr w:type="spellEnd"/>
      <w:r w:rsidR="003F7336">
        <w:rPr>
          <w:rFonts w:ascii="Calibri" w:eastAsia="PMingLiU" w:hAnsi="Calibri" w:cs="Mangal"/>
          <w:color w:val="000000"/>
          <w:szCs w:val="24"/>
          <w:lang w:eastAsia="zh-TW"/>
        </w:rPr>
        <w:t xml:space="preserve"> Commissioner</w:t>
      </w:r>
      <w:r w:rsidR="00144DFC">
        <w:rPr>
          <w:rFonts w:ascii="Calibri" w:eastAsia="PMingLiU" w:hAnsi="Calibri" w:cs="Mangal"/>
          <w:color w:val="000000"/>
          <w:szCs w:val="24"/>
          <w:lang w:eastAsia="zh-TW"/>
        </w:rPr>
        <w:t xml:space="preserve">, </w:t>
      </w:r>
      <w:r w:rsidR="0071189E">
        <w:rPr>
          <w:rFonts w:ascii="Calibri" w:eastAsia="PMingLiU" w:hAnsi="Calibri" w:cs="Mangal"/>
          <w:color w:val="000000"/>
          <w:szCs w:val="24"/>
          <w:lang w:eastAsia="zh-TW"/>
        </w:rPr>
        <w:t>who would also be empowered</w:t>
      </w:r>
      <w:r w:rsidR="00144DFC">
        <w:rPr>
          <w:rFonts w:ascii="Calibri" w:eastAsia="PMingLiU" w:hAnsi="Calibri" w:cs="Mangal"/>
          <w:color w:val="000000"/>
          <w:szCs w:val="24"/>
          <w:lang w:eastAsia="zh-TW"/>
        </w:rPr>
        <w:t xml:space="preserve"> to make classifications</w:t>
      </w:r>
      <w:r w:rsidR="00C26801">
        <w:rPr>
          <w:rFonts w:ascii="Calibri" w:eastAsia="PMingLiU" w:hAnsi="Calibri" w:cs="Mangal"/>
          <w:color w:val="000000"/>
          <w:szCs w:val="24"/>
          <w:lang w:eastAsia="zh-TW"/>
        </w:rPr>
        <w:t>.</w:t>
      </w:r>
      <w:r w:rsidR="00D06F5E">
        <w:rPr>
          <w:rStyle w:val="FootnoteReference"/>
          <w:rFonts w:ascii="Calibri" w:eastAsia="PMingLiU" w:hAnsi="Calibri" w:cs="Mangal"/>
          <w:color w:val="000000"/>
          <w:szCs w:val="24"/>
          <w:lang w:eastAsia="zh-TW"/>
        </w:rPr>
        <w:footnoteReference w:id="23"/>
      </w:r>
      <w:r w:rsidR="00144DFC">
        <w:rPr>
          <w:rFonts w:ascii="Calibri" w:eastAsia="PMingLiU" w:hAnsi="Calibri" w:cs="Mangal"/>
          <w:color w:val="000000"/>
          <w:szCs w:val="24"/>
          <w:lang w:eastAsia="zh-TW"/>
        </w:rPr>
        <w:t xml:space="preserve"> </w:t>
      </w:r>
      <w:r w:rsidR="00C26801">
        <w:rPr>
          <w:rFonts w:ascii="Calibri" w:eastAsia="PMingLiU" w:hAnsi="Calibri" w:cs="Mangal"/>
          <w:color w:val="000000"/>
          <w:szCs w:val="24"/>
          <w:lang w:eastAsia="zh-TW"/>
        </w:rPr>
        <w:t>This</w:t>
      </w:r>
      <w:r w:rsidR="00D06F5E">
        <w:rPr>
          <w:rFonts w:ascii="Calibri" w:eastAsia="PMingLiU" w:hAnsi="Calibri" w:cs="Mangal"/>
          <w:color w:val="000000"/>
          <w:szCs w:val="24"/>
          <w:lang w:eastAsia="zh-TW"/>
        </w:rPr>
        <w:t xml:space="preserve"> would in effect separate the standards applied</w:t>
      </w:r>
      <w:r w:rsidR="00521615">
        <w:rPr>
          <w:rFonts w:ascii="Calibri" w:eastAsia="PMingLiU" w:hAnsi="Calibri" w:cs="Mangal"/>
          <w:color w:val="000000"/>
          <w:szCs w:val="24"/>
          <w:lang w:eastAsia="zh-TW"/>
        </w:rPr>
        <w:t xml:space="preserve"> to</w:t>
      </w:r>
      <w:r w:rsidR="00C26801">
        <w:rPr>
          <w:rFonts w:ascii="Calibri" w:eastAsia="PMingLiU" w:hAnsi="Calibri" w:cs="Mangal"/>
          <w:color w:val="000000"/>
          <w:szCs w:val="24"/>
          <w:lang w:eastAsia="zh-TW"/>
        </w:rPr>
        <w:t>, and regulatory oversight of,</w:t>
      </w:r>
      <w:r w:rsidR="00EF5B30">
        <w:rPr>
          <w:rFonts w:ascii="Calibri" w:eastAsia="PMingLiU" w:hAnsi="Calibri" w:cs="Mangal"/>
          <w:color w:val="000000"/>
          <w:szCs w:val="24"/>
          <w:lang w:eastAsia="zh-TW"/>
        </w:rPr>
        <w:t xml:space="preserve"> potentially harmful</w:t>
      </w:r>
      <w:r w:rsidR="00144DFC">
        <w:rPr>
          <w:rFonts w:ascii="Calibri" w:eastAsia="PMingLiU" w:hAnsi="Calibri" w:cs="Mangal"/>
          <w:color w:val="000000"/>
          <w:szCs w:val="24"/>
          <w:lang w:eastAsia="zh-TW"/>
        </w:rPr>
        <w:t xml:space="preserve"> content</w:t>
      </w:r>
      <w:r w:rsidR="00D06F5E">
        <w:rPr>
          <w:rFonts w:ascii="Calibri" w:eastAsia="PMingLiU" w:hAnsi="Calibri" w:cs="Mangal"/>
          <w:color w:val="000000"/>
          <w:szCs w:val="24"/>
          <w:lang w:eastAsia="zh-TW"/>
        </w:rPr>
        <w:t xml:space="preserve"> </w:t>
      </w:r>
      <w:r w:rsidR="000A0959">
        <w:rPr>
          <w:rFonts w:ascii="Calibri" w:eastAsia="PMingLiU" w:hAnsi="Calibri" w:cs="Mangal"/>
          <w:color w:val="000000"/>
          <w:szCs w:val="24"/>
          <w:lang w:eastAsia="zh-TW"/>
        </w:rPr>
        <w:t>on</w:t>
      </w:r>
      <w:r w:rsidR="00D06F5E">
        <w:rPr>
          <w:rFonts w:ascii="Calibri" w:eastAsia="PMingLiU" w:hAnsi="Calibri" w:cs="Mangal"/>
          <w:color w:val="000000"/>
          <w:szCs w:val="24"/>
          <w:lang w:eastAsia="zh-TW"/>
        </w:rPr>
        <w:t xml:space="preserve"> websites and social media</w:t>
      </w:r>
      <w:r w:rsidR="00144DFC">
        <w:rPr>
          <w:rFonts w:ascii="Calibri" w:eastAsia="PMingLiU" w:hAnsi="Calibri" w:cs="Mangal"/>
          <w:color w:val="000000"/>
          <w:szCs w:val="24"/>
          <w:lang w:eastAsia="zh-TW"/>
        </w:rPr>
        <w:t xml:space="preserve"> from the classification scheme applied to film.</w:t>
      </w:r>
    </w:p>
    <w:p w:rsidR="00AF3100" w:rsidRDefault="002F4C2D" w:rsidP="00E403B4">
      <w:pPr>
        <w:spacing w:after="120"/>
      </w:pPr>
      <w:r>
        <w:t>Reflecting community expectations</w:t>
      </w:r>
      <w:r w:rsidR="001B5DAA">
        <w:t xml:space="preserve"> for </w:t>
      </w:r>
      <w:r w:rsidR="005E158A">
        <w:t>classifiable content that would be</w:t>
      </w:r>
      <w:r w:rsidR="001B5DAA">
        <w:t xml:space="preserve"> G to R 18+</w:t>
      </w:r>
      <w:r>
        <w:t>, i</w:t>
      </w:r>
      <w:r w:rsidR="003905F5">
        <w:t xml:space="preserve">t is proposed that a </w:t>
      </w:r>
      <w:r>
        <w:t xml:space="preserve">future </w:t>
      </w:r>
      <w:r w:rsidR="003905F5">
        <w:t xml:space="preserve">definition </w:t>
      </w:r>
      <w:r>
        <w:t>of</w:t>
      </w:r>
      <w:r w:rsidR="003905F5">
        <w:t xml:space="preserve"> classifiable</w:t>
      </w:r>
      <w:r w:rsidR="00837EF1">
        <w:t xml:space="preserve"> film</w:t>
      </w:r>
      <w:r w:rsidR="003905F5">
        <w:t xml:space="preserve"> content should cover the following </w:t>
      </w:r>
      <w:r>
        <w:t xml:space="preserve">professional and commercial </w:t>
      </w:r>
      <w:r w:rsidR="003905F5">
        <w:t>formats</w:t>
      </w:r>
      <w:r>
        <w:t xml:space="preserve"> </w:t>
      </w:r>
      <w:r w:rsidR="001132F0">
        <w:t>made available</w:t>
      </w:r>
      <w:r>
        <w:t xml:space="preserve"> in Australia</w:t>
      </w:r>
      <w:r w:rsidR="00D76A4C">
        <w:t>, unless the film content is exempt from classification</w:t>
      </w:r>
      <w:r w:rsidR="00AF3100">
        <w:t>:</w:t>
      </w:r>
    </w:p>
    <w:p w:rsidR="00AF3100" w:rsidRDefault="00AF3100" w:rsidP="003369F8">
      <w:pPr>
        <w:pStyle w:val="Listparagraphbullets"/>
      </w:pPr>
      <w:r>
        <w:t>films in cinemas</w:t>
      </w:r>
    </w:p>
    <w:p w:rsidR="00AF3100" w:rsidRDefault="00AF3100" w:rsidP="003369F8">
      <w:pPr>
        <w:pStyle w:val="Listparagraphbullets"/>
      </w:pPr>
      <w:r>
        <w:t xml:space="preserve">films and episodic series </w:t>
      </w:r>
      <w:r w:rsidR="007D26A4">
        <w:t xml:space="preserve">on </w:t>
      </w:r>
      <w:r>
        <w:t>physical media (</w:t>
      </w:r>
      <w:r w:rsidR="007D26A4">
        <w:t>DVD and Blu-ray</w:t>
      </w:r>
      <w:r>
        <w:t>)</w:t>
      </w:r>
    </w:p>
    <w:p w:rsidR="00AF3100" w:rsidRDefault="00AF3100" w:rsidP="003369F8">
      <w:pPr>
        <w:pStyle w:val="Listparagraphbullets"/>
      </w:pPr>
      <w:r>
        <w:t xml:space="preserve">films and episodic series broadcast </w:t>
      </w:r>
      <w:r w:rsidR="007D26A4">
        <w:t>on television an</w:t>
      </w:r>
      <w:r>
        <w:t xml:space="preserve">d related online catch-up TV services </w:t>
      </w:r>
      <w:r w:rsidR="00501ED8">
        <w:br/>
      </w:r>
      <w:r>
        <w:t xml:space="preserve">(e.g. ABC iView, SBS on Demand, </w:t>
      </w:r>
      <w:proofErr w:type="spellStart"/>
      <w:r>
        <w:t>TenPlay</w:t>
      </w:r>
      <w:proofErr w:type="spellEnd"/>
      <w:r>
        <w:t>, 9Now, 7plus)</w:t>
      </w:r>
    </w:p>
    <w:p w:rsidR="00EE628B" w:rsidRDefault="00AF3100" w:rsidP="003369F8">
      <w:pPr>
        <w:pStyle w:val="Listparagraphbullets"/>
      </w:pPr>
      <w:r>
        <w:t>C</w:t>
      </w:r>
      <w:r w:rsidR="005F2F51">
        <w:t>ommercial</w:t>
      </w:r>
      <w:r w:rsidR="007D26A4">
        <w:t xml:space="preserve"> video-on-demand services (e.g. Netflix, Stan, Ama</w:t>
      </w:r>
      <w:r w:rsidR="00CA3857">
        <w:t>zon Prime Video, Disney+, Apple </w:t>
      </w:r>
      <w:r w:rsidR="007D26A4">
        <w:t>TV+)</w:t>
      </w:r>
    </w:p>
    <w:p w:rsidR="00B71E6F" w:rsidRDefault="00EE628B" w:rsidP="003369F8">
      <w:pPr>
        <w:pStyle w:val="Listparagraphbullets"/>
      </w:pPr>
      <w:r>
        <w:t xml:space="preserve">Films and episodic series on digital storefronts (e.g. </w:t>
      </w:r>
      <w:r w:rsidR="00F75E7B">
        <w:t xml:space="preserve">Apple </w:t>
      </w:r>
      <w:r>
        <w:t>iTunes, Google Play)</w:t>
      </w:r>
      <w:r w:rsidR="004916E0">
        <w:t>.</w:t>
      </w:r>
    </w:p>
    <w:p w:rsidR="00DF56A4" w:rsidRPr="00443BEE" w:rsidRDefault="00443BEE" w:rsidP="003369F8">
      <w:pPr>
        <w:pStyle w:val="Heading4"/>
      </w:pPr>
      <w:bookmarkStart w:id="133" w:name="_Toc29289970"/>
      <w:r w:rsidRPr="00443BEE">
        <w:lastRenderedPageBreak/>
        <w:t>Computer games</w:t>
      </w:r>
      <w:bookmarkEnd w:id="133"/>
    </w:p>
    <w:p w:rsidR="001629C7" w:rsidRDefault="00443BEE" w:rsidP="001201D2">
      <w:r>
        <w:t xml:space="preserve">The definition of ‘computer game’ </w:t>
      </w:r>
      <w:r w:rsidR="00C348A4">
        <w:t>in the Classification Act covers</w:t>
      </w:r>
      <w:r w:rsidR="00F23C36">
        <w:t xml:space="preserve"> physical boxed games and </w:t>
      </w:r>
      <w:r w:rsidR="00C348A4">
        <w:t>online</w:t>
      </w:r>
      <w:r w:rsidR="00F23C36">
        <w:t xml:space="preserve"> games</w:t>
      </w:r>
      <w:r>
        <w:t>.</w:t>
      </w:r>
      <w:r w:rsidR="00F23C36">
        <w:rPr>
          <w:rStyle w:val="FootnoteReference"/>
        </w:rPr>
        <w:footnoteReference w:id="24"/>
      </w:r>
      <w:r w:rsidR="002F4C2D">
        <w:t xml:space="preserve"> </w:t>
      </w:r>
      <w:r w:rsidR="00B4799D">
        <w:t xml:space="preserve">The ALRC review recommended </w:t>
      </w:r>
      <w:r w:rsidR="00347FA8">
        <w:t>the new regulator approve</w:t>
      </w:r>
      <w:r w:rsidR="001B7AE7">
        <w:t xml:space="preserve"> industry codes for </w:t>
      </w:r>
      <w:r w:rsidR="00B4799D">
        <w:t xml:space="preserve">voluntary classification of games </w:t>
      </w:r>
      <w:r w:rsidR="005F2F51">
        <w:t xml:space="preserve">that would be </w:t>
      </w:r>
      <w:r w:rsidR="00B4799D">
        <w:t xml:space="preserve">likely to be G </w:t>
      </w:r>
      <w:r w:rsidR="00481049">
        <w:t>to</w:t>
      </w:r>
      <w:r w:rsidR="00B4799D">
        <w:t xml:space="preserve"> M</w:t>
      </w:r>
      <w:r w:rsidR="005F2F51">
        <w:t xml:space="preserve"> and meet certain other criteria.</w:t>
      </w:r>
      <w:r w:rsidR="001B7AE7">
        <w:rPr>
          <w:rStyle w:val="FootnoteReference"/>
        </w:rPr>
        <w:footnoteReference w:id="25"/>
      </w:r>
      <w:r w:rsidR="001B7AE7">
        <w:t xml:space="preserve"> </w:t>
      </w:r>
      <w:r w:rsidR="00C831E3">
        <w:t>Since the 2012 ALRC review,</w:t>
      </w:r>
      <w:r w:rsidR="00B4799D">
        <w:t xml:space="preserve"> </w:t>
      </w:r>
      <w:r w:rsidR="00C831E3">
        <w:t>t</w:t>
      </w:r>
      <w:r w:rsidR="00B4799D">
        <w:t xml:space="preserve">he introduction of the IARC tool </w:t>
      </w:r>
      <w:r w:rsidR="00D77A9E">
        <w:t>in 2015 has enabled large volumes of games to be classified effectively</w:t>
      </w:r>
      <w:r w:rsidR="00D77A9E" w:rsidRPr="00D77A9E">
        <w:t xml:space="preserve"> </w:t>
      </w:r>
      <w:r w:rsidR="00D77A9E">
        <w:t>across all classification categories.</w:t>
      </w:r>
      <w:r w:rsidR="005F2F51">
        <w:t xml:space="preserve"> </w:t>
      </w:r>
      <w:r w:rsidR="00C831E3">
        <w:t>In light of</w:t>
      </w:r>
      <w:r w:rsidR="005F2F51">
        <w:t xml:space="preserve"> this development, it is </w:t>
      </w:r>
      <w:r w:rsidR="002F4C2D">
        <w:t>proposed</w:t>
      </w:r>
      <w:r w:rsidR="005F2F51">
        <w:t xml:space="preserve"> that all computer games</w:t>
      </w:r>
      <w:r w:rsidR="001132F0">
        <w:t xml:space="preserve"> </w:t>
      </w:r>
      <w:r w:rsidR="00651081">
        <w:t xml:space="preserve">made </w:t>
      </w:r>
      <w:r w:rsidR="001132F0">
        <w:t>available in Australia</w:t>
      </w:r>
      <w:r w:rsidR="005F2F51">
        <w:t xml:space="preserve"> continue to be classified</w:t>
      </w:r>
      <w:r w:rsidR="00610698">
        <w:t xml:space="preserve"> apart from exempt ones</w:t>
      </w:r>
      <w:r w:rsidR="00C26801">
        <w:t>, using the same categories as for film</w:t>
      </w:r>
      <w:r w:rsidR="0082421C">
        <w:t xml:space="preserve"> (with the exception of X 18+)</w:t>
      </w:r>
      <w:r w:rsidR="00610698">
        <w:t>.</w:t>
      </w:r>
    </w:p>
    <w:p w:rsidR="00DF56A4" w:rsidRPr="00443BEE" w:rsidRDefault="005E158A" w:rsidP="003369F8">
      <w:pPr>
        <w:pStyle w:val="Heading4"/>
      </w:pPr>
      <w:bookmarkStart w:id="134" w:name="_Toc29289971"/>
      <w:r>
        <w:t>Certain p</w:t>
      </w:r>
      <w:r w:rsidR="00DF56A4" w:rsidRPr="00443BEE">
        <w:t>ublications</w:t>
      </w:r>
      <w:r w:rsidR="00443BEE">
        <w:t xml:space="preserve"> to be restricted to adults</w:t>
      </w:r>
      <w:bookmarkEnd w:id="134"/>
    </w:p>
    <w:p w:rsidR="001629C7" w:rsidRDefault="003514A6" w:rsidP="001201D2">
      <w:r>
        <w:t xml:space="preserve">The Classification Act requires that all ‘submittable publications’, which are likely to warrant restriction to adults, must be classified before they can be legally distributed or advertised. </w:t>
      </w:r>
      <w:r w:rsidR="00C11C53">
        <w:t>Nearly all commercial</w:t>
      </w:r>
      <w:r>
        <w:t xml:space="preserve"> publications submitted to the Board</w:t>
      </w:r>
      <w:r w:rsidR="00C11C53">
        <w:t xml:space="preserve"> are sexually explicit magazines. T</w:t>
      </w:r>
      <w:r>
        <w:t xml:space="preserve">he Board applies the </w:t>
      </w:r>
      <w:r w:rsidR="0087372B">
        <w:t xml:space="preserve">Publications </w:t>
      </w:r>
      <w:r>
        <w:t>Guidelines that outline the standards for violence, sex, nudity, coarse language, adult themes and drug use across four categories: Unrestricted, Category 1 restricted, Category 2 restricted and Refused Classification.</w:t>
      </w:r>
    </w:p>
    <w:p w:rsidR="003514A6" w:rsidRDefault="003514A6" w:rsidP="001201D2">
      <w:r>
        <w:lastRenderedPageBreak/>
        <w:t xml:space="preserve">The volume of publications being submitted </w:t>
      </w:r>
      <w:r w:rsidR="00C11C53">
        <w:t>to the Board</w:t>
      </w:r>
      <w:r>
        <w:t xml:space="preserve"> has significantly declined as content has moved online. In the late 1990s the Board classified nearly 2,000 publications per year. In contrast, the Board classified 42 publications in 2016–17, 31 publications in 2017–18, and 29 publications in </w:t>
      </w:r>
      <w:r w:rsidR="003369F8">
        <w:t>2018–19</w:t>
      </w:r>
      <w:r>
        <w:t>.</w:t>
      </w:r>
      <w:r w:rsidRPr="003211EB">
        <w:rPr>
          <w:vertAlign w:val="superscript"/>
        </w:rPr>
        <w:footnoteReference w:id="26"/>
      </w:r>
      <w:r>
        <w:t xml:space="preserve"> This is expected to decline with </w:t>
      </w:r>
      <w:r w:rsidR="00443BEE">
        <w:t xml:space="preserve">the closure of </w:t>
      </w:r>
      <w:r w:rsidR="005C16F1">
        <w:t xml:space="preserve">more </w:t>
      </w:r>
      <w:r w:rsidR="00443BEE">
        <w:t>magazine titles in 2020</w:t>
      </w:r>
      <w:r w:rsidR="00AF6229">
        <w:t>.</w:t>
      </w:r>
      <w:r w:rsidR="00443BEE">
        <w:rPr>
          <w:rStyle w:val="FootnoteReference"/>
        </w:rPr>
        <w:footnoteReference w:id="27"/>
      </w:r>
    </w:p>
    <w:p w:rsidR="001629C7" w:rsidRDefault="003514A6" w:rsidP="001201D2">
      <w:r>
        <w:t xml:space="preserve">The ALRC review recommended that adult </w:t>
      </w:r>
      <w:r w:rsidR="001F39F0">
        <w:t>magazines</w:t>
      </w:r>
      <w:r>
        <w:t xml:space="preserve"> need not be classified but </w:t>
      </w:r>
      <w:r w:rsidR="00C11C53">
        <w:t>i</w:t>
      </w:r>
      <w:r>
        <w:t xml:space="preserve">f industry wished to classify publications they could do so. </w:t>
      </w:r>
      <w:r w:rsidRPr="006748E4">
        <w:t xml:space="preserve">The ALRC recommended that the new regulator </w:t>
      </w:r>
      <w:r>
        <w:t>could</w:t>
      </w:r>
      <w:r w:rsidRPr="006748E4">
        <w:t xml:space="preserve"> approve industry codes that provide for the voluntary classification and marking of content that is not required to be classified</w:t>
      </w:r>
      <w:r>
        <w:t>, and t</w:t>
      </w:r>
      <w:r w:rsidRPr="006748E4">
        <w:t>he regulator should encourage the development of such a code for magazines</w:t>
      </w:r>
      <w:r>
        <w:t xml:space="preserve"> likely to warrant restriction to adults</w:t>
      </w:r>
      <w:r w:rsidRPr="006748E4">
        <w:t>.</w:t>
      </w:r>
      <w:r w:rsidRPr="006748E4">
        <w:rPr>
          <w:rStyle w:val="FootnoteReference"/>
        </w:rPr>
        <w:footnoteReference w:id="28"/>
      </w:r>
    </w:p>
    <w:p w:rsidR="0078303D" w:rsidRPr="009B68F5" w:rsidRDefault="00D476FB" w:rsidP="009B68F5">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60" w:line="257" w:lineRule="auto"/>
        <w:contextualSpacing w:val="0"/>
        <w:rPr>
          <w:b/>
        </w:rPr>
      </w:pPr>
      <w:r>
        <w:rPr>
          <w:b/>
        </w:rPr>
        <w:t>4</w:t>
      </w:r>
      <w:r w:rsidR="009B68F5">
        <w:rPr>
          <w:b/>
        </w:rPr>
        <w:t xml:space="preserve">) </w:t>
      </w:r>
      <w:r w:rsidR="0078303D" w:rsidRPr="009B68F5">
        <w:rPr>
          <w:b/>
        </w:rPr>
        <w:t xml:space="preserve">Considering the scope of </w:t>
      </w:r>
      <w:r w:rsidR="001B5DAA">
        <w:rPr>
          <w:b/>
        </w:rPr>
        <w:t>entertainment</w:t>
      </w:r>
      <w:r w:rsidR="0078303D" w:rsidRPr="009B68F5">
        <w:rPr>
          <w:b/>
        </w:rPr>
        <w:t xml:space="preserve"> content </w:t>
      </w:r>
      <w:r w:rsidR="00C831E3">
        <w:rPr>
          <w:b/>
        </w:rPr>
        <w:t xml:space="preserve">available </w:t>
      </w:r>
      <w:r w:rsidR="0078303D" w:rsidRPr="009B68F5">
        <w:rPr>
          <w:b/>
        </w:rPr>
        <w:t>in a modern media environment, what content shoul</w:t>
      </w:r>
      <w:r w:rsidR="001629C7">
        <w:rPr>
          <w:b/>
        </w:rPr>
        <w:t>d be required to be classified?</w:t>
      </w:r>
    </w:p>
    <w:p w:rsidR="000A0959" w:rsidRDefault="000A0959" w:rsidP="000A0959">
      <w:pPr>
        <w:pStyle w:val="Heading3"/>
        <w:numPr>
          <w:ilvl w:val="0"/>
          <w:numId w:val="7"/>
        </w:numPr>
        <w:spacing w:after="160"/>
        <w:ind w:left="426" w:hanging="426"/>
      </w:pPr>
      <w:bookmarkStart w:id="135" w:name="_Toc23249331"/>
      <w:bookmarkStart w:id="136" w:name="_Toc23425792"/>
      <w:bookmarkStart w:id="137" w:name="_Toc23426121"/>
      <w:bookmarkStart w:id="138" w:name="_Toc23428014"/>
      <w:bookmarkStart w:id="139" w:name="_Toc23431523"/>
      <w:bookmarkStart w:id="140" w:name="_Toc23249334"/>
      <w:bookmarkStart w:id="141" w:name="_Toc23425804"/>
      <w:bookmarkStart w:id="142" w:name="_Toc23426133"/>
      <w:bookmarkStart w:id="143" w:name="_Toc23428026"/>
      <w:bookmarkStart w:id="144" w:name="_Toc23431535"/>
      <w:bookmarkStart w:id="145" w:name="_Toc29289972"/>
      <w:r>
        <w:lastRenderedPageBreak/>
        <w:t xml:space="preserve">Applying the same classification standards across </w:t>
      </w:r>
      <w:bookmarkEnd w:id="135"/>
      <w:r>
        <w:t>delivery formats</w:t>
      </w:r>
      <w:bookmarkEnd w:id="136"/>
      <w:bookmarkEnd w:id="137"/>
      <w:bookmarkEnd w:id="138"/>
      <w:bookmarkEnd w:id="139"/>
      <w:bookmarkEnd w:id="145"/>
    </w:p>
    <w:p w:rsidR="001629C7" w:rsidRDefault="000A0959" w:rsidP="001201D2">
      <w:r>
        <w:rPr>
          <w:rStyle w:val="Text-Normal"/>
          <w:sz w:val="22"/>
        </w:rPr>
        <w:t>As described previously, c</w:t>
      </w:r>
      <w:r>
        <w:t>lassification decision-making standards for films and episodic series vary depending on whether they are broadcast on television or not. The Convergence Review noted that ‘content-specific, platform-specific and provider-specific rules are inconsistent, confusing and inflexible’.</w:t>
      </w:r>
      <w:r>
        <w:rPr>
          <w:rStyle w:val="FootnoteReference"/>
        </w:rPr>
        <w:footnoteReference w:id="29"/>
      </w:r>
      <w:r>
        <w:t xml:space="preserve"> The ALRC review recommended ‘a single set of statutory classification categories and criteria applicable to all media content.’</w:t>
      </w:r>
      <w:r>
        <w:rPr>
          <w:rStyle w:val="FootnoteReference"/>
        </w:rPr>
        <w:footnoteReference w:id="30"/>
      </w:r>
    </w:p>
    <w:p w:rsidR="001629C7" w:rsidRDefault="00D476FB" w:rsidP="000A0959">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60" w:line="257" w:lineRule="auto"/>
        <w:rPr>
          <w:b/>
        </w:rPr>
      </w:pPr>
      <w:r>
        <w:rPr>
          <w:b/>
        </w:rPr>
        <w:t>5</w:t>
      </w:r>
      <w:r w:rsidR="000A0959">
        <w:rPr>
          <w:b/>
        </w:rPr>
        <w:t xml:space="preserve">) </w:t>
      </w:r>
      <w:r w:rsidR="000A0959" w:rsidRPr="009B68F5">
        <w:rPr>
          <w:b/>
        </w:rPr>
        <w:t xml:space="preserve">Should </w:t>
      </w:r>
      <w:r w:rsidR="003E0012">
        <w:rPr>
          <w:b/>
        </w:rPr>
        <w:t xml:space="preserve">the same </w:t>
      </w:r>
      <w:r w:rsidR="000A0959">
        <w:rPr>
          <w:b/>
        </w:rPr>
        <w:t xml:space="preserve">classification guidelines for classifiable </w:t>
      </w:r>
      <w:r w:rsidR="003E0012">
        <w:rPr>
          <w:b/>
        </w:rPr>
        <w:t>content</w:t>
      </w:r>
      <w:r w:rsidR="000A0959" w:rsidRPr="009B68F5">
        <w:rPr>
          <w:b/>
        </w:rPr>
        <w:t xml:space="preserve"> </w:t>
      </w:r>
      <w:r w:rsidR="000A0959">
        <w:rPr>
          <w:b/>
        </w:rPr>
        <w:t xml:space="preserve">apply </w:t>
      </w:r>
      <w:r w:rsidR="000A0959" w:rsidRPr="009B68F5">
        <w:rPr>
          <w:b/>
        </w:rPr>
        <w:t xml:space="preserve">across all </w:t>
      </w:r>
      <w:r w:rsidR="000A0959">
        <w:rPr>
          <w:b/>
        </w:rPr>
        <w:t xml:space="preserve">delivery </w:t>
      </w:r>
      <w:r w:rsidR="000A0959" w:rsidRPr="009B68F5">
        <w:rPr>
          <w:b/>
        </w:rPr>
        <w:t>formats</w:t>
      </w:r>
      <w:r w:rsidR="000A0959">
        <w:rPr>
          <w:b/>
        </w:rPr>
        <w:t xml:space="preserve"> (</w:t>
      </w:r>
      <w:r w:rsidR="003E0012">
        <w:rPr>
          <w:b/>
        </w:rPr>
        <w:t>e</w:t>
      </w:r>
      <w:r w:rsidR="00D604BD">
        <w:rPr>
          <w:b/>
        </w:rPr>
        <w:t>.</w:t>
      </w:r>
      <w:r w:rsidR="003E0012">
        <w:rPr>
          <w:b/>
        </w:rPr>
        <w:t>g</w:t>
      </w:r>
      <w:r w:rsidR="00D604BD">
        <w:rPr>
          <w:b/>
        </w:rPr>
        <w:t>.</w:t>
      </w:r>
      <w:r w:rsidR="003E0012">
        <w:rPr>
          <w:b/>
        </w:rPr>
        <w:t xml:space="preserve"> </w:t>
      </w:r>
      <w:r w:rsidR="000A0959">
        <w:rPr>
          <w:b/>
        </w:rPr>
        <w:t>television, cinema, DVD and Blu-ray, video on demand</w:t>
      </w:r>
      <w:r w:rsidR="003E0012">
        <w:rPr>
          <w:b/>
        </w:rPr>
        <w:t>, computer games</w:t>
      </w:r>
      <w:r w:rsidR="000A0959">
        <w:rPr>
          <w:b/>
        </w:rPr>
        <w:t>)?</w:t>
      </w:r>
    </w:p>
    <w:p w:rsidR="001629C7" w:rsidRDefault="0078303D" w:rsidP="00FF6B93">
      <w:pPr>
        <w:pStyle w:val="Heading3"/>
        <w:numPr>
          <w:ilvl w:val="0"/>
          <w:numId w:val="7"/>
        </w:numPr>
        <w:ind w:left="426" w:hanging="426"/>
      </w:pPr>
      <w:bookmarkStart w:id="146" w:name="_Toc29289973"/>
      <w:r w:rsidRPr="00210E5F">
        <w:t>Classification processes</w:t>
      </w:r>
      <w:bookmarkEnd w:id="140"/>
      <w:bookmarkEnd w:id="141"/>
      <w:bookmarkEnd w:id="142"/>
      <w:bookmarkEnd w:id="143"/>
      <w:bookmarkEnd w:id="144"/>
      <w:bookmarkEnd w:id="146"/>
    </w:p>
    <w:p w:rsidR="00046F38" w:rsidRDefault="00C831E3" w:rsidP="00CB1108">
      <w:pPr>
        <w:spacing w:after="120"/>
      </w:pPr>
      <w:r>
        <w:t>C</w:t>
      </w:r>
      <w:r w:rsidR="00987CC0">
        <w:t>lassification processes</w:t>
      </w:r>
      <w:r>
        <w:t xml:space="preserve"> are currently fragmented across content platforms</w:t>
      </w:r>
      <w:r w:rsidR="008E522B" w:rsidRPr="008E522B">
        <w:t>:</w:t>
      </w:r>
    </w:p>
    <w:p w:rsidR="001629C7" w:rsidRDefault="00987CC0" w:rsidP="003369F8">
      <w:pPr>
        <w:pStyle w:val="Listparagraphbullets"/>
      </w:pPr>
      <w:r>
        <w:t xml:space="preserve">Television </w:t>
      </w:r>
      <w:r w:rsidRPr="008E522B">
        <w:t xml:space="preserve">broadcasters </w:t>
      </w:r>
      <w:r w:rsidR="00C831E3">
        <w:t>can</w:t>
      </w:r>
      <w:r>
        <w:t xml:space="preserve"> </w:t>
      </w:r>
      <w:r w:rsidR="005F42E5">
        <w:t>self-</w:t>
      </w:r>
      <w:r>
        <w:t>classify content</w:t>
      </w:r>
      <w:r w:rsidR="007728ED">
        <w:t xml:space="preserve"> under a co-regulatory system administered by the ACMA</w:t>
      </w:r>
      <w:r w:rsidR="00C831E3">
        <w:t>.</w:t>
      </w:r>
    </w:p>
    <w:p w:rsidR="00987CC0" w:rsidRDefault="00987CC0" w:rsidP="003369F8">
      <w:pPr>
        <w:pStyle w:val="Listparagraphbullets"/>
      </w:pPr>
      <w:r>
        <w:t xml:space="preserve">Netflix can </w:t>
      </w:r>
      <w:r w:rsidR="005F42E5">
        <w:t>self-</w:t>
      </w:r>
      <w:r>
        <w:t>classify content using the Netflix tool, with mo</w:t>
      </w:r>
      <w:r w:rsidR="005F47F6">
        <w:t>nitoring by the Board (</w:t>
      </w:r>
      <w:hyperlink w:anchor="_Appendix_2_–" w:history="1">
        <w:r w:rsidR="005F47F6" w:rsidRPr="00E821B2">
          <w:rPr>
            <w:rStyle w:val="Hyperlink"/>
          </w:rPr>
          <w:t>Appendix </w:t>
        </w:r>
        <w:r w:rsidRPr="00E821B2">
          <w:rPr>
            <w:rStyle w:val="Hyperlink"/>
          </w:rPr>
          <w:t>2</w:t>
        </w:r>
      </w:hyperlink>
      <w:r>
        <w:t>).</w:t>
      </w:r>
    </w:p>
    <w:p w:rsidR="008E522B" w:rsidRPr="008E522B" w:rsidRDefault="006B1AFC" w:rsidP="00CB1108">
      <w:pPr>
        <w:pStyle w:val="Listparagraphbullets"/>
        <w:spacing w:after="0"/>
      </w:pPr>
      <w:r>
        <w:t xml:space="preserve">Films and episodic series on </w:t>
      </w:r>
      <w:r w:rsidR="005268DA">
        <w:t xml:space="preserve">DVD and </w:t>
      </w:r>
      <w:r>
        <w:t xml:space="preserve">Blu-Ray, </w:t>
      </w:r>
      <w:r w:rsidR="003E1B5B">
        <w:t xml:space="preserve">in cinemas, </w:t>
      </w:r>
      <w:r w:rsidR="005268DA">
        <w:t xml:space="preserve">and </w:t>
      </w:r>
      <w:r w:rsidR="003E1B5B">
        <w:t>online streaming services</w:t>
      </w:r>
      <w:r w:rsidR="005268DA">
        <w:t xml:space="preserve"> </w:t>
      </w:r>
      <w:r>
        <w:t xml:space="preserve">apart from Netflix must </w:t>
      </w:r>
      <w:r w:rsidR="003E1B5B">
        <w:t>be</w:t>
      </w:r>
      <w:r>
        <w:t xml:space="preserve"> classified by the Board for a fee.</w:t>
      </w:r>
    </w:p>
    <w:p w:rsidR="001629C7" w:rsidRDefault="005268DA" w:rsidP="00CB1108">
      <w:pPr>
        <w:pStyle w:val="Listparagraphbulletssecondlevel"/>
        <w:spacing w:after="0"/>
      </w:pPr>
      <w:r w:rsidRPr="005268DA">
        <w:rPr>
          <w:b/>
        </w:rPr>
        <w:t xml:space="preserve">Example: </w:t>
      </w:r>
      <w:r w:rsidR="00CA0B89" w:rsidRPr="005268DA">
        <w:rPr>
          <w:b/>
        </w:rPr>
        <w:t>600</w:t>
      </w:r>
      <w:r w:rsidRPr="005268DA">
        <w:rPr>
          <w:b/>
        </w:rPr>
        <w:t>-</w:t>
      </w:r>
      <w:r w:rsidR="00CA0B89" w:rsidRPr="005268DA">
        <w:rPr>
          <w:b/>
        </w:rPr>
        <w:t>minute series</w:t>
      </w:r>
      <w:r w:rsidRPr="005268DA">
        <w:rPr>
          <w:b/>
        </w:rPr>
        <w:t xml:space="preserve"> on DVD</w:t>
      </w:r>
      <w:r>
        <w:rPr>
          <w:b/>
        </w:rPr>
        <w:t>, Blu-ray</w:t>
      </w:r>
      <w:r w:rsidRPr="005268DA">
        <w:rPr>
          <w:b/>
        </w:rPr>
        <w:t xml:space="preserve"> or </w:t>
      </w:r>
      <w:r>
        <w:rPr>
          <w:b/>
        </w:rPr>
        <w:t>a video on demand</w:t>
      </w:r>
      <w:r w:rsidRPr="005268DA">
        <w:rPr>
          <w:b/>
        </w:rPr>
        <w:t xml:space="preserve"> service</w:t>
      </w:r>
      <w:r>
        <w:rPr>
          <w:b/>
        </w:rPr>
        <w:t>:</w:t>
      </w:r>
      <w:r>
        <w:t xml:space="preserve"> the application cost is $2530 and under statutory timeframes it </w:t>
      </w:r>
      <w:r w:rsidR="00CA0B89" w:rsidRPr="00CA0B89">
        <w:t xml:space="preserve">can take up to 20 working days for a classification decision. An additional fee of $420 can be paid for priority processing </w:t>
      </w:r>
      <w:r>
        <w:t xml:space="preserve">for a classification decision to be made </w:t>
      </w:r>
      <w:r w:rsidR="00EE628B">
        <w:t>within</w:t>
      </w:r>
      <w:r w:rsidR="00CA0B89" w:rsidRPr="00CA0B89">
        <w:t xml:space="preserve"> </w:t>
      </w:r>
      <w:r w:rsidR="001201D2">
        <w:t>five</w:t>
      </w:r>
      <w:r w:rsidR="00CA0B89" w:rsidRPr="00CA0B89">
        <w:t xml:space="preserve"> working days.</w:t>
      </w:r>
    </w:p>
    <w:p w:rsidR="001629C7" w:rsidRDefault="005268DA" w:rsidP="00CB1108">
      <w:pPr>
        <w:pStyle w:val="Listparagraphbulletssecondlevel"/>
        <w:spacing w:after="0"/>
      </w:pPr>
      <w:r>
        <w:rPr>
          <w:b/>
        </w:rPr>
        <w:t>Example</w:t>
      </w:r>
      <w:r w:rsidRPr="005268DA">
        <w:rPr>
          <w:b/>
        </w:rPr>
        <w:t>: 125-minute film in cinemas</w:t>
      </w:r>
      <w:r>
        <w:rPr>
          <w:b/>
        </w:rPr>
        <w:t xml:space="preserve">: </w:t>
      </w:r>
      <w:r>
        <w:t>the application cost is $</w:t>
      </w:r>
      <w:r w:rsidR="00343927">
        <w:t>2760</w:t>
      </w:r>
      <w:r>
        <w:t xml:space="preserve"> and under statutory timeframes it </w:t>
      </w:r>
      <w:r w:rsidRPr="00CA0B89">
        <w:t xml:space="preserve">can take up to </w:t>
      </w:r>
      <w:r w:rsidR="001E509C">
        <w:t>20</w:t>
      </w:r>
      <w:r w:rsidRPr="00CA0B89">
        <w:t xml:space="preserve"> working days for a classification decision.</w:t>
      </w:r>
    </w:p>
    <w:p w:rsidR="00F029C1" w:rsidRDefault="00F029C1" w:rsidP="00CB1108">
      <w:pPr>
        <w:pStyle w:val="Listparagraphbulletssecondlevel"/>
        <w:spacing w:after="0"/>
      </w:pPr>
      <w:r>
        <w:rPr>
          <w:b/>
        </w:rPr>
        <w:lastRenderedPageBreak/>
        <w:t>R</w:t>
      </w:r>
      <w:r w:rsidRPr="00987CC0">
        <w:rPr>
          <w:b/>
        </w:rPr>
        <w:t>eview of a decision:</w:t>
      </w:r>
      <w:r>
        <w:t xml:space="preserve"> I</w:t>
      </w:r>
      <w:r w:rsidRPr="00CA0B89">
        <w:t xml:space="preserve">f </w:t>
      </w:r>
      <w:r>
        <w:t xml:space="preserve">an </w:t>
      </w:r>
      <w:r w:rsidRPr="00CA0B89">
        <w:t xml:space="preserve">applicant does not agree with the classification </w:t>
      </w:r>
      <w:r w:rsidR="006E1141">
        <w:t xml:space="preserve">decision </w:t>
      </w:r>
      <w:r w:rsidRPr="00CA0B89">
        <w:t xml:space="preserve">by the Board, </w:t>
      </w:r>
      <w:r>
        <w:t>a review by the Review Board costs</w:t>
      </w:r>
      <w:r w:rsidRPr="00CA0B89">
        <w:t xml:space="preserve"> $10</w:t>
      </w:r>
      <w:r>
        <w:t>,</w:t>
      </w:r>
      <w:r w:rsidRPr="00CA0B89">
        <w:t>000</w:t>
      </w:r>
      <w:r>
        <w:t xml:space="preserve"> unless the fee is waived</w:t>
      </w:r>
      <w:r w:rsidRPr="00CA0B89">
        <w:t>.</w:t>
      </w:r>
    </w:p>
    <w:p w:rsidR="00C11C53" w:rsidRDefault="006B1AFC" w:rsidP="003369F8">
      <w:pPr>
        <w:pStyle w:val="Listparagraphbullets"/>
      </w:pPr>
      <w:r>
        <w:t>P</w:t>
      </w:r>
      <w:r w:rsidR="003E1B5B">
        <w:t>hysical boxed games must be classified by the Board for a fee ($</w:t>
      </w:r>
      <w:r w:rsidR="00C520E7">
        <w:t>430</w:t>
      </w:r>
      <w:r w:rsidR="001201D2">
        <w:t>–</w:t>
      </w:r>
      <w:r w:rsidR="00CA20DF">
        <w:t>$2460 depending on the amount of work required by the Board</w:t>
      </w:r>
      <w:r w:rsidR="004A3D14">
        <w:t xml:space="preserve"> or whether </w:t>
      </w:r>
      <w:r w:rsidR="00B06A69">
        <w:t>the game</w:t>
      </w:r>
      <w:r w:rsidR="004A3D14">
        <w:t xml:space="preserve"> is demonstrated to the Board</w:t>
      </w:r>
      <w:r w:rsidR="00C11C53">
        <w:t>)</w:t>
      </w:r>
      <w:r w:rsidR="00A427D7">
        <w:t xml:space="preserve"> and under statutory timeframes it </w:t>
      </w:r>
      <w:r w:rsidR="00A427D7" w:rsidRPr="00CA0B89">
        <w:t>can take up to 20 working days for a classification decision</w:t>
      </w:r>
      <w:r w:rsidR="00C11C53">
        <w:t>.</w:t>
      </w:r>
      <w:r w:rsidR="00A427D7">
        <w:t xml:space="preserve"> </w:t>
      </w:r>
      <w:r w:rsidR="00A427D7" w:rsidRPr="00CA0B89">
        <w:t xml:space="preserve">An additional fee of $420 can be paid for priority processing </w:t>
      </w:r>
      <w:r w:rsidR="00A427D7">
        <w:t>for a classification decision to be made within</w:t>
      </w:r>
      <w:r w:rsidR="00A427D7" w:rsidRPr="00CA0B89">
        <w:t xml:space="preserve"> 5 working days.</w:t>
      </w:r>
    </w:p>
    <w:p w:rsidR="003369F8" w:rsidRDefault="00C11C53" w:rsidP="00CB1108">
      <w:pPr>
        <w:pStyle w:val="Listparagraphbullets"/>
        <w:spacing w:after="120"/>
      </w:pPr>
      <w:r>
        <w:t>G</w:t>
      </w:r>
      <w:r w:rsidR="003E1B5B">
        <w:t xml:space="preserve">ames that are online-only can be </w:t>
      </w:r>
      <w:r w:rsidR="00B30A4B">
        <w:t>self-</w:t>
      </w:r>
      <w:r w:rsidR="003E1B5B">
        <w:t>classified</w:t>
      </w:r>
      <w:r w:rsidR="0017660D">
        <w:t xml:space="preserve"> by </w:t>
      </w:r>
      <w:r w:rsidR="00142F94">
        <w:t>the game developer or publisher</w:t>
      </w:r>
      <w:r w:rsidR="003E1B5B">
        <w:t xml:space="preserve"> using the IARC tool (see </w:t>
      </w:r>
      <w:hyperlink w:anchor="_Appendix_2_–" w:history="1">
        <w:r w:rsidR="005F47F6" w:rsidRPr="005F47F6">
          <w:rPr>
            <w:rStyle w:val="Hyperlink"/>
          </w:rPr>
          <w:t>Appendix 2</w:t>
        </w:r>
      </w:hyperlink>
      <w:r w:rsidR="003E1B5B">
        <w:t>).</w:t>
      </w:r>
    </w:p>
    <w:p w:rsidR="00485278" w:rsidRDefault="00485278" w:rsidP="001201D2">
      <w:pPr>
        <w:spacing w:after="120"/>
      </w:pPr>
      <w:r>
        <w:t xml:space="preserve">There is regulatory overlap when the same content is broadcast on television and made available in other formats. For example, </w:t>
      </w:r>
      <w:r w:rsidR="00001551">
        <w:t xml:space="preserve">if an episodic series is </w:t>
      </w:r>
      <w:r>
        <w:t xml:space="preserve">first shown </w:t>
      </w:r>
      <w:r w:rsidRPr="00083C10">
        <w:t xml:space="preserve">on </w:t>
      </w:r>
      <w:r>
        <w:t>TV</w:t>
      </w:r>
      <w:r w:rsidR="00001551">
        <w:t>, it</w:t>
      </w:r>
      <w:r>
        <w:t xml:space="preserve"> is </w:t>
      </w:r>
      <w:r w:rsidRPr="00083C10">
        <w:t>classified by the broadcaster</w:t>
      </w:r>
      <w:r>
        <w:t>, and then when it is made available on DVD or an online streaming service it must be classified by the Board. This can be time-consuming and costly for industry and potentially confusing for consumers if the classification</w:t>
      </w:r>
      <w:r w:rsidR="00001551">
        <w:t xml:space="preserve"> rating and consumer advice is</w:t>
      </w:r>
      <w:r>
        <w:t xml:space="preserve"> different across platforms.</w:t>
      </w:r>
    </w:p>
    <w:p w:rsidR="00B92B1B" w:rsidRDefault="00CA20DF" w:rsidP="001201D2">
      <w:pPr>
        <w:spacing w:after="120"/>
      </w:pPr>
      <w:r w:rsidRPr="007B220F">
        <w:t xml:space="preserve">The </w:t>
      </w:r>
      <w:r w:rsidR="000B68D6">
        <w:t xml:space="preserve">ALRC review noted that it would be impossible for the </w:t>
      </w:r>
      <w:r w:rsidRPr="007B220F">
        <w:t xml:space="preserve">Board </w:t>
      </w:r>
      <w:r w:rsidR="000B68D6">
        <w:t>to classify everything available to consumers</w:t>
      </w:r>
      <w:r w:rsidR="00682BD5">
        <w:t xml:space="preserve"> due to the large quantities of content online</w:t>
      </w:r>
      <w:r w:rsidR="000B68D6">
        <w:t>.</w:t>
      </w:r>
      <w:r w:rsidR="00682BD5">
        <w:rPr>
          <w:rStyle w:val="FootnoteReference"/>
        </w:rPr>
        <w:footnoteReference w:id="31"/>
      </w:r>
      <w:r w:rsidR="000B68D6">
        <w:t xml:space="preserve"> </w:t>
      </w:r>
      <w:r w:rsidR="00001551" w:rsidRPr="002F1BDA">
        <w:t xml:space="preserve">The ALRC review recommended that a Board be maintained to classify cinema releases and video games likely to be </w:t>
      </w:r>
      <w:r w:rsidR="00001551">
        <w:t>rated MA 15+ and above, and a</w:t>
      </w:r>
      <w:r w:rsidR="00001551" w:rsidRPr="002F1BDA">
        <w:t>ll other content may be classified by trained authorised industry classifiers.</w:t>
      </w:r>
      <w:r w:rsidR="00001551">
        <w:t xml:space="preserve"> Under the ALRC’s proposed model, industry could still choose to use the Board for the content that would not be required to be classified by the Board,</w:t>
      </w:r>
      <w:r w:rsidR="00001551">
        <w:rPr>
          <w:rStyle w:val="FootnoteReference"/>
        </w:rPr>
        <w:footnoteReference w:id="32"/>
      </w:r>
      <w:r w:rsidR="00001551">
        <w:t xml:space="preserve"> such as DVDs and video games likely to be M and below.</w:t>
      </w:r>
      <w:r w:rsidR="00001551" w:rsidRPr="002F1BDA">
        <w:t xml:space="preserve"> Views </w:t>
      </w:r>
      <w:r w:rsidR="00001551" w:rsidRPr="00FD43F9">
        <w:t>are sought on how relevant the ALRC’s recommendation is in light of market changes and the introduct</w:t>
      </w:r>
      <w:r w:rsidR="00001551">
        <w:t>ion of classification tools</w:t>
      </w:r>
      <w:r w:rsidR="00001551" w:rsidRPr="00FD43F9">
        <w:t>.</w:t>
      </w:r>
    </w:p>
    <w:p w:rsidR="001629C7" w:rsidRDefault="00B92B1B" w:rsidP="00CB1108">
      <w:pPr>
        <w:spacing w:after="120"/>
      </w:pPr>
      <w:r>
        <w:lastRenderedPageBreak/>
        <w:t xml:space="preserve">Consistent with </w:t>
      </w:r>
      <w:r w:rsidR="00CE25BB">
        <w:t xml:space="preserve">the </w:t>
      </w:r>
      <w:r>
        <w:t>ACCC</w:t>
      </w:r>
      <w:r w:rsidR="00CE25BB">
        <w:t>’s</w:t>
      </w:r>
      <w:r>
        <w:t xml:space="preserve"> Digital Platforms Inquiry</w:t>
      </w:r>
      <w:r w:rsidR="005A0555">
        <w:t xml:space="preserve"> final report</w:t>
      </w:r>
      <w:r>
        <w:t xml:space="preserve">, there is an opportunity for a </w:t>
      </w:r>
      <w:r w:rsidR="008D1085">
        <w:t>new</w:t>
      </w:r>
      <w:r>
        <w:t xml:space="preserve"> classification framework to enable </w:t>
      </w:r>
      <w:r w:rsidRPr="00A3121C">
        <w:t xml:space="preserve">industry </w:t>
      </w:r>
      <w:r>
        <w:t>to s</w:t>
      </w:r>
      <w:r w:rsidRPr="00A3121C">
        <w:t>elf-classif</w:t>
      </w:r>
      <w:r>
        <w:t xml:space="preserve">y content </w:t>
      </w:r>
      <w:r w:rsidRPr="00A3121C">
        <w:t>across all platforms</w:t>
      </w:r>
      <w:r>
        <w:t>,</w:t>
      </w:r>
      <w:r w:rsidRPr="00A3121C">
        <w:t xml:space="preserve"> </w:t>
      </w:r>
      <w:r>
        <w:t>overseen</w:t>
      </w:r>
      <w:r w:rsidRPr="00A3121C">
        <w:t xml:space="preserve"> by an Australian Government regulator.</w:t>
      </w:r>
      <w:r>
        <w:t xml:space="preserve"> </w:t>
      </w:r>
      <w:r w:rsidR="00C831E3">
        <w:t xml:space="preserve">Under </w:t>
      </w:r>
      <w:r w:rsidR="00FB5CD2">
        <w:t>this possible</w:t>
      </w:r>
      <w:r w:rsidR="00C831E3">
        <w:t xml:space="preserve"> model, t</w:t>
      </w:r>
      <w:r>
        <w:t xml:space="preserve">elevision broadcasters could continue </w:t>
      </w:r>
      <w:r w:rsidR="008D1085">
        <w:t>to self</w:t>
      </w:r>
      <w:r w:rsidR="008D1085">
        <w:noBreakHyphen/>
      </w:r>
      <w:r>
        <w:t>classify content under their codes of practice</w:t>
      </w:r>
      <w:r w:rsidR="00560C8A">
        <w:t>.</w:t>
      </w:r>
      <w:r w:rsidR="00C831E3">
        <w:t xml:space="preserve"> </w:t>
      </w:r>
      <w:r w:rsidR="007A6F20">
        <w:t>All o</w:t>
      </w:r>
      <w:r>
        <w:t xml:space="preserve">ther industry sectors could use either </w:t>
      </w:r>
      <w:r w:rsidR="007A6F20">
        <w:t xml:space="preserve">trained </w:t>
      </w:r>
      <w:r>
        <w:t>staff class</w:t>
      </w:r>
      <w:r w:rsidR="007A6F20">
        <w:t>i</w:t>
      </w:r>
      <w:r>
        <w:t>fiers (similar to television broadcasters) or classification tools approved</w:t>
      </w:r>
      <w:r w:rsidR="00386DEF">
        <w:t xml:space="preserve"> by the Minister or the new regulator</w:t>
      </w:r>
      <w:r w:rsidR="00FB5CD2">
        <w:t xml:space="preserve"> (</w:t>
      </w:r>
      <w:r w:rsidR="007A6F20">
        <w:t>IARC tool, Netflix tool, and future classification tools</w:t>
      </w:r>
      <w:r w:rsidR="00FB5CD2">
        <w:t>)</w:t>
      </w:r>
      <w:r>
        <w:t>. The regulator would be responsible for robust monitoring practices so that classification decisions accurately reflect the classification guidelines and are consistent across platforms.</w:t>
      </w:r>
    </w:p>
    <w:p w:rsidR="001629C7" w:rsidRDefault="00D57DB6" w:rsidP="00CB1108">
      <w:pPr>
        <w:spacing w:after="120"/>
      </w:pPr>
      <w:r>
        <w:t>Dep</w:t>
      </w:r>
      <w:r w:rsidR="00A3121C">
        <w:t>e</w:t>
      </w:r>
      <w:r>
        <w:t>nding</w:t>
      </w:r>
      <w:r w:rsidR="00AD5200" w:rsidRPr="008A5B44">
        <w:t xml:space="preserve"> on the </w:t>
      </w:r>
      <w:r w:rsidR="00D526BA" w:rsidRPr="008A5B44">
        <w:t xml:space="preserve">overall </w:t>
      </w:r>
      <w:r w:rsidR="00AD5200" w:rsidRPr="008A5B44">
        <w:t xml:space="preserve">regulatory model, </w:t>
      </w:r>
      <w:r w:rsidR="000E2CA5">
        <w:t>the design</w:t>
      </w:r>
      <w:r w:rsidR="000950E6">
        <w:t xml:space="preserve"> </w:t>
      </w:r>
      <w:r w:rsidR="00F360E7">
        <w:t xml:space="preserve">of </w:t>
      </w:r>
      <w:r w:rsidR="000950E6">
        <w:t xml:space="preserve">a </w:t>
      </w:r>
      <w:r w:rsidR="008A5B44" w:rsidRPr="008A5B44">
        <w:t xml:space="preserve">new </w:t>
      </w:r>
      <w:r w:rsidR="000950E6">
        <w:t>class</w:t>
      </w:r>
      <w:r w:rsidR="007241FF">
        <w:t xml:space="preserve">ification framework </w:t>
      </w:r>
      <w:r w:rsidR="000E2CA5">
        <w:t xml:space="preserve">will need to </w:t>
      </w:r>
      <w:r w:rsidR="0091197D">
        <w:t>take into account</w:t>
      </w:r>
      <w:r w:rsidR="00F75E7B">
        <w:t xml:space="preserve"> further</w:t>
      </w:r>
      <w:r w:rsidR="000E2CA5">
        <w:t xml:space="preserve"> issues </w:t>
      </w:r>
      <w:r w:rsidR="008A5B44" w:rsidRPr="008A5B44">
        <w:t>including</w:t>
      </w:r>
      <w:r w:rsidR="000950E6">
        <w:t>:</w:t>
      </w:r>
      <w:r w:rsidR="008A5B44" w:rsidRPr="008A5B44">
        <w:t xml:space="preserve"> the specific</w:t>
      </w:r>
      <w:r w:rsidR="00AD5200" w:rsidRPr="008A5B44">
        <w:t xml:space="preserve"> role of </w:t>
      </w:r>
      <w:r w:rsidR="000D3ACD">
        <w:t xml:space="preserve">the </w:t>
      </w:r>
      <w:r w:rsidR="00AD5200" w:rsidRPr="008A5B44">
        <w:t>regulator</w:t>
      </w:r>
      <w:r w:rsidR="00606B00">
        <w:t xml:space="preserve"> (including any possible enforcement role)</w:t>
      </w:r>
      <w:r w:rsidR="008A5B44" w:rsidRPr="008A5B44">
        <w:t xml:space="preserve"> and/or </w:t>
      </w:r>
      <w:r w:rsidR="00AD5200" w:rsidRPr="008A5B44">
        <w:t xml:space="preserve">the </w:t>
      </w:r>
      <w:r w:rsidR="009800FF">
        <w:t xml:space="preserve">contemporary role of the </w:t>
      </w:r>
      <w:r w:rsidR="00AD5200" w:rsidRPr="008A5B44">
        <w:t xml:space="preserve">Board; </w:t>
      </w:r>
      <w:r w:rsidR="00D526BA" w:rsidRPr="008A5B44">
        <w:t>who makes decisions about Refused Classification (prohibited) content</w:t>
      </w:r>
      <w:r w:rsidR="008D1085">
        <w:t xml:space="preserve"> offline</w:t>
      </w:r>
      <w:r w:rsidR="00D526BA" w:rsidRPr="008A5B44">
        <w:t xml:space="preserve">; </w:t>
      </w:r>
      <w:r w:rsidR="008A5B44" w:rsidRPr="008A5B44">
        <w:t xml:space="preserve">and the </w:t>
      </w:r>
      <w:r w:rsidR="00AD5200" w:rsidRPr="008A5B44">
        <w:t>funding model</w:t>
      </w:r>
      <w:r w:rsidR="00D526BA" w:rsidRPr="008A5B44">
        <w:t>.</w:t>
      </w:r>
    </w:p>
    <w:p w:rsidR="0078303D" w:rsidRPr="009B68F5" w:rsidRDefault="00A3082F" w:rsidP="00CB1108">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20" w:line="257" w:lineRule="auto"/>
        <w:contextualSpacing w:val="0"/>
        <w:rPr>
          <w:b/>
        </w:rPr>
      </w:pPr>
      <w:r>
        <w:rPr>
          <w:b/>
        </w:rPr>
        <w:t>6</w:t>
      </w:r>
      <w:r w:rsidR="009B68F5">
        <w:rPr>
          <w:b/>
        </w:rPr>
        <w:t>)</w:t>
      </w:r>
      <w:r w:rsidR="009968EA">
        <w:rPr>
          <w:b/>
        </w:rPr>
        <w:t xml:space="preserve"> </w:t>
      </w:r>
      <w:r w:rsidR="009800FF">
        <w:rPr>
          <w:b/>
        </w:rPr>
        <w:t>Consistent with the current broadcasting model, c</w:t>
      </w:r>
      <w:r w:rsidR="009968EA">
        <w:rPr>
          <w:b/>
        </w:rPr>
        <w:t>o</w:t>
      </w:r>
      <w:r w:rsidR="0078303D" w:rsidRPr="009B68F5">
        <w:rPr>
          <w:b/>
        </w:rPr>
        <w:t xml:space="preserve">uld </w:t>
      </w:r>
      <w:r w:rsidR="0091197D">
        <w:rPr>
          <w:b/>
        </w:rPr>
        <w:t xml:space="preserve">all classifiable </w:t>
      </w:r>
      <w:r w:rsidR="0078303D" w:rsidRPr="009B68F5">
        <w:rPr>
          <w:b/>
        </w:rPr>
        <w:t xml:space="preserve">content </w:t>
      </w:r>
      <w:r w:rsidR="00A96E4F">
        <w:rPr>
          <w:b/>
        </w:rPr>
        <w:t>be class</w:t>
      </w:r>
      <w:r w:rsidR="00485278">
        <w:rPr>
          <w:b/>
        </w:rPr>
        <w:t>ified by industry, either using</w:t>
      </w:r>
      <w:r w:rsidR="004E24F9">
        <w:rPr>
          <w:b/>
        </w:rPr>
        <w:t xml:space="preserve"> Government-approved classification tools or trained staff </w:t>
      </w:r>
      <w:r w:rsidR="00386DEF">
        <w:rPr>
          <w:b/>
        </w:rPr>
        <w:t>classifiers</w:t>
      </w:r>
      <w:r w:rsidR="00C11637">
        <w:rPr>
          <w:b/>
        </w:rPr>
        <w:t>, with oversight by a single Government regulator</w:t>
      </w:r>
      <w:r w:rsidR="0078303D" w:rsidRPr="009B68F5">
        <w:rPr>
          <w:b/>
        </w:rPr>
        <w:t>?</w:t>
      </w:r>
      <w:r w:rsidR="00C11637">
        <w:rPr>
          <w:b/>
        </w:rPr>
        <w:t xml:space="preserve"> </w:t>
      </w:r>
      <w:r w:rsidR="002E661F">
        <w:rPr>
          <w:b/>
        </w:rPr>
        <w:t>Are there other opportunities to harmonise the regulatory framework for classification?</w:t>
      </w:r>
    </w:p>
    <w:p w:rsidR="009B68F5" w:rsidRDefault="009B68F5" w:rsidP="00FF6B93">
      <w:pPr>
        <w:pStyle w:val="Heading3"/>
        <w:numPr>
          <w:ilvl w:val="0"/>
          <w:numId w:val="7"/>
        </w:numPr>
        <w:ind w:left="426" w:hanging="426"/>
      </w:pPr>
      <w:bookmarkStart w:id="147" w:name="_Toc23249335"/>
      <w:bookmarkStart w:id="148" w:name="_Toc23425805"/>
      <w:bookmarkStart w:id="149" w:name="_Toc23426134"/>
      <w:bookmarkStart w:id="150" w:name="_Toc23428027"/>
      <w:bookmarkStart w:id="151" w:name="_Toc23431536"/>
      <w:bookmarkStart w:id="152" w:name="_Toc29289974"/>
      <w:r>
        <w:t>Reviews of classification decisions</w:t>
      </w:r>
      <w:bookmarkEnd w:id="147"/>
      <w:bookmarkEnd w:id="148"/>
      <w:bookmarkEnd w:id="149"/>
      <w:bookmarkEnd w:id="150"/>
      <w:bookmarkEnd w:id="151"/>
      <w:bookmarkEnd w:id="152"/>
    </w:p>
    <w:p w:rsidR="001629C7" w:rsidRDefault="00C11637" w:rsidP="00CB1108">
      <w:pPr>
        <w:spacing w:after="120"/>
      </w:pPr>
      <w:r>
        <w:t>Under the National Classification Scheme, c</w:t>
      </w:r>
      <w:r w:rsidR="00430018">
        <w:t>lassification decisions can be reviewed by the Review Board, an independent statutory body separate to the Board that convenes as needed. A review application may only be made by specified people</w:t>
      </w:r>
      <w:r w:rsidR="00430018">
        <w:rPr>
          <w:rStyle w:val="FootnoteReference"/>
        </w:rPr>
        <w:footnoteReference w:id="33"/>
      </w:r>
      <w:r w:rsidR="00430018">
        <w:t xml:space="preserve"> and costs $10,000 unless the fee has been waived. </w:t>
      </w:r>
      <w:r w:rsidR="00E52A6F">
        <w:t xml:space="preserve">Reviews are infrequent – from </w:t>
      </w:r>
      <w:r w:rsidR="00430018">
        <w:t>the period of July 2014 to June 2018, the Review Board conducted a total of 1</w:t>
      </w:r>
      <w:r w:rsidR="005266A9">
        <w:t>4</w:t>
      </w:r>
      <w:r w:rsidR="00430018">
        <w:t xml:space="preserve"> reviews of the Board’s </w:t>
      </w:r>
      <w:r w:rsidR="005266A9">
        <w:t>16</w:t>
      </w:r>
      <w:r w:rsidR="00430018">
        <w:t>,</w:t>
      </w:r>
      <w:r w:rsidR="005266A9">
        <w:t>981</w:t>
      </w:r>
      <w:r w:rsidR="00430018">
        <w:t xml:space="preserve"> decisions, resulting </w:t>
      </w:r>
      <w:r w:rsidR="00430018">
        <w:lastRenderedPageBreak/>
        <w:t xml:space="preserve">in a change of classification for </w:t>
      </w:r>
      <w:r w:rsidR="005266A9">
        <w:t>11</w:t>
      </w:r>
      <w:r w:rsidR="00430018">
        <w:t xml:space="preserve"> of the decisions.</w:t>
      </w:r>
      <w:r w:rsidR="00430018">
        <w:rPr>
          <w:rStyle w:val="FootnoteReference"/>
        </w:rPr>
        <w:footnoteReference w:id="34"/>
      </w:r>
      <w:r w:rsidR="00430018">
        <w:t xml:space="preserve"> The Review Board can also review decisions originally made using the IARC or Netflix tools </w:t>
      </w:r>
      <w:r w:rsidR="00075A19">
        <w:t xml:space="preserve">that </w:t>
      </w:r>
      <w:r w:rsidR="00430018">
        <w:t xml:space="preserve">the Board has </w:t>
      </w:r>
      <w:r w:rsidR="005373DA">
        <w:t>already</w:t>
      </w:r>
      <w:r w:rsidR="00075A19">
        <w:t xml:space="preserve"> </w:t>
      </w:r>
      <w:r w:rsidR="0074742E">
        <w:t>checked</w:t>
      </w:r>
      <w:r w:rsidR="00430018">
        <w:t>.</w:t>
      </w:r>
      <w:r w:rsidR="00386DEF">
        <w:t xml:space="preserve"> Information about the Review Board’s members, decisions and its Annual Reports can be found at </w:t>
      </w:r>
      <w:hyperlink r:id="rId36" w:history="1">
        <w:r w:rsidR="00386DEF" w:rsidRPr="003E6DBC">
          <w:rPr>
            <w:rStyle w:val="Hyperlink"/>
          </w:rPr>
          <w:t>www.classification.gov.au</w:t>
        </w:r>
      </w:hyperlink>
      <w:r w:rsidR="00386DEF">
        <w:t>.</w:t>
      </w:r>
    </w:p>
    <w:p w:rsidR="001629C7" w:rsidRDefault="00AC3081" w:rsidP="00CB1108">
      <w:pPr>
        <w:spacing w:after="120"/>
      </w:pPr>
      <w:r>
        <w:t>The ALRC review found that ‘a criticism of the current review arrangements is that the cost of reviews is too high’ ($10,000 per review)</w:t>
      </w:r>
      <w:r w:rsidR="004A1F3D">
        <w:t xml:space="preserve"> as most Review Board members travel to Sydney from across Australia to participate in a review</w:t>
      </w:r>
      <w:r>
        <w:t xml:space="preserve">. The ALRC recommended that a classification review function could reside within the Board to streamline </w:t>
      </w:r>
      <w:r w:rsidR="007F0704">
        <w:t>the review process</w:t>
      </w:r>
      <w:r w:rsidR="00E52A6F">
        <w:t xml:space="preserve"> by using Board members with experience in classification</w:t>
      </w:r>
      <w:r w:rsidR="007F0704">
        <w:t xml:space="preserve">, simplify administrative arrangements and provide for potentially quicker review </w:t>
      </w:r>
      <w:r w:rsidR="004A1F3D">
        <w:t>turn</w:t>
      </w:r>
      <w:r w:rsidR="004A1F3D">
        <w:noBreakHyphen/>
      </w:r>
      <w:r w:rsidR="007F0704">
        <w:t>around times</w:t>
      </w:r>
      <w:r>
        <w:t>.</w:t>
      </w:r>
      <w:r w:rsidR="00E52A6F">
        <w:t xml:space="preserve"> However, it also noted that some </w:t>
      </w:r>
      <w:r w:rsidR="0029381B">
        <w:t>stakeholder submissions</w:t>
      </w:r>
      <w:r w:rsidR="00E52A6F">
        <w:t xml:space="preserve"> argued that the Board would be unable to independently review its own </w:t>
      </w:r>
      <w:proofErr w:type="gramStart"/>
      <w:r w:rsidR="00E52A6F">
        <w:t>decisions</w:t>
      </w:r>
      <w:r w:rsidR="001201D2">
        <w:t xml:space="preserve"> </w:t>
      </w:r>
      <w:r w:rsidR="00E52A6F">
        <w:t xml:space="preserve"> –</w:t>
      </w:r>
      <w:proofErr w:type="gramEnd"/>
      <w:r w:rsidR="00E52A6F">
        <w:t xml:space="preserve"> the primary concerns being the potential for bias and conflict of interest.</w:t>
      </w:r>
      <w:r>
        <w:rPr>
          <w:rStyle w:val="FootnoteReference"/>
        </w:rPr>
        <w:footnoteReference w:id="35"/>
      </w:r>
    </w:p>
    <w:p w:rsidR="001629C7" w:rsidRDefault="00C739D1" w:rsidP="00CB1108">
      <w:pPr>
        <w:spacing w:after="120"/>
      </w:pPr>
      <w:r>
        <w:t>Separate to the National Classification Scheme, t</w:t>
      </w:r>
      <w:r w:rsidR="003C6C55">
        <w:t xml:space="preserve">elevision broadcasters do not need to </w:t>
      </w:r>
      <w:r>
        <w:t>submit content</w:t>
      </w:r>
      <w:r w:rsidR="003C6C55">
        <w:t xml:space="preserve"> </w:t>
      </w:r>
      <w:r w:rsidR="0087372B">
        <w:t xml:space="preserve">to </w:t>
      </w:r>
      <w:r w:rsidR="003C6C55">
        <w:t xml:space="preserve">the </w:t>
      </w:r>
      <w:r>
        <w:t xml:space="preserve">Board and hence do not need </w:t>
      </w:r>
      <w:r w:rsidR="004A3D14">
        <w:t xml:space="preserve">to </w:t>
      </w:r>
      <w:r>
        <w:t xml:space="preserve">use the </w:t>
      </w:r>
      <w:r w:rsidR="003C6C55">
        <w:t xml:space="preserve">Review Board. Consumer complaints about a classification decision on television can be directed to the broadcaster in the first instance and then the ACMA if needed. The ACMA can investigate complaints about </w:t>
      </w:r>
      <w:r w:rsidR="003C6C55" w:rsidRPr="00A3121C">
        <w:t>classification decisions</w:t>
      </w:r>
      <w:r w:rsidR="003C6C55">
        <w:t xml:space="preserve"> of content broadcast on television</w:t>
      </w:r>
      <w:r w:rsidR="003C6C55" w:rsidRPr="00A3121C">
        <w:t>.</w:t>
      </w:r>
      <w:r w:rsidR="003C6C55" w:rsidRPr="00A3121C">
        <w:rPr>
          <w:rStyle w:val="FootnoteReference"/>
        </w:rPr>
        <w:footnoteReference w:id="36"/>
      </w:r>
      <w:r w:rsidR="003C6C55">
        <w:t xml:space="preserve"> </w:t>
      </w:r>
      <w:r w:rsidR="004A1F3D">
        <w:t>Seven</w:t>
      </w:r>
      <w:r w:rsidR="003C6C55" w:rsidRPr="007F0704">
        <w:t xml:space="preserve"> classification-related complaints were made to the</w:t>
      </w:r>
      <w:r w:rsidR="003C6C55">
        <w:t xml:space="preserve"> ACMA for investigation in </w:t>
      </w:r>
      <w:r w:rsidR="003369F8">
        <w:t>2018–19</w:t>
      </w:r>
      <w:r w:rsidR="003C6C55" w:rsidRPr="007F0704">
        <w:t>.</w:t>
      </w:r>
      <w:r w:rsidR="003C6C55">
        <w:t xml:space="preserve"> </w:t>
      </w:r>
      <w:r>
        <w:t>These arrangements c</w:t>
      </w:r>
      <w:r w:rsidR="005328DE">
        <w:t>ould continue i</w:t>
      </w:r>
      <w:r w:rsidR="003C6C55">
        <w:t>n a new classification fram</w:t>
      </w:r>
      <w:r w:rsidR="005328DE">
        <w:t>ework</w:t>
      </w:r>
      <w:r w:rsidR="003C6C55">
        <w:t>.</w:t>
      </w:r>
    </w:p>
    <w:p w:rsidR="00AC3081" w:rsidRDefault="00BD7425" w:rsidP="00CB1108">
      <w:pPr>
        <w:keepNext/>
        <w:keepLines/>
        <w:spacing w:after="120"/>
      </w:pPr>
      <w:r>
        <w:lastRenderedPageBreak/>
        <w:t>For con</w:t>
      </w:r>
      <w:r w:rsidR="00C739D1">
        <w:t xml:space="preserve">tent currently being classified using the Board and </w:t>
      </w:r>
      <w:r w:rsidR="000D3A09">
        <w:t>classification</w:t>
      </w:r>
      <w:r w:rsidR="00C739D1">
        <w:t xml:space="preserve"> tools</w:t>
      </w:r>
      <w:r w:rsidR="00AC3081">
        <w:t>, it is timely to seek views on the most appropriate body and process to conduct revie</w:t>
      </w:r>
      <w:r w:rsidR="00E52A6F">
        <w:t xml:space="preserve">ws of classification decisions. </w:t>
      </w:r>
      <w:r w:rsidR="004A1F3D">
        <w:t>Possible review mechanisms could include:</w:t>
      </w:r>
    </w:p>
    <w:p w:rsidR="005328DE" w:rsidRDefault="005328DE" w:rsidP="003369F8">
      <w:pPr>
        <w:pStyle w:val="Listparagraphbullets"/>
        <w:keepNext/>
      </w:pPr>
      <w:r>
        <w:t>Moving the functions of the Revi</w:t>
      </w:r>
      <w:r w:rsidR="00295418">
        <w:t>ew Board into the Board</w:t>
      </w:r>
      <w:r w:rsidR="001E3970">
        <w:t>, as proposed by the ALRC.</w:t>
      </w:r>
    </w:p>
    <w:p w:rsidR="004A1F3D" w:rsidRDefault="001E3970" w:rsidP="003369F8">
      <w:pPr>
        <w:pStyle w:val="Listparagraphbullets"/>
      </w:pPr>
      <w:r>
        <w:t>Moving the functions of the Review Board into the</w:t>
      </w:r>
      <w:r w:rsidR="009B3C5F">
        <w:t xml:space="preserve"> new regulator</w:t>
      </w:r>
      <w:r>
        <w:t>.</w:t>
      </w:r>
    </w:p>
    <w:p w:rsidR="001629C7" w:rsidRDefault="004A1F3D" w:rsidP="003369F8">
      <w:pPr>
        <w:pStyle w:val="Listparagraphbullets"/>
      </w:pPr>
      <w:r>
        <w:t>A separate body to conduct reviews of classification decisions.</w:t>
      </w:r>
    </w:p>
    <w:p w:rsidR="00295418" w:rsidRDefault="00B2403A" w:rsidP="009B3C5F">
      <w:r>
        <w:t xml:space="preserve">If an industry self-classification model is to be part of a future classification framework, it is worth noting that </w:t>
      </w:r>
      <w:r w:rsidR="00233FEF">
        <w:t xml:space="preserve">any </w:t>
      </w:r>
      <w:r>
        <w:t xml:space="preserve">review of classification decisions would be </w:t>
      </w:r>
      <w:r w:rsidRPr="00183206">
        <w:rPr>
          <w:i/>
        </w:rPr>
        <w:t>in addition</w:t>
      </w:r>
      <w:r>
        <w:t xml:space="preserve"> to quality assurance processes conducted by a Government regulator or independent statutory body (for example, if a content distributor </w:t>
      </w:r>
      <w:r w:rsidR="001565EA">
        <w:t>does not agree</w:t>
      </w:r>
      <w:r>
        <w:t xml:space="preserve"> with </w:t>
      </w:r>
      <w:r w:rsidR="001565EA">
        <w:t>a</w:t>
      </w:r>
      <w:r>
        <w:t xml:space="preserve"> classification rating after it was checked and changed by the Government regulator or independent statutory body).</w:t>
      </w:r>
    </w:p>
    <w:p w:rsidR="0078303D" w:rsidRPr="009B68F5" w:rsidRDefault="00A3082F" w:rsidP="009B68F5">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60" w:line="257" w:lineRule="auto"/>
        <w:contextualSpacing w:val="0"/>
        <w:rPr>
          <w:b/>
        </w:rPr>
      </w:pPr>
      <w:r>
        <w:rPr>
          <w:b/>
        </w:rPr>
        <w:t>7</w:t>
      </w:r>
      <w:r w:rsidR="009B68F5">
        <w:rPr>
          <w:b/>
        </w:rPr>
        <w:t xml:space="preserve">) </w:t>
      </w:r>
      <w:r w:rsidR="002E661F">
        <w:rPr>
          <w:b/>
        </w:rPr>
        <w:t xml:space="preserve">If a classification decision needs to be reviewed, who should review it in a new </w:t>
      </w:r>
      <w:r w:rsidR="00F235CB">
        <w:rPr>
          <w:b/>
        </w:rPr>
        <w:t xml:space="preserve">regulatory </w:t>
      </w:r>
      <w:r w:rsidR="002E661F">
        <w:rPr>
          <w:b/>
        </w:rPr>
        <w:t>framework?</w:t>
      </w:r>
    </w:p>
    <w:p w:rsidR="001629C7" w:rsidRDefault="007E7516" w:rsidP="00FF6B93">
      <w:pPr>
        <w:pStyle w:val="Heading3"/>
        <w:numPr>
          <w:ilvl w:val="0"/>
          <w:numId w:val="7"/>
        </w:numPr>
        <w:ind w:left="426" w:hanging="426"/>
      </w:pPr>
      <w:bookmarkStart w:id="153" w:name="_Toc23249336"/>
      <w:bookmarkStart w:id="154" w:name="_Toc23425806"/>
      <w:bookmarkStart w:id="155" w:name="_Toc23426135"/>
      <w:bookmarkStart w:id="156" w:name="_Toc23428028"/>
      <w:bookmarkStart w:id="157" w:name="_Toc23431537"/>
      <w:bookmarkStart w:id="158" w:name="_Toc29289975"/>
      <w:r w:rsidRPr="00210E5F">
        <w:t xml:space="preserve">Classification </w:t>
      </w:r>
      <w:r>
        <w:t>governance</w:t>
      </w:r>
      <w:bookmarkEnd w:id="153"/>
      <w:bookmarkEnd w:id="154"/>
      <w:bookmarkEnd w:id="155"/>
      <w:bookmarkEnd w:id="156"/>
      <w:bookmarkEnd w:id="157"/>
      <w:bookmarkEnd w:id="158"/>
    </w:p>
    <w:p w:rsidR="00865806" w:rsidRDefault="009968EA" w:rsidP="009B68F5">
      <w:r>
        <w:t>Under the National Classification Scheme, t</w:t>
      </w:r>
      <w:r w:rsidR="00865806">
        <w:t xml:space="preserve">he Australian Government is responsible for classifying content and the states and territories are responsible for regulating the sale, exhibition, advertising and hire of classifiable content. </w:t>
      </w:r>
      <w:r w:rsidR="00865806" w:rsidRPr="005A7A9E">
        <w:t xml:space="preserve">Each </w:t>
      </w:r>
      <w:r w:rsidR="00865806">
        <w:t>state and t</w:t>
      </w:r>
      <w:r w:rsidR="00865806" w:rsidRPr="005A7A9E">
        <w:t>erritory has its own classification Act</w:t>
      </w:r>
      <w:r w:rsidR="00BB0C79">
        <w:t>,</w:t>
      </w:r>
      <w:r w:rsidR="00865806">
        <w:t xml:space="preserve"> enforced by state and territory </w:t>
      </w:r>
      <w:r w:rsidR="00865806" w:rsidRPr="005A7A9E">
        <w:t xml:space="preserve">police or </w:t>
      </w:r>
      <w:r w:rsidR="00865806">
        <w:t>fair trading</w:t>
      </w:r>
      <w:r w:rsidR="00865806" w:rsidRPr="005A7A9E">
        <w:t xml:space="preserve"> bodies.</w:t>
      </w:r>
      <w:r w:rsidR="00D96A70">
        <w:t xml:space="preserve"> When the </w:t>
      </w:r>
      <w:r w:rsidR="00614167">
        <w:t xml:space="preserve">National Classification </w:t>
      </w:r>
      <w:r w:rsidR="00BB0C79">
        <w:t>S</w:t>
      </w:r>
      <w:r w:rsidR="00D96A70">
        <w:t xml:space="preserve">cheme was established in 1995, the Commonwealth and the state and territory Ministers </w:t>
      </w:r>
      <w:r w:rsidR="001F2B41">
        <w:t xml:space="preserve">responsible for classification </w:t>
      </w:r>
      <w:r w:rsidR="00D96A70">
        <w:t>signed an intergovernmental agreement outlining governance arrangements.</w:t>
      </w:r>
      <w:r w:rsidR="001F2B41">
        <w:rPr>
          <w:rStyle w:val="FootnoteReference"/>
        </w:rPr>
        <w:footnoteReference w:id="37"/>
      </w:r>
    </w:p>
    <w:p w:rsidR="001629C7" w:rsidRDefault="00F41280" w:rsidP="00E01F23">
      <w:r>
        <w:lastRenderedPageBreak/>
        <w:t>The</w:t>
      </w:r>
      <w:r w:rsidR="00185A68">
        <w:t xml:space="preserve"> ALRC’s 2012 review noted that </w:t>
      </w:r>
      <w:r>
        <w:t xml:space="preserve">there are </w:t>
      </w:r>
      <w:r w:rsidR="00185A68">
        <w:t>‘</w:t>
      </w:r>
      <w:r>
        <w:t>significant differences in enforcement and penalty provisions between states and territories’ and penalties for similar offences can vary significantly across each state and territory.</w:t>
      </w:r>
      <w:r>
        <w:rPr>
          <w:rStyle w:val="FootnoteReference"/>
        </w:rPr>
        <w:footnoteReference w:id="38"/>
      </w:r>
      <w:r>
        <w:t xml:space="preserve"> One inconsistency </w:t>
      </w:r>
      <w:r w:rsidR="008D7537">
        <w:t xml:space="preserve">the ALRC noted </w:t>
      </w:r>
      <w:r>
        <w:t xml:space="preserve">is the </w:t>
      </w:r>
      <w:r w:rsidR="008D7537">
        <w:t xml:space="preserve">regulation </w:t>
      </w:r>
      <w:r>
        <w:t>of content classified X 18+, which is prohibited online but may be sold as a DVD in the ACT and parts of the NT.</w:t>
      </w:r>
      <w:r>
        <w:rPr>
          <w:rStyle w:val="FootnoteReference"/>
        </w:rPr>
        <w:footnoteReference w:id="39"/>
      </w:r>
    </w:p>
    <w:p w:rsidR="001629C7" w:rsidRDefault="00F41280" w:rsidP="00E01F23">
      <w:r>
        <w:t xml:space="preserve">The ALRC review recommended replacing the current co-operative scheme </w:t>
      </w:r>
      <w:r w:rsidR="00E01F23">
        <w:t>with a Commonwealth-only scheme.</w:t>
      </w:r>
      <w:r>
        <w:rPr>
          <w:rStyle w:val="FootnoteReference"/>
        </w:rPr>
        <w:footnoteReference w:id="40"/>
      </w:r>
      <w:r w:rsidR="00E01F23">
        <w:t xml:space="preserve"> It also considered that a new classification framework should not need to include additional mandatory provisions for advertisements for classifiable films, games and publications.</w:t>
      </w:r>
      <w:r w:rsidR="00E01F23">
        <w:rPr>
          <w:rStyle w:val="FootnoteReference"/>
        </w:rPr>
        <w:footnoteReference w:id="41"/>
      </w:r>
      <w:r w:rsidR="00E01F23">
        <w:t xml:space="preserve"> Instead, it recommended that advertising codes administered by Ad Standards should be amended to provide that, in assessing the suitability of an advertisement of media content, the following matters should be considered: the likely audience of the advertisement; the impact of the content in the advertisement and the classification or likely classification of the advertised content.</w:t>
      </w:r>
      <w:r w:rsidR="00E01F23">
        <w:rPr>
          <w:rStyle w:val="FootnoteReference"/>
        </w:rPr>
        <w:footnoteReference w:id="42"/>
      </w:r>
    </w:p>
    <w:p w:rsidR="001629C7" w:rsidRDefault="006B5141" w:rsidP="009968EA">
      <w:r>
        <w:t>Since the ALRC review</w:t>
      </w:r>
      <w:r w:rsidR="009968EA">
        <w:t xml:space="preserve">, </w:t>
      </w:r>
      <w:r>
        <w:t>there has been a continued</w:t>
      </w:r>
      <w:r w:rsidR="009968EA">
        <w:t xml:space="preserve"> increase in the consumption of entertainment content </w:t>
      </w:r>
      <w:r w:rsidR="00A02F2A">
        <w:t>online</w:t>
      </w:r>
      <w:r w:rsidR="009968EA">
        <w:t>. In 2018, the digital sales of games increased by 39 per cent,</w:t>
      </w:r>
      <w:r w:rsidR="009968EA">
        <w:rPr>
          <w:rStyle w:val="FootnoteReference"/>
        </w:rPr>
        <w:footnoteReference w:id="43"/>
      </w:r>
      <w:r w:rsidR="009968EA">
        <w:t xml:space="preserve"> while physical retail sales of games have remained relatively steady over the last six years.</w:t>
      </w:r>
      <w:r w:rsidR="009968EA">
        <w:rPr>
          <w:rStyle w:val="FootnoteReference"/>
        </w:rPr>
        <w:footnoteReference w:id="44"/>
      </w:r>
      <w:r w:rsidR="009968EA">
        <w:t xml:space="preserve"> Although sales of DVDs and </w:t>
      </w:r>
      <w:proofErr w:type="spellStart"/>
      <w:r w:rsidR="009968EA">
        <w:t>Blu</w:t>
      </w:r>
      <w:proofErr w:type="spellEnd"/>
      <w:r w:rsidR="009968EA">
        <w:noBreakHyphen/>
        <w:t xml:space="preserve">rays have declined, the physical retail market </w:t>
      </w:r>
      <w:r w:rsidR="009968EA">
        <w:lastRenderedPageBreak/>
        <w:t>generated $520 million in 2018.</w:t>
      </w:r>
      <w:r w:rsidR="009968EA">
        <w:rPr>
          <w:rStyle w:val="FootnoteReference"/>
        </w:rPr>
        <w:footnoteReference w:id="45"/>
      </w:r>
      <w:r w:rsidR="00562DF3">
        <w:t xml:space="preserve"> </w:t>
      </w:r>
      <w:r w:rsidR="00BB0C79">
        <w:t>For cinema, t</w:t>
      </w:r>
      <w:r w:rsidR="009968EA">
        <w:t>he total Australian box office and admissions are steady with an increase of 3.6 per cent and 5.6 per cent respectively in 2018 compared to the year prior.</w:t>
      </w:r>
      <w:r w:rsidR="009968EA">
        <w:rPr>
          <w:rStyle w:val="FootnoteReference"/>
        </w:rPr>
        <w:footnoteReference w:id="46"/>
      </w:r>
    </w:p>
    <w:p w:rsidR="001629C7" w:rsidRDefault="008D306B" w:rsidP="001201D2">
      <w:pPr>
        <w:keepLines/>
      </w:pPr>
      <w:r>
        <w:t xml:space="preserve">In the context of </w:t>
      </w:r>
      <w:r w:rsidR="00481049">
        <w:t>market developments and</w:t>
      </w:r>
      <w:r w:rsidR="00817242">
        <w:t xml:space="preserve"> </w:t>
      </w:r>
      <w:r w:rsidR="00F41280">
        <w:t xml:space="preserve">the </w:t>
      </w:r>
      <w:r>
        <w:t>ACCC</w:t>
      </w:r>
      <w:r w:rsidR="004664C9">
        <w:t>’s</w:t>
      </w:r>
      <w:r>
        <w:t xml:space="preserve"> Digital Platforms Inquiry, it </w:t>
      </w:r>
      <w:r w:rsidR="002F2874">
        <w:t xml:space="preserve">is </w:t>
      </w:r>
      <w:r w:rsidR="00A02F2A">
        <w:t>timely to ask</w:t>
      </w:r>
      <w:r w:rsidR="00560B58">
        <w:t xml:space="preserve"> </w:t>
      </w:r>
      <w:r w:rsidR="00DF4E70">
        <w:t xml:space="preserve">whether the states and territories should continue to maintain </w:t>
      </w:r>
      <w:r w:rsidR="00F41280">
        <w:t>regulatory responsibility</w:t>
      </w:r>
      <w:r w:rsidR="00DF4E70">
        <w:t xml:space="preserve"> </w:t>
      </w:r>
      <w:r w:rsidR="00F41280">
        <w:t>for the sale, advertising, exhibition and hire of classifiable content</w:t>
      </w:r>
      <w:r w:rsidR="00DF4E70">
        <w:t xml:space="preserve"> </w:t>
      </w:r>
      <w:r w:rsidR="00562DF3">
        <w:t xml:space="preserve">in the offline world (e.g. cinemas, adult shops, DVD </w:t>
      </w:r>
      <w:r w:rsidR="009968EA">
        <w:t>and</w:t>
      </w:r>
      <w:r w:rsidR="00562DF3">
        <w:t xml:space="preserve"> game</w:t>
      </w:r>
      <w:r w:rsidR="009968EA">
        <w:t xml:space="preserve"> retailers</w:t>
      </w:r>
      <w:r w:rsidR="00562DF3">
        <w:t>)</w:t>
      </w:r>
      <w:r w:rsidR="00DF4E70">
        <w:t xml:space="preserve"> with the </w:t>
      </w:r>
      <w:r w:rsidR="00F41280">
        <w:t>Australian Government responsible for enforcement of classifiable content</w:t>
      </w:r>
      <w:r w:rsidR="00DF4E70">
        <w:t xml:space="preserve"> online</w:t>
      </w:r>
      <w:r w:rsidR="00844F5D">
        <w:t>.</w:t>
      </w:r>
    </w:p>
    <w:p w:rsidR="001629C7" w:rsidRDefault="003F0365" w:rsidP="00F41280">
      <w:r>
        <w:t xml:space="preserve">Any changes to the regulation of the availability and access to classifiable content would need to be considered by the states and territories. </w:t>
      </w:r>
      <w:r w:rsidR="00531C1A">
        <w:t xml:space="preserve">Views on the current scheme </w:t>
      </w:r>
      <w:r w:rsidR="0009107E">
        <w:t xml:space="preserve">in this regard will inform </w:t>
      </w:r>
      <w:r w:rsidR="00E22837">
        <w:t>any possible</w:t>
      </w:r>
      <w:r w:rsidR="00BA1AFB">
        <w:t xml:space="preserve"> reforms</w:t>
      </w:r>
      <w:r w:rsidR="0009107E">
        <w:t>.</w:t>
      </w:r>
    </w:p>
    <w:p w:rsidR="007E7516" w:rsidRPr="009B68F5" w:rsidRDefault="00A3082F" w:rsidP="009B68F5">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60" w:line="257" w:lineRule="auto"/>
        <w:contextualSpacing w:val="0"/>
        <w:rPr>
          <w:b/>
        </w:rPr>
      </w:pPr>
      <w:r>
        <w:rPr>
          <w:b/>
        </w:rPr>
        <w:t>8</w:t>
      </w:r>
      <w:r w:rsidR="009B68F5">
        <w:rPr>
          <w:b/>
        </w:rPr>
        <w:t xml:space="preserve">) </w:t>
      </w:r>
      <w:r w:rsidR="007E7516" w:rsidRPr="009B68F5">
        <w:rPr>
          <w:b/>
        </w:rPr>
        <w:t>Is the current co-operative scheme between the Australian Government and the states and territories fit for purpose in a modern content environment? If not, how should it be changed?</w:t>
      </w:r>
    </w:p>
    <w:p w:rsidR="00290336" w:rsidRDefault="00290336" w:rsidP="008D7537">
      <w:pPr>
        <w:pStyle w:val="Heading3"/>
        <w:numPr>
          <w:ilvl w:val="0"/>
          <w:numId w:val="7"/>
        </w:numPr>
        <w:ind w:left="426" w:hanging="426"/>
      </w:pPr>
      <w:bookmarkStart w:id="159" w:name="_Toc23249337"/>
      <w:bookmarkStart w:id="160" w:name="_Toc23425807"/>
      <w:bookmarkStart w:id="161" w:name="_Toc23426136"/>
      <w:bookmarkStart w:id="162" w:name="_Toc23428029"/>
      <w:bookmarkStart w:id="163" w:name="_Toc23431538"/>
      <w:bookmarkStart w:id="164" w:name="_Toc29289976"/>
      <w:r>
        <w:t xml:space="preserve">Other </w:t>
      </w:r>
      <w:bookmarkEnd w:id="159"/>
      <w:bookmarkEnd w:id="160"/>
      <w:bookmarkEnd w:id="161"/>
      <w:bookmarkEnd w:id="162"/>
      <w:bookmarkEnd w:id="163"/>
      <w:r w:rsidR="00D87861">
        <w:t>comments</w:t>
      </w:r>
      <w:bookmarkEnd w:id="164"/>
    </w:p>
    <w:p w:rsidR="000C09A5" w:rsidRPr="008D7537" w:rsidRDefault="00A3082F" w:rsidP="008D7537">
      <w:pPr>
        <w:pStyle w:val="ListParagraph"/>
        <w:numPr>
          <w:ilvl w:val="0"/>
          <w:numId w:val="0"/>
        </w:numPr>
        <w:pBdr>
          <w:top w:val="single" w:sz="4" w:space="1" w:color="auto"/>
          <w:left w:val="single" w:sz="4" w:space="4" w:color="auto"/>
          <w:bottom w:val="single" w:sz="4" w:space="1" w:color="auto"/>
          <w:right w:val="single" w:sz="4" w:space="4" w:color="auto"/>
        </w:pBdr>
        <w:shd w:val="clear" w:color="auto" w:fill="E4E4E4"/>
        <w:spacing w:after="160" w:line="257" w:lineRule="auto"/>
        <w:contextualSpacing w:val="0"/>
        <w:rPr>
          <w:b/>
        </w:rPr>
      </w:pPr>
      <w:r>
        <w:rPr>
          <w:b/>
        </w:rPr>
        <w:t>9</w:t>
      </w:r>
      <w:r w:rsidR="00290336">
        <w:rPr>
          <w:b/>
        </w:rPr>
        <w:t xml:space="preserve">) </w:t>
      </w:r>
      <w:r w:rsidR="00290336" w:rsidRPr="00B2214B">
        <w:rPr>
          <w:b/>
        </w:rPr>
        <w:t xml:space="preserve">Are there other issues that </w:t>
      </w:r>
      <w:r w:rsidR="00290336">
        <w:rPr>
          <w:b/>
        </w:rPr>
        <w:t xml:space="preserve">a new classification </w:t>
      </w:r>
      <w:r w:rsidR="00F235CB">
        <w:rPr>
          <w:b/>
        </w:rPr>
        <w:t xml:space="preserve">regulatory </w:t>
      </w:r>
      <w:r w:rsidR="00290336">
        <w:rPr>
          <w:b/>
        </w:rPr>
        <w:t xml:space="preserve">framework </w:t>
      </w:r>
      <w:r w:rsidR="00290336" w:rsidRPr="00B2214B">
        <w:rPr>
          <w:b/>
        </w:rPr>
        <w:t>need</w:t>
      </w:r>
      <w:r w:rsidR="00290336">
        <w:rPr>
          <w:b/>
        </w:rPr>
        <w:t>s</w:t>
      </w:r>
      <w:r w:rsidR="00290336" w:rsidRPr="00B2214B">
        <w:rPr>
          <w:b/>
        </w:rPr>
        <w:t xml:space="preserve"> to take into account?</w:t>
      </w:r>
    </w:p>
    <w:p w:rsidR="003369F8" w:rsidRDefault="003369F8">
      <w:pPr>
        <w:spacing w:after="160" w:line="259" w:lineRule="auto"/>
      </w:pPr>
      <w:bookmarkStart w:id="165" w:name="_Toc23249340"/>
      <w:bookmarkStart w:id="166" w:name="_Toc23425808"/>
      <w:bookmarkStart w:id="167" w:name="_Toc23426137"/>
      <w:bookmarkStart w:id="168" w:name="_Toc23428030"/>
      <w:bookmarkStart w:id="169" w:name="_Toc23431539"/>
      <w:r>
        <w:br w:type="page"/>
      </w:r>
    </w:p>
    <w:p w:rsidR="006D1C60" w:rsidRDefault="00D04E2E" w:rsidP="009E42EA">
      <w:pPr>
        <w:pStyle w:val="Heading2"/>
      </w:pPr>
      <w:bookmarkStart w:id="170" w:name="_Appendix_1_–"/>
      <w:bookmarkStart w:id="171" w:name="_Toc29289977"/>
      <w:bookmarkEnd w:id="170"/>
      <w:r>
        <w:lastRenderedPageBreak/>
        <w:t xml:space="preserve">Appendix 1 </w:t>
      </w:r>
      <w:r w:rsidR="0042710D">
        <w:t xml:space="preserve">– </w:t>
      </w:r>
      <w:r w:rsidR="006D1C60">
        <w:t>Current legislation</w:t>
      </w:r>
      <w:bookmarkEnd w:id="165"/>
      <w:bookmarkEnd w:id="166"/>
      <w:bookmarkEnd w:id="167"/>
      <w:bookmarkEnd w:id="168"/>
      <w:bookmarkEnd w:id="169"/>
      <w:bookmarkEnd w:id="171"/>
    </w:p>
    <w:p w:rsidR="001629C7" w:rsidRDefault="006D1C60" w:rsidP="00E403B4">
      <w:pPr>
        <w:pStyle w:val="Heading3"/>
      </w:pPr>
      <w:bookmarkStart w:id="172" w:name="_Toc29289978"/>
      <w:r w:rsidRPr="007A6416">
        <w:t>The National Classification Code</w:t>
      </w:r>
      <w:bookmarkEnd w:id="172"/>
    </w:p>
    <w:p w:rsidR="006D1C60" w:rsidRPr="006D1C60" w:rsidRDefault="00292A31" w:rsidP="006D1C60">
      <w:hyperlink r:id="rId37" w:history="1">
        <w:r w:rsidR="00846516" w:rsidRPr="008A47B5">
          <w:rPr>
            <w:rStyle w:val="Hyperlink"/>
          </w:rPr>
          <w:t>www.legislation.gov.au/Details/F2013C00006</w:t>
        </w:r>
      </w:hyperlink>
    </w:p>
    <w:p w:rsidR="001629C7" w:rsidRDefault="006D1C60" w:rsidP="00E403B4">
      <w:pPr>
        <w:pStyle w:val="Heading3"/>
      </w:pPr>
      <w:bookmarkStart w:id="173" w:name="_Toc29289979"/>
      <w:r w:rsidRPr="007A6416">
        <w:t>Guidelines for the Classification of Films</w:t>
      </w:r>
      <w:bookmarkEnd w:id="173"/>
    </w:p>
    <w:p w:rsidR="002566BD" w:rsidRPr="002566BD" w:rsidRDefault="00292A31" w:rsidP="002566BD">
      <w:hyperlink r:id="rId38" w:history="1">
        <w:r w:rsidR="00846516" w:rsidRPr="008A47B5">
          <w:rPr>
            <w:rStyle w:val="Hyperlink"/>
          </w:rPr>
          <w:t>www.legislation.gov.au/Details/F2012L02541</w:t>
        </w:r>
      </w:hyperlink>
    </w:p>
    <w:p w:rsidR="001629C7" w:rsidRDefault="006D1C60" w:rsidP="00E403B4">
      <w:pPr>
        <w:pStyle w:val="Heading3"/>
      </w:pPr>
      <w:bookmarkStart w:id="174" w:name="_Toc29289980"/>
      <w:r w:rsidRPr="007A6416">
        <w:t>Guidelines for the Classification of Computer Games</w:t>
      </w:r>
      <w:bookmarkEnd w:id="174"/>
    </w:p>
    <w:p w:rsidR="002566BD" w:rsidRDefault="00292A31" w:rsidP="002566BD">
      <w:pPr>
        <w:rPr>
          <w:rStyle w:val="Hyperlink"/>
        </w:rPr>
      </w:pPr>
      <w:hyperlink r:id="rId39" w:history="1">
        <w:r w:rsidR="00846516" w:rsidRPr="008A47B5">
          <w:rPr>
            <w:rStyle w:val="Hyperlink"/>
          </w:rPr>
          <w:t>www.legislation.gov.au/Details/F2012L01934</w:t>
        </w:r>
      </w:hyperlink>
    </w:p>
    <w:p w:rsidR="001629C7" w:rsidRDefault="003514A6" w:rsidP="00E403B4">
      <w:pPr>
        <w:pStyle w:val="Heading3"/>
      </w:pPr>
      <w:bookmarkStart w:id="175" w:name="_Toc29289981"/>
      <w:r w:rsidRPr="007A6416">
        <w:t xml:space="preserve">Guidelines for the Classification of </w:t>
      </w:r>
      <w:r>
        <w:t>Publications</w:t>
      </w:r>
      <w:bookmarkEnd w:id="175"/>
    </w:p>
    <w:p w:rsidR="003514A6" w:rsidRDefault="00292A31" w:rsidP="002566BD">
      <w:hyperlink r:id="rId40" w:history="1">
        <w:r w:rsidR="00846516" w:rsidRPr="008A47B5">
          <w:rPr>
            <w:rStyle w:val="Hyperlink"/>
          </w:rPr>
          <w:t>www.legislation.gov.au/Details/F2008C00129</w:t>
        </w:r>
      </w:hyperlink>
    </w:p>
    <w:p w:rsidR="006B546E" w:rsidRPr="007A6416" w:rsidRDefault="006D1C60" w:rsidP="00E403B4">
      <w:pPr>
        <w:pStyle w:val="Heading3"/>
      </w:pPr>
      <w:bookmarkStart w:id="176" w:name="_Toc29289982"/>
      <w:r w:rsidRPr="007A6416">
        <w:t>Classification</w:t>
      </w:r>
      <w:r w:rsidR="002566BD" w:rsidRPr="007A6416">
        <w:t xml:space="preserve"> (Publications, Films and Computer Games)</w:t>
      </w:r>
      <w:r w:rsidRPr="007A6416">
        <w:t xml:space="preserve"> Act</w:t>
      </w:r>
      <w:r w:rsidR="002566BD" w:rsidRPr="007A6416">
        <w:t xml:space="preserve"> 199</w:t>
      </w:r>
      <w:r w:rsidR="00AD758A" w:rsidRPr="007A6416">
        <w:t>5</w:t>
      </w:r>
      <w:bookmarkStart w:id="177" w:name="_Toc491684094"/>
      <w:bookmarkEnd w:id="176"/>
    </w:p>
    <w:p w:rsidR="001440A4" w:rsidRPr="00E122D6" w:rsidRDefault="00292A31" w:rsidP="00E122D6">
      <w:pPr>
        <w:pStyle w:val="Normal-disclaimerpage"/>
        <w:rPr>
          <w:rStyle w:val="charsectno"/>
          <w:i/>
        </w:rPr>
      </w:pPr>
      <w:hyperlink r:id="rId41" w:history="1">
        <w:r w:rsidR="00846516" w:rsidRPr="008A47B5">
          <w:rPr>
            <w:rStyle w:val="Hyperlink"/>
            <w:rFonts w:asciiTheme="minorHAnsi" w:hAnsiTheme="minorHAnsi"/>
            <w:sz w:val="22"/>
          </w:rPr>
          <w:t>www.legislation.gov.au/Series/C2004A04863</w:t>
        </w:r>
      </w:hyperlink>
    </w:p>
    <w:p w:rsidR="000D6B60" w:rsidRPr="003D61BC" w:rsidRDefault="000D6B60" w:rsidP="008165F4">
      <w:pPr>
        <w:pStyle w:val="Heading4"/>
      </w:pPr>
      <w:bookmarkStart w:id="178" w:name="_Toc29289983"/>
      <w:r w:rsidRPr="003D61BC">
        <w:t>Particular sections of relevance</w:t>
      </w:r>
      <w:r w:rsidR="000605FD" w:rsidRPr="003D61BC">
        <w:t xml:space="preserve"> in the </w:t>
      </w:r>
      <w:r w:rsidR="007A6416" w:rsidRPr="003D61BC">
        <w:t xml:space="preserve">Classification </w:t>
      </w:r>
      <w:r w:rsidR="000605FD" w:rsidRPr="003D61BC">
        <w:t>Act</w:t>
      </w:r>
      <w:r w:rsidRPr="003D61BC">
        <w:t>:</w:t>
      </w:r>
      <w:bookmarkEnd w:id="178"/>
    </w:p>
    <w:p w:rsidR="002566BD" w:rsidRDefault="002566BD" w:rsidP="00E403B4">
      <w:pPr>
        <w:pStyle w:val="Heading5"/>
      </w:pPr>
      <w:r w:rsidRPr="0087372B">
        <w:t>Section 9</w:t>
      </w:r>
      <w:r w:rsidRPr="002566BD">
        <w:t> Classification in accordance with the Code</w:t>
      </w:r>
      <w:bookmarkEnd w:id="177"/>
    </w:p>
    <w:p w:rsidR="001629C7" w:rsidRDefault="002566BD" w:rsidP="005743BB">
      <w:pPr>
        <w:pStyle w:val="acthead5"/>
        <w:shd w:val="clear" w:color="auto" w:fill="FFFFFF"/>
        <w:spacing w:before="0" w:beforeAutospacing="0"/>
        <w:rPr>
          <w:rFonts w:asciiTheme="minorHAnsi" w:hAnsiTheme="minorHAnsi"/>
          <w:b/>
          <w:sz w:val="22"/>
          <w:szCs w:val="22"/>
          <w:lang w:val="en-US"/>
        </w:rPr>
      </w:pPr>
      <w:r w:rsidRPr="002566BD">
        <w:rPr>
          <w:rFonts w:asciiTheme="minorHAnsi" w:hAnsiTheme="minorHAnsi"/>
          <w:sz w:val="22"/>
          <w:szCs w:val="22"/>
        </w:rPr>
        <w:t>Subject to section 9A, publications, films and computer games are to be classified in accordance with the Code and the classification guidelines.</w:t>
      </w:r>
      <w:bookmarkStart w:id="179" w:name="_Toc491684097"/>
    </w:p>
    <w:p w:rsidR="003369F8" w:rsidRPr="0087372B" w:rsidRDefault="005743BB" w:rsidP="00E403B4">
      <w:pPr>
        <w:pStyle w:val="Heading5"/>
        <w:rPr>
          <w:b w:val="0"/>
          <w:bCs/>
        </w:rPr>
      </w:pPr>
      <w:r w:rsidRPr="005743BB">
        <w:t xml:space="preserve">Section </w:t>
      </w:r>
      <w:proofErr w:type="gramStart"/>
      <w:r w:rsidRPr="005743BB">
        <w:t>9A</w:t>
      </w:r>
      <w:r>
        <w:t xml:space="preserve"> </w:t>
      </w:r>
      <w:r w:rsidRPr="005743BB">
        <w:t xml:space="preserve"> Refused</w:t>
      </w:r>
      <w:proofErr w:type="gramEnd"/>
      <w:r w:rsidRPr="005743BB">
        <w:t xml:space="preserve"> Classification for publications, films or computer games that advocate terrorist </w:t>
      </w:r>
      <w:r w:rsidRPr="0087372B">
        <w:rPr>
          <w:bCs/>
        </w:rPr>
        <w:t>acts</w:t>
      </w:r>
    </w:p>
    <w:p w:rsidR="001629C7" w:rsidRDefault="005743BB" w:rsidP="005743BB">
      <w:pPr>
        <w:pStyle w:val="acthead5"/>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Section 9A </w:t>
      </w:r>
      <w:r w:rsidRPr="005743BB">
        <w:rPr>
          <w:rFonts w:asciiTheme="minorHAnsi" w:hAnsiTheme="minorHAnsi" w:cstheme="minorHAnsi"/>
          <w:sz w:val="22"/>
          <w:szCs w:val="22"/>
        </w:rPr>
        <w:t>defines the meaning of ‘advocates the doing of a terrorist act’ and outlines that a publication, film or computer game that advocates the doing of a terrorist act must be R</w:t>
      </w:r>
      <w:r>
        <w:rPr>
          <w:rFonts w:asciiTheme="minorHAnsi" w:hAnsiTheme="minorHAnsi" w:cstheme="minorHAnsi"/>
          <w:sz w:val="22"/>
          <w:szCs w:val="22"/>
        </w:rPr>
        <w:t xml:space="preserve">efused </w:t>
      </w:r>
      <w:r w:rsidRPr="005743BB">
        <w:rPr>
          <w:rFonts w:asciiTheme="minorHAnsi" w:hAnsiTheme="minorHAnsi" w:cstheme="minorHAnsi"/>
          <w:sz w:val="22"/>
          <w:szCs w:val="22"/>
        </w:rPr>
        <w:t>C</w:t>
      </w:r>
      <w:r>
        <w:rPr>
          <w:rFonts w:asciiTheme="minorHAnsi" w:hAnsiTheme="minorHAnsi" w:cstheme="minorHAnsi"/>
          <w:sz w:val="22"/>
          <w:szCs w:val="22"/>
        </w:rPr>
        <w:t>lassification</w:t>
      </w:r>
      <w:r w:rsidRPr="005743BB">
        <w:rPr>
          <w:rFonts w:asciiTheme="minorHAnsi" w:hAnsiTheme="minorHAnsi" w:cstheme="minorHAnsi"/>
          <w:sz w:val="22"/>
          <w:szCs w:val="22"/>
        </w:rPr>
        <w:t>.</w:t>
      </w:r>
    </w:p>
    <w:p w:rsidR="002566BD" w:rsidRPr="0087372B" w:rsidRDefault="002566BD" w:rsidP="0087372B">
      <w:pPr>
        <w:pStyle w:val="Heading5"/>
      </w:pPr>
      <w:r>
        <w:lastRenderedPageBreak/>
        <w:t>Section 1</w:t>
      </w:r>
      <w:r w:rsidR="00664D93" w:rsidRPr="0087372B">
        <w:t>1</w:t>
      </w:r>
      <w:r w:rsidRPr="002566BD">
        <w:t> Matters to be considered in classification</w:t>
      </w:r>
      <w:bookmarkEnd w:id="179"/>
    </w:p>
    <w:p w:rsidR="002566BD" w:rsidRPr="002566BD" w:rsidRDefault="002566BD" w:rsidP="0056769E">
      <w:pPr>
        <w:pStyle w:val="subsection"/>
        <w:shd w:val="clear" w:color="auto" w:fill="FFFFFF"/>
        <w:spacing w:before="0" w:beforeAutospacing="0" w:after="0" w:afterAutospacing="0"/>
        <w:rPr>
          <w:rFonts w:asciiTheme="minorHAnsi" w:hAnsiTheme="minorHAnsi"/>
          <w:sz w:val="22"/>
          <w:szCs w:val="22"/>
          <w:lang w:val="en-US"/>
        </w:rPr>
      </w:pPr>
      <w:r w:rsidRPr="002566BD">
        <w:rPr>
          <w:rFonts w:asciiTheme="minorHAnsi" w:hAnsiTheme="minorHAnsi"/>
          <w:sz w:val="22"/>
          <w:szCs w:val="22"/>
        </w:rPr>
        <w:t>The matters to be taken into account in making a decision on the classification of a publication, a film or a computer game include:</w:t>
      </w:r>
    </w:p>
    <w:p w:rsidR="002566BD" w:rsidRDefault="002566BD" w:rsidP="003369F8">
      <w:pPr>
        <w:pStyle w:val="paragraph"/>
        <w:shd w:val="clear" w:color="auto" w:fill="FFFFFF"/>
        <w:spacing w:before="0" w:beforeAutospacing="0" w:after="0" w:afterAutospacing="0"/>
        <w:ind w:left="567" w:hanging="567"/>
        <w:rPr>
          <w:rFonts w:asciiTheme="minorHAnsi" w:hAnsiTheme="minorHAnsi"/>
          <w:sz w:val="22"/>
          <w:szCs w:val="22"/>
          <w:lang w:val="en-US"/>
        </w:rPr>
      </w:pPr>
      <w:r w:rsidRPr="002566BD">
        <w:rPr>
          <w:rFonts w:asciiTheme="minorHAnsi" w:hAnsiTheme="minorHAnsi"/>
          <w:sz w:val="22"/>
          <w:szCs w:val="22"/>
        </w:rPr>
        <w:t>(a)</w:t>
      </w:r>
      <w:r w:rsidR="003369F8">
        <w:rPr>
          <w:rFonts w:asciiTheme="minorHAnsi" w:hAnsiTheme="minorHAnsi"/>
          <w:sz w:val="22"/>
          <w:szCs w:val="22"/>
        </w:rPr>
        <w:tab/>
      </w:r>
      <w:proofErr w:type="gramStart"/>
      <w:r w:rsidRPr="002566BD">
        <w:rPr>
          <w:rFonts w:asciiTheme="minorHAnsi" w:hAnsiTheme="minorHAnsi"/>
          <w:sz w:val="22"/>
          <w:szCs w:val="22"/>
        </w:rPr>
        <w:t>the</w:t>
      </w:r>
      <w:proofErr w:type="gramEnd"/>
      <w:r w:rsidRPr="002566BD">
        <w:rPr>
          <w:rFonts w:asciiTheme="minorHAnsi" w:hAnsiTheme="minorHAnsi"/>
          <w:sz w:val="22"/>
          <w:szCs w:val="22"/>
        </w:rPr>
        <w:t xml:space="preserve"> standards of morality, decency and propriety generally accepted by reasonable adults; and</w:t>
      </w:r>
    </w:p>
    <w:p w:rsidR="002566BD" w:rsidRPr="002566BD" w:rsidRDefault="002566BD" w:rsidP="003369F8">
      <w:pPr>
        <w:pStyle w:val="paragraph"/>
        <w:shd w:val="clear" w:color="auto" w:fill="FFFFFF"/>
        <w:spacing w:before="0" w:beforeAutospacing="0" w:after="0" w:afterAutospacing="0"/>
        <w:ind w:left="567" w:hanging="567"/>
        <w:rPr>
          <w:rFonts w:asciiTheme="minorHAnsi" w:hAnsiTheme="minorHAnsi"/>
          <w:sz w:val="22"/>
          <w:szCs w:val="22"/>
          <w:lang w:val="en-US"/>
        </w:rPr>
      </w:pPr>
      <w:r w:rsidRPr="002566BD">
        <w:rPr>
          <w:rFonts w:asciiTheme="minorHAnsi" w:hAnsiTheme="minorHAnsi"/>
          <w:sz w:val="22"/>
          <w:szCs w:val="22"/>
        </w:rPr>
        <w:t>(b)</w:t>
      </w:r>
      <w:r w:rsidR="003369F8">
        <w:rPr>
          <w:rFonts w:asciiTheme="minorHAnsi" w:hAnsiTheme="minorHAnsi"/>
          <w:sz w:val="22"/>
          <w:szCs w:val="22"/>
        </w:rPr>
        <w:tab/>
      </w:r>
      <w:proofErr w:type="gramStart"/>
      <w:r w:rsidRPr="002566BD">
        <w:rPr>
          <w:rFonts w:asciiTheme="minorHAnsi" w:hAnsiTheme="minorHAnsi"/>
          <w:sz w:val="22"/>
          <w:szCs w:val="22"/>
        </w:rPr>
        <w:t>the</w:t>
      </w:r>
      <w:proofErr w:type="gramEnd"/>
      <w:r w:rsidRPr="002566BD">
        <w:rPr>
          <w:rFonts w:asciiTheme="minorHAnsi" w:hAnsiTheme="minorHAnsi"/>
          <w:sz w:val="22"/>
          <w:szCs w:val="22"/>
        </w:rPr>
        <w:t xml:space="preserve"> literary, artistic or educational merit (if any) of the publication, film or computer game; and</w:t>
      </w:r>
    </w:p>
    <w:p w:rsidR="002566BD" w:rsidRDefault="002566BD" w:rsidP="003369F8">
      <w:pPr>
        <w:pStyle w:val="paragraph"/>
        <w:shd w:val="clear" w:color="auto" w:fill="FFFFFF"/>
        <w:spacing w:before="0" w:beforeAutospacing="0" w:after="0" w:afterAutospacing="0"/>
        <w:ind w:left="567" w:hanging="567"/>
        <w:rPr>
          <w:rFonts w:asciiTheme="minorHAnsi" w:hAnsiTheme="minorHAnsi"/>
          <w:sz w:val="22"/>
          <w:szCs w:val="22"/>
        </w:rPr>
      </w:pPr>
      <w:r w:rsidRPr="002566BD">
        <w:rPr>
          <w:rFonts w:asciiTheme="minorHAnsi" w:hAnsiTheme="minorHAnsi"/>
          <w:sz w:val="22"/>
          <w:szCs w:val="22"/>
        </w:rPr>
        <w:t>(c)</w:t>
      </w:r>
      <w:r w:rsidR="003369F8">
        <w:rPr>
          <w:rFonts w:asciiTheme="minorHAnsi" w:hAnsiTheme="minorHAnsi"/>
          <w:sz w:val="22"/>
          <w:szCs w:val="22"/>
        </w:rPr>
        <w:tab/>
      </w:r>
      <w:proofErr w:type="gramStart"/>
      <w:r w:rsidRPr="002566BD">
        <w:rPr>
          <w:rFonts w:asciiTheme="minorHAnsi" w:hAnsiTheme="minorHAnsi"/>
          <w:sz w:val="22"/>
          <w:szCs w:val="22"/>
        </w:rPr>
        <w:t>the</w:t>
      </w:r>
      <w:proofErr w:type="gramEnd"/>
      <w:r w:rsidRPr="002566BD">
        <w:rPr>
          <w:rFonts w:asciiTheme="minorHAnsi" w:hAnsiTheme="minorHAnsi"/>
          <w:sz w:val="22"/>
          <w:szCs w:val="22"/>
        </w:rPr>
        <w:t xml:space="preserve"> general character of the publication, film or computer game, including whether it is of a medical, legal or scientific character; and</w:t>
      </w:r>
    </w:p>
    <w:p w:rsidR="002566BD" w:rsidRDefault="002566BD" w:rsidP="003369F8">
      <w:pPr>
        <w:pStyle w:val="paragraph"/>
        <w:shd w:val="clear" w:color="auto" w:fill="FFFFFF"/>
        <w:spacing w:before="0" w:beforeAutospacing="0" w:after="0" w:afterAutospacing="0"/>
        <w:ind w:left="567" w:hanging="567"/>
        <w:rPr>
          <w:rFonts w:asciiTheme="minorHAnsi" w:hAnsiTheme="minorHAnsi"/>
          <w:sz w:val="22"/>
          <w:szCs w:val="22"/>
        </w:rPr>
      </w:pPr>
      <w:r w:rsidRPr="002566BD">
        <w:rPr>
          <w:rFonts w:asciiTheme="minorHAnsi" w:hAnsiTheme="minorHAnsi"/>
          <w:sz w:val="22"/>
          <w:szCs w:val="22"/>
        </w:rPr>
        <w:t>(d)</w:t>
      </w:r>
      <w:r w:rsidR="003369F8">
        <w:rPr>
          <w:rFonts w:asciiTheme="minorHAnsi" w:hAnsiTheme="minorHAnsi"/>
          <w:sz w:val="22"/>
          <w:szCs w:val="22"/>
        </w:rPr>
        <w:tab/>
      </w:r>
      <w:proofErr w:type="gramStart"/>
      <w:r w:rsidRPr="002566BD">
        <w:rPr>
          <w:rFonts w:asciiTheme="minorHAnsi" w:hAnsiTheme="minorHAnsi"/>
          <w:sz w:val="22"/>
          <w:szCs w:val="22"/>
        </w:rPr>
        <w:t>the</w:t>
      </w:r>
      <w:proofErr w:type="gramEnd"/>
      <w:r w:rsidRPr="002566BD">
        <w:rPr>
          <w:rFonts w:asciiTheme="minorHAnsi" w:hAnsiTheme="minorHAnsi"/>
          <w:sz w:val="22"/>
          <w:szCs w:val="22"/>
        </w:rPr>
        <w:t xml:space="preserve"> persons or class of persons to or amongst whom it is published or is intended or likely to be published.</w:t>
      </w:r>
      <w:r w:rsidR="00AF7A79">
        <w:rPr>
          <w:rFonts w:asciiTheme="minorHAnsi" w:hAnsiTheme="minorHAnsi"/>
          <w:sz w:val="22"/>
          <w:szCs w:val="22"/>
        </w:rPr>
        <w:br/>
      </w:r>
    </w:p>
    <w:p w:rsidR="009E42EA" w:rsidRPr="0065223A" w:rsidRDefault="0065223A" w:rsidP="00E403B4">
      <w:pPr>
        <w:pStyle w:val="Heading3"/>
      </w:pPr>
      <w:bookmarkStart w:id="180" w:name="_Toc29289984"/>
      <w:r w:rsidRPr="0065223A">
        <w:t>Code</w:t>
      </w:r>
      <w:r>
        <w:t>s</w:t>
      </w:r>
      <w:r w:rsidRPr="0065223A">
        <w:t xml:space="preserve"> of Practice</w:t>
      </w:r>
      <w:r w:rsidR="00C60DA3">
        <w:t xml:space="preserve"> for ABC, SBS, commercial and subscription broadcasters</w:t>
      </w:r>
      <w:bookmarkEnd w:id="180"/>
    </w:p>
    <w:p w:rsidR="00E403B4" w:rsidRDefault="00C60DA3" w:rsidP="00E403B4">
      <w:pPr>
        <w:rPr>
          <w:rFonts w:cstheme="minorHAnsi"/>
          <w:lang w:val="en-US"/>
        </w:rPr>
      </w:pPr>
      <w:r w:rsidRPr="00C60DA3">
        <w:rPr>
          <w:rFonts w:cstheme="minorHAnsi"/>
        </w:rPr>
        <w:t xml:space="preserve">Available at </w:t>
      </w:r>
      <w:hyperlink r:id="rId42" w:history="1">
        <w:r w:rsidRPr="00C60DA3">
          <w:rPr>
            <w:rStyle w:val="Hyperlink"/>
            <w:rFonts w:cstheme="minorHAnsi"/>
            <w:lang w:val="en-US"/>
          </w:rPr>
          <w:t>www.acma.gov.au/industry-codes-practice</w:t>
        </w:r>
      </w:hyperlink>
      <w:r w:rsidR="00E403B4" w:rsidRPr="002566BD">
        <w:t>.</w:t>
      </w:r>
    </w:p>
    <w:p w:rsidR="00DE5F33" w:rsidRDefault="00DE5F33" w:rsidP="00E403B4">
      <w:pPr>
        <w:pStyle w:val="Heading2"/>
        <w:pageBreakBefore/>
      </w:pPr>
      <w:bookmarkStart w:id="181" w:name="_Appendix_2_–"/>
      <w:bookmarkStart w:id="182" w:name="_Toc23249341"/>
      <w:bookmarkStart w:id="183" w:name="_Toc23425809"/>
      <w:bookmarkStart w:id="184" w:name="_Toc23426138"/>
      <w:bookmarkStart w:id="185" w:name="_Toc23428031"/>
      <w:bookmarkStart w:id="186" w:name="_Toc23431540"/>
      <w:bookmarkStart w:id="187" w:name="_Toc29289985"/>
      <w:bookmarkEnd w:id="181"/>
      <w:r>
        <w:lastRenderedPageBreak/>
        <w:t xml:space="preserve">Appendix 2 – </w:t>
      </w:r>
      <w:r w:rsidR="00854DDD">
        <w:t>Classification t</w:t>
      </w:r>
      <w:r>
        <w:t>ools: IARC tool and Netflix tool</w:t>
      </w:r>
      <w:bookmarkEnd w:id="114"/>
      <w:bookmarkEnd w:id="182"/>
      <w:bookmarkEnd w:id="183"/>
      <w:bookmarkEnd w:id="184"/>
      <w:bookmarkEnd w:id="185"/>
      <w:bookmarkEnd w:id="186"/>
      <w:bookmarkEnd w:id="187"/>
    </w:p>
    <w:p w:rsidR="00854DDD" w:rsidRDefault="00854DDD" w:rsidP="001217EF">
      <w:bookmarkStart w:id="188" w:name="_Toc8906558"/>
      <w:r>
        <w:t xml:space="preserve">To manage the classification of the enormous volumes of </w:t>
      </w:r>
      <w:r w:rsidR="001217EF">
        <w:t>online games and films</w:t>
      </w:r>
      <w:r>
        <w:t xml:space="preserve"> in today’s market, legislative changes were made in 2015 to enable the </w:t>
      </w:r>
      <w:r w:rsidR="00290AEA">
        <w:t>Australian Government</w:t>
      </w:r>
      <w:r w:rsidR="001217EF">
        <w:t xml:space="preserve"> </w:t>
      </w:r>
      <w:r>
        <w:t xml:space="preserve">Minister </w:t>
      </w:r>
      <w:r w:rsidR="009C65EE">
        <w:t xml:space="preserve">responsible for classification </w:t>
      </w:r>
      <w:r>
        <w:t xml:space="preserve">to approve the use of classification tools. </w:t>
      </w:r>
      <w:r w:rsidR="001217EF">
        <w:t>Two classification tools have been approved so far.</w:t>
      </w:r>
    </w:p>
    <w:p w:rsidR="00DE5F33" w:rsidRPr="007A6416" w:rsidRDefault="002A46C3" w:rsidP="003369F8">
      <w:pPr>
        <w:pStyle w:val="Heading3"/>
      </w:pPr>
      <w:bookmarkStart w:id="189" w:name="_Toc29289986"/>
      <w:r w:rsidRPr="007A6416">
        <w:t>International Age Rating Coalition (</w:t>
      </w:r>
      <w:r w:rsidR="00DE5F33" w:rsidRPr="007A6416">
        <w:t>IARC</w:t>
      </w:r>
      <w:r w:rsidRPr="007A6416">
        <w:t>)</w:t>
      </w:r>
      <w:r w:rsidR="00DE5F33" w:rsidRPr="007A6416">
        <w:t xml:space="preserve"> tool</w:t>
      </w:r>
      <w:bookmarkEnd w:id="115"/>
      <w:bookmarkEnd w:id="116"/>
      <w:bookmarkEnd w:id="117"/>
      <w:bookmarkEnd w:id="118"/>
      <w:bookmarkEnd w:id="119"/>
      <w:bookmarkEnd w:id="120"/>
      <w:bookmarkEnd w:id="121"/>
      <w:bookmarkEnd w:id="122"/>
      <w:bookmarkEnd w:id="123"/>
      <w:bookmarkEnd w:id="124"/>
      <w:bookmarkEnd w:id="188"/>
      <w:bookmarkEnd w:id="189"/>
    </w:p>
    <w:p w:rsidR="00DE5F33" w:rsidRDefault="00DE5F33" w:rsidP="00DE5F33">
      <w:pPr>
        <w:keepNext/>
        <w:keepLines/>
        <w:pBdr>
          <w:top w:val="single" w:sz="4" w:space="1" w:color="auto"/>
          <w:left w:val="single" w:sz="4" w:space="1" w:color="auto"/>
          <w:bottom w:val="single" w:sz="4" w:space="1" w:color="auto"/>
          <w:right w:val="single" w:sz="4" w:space="1" w:color="auto"/>
        </w:pBdr>
      </w:pPr>
      <w:r>
        <w:t>IARC is an international partnership of computer game rating</w:t>
      </w:r>
      <w:r w:rsidR="00B61945">
        <w:t xml:space="preserve"> authorities covering North America, Europe, the UK, Brazil, South Korea and Australia. </w:t>
      </w:r>
      <w:r>
        <w:t>IARC developed a global classification questionnaire tool that enables game developers to classify online and mobile games available in participating storefronts</w:t>
      </w:r>
      <w:r w:rsidR="001C1CBA">
        <w:t xml:space="preserve">, which </w:t>
      </w:r>
      <w:r w:rsidR="001217EF">
        <w:t xml:space="preserve">currently </w:t>
      </w:r>
      <w:r w:rsidR="001C1CBA">
        <w:t xml:space="preserve">include Google Play, the Microsoft Store for Windows and Xbox, Nintendo </w:t>
      </w:r>
      <w:proofErr w:type="spellStart"/>
      <w:r w:rsidR="001C1CBA">
        <w:t>eShop</w:t>
      </w:r>
      <w:proofErr w:type="spellEnd"/>
      <w:r w:rsidR="001C1CBA">
        <w:t xml:space="preserve">, Oculus Store, </w:t>
      </w:r>
      <w:r w:rsidR="00C60DA3">
        <w:t>and the</w:t>
      </w:r>
      <w:r w:rsidR="001C1CBA">
        <w:t xml:space="preserve"> Origin Store</w:t>
      </w:r>
      <w:r>
        <w:t>.</w:t>
      </w:r>
    </w:p>
    <w:p w:rsidR="00DE5F33" w:rsidRDefault="00DE5F33" w:rsidP="00E403B4">
      <w:pPr>
        <w:keepNext/>
        <w:keepLines/>
        <w:pBdr>
          <w:top w:val="single" w:sz="4" w:space="1" w:color="auto"/>
          <w:left w:val="single" w:sz="4" w:space="1" w:color="auto"/>
          <w:bottom w:val="single" w:sz="4" w:space="1" w:color="auto"/>
          <w:right w:val="single" w:sz="4" w:space="1" w:color="auto"/>
        </w:pBdr>
        <w:spacing w:after="120"/>
      </w:pPr>
      <w:r>
        <w:t>The IARC tool process comprises the following:</w:t>
      </w:r>
    </w:p>
    <w:p w:rsidR="00DE5F33" w:rsidRDefault="00854DDD" w:rsidP="008A40B6">
      <w:pPr>
        <w:pStyle w:val="ListParagraph"/>
        <w:keepNext/>
        <w:keepLines/>
        <w:numPr>
          <w:ilvl w:val="0"/>
          <w:numId w:val="5"/>
        </w:numPr>
        <w:pBdr>
          <w:top w:val="single" w:sz="4" w:space="1" w:color="auto"/>
          <w:left w:val="single" w:sz="4" w:space="1" w:color="auto"/>
          <w:bottom w:val="single" w:sz="4" w:space="1" w:color="auto"/>
          <w:right w:val="single" w:sz="4" w:space="1" w:color="auto"/>
        </w:pBdr>
        <w:spacing w:afterLines="200" w:after="480"/>
        <w:ind w:left="567" w:hanging="567"/>
      </w:pPr>
      <w:r>
        <w:t>When a</w:t>
      </w:r>
      <w:r w:rsidR="00DE5F33">
        <w:t xml:space="preserve"> game developer</w:t>
      </w:r>
      <w:r>
        <w:t xml:space="preserve"> wants to make their game available on a participating online storefront, they must</w:t>
      </w:r>
      <w:r w:rsidR="00DE5F33">
        <w:t xml:space="preserve"> answer a questionnaire about the content of the game.</w:t>
      </w:r>
    </w:p>
    <w:p w:rsidR="00DE5F33" w:rsidRDefault="00DE5F33" w:rsidP="008A40B6">
      <w:pPr>
        <w:pStyle w:val="ListParagraph"/>
        <w:keepNext/>
        <w:keepLines/>
        <w:numPr>
          <w:ilvl w:val="0"/>
          <w:numId w:val="5"/>
        </w:numPr>
        <w:pBdr>
          <w:top w:val="single" w:sz="4" w:space="1" w:color="auto"/>
          <w:left w:val="single" w:sz="4" w:space="1" w:color="auto"/>
          <w:bottom w:val="single" w:sz="4" w:space="1" w:color="auto"/>
          <w:right w:val="single" w:sz="4" w:space="1" w:color="auto"/>
        </w:pBdr>
        <w:spacing w:afterLines="200" w:after="480"/>
        <w:ind w:left="567" w:hanging="567"/>
      </w:pPr>
      <w:r>
        <w:t>The IARC tool’s algorithm generates a classification rating tailored to each country’s classification criteria. In Australia, the tool generates an Australian classification</w:t>
      </w:r>
      <w:r w:rsidR="00854DDD">
        <w:t xml:space="preserve"> rating</w:t>
      </w:r>
      <w:r>
        <w:t xml:space="preserve"> and consumer advice for the game</w:t>
      </w:r>
      <w:r w:rsidR="00FE2EC7">
        <w:t>, which are</w:t>
      </w:r>
      <w:r w:rsidR="00854DDD">
        <w:t xml:space="preserve"> displayed on the online storefront and</w:t>
      </w:r>
      <w:r>
        <w:t xml:space="preserve"> </w:t>
      </w:r>
      <w:r w:rsidR="009D08A7">
        <w:t>are</w:t>
      </w:r>
      <w:r w:rsidR="00854DDD">
        <w:t xml:space="preserve"> also searchable on </w:t>
      </w:r>
      <w:r>
        <w:t xml:space="preserve">the National Classification Database at </w:t>
      </w:r>
      <w:hyperlink r:id="rId43" w:history="1">
        <w:r w:rsidRPr="008E6D01">
          <w:rPr>
            <w:rStyle w:val="Hyperlink"/>
          </w:rPr>
          <w:t>www.classification.gov.au</w:t>
        </w:r>
      </w:hyperlink>
      <w:r>
        <w:t>.</w:t>
      </w:r>
    </w:p>
    <w:p w:rsidR="00DE5F33" w:rsidRDefault="00DE5F33" w:rsidP="008A40B6">
      <w:pPr>
        <w:pStyle w:val="ListParagraph"/>
        <w:keepNext/>
        <w:keepLines/>
        <w:numPr>
          <w:ilvl w:val="0"/>
          <w:numId w:val="5"/>
        </w:numPr>
        <w:pBdr>
          <w:top w:val="single" w:sz="4" w:space="1" w:color="auto"/>
          <w:left w:val="single" w:sz="4" w:space="1" w:color="auto"/>
          <w:bottom w:val="single" w:sz="4" w:space="1" w:color="auto"/>
          <w:right w:val="single" w:sz="4" w:space="1" w:color="auto"/>
        </w:pBdr>
        <w:ind w:left="567" w:hanging="567"/>
      </w:pPr>
      <w:r>
        <w:t>IARC authorities in each country</w:t>
      </w:r>
      <w:r w:rsidR="00854DDD">
        <w:t xml:space="preserve"> including Australia</w:t>
      </w:r>
      <w:r>
        <w:t xml:space="preserve"> monitor classification decisions. The </w:t>
      </w:r>
      <w:r w:rsidRPr="00D70687">
        <w:t xml:space="preserve">Board has the power to revoke and replace </w:t>
      </w:r>
      <w:r w:rsidR="001217EF">
        <w:t>a</w:t>
      </w:r>
      <w:r>
        <w:t xml:space="preserve"> </w:t>
      </w:r>
      <w:r w:rsidRPr="00D70687">
        <w:t>decision</w:t>
      </w:r>
      <w:r w:rsidR="001217EF">
        <w:t xml:space="preserve"> made by the IARC tool</w:t>
      </w:r>
      <w:r w:rsidRPr="00D70687">
        <w:t xml:space="preserve">. </w:t>
      </w:r>
      <w:r w:rsidRPr="00E66262">
        <w:t>The</w:t>
      </w:r>
      <w:r>
        <w:t xml:space="preserve"> IARC</w:t>
      </w:r>
      <w:r w:rsidRPr="00E66262">
        <w:t xml:space="preserve"> tool</w:t>
      </w:r>
      <w:r>
        <w:t>’s algorithm</w:t>
      </w:r>
      <w:r w:rsidRPr="00E66262">
        <w:t xml:space="preserve"> is revised periodically based on feedback from members.</w:t>
      </w:r>
    </w:p>
    <w:p w:rsidR="00FF3083" w:rsidRDefault="0088500C" w:rsidP="00DE5F33">
      <w:pPr>
        <w:pBdr>
          <w:top w:val="single" w:sz="4" w:space="1" w:color="auto"/>
          <w:left w:val="single" w:sz="4" w:space="1" w:color="auto"/>
          <w:bottom w:val="single" w:sz="4" w:space="1" w:color="auto"/>
          <w:right w:val="single" w:sz="4" w:space="1" w:color="auto"/>
        </w:pBdr>
        <w:spacing w:after="240"/>
      </w:pPr>
      <w:r>
        <w:t xml:space="preserve">In </w:t>
      </w:r>
      <w:r w:rsidR="003369F8">
        <w:t>2018–19</w:t>
      </w:r>
      <w:r>
        <w:t xml:space="preserve">, the IARC tool was used to classify 317,550 games. </w:t>
      </w:r>
      <w:r w:rsidR="00DE5F33" w:rsidRPr="00733F27">
        <w:t>F</w:t>
      </w:r>
      <w:r w:rsidR="00DE5F33">
        <w:t xml:space="preserve">urther information about the IARC tool is available at </w:t>
      </w:r>
      <w:hyperlink r:id="rId44" w:history="1">
        <w:r w:rsidR="00DE5F33" w:rsidRPr="00350B0C">
          <w:rPr>
            <w:rStyle w:val="Hyperlink"/>
          </w:rPr>
          <w:t>www.globalratings.com</w:t>
        </w:r>
      </w:hyperlink>
      <w:r w:rsidR="00DE5F33">
        <w:t>.</w:t>
      </w:r>
    </w:p>
    <w:p w:rsidR="00DE5F33" w:rsidRPr="007A6416" w:rsidRDefault="00DE5F33" w:rsidP="003369F8">
      <w:pPr>
        <w:pStyle w:val="Heading3"/>
      </w:pPr>
      <w:bookmarkStart w:id="190" w:name="_Toc510795737"/>
      <w:bookmarkStart w:id="191" w:name="_Toc511219459"/>
      <w:bookmarkStart w:id="192" w:name="_Toc513552226"/>
      <w:bookmarkStart w:id="193" w:name="_Toc513650386"/>
      <w:bookmarkStart w:id="194" w:name="_Toc519521228"/>
      <w:bookmarkStart w:id="195" w:name="_Toc519522090"/>
      <w:bookmarkStart w:id="196" w:name="_Toc519523392"/>
      <w:bookmarkStart w:id="197" w:name="_Toc519671135"/>
      <w:bookmarkStart w:id="198" w:name="_Toc520816714"/>
      <w:bookmarkStart w:id="199" w:name="_Toc520817160"/>
      <w:bookmarkStart w:id="200" w:name="_Toc520817664"/>
      <w:bookmarkStart w:id="201" w:name="_Toc8906559"/>
      <w:bookmarkStart w:id="202" w:name="_Toc29289987"/>
      <w:r w:rsidRPr="007A6416">
        <w:lastRenderedPageBreak/>
        <w:t>Netflix tool</w:t>
      </w:r>
      <w:bookmarkEnd w:id="190"/>
      <w:bookmarkEnd w:id="191"/>
      <w:bookmarkEnd w:id="192"/>
      <w:bookmarkEnd w:id="193"/>
      <w:bookmarkEnd w:id="194"/>
      <w:bookmarkEnd w:id="195"/>
      <w:bookmarkEnd w:id="196"/>
      <w:bookmarkEnd w:id="197"/>
      <w:bookmarkEnd w:id="198"/>
      <w:bookmarkEnd w:id="199"/>
      <w:bookmarkEnd w:id="200"/>
      <w:bookmarkEnd w:id="201"/>
      <w:bookmarkEnd w:id="202"/>
    </w:p>
    <w:p w:rsidR="00FF3083" w:rsidRDefault="00DE5F33" w:rsidP="00FF3083">
      <w:pPr>
        <w:pBdr>
          <w:top w:val="single" w:sz="4" w:space="1" w:color="auto"/>
          <w:left w:val="single" w:sz="4" w:space="1" w:color="auto"/>
          <w:bottom w:val="single" w:sz="4" w:space="1" w:color="auto"/>
          <w:right w:val="single" w:sz="4" w:space="1" w:color="auto"/>
        </w:pBdr>
      </w:pPr>
      <w:r>
        <w:t xml:space="preserve">The Netflix tool produces Australian classification ratings and consumer advice for content available on Netflix in Australia that has not already been classified. The Netflix tool makes it faster and easier for content on Netflix to </w:t>
      </w:r>
      <w:r w:rsidR="00DA3852">
        <w:t xml:space="preserve">be classified before </w:t>
      </w:r>
      <w:r w:rsidR="00187F7A">
        <w:t>it is</w:t>
      </w:r>
      <w:r w:rsidR="00DA3852">
        <w:t xml:space="preserve"> made</w:t>
      </w:r>
      <w:r w:rsidR="00F75E7B">
        <w:t xml:space="preserve"> </w:t>
      </w:r>
      <w:r>
        <w:t xml:space="preserve">available to Australian </w:t>
      </w:r>
      <w:r w:rsidR="00187F7A">
        <w:t>consumers</w:t>
      </w:r>
      <w:r>
        <w:t>.</w:t>
      </w:r>
      <w:r w:rsidR="00FF3083" w:rsidRPr="00FF3083">
        <w:t xml:space="preserve"> </w:t>
      </w:r>
      <w:r w:rsidR="00FF3083">
        <w:t>Australia is the first country in the world to use the Netflix tool to generate official classification ratings.</w:t>
      </w:r>
    </w:p>
    <w:p w:rsidR="00DE5F33" w:rsidRDefault="00DE5F33" w:rsidP="00E403B4">
      <w:pPr>
        <w:keepNext/>
        <w:pBdr>
          <w:top w:val="single" w:sz="4" w:space="1" w:color="auto"/>
          <w:left w:val="single" w:sz="4" w:space="1" w:color="auto"/>
          <w:bottom w:val="single" w:sz="4" w:space="1" w:color="auto"/>
          <w:right w:val="single" w:sz="4" w:space="1" w:color="auto"/>
        </w:pBdr>
        <w:spacing w:after="120"/>
      </w:pPr>
      <w:r>
        <w:t>The Netflix tool process comprises the following:</w:t>
      </w:r>
    </w:p>
    <w:p w:rsidR="00DE5F33" w:rsidRDefault="00DE5F33" w:rsidP="008A40B6">
      <w:pPr>
        <w:pStyle w:val="ListParagraph"/>
        <w:keepNext/>
        <w:numPr>
          <w:ilvl w:val="0"/>
          <w:numId w:val="6"/>
        </w:numPr>
        <w:pBdr>
          <w:top w:val="single" w:sz="4" w:space="1" w:color="auto"/>
          <w:left w:val="single" w:sz="4" w:space="1" w:color="auto"/>
          <w:bottom w:val="single" w:sz="4" w:space="1" w:color="auto"/>
          <w:right w:val="single" w:sz="4" w:space="1" w:color="auto"/>
        </w:pBdr>
        <w:ind w:left="567" w:hanging="567"/>
      </w:pPr>
      <w:r>
        <w:t>An algorithm developed by Netflix uses its ‘tagging’ technology (that makes personal recommendations for subscribers) and converts this information into Australian classifications.</w:t>
      </w:r>
    </w:p>
    <w:p w:rsidR="00DE5F33" w:rsidRDefault="00DE5F33" w:rsidP="008A40B6">
      <w:pPr>
        <w:pStyle w:val="ListParagraph"/>
        <w:keepNext/>
        <w:numPr>
          <w:ilvl w:val="0"/>
          <w:numId w:val="6"/>
        </w:numPr>
        <w:pBdr>
          <w:top w:val="single" w:sz="4" w:space="1" w:color="auto"/>
          <w:left w:val="single" w:sz="4" w:space="1" w:color="auto"/>
          <w:bottom w:val="single" w:sz="4" w:space="1" w:color="auto"/>
          <w:right w:val="single" w:sz="4" w:space="1" w:color="auto"/>
        </w:pBdr>
        <w:ind w:left="567" w:hanging="567"/>
      </w:pPr>
      <w:r>
        <w:t xml:space="preserve">Australian classification decisions are published on the Netflix </w:t>
      </w:r>
      <w:r w:rsidR="00DA3852">
        <w:t xml:space="preserve">interface </w:t>
      </w:r>
      <w:r>
        <w:t xml:space="preserve">and the National Classification Database at </w:t>
      </w:r>
      <w:hyperlink r:id="rId45" w:history="1">
        <w:r w:rsidRPr="00B16ABB">
          <w:rPr>
            <w:rStyle w:val="Hyperlink"/>
          </w:rPr>
          <w:t>www.classification.gov.au</w:t>
        </w:r>
      </w:hyperlink>
      <w:r>
        <w:t>.</w:t>
      </w:r>
    </w:p>
    <w:p w:rsidR="00957D11" w:rsidRPr="0088500C" w:rsidRDefault="00DE5F33" w:rsidP="008A40B6">
      <w:pPr>
        <w:pStyle w:val="ListParagraph"/>
        <w:keepNext/>
        <w:numPr>
          <w:ilvl w:val="0"/>
          <w:numId w:val="6"/>
        </w:numPr>
        <w:pBdr>
          <w:top w:val="single" w:sz="4" w:space="1" w:color="auto"/>
          <w:left w:val="single" w:sz="4" w:space="1" w:color="auto"/>
          <w:bottom w:val="single" w:sz="4" w:space="1" w:color="auto"/>
          <w:right w:val="single" w:sz="4" w:space="1" w:color="auto"/>
        </w:pBdr>
        <w:ind w:left="567" w:hanging="567"/>
      </w:pPr>
      <w:r>
        <w:t xml:space="preserve">The Department monitors and </w:t>
      </w:r>
      <w:r w:rsidR="0047331E">
        <w:t>checks</w:t>
      </w:r>
      <w:r>
        <w:t xml:space="preserve"> decisions made by the Netflix tool. </w:t>
      </w:r>
      <w:r w:rsidRPr="00395F7D">
        <w:rPr>
          <w:rFonts w:ascii="Calibri" w:hAnsi="Calibri"/>
        </w:rPr>
        <w:t>The</w:t>
      </w:r>
      <w:r w:rsidR="00686F5E">
        <w:rPr>
          <w:rFonts w:ascii="Calibri" w:hAnsi="Calibri"/>
        </w:rPr>
        <w:t xml:space="preserve"> </w:t>
      </w:r>
      <w:r w:rsidRPr="00395F7D">
        <w:rPr>
          <w:rFonts w:ascii="Calibri" w:hAnsi="Calibri"/>
        </w:rPr>
        <w:t>Board has the power to revoke and replace a decision</w:t>
      </w:r>
      <w:r w:rsidR="001217EF">
        <w:rPr>
          <w:rFonts w:ascii="Calibri" w:hAnsi="Calibri"/>
        </w:rPr>
        <w:t xml:space="preserve"> made using the Netflix tool</w:t>
      </w:r>
      <w:r>
        <w:rPr>
          <w:rFonts w:ascii="Calibri" w:hAnsi="Calibri"/>
        </w:rPr>
        <w:t>.</w:t>
      </w:r>
    </w:p>
    <w:p w:rsidR="0088500C" w:rsidRDefault="0088500C" w:rsidP="0088500C">
      <w:pPr>
        <w:keepNext/>
        <w:pBdr>
          <w:top w:val="single" w:sz="4" w:space="1" w:color="auto"/>
          <w:left w:val="single" w:sz="4" w:space="1" w:color="auto"/>
          <w:bottom w:val="single" w:sz="4" w:space="1" w:color="auto"/>
          <w:right w:val="single" w:sz="4" w:space="1" w:color="auto"/>
        </w:pBdr>
      </w:pPr>
      <w:r>
        <w:t xml:space="preserve">In </w:t>
      </w:r>
      <w:r w:rsidR="003369F8">
        <w:t>2018–19</w:t>
      </w:r>
      <w:r>
        <w:t>, the Netflix tool was used to classify 1,923 items of content available on Netflix in Australia.</w:t>
      </w:r>
    </w:p>
    <w:sectPr w:rsidR="0088500C" w:rsidSect="00E5577B">
      <w:headerReference w:type="default" r:id="rId46"/>
      <w:pgSz w:w="11906" w:h="16838"/>
      <w:pgMar w:top="1560"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04" w:rsidRDefault="00251B04" w:rsidP="005113AA">
      <w:pPr>
        <w:spacing w:after="0"/>
      </w:pPr>
      <w:r>
        <w:separator/>
      </w:r>
    </w:p>
  </w:endnote>
  <w:endnote w:type="continuationSeparator" w:id="0">
    <w:p w:rsidR="00251B04" w:rsidRDefault="00251B04" w:rsidP="005113AA">
      <w:pPr>
        <w:spacing w:after="0"/>
      </w:pPr>
      <w:r>
        <w:continuationSeparator/>
      </w:r>
    </w:p>
  </w:endnote>
  <w:endnote w:type="continuationNotice" w:id="1">
    <w:p w:rsidR="00251B04" w:rsidRDefault="00251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04" w:rsidRDefault="00251B04" w:rsidP="005113AA">
    <w:pPr>
      <w:pStyle w:val="Footer"/>
      <w:tabs>
        <w:tab w:val="clear" w:pos="4513"/>
        <w:tab w:val="clear" w:pos="9026"/>
        <w:tab w:val="center" w:pos="4536"/>
        <w:tab w:val="right" w:pos="9498"/>
      </w:tabs>
      <w:ind w:left="-1440" w:right="-613"/>
    </w:pPr>
    <w:r>
      <w:rPr>
        <w:noProof/>
        <w:lang w:eastAsia="en-AU"/>
      </w:rPr>
      <w:drawing>
        <wp:inline distT="0" distB="0" distL="0" distR="0" wp14:anchorId="233833ED" wp14:editId="3E2CC877">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251B04" w:rsidRPr="0037566A" w:rsidRDefault="00251B04" w:rsidP="005113AA">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rsidR="00251B04" w:rsidRPr="00943D91" w:rsidRDefault="00251B04" w:rsidP="005113AA">
    <w:pPr>
      <w:pStyle w:val="Footer"/>
      <w:tabs>
        <w:tab w:val="clear" w:pos="4513"/>
        <w:tab w:val="clear" w:pos="9026"/>
        <w:tab w:val="center" w:pos="4536"/>
        <w:tab w:val="right" w:pos="9498"/>
      </w:tabs>
      <w:ind w:right="-46"/>
      <w:rPr>
        <w:rStyle w:val="Hyperlink"/>
        <w:color w:val="auto"/>
        <w:sz w:val="18"/>
        <w:szCs w:val="18"/>
      </w:rPr>
    </w:pPr>
    <w:r w:rsidRPr="0065707B">
      <w:rPr>
        <w:sz w:val="18"/>
        <w:szCs w:val="18"/>
      </w:rPr>
      <w:t>Review of Australian classification regulation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0622223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92A31">
          <w:rPr>
            <w:bCs/>
            <w:noProof/>
            <w:sz w:val="18"/>
            <w:szCs w:val="18"/>
          </w:rPr>
          <w:t>20</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92A31">
          <w:rPr>
            <w:bCs/>
            <w:noProof/>
            <w:sz w:val="18"/>
            <w:szCs w:val="18"/>
          </w:rPr>
          <w:t>20</w:t>
        </w:r>
        <w:r w:rsidRPr="0037566A">
          <w:rPr>
            <w:bCs/>
            <w:sz w:val="18"/>
            <w:szCs w:val="18"/>
          </w:rPr>
          <w:fldChar w:fldCharType="end"/>
        </w:r>
      </w:sdtContent>
    </w:sdt>
  </w:p>
  <w:p w:rsidR="00251B04" w:rsidRPr="00007A3E" w:rsidRDefault="00251B04"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04" w:rsidRDefault="00251B04" w:rsidP="0065707B">
    <w:pPr>
      <w:pStyle w:val="Footer"/>
      <w:tabs>
        <w:tab w:val="clear" w:pos="4513"/>
        <w:tab w:val="clear" w:pos="9026"/>
        <w:tab w:val="center" w:pos="4536"/>
        <w:tab w:val="right" w:pos="9498"/>
      </w:tabs>
      <w:ind w:left="-1440" w:right="-613"/>
    </w:pPr>
    <w:r>
      <w:rPr>
        <w:noProof/>
        <w:lang w:eastAsia="en-AU"/>
      </w:rPr>
      <w:drawing>
        <wp:inline distT="0" distB="0" distL="0" distR="0" wp14:anchorId="22653932" wp14:editId="204FFC72">
          <wp:extent cx="7596000" cy="400057"/>
          <wp:effectExtent l="0" t="0" r="5080" b="0"/>
          <wp:docPr id="15" name="Picture 15"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251B04" w:rsidRPr="0037566A" w:rsidRDefault="00251B04" w:rsidP="0065707B">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rsidR="00251B04" w:rsidRPr="00943D91" w:rsidRDefault="00251B04" w:rsidP="0065707B">
    <w:pPr>
      <w:pStyle w:val="Footer"/>
      <w:tabs>
        <w:tab w:val="clear" w:pos="4513"/>
        <w:tab w:val="clear" w:pos="9026"/>
        <w:tab w:val="center" w:pos="4536"/>
        <w:tab w:val="right" w:pos="9498"/>
      </w:tabs>
      <w:ind w:right="-46"/>
      <w:rPr>
        <w:rStyle w:val="Hyperlink"/>
        <w:color w:val="auto"/>
        <w:sz w:val="18"/>
        <w:szCs w:val="18"/>
      </w:rPr>
    </w:pPr>
    <w:r w:rsidRPr="0065707B">
      <w:rPr>
        <w:sz w:val="18"/>
        <w:szCs w:val="18"/>
      </w:rPr>
      <w:t>Review of Australian classification regulation</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98577566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92A31">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92A31">
          <w:rPr>
            <w:bCs/>
            <w:noProof/>
            <w:sz w:val="18"/>
            <w:szCs w:val="18"/>
          </w:rPr>
          <w:t>20</w:t>
        </w:r>
        <w:r w:rsidRPr="0037566A">
          <w:rPr>
            <w:bCs/>
            <w:sz w:val="18"/>
            <w:szCs w:val="18"/>
          </w:rPr>
          <w:fldChar w:fldCharType="end"/>
        </w:r>
      </w:sdtContent>
    </w:sdt>
  </w:p>
  <w:p w:rsidR="00251B04" w:rsidRPr="00007A3E" w:rsidRDefault="00251B04" w:rsidP="0065707B">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04" w:rsidRDefault="00251B04" w:rsidP="005113AA">
      <w:pPr>
        <w:spacing w:after="0"/>
      </w:pPr>
      <w:r>
        <w:separator/>
      </w:r>
    </w:p>
  </w:footnote>
  <w:footnote w:type="continuationSeparator" w:id="0">
    <w:p w:rsidR="00251B04" w:rsidRDefault="00251B04" w:rsidP="005113AA">
      <w:pPr>
        <w:spacing w:after="0"/>
      </w:pPr>
      <w:r>
        <w:continuationSeparator/>
      </w:r>
    </w:p>
  </w:footnote>
  <w:footnote w:type="continuationNotice" w:id="1">
    <w:p w:rsidR="00251B04" w:rsidRDefault="00251B04">
      <w:pPr>
        <w:spacing w:after="0"/>
      </w:pPr>
    </w:p>
  </w:footnote>
  <w:footnote w:id="2">
    <w:p w:rsidR="00251B04" w:rsidRDefault="00251B04">
      <w:pPr>
        <w:pStyle w:val="FootnoteText"/>
      </w:pPr>
      <w:r>
        <w:rPr>
          <w:rStyle w:val="FootnoteReference"/>
        </w:rPr>
        <w:footnoteRef/>
      </w:r>
      <w:r>
        <w:t xml:space="preserve"> </w:t>
      </w:r>
      <w:r>
        <w:rPr>
          <w:sz w:val="16"/>
        </w:rPr>
        <w:t>T</w:t>
      </w:r>
      <w:r w:rsidRPr="00D43641">
        <w:rPr>
          <w:sz w:val="16"/>
        </w:rPr>
        <w:t xml:space="preserve">he definition of ‘film’ </w:t>
      </w:r>
      <w:r>
        <w:rPr>
          <w:sz w:val="16"/>
        </w:rPr>
        <w:t xml:space="preserve">in section 5 of the </w:t>
      </w:r>
      <w:hyperlink r:id="rId1" w:history="1">
        <w:r w:rsidRPr="00497A32">
          <w:rPr>
            <w:rStyle w:val="Hyperlink"/>
            <w:sz w:val="16"/>
          </w:rPr>
          <w:t>Classification Act</w:t>
        </w:r>
      </w:hyperlink>
      <w:r>
        <w:rPr>
          <w:sz w:val="16"/>
        </w:rPr>
        <w:t xml:space="preserve"> is broad and </w:t>
      </w:r>
      <w:r w:rsidRPr="00D43641">
        <w:rPr>
          <w:sz w:val="16"/>
        </w:rPr>
        <w:t xml:space="preserve">covers </w:t>
      </w:r>
      <w:r>
        <w:rPr>
          <w:sz w:val="16"/>
        </w:rPr>
        <w:t>episodic</w:t>
      </w:r>
      <w:r w:rsidRPr="00D43641">
        <w:rPr>
          <w:sz w:val="16"/>
        </w:rPr>
        <w:t xml:space="preserve"> series</w:t>
      </w:r>
      <w:r>
        <w:rPr>
          <w:sz w:val="16"/>
        </w:rPr>
        <w:t xml:space="preserve">. </w:t>
      </w:r>
      <w:r w:rsidRPr="006B3DCF">
        <w:rPr>
          <w:sz w:val="16"/>
        </w:rPr>
        <w:t xml:space="preserve">Section 92 of the Classification Act states </w:t>
      </w:r>
      <w:r>
        <w:rPr>
          <w:sz w:val="16"/>
        </w:rPr>
        <w:t>that it ‘</w:t>
      </w:r>
      <w:r w:rsidRPr="006B3DCF">
        <w:rPr>
          <w:sz w:val="16"/>
        </w:rPr>
        <w:t xml:space="preserve">does not apply to broadcasting services to which the </w:t>
      </w:r>
      <w:r w:rsidRPr="006B3DCF">
        <w:rPr>
          <w:i/>
          <w:iCs/>
          <w:sz w:val="16"/>
        </w:rPr>
        <w:t>Broadcasting Services Act 1992</w:t>
      </w:r>
      <w:r w:rsidRPr="006B3DCF">
        <w:rPr>
          <w:sz w:val="16"/>
        </w:rPr>
        <w:t xml:space="preserve"> applies.’</w:t>
      </w:r>
    </w:p>
  </w:footnote>
  <w:footnote w:id="3">
    <w:p w:rsidR="00251B04" w:rsidRPr="007F0FA5" w:rsidRDefault="00251B04" w:rsidP="0054574D">
      <w:pPr>
        <w:spacing w:after="0"/>
        <w:rPr>
          <w:i/>
          <w:sz w:val="16"/>
          <w:szCs w:val="16"/>
        </w:rPr>
      </w:pPr>
      <w:r w:rsidRPr="00255CFD">
        <w:rPr>
          <w:rStyle w:val="FootnoteReference"/>
          <w:sz w:val="20"/>
          <w:szCs w:val="20"/>
        </w:rPr>
        <w:footnoteRef/>
      </w:r>
      <w:r w:rsidRPr="0020101C">
        <w:rPr>
          <w:sz w:val="16"/>
          <w:szCs w:val="16"/>
        </w:rPr>
        <w:t xml:space="preserve"> </w:t>
      </w:r>
      <w:r>
        <w:rPr>
          <w:sz w:val="16"/>
          <w:szCs w:val="16"/>
        </w:rPr>
        <w:t xml:space="preserve">Links to state and territory legislation are available at </w:t>
      </w:r>
      <w:hyperlink r:id="rId2" w:history="1">
        <w:r w:rsidRPr="000B6650">
          <w:rPr>
            <w:rStyle w:val="Hyperlink"/>
            <w:sz w:val="16"/>
            <w:szCs w:val="16"/>
          </w:rPr>
          <w:t>www.classification.gov.au/about-us/legislation</w:t>
        </w:r>
      </w:hyperlink>
      <w:r>
        <w:rPr>
          <w:sz w:val="16"/>
          <w:szCs w:val="16"/>
        </w:rPr>
        <w:t xml:space="preserve">. </w:t>
      </w:r>
    </w:p>
  </w:footnote>
  <w:footnote w:id="4">
    <w:p w:rsidR="00251B04" w:rsidRPr="006E47D3" w:rsidRDefault="00251B04">
      <w:pPr>
        <w:pStyle w:val="FootnoteText"/>
        <w:rPr>
          <w:sz w:val="16"/>
        </w:rPr>
      </w:pPr>
      <w:r>
        <w:rPr>
          <w:rStyle w:val="FootnoteReference"/>
        </w:rPr>
        <w:footnoteRef/>
      </w:r>
      <w:r>
        <w:t xml:space="preserve"> </w:t>
      </w:r>
      <w:r>
        <w:rPr>
          <w:sz w:val="16"/>
        </w:rPr>
        <w:t xml:space="preserve">Classification Board Annual Reports are available at </w:t>
      </w:r>
      <w:hyperlink r:id="rId3" w:history="1">
        <w:r w:rsidRPr="000B6650">
          <w:rPr>
            <w:rStyle w:val="Hyperlink"/>
            <w:sz w:val="16"/>
          </w:rPr>
          <w:t>www.classification.gov.au/about-us/corporate-reporting/annual-reports</w:t>
        </w:r>
      </w:hyperlink>
      <w:r>
        <w:rPr>
          <w:sz w:val="16"/>
        </w:rPr>
        <w:t xml:space="preserve">. </w:t>
      </w:r>
    </w:p>
  </w:footnote>
  <w:footnote w:id="5">
    <w:p w:rsidR="00251B04" w:rsidRDefault="00251B04">
      <w:pPr>
        <w:pStyle w:val="FootnoteText"/>
      </w:pPr>
      <w:r>
        <w:rPr>
          <w:rStyle w:val="FootnoteReference"/>
        </w:rPr>
        <w:footnoteRef/>
      </w:r>
      <w:r>
        <w:t xml:space="preserve"> </w:t>
      </w:r>
      <w:r w:rsidRPr="00F41984">
        <w:rPr>
          <w:sz w:val="16"/>
        </w:rPr>
        <w:t xml:space="preserve">Fees are published in the </w:t>
      </w:r>
      <w:hyperlink r:id="rId4" w:history="1">
        <w:r w:rsidRPr="004508C4">
          <w:rPr>
            <w:rStyle w:val="Hyperlink"/>
            <w:sz w:val="16"/>
          </w:rPr>
          <w:t>Classification (Publications, Films and Computer Games) Regulations 2005</w:t>
        </w:r>
      </w:hyperlink>
      <w:r w:rsidRPr="00F41984">
        <w:rPr>
          <w:sz w:val="16"/>
        </w:rPr>
        <w:t>.</w:t>
      </w:r>
    </w:p>
  </w:footnote>
  <w:footnote w:id="6">
    <w:p w:rsidR="00251B04" w:rsidRDefault="00251B04" w:rsidP="00267C26">
      <w:pPr>
        <w:pStyle w:val="FootnoteText"/>
      </w:pPr>
      <w:r>
        <w:rPr>
          <w:rStyle w:val="FootnoteReference"/>
        </w:rPr>
        <w:footnoteRef/>
      </w:r>
      <w:r>
        <w:t xml:space="preserve"> </w:t>
      </w:r>
      <w:r>
        <w:rPr>
          <w:sz w:val="16"/>
        </w:rPr>
        <w:t xml:space="preserve">Sub-section 123(3) of the </w:t>
      </w:r>
      <w:hyperlink r:id="rId5" w:history="1">
        <w:r w:rsidRPr="002A6B39">
          <w:rPr>
            <w:rStyle w:val="Hyperlink"/>
            <w:sz w:val="16"/>
          </w:rPr>
          <w:t>BSA</w:t>
        </w:r>
      </w:hyperlink>
      <w:r>
        <w:rPr>
          <w:sz w:val="16"/>
        </w:rPr>
        <w:t>.</w:t>
      </w:r>
    </w:p>
  </w:footnote>
  <w:footnote w:id="7">
    <w:p w:rsidR="00251B04" w:rsidRDefault="00251B04" w:rsidP="00267C26">
      <w:pPr>
        <w:pStyle w:val="FootnoteText"/>
      </w:pPr>
      <w:r>
        <w:rPr>
          <w:rStyle w:val="FootnoteReference"/>
        </w:rPr>
        <w:footnoteRef/>
      </w:r>
      <w:r>
        <w:t xml:space="preserve"> </w:t>
      </w:r>
      <w:r>
        <w:rPr>
          <w:sz w:val="16"/>
        </w:rPr>
        <w:t xml:space="preserve">Sub-section 123(4) of the </w:t>
      </w:r>
      <w:hyperlink r:id="rId6" w:history="1">
        <w:r w:rsidRPr="002A6B39">
          <w:rPr>
            <w:rStyle w:val="Hyperlink"/>
            <w:sz w:val="16"/>
          </w:rPr>
          <w:t>BSA</w:t>
        </w:r>
      </w:hyperlink>
      <w:r>
        <w:rPr>
          <w:sz w:val="16"/>
        </w:rPr>
        <w:t>.</w:t>
      </w:r>
    </w:p>
  </w:footnote>
  <w:footnote w:id="8">
    <w:p w:rsidR="00251B04" w:rsidRDefault="00251B04" w:rsidP="005E31BE">
      <w:pPr>
        <w:pStyle w:val="FootnoteText"/>
      </w:pPr>
      <w:r>
        <w:rPr>
          <w:rStyle w:val="FootnoteReference"/>
        </w:rPr>
        <w:footnoteRef/>
      </w:r>
      <w:r>
        <w:t xml:space="preserve"> </w:t>
      </w:r>
      <w:r>
        <w:rPr>
          <w:sz w:val="16"/>
        </w:rPr>
        <w:t xml:space="preserve">Australian Law Reform Commission (ALRC), </w:t>
      </w:r>
      <w:hyperlink r:id="rId7" w:history="1">
        <w:r w:rsidRPr="00CD2778">
          <w:rPr>
            <w:rStyle w:val="Hyperlink"/>
            <w:i/>
            <w:sz w:val="16"/>
          </w:rPr>
          <w:t>Classification: Content Regulation and Convergent Media</w:t>
        </w:r>
      </w:hyperlink>
      <w:r>
        <w:rPr>
          <w:i/>
          <w:sz w:val="16"/>
        </w:rPr>
        <w:t xml:space="preserve"> </w:t>
      </w:r>
      <w:r>
        <w:rPr>
          <w:sz w:val="16"/>
        </w:rPr>
        <w:t>(2012), page 22.</w:t>
      </w:r>
    </w:p>
  </w:footnote>
  <w:footnote w:id="9">
    <w:p w:rsidR="00251B04" w:rsidRDefault="00251B04">
      <w:pPr>
        <w:pStyle w:val="FootnoteText"/>
      </w:pPr>
      <w:r>
        <w:rPr>
          <w:rStyle w:val="FootnoteReference"/>
        </w:rPr>
        <w:footnoteRef/>
      </w:r>
      <w:r>
        <w:t xml:space="preserve"> </w:t>
      </w:r>
      <w:r w:rsidRPr="004B5678">
        <w:rPr>
          <w:sz w:val="16"/>
          <w:szCs w:val="16"/>
        </w:rPr>
        <w:t xml:space="preserve">ALRC, </w:t>
      </w:r>
      <w:hyperlink r:id="rId8" w:history="1">
        <w:r w:rsidRPr="004B5678">
          <w:rPr>
            <w:rStyle w:val="Hyperlink"/>
            <w:sz w:val="16"/>
            <w:szCs w:val="16"/>
          </w:rPr>
          <w:t>Classification review implementation</w:t>
        </w:r>
      </w:hyperlink>
      <w:r w:rsidRPr="004B5678">
        <w:rPr>
          <w:sz w:val="16"/>
          <w:szCs w:val="16"/>
        </w:rPr>
        <w:t>, 2013.</w:t>
      </w:r>
    </w:p>
  </w:footnote>
  <w:footnote w:id="10">
    <w:p w:rsidR="00251B04" w:rsidRDefault="00251B04" w:rsidP="005E31BE">
      <w:pPr>
        <w:pStyle w:val="FootnoteText"/>
      </w:pPr>
      <w:r>
        <w:rPr>
          <w:rStyle w:val="FootnoteReference"/>
        </w:rPr>
        <w:footnoteRef/>
      </w:r>
      <w:r>
        <w:t xml:space="preserve"> </w:t>
      </w:r>
      <w:r>
        <w:rPr>
          <w:sz w:val="16"/>
          <w:szCs w:val="16"/>
        </w:rPr>
        <w:t>Convergence Review Committee</w:t>
      </w:r>
      <w:r w:rsidRPr="002F47C8">
        <w:rPr>
          <w:sz w:val="16"/>
          <w:szCs w:val="16"/>
        </w:rPr>
        <w:t xml:space="preserve">, </w:t>
      </w:r>
      <w:hyperlink r:id="rId9" w:history="1">
        <w:r w:rsidRPr="002F47C8">
          <w:rPr>
            <w:rStyle w:val="Hyperlink"/>
            <w:i/>
            <w:sz w:val="16"/>
            <w:szCs w:val="16"/>
          </w:rPr>
          <w:t xml:space="preserve">Convergence </w:t>
        </w:r>
        <w:r>
          <w:rPr>
            <w:rStyle w:val="Hyperlink"/>
            <w:i/>
            <w:sz w:val="16"/>
            <w:szCs w:val="16"/>
          </w:rPr>
          <w:t>r</w:t>
        </w:r>
        <w:r w:rsidRPr="002F47C8">
          <w:rPr>
            <w:rStyle w:val="Hyperlink"/>
            <w:i/>
            <w:sz w:val="16"/>
            <w:szCs w:val="16"/>
          </w:rPr>
          <w:t xml:space="preserve">eview </w:t>
        </w:r>
        <w:r>
          <w:rPr>
            <w:rStyle w:val="Hyperlink"/>
            <w:i/>
            <w:sz w:val="16"/>
            <w:szCs w:val="16"/>
          </w:rPr>
          <w:t>f</w:t>
        </w:r>
        <w:r w:rsidRPr="002F47C8">
          <w:rPr>
            <w:rStyle w:val="Hyperlink"/>
            <w:i/>
            <w:sz w:val="16"/>
            <w:szCs w:val="16"/>
          </w:rPr>
          <w:t xml:space="preserve">inal </w:t>
        </w:r>
        <w:r>
          <w:rPr>
            <w:rStyle w:val="Hyperlink"/>
            <w:i/>
            <w:sz w:val="16"/>
            <w:szCs w:val="16"/>
          </w:rPr>
          <w:t>r</w:t>
        </w:r>
        <w:r w:rsidRPr="002F47C8">
          <w:rPr>
            <w:rStyle w:val="Hyperlink"/>
            <w:i/>
            <w:sz w:val="16"/>
            <w:szCs w:val="16"/>
          </w:rPr>
          <w:t>eport</w:t>
        </w:r>
      </w:hyperlink>
      <w:r w:rsidRPr="002F47C8">
        <w:rPr>
          <w:sz w:val="16"/>
          <w:szCs w:val="16"/>
        </w:rPr>
        <w:t xml:space="preserve"> </w:t>
      </w:r>
      <w:r w:rsidRPr="002F47C8" w:rsidDel="00057260">
        <w:rPr>
          <w:sz w:val="16"/>
          <w:szCs w:val="16"/>
        </w:rPr>
        <w:t>(</w:t>
      </w:r>
      <w:r w:rsidRPr="002F47C8">
        <w:rPr>
          <w:sz w:val="16"/>
          <w:szCs w:val="16"/>
        </w:rPr>
        <w:t>2012), pages</w:t>
      </w:r>
      <w:r>
        <w:rPr>
          <w:sz w:val="16"/>
          <w:szCs w:val="16"/>
        </w:rPr>
        <w:t xml:space="preserve"> 39—</w:t>
      </w:r>
      <w:r w:rsidRPr="00403999">
        <w:rPr>
          <w:sz w:val="16"/>
          <w:szCs w:val="16"/>
        </w:rPr>
        <w:t>47.</w:t>
      </w:r>
    </w:p>
  </w:footnote>
  <w:footnote w:id="11">
    <w:p w:rsidR="00251B04" w:rsidRPr="004773D1" w:rsidRDefault="00251B04" w:rsidP="005E31BE">
      <w:pPr>
        <w:pStyle w:val="FootnoteText"/>
        <w:rPr>
          <w:sz w:val="16"/>
          <w:szCs w:val="16"/>
        </w:rPr>
      </w:pPr>
      <w:r>
        <w:rPr>
          <w:rStyle w:val="FootnoteReference"/>
        </w:rPr>
        <w:footnoteRef/>
      </w:r>
      <w:r>
        <w:t xml:space="preserve"> </w:t>
      </w:r>
      <w:r w:rsidRPr="00457006">
        <w:rPr>
          <w:sz w:val="16"/>
          <w:szCs w:val="16"/>
        </w:rPr>
        <w:t xml:space="preserve">Department of Communications and the Arts, </w:t>
      </w:r>
      <w:hyperlink r:id="rId10" w:history="1">
        <w:r w:rsidRPr="006E376D">
          <w:rPr>
            <w:rStyle w:val="Hyperlink"/>
            <w:i/>
            <w:sz w:val="16"/>
            <w:szCs w:val="16"/>
          </w:rPr>
          <w:t xml:space="preserve">Review of the </w:t>
        </w:r>
        <w:r>
          <w:rPr>
            <w:rStyle w:val="Hyperlink"/>
            <w:i/>
            <w:sz w:val="16"/>
            <w:szCs w:val="16"/>
          </w:rPr>
          <w:t>ACMA—</w:t>
        </w:r>
        <w:r w:rsidRPr="006E376D">
          <w:rPr>
            <w:rStyle w:val="Hyperlink"/>
            <w:i/>
            <w:sz w:val="16"/>
            <w:szCs w:val="16"/>
          </w:rPr>
          <w:t>Final Report</w:t>
        </w:r>
      </w:hyperlink>
      <w:r>
        <w:rPr>
          <w:sz w:val="16"/>
          <w:szCs w:val="16"/>
        </w:rPr>
        <w:t xml:space="preserve"> (</w:t>
      </w:r>
      <w:r w:rsidRPr="00457006">
        <w:rPr>
          <w:sz w:val="16"/>
          <w:szCs w:val="16"/>
        </w:rPr>
        <w:t>2016</w:t>
      </w:r>
      <w:r>
        <w:rPr>
          <w:sz w:val="16"/>
          <w:szCs w:val="16"/>
        </w:rPr>
        <w:t>), pages 43—45.</w:t>
      </w:r>
    </w:p>
  </w:footnote>
  <w:footnote w:id="12">
    <w:p w:rsidR="00251B04" w:rsidRDefault="00251B04" w:rsidP="00C21FAA">
      <w:pPr>
        <w:pStyle w:val="FootnoteText"/>
      </w:pPr>
      <w:r>
        <w:rPr>
          <w:rStyle w:val="FootnoteReference"/>
        </w:rPr>
        <w:footnoteRef/>
      </w:r>
      <w:r>
        <w:t xml:space="preserve"> </w:t>
      </w:r>
      <w:proofErr w:type="spellStart"/>
      <w:r>
        <w:rPr>
          <w:sz w:val="16"/>
          <w:szCs w:val="16"/>
        </w:rPr>
        <w:t>Lynelle</w:t>
      </w:r>
      <w:proofErr w:type="spellEnd"/>
      <w:r>
        <w:rPr>
          <w:sz w:val="16"/>
          <w:szCs w:val="16"/>
        </w:rPr>
        <w:t xml:space="preserve"> Briggs AO (prepared for the Commonwealth of Australia), </w:t>
      </w:r>
      <w:hyperlink r:id="rId11" w:history="1">
        <w:r>
          <w:rPr>
            <w:rStyle w:val="Hyperlink"/>
            <w:sz w:val="16"/>
            <w:szCs w:val="16"/>
            <w:lang w:val="en"/>
          </w:rPr>
          <w:t>Report of the Statutory Review of the Enhancing Online Safety Act 2015 and the Review of Schedules 5 and 7 to the Broadcasting Services Act 1992 (Online Content Scheme) (2018)</w:t>
        </w:r>
      </w:hyperlink>
      <w:r>
        <w:rPr>
          <w:rStyle w:val="Hyperlink"/>
          <w:sz w:val="16"/>
          <w:szCs w:val="16"/>
          <w:lang w:val="en"/>
        </w:rPr>
        <w:t xml:space="preserve"> </w:t>
      </w:r>
      <w:r>
        <w:rPr>
          <w:sz w:val="16"/>
        </w:rPr>
        <w:t>p15-16.</w:t>
      </w:r>
    </w:p>
  </w:footnote>
  <w:footnote w:id="13">
    <w:p w:rsidR="00251B04" w:rsidRPr="00E16A1F" w:rsidRDefault="00251B04">
      <w:pPr>
        <w:pStyle w:val="FootnoteText"/>
        <w:rPr>
          <w:sz w:val="16"/>
          <w:szCs w:val="16"/>
        </w:rPr>
      </w:pPr>
      <w:r w:rsidRPr="00E16A1F">
        <w:rPr>
          <w:rStyle w:val="FootnoteReference"/>
        </w:rPr>
        <w:footnoteRef/>
      </w:r>
      <w:r w:rsidRPr="00E16A1F">
        <w:rPr>
          <w:sz w:val="16"/>
          <w:szCs w:val="16"/>
        </w:rPr>
        <w:t xml:space="preserve"> ACCC, </w:t>
      </w:r>
      <w:hyperlink r:id="rId12" w:history="1">
        <w:r w:rsidRPr="00E16A1F">
          <w:rPr>
            <w:rStyle w:val="Hyperlink"/>
            <w:sz w:val="16"/>
            <w:szCs w:val="16"/>
          </w:rPr>
          <w:t>Digital Platforms Inquiry final report</w:t>
        </w:r>
      </w:hyperlink>
      <w:r w:rsidRPr="00E16A1F">
        <w:rPr>
          <w:sz w:val="16"/>
          <w:szCs w:val="16"/>
        </w:rPr>
        <w:t xml:space="preserve"> (2019), page 199.</w:t>
      </w:r>
    </w:p>
  </w:footnote>
  <w:footnote w:id="14">
    <w:p w:rsidR="00251B04" w:rsidRDefault="00251B04" w:rsidP="00A45FA3">
      <w:pPr>
        <w:pStyle w:val="FootnoteText"/>
      </w:pPr>
      <w:r>
        <w:rPr>
          <w:rStyle w:val="FootnoteReference"/>
        </w:rPr>
        <w:footnoteRef/>
      </w:r>
      <w:r>
        <w:t xml:space="preserve"> </w:t>
      </w:r>
      <w:r>
        <w:rPr>
          <w:sz w:val="16"/>
          <w:szCs w:val="16"/>
        </w:rPr>
        <w:t>Commercial broadcasters of free-to-air TV must meet certain quotas for the number of hours of C and P programs. C and P classifications</w:t>
      </w:r>
      <w:r w:rsidRPr="00304B85">
        <w:rPr>
          <w:sz w:val="16"/>
          <w:szCs w:val="16"/>
        </w:rPr>
        <w:t xml:space="preserve"> are </w:t>
      </w:r>
      <w:r>
        <w:rPr>
          <w:sz w:val="16"/>
          <w:szCs w:val="16"/>
        </w:rPr>
        <w:t>given</w:t>
      </w:r>
      <w:r w:rsidRPr="00304B85">
        <w:rPr>
          <w:sz w:val="16"/>
          <w:szCs w:val="16"/>
        </w:rPr>
        <w:t xml:space="preserve"> to programs that meet strict suitability criteria from the </w:t>
      </w:r>
      <w:hyperlink r:id="rId13" w:history="1">
        <w:r w:rsidRPr="00304B85">
          <w:rPr>
            <w:rStyle w:val="Hyperlink"/>
            <w:sz w:val="16"/>
            <w:szCs w:val="16"/>
          </w:rPr>
          <w:t>Children’s Television Standards</w:t>
        </w:r>
      </w:hyperlink>
      <w:r>
        <w:rPr>
          <w:sz w:val="16"/>
          <w:szCs w:val="16"/>
        </w:rPr>
        <w:t xml:space="preserve">, under subsection 122 (1) of the BSA. Among other things, suitability criteria includes that the program is: well produced using sufficient resources to ensure a high standard of script, cast, direction, editing, shooting, sound and other production elements; and enhances the understanding and experience of Australian children of school age (for C) or Australian preschool children (for P). All </w:t>
      </w:r>
      <w:r w:rsidRPr="00304B85">
        <w:rPr>
          <w:sz w:val="16"/>
          <w:szCs w:val="16"/>
        </w:rPr>
        <w:t>C</w:t>
      </w:r>
      <w:r>
        <w:rPr>
          <w:sz w:val="16"/>
          <w:szCs w:val="16"/>
        </w:rPr>
        <w:t xml:space="preserve"> and P</w:t>
      </w:r>
      <w:r w:rsidRPr="00304B85">
        <w:rPr>
          <w:sz w:val="16"/>
          <w:szCs w:val="16"/>
        </w:rPr>
        <w:t xml:space="preserve"> programs are classified by the ACMA before being broadcast on free-to-air television.</w:t>
      </w:r>
      <w:r>
        <w:rPr>
          <w:sz w:val="16"/>
          <w:szCs w:val="16"/>
        </w:rPr>
        <w:t xml:space="preserve"> More information is at: </w:t>
      </w:r>
      <w:hyperlink r:id="rId14" w:history="1">
        <w:r w:rsidRPr="00A82AEC">
          <w:rPr>
            <w:rStyle w:val="Hyperlink"/>
            <w:sz w:val="16"/>
            <w:szCs w:val="16"/>
          </w:rPr>
          <w:t>www.acma.gov.au/childrens-tv-programs</w:t>
        </w:r>
      </w:hyperlink>
    </w:p>
  </w:footnote>
  <w:footnote w:id="15">
    <w:p w:rsidR="00251B04" w:rsidRDefault="00251B04" w:rsidP="00330DE0">
      <w:pPr>
        <w:spacing w:after="120" w:line="254" w:lineRule="auto"/>
      </w:pPr>
      <w:r>
        <w:rPr>
          <w:rStyle w:val="FootnoteReference"/>
          <w:sz w:val="20"/>
          <w:szCs w:val="20"/>
        </w:rPr>
        <w:footnoteRef/>
      </w:r>
      <w:r>
        <w:t xml:space="preserve"> </w:t>
      </w:r>
      <w:r>
        <w:rPr>
          <w:sz w:val="16"/>
          <w:szCs w:val="16"/>
        </w:rPr>
        <w:t xml:space="preserve">Separate to the Department’s research on loot boxes, in 2018 the Senate Environment and Communications References Committee held an inquiry on ‘Gaming micro-transactions for chance-based items’. Stakeholder submissions, the Committee’s report and the Government response are available at: </w:t>
      </w:r>
      <w:hyperlink r:id="rId15" w:history="1">
        <w:r>
          <w:rPr>
            <w:rStyle w:val="Hyperlink"/>
            <w:sz w:val="16"/>
            <w:szCs w:val="16"/>
          </w:rPr>
          <w:t>www.aph.gov.au/Parliamentary_Business/Committees/Senate/Environment_and_Communications/Gamingmicro-transactions/Report</w:t>
        </w:r>
      </w:hyperlink>
      <w:r>
        <w:t xml:space="preserve">  </w:t>
      </w:r>
    </w:p>
  </w:footnote>
  <w:footnote w:id="16">
    <w:p w:rsidR="00251B04" w:rsidRPr="004E3581" w:rsidRDefault="00251B04" w:rsidP="004E3581">
      <w:pPr>
        <w:pStyle w:val="paragraph"/>
        <w:shd w:val="clear" w:color="auto" w:fill="FFFFFF"/>
        <w:spacing w:before="0" w:beforeAutospacing="0" w:after="0" w:afterAutospacing="0"/>
        <w:rPr>
          <w:rFonts w:asciiTheme="minorHAnsi" w:hAnsiTheme="minorHAnsi"/>
          <w:sz w:val="22"/>
          <w:szCs w:val="22"/>
          <w:lang w:val="en-US"/>
        </w:rPr>
      </w:pPr>
      <w:r w:rsidRPr="00304B85">
        <w:rPr>
          <w:rStyle w:val="FootnoteReference"/>
          <w:rFonts w:ascii="Calibri" w:hAnsi="Calibri" w:cs="Calibri"/>
          <w:sz w:val="20"/>
          <w:szCs w:val="20"/>
        </w:rPr>
        <w:footnoteRef/>
      </w:r>
      <w:r w:rsidRPr="00304B85">
        <w:rPr>
          <w:rFonts w:ascii="Calibri" w:hAnsi="Calibri" w:cs="Calibri"/>
          <w:sz w:val="16"/>
          <w:szCs w:val="16"/>
        </w:rPr>
        <w:t xml:space="preserve"> </w:t>
      </w:r>
      <w:r w:rsidRPr="005743BB">
        <w:rPr>
          <w:rFonts w:asciiTheme="minorHAnsi" w:hAnsiTheme="minorHAnsi" w:cstheme="minorHAnsi"/>
          <w:sz w:val="16"/>
          <w:szCs w:val="16"/>
        </w:rPr>
        <w:t xml:space="preserve">Links to codes of practice are at: </w:t>
      </w:r>
      <w:hyperlink r:id="rId16" w:history="1">
        <w:r w:rsidRPr="005743BB">
          <w:rPr>
            <w:rStyle w:val="Hyperlink"/>
            <w:rFonts w:asciiTheme="minorHAnsi" w:hAnsiTheme="minorHAnsi" w:cstheme="minorHAnsi"/>
            <w:sz w:val="16"/>
            <w:szCs w:val="16"/>
            <w:lang w:val="en-US"/>
          </w:rPr>
          <w:t>www.acma.gov.au/industry-codes-practice</w:t>
        </w:r>
      </w:hyperlink>
      <w:r>
        <w:rPr>
          <w:rStyle w:val="Hyperlink"/>
          <w:rFonts w:asciiTheme="minorHAnsi" w:hAnsiTheme="minorHAnsi" w:cstheme="minorHAnsi"/>
          <w:sz w:val="16"/>
          <w:szCs w:val="16"/>
          <w:lang w:val="en-US"/>
        </w:rPr>
        <w:t>.</w:t>
      </w:r>
    </w:p>
  </w:footnote>
  <w:footnote w:id="17">
    <w:p w:rsidR="00251B04" w:rsidRPr="00DA7992" w:rsidRDefault="00251B04">
      <w:pPr>
        <w:pStyle w:val="FootnoteText"/>
        <w:rPr>
          <w:sz w:val="16"/>
        </w:rPr>
      </w:pPr>
      <w:r>
        <w:rPr>
          <w:rStyle w:val="FootnoteReference"/>
        </w:rPr>
        <w:footnoteRef/>
      </w:r>
      <w:r>
        <w:t xml:space="preserve"> </w:t>
      </w:r>
      <w:hyperlink r:id="rId17" w:history="1">
        <w:r w:rsidRPr="004B00B4">
          <w:rPr>
            <w:rStyle w:val="Hyperlink"/>
            <w:sz w:val="16"/>
          </w:rPr>
          <w:t>BSA, Schedule 2, Paragraph 10(1)(g)</w:t>
        </w:r>
      </w:hyperlink>
      <w:r>
        <w:rPr>
          <w:sz w:val="16"/>
        </w:rPr>
        <w:t xml:space="preserve"> </w:t>
      </w:r>
    </w:p>
  </w:footnote>
  <w:footnote w:id="18">
    <w:p w:rsidR="00251B04" w:rsidRDefault="00251B04" w:rsidP="0070502D">
      <w:pPr>
        <w:pStyle w:val="FootnoteText"/>
      </w:pPr>
      <w:r w:rsidRPr="002A6C01">
        <w:rPr>
          <w:rStyle w:val="FootnoteReference"/>
        </w:rPr>
        <w:footnoteRef/>
      </w:r>
      <w:r w:rsidRPr="002A6C01">
        <w:rPr>
          <w:sz w:val="16"/>
          <w:szCs w:val="16"/>
        </w:rPr>
        <w:t xml:space="preserve"> </w:t>
      </w:r>
      <w:hyperlink r:id="rId18" w:history="1">
        <w:r w:rsidRPr="00B70F61">
          <w:rPr>
            <w:rStyle w:val="Hyperlink"/>
            <w:sz w:val="16"/>
            <w:szCs w:val="16"/>
          </w:rPr>
          <w:t xml:space="preserve">BSA, Schedule 7, </w:t>
        </w:r>
        <w:r>
          <w:rPr>
            <w:rStyle w:val="Hyperlink"/>
            <w:sz w:val="16"/>
            <w:szCs w:val="16"/>
          </w:rPr>
          <w:t>clause</w:t>
        </w:r>
        <w:r w:rsidRPr="00B70F61">
          <w:rPr>
            <w:rStyle w:val="Hyperlink"/>
            <w:sz w:val="16"/>
            <w:szCs w:val="16"/>
          </w:rPr>
          <w:t xml:space="preserve"> 21</w:t>
        </w:r>
      </w:hyperlink>
      <w:r>
        <w:rPr>
          <w:sz w:val="16"/>
          <w:szCs w:val="16"/>
        </w:rPr>
        <w:t>. Only certain MA 15+ content is prohibited under the BSA, including content that: is n</w:t>
      </w:r>
      <w:r w:rsidRPr="00165F78">
        <w:rPr>
          <w:sz w:val="16"/>
          <w:szCs w:val="16"/>
        </w:rPr>
        <w:t>ot comprised of text and/or still images</w:t>
      </w:r>
      <w:r>
        <w:rPr>
          <w:sz w:val="16"/>
          <w:szCs w:val="16"/>
        </w:rPr>
        <w:t xml:space="preserve"> and is p</w:t>
      </w:r>
      <w:r w:rsidRPr="007B4704">
        <w:rPr>
          <w:sz w:val="16"/>
          <w:szCs w:val="16"/>
        </w:rPr>
        <w:t>rovided on payment of a fee</w:t>
      </w:r>
      <w:r>
        <w:rPr>
          <w:sz w:val="16"/>
          <w:szCs w:val="16"/>
        </w:rPr>
        <w:t xml:space="preserve"> and is p</w:t>
      </w:r>
      <w:r w:rsidRPr="007B4704">
        <w:rPr>
          <w:sz w:val="16"/>
          <w:szCs w:val="16"/>
        </w:rPr>
        <w:t>rovided for a profit</w:t>
      </w:r>
      <w:r>
        <w:rPr>
          <w:sz w:val="16"/>
          <w:szCs w:val="16"/>
        </w:rPr>
        <w:t xml:space="preserve">, or is provided by </w:t>
      </w:r>
      <w:proofErr w:type="gramStart"/>
      <w:r>
        <w:rPr>
          <w:sz w:val="16"/>
          <w:szCs w:val="16"/>
        </w:rPr>
        <w:t>a</w:t>
      </w:r>
      <w:proofErr w:type="gramEnd"/>
      <w:r>
        <w:rPr>
          <w:sz w:val="16"/>
          <w:szCs w:val="16"/>
        </w:rPr>
        <w:t xml:space="preserve"> </w:t>
      </w:r>
      <w:proofErr w:type="spellStart"/>
      <w:r w:rsidRPr="007B4704">
        <w:rPr>
          <w:sz w:val="16"/>
          <w:szCs w:val="16"/>
        </w:rPr>
        <w:t>a</w:t>
      </w:r>
      <w:proofErr w:type="spellEnd"/>
      <w:r w:rsidRPr="007B4704">
        <w:rPr>
          <w:sz w:val="16"/>
          <w:szCs w:val="16"/>
        </w:rPr>
        <w:t xml:space="preserve"> mobile premium service</w:t>
      </w:r>
      <w:r>
        <w:rPr>
          <w:sz w:val="16"/>
          <w:szCs w:val="16"/>
        </w:rPr>
        <w:t xml:space="preserve">. </w:t>
      </w:r>
    </w:p>
  </w:footnote>
  <w:footnote w:id="19">
    <w:p w:rsidR="00251B04" w:rsidRDefault="00251B04">
      <w:pPr>
        <w:pStyle w:val="FootnoteText"/>
      </w:pPr>
      <w:r>
        <w:rPr>
          <w:rStyle w:val="FootnoteReference"/>
        </w:rPr>
        <w:footnoteRef/>
      </w:r>
      <w:r>
        <w:t xml:space="preserve"> </w:t>
      </w:r>
      <w:r w:rsidRPr="00B61945">
        <w:rPr>
          <w:sz w:val="16"/>
        </w:rPr>
        <w:t>Refer to Part 1A of the Classification Act.</w:t>
      </w:r>
    </w:p>
  </w:footnote>
  <w:footnote w:id="20">
    <w:p w:rsidR="00251B04" w:rsidRDefault="00251B04">
      <w:pPr>
        <w:pStyle w:val="FootnoteText"/>
      </w:pPr>
      <w:r>
        <w:rPr>
          <w:rStyle w:val="FootnoteReference"/>
        </w:rPr>
        <w:footnoteRef/>
      </w:r>
      <w:r>
        <w:t xml:space="preserve"> </w:t>
      </w:r>
      <w:r w:rsidRPr="00F23C36">
        <w:rPr>
          <w:sz w:val="16"/>
        </w:rPr>
        <w:t xml:space="preserve">Refer to s 5 of the Classification Act: ‘Film includes a cinematograph film, a slide, video tape and video disc </w:t>
      </w:r>
      <w:r w:rsidRPr="00F23C36">
        <w:rPr>
          <w:b/>
          <w:bCs/>
          <w:sz w:val="16"/>
        </w:rPr>
        <w:t xml:space="preserve">and any other form of recording from which a visual image can be produced </w:t>
      </w:r>
      <w:r w:rsidRPr="00F23C36">
        <w:rPr>
          <w:sz w:val="16"/>
        </w:rPr>
        <w:t>including a computer generated image (together with its soundtrack) but does not include (a)</w:t>
      </w:r>
      <w:proofErr w:type="gramStart"/>
      <w:r w:rsidRPr="00F23C36">
        <w:rPr>
          <w:sz w:val="16"/>
        </w:rPr>
        <w:t>  a</w:t>
      </w:r>
      <w:proofErr w:type="gramEnd"/>
      <w:r w:rsidRPr="00F23C36">
        <w:rPr>
          <w:sz w:val="16"/>
        </w:rPr>
        <w:t xml:space="preserve"> computer game; or (b) an advertisement for a publication, a film or a computer game’.</w:t>
      </w:r>
    </w:p>
  </w:footnote>
  <w:footnote w:id="21">
    <w:p w:rsidR="00251B04" w:rsidRPr="00300808" w:rsidRDefault="00251B04" w:rsidP="003905F5">
      <w:pPr>
        <w:pStyle w:val="FootnoteText"/>
        <w:rPr>
          <w:sz w:val="16"/>
          <w:szCs w:val="16"/>
        </w:rPr>
      </w:pPr>
      <w:r>
        <w:rPr>
          <w:rStyle w:val="FootnoteReference"/>
        </w:rPr>
        <w:footnoteRef/>
      </w:r>
      <w:r>
        <w:t xml:space="preserve"> </w:t>
      </w:r>
      <w:r>
        <w:rPr>
          <w:sz w:val="16"/>
          <w:szCs w:val="16"/>
        </w:rPr>
        <w:t xml:space="preserve">ALRC, </w:t>
      </w:r>
      <w:hyperlink r:id="rId19" w:history="1">
        <w:r w:rsidRPr="00092A3C">
          <w:rPr>
            <w:rStyle w:val="Hyperlink"/>
            <w:i/>
            <w:sz w:val="16"/>
            <w:szCs w:val="16"/>
          </w:rPr>
          <w:t>Classification: Content Regulation and Convergent Media</w:t>
        </w:r>
      </w:hyperlink>
      <w:r>
        <w:rPr>
          <w:sz w:val="16"/>
          <w:szCs w:val="16"/>
        </w:rPr>
        <w:t xml:space="preserve"> (2012), chapter 6.</w:t>
      </w:r>
    </w:p>
  </w:footnote>
  <w:footnote w:id="22">
    <w:p w:rsidR="00251B04" w:rsidRDefault="00251B04" w:rsidP="00481049">
      <w:pPr>
        <w:pStyle w:val="FootnoteText"/>
      </w:pPr>
      <w:r w:rsidRPr="002A6C01">
        <w:rPr>
          <w:rStyle w:val="FootnoteReference"/>
        </w:rPr>
        <w:footnoteRef/>
      </w:r>
      <w:r w:rsidRPr="002A6C01">
        <w:rPr>
          <w:sz w:val="16"/>
          <w:szCs w:val="16"/>
        </w:rPr>
        <w:t xml:space="preserve"> </w:t>
      </w:r>
      <w:hyperlink r:id="rId20" w:history="1">
        <w:r w:rsidRPr="00B70F61">
          <w:rPr>
            <w:rStyle w:val="Hyperlink"/>
            <w:sz w:val="16"/>
            <w:szCs w:val="16"/>
          </w:rPr>
          <w:t xml:space="preserve">BSA, Schedule 7, </w:t>
        </w:r>
        <w:r>
          <w:rPr>
            <w:rStyle w:val="Hyperlink"/>
            <w:sz w:val="16"/>
            <w:szCs w:val="16"/>
          </w:rPr>
          <w:t>clause</w:t>
        </w:r>
        <w:r w:rsidRPr="00B70F61">
          <w:rPr>
            <w:rStyle w:val="Hyperlink"/>
            <w:sz w:val="16"/>
            <w:szCs w:val="16"/>
          </w:rPr>
          <w:t xml:space="preserve"> 21</w:t>
        </w:r>
      </w:hyperlink>
      <w:r>
        <w:rPr>
          <w:sz w:val="16"/>
          <w:szCs w:val="16"/>
        </w:rPr>
        <w:t>.</w:t>
      </w:r>
    </w:p>
  </w:footnote>
  <w:footnote w:id="23">
    <w:p w:rsidR="00251B04" w:rsidRPr="007B3817" w:rsidRDefault="00251B04" w:rsidP="00D06F5E">
      <w:pPr>
        <w:pStyle w:val="FootnoteText"/>
        <w:rPr>
          <w:sz w:val="16"/>
        </w:rPr>
      </w:pPr>
      <w:r>
        <w:rPr>
          <w:rStyle w:val="FootnoteReference"/>
        </w:rPr>
        <w:footnoteRef/>
      </w:r>
      <w:r>
        <w:t xml:space="preserve"> </w:t>
      </w:r>
      <w:proofErr w:type="spellStart"/>
      <w:r>
        <w:rPr>
          <w:sz w:val="16"/>
          <w:szCs w:val="16"/>
        </w:rPr>
        <w:t>Lynelle</w:t>
      </w:r>
      <w:proofErr w:type="spellEnd"/>
      <w:r>
        <w:rPr>
          <w:sz w:val="16"/>
          <w:szCs w:val="16"/>
        </w:rPr>
        <w:t xml:space="preserve"> Briggs AO (prepared for </w:t>
      </w:r>
      <w:proofErr w:type="spellStart"/>
      <w:r>
        <w:rPr>
          <w:sz w:val="16"/>
          <w:szCs w:val="16"/>
        </w:rPr>
        <w:t>tfappdishe</w:t>
      </w:r>
      <w:proofErr w:type="spellEnd"/>
      <w:r>
        <w:rPr>
          <w:sz w:val="16"/>
          <w:szCs w:val="16"/>
        </w:rPr>
        <w:t xml:space="preserve"> Commonwealth of Australia)</w:t>
      </w:r>
      <w:r w:rsidRPr="00E16A1F">
        <w:rPr>
          <w:sz w:val="16"/>
          <w:szCs w:val="16"/>
        </w:rPr>
        <w:t xml:space="preserve">, </w:t>
      </w:r>
      <w:hyperlink r:id="rId21" w:history="1">
        <w:r>
          <w:rPr>
            <w:rStyle w:val="Hyperlink"/>
            <w:sz w:val="16"/>
            <w:szCs w:val="16"/>
            <w:lang w:val="en"/>
          </w:rPr>
          <w:t>Report of the Statutory Review of the Enhancing Online Safety Act 2015 and the Review of Schedules 5 and 7 to the Broadcasting Services Act 1992 (Online Content Scheme) (2018)</w:t>
        </w:r>
      </w:hyperlink>
      <w:r>
        <w:rPr>
          <w:rStyle w:val="Hyperlink"/>
          <w:sz w:val="16"/>
          <w:szCs w:val="16"/>
          <w:lang w:val="en"/>
        </w:rPr>
        <w:t xml:space="preserve"> </w:t>
      </w:r>
      <w:r>
        <w:rPr>
          <w:sz w:val="16"/>
        </w:rPr>
        <w:t xml:space="preserve">p16. </w:t>
      </w:r>
    </w:p>
  </w:footnote>
  <w:footnote w:id="24">
    <w:p w:rsidR="00251B04" w:rsidRDefault="00251B04">
      <w:pPr>
        <w:pStyle w:val="FootnoteText"/>
      </w:pPr>
      <w:r>
        <w:rPr>
          <w:rStyle w:val="FootnoteReference"/>
        </w:rPr>
        <w:footnoteRef/>
      </w:r>
      <w:r>
        <w:t xml:space="preserve"> </w:t>
      </w:r>
      <w:r w:rsidRPr="00F23C36">
        <w:rPr>
          <w:sz w:val="16"/>
          <w:szCs w:val="16"/>
        </w:rPr>
        <w:t>Refer to s 5A of the Classification Act.</w:t>
      </w:r>
    </w:p>
  </w:footnote>
  <w:footnote w:id="25">
    <w:p w:rsidR="00251B04" w:rsidRDefault="00251B04" w:rsidP="001B7AE7">
      <w:pPr>
        <w:pStyle w:val="FootnoteText"/>
      </w:pPr>
      <w:r>
        <w:rPr>
          <w:rStyle w:val="FootnoteReference"/>
        </w:rPr>
        <w:footnoteRef/>
      </w:r>
      <w:r>
        <w:t xml:space="preserve"> </w:t>
      </w:r>
      <w:r>
        <w:rPr>
          <w:sz w:val="16"/>
          <w:szCs w:val="16"/>
        </w:rPr>
        <w:t xml:space="preserve">ALRC, </w:t>
      </w:r>
      <w:hyperlink r:id="rId22" w:history="1">
        <w:r w:rsidRPr="00092A3C">
          <w:rPr>
            <w:rStyle w:val="Hyperlink"/>
            <w:i/>
            <w:sz w:val="16"/>
            <w:szCs w:val="16"/>
          </w:rPr>
          <w:t>Classification: Content Regulation and Convergent Media</w:t>
        </w:r>
      </w:hyperlink>
      <w:r>
        <w:rPr>
          <w:sz w:val="16"/>
          <w:szCs w:val="16"/>
        </w:rPr>
        <w:t xml:space="preserve"> (2012), recommendation 6-4.</w:t>
      </w:r>
    </w:p>
  </w:footnote>
  <w:footnote w:id="26">
    <w:p w:rsidR="00251B04" w:rsidRDefault="00251B04" w:rsidP="003514A6">
      <w:pPr>
        <w:pStyle w:val="FootnoteText"/>
        <w:rPr>
          <w:sz w:val="16"/>
          <w:szCs w:val="16"/>
        </w:rPr>
      </w:pPr>
      <w:r w:rsidRPr="006D00FF">
        <w:rPr>
          <w:rStyle w:val="FootnoteReference"/>
        </w:rPr>
        <w:footnoteRef/>
      </w:r>
      <w:r w:rsidRPr="006D00FF">
        <w:rPr>
          <w:sz w:val="16"/>
          <w:szCs w:val="16"/>
        </w:rPr>
        <w:t xml:space="preserve"> Classification Board </w:t>
      </w:r>
      <w:r w:rsidRPr="00AF6229">
        <w:rPr>
          <w:sz w:val="16"/>
          <w:szCs w:val="16"/>
        </w:rPr>
        <w:t>Annual Reports</w:t>
      </w:r>
      <w:r>
        <w:rPr>
          <w:sz w:val="16"/>
          <w:szCs w:val="16"/>
        </w:rPr>
        <w:t xml:space="preserve"> are available at </w:t>
      </w:r>
      <w:hyperlink r:id="rId23" w:history="1">
        <w:r w:rsidRPr="000B6650">
          <w:rPr>
            <w:rStyle w:val="Hyperlink"/>
            <w:sz w:val="16"/>
            <w:szCs w:val="16"/>
          </w:rPr>
          <w:t>www.classification.gov.au/about-us/corporate-reporting/annual-reports</w:t>
        </w:r>
      </w:hyperlink>
      <w:r>
        <w:rPr>
          <w:sz w:val="16"/>
          <w:szCs w:val="16"/>
        </w:rPr>
        <w:t xml:space="preserve">. </w:t>
      </w:r>
    </w:p>
    <w:p w:rsidR="00251B04" w:rsidRPr="006D00FF" w:rsidRDefault="00251B04" w:rsidP="003514A6">
      <w:pPr>
        <w:pStyle w:val="FootnoteText"/>
        <w:rPr>
          <w:sz w:val="16"/>
          <w:szCs w:val="16"/>
        </w:rPr>
      </w:pPr>
      <w:r>
        <w:rPr>
          <w:sz w:val="16"/>
          <w:szCs w:val="16"/>
        </w:rPr>
        <w:t>Note—‘Serial classification’ of publications were introduced in 2005, contributing to the decline in publications being submitted. This enables the Board to declare that the classification granted for a periodical publication apply to some or all future publications for a specified period, up to 2 years. Notwithstanding the introduction of serial classification, there has been a decline in publications being</w:t>
      </w:r>
      <w:r w:rsidR="001201D2">
        <w:rPr>
          <w:sz w:val="16"/>
          <w:szCs w:val="16"/>
        </w:rPr>
        <w:t xml:space="preserve"> submitted for classification.</w:t>
      </w:r>
    </w:p>
  </w:footnote>
  <w:footnote w:id="27">
    <w:p w:rsidR="00251B04" w:rsidRDefault="00251B04">
      <w:pPr>
        <w:pStyle w:val="FootnoteText"/>
      </w:pPr>
      <w:r>
        <w:rPr>
          <w:rStyle w:val="FootnoteReference"/>
        </w:rPr>
        <w:footnoteRef/>
      </w:r>
      <w:r>
        <w:t xml:space="preserve"> </w:t>
      </w:r>
      <w:r w:rsidRPr="00AF6229">
        <w:rPr>
          <w:sz w:val="16"/>
        </w:rPr>
        <w:t>The Guardian,</w:t>
      </w:r>
      <w:r>
        <w:rPr>
          <w:sz w:val="16"/>
        </w:rPr>
        <w:t xml:space="preserve"> </w:t>
      </w:r>
      <w:hyperlink r:id="rId24" w:history="1">
        <w:r w:rsidRPr="00C8528C">
          <w:rPr>
            <w:rStyle w:val="Hyperlink"/>
            <w:sz w:val="16"/>
          </w:rPr>
          <w:t xml:space="preserve">Softcore magazines The Picture and People to Close </w:t>
        </w:r>
        <w:proofErr w:type="gramStart"/>
        <w:r w:rsidRPr="00C8528C">
          <w:rPr>
            <w:rStyle w:val="Hyperlink"/>
            <w:sz w:val="16"/>
          </w:rPr>
          <w:t>Amid</w:t>
        </w:r>
        <w:proofErr w:type="gramEnd"/>
        <w:r w:rsidRPr="00C8528C">
          <w:rPr>
            <w:rStyle w:val="Hyperlink"/>
            <w:sz w:val="16"/>
          </w:rPr>
          <w:t xml:space="preserve"> Sale Ban and Falling Circulation</w:t>
        </w:r>
      </w:hyperlink>
      <w:r>
        <w:rPr>
          <w:sz w:val="16"/>
        </w:rPr>
        <w:t>, 23 October 2019.</w:t>
      </w:r>
    </w:p>
  </w:footnote>
  <w:footnote w:id="28">
    <w:p w:rsidR="00251B04" w:rsidRPr="00CB02A2" w:rsidRDefault="00251B04" w:rsidP="003514A6">
      <w:pPr>
        <w:pStyle w:val="FootnoteText"/>
        <w:rPr>
          <w:sz w:val="16"/>
          <w:szCs w:val="16"/>
        </w:rPr>
      </w:pPr>
      <w:r w:rsidRPr="00CB02A2">
        <w:rPr>
          <w:rStyle w:val="FootnoteReference"/>
        </w:rPr>
        <w:footnoteRef/>
      </w:r>
      <w:r w:rsidRPr="00CB02A2">
        <w:rPr>
          <w:sz w:val="16"/>
          <w:szCs w:val="16"/>
        </w:rPr>
        <w:t xml:space="preserve"> </w:t>
      </w:r>
      <w:r>
        <w:rPr>
          <w:sz w:val="16"/>
          <w:szCs w:val="16"/>
        </w:rPr>
        <w:t>ALRC</w:t>
      </w:r>
      <w:r w:rsidRPr="00CB02A2">
        <w:rPr>
          <w:i/>
          <w:sz w:val="16"/>
          <w:szCs w:val="16"/>
        </w:rPr>
        <w:t>,</w:t>
      </w:r>
      <w:r w:rsidRPr="00CB02A2">
        <w:rPr>
          <w:sz w:val="16"/>
          <w:szCs w:val="16"/>
        </w:rPr>
        <w:t xml:space="preserve"> </w:t>
      </w:r>
      <w:hyperlink r:id="rId25" w:history="1">
        <w:r w:rsidRPr="00092A3C">
          <w:rPr>
            <w:rStyle w:val="Hyperlink"/>
            <w:i/>
            <w:sz w:val="16"/>
            <w:szCs w:val="16"/>
          </w:rPr>
          <w:t>Classification: Content Regulation and Convergent Media</w:t>
        </w:r>
      </w:hyperlink>
      <w:r>
        <w:rPr>
          <w:sz w:val="16"/>
          <w:szCs w:val="16"/>
        </w:rPr>
        <w:t xml:space="preserve"> (2012), r</w:t>
      </w:r>
      <w:r w:rsidRPr="00CB02A2">
        <w:rPr>
          <w:sz w:val="16"/>
          <w:szCs w:val="16"/>
        </w:rPr>
        <w:t>ecommendation 6-4. The ALRC recommended this for publications likely to be classified R 18+ or X 18+, as the ALRC suggested changing the classification categories for publications.</w:t>
      </w:r>
    </w:p>
  </w:footnote>
  <w:footnote w:id="29">
    <w:p w:rsidR="00251B04" w:rsidRDefault="00251B04" w:rsidP="000A0959">
      <w:pPr>
        <w:pStyle w:val="FootnoteText"/>
      </w:pPr>
      <w:r w:rsidRPr="00A02056">
        <w:rPr>
          <w:rStyle w:val="FootnoteReference"/>
        </w:rPr>
        <w:footnoteRef/>
      </w:r>
      <w:r>
        <w:rPr>
          <w:sz w:val="16"/>
          <w:szCs w:val="16"/>
        </w:rPr>
        <w:t xml:space="preserve"> </w:t>
      </w:r>
      <w:r w:rsidRPr="00403999">
        <w:rPr>
          <w:sz w:val="16"/>
          <w:szCs w:val="16"/>
        </w:rPr>
        <w:t xml:space="preserve">Department of Broadband, Communications and the Digital Economy, </w:t>
      </w:r>
      <w:hyperlink r:id="rId26" w:history="1">
        <w:r>
          <w:rPr>
            <w:rStyle w:val="Hyperlink"/>
            <w:i/>
            <w:sz w:val="16"/>
            <w:szCs w:val="16"/>
          </w:rPr>
          <w:t>Convergence r</w:t>
        </w:r>
        <w:r w:rsidRPr="00953E28">
          <w:rPr>
            <w:rStyle w:val="Hyperlink"/>
            <w:i/>
            <w:sz w:val="16"/>
            <w:szCs w:val="16"/>
          </w:rPr>
          <w:t xml:space="preserve">eview </w:t>
        </w:r>
        <w:r>
          <w:rPr>
            <w:rStyle w:val="Hyperlink"/>
            <w:i/>
            <w:sz w:val="16"/>
            <w:szCs w:val="16"/>
          </w:rPr>
          <w:t>f</w:t>
        </w:r>
        <w:r w:rsidRPr="00953E28">
          <w:rPr>
            <w:rStyle w:val="Hyperlink"/>
            <w:i/>
            <w:sz w:val="16"/>
            <w:szCs w:val="16"/>
          </w:rPr>
          <w:t xml:space="preserve">inal </w:t>
        </w:r>
        <w:r>
          <w:rPr>
            <w:rStyle w:val="Hyperlink"/>
            <w:i/>
            <w:sz w:val="16"/>
            <w:szCs w:val="16"/>
          </w:rPr>
          <w:t>r</w:t>
        </w:r>
        <w:r w:rsidRPr="00953E28">
          <w:rPr>
            <w:rStyle w:val="Hyperlink"/>
            <w:i/>
            <w:sz w:val="16"/>
            <w:szCs w:val="16"/>
          </w:rPr>
          <w:t>eport</w:t>
        </w:r>
      </w:hyperlink>
      <w:r w:rsidRPr="00403999">
        <w:rPr>
          <w:sz w:val="16"/>
          <w:szCs w:val="16"/>
        </w:rPr>
        <w:t xml:space="preserve"> (2012)</w:t>
      </w:r>
      <w:r>
        <w:rPr>
          <w:sz w:val="16"/>
          <w:szCs w:val="16"/>
        </w:rPr>
        <w:t>, page 40.</w:t>
      </w:r>
    </w:p>
  </w:footnote>
  <w:footnote w:id="30">
    <w:p w:rsidR="00251B04" w:rsidRDefault="00251B04" w:rsidP="000A0959">
      <w:pPr>
        <w:pStyle w:val="FootnoteText"/>
      </w:pPr>
      <w:r>
        <w:rPr>
          <w:rStyle w:val="FootnoteReference"/>
        </w:rPr>
        <w:footnoteRef/>
      </w:r>
      <w:r>
        <w:t xml:space="preserve"> </w:t>
      </w:r>
      <w:r>
        <w:rPr>
          <w:sz w:val="16"/>
          <w:szCs w:val="16"/>
        </w:rPr>
        <w:t>ALRC</w:t>
      </w:r>
      <w:r w:rsidRPr="00245DA7">
        <w:rPr>
          <w:i/>
          <w:sz w:val="16"/>
          <w:szCs w:val="16"/>
        </w:rPr>
        <w:t>,</w:t>
      </w:r>
      <w:r w:rsidRPr="00245DA7">
        <w:rPr>
          <w:sz w:val="16"/>
          <w:szCs w:val="16"/>
        </w:rPr>
        <w:t xml:space="preserve"> </w:t>
      </w:r>
      <w:hyperlink r:id="rId27" w:history="1">
        <w:r w:rsidRPr="00457D1F">
          <w:rPr>
            <w:rStyle w:val="Hyperlink"/>
            <w:i/>
            <w:sz w:val="16"/>
            <w:szCs w:val="16"/>
          </w:rPr>
          <w:t>Classification: Content Regulation and Convergent Media</w:t>
        </w:r>
      </w:hyperlink>
      <w:r>
        <w:rPr>
          <w:sz w:val="16"/>
          <w:szCs w:val="16"/>
        </w:rPr>
        <w:t xml:space="preserve"> (2012),</w:t>
      </w:r>
      <w:r w:rsidRPr="00245DA7">
        <w:rPr>
          <w:sz w:val="16"/>
          <w:szCs w:val="16"/>
        </w:rPr>
        <w:t xml:space="preserve"> </w:t>
      </w:r>
      <w:r>
        <w:rPr>
          <w:sz w:val="16"/>
          <w:szCs w:val="16"/>
        </w:rPr>
        <w:t>Recommendation 5-2.</w:t>
      </w:r>
    </w:p>
  </w:footnote>
  <w:footnote w:id="31">
    <w:p w:rsidR="00251B04" w:rsidRDefault="00251B04">
      <w:pPr>
        <w:pStyle w:val="FootnoteText"/>
      </w:pPr>
      <w:r>
        <w:rPr>
          <w:rStyle w:val="FootnoteReference"/>
        </w:rPr>
        <w:footnoteRef/>
      </w:r>
      <w:r>
        <w:t xml:space="preserve"> </w:t>
      </w:r>
      <w:r w:rsidRPr="00682BD5">
        <w:rPr>
          <w:sz w:val="16"/>
          <w:szCs w:val="16"/>
        </w:rPr>
        <w:t>ALRC</w:t>
      </w:r>
      <w:r w:rsidRPr="00682BD5">
        <w:rPr>
          <w:i/>
          <w:sz w:val="16"/>
          <w:szCs w:val="16"/>
        </w:rPr>
        <w:t>,</w:t>
      </w:r>
      <w:r w:rsidRPr="00682BD5">
        <w:rPr>
          <w:sz w:val="16"/>
          <w:szCs w:val="16"/>
        </w:rPr>
        <w:t xml:space="preserve"> </w:t>
      </w:r>
      <w:hyperlink r:id="rId28" w:history="1">
        <w:r w:rsidRPr="00682BD5">
          <w:rPr>
            <w:rStyle w:val="Hyperlink"/>
            <w:i/>
            <w:sz w:val="16"/>
            <w:szCs w:val="16"/>
          </w:rPr>
          <w:t>Classification: Content Regulation and Convergent Media</w:t>
        </w:r>
      </w:hyperlink>
      <w:r w:rsidRPr="00682BD5">
        <w:rPr>
          <w:sz w:val="16"/>
          <w:szCs w:val="16"/>
        </w:rPr>
        <w:t xml:space="preserve"> (2012),</w:t>
      </w:r>
      <w:r>
        <w:rPr>
          <w:sz w:val="16"/>
          <w:szCs w:val="16"/>
        </w:rPr>
        <w:t xml:space="preserve"> chapter 12, page 285.</w:t>
      </w:r>
    </w:p>
  </w:footnote>
  <w:footnote w:id="32">
    <w:p w:rsidR="00251B04" w:rsidRDefault="00251B04" w:rsidP="00001551">
      <w:pPr>
        <w:pStyle w:val="FootnoteText"/>
      </w:pPr>
      <w:r>
        <w:rPr>
          <w:rStyle w:val="FootnoteReference"/>
        </w:rPr>
        <w:footnoteRef/>
      </w:r>
      <w:r>
        <w:t xml:space="preserve"> </w:t>
      </w:r>
      <w:r w:rsidRPr="00682BD5">
        <w:rPr>
          <w:sz w:val="16"/>
          <w:szCs w:val="16"/>
        </w:rPr>
        <w:t>ALRC</w:t>
      </w:r>
      <w:r w:rsidRPr="00682BD5">
        <w:rPr>
          <w:i/>
          <w:sz w:val="16"/>
          <w:szCs w:val="16"/>
        </w:rPr>
        <w:t>,</w:t>
      </w:r>
      <w:r w:rsidRPr="00682BD5">
        <w:rPr>
          <w:sz w:val="16"/>
          <w:szCs w:val="16"/>
        </w:rPr>
        <w:t xml:space="preserve"> </w:t>
      </w:r>
      <w:hyperlink r:id="rId29" w:history="1">
        <w:r w:rsidRPr="00682BD5">
          <w:rPr>
            <w:rStyle w:val="Hyperlink"/>
            <w:i/>
            <w:sz w:val="16"/>
            <w:szCs w:val="16"/>
          </w:rPr>
          <w:t>Classification: Content Regulation and Convergent Media</w:t>
        </w:r>
      </w:hyperlink>
      <w:r w:rsidRPr="00682BD5">
        <w:rPr>
          <w:sz w:val="16"/>
          <w:szCs w:val="16"/>
        </w:rPr>
        <w:t xml:space="preserve"> (2012),</w:t>
      </w:r>
      <w:r>
        <w:rPr>
          <w:sz w:val="16"/>
          <w:szCs w:val="16"/>
        </w:rPr>
        <w:t xml:space="preserve"> chapter 7, page 148.</w:t>
      </w:r>
    </w:p>
  </w:footnote>
  <w:footnote w:id="33">
    <w:p w:rsidR="00251B04" w:rsidRPr="000118B3" w:rsidRDefault="00251B04" w:rsidP="00430018">
      <w:pPr>
        <w:pStyle w:val="FootnoteText"/>
        <w:rPr>
          <w:sz w:val="16"/>
          <w:szCs w:val="16"/>
        </w:rPr>
      </w:pPr>
      <w:r w:rsidRPr="000118B3">
        <w:rPr>
          <w:rStyle w:val="FootnoteReference"/>
        </w:rPr>
        <w:footnoteRef/>
      </w:r>
      <w:r w:rsidRPr="000118B3">
        <w:rPr>
          <w:sz w:val="16"/>
          <w:szCs w:val="16"/>
        </w:rPr>
        <w:t xml:space="preserve"> </w:t>
      </w:r>
      <w:r>
        <w:rPr>
          <w:sz w:val="16"/>
          <w:szCs w:val="16"/>
        </w:rPr>
        <w:t>T</w:t>
      </w:r>
      <w:r w:rsidRPr="00505A0F">
        <w:rPr>
          <w:sz w:val="16"/>
          <w:szCs w:val="16"/>
        </w:rPr>
        <w:t>he following people can apply for a review of a classification decision: the Minister, the original applicant for classification; the publisher of the classified content; or a p</w:t>
      </w:r>
      <w:r>
        <w:rPr>
          <w:sz w:val="16"/>
          <w:szCs w:val="16"/>
        </w:rPr>
        <w:t xml:space="preserve">erson aggrieved by the decision. Refer to s 42 of the </w:t>
      </w:r>
      <w:hyperlink r:id="rId30" w:history="1">
        <w:r w:rsidRPr="008F0539">
          <w:rPr>
            <w:rStyle w:val="Hyperlink"/>
            <w:sz w:val="16"/>
            <w:szCs w:val="16"/>
          </w:rPr>
          <w:t>Classification Act</w:t>
        </w:r>
      </w:hyperlink>
      <w:r>
        <w:rPr>
          <w:sz w:val="16"/>
          <w:szCs w:val="16"/>
        </w:rPr>
        <w:t>.</w:t>
      </w:r>
    </w:p>
  </w:footnote>
  <w:footnote w:id="34">
    <w:p w:rsidR="00251B04" w:rsidRPr="00A81FCA" w:rsidRDefault="00251B04" w:rsidP="00430018">
      <w:pPr>
        <w:pStyle w:val="FootnoteText"/>
        <w:rPr>
          <w:sz w:val="16"/>
          <w:szCs w:val="16"/>
        </w:rPr>
      </w:pPr>
      <w:r w:rsidRPr="000118B3">
        <w:rPr>
          <w:rStyle w:val="FootnoteReference"/>
        </w:rPr>
        <w:footnoteRef/>
      </w:r>
      <w:r w:rsidRPr="000118B3">
        <w:rPr>
          <w:sz w:val="16"/>
          <w:szCs w:val="16"/>
        </w:rPr>
        <w:t xml:space="preserve"> </w:t>
      </w:r>
      <w:r w:rsidRPr="006D00FF">
        <w:rPr>
          <w:sz w:val="16"/>
          <w:szCs w:val="16"/>
        </w:rPr>
        <w:t xml:space="preserve">Classification Board and Classification Review Board </w:t>
      </w:r>
      <w:r w:rsidRPr="005266A9">
        <w:rPr>
          <w:sz w:val="16"/>
          <w:szCs w:val="16"/>
        </w:rPr>
        <w:t>Annual Reports</w:t>
      </w:r>
      <w:r>
        <w:rPr>
          <w:sz w:val="16"/>
          <w:szCs w:val="16"/>
        </w:rPr>
        <w:t xml:space="preserve"> 2014–15, 2015–16, 2016–17, 2017–18, 2018–19, available at </w:t>
      </w:r>
      <w:hyperlink r:id="rId31" w:history="1">
        <w:r w:rsidRPr="000B6650">
          <w:rPr>
            <w:rStyle w:val="Hyperlink"/>
            <w:sz w:val="16"/>
            <w:szCs w:val="16"/>
          </w:rPr>
          <w:t>www.classification.gov.au/about-us/corporate-reporting/annual-reports</w:t>
        </w:r>
      </w:hyperlink>
      <w:r>
        <w:rPr>
          <w:sz w:val="16"/>
          <w:szCs w:val="16"/>
        </w:rPr>
        <w:t xml:space="preserve">. </w:t>
      </w:r>
    </w:p>
  </w:footnote>
  <w:footnote w:id="35">
    <w:p w:rsidR="00251B04" w:rsidRDefault="00251B04" w:rsidP="00AC3081">
      <w:pPr>
        <w:pStyle w:val="FootnoteText"/>
      </w:pPr>
      <w:r w:rsidRPr="006D00FF">
        <w:rPr>
          <w:rStyle w:val="FootnoteReference"/>
        </w:rPr>
        <w:footnoteRef/>
      </w:r>
      <w:r w:rsidRPr="006D00FF">
        <w:rPr>
          <w:sz w:val="16"/>
          <w:szCs w:val="16"/>
        </w:rPr>
        <w:t xml:space="preserve"> </w:t>
      </w:r>
      <w:r>
        <w:rPr>
          <w:sz w:val="16"/>
          <w:szCs w:val="16"/>
        </w:rPr>
        <w:t>ALRC</w:t>
      </w:r>
      <w:r w:rsidRPr="00245DA7">
        <w:rPr>
          <w:i/>
          <w:sz w:val="16"/>
          <w:szCs w:val="16"/>
        </w:rPr>
        <w:t>,</w:t>
      </w:r>
      <w:r w:rsidRPr="00245DA7">
        <w:rPr>
          <w:sz w:val="16"/>
          <w:szCs w:val="16"/>
        </w:rPr>
        <w:t xml:space="preserve"> </w:t>
      </w:r>
      <w:hyperlink r:id="rId32" w:history="1">
        <w:r w:rsidRPr="00457D1F">
          <w:rPr>
            <w:rStyle w:val="Hyperlink"/>
            <w:i/>
            <w:sz w:val="16"/>
            <w:szCs w:val="16"/>
          </w:rPr>
          <w:t>Classification: Content Regulation and Convergent Media</w:t>
        </w:r>
      </w:hyperlink>
      <w:r>
        <w:rPr>
          <w:sz w:val="16"/>
          <w:szCs w:val="16"/>
        </w:rPr>
        <w:t xml:space="preserve"> (2012),</w:t>
      </w:r>
      <w:r w:rsidRPr="00245DA7">
        <w:rPr>
          <w:sz w:val="16"/>
          <w:szCs w:val="16"/>
        </w:rPr>
        <w:t xml:space="preserve"> </w:t>
      </w:r>
      <w:r>
        <w:rPr>
          <w:sz w:val="16"/>
          <w:szCs w:val="16"/>
        </w:rPr>
        <w:t xml:space="preserve">paragraphs 7.130 to 7.147. </w:t>
      </w:r>
    </w:p>
  </w:footnote>
  <w:footnote w:id="36">
    <w:p w:rsidR="00251B04" w:rsidRDefault="00251B04" w:rsidP="003C6C55">
      <w:pPr>
        <w:pStyle w:val="FootnoteText"/>
      </w:pPr>
      <w:r w:rsidRPr="006D00FF">
        <w:rPr>
          <w:rStyle w:val="FootnoteReference"/>
        </w:rPr>
        <w:footnoteRef/>
      </w:r>
      <w:r>
        <w:rPr>
          <w:sz w:val="16"/>
          <w:szCs w:val="16"/>
        </w:rPr>
        <w:t xml:space="preserve"> ACMA and the Office of the </w:t>
      </w:r>
      <w:proofErr w:type="spellStart"/>
      <w:r>
        <w:rPr>
          <w:sz w:val="16"/>
          <w:szCs w:val="16"/>
        </w:rPr>
        <w:t>eSafety</w:t>
      </w:r>
      <w:proofErr w:type="spellEnd"/>
      <w:r>
        <w:rPr>
          <w:sz w:val="16"/>
          <w:szCs w:val="16"/>
        </w:rPr>
        <w:t xml:space="preserve"> Commissioner </w:t>
      </w:r>
      <w:hyperlink r:id="rId33" w:history="1">
        <w:r w:rsidRPr="001B6AEB">
          <w:rPr>
            <w:rStyle w:val="Hyperlink"/>
            <w:sz w:val="16"/>
            <w:szCs w:val="16"/>
          </w:rPr>
          <w:t>Annual Report</w:t>
        </w:r>
      </w:hyperlink>
      <w:r>
        <w:rPr>
          <w:sz w:val="16"/>
          <w:szCs w:val="16"/>
        </w:rPr>
        <w:t xml:space="preserve"> 2018–19</w:t>
      </w:r>
      <w:r w:rsidRPr="006D00FF">
        <w:rPr>
          <w:sz w:val="16"/>
          <w:szCs w:val="16"/>
        </w:rPr>
        <w:t xml:space="preserve">, </w:t>
      </w:r>
      <w:r>
        <w:rPr>
          <w:sz w:val="16"/>
          <w:szCs w:val="16"/>
        </w:rPr>
        <w:t xml:space="preserve">Appendix 5. </w:t>
      </w:r>
    </w:p>
  </w:footnote>
  <w:footnote w:id="37">
    <w:p w:rsidR="00251B04" w:rsidRDefault="00251B04">
      <w:pPr>
        <w:pStyle w:val="FootnoteText"/>
      </w:pPr>
      <w:r>
        <w:rPr>
          <w:rStyle w:val="FootnoteReference"/>
        </w:rPr>
        <w:footnoteRef/>
      </w:r>
      <w:r>
        <w:t xml:space="preserve"> </w:t>
      </w:r>
      <w:r w:rsidRPr="00515669">
        <w:rPr>
          <w:sz w:val="16"/>
        </w:rPr>
        <w:t xml:space="preserve">Available at </w:t>
      </w:r>
      <w:hyperlink r:id="rId34" w:history="1">
        <w:r w:rsidRPr="000B6650">
          <w:rPr>
            <w:rStyle w:val="Hyperlink"/>
            <w:sz w:val="16"/>
          </w:rPr>
          <w:t>www.classification.gov.au/about-us/legislation</w:t>
        </w:r>
      </w:hyperlink>
      <w:r w:rsidRPr="001F2B41">
        <w:rPr>
          <w:sz w:val="16"/>
        </w:rPr>
        <w:t xml:space="preserve">. </w:t>
      </w:r>
    </w:p>
  </w:footnote>
  <w:footnote w:id="38">
    <w:p w:rsidR="00251B04" w:rsidRPr="00EE4F94" w:rsidRDefault="00251B04" w:rsidP="00F41280">
      <w:pPr>
        <w:pStyle w:val="FootnoteText"/>
        <w:rPr>
          <w:sz w:val="16"/>
          <w:szCs w:val="16"/>
        </w:rPr>
      </w:pPr>
      <w:r w:rsidRPr="00EE4F94">
        <w:rPr>
          <w:rStyle w:val="FootnoteReference"/>
        </w:rPr>
        <w:footnoteRef/>
      </w:r>
      <w:r w:rsidRPr="00EE4F94">
        <w:rPr>
          <w:sz w:val="16"/>
          <w:szCs w:val="16"/>
        </w:rPr>
        <w:t xml:space="preserve"> </w:t>
      </w:r>
      <w:r>
        <w:rPr>
          <w:sz w:val="16"/>
          <w:szCs w:val="16"/>
        </w:rPr>
        <w:t>ALRC</w:t>
      </w:r>
      <w:r w:rsidRPr="00245DA7">
        <w:rPr>
          <w:i/>
          <w:sz w:val="16"/>
          <w:szCs w:val="16"/>
        </w:rPr>
        <w:t>,</w:t>
      </w:r>
      <w:r w:rsidRPr="00245DA7">
        <w:rPr>
          <w:sz w:val="16"/>
          <w:szCs w:val="16"/>
        </w:rPr>
        <w:t xml:space="preserve"> </w:t>
      </w:r>
      <w:hyperlink r:id="rId35" w:history="1">
        <w:r w:rsidRPr="00457D1F">
          <w:rPr>
            <w:rStyle w:val="Hyperlink"/>
            <w:i/>
            <w:sz w:val="16"/>
            <w:szCs w:val="16"/>
          </w:rPr>
          <w:t>Classification: Content Regulation and Convergent Media</w:t>
        </w:r>
      </w:hyperlink>
      <w:r>
        <w:rPr>
          <w:sz w:val="16"/>
          <w:szCs w:val="16"/>
        </w:rPr>
        <w:t xml:space="preserve"> (2012), </w:t>
      </w:r>
      <w:r w:rsidRPr="00EE4F94">
        <w:rPr>
          <w:sz w:val="16"/>
          <w:szCs w:val="16"/>
        </w:rPr>
        <w:t>chapter 16, page 356.</w:t>
      </w:r>
    </w:p>
  </w:footnote>
  <w:footnote w:id="39">
    <w:p w:rsidR="00251B04" w:rsidRPr="00EE4F94" w:rsidRDefault="00251B04" w:rsidP="00F41280">
      <w:pPr>
        <w:pStyle w:val="FootnoteText"/>
        <w:rPr>
          <w:sz w:val="16"/>
          <w:szCs w:val="16"/>
        </w:rPr>
      </w:pPr>
      <w:r w:rsidRPr="00DF787F">
        <w:rPr>
          <w:rStyle w:val="FootnoteReference"/>
        </w:rPr>
        <w:footnoteRef/>
      </w:r>
      <w:r w:rsidRPr="00EE4F94">
        <w:rPr>
          <w:sz w:val="16"/>
          <w:szCs w:val="16"/>
        </w:rPr>
        <w:t xml:space="preserve"> </w:t>
      </w:r>
      <w:r>
        <w:rPr>
          <w:sz w:val="16"/>
          <w:szCs w:val="16"/>
        </w:rPr>
        <w:t>ALRC</w:t>
      </w:r>
      <w:r w:rsidRPr="00245DA7">
        <w:rPr>
          <w:i/>
          <w:sz w:val="16"/>
          <w:szCs w:val="16"/>
        </w:rPr>
        <w:t>,</w:t>
      </w:r>
      <w:r w:rsidRPr="00245DA7">
        <w:rPr>
          <w:sz w:val="16"/>
          <w:szCs w:val="16"/>
        </w:rPr>
        <w:t xml:space="preserve"> </w:t>
      </w:r>
      <w:hyperlink r:id="rId36" w:history="1">
        <w:r w:rsidRPr="00457D1F">
          <w:rPr>
            <w:rStyle w:val="Hyperlink"/>
            <w:i/>
            <w:sz w:val="16"/>
            <w:szCs w:val="16"/>
          </w:rPr>
          <w:t>Classification: Content Regulation and Convergent Media</w:t>
        </w:r>
      </w:hyperlink>
      <w:r>
        <w:rPr>
          <w:sz w:val="16"/>
          <w:szCs w:val="16"/>
        </w:rPr>
        <w:t xml:space="preserve"> (2012), </w:t>
      </w:r>
      <w:r w:rsidRPr="00EE4F94">
        <w:rPr>
          <w:sz w:val="16"/>
          <w:szCs w:val="16"/>
        </w:rPr>
        <w:t xml:space="preserve">chapter 16, page 360. </w:t>
      </w:r>
    </w:p>
  </w:footnote>
  <w:footnote w:id="40">
    <w:p w:rsidR="00251B04" w:rsidRPr="00EE4F94" w:rsidRDefault="00251B04" w:rsidP="00F41280">
      <w:pPr>
        <w:pStyle w:val="FootnoteText"/>
        <w:rPr>
          <w:sz w:val="28"/>
          <w:szCs w:val="28"/>
        </w:rPr>
      </w:pPr>
      <w:r w:rsidRPr="003B00F4">
        <w:rPr>
          <w:rStyle w:val="FootnoteReference"/>
        </w:rPr>
        <w:footnoteRef/>
      </w:r>
      <w:r w:rsidRPr="00EE4F94">
        <w:rPr>
          <w:sz w:val="16"/>
          <w:szCs w:val="16"/>
        </w:rPr>
        <w:t xml:space="preserve"> </w:t>
      </w:r>
      <w:r>
        <w:rPr>
          <w:sz w:val="16"/>
          <w:szCs w:val="16"/>
        </w:rPr>
        <w:t>ALRC</w:t>
      </w:r>
      <w:r w:rsidRPr="00245DA7">
        <w:rPr>
          <w:i/>
          <w:sz w:val="16"/>
          <w:szCs w:val="16"/>
        </w:rPr>
        <w:t>,</w:t>
      </w:r>
      <w:r w:rsidRPr="00245DA7">
        <w:rPr>
          <w:sz w:val="16"/>
          <w:szCs w:val="16"/>
        </w:rPr>
        <w:t xml:space="preserve"> </w:t>
      </w:r>
      <w:hyperlink r:id="rId37" w:history="1">
        <w:r w:rsidRPr="00457D1F">
          <w:rPr>
            <w:rStyle w:val="Hyperlink"/>
            <w:i/>
            <w:sz w:val="16"/>
            <w:szCs w:val="16"/>
          </w:rPr>
          <w:t>Classification: Content Regulation and Convergent Media</w:t>
        </w:r>
      </w:hyperlink>
      <w:r>
        <w:rPr>
          <w:sz w:val="16"/>
          <w:szCs w:val="16"/>
        </w:rPr>
        <w:t xml:space="preserve"> (2012), </w:t>
      </w:r>
      <w:r w:rsidRPr="00EE4F94">
        <w:rPr>
          <w:sz w:val="16"/>
          <w:szCs w:val="16"/>
        </w:rPr>
        <w:t>chapter 15, page 341-352.</w:t>
      </w:r>
    </w:p>
  </w:footnote>
  <w:footnote w:id="41">
    <w:p w:rsidR="00251B04" w:rsidRPr="00B545CD" w:rsidRDefault="00251B04" w:rsidP="00E01F23">
      <w:pPr>
        <w:pStyle w:val="FootnoteText"/>
        <w:rPr>
          <w:sz w:val="16"/>
          <w:szCs w:val="16"/>
        </w:rPr>
      </w:pPr>
      <w:r>
        <w:rPr>
          <w:rStyle w:val="FootnoteReference"/>
        </w:rPr>
        <w:footnoteRef/>
      </w:r>
      <w:r>
        <w:t xml:space="preserve"> </w:t>
      </w:r>
      <w:r>
        <w:rPr>
          <w:sz w:val="16"/>
          <w:szCs w:val="16"/>
        </w:rPr>
        <w:t>ALRC</w:t>
      </w:r>
      <w:r w:rsidRPr="00245DA7">
        <w:rPr>
          <w:i/>
          <w:sz w:val="16"/>
          <w:szCs w:val="16"/>
        </w:rPr>
        <w:t>,</w:t>
      </w:r>
      <w:r w:rsidRPr="00245DA7">
        <w:rPr>
          <w:sz w:val="16"/>
          <w:szCs w:val="16"/>
        </w:rPr>
        <w:t xml:space="preserve"> </w:t>
      </w:r>
      <w:hyperlink r:id="rId38" w:history="1">
        <w:r w:rsidRPr="00457D1F">
          <w:rPr>
            <w:rStyle w:val="Hyperlink"/>
            <w:i/>
            <w:sz w:val="16"/>
            <w:szCs w:val="16"/>
          </w:rPr>
          <w:t>Classification: Content Regulation and Convergent Media</w:t>
        </w:r>
      </w:hyperlink>
      <w:r>
        <w:rPr>
          <w:sz w:val="16"/>
          <w:szCs w:val="16"/>
        </w:rPr>
        <w:t xml:space="preserve"> (2012),</w:t>
      </w:r>
      <w:r w:rsidRPr="00245DA7">
        <w:rPr>
          <w:sz w:val="16"/>
          <w:szCs w:val="16"/>
        </w:rPr>
        <w:t xml:space="preserve"> </w:t>
      </w:r>
      <w:r>
        <w:rPr>
          <w:sz w:val="16"/>
          <w:szCs w:val="16"/>
        </w:rPr>
        <w:t xml:space="preserve">paragraph 8.79. </w:t>
      </w:r>
    </w:p>
  </w:footnote>
  <w:footnote w:id="42">
    <w:p w:rsidR="00251B04" w:rsidRDefault="00251B04" w:rsidP="00E01F23">
      <w:pPr>
        <w:pStyle w:val="FootnoteText"/>
      </w:pPr>
      <w:r>
        <w:rPr>
          <w:rStyle w:val="FootnoteReference"/>
        </w:rPr>
        <w:footnoteRef/>
      </w:r>
      <w:r>
        <w:t xml:space="preserve"> </w:t>
      </w:r>
      <w:r>
        <w:rPr>
          <w:sz w:val="16"/>
          <w:szCs w:val="16"/>
        </w:rPr>
        <w:t>ALRC</w:t>
      </w:r>
      <w:r w:rsidRPr="00245DA7">
        <w:rPr>
          <w:i/>
          <w:sz w:val="16"/>
          <w:szCs w:val="16"/>
        </w:rPr>
        <w:t>,</w:t>
      </w:r>
      <w:r w:rsidRPr="00245DA7">
        <w:rPr>
          <w:sz w:val="16"/>
          <w:szCs w:val="16"/>
        </w:rPr>
        <w:t xml:space="preserve"> </w:t>
      </w:r>
      <w:hyperlink r:id="rId39" w:history="1">
        <w:r w:rsidRPr="00457D1F">
          <w:rPr>
            <w:rStyle w:val="Hyperlink"/>
            <w:i/>
            <w:sz w:val="16"/>
            <w:szCs w:val="16"/>
          </w:rPr>
          <w:t>Classification: Content Regulation and Convergent Media</w:t>
        </w:r>
      </w:hyperlink>
      <w:r>
        <w:rPr>
          <w:sz w:val="16"/>
          <w:szCs w:val="16"/>
        </w:rPr>
        <w:t xml:space="preserve"> (2012),</w:t>
      </w:r>
      <w:r w:rsidRPr="00245DA7">
        <w:rPr>
          <w:sz w:val="16"/>
          <w:szCs w:val="16"/>
        </w:rPr>
        <w:t xml:space="preserve"> </w:t>
      </w:r>
      <w:r>
        <w:rPr>
          <w:sz w:val="16"/>
          <w:szCs w:val="16"/>
        </w:rPr>
        <w:t>recommendation 8-5.</w:t>
      </w:r>
    </w:p>
  </w:footnote>
  <w:footnote w:id="43">
    <w:p w:rsidR="00251B04" w:rsidRDefault="00251B04" w:rsidP="009968EA">
      <w:pPr>
        <w:pStyle w:val="FootnoteText"/>
      </w:pPr>
      <w:r>
        <w:rPr>
          <w:rStyle w:val="FootnoteReference"/>
        </w:rPr>
        <w:footnoteRef/>
      </w:r>
      <w:r>
        <w:t xml:space="preserve"> </w:t>
      </w:r>
      <w:r w:rsidRPr="00897117">
        <w:rPr>
          <w:sz w:val="16"/>
          <w:szCs w:val="16"/>
        </w:rPr>
        <w:t xml:space="preserve">IGEA, </w:t>
      </w:r>
      <w:hyperlink r:id="rId40" w:history="1">
        <w:r w:rsidRPr="00CD1FC7">
          <w:rPr>
            <w:rStyle w:val="Hyperlink"/>
            <w:i/>
            <w:sz w:val="16"/>
            <w:szCs w:val="16"/>
          </w:rPr>
          <w:t>Aussies love for video games continue to grow</w:t>
        </w:r>
      </w:hyperlink>
      <w:r>
        <w:rPr>
          <w:sz w:val="16"/>
          <w:szCs w:val="16"/>
        </w:rPr>
        <w:t xml:space="preserve"> (2019).</w:t>
      </w:r>
    </w:p>
  </w:footnote>
  <w:footnote w:id="44">
    <w:p w:rsidR="00251B04" w:rsidRDefault="00251B04" w:rsidP="009968EA">
      <w:pPr>
        <w:pStyle w:val="FootnoteText"/>
      </w:pPr>
      <w:r>
        <w:rPr>
          <w:rStyle w:val="FootnoteReference"/>
        </w:rPr>
        <w:footnoteRef/>
      </w:r>
      <w:r>
        <w:t xml:space="preserve"> </w:t>
      </w:r>
      <w:r w:rsidRPr="0096738D">
        <w:rPr>
          <w:sz w:val="16"/>
          <w:szCs w:val="16"/>
        </w:rPr>
        <w:t>Jeffrey E. Brand,</w:t>
      </w:r>
      <w:r>
        <w:rPr>
          <w:sz w:val="16"/>
          <w:szCs w:val="16"/>
        </w:rPr>
        <w:t xml:space="preserve"> Jan Jervis, Patrice M. Huggins &amp; Tyler W. Wilson,</w:t>
      </w:r>
      <w:r w:rsidRPr="002A22BB">
        <w:rPr>
          <w:sz w:val="16"/>
          <w:szCs w:val="16"/>
        </w:rPr>
        <w:t xml:space="preserve"> </w:t>
      </w:r>
      <w:hyperlink r:id="rId41" w:history="1">
        <w:r w:rsidRPr="00CD1FC7">
          <w:rPr>
            <w:rStyle w:val="Hyperlink"/>
            <w:i/>
            <w:sz w:val="16"/>
            <w:szCs w:val="16"/>
          </w:rPr>
          <w:t>Digital Australia 2020: The Power of Games</w:t>
        </w:r>
      </w:hyperlink>
      <w:r>
        <w:rPr>
          <w:sz w:val="16"/>
          <w:szCs w:val="16"/>
        </w:rPr>
        <w:t xml:space="preserve"> (2019), slide 61.</w:t>
      </w:r>
    </w:p>
  </w:footnote>
  <w:footnote w:id="45">
    <w:p w:rsidR="00251B04" w:rsidRDefault="00251B04" w:rsidP="009968EA">
      <w:pPr>
        <w:pStyle w:val="FootnoteText"/>
      </w:pPr>
      <w:r>
        <w:rPr>
          <w:rStyle w:val="FootnoteReference"/>
        </w:rPr>
        <w:footnoteRef/>
      </w:r>
      <w:r>
        <w:t xml:space="preserve"> </w:t>
      </w:r>
      <w:r w:rsidRPr="00E20165">
        <w:rPr>
          <w:sz w:val="16"/>
          <w:szCs w:val="16"/>
        </w:rPr>
        <w:t xml:space="preserve">AHEDA, </w:t>
      </w:r>
      <w:hyperlink r:id="rId42" w:history="1">
        <w:r w:rsidRPr="00CD1FC7">
          <w:rPr>
            <w:rStyle w:val="Hyperlink"/>
            <w:i/>
            <w:sz w:val="16"/>
            <w:szCs w:val="16"/>
          </w:rPr>
          <w:t>2018 Yearbook</w:t>
        </w:r>
      </w:hyperlink>
      <w:r w:rsidRPr="00E20165">
        <w:rPr>
          <w:sz w:val="16"/>
          <w:szCs w:val="16"/>
        </w:rPr>
        <w:t xml:space="preserve"> (2018), chapter 2, page 48.</w:t>
      </w:r>
    </w:p>
  </w:footnote>
  <w:footnote w:id="46">
    <w:p w:rsidR="00251B04" w:rsidRDefault="00251B04" w:rsidP="009968EA">
      <w:pPr>
        <w:pStyle w:val="FootnoteText"/>
      </w:pPr>
      <w:r>
        <w:rPr>
          <w:rStyle w:val="FootnoteReference"/>
        </w:rPr>
        <w:footnoteRef/>
      </w:r>
      <w:r>
        <w:t xml:space="preserve"> </w:t>
      </w:r>
      <w:r w:rsidRPr="002F2874">
        <w:rPr>
          <w:sz w:val="16"/>
          <w:szCs w:val="16"/>
        </w:rPr>
        <w:t xml:space="preserve">Screen Australia, </w:t>
      </w:r>
      <w:hyperlink r:id="rId43" w:history="1">
        <w:r w:rsidRPr="00CD1FC7">
          <w:rPr>
            <w:rStyle w:val="Hyperlink"/>
            <w:i/>
            <w:sz w:val="16"/>
            <w:szCs w:val="16"/>
          </w:rPr>
          <w:t>Cinema industry trends</w:t>
        </w:r>
      </w:hyperlink>
      <w:r w:rsidRPr="002F2874">
        <w:rPr>
          <w:sz w:val="16"/>
          <w:szCs w:val="16"/>
        </w:rPr>
        <w:t xml:space="preserve"> (2019)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04" w:rsidRPr="00AD7475" w:rsidRDefault="00251B04" w:rsidP="001629C7">
    <w:pPr>
      <w:pStyle w:val="Header"/>
      <w:tabs>
        <w:tab w:val="clear" w:pos="9026"/>
        <w:tab w:val="right" w:pos="9333"/>
      </w:tabs>
      <w:ind w:right="-46"/>
      <w:rPr>
        <w:color w:val="001C40"/>
      </w:rPr>
    </w:pPr>
    <w:r w:rsidRPr="00AD7475">
      <w:rPr>
        <w:color w:val="001C40"/>
      </w:rPr>
      <w:t>Department o</w:t>
    </w:r>
    <w:r>
      <w:rPr>
        <w:color w:val="001C40"/>
      </w:rPr>
      <w:t>f Communications and the Arts</w:t>
    </w:r>
    <w:r>
      <w:rPr>
        <w:color w:val="001C40"/>
      </w:rPr>
      <w:tab/>
    </w:r>
    <w:r>
      <w:rPr>
        <w:color w:val="001C40"/>
      </w:rPr>
      <w:tab/>
      <w:t>January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04" w:rsidRDefault="00251B04" w:rsidP="005113AA">
    <w:pPr>
      <w:pStyle w:val="Header"/>
      <w:tabs>
        <w:tab w:val="clear" w:pos="9026"/>
        <w:tab w:val="right" w:pos="9333"/>
      </w:tabs>
      <w:ind w:right="-46"/>
      <w:rPr>
        <w:color w:val="001C40"/>
      </w:rPr>
    </w:pPr>
    <w:r w:rsidRPr="00AD7475">
      <w:rPr>
        <w:color w:val="001C40"/>
      </w:rPr>
      <w:t>Department o</w:t>
    </w:r>
    <w:r>
      <w:rPr>
        <w:color w:val="001C40"/>
      </w:rPr>
      <w:t>f Communications and the Arts</w:t>
    </w:r>
    <w:r>
      <w:rPr>
        <w:color w:val="001C40"/>
      </w:rPr>
      <w:tab/>
    </w:r>
    <w:r>
      <w:rPr>
        <w:color w:val="001C40"/>
      </w:rPr>
      <w:tab/>
      <w:t>January 2020</w:t>
    </w:r>
  </w:p>
  <w:p w:rsidR="008165F4" w:rsidRPr="00EE3EE9" w:rsidRDefault="008165F4" w:rsidP="008165F4">
    <w:pPr>
      <w:pStyle w:val="Header"/>
      <w:tabs>
        <w:tab w:val="clear" w:pos="9026"/>
        <w:tab w:val="right" w:pos="9333"/>
      </w:tabs>
      <w:ind w:right="-46"/>
      <w:jc w:val="right"/>
      <w:rPr>
        <w:i/>
        <w:color w:val="001C40"/>
      </w:rPr>
    </w:pPr>
    <w:r>
      <w:rPr>
        <w:i/>
        <w:color w:val="001C40"/>
      </w:rPr>
      <w:fldChar w:fldCharType="begin"/>
    </w:r>
    <w:r>
      <w:rPr>
        <w:i/>
        <w:color w:val="001C40"/>
      </w:rPr>
      <w:instrText xml:space="preserve"> STYLEREF  "Heading 2"  \* MERGEFORMAT </w:instrText>
    </w:r>
    <w:r>
      <w:rPr>
        <w:i/>
        <w:color w:val="001C40"/>
      </w:rPr>
      <w:fldChar w:fldCharType="separate"/>
    </w:r>
    <w:r w:rsidR="00292A31">
      <w:rPr>
        <w:i/>
        <w:noProof/>
        <w:color w:val="001C40"/>
      </w:rPr>
      <w:t>Appendix 2 – Classification tools: IARC tool and Netflix tool</w:t>
    </w:r>
    <w:r>
      <w:rPr>
        <w:i/>
        <w:color w:val="001C4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11"/>
    <w:multiLevelType w:val="hybridMultilevel"/>
    <w:tmpl w:val="3BC2EF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3B0301"/>
    <w:multiLevelType w:val="hybridMultilevel"/>
    <w:tmpl w:val="F25E8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967B3"/>
    <w:multiLevelType w:val="hybridMultilevel"/>
    <w:tmpl w:val="B8A65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176072"/>
    <w:multiLevelType w:val="hybridMultilevel"/>
    <w:tmpl w:val="43A8E1FC"/>
    <w:lvl w:ilvl="0" w:tplc="02CEE002">
      <w:start w:val="1"/>
      <w:numFmt w:val="decimal"/>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67729B"/>
    <w:multiLevelType w:val="hybridMultilevel"/>
    <w:tmpl w:val="BFCA3B64"/>
    <w:lvl w:ilvl="0" w:tplc="F91EA3F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950FF4"/>
    <w:multiLevelType w:val="hybridMultilevel"/>
    <w:tmpl w:val="0FEAC6FC"/>
    <w:lvl w:ilvl="0" w:tplc="33F6B3D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291C9D"/>
    <w:multiLevelType w:val="hybridMultilevel"/>
    <w:tmpl w:val="F8A6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9F4325"/>
    <w:multiLevelType w:val="hybridMultilevel"/>
    <w:tmpl w:val="D62028C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D870F0"/>
    <w:multiLevelType w:val="hybridMultilevel"/>
    <w:tmpl w:val="00B2036C"/>
    <w:lvl w:ilvl="0" w:tplc="0C090001">
      <w:start w:val="1"/>
      <w:numFmt w:val="bullet"/>
      <w:lvlText w:val=""/>
      <w:lvlJc w:val="left"/>
      <w:pPr>
        <w:ind w:left="720" w:hanging="360"/>
      </w:pPr>
      <w:rPr>
        <w:rFonts w:ascii="Symbol" w:hAnsi="Symbol"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34776C0"/>
    <w:multiLevelType w:val="hybridMultilevel"/>
    <w:tmpl w:val="5D14496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B449A8"/>
    <w:multiLevelType w:val="hybridMultilevel"/>
    <w:tmpl w:val="DD86D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51493A"/>
    <w:multiLevelType w:val="hybridMultilevel"/>
    <w:tmpl w:val="10585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B07FF4"/>
    <w:multiLevelType w:val="hybridMultilevel"/>
    <w:tmpl w:val="43A8E1FC"/>
    <w:lvl w:ilvl="0" w:tplc="02CEE002">
      <w:start w:val="1"/>
      <w:numFmt w:val="decimal"/>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053EFA"/>
    <w:multiLevelType w:val="hybridMultilevel"/>
    <w:tmpl w:val="80A4A4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5375CC"/>
    <w:multiLevelType w:val="hybridMultilevel"/>
    <w:tmpl w:val="9AEA6B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5078C2"/>
    <w:multiLevelType w:val="hybridMultilevel"/>
    <w:tmpl w:val="0C766CD0"/>
    <w:lvl w:ilvl="0" w:tplc="D56297DE">
      <w:start w:val="1"/>
      <w:numFmt w:val="bullet"/>
      <w:lvlText w:val=""/>
      <w:lvlJc w:val="left"/>
      <w:pPr>
        <w:ind w:left="360" w:hanging="360"/>
      </w:pPr>
      <w:rPr>
        <w:rFonts w:ascii="Symbol" w:hAnsi="Symbol" w:hint="default"/>
      </w:rPr>
    </w:lvl>
    <w:lvl w:ilvl="1" w:tplc="93B281B0">
      <w:start w:val="1"/>
      <w:numFmt w:val="bullet"/>
      <w:lvlText w:val="o"/>
      <w:lvlJc w:val="left"/>
      <w:pPr>
        <w:ind w:left="1080" w:hanging="360"/>
      </w:pPr>
      <w:rPr>
        <w:rFonts w:ascii="Courier New" w:hAnsi="Courier New" w:cs="Courier New" w:hint="default"/>
      </w:rPr>
    </w:lvl>
    <w:lvl w:ilvl="2" w:tplc="BAFE20DA" w:tentative="1">
      <w:start w:val="1"/>
      <w:numFmt w:val="bullet"/>
      <w:lvlText w:val=""/>
      <w:lvlJc w:val="left"/>
      <w:pPr>
        <w:ind w:left="1800" w:hanging="360"/>
      </w:pPr>
      <w:rPr>
        <w:rFonts w:ascii="Wingdings" w:hAnsi="Wingdings" w:hint="default"/>
      </w:rPr>
    </w:lvl>
    <w:lvl w:ilvl="3" w:tplc="998063D6" w:tentative="1">
      <w:start w:val="1"/>
      <w:numFmt w:val="bullet"/>
      <w:lvlText w:val=""/>
      <w:lvlJc w:val="left"/>
      <w:pPr>
        <w:ind w:left="2520" w:hanging="360"/>
      </w:pPr>
      <w:rPr>
        <w:rFonts w:ascii="Symbol" w:hAnsi="Symbol" w:hint="default"/>
      </w:rPr>
    </w:lvl>
    <w:lvl w:ilvl="4" w:tplc="6C125570" w:tentative="1">
      <w:start w:val="1"/>
      <w:numFmt w:val="bullet"/>
      <w:lvlText w:val="o"/>
      <w:lvlJc w:val="left"/>
      <w:pPr>
        <w:ind w:left="3240" w:hanging="360"/>
      </w:pPr>
      <w:rPr>
        <w:rFonts w:ascii="Courier New" w:hAnsi="Courier New" w:cs="Courier New" w:hint="default"/>
      </w:rPr>
    </w:lvl>
    <w:lvl w:ilvl="5" w:tplc="2AD69BB4" w:tentative="1">
      <w:start w:val="1"/>
      <w:numFmt w:val="bullet"/>
      <w:lvlText w:val=""/>
      <w:lvlJc w:val="left"/>
      <w:pPr>
        <w:ind w:left="3960" w:hanging="360"/>
      </w:pPr>
      <w:rPr>
        <w:rFonts w:ascii="Wingdings" w:hAnsi="Wingdings" w:hint="default"/>
      </w:rPr>
    </w:lvl>
    <w:lvl w:ilvl="6" w:tplc="E2381D7A" w:tentative="1">
      <w:start w:val="1"/>
      <w:numFmt w:val="bullet"/>
      <w:lvlText w:val=""/>
      <w:lvlJc w:val="left"/>
      <w:pPr>
        <w:ind w:left="4680" w:hanging="360"/>
      </w:pPr>
      <w:rPr>
        <w:rFonts w:ascii="Symbol" w:hAnsi="Symbol" w:hint="default"/>
      </w:rPr>
    </w:lvl>
    <w:lvl w:ilvl="7" w:tplc="3AD09DE8" w:tentative="1">
      <w:start w:val="1"/>
      <w:numFmt w:val="bullet"/>
      <w:lvlText w:val="o"/>
      <w:lvlJc w:val="left"/>
      <w:pPr>
        <w:ind w:left="5400" w:hanging="360"/>
      </w:pPr>
      <w:rPr>
        <w:rFonts w:ascii="Courier New" w:hAnsi="Courier New" w:cs="Courier New" w:hint="default"/>
      </w:rPr>
    </w:lvl>
    <w:lvl w:ilvl="8" w:tplc="7B780D2C" w:tentative="1">
      <w:start w:val="1"/>
      <w:numFmt w:val="bullet"/>
      <w:lvlText w:val=""/>
      <w:lvlJc w:val="left"/>
      <w:pPr>
        <w:ind w:left="6120" w:hanging="360"/>
      </w:pPr>
      <w:rPr>
        <w:rFonts w:ascii="Wingdings" w:hAnsi="Wingdings" w:hint="default"/>
      </w:rPr>
    </w:lvl>
  </w:abstractNum>
  <w:abstractNum w:abstractNumId="17"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084669E"/>
    <w:multiLevelType w:val="hybridMultilevel"/>
    <w:tmpl w:val="23B8B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062314"/>
    <w:multiLevelType w:val="hybridMultilevel"/>
    <w:tmpl w:val="3C90C1BE"/>
    <w:lvl w:ilvl="0" w:tplc="5A4ED0A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524848"/>
    <w:multiLevelType w:val="hybridMultilevel"/>
    <w:tmpl w:val="58448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E3C0940"/>
    <w:multiLevelType w:val="hybridMultilevel"/>
    <w:tmpl w:val="28385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5"/>
  </w:num>
  <w:num w:numId="3">
    <w:abstractNumId w:val="17"/>
  </w:num>
  <w:num w:numId="4">
    <w:abstractNumId w:val="18"/>
  </w:num>
  <w:num w:numId="5">
    <w:abstractNumId w:val="13"/>
  </w:num>
  <w:num w:numId="6">
    <w:abstractNumId w:val="3"/>
  </w:num>
  <w:num w:numId="7">
    <w:abstractNumId w:val="15"/>
  </w:num>
  <w:num w:numId="8">
    <w:abstractNumId w:val="9"/>
  </w:num>
  <w:num w:numId="9">
    <w:abstractNumId w:val="0"/>
  </w:num>
  <w:num w:numId="10">
    <w:abstractNumId w:val="10"/>
  </w:num>
  <w:num w:numId="11">
    <w:abstractNumId w:val="14"/>
  </w:num>
  <w:num w:numId="12">
    <w:abstractNumId w:val="6"/>
  </w:num>
  <w:num w:numId="13">
    <w:abstractNumId w:val="11"/>
  </w:num>
  <w:num w:numId="14">
    <w:abstractNumId w:val="20"/>
  </w:num>
  <w:num w:numId="15">
    <w:abstractNumId w:val="12"/>
  </w:num>
  <w:num w:numId="16">
    <w:abstractNumId w:val="8"/>
  </w:num>
  <w:num w:numId="17">
    <w:abstractNumId w:val="4"/>
  </w:num>
  <w:num w:numId="18">
    <w:abstractNumId w:val="22"/>
  </w:num>
  <w:num w:numId="19">
    <w:abstractNumId w:val="16"/>
  </w:num>
  <w:num w:numId="20">
    <w:abstractNumId w:val="17"/>
  </w:num>
  <w:num w:numId="21">
    <w:abstractNumId w:val="1"/>
  </w:num>
  <w:num w:numId="22">
    <w:abstractNumId w:val="2"/>
  </w:num>
  <w:num w:numId="23">
    <w:abstractNumId w:val="17"/>
  </w:num>
  <w:num w:numId="24">
    <w:abstractNumId w:val="17"/>
  </w:num>
  <w:num w:numId="25">
    <w:abstractNumId w:val="7"/>
  </w:num>
  <w:num w:numId="26">
    <w:abstractNumId w:val="19"/>
  </w:num>
  <w:num w:numId="27">
    <w:abstractNumId w:val="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C3"/>
    <w:rsid w:val="0000029E"/>
    <w:rsid w:val="00001551"/>
    <w:rsid w:val="000018C6"/>
    <w:rsid w:val="00001EBF"/>
    <w:rsid w:val="00001F65"/>
    <w:rsid w:val="0000375A"/>
    <w:rsid w:val="00003B02"/>
    <w:rsid w:val="00003C53"/>
    <w:rsid w:val="00004709"/>
    <w:rsid w:val="000047AE"/>
    <w:rsid w:val="00004865"/>
    <w:rsid w:val="000056FD"/>
    <w:rsid w:val="00005A44"/>
    <w:rsid w:val="0000652F"/>
    <w:rsid w:val="00007A3E"/>
    <w:rsid w:val="000103A7"/>
    <w:rsid w:val="00010974"/>
    <w:rsid w:val="00010B48"/>
    <w:rsid w:val="00010F32"/>
    <w:rsid w:val="00011903"/>
    <w:rsid w:val="000151A1"/>
    <w:rsid w:val="00016E71"/>
    <w:rsid w:val="00017159"/>
    <w:rsid w:val="00017A27"/>
    <w:rsid w:val="00021F06"/>
    <w:rsid w:val="00022DC4"/>
    <w:rsid w:val="00022F03"/>
    <w:rsid w:val="0002354B"/>
    <w:rsid w:val="00023989"/>
    <w:rsid w:val="00027CAF"/>
    <w:rsid w:val="00031D9D"/>
    <w:rsid w:val="00033C97"/>
    <w:rsid w:val="0003420B"/>
    <w:rsid w:val="00036353"/>
    <w:rsid w:val="000366E7"/>
    <w:rsid w:val="00036E2C"/>
    <w:rsid w:val="000376C1"/>
    <w:rsid w:val="000379A2"/>
    <w:rsid w:val="00040D80"/>
    <w:rsid w:val="00042234"/>
    <w:rsid w:val="00042DAE"/>
    <w:rsid w:val="00043287"/>
    <w:rsid w:val="000446AC"/>
    <w:rsid w:val="00045331"/>
    <w:rsid w:val="0004577B"/>
    <w:rsid w:val="00045AC7"/>
    <w:rsid w:val="00045FB0"/>
    <w:rsid w:val="000461F6"/>
    <w:rsid w:val="00046F38"/>
    <w:rsid w:val="0005082A"/>
    <w:rsid w:val="00051582"/>
    <w:rsid w:val="00052F39"/>
    <w:rsid w:val="00053901"/>
    <w:rsid w:val="00054279"/>
    <w:rsid w:val="00054307"/>
    <w:rsid w:val="00054A84"/>
    <w:rsid w:val="00054EB5"/>
    <w:rsid w:val="0005794C"/>
    <w:rsid w:val="000605FD"/>
    <w:rsid w:val="000622FD"/>
    <w:rsid w:val="00064883"/>
    <w:rsid w:val="00064AB1"/>
    <w:rsid w:val="00067CAB"/>
    <w:rsid w:val="00070753"/>
    <w:rsid w:val="000708B2"/>
    <w:rsid w:val="00074870"/>
    <w:rsid w:val="0007496D"/>
    <w:rsid w:val="000752A3"/>
    <w:rsid w:val="00075A19"/>
    <w:rsid w:val="00080023"/>
    <w:rsid w:val="00080793"/>
    <w:rsid w:val="00080BEC"/>
    <w:rsid w:val="00081C6E"/>
    <w:rsid w:val="00081E12"/>
    <w:rsid w:val="00082BE3"/>
    <w:rsid w:val="00083764"/>
    <w:rsid w:val="00083A4A"/>
    <w:rsid w:val="00083A95"/>
    <w:rsid w:val="00084CCC"/>
    <w:rsid w:val="00084CF6"/>
    <w:rsid w:val="000854EB"/>
    <w:rsid w:val="00086933"/>
    <w:rsid w:val="000869BE"/>
    <w:rsid w:val="00086FD3"/>
    <w:rsid w:val="00087035"/>
    <w:rsid w:val="00087BE6"/>
    <w:rsid w:val="0009107E"/>
    <w:rsid w:val="00091406"/>
    <w:rsid w:val="000950E6"/>
    <w:rsid w:val="00095E55"/>
    <w:rsid w:val="000963B1"/>
    <w:rsid w:val="00096907"/>
    <w:rsid w:val="000A0959"/>
    <w:rsid w:val="000A20EA"/>
    <w:rsid w:val="000A38D6"/>
    <w:rsid w:val="000A5DD4"/>
    <w:rsid w:val="000A5E0E"/>
    <w:rsid w:val="000A5EDF"/>
    <w:rsid w:val="000A6382"/>
    <w:rsid w:val="000A7968"/>
    <w:rsid w:val="000A7A66"/>
    <w:rsid w:val="000A7AA0"/>
    <w:rsid w:val="000B0F33"/>
    <w:rsid w:val="000B181E"/>
    <w:rsid w:val="000B1BD1"/>
    <w:rsid w:val="000B219E"/>
    <w:rsid w:val="000B2B66"/>
    <w:rsid w:val="000B393F"/>
    <w:rsid w:val="000B672E"/>
    <w:rsid w:val="000B68D6"/>
    <w:rsid w:val="000C09A5"/>
    <w:rsid w:val="000C18D2"/>
    <w:rsid w:val="000C2A65"/>
    <w:rsid w:val="000C3E34"/>
    <w:rsid w:val="000C454F"/>
    <w:rsid w:val="000C686B"/>
    <w:rsid w:val="000D1442"/>
    <w:rsid w:val="000D2315"/>
    <w:rsid w:val="000D31A1"/>
    <w:rsid w:val="000D3689"/>
    <w:rsid w:val="000D3A09"/>
    <w:rsid w:val="000D3ACD"/>
    <w:rsid w:val="000D451C"/>
    <w:rsid w:val="000D6B60"/>
    <w:rsid w:val="000D79F3"/>
    <w:rsid w:val="000E0C21"/>
    <w:rsid w:val="000E218F"/>
    <w:rsid w:val="000E28E9"/>
    <w:rsid w:val="000E2CA5"/>
    <w:rsid w:val="000E3B2A"/>
    <w:rsid w:val="000E425F"/>
    <w:rsid w:val="000E439E"/>
    <w:rsid w:val="000E4AC0"/>
    <w:rsid w:val="000E55B1"/>
    <w:rsid w:val="000E58E5"/>
    <w:rsid w:val="000E688C"/>
    <w:rsid w:val="000E6B36"/>
    <w:rsid w:val="000E6FDE"/>
    <w:rsid w:val="000F13C4"/>
    <w:rsid w:val="000F3BBC"/>
    <w:rsid w:val="000F7BC6"/>
    <w:rsid w:val="000F7F68"/>
    <w:rsid w:val="00101DF6"/>
    <w:rsid w:val="001023A4"/>
    <w:rsid w:val="00102855"/>
    <w:rsid w:val="001065A1"/>
    <w:rsid w:val="00106DA3"/>
    <w:rsid w:val="00107177"/>
    <w:rsid w:val="00107A61"/>
    <w:rsid w:val="001132F0"/>
    <w:rsid w:val="00113D6D"/>
    <w:rsid w:val="001149F3"/>
    <w:rsid w:val="00115B2D"/>
    <w:rsid w:val="001168D8"/>
    <w:rsid w:val="00116B4C"/>
    <w:rsid w:val="00116F83"/>
    <w:rsid w:val="0012012C"/>
    <w:rsid w:val="001201D2"/>
    <w:rsid w:val="00120943"/>
    <w:rsid w:val="00120BBF"/>
    <w:rsid w:val="001217EF"/>
    <w:rsid w:val="00121C58"/>
    <w:rsid w:val="00123700"/>
    <w:rsid w:val="0012400D"/>
    <w:rsid w:val="001253D9"/>
    <w:rsid w:val="0013157E"/>
    <w:rsid w:val="00136449"/>
    <w:rsid w:val="00141795"/>
    <w:rsid w:val="00141CC2"/>
    <w:rsid w:val="0014205D"/>
    <w:rsid w:val="00142F94"/>
    <w:rsid w:val="001433B1"/>
    <w:rsid w:val="001440A4"/>
    <w:rsid w:val="0014462D"/>
    <w:rsid w:val="00144DFC"/>
    <w:rsid w:val="001456DC"/>
    <w:rsid w:val="00147673"/>
    <w:rsid w:val="001507C0"/>
    <w:rsid w:val="00150D02"/>
    <w:rsid w:val="001517EE"/>
    <w:rsid w:val="00151D24"/>
    <w:rsid w:val="00155E7A"/>
    <w:rsid w:val="001565EA"/>
    <w:rsid w:val="00156739"/>
    <w:rsid w:val="00156B1D"/>
    <w:rsid w:val="00157082"/>
    <w:rsid w:val="00160249"/>
    <w:rsid w:val="00161163"/>
    <w:rsid w:val="0016154D"/>
    <w:rsid w:val="0016167A"/>
    <w:rsid w:val="00161A8E"/>
    <w:rsid w:val="001629C7"/>
    <w:rsid w:val="00162C24"/>
    <w:rsid w:val="0016316C"/>
    <w:rsid w:val="001644B1"/>
    <w:rsid w:val="00165D76"/>
    <w:rsid w:val="00165F78"/>
    <w:rsid w:val="001660C7"/>
    <w:rsid w:val="00166D1B"/>
    <w:rsid w:val="00167435"/>
    <w:rsid w:val="00167CED"/>
    <w:rsid w:val="00171F77"/>
    <w:rsid w:val="0017323F"/>
    <w:rsid w:val="00174562"/>
    <w:rsid w:val="00174698"/>
    <w:rsid w:val="00175036"/>
    <w:rsid w:val="0017660D"/>
    <w:rsid w:val="001776DD"/>
    <w:rsid w:val="00177FDA"/>
    <w:rsid w:val="001821D9"/>
    <w:rsid w:val="00183206"/>
    <w:rsid w:val="001845E7"/>
    <w:rsid w:val="00185A68"/>
    <w:rsid w:val="00187D99"/>
    <w:rsid w:val="00187F7A"/>
    <w:rsid w:val="0019078F"/>
    <w:rsid w:val="00192289"/>
    <w:rsid w:val="00193179"/>
    <w:rsid w:val="00193751"/>
    <w:rsid w:val="00193CAE"/>
    <w:rsid w:val="00194238"/>
    <w:rsid w:val="001951F6"/>
    <w:rsid w:val="00196889"/>
    <w:rsid w:val="001972CF"/>
    <w:rsid w:val="00197F12"/>
    <w:rsid w:val="001A12FD"/>
    <w:rsid w:val="001A177C"/>
    <w:rsid w:val="001A361E"/>
    <w:rsid w:val="001A41F4"/>
    <w:rsid w:val="001A56A1"/>
    <w:rsid w:val="001A62C1"/>
    <w:rsid w:val="001A6DDD"/>
    <w:rsid w:val="001A7FE9"/>
    <w:rsid w:val="001B02C7"/>
    <w:rsid w:val="001B17C7"/>
    <w:rsid w:val="001B19E3"/>
    <w:rsid w:val="001B3DA5"/>
    <w:rsid w:val="001B4260"/>
    <w:rsid w:val="001B4685"/>
    <w:rsid w:val="001B5AF5"/>
    <w:rsid w:val="001B5DAA"/>
    <w:rsid w:val="001B74A2"/>
    <w:rsid w:val="001B7503"/>
    <w:rsid w:val="001B7AE7"/>
    <w:rsid w:val="001B7C1F"/>
    <w:rsid w:val="001C1CBA"/>
    <w:rsid w:val="001C1D05"/>
    <w:rsid w:val="001C1D2F"/>
    <w:rsid w:val="001C2427"/>
    <w:rsid w:val="001C413F"/>
    <w:rsid w:val="001C557E"/>
    <w:rsid w:val="001C6DD1"/>
    <w:rsid w:val="001D16C9"/>
    <w:rsid w:val="001D1719"/>
    <w:rsid w:val="001D1A4E"/>
    <w:rsid w:val="001D27FD"/>
    <w:rsid w:val="001D28B7"/>
    <w:rsid w:val="001D358E"/>
    <w:rsid w:val="001D39BD"/>
    <w:rsid w:val="001D4FAC"/>
    <w:rsid w:val="001D5875"/>
    <w:rsid w:val="001D5AA3"/>
    <w:rsid w:val="001D7C89"/>
    <w:rsid w:val="001D7FB8"/>
    <w:rsid w:val="001E0B47"/>
    <w:rsid w:val="001E1D7C"/>
    <w:rsid w:val="001E34E6"/>
    <w:rsid w:val="001E3970"/>
    <w:rsid w:val="001E3D57"/>
    <w:rsid w:val="001E4509"/>
    <w:rsid w:val="001E509C"/>
    <w:rsid w:val="001F04E7"/>
    <w:rsid w:val="001F0F3D"/>
    <w:rsid w:val="001F2900"/>
    <w:rsid w:val="001F2961"/>
    <w:rsid w:val="001F2B41"/>
    <w:rsid w:val="001F39F0"/>
    <w:rsid w:val="001F6C4D"/>
    <w:rsid w:val="002001BF"/>
    <w:rsid w:val="002029C2"/>
    <w:rsid w:val="002035EF"/>
    <w:rsid w:val="00203EF5"/>
    <w:rsid w:val="00207075"/>
    <w:rsid w:val="00210CA2"/>
    <w:rsid w:val="00212617"/>
    <w:rsid w:val="00212728"/>
    <w:rsid w:val="002128D2"/>
    <w:rsid w:val="0021331C"/>
    <w:rsid w:val="00214CE6"/>
    <w:rsid w:val="00214D06"/>
    <w:rsid w:val="002168BB"/>
    <w:rsid w:val="002173C9"/>
    <w:rsid w:val="002177E1"/>
    <w:rsid w:val="002178A1"/>
    <w:rsid w:val="00223511"/>
    <w:rsid w:val="002236C8"/>
    <w:rsid w:val="00224015"/>
    <w:rsid w:val="002242B3"/>
    <w:rsid w:val="002243C3"/>
    <w:rsid w:val="00224D6B"/>
    <w:rsid w:val="00225DDD"/>
    <w:rsid w:val="00225F6D"/>
    <w:rsid w:val="00226C14"/>
    <w:rsid w:val="00230FDB"/>
    <w:rsid w:val="00231021"/>
    <w:rsid w:val="002315C7"/>
    <w:rsid w:val="00232F0C"/>
    <w:rsid w:val="00233FEF"/>
    <w:rsid w:val="00236F06"/>
    <w:rsid w:val="00237952"/>
    <w:rsid w:val="0024049B"/>
    <w:rsid w:val="002413CE"/>
    <w:rsid w:val="00241CF0"/>
    <w:rsid w:val="0024227E"/>
    <w:rsid w:val="00242A70"/>
    <w:rsid w:val="00243B21"/>
    <w:rsid w:val="00243E3C"/>
    <w:rsid w:val="002442E4"/>
    <w:rsid w:val="0024659E"/>
    <w:rsid w:val="002478B2"/>
    <w:rsid w:val="002514B9"/>
    <w:rsid w:val="00251B04"/>
    <w:rsid w:val="00253716"/>
    <w:rsid w:val="00254AC8"/>
    <w:rsid w:val="00255CFD"/>
    <w:rsid w:val="00255FDE"/>
    <w:rsid w:val="002566BD"/>
    <w:rsid w:val="00256B5D"/>
    <w:rsid w:val="00257212"/>
    <w:rsid w:val="002628EC"/>
    <w:rsid w:val="00262E23"/>
    <w:rsid w:val="002635A0"/>
    <w:rsid w:val="00264635"/>
    <w:rsid w:val="0026726D"/>
    <w:rsid w:val="00267402"/>
    <w:rsid w:val="00267880"/>
    <w:rsid w:val="00267C26"/>
    <w:rsid w:val="0027092C"/>
    <w:rsid w:val="00273105"/>
    <w:rsid w:val="002736EC"/>
    <w:rsid w:val="00274639"/>
    <w:rsid w:val="00275E0D"/>
    <w:rsid w:val="002776D4"/>
    <w:rsid w:val="00280898"/>
    <w:rsid w:val="00282076"/>
    <w:rsid w:val="00282942"/>
    <w:rsid w:val="00283F5F"/>
    <w:rsid w:val="00284048"/>
    <w:rsid w:val="00285D03"/>
    <w:rsid w:val="0028604D"/>
    <w:rsid w:val="00286512"/>
    <w:rsid w:val="00290336"/>
    <w:rsid w:val="00290AEA"/>
    <w:rsid w:val="002917F0"/>
    <w:rsid w:val="00291DF8"/>
    <w:rsid w:val="00292170"/>
    <w:rsid w:val="00292A31"/>
    <w:rsid w:val="002932C4"/>
    <w:rsid w:val="0029381B"/>
    <w:rsid w:val="00293A10"/>
    <w:rsid w:val="00293B19"/>
    <w:rsid w:val="002951C1"/>
    <w:rsid w:val="00295418"/>
    <w:rsid w:val="00297A7F"/>
    <w:rsid w:val="00297E2A"/>
    <w:rsid w:val="002A08EF"/>
    <w:rsid w:val="002A22BB"/>
    <w:rsid w:val="002A26D3"/>
    <w:rsid w:val="002A3A1C"/>
    <w:rsid w:val="002A46C3"/>
    <w:rsid w:val="002A56DD"/>
    <w:rsid w:val="002A5D07"/>
    <w:rsid w:val="002A64F7"/>
    <w:rsid w:val="002A6B39"/>
    <w:rsid w:val="002A716C"/>
    <w:rsid w:val="002A759A"/>
    <w:rsid w:val="002B092B"/>
    <w:rsid w:val="002B3449"/>
    <w:rsid w:val="002B5BA8"/>
    <w:rsid w:val="002B7BC2"/>
    <w:rsid w:val="002B7F26"/>
    <w:rsid w:val="002C0017"/>
    <w:rsid w:val="002C01A4"/>
    <w:rsid w:val="002C10F9"/>
    <w:rsid w:val="002C1BD4"/>
    <w:rsid w:val="002C2D8F"/>
    <w:rsid w:val="002C31A5"/>
    <w:rsid w:val="002C595C"/>
    <w:rsid w:val="002C71A9"/>
    <w:rsid w:val="002C7C6F"/>
    <w:rsid w:val="002D0F12"/>
    <w:rsid w:val="002D2756"/>
    <w:rsid w:val="002D6753"/>
    <w:rsid w:val="002D6F72"/>
    <w:rsid w:val="002D770B"/>
    <w:rsid w:val="002D7AB4"/>
    <w:rsid w:val="002E1A07"/>
    <w:rsid w:val="002E1B40"/>
    <w:rsid w:val="002E6272"/>
    <w:rsid w:val="002E661F"/>
    <w:rsid w:val="002E72FA"/>
    <w:rsid w:val="002F1BDA"/>
    <w:rsid w:val="002F1C79"/>
    <w:rsid w:val="002F2874"/>
    <w:rsid w:val="002F2E89"/>
    <w:rsid w:val="002F3137"/>
    <w:rsid w:val="002F3143"/>
    <w:rsid w:val="002F48B1"/>
    <w:rsid w:val="002F4C2D"/>
    <w:rsid w:val="002F4C5C"/>
    <w:rsid w:val="002F4CD6"/>
    <w:rsid w:val="002F57BD"/>
    <w:rsid w:val="002F5C38"/>
    <w:rsid w:val="002F7A8F"/>
    <w:rsid w:val="00300613"/>
    <w:rsid w:val="00300808"/>
    <w:rsid w:val="00300BDD"/>
    <w:rsid w:val="0030106F"/>
    <w:rsid w:val="00302441"/>
    <w:rsid w:val="0030308C"/>
    <w:rsid w:val="003030D5"/>
    <w:rsid w:val="00304B85"/>
    <w:rsid w:val="00305E73"/>
    <w:rsid w:val="00306099"/>
    <w:rsid w:val="00306DC7"/>
    <w:rsid w:val="00307B57"/>
    <w:rsid w:val="00310967"/>
    <w:rsid w:val="00312629"/>
    <w:rsid w:val="003126F7"/>
    <w:rsid w:val="00312715"/>
    <w:rsid w:val="00314D83"/>
    <w:rsid w:val="003209E4"/>
    <w:rsid w:val="003217AA"/>
    <w:rsid w:val="00321DC3"/>
    <w:rsid w:val="00321E01"/>
    <w:rsid w:val="00322086"/>
    <w:rsid w:val="00323B4B"/>
    <w:rsid w:val="00323BB6"/>
    <w:rsid w:val="00324391"/>
    <w:rsid w:val="0032692A"/>
    <w:rsid w:val="00326E3A"/>
    <w:rsid w:val="00330DE0"/>
    <w:rsid w:val="00330E5A"/>
    <w:rsid w:val="003310A0"/>
    <w:rsid w:val="003315EC"/>
    <w:rsid w:val="0033383C"/>
    <w:rsid w:val="00334EC5"/>
    <w:rsid w:val="00335D16"/>
    <w:rsid w:val="003369F8"/>
    <w:rsid w:val="00341A47"/>
    <w:rsid w:val="00343927"/>
    <w:rsid w:val="00345048"/>
    <w:rsid w:val="0034588B"/>
    <w:rsid w:val="003462F9"/>
    <w:rsid w:val="00346985"/>
    <w:rsid w:val="00346B09"/>
    <w:rsid w:val="00347574"/>
    <w:rsid w:val="00347FA8"/>
    <w:rsid w:val="0035052C"/>
    <w:rsid w:val="003514A6"/>
    <w:rsid w:val="00351E08"/>
    <w:rsid w:val="00352081"/>
    <w:rsid w:val="003524CF"/>
    <w:rsid w:val="00352743"/>
    <w:rsid w:val="00356AFE"/>
    <w:rsid w:val="003608D1"/>
    <w:rsid w:val="00361EB7"/>
    <w:rsid w:val="00362EF7"/>
    <w:rsid w:val="00365D71"/>
    <w:rsid w:val="0037069B"/>
    <w:rsid w:val="00370A15"/>
    <w:rsid w:val="00371EE6"/>
    <w:rsid w:val="00374A23"/>
    <w:rsid w:val="0037544F"/>
    <w:rsid w:val="00381FA9"/>
    <w:rsid w:val="003821B4"/>
    <w:rsid w:val="003828A8"/>
    <w:rsid w:val="0038296C"/>
    <w:rsid w:val="00382D43"/>
    <w:rsid w:val="00383EEF"/>
    <w:rsid w:val="00384A6A"/>
    <w:rsid w:val="0038515F"/>
    <w:rsid w:val="0038556A"/>
    <w:rsid w:val="00385CE0"/>
    <w:rsid w:val="00386DEF"/>
    <w:rsid w:val="00387636"/>
    <w:rsid w:val="0038780F"/>
    <w:rsid w:val="003905F5"/>
    <w:rsid w:val="00395115"/>
    <w:rsid w:val="0039516F"/>
    <w:rsid w:val="00396676"/>
    <w:rsid w:val="00397718"/>
    <w:rsid w:val="003A1281"/>
    <w:rsid w:val="003A1EE2"/>
    <w:rsid w:val="003A24E9"/>
    <w:rsid w:val="003A3D4D"/>
    <w:rsid w:val="003A4DA9"/>
    <w:rsid w:val="003A782C"/>
    <w:rsid w:val="003B03C3"/>
    <w:rsid w:val="003B153B"/>
    <w:rsid w:val="003B1668"/>
    <w:rsid w:val="003B186B"/>
    <w:rsid w:val="003B1F3B"/>
    <w:rsid w:val="003B2A6C"/>
    <w:rsid w:val="003B30AA"/>
    <w:rsid w:val="003B4962"/>
    <w:rsid w:val="003B67F7"/>
    <w:rsid w:val="003C2387"/>
    <w:rsid w:val="003C4372"/>
    <w:rsid w:val="003C45BC"/>
    <w:rsid w:val="003C5183"/>
    <w:rsid w:val="003C527E"/>
    <w:rsid w:val="003C6C55"/>
    <w:rsid w:val="003C7DD1"/>
    <w:rsid w:val="003D03C1"/>
    <w:rsid w:val="003D07B9"/>
    <w:rsid w:val="003D0A08"/>
    <w:rsid w:val="003D0C62"/>
    <w:rsid w:val="003D0DBE"/>
    <w:rsid w:val="003D12F0"/>
    <w:rsid w:val="003D193C"/>
    <w:rsid w:val="003D1EDF"/>
    <w:rsid w:val="003D226D"/>
    <w:rsid w:val="003D477E"/>
    <w:rsid w:val="003D54E3"/>
    <w:rsid w:val="003D59B3"/>
    <w:rsid w:val="003D5F47"/>
    <w:rsid w:val="003D61BC"/>
    <w:rsid w:val="003D67D3"/>
    <w:rsid w:val="003E0012"/>
    <w:rsid w:val="003E1B5B"/>
    <w:rsid w:val="003E3209"/>
    <w:rsid w:val="003E3279"/>
    <w:rsid w:val="003E3325"/>
    <w:rsid w:val="003E3DBB"/>
    <w:rsid w:val="003E52F1"/>
    <w:rsid w:val="003E5EA7"/>
    <w:rsid w:val="003E73F7"/>
    <w:rsid w:val="003E7FC9"/>
    <w:rsid w:val="003F0365"/>
    <w:rsid w:val="003F0850"/>
    <w:rsid w:val="003F1D5F"/>
    <w:rsid w:val="003F24FD"/>
    <w:rsid w:val="003F5F9D"/>
    <w:rsid w:val="003F6AD6"/>
    <w:rsid w:val="003F6F27"/>
    <w:rsid w:val="003F6F7E"/>
    <w:rsid w:val="003F7336"/>
    <w:rsid w:val="003F7E47"/>
    <w:rsid w:val="003F7E61"/>
    <w:rsid w:val="00400866"/>
    <w:rsid w:val="00400980"/>
    <w:rsid w:val="004015CD"/>
    <w:rsid w:val="004020B4"/>
    <w:rsid w:val="0040319C"/>
    <w:rsid w:val="00403434"/>
    <w:rsid w:val="00403D88"/>
    <w:rsid w:val="00404808"/>
    <w:rsid w:val="00405777"/>
    <w:rsid w:val="004060C0"/>
    <w:rsid w:val="00406885"/>
    <w:rsid w:val="0040724A"/>
    <w:rsid w:val="0041095A"/>
    <w:rsid w:val="004119F7"/>
    <w:rsid w:val="004124CB"/>
    <w:rsid w:val="0041354F"/>
    <w:rsid w:val="00413D71"/>
    <w:rsid w:val="0041724F"/>
    <w:rsid w:val="00417481"/>
    <w:rsid w:val="004207EC"/>
    <w:rsid w:val="00421196"/>
    <w:rsid w:val="00421642"/>
    <w:rsid w:val="0042187A"/>
    <w:rsid w:val="00421973"/>
    <w:rsid w:val="004232D2"/>
    <w:rsid w:val="00424855"/>
    <w:rsid w:val="00426467"/>
    <w:rsid w:val="0042710D"/>
    <w:rsid w:val="00430018"/>
    <w:rsid w:val="00430E8F"/>
    <w:rsid w:val="00431264"/>
    <w:rsid w:val="00432839"/>
    <w:rsid w:val="00434DC0"/>
    <w:rsid w:val="004350B4"/>
    <w:rsid w:val="004360DA"/>
    <w:rsid w:val="00436BB3"/>
    <w:rsid w:val="004377E6"/>
    <w:rsid w:val="00437D35"/>
    <w:rsid w:val="00440E1E"/>
    <w:rsid w:val="00442E1F"/>
    <w:rsid w:val="00442E40"/>
    <w:rsid w:val="00443BEE"/>
    <w:rsid w:val="004440B0"/>
    <w:rsid w:val="0044648E"/>
    <w:rsid w:val="00446BAA"/>
    <w:rsid w:val="00446CF8"/>
    <w:rsid w:val="004505FC"/>
    <w:rsid w:val="004508C4"/>
    <w:rsid w:val="00453560"/>
    <w:rsid w:val="00454594"/>
    <w:rsid w:val="004562F7"/>
    <w:rsid w:val="004571AD"/>
    <w:rsid w:val="00457953"/>
    <w:rsid w:val="004622BB"/>
    <w:rsid w:val="0046434F"/>
    <w:rsid w:val="00465EA9"/>
    <w:rsid w:val="00465FBE"/>
    <w:rsid w:val="004664C9"/>
    <w:rsid w:val="00466F80"/>
    <w:rsid w:val="0047018B"/>
    <w:rsid w:val="00470B62"/>
    <w:rsid w:val="00471600"/>
    <w:rsid w:val="00471637"/>
    <w:rsid w:val="00471D95"/>
    <w:rsid w:val="00471EBE"/>
    <w:rsid w:val="00471F28"/>
    <w:rsid w:val="00472264"/>
    <w:rsid w:val="004722E4"/>
    <w:rsid w:val="00472864"/>
    <w:rsid w:val="004729E0"/>
    <w:rsid w:val="0047331E"/>
    <w:rsid w:val="0047377F"/>
    <w:rsid w:val="00473893"/>
    <w:rsid w:val="00473D1C"/>
    <w:rsid w:val="00474529"/>
    <w:rsid w:val="0047485A"/>
    <w:rsid w:val="004755B8"/>
    <w:rsid w:val="004762A8"/>
    <w:rsid w:val="00480158"/>
    <w:rsid w:val="004802A0"/>
    <w:rsid w:val="00480C43"/>
    <w:rsid w:val="00480EFF"/>
    <w:rsid w:val="00481049"/>
    <w:rsid w:val="00481DCA"/>
    <w:rsid w:val="0048320B"/>
    <w:rsid w:val="00485278"/>
    <w:rsid w:val="00486E1A"/>
    <w:rsid w:val="00490249"/>
    <w:rsid w:val="00490EAE"/>
    <w:rsid w:val="004916E0"/>
    <w:rsid w:val="00491B05"/>
    <w:rsid w:val="00493B2B"/>
    <w:rsid w:val="00493BF9"/>
    <w:rsid w:val="00494BD0"/>
    <w:rsid w:val="004972FB"/>
    <w:rsid w:val="004A0F5A"/>
    <w:rsid w:val="004A1562"/>
    <w:rsid w:val="004A1F3D"/>
    <w:rsid w:val="004A256B"/>
    <w:rsid w:val="004A2C20"/>
    <w:rsid w:val="004A2E4D"/>
    <w:rsid w:val="004A3382"/>
    <w:rsid w:val="004A3D14"/>
    <w:rsid w:val="004A4A70"/>
    <w:rsid w:val="004A5539"/>
    <w:rsid w:val="004A5AA3"/>
    <w:rsid w:val="004A64D1"/>
    <w:rsid w:val="004A72FD"/>
    <w:rsid w:val="004B00B4"/>
    <w:rsid w:val="004B0853"/>
    <w:rsid w:val="004B1343"/>
    <w:rsid w:val="004B3D99"/>
    <w:rsid w:val="004B4C6E"/>
    <w:rsid w:val="004B5678"/>
    <w:rsid w:val="004B705D"/>
    <w:rsid w:val="004C1B29"/>
    <w:rsid w:val="004C1DF4"/>
    <w:rsid w:val="004C24C8"/>
    <w:rsid w:val="004C271F"/>
    <w:rsid w:val="004C35BD"/>
    <w:rsid w:val="004C6896"/>
    <w:rsid w:val="004C6F1D"/>
    <w:rsid w:val="004C744E"/>
    <w:rsid w:val="004C7BBB"/>
    <w:rsid w:val="004D0127"/>
    <w:rsid w:val="004D1120"/>
    <w:rsid w:val="004D1B20"/>
    <w:rsid w:val="004D2950"/>
    <w:rsid w:val="004D3407"/>
    <w:rsid w:val="004D4217"/>
    <w:rsid w:val="004D6D62"/>
    <w:rsid w:val="004D76AC"/>
    <w:rsid w:val="004E24F9"/>
    <w:rsid w:val="004E3581"/>
    <w:rsid w:val="004E36EE"/>
    <w:rsid w:val="004E42FB"/>
    <w:rsid w:val="004E591F"/>
    <w:rsid w:val="004E5CBE"/>
    <w:rsid w:val="004E6948"/>
    <w:rsid w:val="004E6963"/>
    <w:rsid w:val="004E72FD"/>
    <w:rsid w:val="004F15CB"/>
    <w:rsid w:val="004F25D6"/>
    <w:rsid w:val="004F433B"/>
    <w:rsid w:val="004F4FDD"/>
    <w:rsid w:val="00501E50"/>
    <w:rsid w:val="00501ED8"/>
    <w:rsid w:val="00501F47"/>
    <w:rsid w:val="00502123"/>
    <w:rsid w:val="005030EB"/>
    <w:rsid w:val="005036DA"/>
    <w:rsid w:val="00505377"/>
    <w:rsid w:val="0050542E"/>
    <w:rsid w:val="00506B3A"/>
    <w:rsid w:val="005113AA"/>
    <w:rsid w:val="00511A70"/>
    <w:rsid w:val="00512061"/>
    <w:rsid w:val="00515669"/>
    <w:rsid w:val="0051601C"/>
    <w:rsid w:val="005162B8"/>
    <w:rsid w:val="00516907"/>
    <w:rsid w:val="00516D7E"/>
    <w:rsid w:val="00520592"/>
    <w:rsid w:val="00520CCA"/>
    <w:rsid w:val="00521248"/>
    <w:rsid w:val="00521615"/>
    <w:rsid w:val="00522619"/>
    <w:rsid w:val="00522753"/>
    <w:rsid w:val="005266A9"/>
    <w:rsid w:val="005268DA"/>
    <w:rsid w:val="00527EFF"/>
    <w:rsid w:val="00530388"/>
    <w:rsid w:val="00530ABE"/>
    <w:rsid w:val="00531C1A"/>
    <w:rsid w:val="005328DE"/>
    <w:rsid w:val="00532E78"/>
    <w:rsid w:val="00533256"/>
    <w:rsid w:val="00535D2F"/>
    <w:rsid w:val="005373DA"/>
    <w:rsid w:val="00537BA2"/>
    <w:rsid w:val="00545384"/>
    <w:rsid w:val="0054574D"/>
    <w:rsid w:val="00545E33"/>
    <w:rsid w:val="005464CC"/>
    <w:rsid w:val="005470A1"/>
    <w:rsid w:val="00550025"/>
    <w:rsid w:val="005507F2"/>
    <w:rsid w:val="00550A83"/>
    <w:rsid w:val="0055330B"/>
    <w:rsid w:val="005546ED"/>
    <w:rsid w:val="005547F1"/>
    <w:rsid w:val="0055565B"/>
    <w:rsid w:val="00555E8B"/>
    <w:rsid w:val="00556B71"/>
    <w:rsid w:val="00560212"/>
    <w:rsid w:val="00560496"/>
    <w:rsid w:val="00560B58"/>
    <w:rsid w:val="00560C8A"/>
    <w:rsid w:val="00562028"/>
    <w:rsid w:val="00562DF3"/>
    <w:rsid w:val="00564364"/>
    <w:rsid w:val="0056471F"/>
    <w:rsid w:val="00565698"/>
    <w:rsid w:val="00565F0F"/>
    <w:rsid w:val="0056769E"/>
    <w:rsid w:val="00567E18"/>
    <w:rsid w:val="005716B7"/>
    <w:rsid w:val="005721D1"/>
    <w:rsid w:val="005721EC"/>
    <w:rsid w:val="005726B3"/>
    <w:rsid w:val="00573A8E"/>
    <w:rsid w:val="005743BB"/>
    <w:rsid w:val="0057452D"/>
    <w:rsid w:val="00574BF0"/>
    <w:rsid w:val="00574D76"/>
    <w:rsid w:val="0057691A"/>
    <w:rsid w:val="00580BE4"/>
    <w:rsid w:val="00581694"/>
    <w:rsid w:val="0058324C"/>
    <w:rsid w:val="00583E04"/>
    <w:rsid w:val="0058430F"/>
    <w:rsid w:val="00585CF8"/>
    <w:rsid w:val="00585F0A"/>
    <w:rsid w:val="005949FD"/>
    <w:rsid w:val="00596781"/>
    <w:rsid w:val="00596C29"/>
    <w:rsid w:val="00596EC7"/>
    <w:rsid w:val="005972A4"/>
    <w:rsid w:val="005A0555"/>
    <w:rsid w:val="005A0962"/>
    <w:rsid w:val="005A101A"/>
    <w:rsid w:val="005A1C1F"/>
    <w:rsid w:val="005A21A5"/>
    <w:rsid w:val="005A22B9"/>
    <w:rsid w:val="005A32D8"/>
    <w:rsid w:val="005A4F91"/>
    <w:rsid w:val="005A5181"/>
    <w:rsid w:val="005A534D"/>
    <w:rsid w:val="005A725D"/>
    <w:rsid w:val="005A7D32"/>
    <w:rsid w:val="005A7DFF"/>
    <w:rsid w:val="005B08AA"/>
    <w:rsid w:val="005B0DDD"/>
    <w:rsid w:val="005B12B9"/>
    <w:rsid w:val="005B5231"/>
    <w:rsid w:val="005B5577"/>
    <w:rsid w:val="005B5DF4"/>
    <w:rsid w:val="005B69B6"/>
    <w:rsid w:val="005B7137"/>
    <w:rsid w:val="005B75A5"/>
    <w:rsid w:val="005C0E90"/>
    <w:rsid w:val="005C16F1"/>
    <w:rsid w:val="005C26D4"/>
    <w:rsid w:val="005C2D6A"/>
    <w:rsid w:val="005C460B"/>
    <w:rsid w:val="005C48FB"/>
    <w:rsid w:val="005C5330"/>
    <w:rsid w:val="005C58FD"/>
    <w:rsid w:val="005C5E2A"/>
    <w:rsid w:val="005D157D"/>
    <w:rsid w:val="005D274B"/>
    <w:rsid w:val="005D43B8"/>
    <w:rsid w:val="005D440B"/>
    <w:rsid w:val="005D524A"/>
    <w:rsid w:val="005D5715"/>
    <w:rsid w:val="005D58D4"/>
    <w:rsid w:val="005D6B4A"/>
    <w:rsid w:val="005E0F1B"/>
    <w:rsid w:val="005E158A"/>
    <w:rsid w:val="005E168A"/>
    <w:rsid w:val="005E1E20"/>
    <w:rsid w:val="005E2FF9"/>
    <w:rsid w:val="005E31BE"/>
    <w:rsid w:val="005E497A"/>
    <w:rsid w:val="005E6EFC"/>
    <w:rsid w:val="005E731F"/>
    <w:rsid w:val="005F0064"/>
    <w:rsid w:val="005F081C"/>
    <w:rsid w:val="005F246D"/>
    <w:rsid w:val="005F2E22"/>
    <w:rsid w:val="005F2F51"/>
    <w:rsid w:val="005F3209"/>
    <w:rsid w:val="005F3862"/>
    <w:rsid w:val="005F42E5"/>
    <w:rsid w:val="005F47F6"/>
    <w:rsid w:val="005F4C91"/>
    <w:rsid w:val="005F5879"/>
    <w:rsid w:val="005F5C68"/>
    <w:rsid w:val="005F5EC3"/>
    <w:rsid w:val="005F5FD8"/>
    <w:rsid w:val="005F70DA"/>
    <w:rsid w:val="005F7DA5"/>
    <w:rsid w:val="00601D85"/>
    <w:rsid w:val="006028A1"/>
    <w:rsid w:val="006028DF"/>
    <w:rsid w:val="00604065"/>
    <w:rsid w:val="00605839"/>
    <w:rsid w:val="00605A24"/>
    <w:rsid w:val="00606482"/>
    <w:rsid w:val="00606B00"/>
    <w:rsid w:val="00606D62"/>
    <w:rsid w:val="006071FB"/>
    <w:rsid w:val="00607A19"/>
    <w:rsid w:val="00610533"/>
    <w:rsid w:val="00610698"/>
    <w:rsid w:val="00610E3A"/>
    <w:rsid w:val="00614167"/>
    <w:rsid w:val="006149F2"/>
    <w:rsid w:val="00616AE3"/>
    <w:rsid w:val="006231A4"/>
    <w:rsid w:val="00623E92"/>
    <w:rsid w:val="00627727"/>
    <w:rsid w:val="00627DF9"/>
    <w:rsid w:val="00627E9A"/>
    <w:rsid w:val="00630376"/>
    <w:rsid w:val="00630D6A"/>
    <w:rsid w:val="006312D7"/>
    <w:rsid w:val="00632128"/>
    <w:rsid w:val="00632541"/>
    <w:rsid w:val="00632FF5"/>
    <w:rsid w:val="00633DA5"/>
    <w:rsid w:val="00635B9A"/>
    <w:rsid w:val="00636213"/>
    <w:rsid w:val="0063640B"/>
    <w:rsid w:val="00636513"/>
    <w:rsid w:val="006371A9"/>
    <w:rsid w:val="00637227"/>
    <w:rsid w:val="006420B5"/>
    <w:rsid w:val="00643BCA"/>
    <w:rsid w:val="00644171"/>
    <w:rsid w:val="00644A85"/>
    <w:rsid w:val="00644A9F"/>
    <w:rsid w:val="00644AF6"/>
    <w:rsid w:val="00644B37"/>
    <w:rsid w:val="00646746"/>
    <w:rsid w:val="00646D57"/>
    <w:rsid w:val="00646E37"/>
    <w:rsid w:val="00646E8D"/>
    <w:rsid w:val="0064757F"/>
    <w:rsid w:val="00650353"/>
    <w:rsid w:val="006509B4"/>
    <w:rsid w:val="00650C2E"/>
    <w:rsid w:val="00651081"/>
    <w:rsid w:val="0065223A"/>
    <w:rsid w:val="006542BC"/>
    <w:rsid w:val="00654AB1"/>
    <w:rsid w:val="00656E23"/>
    <w:rsid w:val="0065707B"/>
    <w:rsid w:val="00662B7D"/>
    <w:rsid w:val="00663A0F"/>
    <w:rsid w:val="00663D24"/>
    <w:rsid w:val="00664D93"/>
    <w:rsid w:val="006658BB"/>
    <w:rsid w:val="0066696C"/>
    <w:rsid w:val="00667B94"/>
    <w:rsid w:val="006715A7"/>
    <w:rsid w:val="006717ED"/>
    <w:rsid w:val="006721BA"/>
    <w:rsid w:val="00672722"/>
    <w:rsid w:val="006819F6"/>
    <w:rsid w:val="00682BD5"/>
    <w:rsid w:val="00684A35"/>
    <w:rsid w:val="00686BD9"/>
    <w:rsid w:val="00686F5E"/>
    <w:rsid w:val="00690E48"/>
    <w:rsid w:val="0069116C"/>
    <w:rsid w:val="006922C7"/>
    <w:rsid w:val="0069293D"/>
    <w:rsid w:val="00692A1D"/>
    <w:rsid w:val="00693CFB"/>
    <w:rsid w:val="00695ED6"/>
    <w:rsid w:val="00696230"/>
    <w:rsid w:val="006972DB"/>
    <w:rsid w:val="006A0BF1"/>
    <w:rsid w:val="006A1293"/>
    <w:rsid w:val="006A16E5"/>
    <w:rsid w:val="006A292B"/>
    <w:rsid w:val="006A2C0E"/>
    <w:rsid w:val="006A2D95"/>
    <w:rsid w:val="006A3448"/>
    <w:rsid w:val="006A3B68"/>
    <w:rsid w:val="006A4B3D"/>
    <w:rsid w:val="006A64AE"/>
    <w:rsid w:val="006A7886"/>
    <w:rsid w:val="006B1AFC"/>
    <w:rsid w:val="006B25CD"/>
    <w:rsid w:val="006B2E06"/>
    <w:rsid w:val="006B3DCF"/>
    <w:rsid w:val="006B4556"/>
    <w:rsid w:val="006B5141"/>
    <w:rsid w:val="006B546E"/>
    <w:rsid w:val="006C1591"/>
    <w:rsid w:val="006C4653"/>
    <w:rsid w:val="006C4E7A"/>
    <w:rsid w:val="006C5CDA"/>
    <w:rsid w:val="006C5DC8"/>
    <w:rsid w:val="006C6B1A"/>
    <w:rsid w:val="006D00E7"/>
    <w:rsid w:val="006D07F2"/>
    <w:rsid w:val="006D0A8D"/>
    <w:rsid w:val="006D0B2D"/>
    <w:rsid w:val="006D0DDC"/>
    <w:rsid w:val="006D10D6"/>
    <w:rsid w:val="006D1C60"/>
    <w:rsid w:val="006D3269"/>
    <w:rsid w:val="006D42E8"/>
    <w:rsid w:val="006D4F85"/>
    <w:rsid w:val="006D5591"/>
    <w:rsid w:val="006D5D7C"/>
    <w:rsid w:val="006D7CF9"/>
    <w:rsid w:val="006E1141"/>
    <w:rsid w:val="006E1FEB"/>
    <w:rsid w:val="006E21C3"/>
    <w:rsid w:val="006E3ED2"/>
    <w:rsid w:val="006E464F"/>
    <w:rsid w:val="006E47D3"/>
    <w:rsid w:val="006E5CE6"/>
    <w:rsid w:val="006E6589"/>
    <w:rsid w:val="006E7F19"/>
    <w:rsid w:val="006F05B3"/>
    <w:rsid w:val="006F2E7D"/>
    <w:rsid w:val="006F3543"/>
    <w:rsid w:val="006F424D"/>
    <w:rsid w:val="006F612B"/>
    <w:rsid w:val="006F6915"/>
    <w:rsid w:val="006F7CB9"/>
    <w:rsid w:val="00700944"/>
    <w:rsid w:val="0070502D"/>
    <w:rsid w:val="00705552"/>
    <w:rsid w:val="0070593D"/>
    <w:rsid w:val="00705F44"/>
    <w:rsid w:val="007061AC"/>
    <w:rsid w:val="00711612"/>
    <w:rsid w:val="0071189E"/>
    <w:rsid w:val="00712C4A"/>
    <w:rsid w:val="00712CE7"/>
    <w:rsid w:val="007137B5"/>
    <w:rsid w:val="00713C25"/>
    <w:rsid w:val="00717544"/>
    <w:rsid w:val="00720D3B"/>
    <w:rsid w:val="007241FF"/>
    <w:rsid w:val="00725760"/>
    <w:rsid w:val="0072622A"/>
    <w:rsid w:val="00731C32"/>
    <w:rsid w:val="007320F0"/>
    <w:rsid w:val="00732203"/>
    <w:rsid w:val="00732CF2"/>
    <w:rsid w:val="00732D8B"/>
    <w:rsid w:val="00732F92"/>
    <w:rsid w:val="007334E0"/>
    <w:rsid w:val="00733F27"/>
    <w:rsid w:val="0073464C"/>
    <w:rsid w:val="0073470D"/>
    <w:rsid w:val="00735F1F"/>
    <w:rsid w:val="007362B6"/>
    <w:rsid w:val="007366AC"/>
    <w:rsid w:val="00737194"/>
    <w:rsid w:val="00737BF6"/>
    <w:rsid w:val="00746AEB"/>
    <w:rsid w:val="00746F62"/>
    <w:rsid w:val="0074742E"/>
    <w:rsid w:val="00747DEA"/>
    <w:rsid w:val="0075012A"/>
    <w:rsid w:val="0075122D"/>
    <w:rsid w:val="00753259"/>
    <w:rsid w:val="00753588"/>
    <w:rsid w:val="007543C5"/>
    <w:rsid w:val="007543FF"/>
    <w:rsid w:val="0075731E"/>
    <w:rsid w:val="0075766D"/>
    <w:rsid w:val="00760630"/>
    <w:rsid w:val="007606E1"/>
    <w:rsid w:val="00761B8F"/>
    <w:rsid w:val="007637FD"/>
    <w:rsid w:val="00763BB9"/>
    <w:rsid w:val="00763F7C"/>
    <w:rsid w:val="00765428"/>
    <w:rsid w:val="0077266C"/>
    <w:rsid w:val="007728ED"/>
    <w:rsid w:val="00772F58"/>
    <w:rsid w:val="007730C9"/>
    <w:rsid w:val="00773A7F"/>
    <w:rsid w:val="00775B29"/>
    <w:rsid w:val="00776B79"/>
    <w:rsid w:val="007809DB"/>
    <w:rsid w:val="00782ADD"/>
    <w:rsid w:val="0078303D"/>
    <w:rsid w:val="007831FD"/>
    <w:rsid w:val="00783FBD"/>
    <w:rsid w:val="00784435"/>
    <w:rsid w:val="00785268"/>
    <w:rsid w:val="00785302"/>
    <w:rsid w:val="00785A15"/>
    <w:rsid w:val="007874F6"/>
    <w:rsid w:val="007901F6"/>
    <w:rsid w:val="00791491"/>
    <w:rsid w:val="00793032"/>
    <w:rsid w:val="00795D95"/>
    <w:rsid w:val="007A035D"/>
    <w:rsid w:val="007A0B73"/>
    <w:rsid w:val="007A179F"/>
    <w:rsid w:val="007A2873"/>
    <w:rsid w:val="007A39C7"/>
    <w:rsid w:val="007A525E"/>
    <w:rsid w:val="007A5B9F"/>
    <w:rsid w:val="007A5D1B"/>
    <w:rsid w:val="007A6416"/>
    <w:rsid w:val="007A6521"/>
    <w:rsid w:val="007A6F20"/>
    <w:rsid w:val="007B0146"/>
    <w:rsid w:val="007B220F"/>
    <w:rsid w:val="007B4704"/>
    <w:rsid w:val="007B4F9C"/>
    <w:rsid w:val="007B57AC"/>
    <w:rsid w:val="007B5E80"/>
    <w:rsid w:val="007C3359"/>
    <w:rsid w:val="007C3632"/>
    <w:rsid w:val="007C4DCE"/>
    <w:rsid w:val="007C4FC6"/>
    <w:rsid w:val="007C6558"/>
    <w:rsid w:val="007C6F36"/>
    <w:rsid w:val="007C75E6"/>
    <w:rsid w:val="007D0158"/>
    <w:rsid w:val="007D078E"/>
    <w:rsid w:val="007D1ED2"/>
    <w:rsid w:val="007D26A4"/>
    <w:rsid w:val="007D2DEC"/>
    <w:rsid w:val="007D3714"/>
    <w:rsid w:val="007D690D"/>
    <w:rsid w:val="007D7C36"/>
    <w:rsid w:val="007D7E83"/>
    <w:rsid w:val="007E0355"/>
    <w:rsid w:val="007E0806"/>
    <w:rsid w:val="007E26E4"/>
    <w:rsid w:val="007E2740"/>
    <w:rsid w:val="007E335C"/>
    <w:rsid w:val="007E3ED8"/>
    <w:rsid w:val="007E4EA9"/>
    <w:rsid w:val="007E5E93"/>
    <w:rsid w:val="007E7516"/>
    <w:rsid w:val="007E7DC3"/>
    <w:rsid w:val="007F0704"/>
    <w:rsid w:val="007F21D2"/>
    <w:rsid w:val="007F4404"/>
    <w:rsid w:val="007F5C07"/>
    <w:rsid w:val="00800591"/>
    <w:rsid w:val="00800F3F"/>
    <w:rsid w:val="008014C3"/>
    <w:rsid w:val="00802C0C"/>
    <w:rsid w:val="00803B02"/>
    <w:rsid w:val="00805632"/>
    <w:rsid w:val="00806128"/>
    <w:rsid w:val="00806178"/>
    <w:rsid w:val="00806D6F"/>
    <w:rsid w:val="00810807"/>
    <w:rsid w:val="0081105B"/>
    <w:rsid w:val="008138CC"/>
    <w:rsid w:val="008142F0"/>
    <w:rsid w:val="008165F4"/>
    <w:rsid w:val="00816BBD"/>
    <w:rsid w:val="00817242"/>
    <w:rsid w:val="008200B1"/>
    <w:rsid w:val="008208AB"/>
    <w:rsid w:val="008218F2"/>
    <w:rsid w:val="008220C9"/>
    <w:rsid w:val="008225AF"/>
    <w:rsid w:val="00823DED"/>
    <w:rsid w:val="0082421C"/>
    <w:rsid w:val="00827023"/>
    <w:rsid w:val="008274E1"/>
    <w:rsid w:val="00830047"/>
    <w:rsid w:val="008331EC"/>
    <w:rsid w:val="0083504C"/>
    <w:rsid w:val="00835FDB"/>
    <w:rsid w:val="00836E91"/>
    <w:rsid w:val="00836EBF"/>
    <w:rsid w:val="00837786"/>
    <w:rsid w:val="00837B18"/>
    <w:rsid w:val="00837D7D"/>
    <w:rsid w:val="00837EF1"/>
    <w:rsid w:val="008413CC"/>
    <w:rsid w:val="0084164B"/>
    <w:rsid w:val="00841A6A"/>
    <w:rsid w:val="00842A67"/>
    <w:rsid w:val="00842D21"/>
    <w:rsid w:val="0084351B"/>
    <w:rsid w:val="008436CE"/>
    <w:rsid w:val="00843D3E"/>
    <w:rsid w:val="00844F5D"/>
    <w:rsid w:val="00845583"/>
    <w:rsid w:val="00845749"/>
    <w:rsid w:val="00845FC6"/>
    <w:rsid w:val="00846138"/>
    <w:rsid w:val="00846516"/>
    <w:rsid w:val="00846A03"/>
    <w:rsid w:val="00851AE3"/>
    <w:rsid w:val="008520FD"/>
    <w:rsid w:val="00852DE8"/>
    <w:rsid w:val="00854DDD"/>
    <w:rsid w:val="00854E6C"/>
    <w:rsid w:val="00854F64"/>
    <w:rsid w:val="008601AF"/>
    <w:rsid w:val="00861372"/>
    <w:rsid w:val="00862E91"/>
    <w:rsid w:val="0086359E"/>
    <w:rsid w:val="00863963"/>
    <w:rsid w:val="00863D85"/>
    <w:rsid w:val="008642DE"/>
    <w:rsid w:val="00865806"/>
    <w:rsid w:val="008659F5"/>
    <w:rsid w:val="008667DE"/>
    <w:rsid w:val="008667EC"/>
    <w:rsid w:val="0086760F"/>
    <w:rsid w:val="00867E03"/>
    <w:rsid w:val="00867E31"/>
    <w:rsid w:val="0087372B"/>
    <w:rsid w:val="00875A30"/>
    <w:rsid w:val="00875EF8"/>
    <w:rsid w:val="0088110C"/>
    <w:rsid w:val="00881611"/>
    <w:rsid w:val="00882EE5"/>
    <w:rsid w:val="00882FEF"/>
    <w:rsid w:val="008839CE"/>
    <w:rsid w:val="00883B3B"/>
    <w:rsid w:val="00883CEC"/>
    <w:rsid w:val="0088500C"/>
    <w:rsid w:val="008863A6"/>
    <w:rsid w:val="00886D68"/>
    <w:rsid w:val="008916CA"/>
    <w:rsid w:val="0089182A"/>
    <w:rsid w:val="00891F09"/>
    <w:rsid w:val="008925FB"/>
    <w:rsid w:val="00893101"/>
    <w:rsid w:val="00894459"/>
    <w:rsid w:val="00895375"/>
    <w:rsid w:val="00895806"/>
    <w:rsid w:val="00895ACD"/>
    <w:rsid w:val="00895DAF"/>
    <w:rsid w:val="00895F0C"/>
    <w:rsid w:val="00895F19"/>
    <w:rsid w:val="00896298"/>
    <w:rsid w:val="00897117"/>
    <w:rsid w:val="008A0EC3"/>
    <w:rsid w:val="008A17C8"/>
    <w:rsid w:val="008A2D99"/>
    <w:rsid w:val="008A33C6"/>
    <w:rsid w:val="008A3F57"/>
    <w:rsid w:val="008A40B6"/>
    <w:rsid w:val="008A519A"/>
    <w:rsid w:val="008A5B44"/>
    <w:rsid w:val="008A5F2D"/>
    <w:rsid w:val="008A7928"/>
    <w:rsid w:val="008A7993"/>
    <w:rsid w:val="008A79AD"/>
    <w:rsid w:val="008B04B2"/>
    <w:rsid w:val="008B057C"/>
    <w:rsid w:val="008B0645"/>
    <w:rsid w:val="008B10B4"/>
    <w:rsid w:val="008B1E57"/>
    <w:rsid w:val="008B2C8C"/>
    <w:rsid w:val="008B312E"/>
    <w:rsid w:val="008B3957"/>
    <w:rsid w:val="008B4E57"/>
    <w:rsid w:val="008B7BA1"/>
    <w:rsid w:val="008C0734"/>
    <w:rsid w:val="008C09D8"/>
    <w:rsid w:val="008C136C"/>
    <w:rsid w:val="008C190F"/>
    <w:rsid w:val="008C5426"/>
    <w:rsid w:val="008C5A8E"/>
    <w:rsid w:val="008C7B85"/>
    <w:rsid w:val="008D0753"/>
    <w:rsid w:val="008D0B9B"/>
    <w:rsid w:val="008D1085"/>
    <w:rsid w:val="008D18A1"/>
    <w:rsid w:val="008D1D86"/>
    <w:rsid w:val="008D2108"/>
    <w:rsid w:val="008D27AF"/>
    <w:rsid w:val="008D2836"/>
    <w:rsid w:val="008D306B"/>
    <w:rsid w:val="008D35B3"/>
    <w:rsid w:val="008D3EA1"/>
    <w:rsid w:val="008D542F"/>
    <w:rsid w:val="008D5864"/>
    <w:rsid w:val="008D61BF"/>
    <w:rsid w:val="008D63C7"/>
    <w:rsid w:val="008D645B"/>
    <w:rsid w:val="008D6697"/>
    <w:rsid w:val="008D714F"/>
    <w:rsid w:val="008D7537"/>
    <w:rsid w:val="008D7F9B"/>
    <w:rsid w:val="008E051D"/>
    <w:rsid w:val="008E0BC1"/>
    <w:rsid w:val="008E0DAC"/>
    <w:rsid w:val="008E0E0E"/>
    <w:rsid w:val="008E1D1B"/>
    <w:rsid w:val="008E522B"/>
    <w:rsid w:val="008E5C68"/>
    <w:rsid w:val="008F0B4F"/>
    <w:rsid w:val="008F11AC"/>
    <w:rsid w:val="008F1ED7"/>
    <w:rsid w:val="008F1F33"/>
    <w:rsid w:val="008F3279"/>
    <w:rsid w:val="008F32E1"/>
    <w:rsid w:val="008F3772"/>
    <w:rsid w:val="008F53D6"/>
    <w:rsid w:val="008F5A23"/>
    <w:rsid w:val="008F73F6"/>
    <w:rsid w:val="00902B87"/>
    <w:rsid w:val="00904E8E"/>
    <w:rsid w:val="0090545C"/>
    <w:rsid w:val="00906A62"/>
    <w:rsid w:val="00906FA4"/>
    <w:rsid w:val="0090700C"/>
    <w:rsid w:val="0091000D"/>
    <w:rsid w:val="00910CA7"/>
    <w:rsid w:val="00910EFA"/>
    <w:rsid w:val="0091197D"/>
    <w:rsid w:val="00913CE1"/>
    <w:rsid w:val="009144C2"/>
    <w:rsid w:val="00917ACE"/>
    <w:rsid w:val="00920B7F"/>
    <w:rsid w:val="00920FF3"/>
    <w:rsid w:val="00925A7E"/>
    <w:rsid w:val="009267FA"/>
    <w:rsid w:val="009275F6"/>
    <w:rsid w:val="009305B3"/>
    <w:rsid w:val="009307BD"/>
    <w:rsid w:val="00930D61"/>
    <w:rsid w:val="00930DD8"/>
    <w:rsid w:val="009317B2"/>
    <w:rsid w:val="00931820"/>
    <w:rsid w:val="00932496"/>
    <w:rsid w:val="0093311A"/>
    <w:rsid w:val="009335BE"/>
    <w:rsid w:val="00933B60"/>
    <w:rsid w:val="00933B81"/>
    <w:rsid w:val="00935799"/>
    <w:rsid w:val="009364E9"/>
    <w:rsid w:val="00936E34"/>
    <w:rsid w:val="00940D71"/>
    <w:rsid w:val="0094140F"/>
    <w:rsid w:val="009423F3"/>
    <w:rsid w:val="009437C4"/>
    <w:rsid w:val="00943D91"/>
    <w:rsid w:val="009461DE"/>
    <w:rsid w:val="00947089"/>
    <w:rsid w:val="00952579"/>
    <w:rsid w:val="00953001"/>
    <w:rsid w:val="00953079"/>
    <w:rsid w:val="00953D5E"/>
    <w:rsid w:val="009547D4"/>
    <w:rsid w:val="0095791F"/>
    <w:rsid w:val="00957D11"/>
    <w:rsid w:val="00960523"/>
    <w:rsid w:val="00961D46"/>
    <w:rsid w:val="00964895"/>
    <w:rsid w:val="00966C29"/>
    <w:rsid w:val="0096738D"/>
    <w:rsid w:val="009711A5"/>
    <w:rsid w:val="00973A59"/>
    <w:rsid w:val="00977477"/>
    <w:rsid w:val="00977556"/>
    <w:rsid w:val="0097770B"/>
    <w:rsid w:val="009778FE"/>
    <w:rsid w:val="009800FF"/>
    <w:rsid w:val="00980C25"/>
    <w:rsid w:val="0098107D"/>
    <w:rsid w:val="00981707"/>
    <w:rsid w:val="0098208B"/>
    <w:rsid w:val="00982762"/>
    <w:rsid w:val="00984ED6"/>
    <w:rsid w:val="00985CAB"/>
    <w:rsid w:val="00986391"/>
    <w:rsid w:val="0098641D"/>
    <w:rsid w:val="00987CC0"/>
    <w:rsid w:val="0099100E"/>
    <w:rsid w:val="0099121B"/>
    <w:rsid w:val="00993C65"/>
    <w:rsid w:val="00996557"/>
    <w:rsid w:val="009968EA"/>
    <w:rsid w:val="00996D6E"/>
    <w:rsid w:val="00997A8E"/>
    <w:rsid w:val="009A1B1B"/>
    <w:rsid w:val="009A20B7"/>
    <w:rsid w:val="009A21A6"/>
    <w:rsid w:val="009A53B3"/>
    <w:rsid w:val="009A5CCF"/>
    <w:rsid w:val="009A65DB"/>
    <w:rsid w:val="009A7F92"/>
    <w:rsid w:val="009B0CB3"/>
    <w:rsid w:val="009B174F"/>
    <w:rsid w:val="009B21B9"/>
    <w:rsid w:val="009B2ED9"/>
    <w:rsid w:val="009B3C5F"/>
    <w:rsid w:val="009B4746"/>
    <w:rsid w:val="009B5351"/>
    <w:rsid w:val="009B620A"/>
    <w:rsid w:val="009B68F5"/>
    <w:rsid w:val="009C1468"/>
    <w:rsid w:val="009C1C8E"/>
    <w:rsid w:val="009C1D7C"/>
    <w:rsid w:val="009C3471"/>
    <w:rsid w:val="009C53E3"/>
    <w:rsid w:val="009C65EE"/>
    <w:rsid w:val="009D009F"/>
    <w:rsid w:val="009D08A7"/>
    <w:rsid w:val="009D1164"/>
    <w:rsid w:val="009D37E0"/>
    <w:rsid w:val="009D6813"/>
    <w:rsid w:val="009D7190"/>
    <w:rsid w:val="009E0B50"/>
    <w:rsid w:val="009E0F2F"/>
    <w:rsid w:val="009E21DA"/>
    <w:rsid w:val="009E396D"/>
    <w:rsid w:val="009E42EA"/>
    <w:rsid w:val="009E5228"/>
    <w:rsid w:val="009E6BBE"/>
    <w:rsid w:val="009E742B"/>
    <w:rsid w:val="009E79F7"/>
    <w:rsid w:val="009F13E2"/>
    <w:rsid w:val="009F2F1A"/>
    <w:rsid w:val="009F4BC7"/>
    <w:rsid w:val="009F5309"/>
    <w:rsid w:val="009F6240"/>
    <w:rsid w:val="009F67AF"/>
    <w:rsid w:val="009F6B59"/>
    <w:rsid w:val="009F6BFC"/>
    <w:rsid w:val="00A0002A"/>
    <w:rsid w:val="00A002A5"/>
    <w:rsid w:val="00A0109A"/>
    <w:rsid w:val="00A01609"/>
    <w:rsid w:val="00A0227D"/>
    <w:rsid w:val="00A02B85"/>
    <w:rsid w:val="00A02CB5"/>
    <w:rsid w:val="00A02F2A"/>
    <w:rsid w:val="00A04690"/>
    <w:rsid w:val="00A06CB3"/>
    <w:rsid w:val="00A078B2"/>
    <w:rsid w:val="00A07DDF"/>
    <w:rsid w:val="00A10BA8"/>
    <w:rsid w:val="00A13CDE"/>
    <w:rsid w:val="00A148F8"/>
    <w:rsid w:val="00A15EB1"/>
    <w:rsid w:val="00A15EC4"/>
    <w:rsid w:val="00A16A96"/>
    <w:rsid w:val="00A208D2"/>
    <w:rsid w:val="00A21EA8"/>
    <w:rsid w:val="00A234FC"/>
    <w:rsid w:val="00A2381A"/>
    <w:rsid w:val="00A23997"/>
    <w:rsid w:val="00A23FD8"/>
    <w:rsid w:val="00A24A8A"/>
    <w:rsid w:val="00A25027"/>
    <w:rsid w:val="00A3082F"/>
    <w:rsid w:val="00A3121C"/>
    <w:rsid w:val="00A3143A"/>
    <w:rsid w:val="00A319A2"/>
    <w:rsid w:val="00A337A5"/>
    <w:rsid w:val="00A372BD"/>
    <w:rsid w:val="00A4056E"/>
    <w:rsid w:val="00A411AB"/>
    <w:rsid w:val="00A41A68"/>
    <w:rsid w:val="00A427D7"/>
    <w:rsid w:val="00A42855"/>
    <w:rsid w:val="00A42E1E"/>
    <w:rsid w:val="00A4412F"/>
    <w:rsid w:val="00A45FA3"/>
    <w:rsid w:val="00A468C4"/>
    <w:rsid w:val="00A46EC7"/>
    <w:rsid w:val="00A47E36"/>
    <w:rsid w:val="00A5031E"/>
    <w:rsid w:val="00A511DD"/>
    <w:rsid w:val="00A52096"/>
    <w:rsid w:val="00A5369A"/>
    <w:rsid w:val="00A53E5A"/>
    <w:rsid w:val="00A53F3C"/>
    <w:rsid w:val="00A55013"/>
    <w:rsid w:val="00A557EA"/>
    <w:rsid w:val="00A55A7C"/>
    <w:rsid w:val="00A567A2"/>
    <w:rsid w:val="00A609AD"/>
    <w:rsid w:val="00A6108A"/>
    <w:rsid w:val="00A611A8"/>
    <w:rsid w:val="00A611F7"/>
    <w:rsid w:val="00A6200A"/>
    <w:rsid w:val="00A62DE4"/>
    <w:rsid w:val="00A633C1"/>
    <w:rsid w:val="00A64086"/>
    <w:rsid w:val="00A64ACD"/>
    <w:rsid w:val="00A65BE6"/>
    <w:rsid w:val="00A665BF"/>
    <w:rsid w:val="00A67CAD"/>
    <w:rsid w:val="00A704E6"/>
    <w:rsid w:val="00A71F03"/>
    <w:rsid w:val="00A720C3"/>
    <w:rsid w:val="00A74CA6"/>
    <w:rsid w:val="00A7611C"/>
    <w:rsid w:val="00A82D9A"/>
    <w:rsid w:val="00A8528C"/>
    <w:rsid w:val="00A853B9"/>
    <w:rsid w:val="00A85ABD"/>
    <w:rsid w:val="00A9046D"/>
    <w:rsid w:val="00A94045"/>
    <w:rsid w:val="00A95052"/>
    <w:rsid w:val="00A9666D"/>
    <w:rsid w:val="00A96BBB"/>
    <w:rsid w:val="00A96E4F"/>
    <w:rsid w:val="00A97662"/>
    <w:rsid w:val="00A97D79"/>
    <w:rsid w:val="00AA3698"/>
    <w:rsid w:val="00AA3D81"/>
    <w:rsid w:val="00AA7B33"/>
    <w:rsid w:val="00AB12B8"/>
    <w:rsid w:val="00AB2D34"/>
    <w:rsid w:val="00AB367F"/>
    <w:rsid w:val="00AB4AB0"/>
    <w:rsid w:val="00AB56DD"/>
    <w:rsid w:val="00AC1FE3"/>
    <w:rsid w:val="00AC21AD"/>
    <w:rsid w:val="00AC3081"/>
    <w:rsid w:val="00AC3365"/>
    <w:rsid w:val="00AC4130"/>
    <w:rsid w:val="00AC4AA2"/>
    <w:rsid w:val="00AC665F"/>
    <w:rsid w:val="00AD1D8C"/>
    <w:rsid w:val="00AD2DA8"/>
    <w:rsid w:val="00AD4165"/>
    <w:rsid w:val="00AD4E79"/>
    <w:rsid w:val="00AD5200"/>
    <w:rsid w:val="00AD7064"/>
    <w:rsid w:val="00AD758A"/>
    <w:rsid w:val="00AE0AD9"/>
    <w:rsid w:val="00AE0BFB"/>
    <w:rsid w:val="00AE10ED"/>
    <w:rsid w:val="00AE3310"/>
    <w:rsid w:val="00AE6DCF"/>
    <w:rsid w:val="00AF0274"/>
    <w:rsid w:val="00AF1515"/>
    <w:rsid w:val="00AF3100"/>
    <w:rsid w:val="00AF37E5"/>
    <w:rsid w:val="00AF3F6E"/>
    <w:rsid w:val="00AF414C"/>
    <w:rsid w:val="00AF4521"/>
    <w:rsid w:val="00AF5739"/>
    <w:rsid w:val="00AF5DF9"/>
    <w:rsid w:val="00AF6229"/>
    <w:rsid w:val="00AF7496"/>
    <w:rsid w:val="00AF7A79"/>
    <w:rsid w:val="00AF7FEE"/>
    <w:rsid w:val="00B00515"/>
    <w:rsid w:val="00B012DC"/>
    <w:rsid w:val="00B019C7"/>
    <w:rsid w:val="00B0258D"/>
    <w:rsid w:val="00B032E2"/>
    <w:rsid w:val="00B03E4D"/>
    <w:rsid w:val="00B03F31"/>
    <w:rsid w:val="00B056FD"/>
    <w:rsid w:val="00B05F26"/>
    <w:rsid w:val="00B06509"/>
    <w:rsid w:val="00B06835"/>
    <w:rsid w:val="00B06A69"/>
    <w:rsid w:val="00B10766"/>
    <w:rsid w:val="00B1135C"/>
    <w:rsid w:val="00B13A69"/>
    <w:rsid w:val="00B15412"/>
    <w:rsid w:val="00B154F3"/>
    <w:rsid w:val="00B17450"/>
    <w:rsid w:val="00B177B7"/>
    <w:rsid w:val="00B216E8"/>
    <w:rsid w:val="00B2214B"/>
    <w:rsid w:val="00B23E1C"/>
    <w:rsid w:val="00B2403A"/>
    <w:rsid w:val="00B24AFE"/>
    <w:rsid w:val="00B24CBF"/>
    <w:rsid w:val="00B250A7"/>
    <w:rsid w:val="00B2678A"/>
    <w:rsid w:val="00B279C8"/>
    <w:rsid w:val="00B3019A"/>
    <w:rsid w:val="00B30A4B"/>
    <w:rsid w:val="00B338F3"/>
    <w:rsid w:val="00B360B1"/>
    <w:rsid w:val="00B379AA"/>
    <w:rsid w:val="00B406C9"/>
    <w:rsid w:val="00B4116F"/>
    <w:rsid w:val="00B41291"/>
    <w:rsid w:val="00B420C8"/>
    <w:rsid w:val="00B4216D"/>
    <w:rsid w:val="00B42215"/>
    <w:rsid w:val="00B45198"/>
    <w:rsid w:val="00B46114"/>
    <w:rsid w:val="00B4733C"/>
    <w:rsid w:val="00B47653"/>
    <w:rsid w:val="00B4792B"/>
    <w:rsid w:val="00B4799D"/>
    <w:rsid w:val="00B50187"/>
    <w:rsid w:val="00B509E3"/>
    <w:rsid w:val="00B5229E"/>
    <w:rsid w:val="00B5270D"/>
    <w:rsid w:val="00B5329C"/>
    <w:rsid w:val="00B53B04"/>
    <w:rsid w:val="00B542CD"/>
    <w:rsid w:val="00B55153"/>
    <w:rsid w:val="00B55962"/>
    <w:rsid w:val="00B5655E"/>
    <w:rsid w:val="00B57791"/>
    <w:rsid w:val="00B57D8F"/>
    <w:rsid w:val="00B61945"/>
    <w:rsid w:val="00B64B46"/>
    <w:rsid w:val="00B65922"/>
    <w:rsid w:val="00B6729F"/>
    <w:rsid w:val="00B6740B"/>
    <w:rsid w:val="00B70969"/>
    <w:rsid w:val="00B71B4A"/>
    <w:rsid w:val="00B71E6F"/>
    <w:rsid w:val="00B722C4"/>
    <w:rsid w:val="00B7268F"/>
    <w:rsid w:val="00B72CC4"/>
    <w:rsid w:val="00B73569"/>
    <w:rsid w:val="00B74009"/>
    <w:rsid w:val="00B745A5"/>
    <w:rsid w:val="00B765C7"/>
    <w:rsid w:val="00B765CD"/>
    <w:rsid w:val="00B8020F"/>
    <w:rsid w:val="00B817A4"/>
    <w:rsid w:val="00B823E8"/>
    <w:rsid w:val="00B82535"/>
    <w:rsid w:val="00B832B2"/>
    <w:rsid w:val="00B83C68"/>
    <w:rsid w:val="00B840B2"/>
    <w:rsid w:val="00B9097A"/>
    <w:rsid w:val="00B916F0"/>
    <w:rsid w:val="00B9236A"/>
    <w:rsid w:val="00B9284C"/>
    <w:rsid w:val="00B92B1B"/>
    <w:rsid w:val="00B93BF2"/>
    <w:rsid w:val="00B9501A"/>
    <w:rsid w:val="00B95389"/>
    <w:rsid w:val="00B959B7"/>
    <w:rsid w:val="00B95A24"/>
    <w:rsid w:val="00B96121"/>
    <w:rsid w:val="00B9661A"/>
    <w:rsid w:val="00B97DF0"/>
    <w:rsid w:val="00BA07FA"/>
    <w:rsid w:val="00BA0A88"/>
    <w:rsid w:val="00BA1AFB"/>
    <w:rsid w:val="00BA590B"/>
    <w:rsid w:val="00BA5ABB"/>
    <w:rsid w:val="00BA5E3C"/>
    <w:rsid w:val="00BA5EFB"/>
    <w:rsid w:val="00BA69A1"/>
    <w:rsid w:val="00BA7173"/>
    <w:rsid w:val="00BA768C"/>
    <w:rsid w:val="00BB0C79"/>
    <w:rsid w:val="00BB2465"/>
    <w:rsid w:val="00BB54D3"/>
    <w:rsid w:val="00BB5876"/>
    <w:rsid w:val="00BB5A8C"/>
    <w:rsid w:val="00BB5DE7"/>
    <w:rsid w:val="00BB679D"/>
    <w:rsid w:val="00BB6EAA"/>
    <w:rsid w:val="00BB7E85"/>
    <w:rsid w:val="00BC0A3E"/>
    <w:rsid w:val="00BC1AB4"/>
    <w:rsid w:val="00BC3344"/>
    <w:rsid w:val="00BC4069"/>
    <w:rsid w:val="00BC4A65"/>
    <w:rsid w:val="00BC5EA8"/>
    <w:rsid w:val="00BC7DCF"/>
    <w:rsid w:val="00BD0111"/>
    <w:rsid w:val="00BD3F3F"/>
    <w:rsid w:val="00BD70CC"/>
    <w:rsid w:val="00BD7425"/>
    <w:rsid w:val="00BE016A"/>
    <w:rsid w:val="00BE05D3"/>
    <w:rsid w:val="00BE0605"/>
    <w:rsid w:val="00BE12A7"/>
    <w:rsid w:val="00BE2722"/>
    <w:rsid w:val="00BE5035"/>
    <w:rsid w:val="00BE5481"/>
    <w:rsid w:val="00BE65A4"/>
    <w:rsid w:val="00BF02B3"/>
    <w:rsid w:val="00BF05DA"/>
    <w:rsid w:val="00BF32E2"/>
    <w:rsid w:val="00BF3920"/>
    <w:rsid w:val="00BF4907"/>
    <w:rsid w:val="00BF73DF"/>
    <w:rsid w:val="00BF7FC3"/>
    <w:rsid w:val="00C00C30"/>
    <w:rsid w:val="00C02166"/>
    <w:rsid w:val="00C056A3"/>
    <w:rsid w:val="00C06964"/>
    <w:rsid w:val="00C10B74"/>
    <w:rsid w:val="00C11637"/>
    <w:rsid w:val="00C11C53"/>
    <w:rsid w:val="00C11D7E"/>
    <w:rsid w:val="00C123AA"/>
    <w:rsid w:val="00C12448"/>
    <w:rsid w:val="00C13BF7"/>
    <w:rsid w:val="00C13DDD"/>
    <w:rsid w:val="00C14089"/>
    <w:rsid w:val="00C15C4D"/>
    <w:rsid w:val="00C15DFA"/>
    <w:rsid w:val="00C1715D"/>
    <w:rsid w:val="00C176F6"/>
    <w:rsid w:val="00C201B6"/>
    <w:rsid w:val="00C20D46"/>
    <w:rsid w:val="00C21F0B"/>
    <w:rsid w:val="00C21FAA"/>
    <w:rsid w:val="00C24414"/>
    <w:rsid w:val="00C24D40"/>
    <w:rsid w:val="00C25D98"/>
    <w:rsid w:val="00C26801"/>
    <w:rsid w:val="00C3057D"/>
    <w:rsid w:val="00C328E8"/>
    <w:rsid w:val="00C3409D"/>
    <w:rsid w:val="00C3445B"/>
    <w:rsid w:val="00C346BB"/>
    <w:rsid w:val="00C348A4"/>
    <w:rsid w:val="00C372DA"/>
    <w:rsid w:val="00C374CE"/>
    <w:rsid w:val="00C402C3"/>
    <w:rsid w:val="00C40C0A"/>
    <w:rsid w:val="00C40E21"/>
    <w:rsid w:val="00C41E27"/>
    <w:rsid w:val="00C431C9"/>
    <w:rsid w:val="00C4343A"/>
    <w:rsid w:val="00C44152"/>
    <w:rsid w:val="00C458BA"/>
    <w:rsid w:val="00C45F5B"/>
    <w:rsid w:val="00C47017"/>
    <w:rsid w:val="00C47078"/>
    <w:rsid w:val="00C47904"/>
    <w:rsid w:val="00C479F9"/>
    <w:rsid w:val="00C501F8"/>
    <w:rsid w:val="00C50245"/>
    <w:rsid w:val="00C512D4"/>
    <w:rsid w:val="00C51518"/>
    <w:rsid w:val="00C520E7"/>
    <w:rsid w:val="00C529E6"/>
    <w:rsid w:val="00C5320D"/>
    <w:rsid w:val="00C53675"/>
    <w:rsid w:val="00C54643"/>
    <w:rsid w:val="00C54B96"/>
    <w:rsid w:val="00C54D61"/>
    <w:rsid w:val="00C5578E"/>
    <w:rsid w:val="00C56062"/>
    <w:rsid w:val="00C564E2"/>
    <w:rsid w:val="00C57870"/>
    <w:rsid w:val="00C6002C"/>
    <w:rsid w:val="00C60DA3"/>
    <w:rsid w:val="00C61013"/>
    <w:rsid w:val="00C61D75"/>
    <w:rsid w:val="00C61E64"/>
    <w:rsid w:val="00C6263F"/>
    <w:rsid w:val="00C63B86"/>
    <w:rsid w:val="00C63C8A"/>
    <w:rsid w:val="00C64E6C"/>
    <w:rsid w:val="00C653B3"/>
    <w:rsid w:val="00C673D7"/>
    <w:rsid w:val="00C67A6D"/>
    <w:rsid w:val="00C7014E"/>
    <w:rsid w:val="00C703D1"/>
    <w:rsid w:val="00C738D7"/>
    <w:rsid w:val="00C739D1"/>
    <w:rsid w:val="00C74750"/>
    <w:rsid w:val="00C74A08"/>
    <w:rsid w:val="00C74DFA"/>
    <w:rsid w:val="00C7595A"/>
    <w:rsid w:val="00C760AB"/>
    <w:rsid w:val="00C77E8D"/>
    <w:rsid w:val="00C80BD3"/>
    <w:rsid w:val="00C831E3"/>
    <w:rsid w:val="00C8374F"/>
    <w:rsid w:val="00C8451E"/>
    <w:rsid w:val="00C845C5"/>
    <w:rsid w:val="00C8528C"/>
    <w:rsid w:val="00C85476"/>
    <w:rsid w:val="00C871E1"/>
    <w:rsid w:val="00C87DDF"/>
    <w:rsid w:val="00C928E5"/>
    <w:rsid w:val="00C93D66"/>
    <w:rsid w:val="00C94CDB"/>
    <w:rsid w:val="00C95327"/>
    <w:rsid w:val="00C97852"/>
    <w:rsid w:val="00C97DAC"/>
    <w:rsid w:val="00CA0B89"/>
    <w:rsid w:val="00CA1406"/>
    <w:rsid w:val="00CA20DF"/>
    <w:rsid w:val="00CA35B9"/>
    <w:rsid w:val="00CA3857"/>
    <w:rsid w:val="00CA3C7D"/>
    <w:rsid w:val="00CA4172"/>
    <w:rsid w:val="00CA639E"/>
    <w:rsid w:val="00CA6D28"/>
    <w:rsid w:val="00CA70A6"/>
    <w:rsid w:val="00CB1108"/>
    <w:rsid w:val="00CB139E"/>
    <w:rsid w:val="00CB16F3"/>
    <w:rsid w:val="00CB217B"/>
    <w:rsid w:val="00CB3657"/>
    <w:rsid w:val="00CB4147"/>
    <w:rsid w:val="00CB4D22"/>
    <w:rsid w:val="00CB617A"/>
    <w:rsid w:val="00CB6A79"/>
    <w:rsid w:val="00CC10CB"/>
    <w:rsid w:val="00CC1443"/>
    <w:rsid w:val="00CC2AC2"/>
    <w:rsid w:val="00CC42A2"/>
    <w:rsid w:val="00CC7F1A"/>
    <w:rsid w:val="00CD0F3F"/>
    <w:rsid w:val="00CD1FC7"/>
    <w:rsid w:val="00CD28B1"/>
    <w:rsid w:val="00CD651A"/>
    <w:rsid w:val="00CD6E6E"/>
    <w:rsid w:val="00CE0589"/>
    <w:rsid w:val="00CE0A3B"/>
    <w:rsid w:val="00CE0AFA"/>
    <w:rsid w:val="00CE16A0"/>
    <w:rsid w:val="00CE25BB"/>
    <w:rsid w:val="00CE2CC1"/>
    <w:rsid w:val="00CE3488"/>
    <w:rsid w:val="00CE6FB6"/>
    <w:rsid w:val="00CE7751"/>
    <w:rsid w:val="00CE7EDB"/>
    <w:rsid w:val="00CF2C78"/>
    <w:rsid w:val="00CF3245"/>
    <w:rsid w:val="00CF3561"/>
    <w:rsid w:val="00CF3AAD"/>
    <w:rsid w:val="00CF4B04"/>
    <w:rsid w:val="00D000F5"/>
    <w:rsid w:val="00D00E3F"/>
    <w:rsid w:val="00D0100B"/>
    <w:rsid w:val="00D01BAD"/>
    <w:rsid w:val="00D04E2E"/>
    <w:rsid w:val="00D06F5E"/>
    <w:rsid w:val="00D110DB"/>
    <w:rsid w:val="00D11F79"/>
    <w:rsid w:val="00D2048F"/>
    <w:rsid w:val="00D2152A"/>
    <w:rsid w:val="00D26C2C"/>
    <w:rsid w:val="00D27274"/>
    <w:rsid w:val="00D275EB"/>
    <w:rsid w:val="00D33029"/>
    <w:rsid w:val="00D34BCF"/>
    <w:rsid w:val="00D37D6F"/>
    <w:rsid w:val="00D40416"/>
    <w:rsid w:val="00D409D6"/>
    <w:rsid w:val="00D42E11"/>
    <w:rsid w:val="00D44B48"/>
    <w:rsid w:val="00D45154"/>
    <w:rsid w:val="00D45C01"/>
    <w:rsid w:val="00D476FB"/>
    <w:rsid w:val="00D47EE8"/>
    <w:rsid w:val="00D51990"/>
    <w:rsid w:val="00D526BA"/>
    <w:rsid w:val="00D5352A"/>
    <w:rsid w:val="00D54070"/>
    <w:rsid w:val="00D559E8"/>
    <w:rsid w:val="00D560A1"/>
    <w:rsid w:val="00D5642E"/>
    <w:rsid w:val="00D57DB6"/>
    <w:rsid w:val="00D604BD"/>
    <w:rsid w:val="00D61E64"/>
    <w:rsid w:val="00D62F00"/>
    <w:rsid w:val="00D63308"/>
    <w:rsid w:val="00D63869"/>
    <w:rsid w:val="00D66986"/>
    <w:rsid w:val="00D7124F"/>
    <w:rsid w:val="00D71AD0"/>
    <w:rsid w:val="00D720D5"/>
    <w:rsid w:val="00D72A45"/>
    <w:rsid w:val="00D745A5"/>
    <w:rsid w:val="00D74A60"/>
    <w:rsid w:val="00D76230"/>
    <w:rsid w:val="00D76A4C"/>
    <w:rsid w:val="00D770AE"/>
    <w:rsid w:val="00D774E2"/>
    <w:rsid w:val="00D77A9E"/>
    <w:rsid w:val="00D82403"/>
    <w:rsid w:val="00D8284B"/>
    <w:rsid w:val="00D82C61"/>
    <w:rsid w:val="00D83E93"/>
    <w:rsid w:val="00D84541"/>
    <w:rsid w:val="00D855A7"/>
    <w:rsid w:val="00D86C14"/>
    <w:rsid w:val="00D87861"/>
    <w:rsid w:val="00D90950"/>
    <w:rsid w:val="00D9407C"/>
    <w:rsid w:val="00D942F2"/>
    <w:rsid w:val="00D9461F"/>
    <w:rsid w:val="00D94F10"/>
    <w:rsid w:val="00D963EF"/>
    <w:rsid w:val="00D96A70"/>
    <w:rsid w:val="00D975F6"/>
    <w:rsid w:val="00D97C3D"/>
    <w:rsid w:val="00DA01FF"/>
    <w:rsid w:val="00DA0655"/>
    <w:rsid w:val="00DA09F4"/>
    <w:rsid w:val="00DA19A8"/>
    <w:rsid w:val="00DA300F"/>
    <w:rsid w:val="00DA306D"/>
    <w:rsid w:val="00DA34F2"/>
    <w:rsid w:val="00DA3852"/>
    <w:rsid w:val="00DA4D69"/>
    <w:rsid w:val="00DA52FD"/>
    <w:rsid w:val="00DA6659"/>
    <w:rsid w:val="00DA7992"/>
    <w:rsid w:val="00DB3447"/>
    <w:rsid w:val="00DB35FD"/>
    <w:rsid w:val="00DB3C00"/>
    <w:rsid w:val="00DB4155"/>
    <w:rsid w:val="00DB5242"/>
    <w:rsid w:val="00DB5966"/>
    <w:rsid w:val="00DB71A6"/>
    <w:rsid w:val="00DB7D4F"/>
    <w:rsid w:val="00DC2A42"/>
    <w:rsid w:val="00DC30B7"/>
    <w:rsid w:val="00DC38DC"/>
    <w:rsid w:val="00DC4262"/>
    <w:rsid w:val="00DC528A"/>
    <w:rsid w:val="00DC56F2"/>
    <w:rsid w:val="00DD02C2"/>
    <w:rsid w:val="00DD0DCB"/>
    <w:rsid w:val="00DD1CFF"/>
    <w:rsid w:val="00DD2A46"/>
    <w:rsid w:val="00DD2BB4"/>
    <w:rsid w:val="00DD4C72"/>
    <w:rsid w:val="00DD7FCF"/>
    <w:rsid w:val="00DE09AA"/>
    <w:rsid w:val="00DE16D8"/>
    <w:rsid w:val="00DE2542"/>
    <w:rsid w:val="00DE5066"/>
    <w:rsid w:val="00DE53E2"/>
    <w:rsid w:val="00DE58C8"/>
    <w:rsid w:val="00DE5F33"/>
    <w:rsid w:val="00DE6796"/>
    <w:rsid w:val="00DF2480"/>
    <w:rsid w:val="00DF26C9"/>
    <w:rsid w:val="00DF33B2"/>
    <w:rsid w:val="00DF4BC7"/>
    <w:rsid w:val="00DF4E70"/>
    <w:rsid w:val="00DF56A4"/>
    <w:rsid w:val="00DF63D4"/>
    <w:rsid w:val="00DF6572"/>
    <w:rsid w:val="00DF6CE2"/>
    <w:rsid w:val="00DF7B73"/>
    <w:rsid w:val="00E0132B"/>
    <w:rsid w:val="00E01D6D"/>
    <w:rsid w:val="00E01F23"/>
    <w:rsid w:val="00E02A2E"/>
    <w:rsid w:val="00E04147"/>
    <w:rsid w:val="00E05A0D"/>
    <w:rsid w:val="00E07BBC"/>
    <w:rsid w:val="00E104A7"/>
    <w:rsid w:val="00E107B4"/>
    <w:rsid w:val="00E10D66"/>
    <w:rsid w:val="00E115C3"/>
    <w:rsid w:val="00E11B89"/>
    <w:rsid w:val="00E122D6"/>
    <w:rsid w:val="00E12F04"/>
    <w:rsid w:val="00E15A11"/>
    <w:rsid w:val="00E1622F"/>
    <w:rsid w:val="00E1660E"/>
    <w:rsid w:val="00E16A1F"/>
    <w:rsid w:val="00E16DEF"/>
    <w:rsid w:val="00E17A7F"/>
    <w:rsid w:val="00E17FE3"/>
    <w:rsid w:val="00E20142"/>
    <w:rsid w:val="00E20165"/>
    <w:rsid w:val="00E208C3"/>
    <w:rsid w:val="00E209E9"/>
    <w:rsid w:val="00E211F5"/>
    <w:rsid w:val="00E21560"/>
    <w:rsid w:val="00E218BF"/>
    <w:rsid w:val="00E21A93"/>
    <w:rsid w:val="00E224F3"/>
    <w:rsid w:val="00E22837"/>
    <w:rsid w:val="00E23B44"/>
    <w:rsid w:val="00E2413F"/>
    <w:rsid w:val="00E242D2"/>
    <w:rsid w:val="00E24981"/>
    <w:rsid w:val="00E24C5F"/>
    <w:rsid w:val="00E30785"/>
    <w:rsid w:val="00E3081E"/>
    <w:rsid w:val="00E30904"/>
    <w:rsid w:val="00E316D6"/>
    <w:rsid w:val="00E31854"/>
    <w:rsid w:val="00E31F85"/>
    <w:rsid w:val="00E33005"/>
    <w:rsid w:val="00E330F8"/>
    <w:rsid w:val="00E33BF9"/>
    <w:rsid w:val="00E34C88"/>
    <w:rsid w:val="00E34F09"/>
    <w:rsid w:val="00E3682D"/>
    <w:rsid w:val="00E36B1A"/>
    <w:rsid w:val="00E3720C"/>
    <w:rsid w:val="00E37C44"/>
    <w:rsid w:val="00E403B4"/>
    <w:rsid w:val="00E40F16"/>
    <w:rsid w:val="00E411E4"/>
    <w:rsid w:val="00E414EB"/>
    <w:rsid w:val="00E43441"/>
    <w:rsid w:val="00E43838"/>
    <w:rsid w:val="00E45ACB"/>
    <w:rsid w:val="00E46E77"/>
    <w:rsid w:val="00E47204"/>
    <w:rsid w:val="00E47B5E"/>
    <w:rsid w:val="00E510B7"/>
    <w:rsid w:val="00E51103"/>
    <w:rsid w:val="00E51EC5"/>
    <w:rsid w:val="00E52A6F"/>
    <w:rsid w:val="00E539D6"/>
    <w:rsid w:val="00E5528B"/>
    <w:rsid w:val="00E5532B"/>
    <w:rsid w:val="00E5577B"/>
    <w:rsid w:val="00E564DE"/>
    <w:rsid w:val="00E57F10"/>
    <w:rsid w:val="00E610B2"/>
    <w:rsid w:val="00E61372"/>
    <w:rsid w:val="00E61A54"/>
    <w:rsid w:val="00E61E02"/>
    <w:rsid w:val="00E6251D"/>
    <w:rsid w:val="00E63BB2"/>
    <w:rsid w:val="00E64579"/>
    <w:rsid w:val="00E65C8E"/>
    <w:rsid w:val="00E674D1"/>
    <w:rsid w:val="00E70035"/>
    <w:rsid w:val="00E72FC2"/>
    <w:rsid w:val="00E737EA"/>
    <w:rsid w:val="00E73C12"/>
    <w:rsid w:val="00E74CBC"/>
    <w:rsid w:val="00E74DA7"/>
    <w:rsid w:val="00E810D3"/>
    <w:rsid w:val="00E81667"/>
    <w:rsid w:val="00E8182E"/>
    <w:rsid w:val="00E821B2"/>
    <w:rsid w:val="00E82700"/>
    <w:rsid w:val="00E847F9"/>
    <w:rsid w:val="00E849DE"/>
    <w:rsid w:val="00E86F71"/>
    <w:rsid w:val="00E87264"/>
    <w:rsid w:val="00E9046B"/>
    <w:rsid w:val="00E91DCA"/>
    <w:rsid w:val="00E928E3"/>
    <w:rsid w:val="00E96816"/>
    <w:rsid w:val="00EA0BE1"/>
    <w:rsid w:val="00EA13E4"/>
    <w:rsid w:val="00EA523F"/>
    <w:rsid w:val="00EA5C45"/>
    <w:rsid w:val="00EA6FEF"/>
    <w:rsid w:val="00EB296B"/>
    <w:rsid w:val="00EB4DE8"/>
    <w:rsid w:val="00EB52E6"/>
    <w:rsid w:val="00EC1894"/>
    <w:rsid w:val="00EC2D37"/>
    <w:rsid w:val="00EC3029"/>
    <w:rsid w:val="00EC3B19"/>
    <w:rsid w:val="00EC5F26"/>
    <w:rsid w:val="00ED0E14"/>
    <w:rsid w:val="00ED1CF1"/>
    <w:rsid w:val="00ED2E3A"/>
    <w:rsid w:val="00ED2EFD"/>
    <w:rsid w:val="00ED67E2"/>
    <w:rsid w:val="00ED6CB4"/>
    <w:rsid w:val="00EE29C4"/>
    <w:rsid w:val="00EE2FC3"/>
    <w:rsid w:val="00EE4CDD"/>
    <w:rsid w:val="00EE53A4"/>
    <w:rsid w:val="00EE6235"/>
    <w:rsid w:val="00EE623A"/>
    <w:rsid w:val="00EE628B"/>
    <w:rsid w:val="00EE6699"/>
    <w:rsid w:val="00EE6A36"/>
    <w:rsid w:val="00EF091D"/>
    <w:rsid w:val="00EF0CEF"/>
    <w:rsid w:val="00EF3D5B"/>
    <w:rsid w:val="00EF5693"/>
    <w:rsid w:val="00EF5B30"/>
    <w:rsid w:val="00F01397"/>
    <w:rsid w:val="00F01898"/>
    <w:rsid w:val="00F0234D"/>
    <w:rsid w:val="00F029C1"/>
    <w:rsid w:val="00F02B64"/>
    <w:rsid w:val="00F03202"/>
    <w:rsid w:val="00F03219"/>
    <w:rsid w:val="00F06A1A"/>
    <w:rsid w:val="00F07A1F"/>
    <w:rsid w:val="00F12556"/>
    <w:rsid w:val="00F14710"/>
    <w:rsid w:val="00F1762D"/>
    <w:rsid w:val="00F17709"/>
    <w:rsid w:val="00F17A4A"/>
    <w:rsid w:val="00F20A3A"/>
    <w:rsid w:val="00F2105E"/>
    <w:rsid w:val="00F235CB"/>
    <w:rsid w:val="00F23C36"/>
    <w:rsid w:val="00F23DD7"/>
    <w:rsid w:val="00F24220"/>
    <w:rsid w:val="00F252E3"/>
    <w:rsid w:val="00F25669"/>
    <w:rsid w:val="00F269E4"/>
    <w:rsid w:val="00F277E3"/>
    <w:rsid w:val="00F312F5"/>
    <w:rsid w:val="00F31AF8"/>
    <w:rsid w:val="00F325B2"/>
    <w:rsid w:val="00F34199"/>
    <w:rsid w:val="00F35326"/>
    <w:rsid w:val="00F35D54"/>
    <w:rsid w:val="00F360E7"/>
    <w:rsid w:val="00F363C7"/>
    <w:rsid w:val="00F3686E"/>
    <w:rsid w:val="00F36EAB"/>
    <w:rsid w:val="00F37000"/>
    <w:rsid w:val="00F37025"/>
    <w:rsid w:val="00F375A2"/>
    <w:rsid w:val="00F37E4A"/>
    <w:rsid w:val="00F41280"/>
    <w:rsid w:val="00F41984"/>
    <w:rsid w:val="00F4204A"/>
    <w:rsid w:val="00F426B0"/>
    <w:rsid w:val="00F43D10"/>
    <w:rsid w:val="00F44636"/>
    <w:rsid w:val="00F44FF7"/>
    <w:rsid w:val="00F4641F"/>
    <w:rsid w:val="00F4646F"/>
    <w:rsid w:val="00F4730E"/>
    <w:rsid w:val="00F505D2"/>
    <w:rsid w:val="00F5063F"/>
    <w:rsid w:val="00F5171D"/>
    <w:rsid w:val="00F5259E"/>
    <w:rsid w:val="00F5309C"/>
    <w:rsid w:val="00F53267"/>
    <w:rsid w:val="00F558A3"/>
    <w:rsid w:val="00F56BC9"/>
    <w:rsid w:val="00F63D35"/>
    <w:rsid w:val="00F642AB"/>
    <w:rsid w:val="00F66ECD"/>
    <w:rsid w:val="00F6714A"/>
    <w:rsid w:val="00F70B66"/>
    <w:rsid w:val="00F7156A"/>
    <w:rsid w:val="00F71929"/>
    <w:rsid w:val="00F72F6F"/>
    <w:rsid w:val="00F7305A"/>
    <w:rsid w:val="00F73549"/>
    <w:rsid w:val="00F74D46"/>
    <w:rsid w:val="00F7545C"/>
    <w:rsid w:val="00F75ADE"/>
    <w:rsid w:val="00F75E7B"/>
    <w:rsid w:val="00F764BA"/>
    <w:rsid w:val="00F76C8A"/>
    <w:rsid w:val="00F776C1"/>
    <w:rsid w:val="00F8089B"/>
    <w:rsid w:val="00F8120F"/>
    <w:rsid w:val="00F8139E"/>
    <w:rsid w:val="00F813B0"/>
    <w:rsid w:val="00F81753"/>
    <w:rsid w:val="00F81ACA"/>
    <w:rsid w:val="00F82637"/>
    <w:rsid w:val="00F8321E"/>
    <w:rsid w:val="00F83C2C"/>
    <w:rsid w:val="00F86496"/>
    <w:rsid w:val="00F86ED1"/>
    <w:rsid w:val="00F87531"/>
    <w:rsid w:val="00F90120"/>
    <w:rsid w:val="00F90A6D"/>
    <w:rsid w:val="00F90F0F"/>
    <w:rsid w:val="00F916EB"/>
    <w:rsid w:val="00F924AD"/>
    <w:rsid w:val="00F931C7"/>
    <w:rsid w:val="00F93513"/>
    <w:rsid w:val="00F935A1"/>
    <w:rsid w:val="00F94E06"/>
    <w:rsid w:val="00F94F6D"/>
    <w:rsid w:val="00F956F0"/>
    <w:rsid w:val="00F96EC0"/>
    <w:rsid w:val="00FA098B"/>
    <w:rsid w:val="00FA0B2F"/>
    <w:rsid w:val="00FA28C4"/>
    <w:rsid w:val="00FA2AFC"/>
    <w:rsid w:val="00FB150C"/>
    <w:rsid w:val="00FB15BD"/>
    <w:rsid w:val="00FB3105"/>
    <w:rsid w:val="00FB4E09"/>
    <w:rsid w:val="00FB5A4F"/>
    <w:rsid w:val="00FB5CD2"/>
    <w:rsid w:val="00FC08FD"/>
    <w:rsid w:val="00FC2328"/>
    <w:rsid w:val="00FC4D7A"/>
    <w:rsid w:val="00FC4FAE"/>
    <w:rsid w:val="00FC6B35"/>
    <w:rsid w:val="00FC6C14"/>
    <w:rsid w:val="00FC6FD7"/>
    <w:rsid w:val="00FC7064"/>
    <w:rsid w:val="00FD0F4B"/>
    <w:rsid w:val="00FD179A"/>
    <w:rsid w:val="00FD1AE7"/>
    <w:rsid w:val="00FD3E07"/>
    <w:rsid w:val="00FD43F9"/>
    <w:rsid w:val="00FD5B9C"/>
    <w:rsid w:val="00FD5F64"/>
    <w:rsid w:val="00FD6A29"/>
    <w:rsid w:val="00FE06A3"/>
    <w:rsid w:val="00FE121F"/>
    <w:rsid w:val="00FE14D5"/>
    <w:rsid w:val="00FE25D4"/>
    <w:rsid w:val="00FE2A77"/>
    <w:rsid w:val="00FE2EC7"/>
    <w:rsid w:val="00FE4900"/>
    <w:rsid w:val="00FE527B"/>
    <w:rsid w:val="00FE604A"/>
    <w:rsid w:val="00FE7023"/>
    <w:rsid w:val="00FE7092"/>
    <w:rsid w:val="00FE7C93"/>
    <w:rsid w:val="00FE7D30"/>
    <w:rsid w:val="00FF0B4C"/>
    <w:rsid w:val="00FF1CCE"/>
    <w:rsid w:val="00FF3083"/>
    <w:rsid w:val="00FF4CAC"/>
    <w:rsid w:val="00FF52E9"/>
    <w:rsid w:val="00FF6096"/>
    <w:rsid w:val="00FF6B93"/>
    <w:rsid w:val="00FF6D9C"/>
    <w:rsid w:val="00FF7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B12FB6"/>
  <w15:chartTrackingRefBased/>
  <w15:docId w15:val="{6B54524B-1286-4EE5-82A6-16988226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aliases w:val="ACMA Footnote Text Char1,Footnote Text Char1"/>
    <w:basedOn w:val="Normal"/>
    <w:link w:val="FootnoteTextChar"/>
    <w:uiPriority w:val="99"/>
    <w:unhideWhenUsed/>
    <w:rsid w:val="005113AA"/>
    <w:pPr>
      <w:spacing w:after="0"/>
    </w:pPr>
    <w:rPr>
      <w:sz w:val="20"/>
      <w:szCs w:val="20"/>
    </w:rPr>
  </w:style>
  <w:style w:type="character" w:customStyle="1" w:styleId="FootnoteTextChar">
    <w:name w:val="Footnote Text Char"/>
    <w:aliases w:val="ACMA Footnote Text Char1 Char,Footnote Text Char1 Char"/>
    <w:basedOn w:val="DefaultParagraphFont"/>
    <w:link w:val="FootnoteText"/>
    <w:uiPriority w:val="99"/>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List Paragraph1,Recommendation,bullet point list,FooterText,Bullet List,numbered,Paragraphe de liste1,Bulletr List Paragraph,列出段落,列出段落1,List Paragraph2,List Paragraph21,Listeafsnit1,Parágrafo da Lista1,リスト段落1,L"/>
    <w:basedOn w:val="Normal"/>
    <w:link w:val="ListParagraphChar"/>
    <w:uiPriority w:val="34"/>
    <w:qFormat/>
    <w:rsid w:val="0007496D"/>
    <w:pPr>
      <w:numPr>
        <w:numId w:val="3"/>
      </w:numPr>
      <w:contextualSpacing/>
    </w:pPr>
  </w:style>
  <w:style w:type="paragraph" w:customStyle="1" w:styleId="Listparagraphbullets">
    <w:name w:val="List paragraph—bullets"/>
    <w:basedOn w:val="ListParagraph"/>
    <w:qFormat/>
    <w:rsid w:val="0007496D"/>
    <w:pPr>
      <w:numPr>
        <w:numId w:val="2"/>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character" w:customStyle="1" w:styleId="ListParagraphChar">
    <w:name w:val="List Paragraph Char"/>
    <w:aliases w:val="List Paragraph—numbers Char,List Paragraph1 Char,Recommendation Char,bullet point list Char,FooterText Char,Bullet List Char,numbered Char,Paragraphe de liste1 Char,Bulletr List Paragraph Char,列出段落 Char,列出段落1 Char,Listeafsnit1 Char"/>
    <w:link w:val="ListParagraph"/>
    <w:uiPriority w:val="34"/>
    <w:rsid w:val="00DE5F33"/>
  </w:style>
  <w:style w:type="character" w:styleId="CommentReference">
    <w:name w:val="annotation reference"/>
    <w:basedOn w:val="DefaultParagraphFont"/>
    <w:uiPriority w:val="99"/>
    <w:semiHidden/>
    <w:unhideWhenUsed/>
    <w:rsid w:val="00DE5F33"/>
    <w:rPr>
      <w:sz w:val="16"/>
      <w:szCs w:val="16"/>
    </w:rPr>
  </w:style>
  <w:style w:type="paragraph" w:styleId="CommentText">
    <w:name w:val="annotation text"/>
    <w:basedOn w:val="Normal"/>
    <w:link w:val="CommentTextChar"/>
    <w:uiPriority w:val="99"/>
    <w:unhideWhenUsed/>
    <w:rsid w:val="00DE5F33"/>
    <w:pPr>
      <w:spacing w:after="240"/>
    </w:pPr>
    <w:rPr>
      <w:sz w:val="20"/>
      <w:szCs w:val="20"/>
    </w:rPr>
  </w:style>
  <w:style w:type="character" w:customStyle="1" w:styleId="CommentTextChar">
    <w:name w:val="Comment Text Char"/>
    <w:basedOn w:val="DefaultParagraphFont"/>
    <w:link w:val="CommentText"/>
    <w:uiPriority w:val="99"/>
    <w:rsid w:val="00DE5F33"/>
    <w:rPr>
      <w:sz w:val="20"/>
      <w:szCs w:val="20"/>
    </w:rPr>
  </w:style>
  <w:style w:type="paragraph" w:styleId="BalloonText">
    <w:name w:val="Balloon Text"/>
    <w:basedOn w:val="Normal"/>
    <w:link w:val="BalloonTextChar"/>
    <w:uiPriority w:val="99"/>
    <w:semiHidden/>
    <w:unhideWhenUsed/>
    <w:rsid w:val="00D828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B"/>
    <w:rPr>
      <w:rFonts w:ascii="Segoe UI" w:hAnsi="Segoe UI" w:cs="Segoe UI"/>
      <w:sz w:val="18"/>
      <w:szCs w:val="18"/>
    </w:rPr>
  </w:style>
  <w:style w:type="paragraph" w:customStyle="1" w:styleId="CAB-NumberedParagraph">
    <w:name w:val="CAB - Numbered Paragraph"/>
    <w:basedOn w:val="Normal"/>
    <w:uiPriority w:val="98"/>
    <w:rsid w:val="002E1A07"/>
    <w:pPr>
      <w:spacing w:before="120" w:after="120"/>
      <w:ind w:left="567" w:hanging="567"/>
    </w:pPr>
    <w:rPr>
      <w:rFonts w:ascii="Arial" w:hAnsi="Arial"/>
    </w:rPr>
  </w:style>
  <w:style w:type="paragraph" w:styleId="CommentSubject">
    <w:name w:val="annotation subject"/>
    <w:basedOn w:val="CommentText"/>
    <w:next w:val="CommentText"/>
    <w:link w:val="CommentSubjectChar"/>
    <w:uiPriority w:val="99"/>
    <w:semiHidden/>
    <w:unhideWhenUsed/>
    <w:rsid w:val="00E34C88"/>
    <w:pPr>
      <w:spacing w:after="200"/>
    </w:pPr>
    <w:rPr>
      <w:b/>
      <w:bCs/>
    </w:rPr>
  </w:style>
  <w:style w:type="character" w:customStyle="1" w:styleId="CommentSubjectChar">
    <w:name w:val="Comment Subject Char"/>
    <w:basedOn w:val="CommentTextChar"/>
    <w:link w:val="CommentSubject"/>
    <w:uiPriority w:val="99"/>
    <w:semiHidden/>
    <w:rsid w:val="00E34C88"/>
    <w:rPr>
      <w:b/>
      <w:bCs/>
      <w:sz w:val="20"/>
      <w:szCs w:val="20"/>
    </w:rPr>
  </w:style>
  <w:style w:type="paragraph" w:customStyle="1" w:styleId="hp">
    <w:name w:val="hp"/>
    <w:basedOn w:val="Normal"/>
    <w:rsid w:val="006D1C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6D1C60"/>
  </w:style>
  <w:style w:type="character" w:customStyle="1" w:styleId="charparttext">
    <w:name w:val="charparttext"/>
    <w:basedOn w:val="DefaultParagraphFont"/>
    <w:rsid w:val="006D1C60"/>
  </w:style>
  <w:style w:type="character" w:customStyle="1" w:styleId="chardivno">
    <w:name w:val="chardivno"/>
    <w:basedOn w:val="DefaultParagraphFont"/>
    <w:rsid w:val="006D1C60"/>
  </w:style>
  <w:style w:type="character" w:customStyle="1" w:styleId="chardivtext">
    <w:name w:val="chardivtext"/>
    <w:basedOn w:val="DefaultParagraphFont"/>
    <w:rsid w:val="006D1C60"/>
  </w:style>
  <w:style w:type="paragraph" w:customStyle="1" w:styleId="r1">
    <w:name w:val="r1"/>
    <w:basedOn w:val="Normal"/>
    <w:rsid w:val="006D1C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D1C60"/>
  </w:style>
  <w:style w:type="paragraph" w:customStyle="1" w:styleId="p1">
    <w:name w:val="p1"/>
    <w:basedOn w:val="Normal"/>
    <w:rsid w:val="006D1C6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2">
    <w:name w:val="p2"/>
    <w:basedOn w:val="Normal"/>
    <w:rsid w:val="006D1C6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cthead5">
    <w:name w:val="acthead5"/>
    <w:basedOn w:val="Normal"/>
    <w:rsid w:val="002566B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
    <w:name w:val="subsection"/>
    <w:basedOn w:val="Normal"/>
    <w:rsid w:val="002566B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2566BD"/>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5507F2"/>
    <w:pPr>
      <w:spacing w:after="0" w:line="240" w:lineRule="auto"/>
    </w:pPr>
  </w:style>
  <w:style w:type="paragraph" w:styleId="Caption">
    <w:name w:val="caption"/>
    <w:basedOn w:val="Normal"/>
    <w:next w:val="Normal"/>
    <w:uiPriority w:val="35"/>
    <w:unhideWhenUsed/>
    <w:qFormat/>
    <w:rsid w:val="002514B9"/>
    <w:rPr>
      <w:i/>
      <w:iCs/>
      <w:color w:val="155589" w:themeColor="text2"/>
      <w:sz w:val="18"/>
      <w:szCs w:val="18"/>
    </w:rPr>
  </w:style>
  <w:style w:type="character" w:customStyle="1" w:styleId="Text-Normal">
    <w:name w:val="Text - Normal"/>
    <w:uiPriority w:val="1"/>
    <w:unhideWhenUsed/>
    <w:qFormat/>
    <w:locked/>
    <w:rsid w:val="00CC1443"/>
    <w:rPr>
      <w:color w:val="000000"/>
      <w:sz w:val="24"/>
      <w:szCs w:val="24"/>
    </w:rPr>
  </w:style>
  <w:style w:type="paragraph" w:customStyle="1" w:styleId="Bulletlevel1">
    <w:name w:val="Bullet level 1"/>
    <w:basedOn w:val="Normal"/>
    <w:qFormat/>
    <w:rsid w:val="0058430F"/>
    <w:pPr>
      <w:ind w:left="360" w:hanging="360"/>
      <w:contextualSpacing/>
    </w:pPr>
  </w:style>
  <w:style w:type="character" w:styleId="Emphasis">
    <w:name w:val="Emphasis"/>
    <w:basedOn w:val="DefaultParagraphFont"/>
    <w:uiPriority w:val="20"/>
    <w:qFormat/>
    <w:rsid w:val="0054574D"/>
    <w:rPr>
      <w:i/>
      <w:iCs/>
    </w:rPr>
  </w:style>
  <w:style w:type="paragraph" w:styleId="NormalWeb">
    <w:name w:val="Normal (Web)"/>
    <w:basedOn w:val="Normal"/>
    <w:uiPriority w:val="99"/>
    <w:semiHidden/>
    <w:unhideWhenUsed/>
    <w:rsid w:val="00210CA2"/>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82776">
      <w:bodyDiv w:val="1"/>
      <w:marLeft w:val="0"/>
      <w:marRight w:val="0"/>
      <w:marTop w:val="0"/>
      <w:marBottom w:val="0"/>
      <w:divBdr>
        <w:top w:val="none" w:sz="0" w:space="0" w:color="auto"/>
        <w:left w:val="none" w:sz="0" w:space="0" w:color="auto"/>
        <w:bottom w:val="none" w:sz="0" w:space="0" w:color="auto"/>
        <w:right w:val="none" w:sz="0" w:space="0" w:color="auto"/>
      </w:divBdr>
    </w:div>
    <w:div w:id="309599709">
      <w:bodyDiv w:val="1"/>
      <w:marLeft w:val="0"/>
      <w:marRight w:val="0"/>
      <w:marTop w:val="0"/>
      <w:marBottom w:val="0"/>
      <w:divBdr>
        <w:top w:val="none" w:sz="0" w:space="0" w:color="auto"/>
        <w:left w:val="none" w:sz="0" w:space="0" w:color="auto"/>
        <w:bottom w:val="none" w:sz="0" w:space="0" w:color="auto"/>
        <w:right w:val="none" w:sz="0" w:space="0" w:color="auto"/>
      </w:divBdr>
    </w:div>
    <w:div w:id="324166486">
      <w:bodyDiv w:val="1"/>
      <w:marLeft w:val="0"/>
      <w:marRight w:val="0"/>
      <w:marTop w:val="0"/>
      <w:marBottom w:val="0"/>
      <w:divBdr>
        <w:top w:val="none" w:sz="0" w:space="0" w:color="auto"/>
        <w:left w:val="none" w:sz="0" w:space="0" w:color="auto"/>
        <w:bottom w:val="none" w:sz="0" w:space="0" w:color="auto"/>
        <w:right w:val="none" w:sz="0" w:space="0" w:color="auto"/>
      </w:divBdr>
    </w:div>
    <w:div w:id="381949004">
      <w:bodyDiv w:val="1"/>
      <w:marLeft w:val="0"/>
      <w:marRight w:val="0"/>
      <w:marTop w:val="0"/>
      <w:marBottom w:val="0"/>
      <w:divBdr>
        <w:top w:val="none" w:sz="0" w:space="0" w:color="auto"/>
        <w:left w:val="none" w:sz="0" w:space="0" w:color="auto"/>
        <w:bottom w:val="none" w:sz="0" w:space="0" w:color="auto"/>
        <w:right w:val="none" w:sz="0" w:space="0" w:color="auto"/>
      </w:divBdr>
    </w:div>
    <w:div w:id="392119256">
      <w:bodyDiv w:val="1"/>
      <w:marLeft w:val="0"/>
      <w:marRight w:val="0"/>
      <w:marTop w:val="0"/>
      <w:marBottom w:val="0"/>
      <w:divBdr>
        <w:top w:val="none" w:sz="0" w:space="0" w:color="auto"/>
        <w:left w:val="none" w:sz="0" w:space="0" w:color="auto"/>
        <w:bottom w:val="none" w:sz="0" w:space="0" w:color="auto"/>
        <w:right w:val="none" w:sz="0" w:space="0" w:color="auto"/>
      </w:divBdr>
    </w:div>
    <w:div w:id="439957277">
      <w:bodyDiv w:val="1"/>
      <w:marLeft w:val="0"/>
      <w:marRight w:val="0"/>
      <w:marTop w:val="0"/>
      <w:marBottom w:val="0"/>
      <w:divBdr>
        <w:top w:val="none" w:sz="0" w:space="0" w:color="auto"/>
        <w:left w:val="none" w:sz="0" w:space="0" w:color="auto"/>
        <w:bottom w:val="none" w:sz="0" w:space="0" w:color="auto"/>
        <w:right w:val="none" w:sz="0" w:space="0" w:color="auto"/>
      </w:divBdr>
    </w:div>
    <w:div w:id="533731842">
      <w:bodyDiv w:val="1"/>
      <w:marLeft w:val="0"/>
      <w:marRight w:val="0"/>
      <w:marTop w:val="0"/>
      <w:marBottom w:val="0"/>
      <w:divBdr>
        <w:top w:val="none" w:sz="0" w:space="0" w:color="auto"/>
        <w:left w:val="none" w:sz="0" w:space="0" w:color="auto"/>
        <w:bottom w:val="none" w:sz="0" w:space="0" w:color="auto"/>
        <w:right w:val="none" w:sz="0" w:space="0" w:color="auto"/>
      </w:divBdr>
    </w:div>
    <w:div w:id="541866310">
      <w:bodyDiv w:val="1"/>
      <w:marLeft w:val="0"/>
      <w:marRight w:val="0"/>
      <w:marTop w:val="0"/>
      <w:marBottom w:val="0"/>
      <w:divBdr>
        <w:top w:val="none" w:sz="0" w:space="0" w:color="auto"/>
        <w:left w:val="none" w:sz="0" w:space="0" w:color="auto"/>
        <w:bottom w:val="none" w:sz="0" w:space="0" w:color="auto"/>
        <w:right w:val="none" w:sz="0" w:space="0" w:color="auto"/>
      </w:divBdr>
      <w:divsChild>
        <w:div w:id="1856578376">
          <w:marLeft w:val="0"/>
          <w:marRight w:val="0"/>
          <w:marTop w:val="0"/>
          <w:marBottom w:val="0"/>
          <w:divBdr>
            <w:top w:val="none" w:sz="0" w:space="0" w:color="auto"/>
            <w:left w:val="none" w:sz="0" w:space="0" w:color="auto"/>
            <w:bottom w:val="none" w:sz="0" w:space="0" w:color="auto"/>
            <w:right w:val="none" w:sz="0" w:space="0" w:color="auto"/>
          </w:divBdr>
          <w:divsChild>
            <w:div w:id="2093816440">
              <w:marLeft w:val="0"/>
              <w:marRight w:val="0"/>
              <w:marTop w:val="0"/>
              <w:marBottom w:val="0"/>
              <w:divBdr>
                <w:top w:val="none" w:sz="0" w:space="0" w:color="auto"/>
                <w:left w:val="none" w:sz="0" w:space="0" w:color="auto"/>
                <w:bottom w:val="none" w:sz="0" w:space="0" w:color="auto"/>
                <w:right w:val="none" w:sz="0" w:space="0" w:color="auto"/>
              </w:divBdr>
              <w:divsChild>
                <w:div w:id="889074852">
                  <w:marLeft w:val="0"/>
                  <w:marRight w:val="0"/>
                  <w:marTop w:val="0"/>
                  <w:marBottom w:val="0"/>
                  <w:divBdr>
                    <w:top w:val="none" w:sz="0" w:space="0" w:color="auto"/>
                    <w:left w:val="none" w:sz="0" w:space="0" w:color="auto"/>
                    <w:bottom w:val="none" w:sz="0" w:space="0" w:color="auto"/>
                    <w:right w:val="none" w:sz="0" w:space="0" w:color="auto"/>
                  </w:divBdr>
                  <w:divsChild>
                    <w:div w:id="1375229052">
                      <w:marLeft w:val="0"/>
                      <w:marRight w:val="0"/>
                      <w:marTop w:val="0"/>
                      <w:marBottom w:val="0"/>
                      <w:divBdr>
                        <w:top w:val="none" w:sz="0" w:space="0" w:color="auto"/>
                        <w:left w:val="none" w:sz="0" w:space="0" w:color="auto"/>
                        <w:bottom w:val="none" w:sz="0" w:space="0" w:color="auto"/>
                        <w:right w:val="none" w:sz="0" w:space="0" w:color="auto"/>
                      </w:divBdr>
                      <w:divsChild>
                        <w:div w:id="1971082585">
                          <w:marLeft w:val="0"/>
                          <w:marRight w:val="0"/>
                          <w:marTop w:val="0"/>
                          <w:marBottom w:val="0"/>
                          <w:divBdr>
                            <w:top w:val="none" w:sz="0" w:space="0" w:color="auto"/>
                            <w:left w:val="none" w:sz="0" w:space="0" w:color="auto"/>
                            <w:bottom w:val="none" w:sz="0" w:space="0" w:color="auto"/>
                            <w:right w:val="none" w:sz="0" w:space="0" w:color="auto"/>
                          </w:divBdr>
                          <w:divsChild>
                            <w:div w:id="617833622">
                              <w:marLeft w:val="0"/>
                              <w:marRight w:val="0"/>
                              <w:marTop w:val="0"/>
                              <w:marBottom w:val="0"/>
                              <w:divBdr>
                                <w:top w:val="none" w:sz="0" w:space="0" w:color="auto"/>
                                <w:left w:val="none" w:sz="0" w:space="0" w:color="auto"/>
                                <w:bottom w:val="none" w:sz="0" w:space="0" w:color="auto"/>
                                <w:right w:val="none" w:sz="0" w:space="0" w:color="auto"/>
                              </w:divBdr>
                              <w:divsChild>
                                <w:div w:id="1286691280">
                                  <w:marLeft w:val="0"/>
                                  <w:marRight w:val="0"/>
                                  <w:marTop w:val="0"/>
                                  <w:marBottom w:val="0"/>
                                  <w:divBdr>
                                    <w:top w:val="none" w:sz="0" w:space="0" w:color="auto"/>
                                    <w:left w:val="none" w:sz="0" w:space="0" w:color="auto"/>
                                    <w:bottom w:val="none" w:sz="0" w:space="0" w:color="auto"/>
                                    <w:right w:val="none" w:sz="0" w:space="0" w:color="auto"/>
                                  </w:divBdr>
                                  <w:divsChild>
                                    <w:div w:id="1299606828">
                                      <w:marLeft w:val="0"/>
                                      <w:marRight w:val="0"/>
                                      <w:marTop w:val="0"/>
                                      <w:marBottom w:val="0"/>
                                      <w:divBdr>
                                        <w:top w:val="none" w:sz="0" w:space="0" w:color="auto"/>
                                        <w:left w:val="none" w:sz="0" w:space="0" w:color="auto"/>
                                        <w:bottom w:val="none" w:sz="0" w:space="0" w:color="auto"/>
                                        <w:right w:val="none" w:sz="0" w:space="0" w:color="auto"/>
                                      </w:divBdr>
                                      <w:divsChild>
                                        <w:div w:id="202333956">
                                          <w:marLeft w:val="0"/>
                                          <w:marRight w:val="0"/>
                                          <w:marTop w:val="0"/>
                                          <w:marBottom w:val="0"/>
                                          <w:divBdr>
                                            <w:top w:val="none" w:sz="0" w:space="0" w:color="auto"/>
                                            <w:left w:val="none" w:sz="0" w:space="0" w:color="auto"/>
                                            <w:bottom w:val="none" w:sz="0" w:space="0" w:color="auto"/>
                                            <w:right w:val="none" w:sz="0" w:space="0" w:color="auto"/>
                                          </w:divBdr>
                                          <w:divsChild>
                                            <w:div w:id="337314886">
                                              <w:marLeft w:val="0"/>
                                              <w:marRight w:val="0"/>
                                              <w:marTop w:val="0"/>
                                              <w:marBottom w:val="0"/>
                                              <w:divBdr>
                                                <w:top w:val="none" w:sz="0" w:space="0" w:color="auto"/>
                                                <w:left w:val="none" w:sz="0" w:space="0" w:color="auto"/>
                                                <w:bottom w:val="none" w:sz="0" w:space="0" w:color="auto"/>
                                                <w:right w:val="none" w:sz="0" w:space="0" w:color="auto"/>
                                              </w:divBdr>
                                              <w:divsChild>
                                                <w:div w:id="2135978116">
                                                  <w:marLeft w:val="0"/>
                                                  <w:marRight w:val="0"/>
                                                  <w:marTop w:val="0"/>
                                                  <w:marBottom w:val="0"/>
                                                  <w:divBdr>
                                                    <w:top w:val="none" w:sz="0" w:space="0" w:color="auto"/>
                                                    <w:left w:val="none" w:sz="0" w:space="0" w:color="auto"/>
                                                    <w:bottom w:val="none" w:sz="0" w:space="0" w:color="auto"/>
                                                    <w:right w:val="none" w:sz="0" w:space="0" w:color="auto"/>
                                                  </w:divBdr>
                                                  <w:divsChild>
                                                    <w:div w:id="1926037544">
                                                      <w:marLeft w:val="0"/>
                                                      <w:marRight w:val="0"/>
                                                      <w:marTop w:val="0"/>
                                                      <w:marBottom w:val="0"/>
                                                      <w:divBdr>
                                                        <w:top w:val="none" w:sz="0" w:space="0" w:color="auto"/>
                                                        <w:left w:val="none" w:sz="0" w:space="0" w:color="auto"/>
                                                        <w:bottom w:val="none" w:sz="0" w:space="0" w:color="auto"/>
                                                        <w:right w:val="none" w:sz="0" w:space="0" w:color="auto"/>
                                                      </w:divBdr>
                                                      <w:divsChild>
                                                        <w:div w:id="959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487713">
      <w:bodyDiv w:val="1"/>
      <w:marLeft w:val="0"/>
      <w:marRight w:val="0"/>
      <w:marTop w:val="0"/>
      <w:marBottom w:val="0"/>
      <w:divBdr>
        <w:top w:val="none" w:sz="0" w:space="0" w:color="auto"/>
        <w:left w:val="none" w:sz="0" w:space="0" w:color="auto"/>
        <w:bottom w:val="none" w:sz="0" w:space="0" w:color="auto"/>
        <w:right w:val="none" w:sz="0" w:space="0" w:color="auto"/>
      </w:divBdr>
    </w:div>
    <w:div w:id="883836904">
      <w:bodyDiv w:val="1"/>
      <w:marLeft w:val="0"/>
      <w:marRight w:val="0"/>
      <w:marTop w:val="0"/>
      <w:marBottom w:val="0"/>
      <w:divBdr>
        <w:top w:val="none" w:sz="0" w:space="0" w:color="auto"/>
        <w:left w:val="none" w:sz="0" w:space="0" w:color="auto"/>
        <w:bottom w:val="none" w:sz="0" w:space="0" w:color="auto"/>
        <w:right w:val="none" w:sz="0" w:space="0" w:color="auto"/>
      </w:divBdr>
      <w:divsChild>
        <w:div w:id="1542552519">
          <w:marLeft w:val="0"/>
          <w:marRight w:val="0"/>
          <w:marTop w:val="0"/>
          <w:marBottom w:val="0"/>
          <w:divBdr>
            <w:top w:val="none" w:sz="0" w:space="0" w:color="auto"/>
            <w:left w:val="none" w:sz="0" w:space="0" w:color="auto"/>
            <w:bottom w:val="none" w:sz="0" w:space="0" w:color="auto"/>
            <w:right w:val="none" w:sz="0" w:space="0" w:color="auto"/>
          </w:divBdr>
          <w:divsChild>
            <w:div w:id="282229067">
              <w:marLeft w:val="0"/>
              <w:marRight w:val="0"/>
              <w:marTop w:val="0"/>
              <w:marBottom w:val="0"/>
              <w:divBdr>
                <w:top w:val="none" w:sz="0" w:space="0" w:color="auto"/>
                <w:left w:val="none" w:sz="0" w:space="0" w:color="auto"/>
                <w:bottom w:val="none" w:sz="0" w:space="0" w:color="auto"/>
                <w:right w:val="none" w:sz="0" w:space="0" w:color="auto"/>
              </w:divBdr>
              <w:divsChild>
                <w:div w:id="697855368">
                  <w:marLeft w:val="0"/>
                  <w:marRight w:val="0"/>
                  <w:marTop w:val="0"/>
                  <w:marBottom w:val="0"/>
                  <w:divBdr>
                    <w:top w:val="none" w:sz="0" w:space="0" w:color="auto"/>
                    <w:left w:val="none" w:sz="0" w:space="0" w:color="auto"/>
                    <w:bottom w:val="none" w:sz="0" w:space="0" w:color="auto"/>
                    <w:right w:val="none" w:sz="0" w:space="0" w:color="auto"/>
                  </w:divBdr>
                  <w:divsChild>
                    <w:div w:id="690958407">
                      <w:marLeft w:val="0"/>
                      <w:marRight w:val="0"/>
                      <w:marTop w:val="0"/>
                      <w:marBottom w:val="0"/>
                      <w:divBdr>
                        <w:top w:val="none" w:sz="0" w:space="0" w:color="auto"/>
                        <w:left w:val="none" w:sz="0" w:space="0" w:color="auto"/>
                        <w:bottom w:val="none" w:sz="0" w:space="0" w:color="auto"/>
                        <w:right w:val="none" w:sz="0" w:space="0" w:color="auto"/>
                      </w:divBdr>
                      <w:divsChild>
                        <w:div w:id="878903734">
                          <w:marLeft w:val="0"/>
                          <w:marRight w:val="0"/>
                          <w:marTop w:val="0"/>
                          <w:marBottom w:val="0"/>
                          <w:divBdr>
                            <w:top w:val="none" w:sz="0" w:space="0" w:color="auto"/>
                            <w:left w:val="none" w:sz="0" w:space="0" w:color="auto"/>
                            <w:bottom w:val="none" w:sz="0" w:space="0" w:color="auto"/>
                            <w:right w:val="none" w:sz="0" w:space="0" w:color="auto"/>
                          </w:divBdr>
                          <w:divsChild>
                            <w:div w:id="1066150189">
                              <w:marLeft w:val="0"/>
                              <w:marRight w:val="0"/>
                              <w:marTop w:val="0"/>
                              <w:marBottom w:val="0"/>
                              <w:divBdr>
                                <w:top w:val="none" w:sz="0" w:space="0" w:color="auto"/>
                                <w:left w:val="none" w:sz="0" w:space="0" w:color="auto"/>
                                <w:bottom w:val="none" w:sz="0" w:space="0" w:color="auto"/>
                                <w:right w:val="none" w:sz="0" w:space="0" w:color="auto"/>
                              </w:divBdr>
                              <w:divsChild>
                                <w:div w:id="89787011">
                                  <w:marLeft w:val="0"/>
                                  <w:marRight w:val="0"/>
                                  <w:marTop w:val="0"/>
                                  <w:marBottom w:val="0"/>
                                  <w:divBdr>
                                    <w:top w:val="none" w:sz="0" w:space="0" w:color="auto"/>
                                    <w:left w:val="none" w:sz="0" w:space="0" w:color="auto"/>
                                    <w:bottom w:val="none" w:sz="0" w:space="0" w:color="auto"/>
                                    <w:right w:val="none" w:sz="0" w:space="0" w:color="auto"/>
                                  </w:divBdr>
                                  <w:divsChild>
                                    <w:div w:id="1616132887">
                                      <w:marLeft w:val="0"/>
                                      <w:marRight w:val="0"/>
                                      <w:marTop w:val="0"/>
                                      <w:marBottom w:val="0"/>
                                      <w:divBdr>
                                        <w:top w:val="none" w:sz="0" w:space="0" w:color="auto"/>
                                        <w:left w:val="none" w:sz="0" w:space="0" w:color="auto"/>
                                        <w:bottom w:val="none" w:sz="0" w:space="0" w:color="auto"/>
                                        <w:right w:val="none" w:sz="0" w:space="0" w:color="auto"/>
                                      </w:divBdr>
                                      <w:divsChild>
                                        <w:div w:id="1195731221">
                                          <w:marLeft w:val="0"/>
                                          <w:marRight w:val="0"/>
                                          <w:marTop w:val="0"/>
                                          <w:marBottom w:val="0"/>
                                          <w:divBdr>
                                            <w:top w:val="none" w:sz="0" w:space="0" w:color="auto"/>
                                            <w:left w:val="none" w:sz="0" w:space="0" w:color="auto"/>
                                            <w:bottom w:val="none" w:sz="0" w:space="0" w:color="auto"/>
                                            <w:right w:val="none" w:sz="0" w:space="0" w:color="auto"/>
                                          </w:divBdr>
                                          <w:divsChild>
                                            <w:div w:id="1517158455">
                                              <w:marLeft w:val="0"/>
                                              <w:marRight w:val="0"/>
                                              <w:marTop w:val="0"/>
                                              <w:marBottom w:val="0"/>
                                              <w:divBdr>
                                                <w:top w:val="none" w:sz="0" w:space="0" w:color="auto"/>
                                                <w:left w:val="none" w:sz="0" w:space="0" w:color="auto"/>
                                                <w:bottom w:val="none" w:sz="0" w:space="0" w:color="auto"/>
                                                <w:right w:val="none" w:sz="0" w:space="0" w:color="auto"/>
                                              </w:divBdr>
                                              <w:divsChild>
                                                <w:div w:id="452097918">
                                                  <w:marLeft w:val="0"/>
                                                  <w:marRight w:val="0"/>
                                                  <w:marTop w:val="0"/>
                                                  <w:marBottom w:val="0"/>
                                                  <w:divBdr>
                                                    <w:top w:val="none" w:sz="0" w:space="0" w:color="auto"/>
                                                    <w:left w:val="none" w:sz="0" w:space="0" w:color="auto"/>
                                                    <w:bottom w:val="none" w:sz="0" w:space="0" w:color="auto"/>
                                                    <w:right w:val="none" w:sz="0" w:space="0" w:color="auto"/>
                                                  </w:divBdr>
                                                  <w:divsChild>
                                                    <w:div w:id="446585106">
                                                      <w:marLeft w:val="0"/>
                                                      <w:marRight w:val="0"/>
                                                      <w:marTop w:val="0"/>
                                                      <w:marBottom w:val="0"/>
                                                      <w:divBdr>
                                                        <w:top w:val="none" w:sz="0" w:space="0" w:color="auto"/>
                                                        <w:left w:val="none" w:sz="0" w:space="0" w:color="auto"/>
                                                        <w:bottom w:val="none" w:sz="0" w:space="0" w:color="auto"/>
                                                        <w:right w:val="none" w:sz="0" w:space="0" w:color="auto"/>
                                                      </w:divBdr>
                                                      <w:divsChild>
                                                        <w:div w:id="18216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286029">
      <w:bodyDiv w:val="1"/>
      <w:marLeft w:val="0"/>
      <w:marRight w:val="0"/>
      <w:marTop w:val="0"/>
      <w:marBottom w:val="0"/>
      <w:divBdr>
        <w:top w:val="none" w:sz="0" w:space="0" w:color="auto"/>
        <w:left w:val="none" w:sz="0" w:space="0" w:color="auto"/>
        <w:bottom w:val="none" w:sz="0" w:space="0" w:color="auto"/>
        <w:right w:val="none" w:sz="0" w:space="0" w:color="auto"/>
      </w:divBdr>
    </w:div>
    <w:div w:id="1326129203">
      <w:bodyDiv w:val="1"/>
      <w:marLeft w:val="0"/>
      <w:marRight w:val="0"/>
      <w:marTop w:val="0"/>
      <w:marBottom w:val="0"/>
      <w:divBdr>
        <w:top w:val="none" w:sz="0" w:space="0" w:color="auto"/>
        <w:left w:val="none" w:sz="0" w:space="0" w:color="auto"/>
        <w:bottom w:val="none" w:sz="0" w:space="0" w:color="auto"/>
        <w:right w:val="none" w:sz="0" w:space="0" w:color="auto"/>
      </w:divBdr>
      <w:divsChild>
        <w:div w:id="644941973">
          <w:marLeft w:val="0"/>
          <w:marRight w:val="0"/>
          <w:marTop w:val="0"/>
          <w:marBottom w:val="0"/>
          <w:divBdr>
            <w:top w:val="none" w:sz="0" w:space="0" w:color="auto"/>
            <w:left w:val="none" w:sz="0" w:space="0" w:color="auto"/>
            <w:bottom w:val="none" w:sz="0" w:space="0" w:color="auto"/>
            <w:right w:val="none" w:sz="0" w:space="0" w:color="auto"/>
          </w:divBdr>
          <w:divsChild>
            <w:div w:id="1597865764">
              <w:marLeft w:val="0"/>
              <w:marRight w:val="0"/>
              <w:marTop w:val="0"/>
              <w:marBottom w:val="0"/>
              <w:divBdr>
                <w:top w:val="none" w:sz="0" w:space="0" w:color="auto"/>
                <w:left w:val="none" w:sz="0" w:space="0" w:color="auto"/>
                <w:bottom w:val="none" w:sz="0" w:space="0" w:color="auto"/>
                <w:right w:val="none" w:sz="0" w:space="0" w:color="auto"/>
              </w:divBdr>
              <w:divsChild>
                <w:div w:id="650333322">
                  <w:marLeft w:val="0"/>
                  <w:marRight w:val="0"/>
                  <w:marTop w:val="0"/>
                  <w:marBottom w:val="0"/>
                  <w:divBdr>
                    <w:top w:val="none" w:sz="0" w:space="0" w:color="auto"/>
                    <w:left w:val="none" w:sz="0" w:space="0" w:color="auto"/>
                    <w:bottom w:val="none" w:sz="0" w:space="0" w:color="auto"/>
                    <w:right w:val="none" w:sz="0" w:space="0" w:color="auto"/>
                  </w:divBdr>
                  <w:divsChild>
                    <w:div w:id="1634099261">
                      <w:marLeft w:val="0"/>
                      <w:marRight w:val="0"/>
                      <w:marTop w:val="0"/>
                      <w:marBottom w:val="0"/>
                      <w:divBdr>
                        <w:top w:val="none" w:sz="0" w:space="0" w:color="auto"/>
                        <w:left w:val="none" w:sz="0" w:space="0" w:color="auto"/>
                        <w:bottom w:val="none" w:sz="0" w:space="0" w:color="auto"/>
                        <w:right w:val="none" w:sz="0" w:space="0" w:color="auto"/>
                      </w:divBdr>
                      <w:divsChild>
                        <w:div w:id="1390688232">
                          <w:marLeft w:val="0"/>
                          <w:marRight w:val="0"/>
                          <w:marTop w:val="0"/>
                          <w:marBottom w:val="0"/>
                          <w:divBdr>
                            <w:top w:val="none" w:sz="0" w:space="0" w:color="auto"/>
                            <w:left w:val="none" w:sz="0" w:space="0" w:color="auto"/>
                            <w:bottom w:val="none" w:sz="0" w:space="0" w:color="auto"/>
                            <w:right w:val="none" w:sz="0" w:space="0" w:color="auto"/>
                          </w:divBdr>
                          <w:divsChild>
                            <w:div w:id="257757714">
                              <w:marLeft w:val="0"/>
                              <w:marRight w:val="0"/>
                              <w:marTop w:val="0"/>
                              <w:marBottom w:val="0"/>
                              <w:divBdr>
                                <w:top w:val="none" w:sz="0" w:space="0" w:color="auto"/>
                                <w:left w:val="none" w:sz="0" w:space="0" w:color="auto"/>
                                <w:bottom w:val="none" w:sz="0" w:space="0" w:color="auto"/>
                                <w:right w:val="none" w:sz="0" w:space="0" w:color="auto"/>
                              </w:divBdr>
                              <w:divsChild>
                                <w:div w:id="920524091">
                                  <w:marLeft w:val="0"/>
                                  <w:marRight w:val="0"/>
                                  <w:marTop w:val="0"/>
                                  <w:marBottom w:val="0"/>
                                  <w:divBdr>
                                    <w:top w:val="none" w:sz="0" w:space="0" w:color="auto"/>
                                    <w:left w:val="none" w:sz="0" w:space="0" w:color="auto"/>
                                    <w:bottom w:val="none" w:sz="0" w:space="0" w:color="auto"/>
                                    <w:right w:val="none" w:sz="0" w:space="0" w:color="auto"/>
                                  </w:divBdr>
                                  <w:divsChild>
                                    <w:div w:id="226451594">
                                      <w:marLeft w:val="0"/>
                                      <w:marRight w:val="0"/>
                                      <w:marTop w:val="0"/>
                                      <w:marBottom w:val="0"/>
                                      <w:divBdr>
                                        <w:top w:val="none" w:sz="0" w:space="0" w:color="auto"/>
                                        <w:left w:val="none" w:sz="0" w:space="0" w:color="auto"/>
                                        <w:bottom w:val="none" w:sz="0" w:space="0" w:color="auto"/>
                                        <w:right w:val="none" w:sz="0" w:space="0" w:color="auto"/>
                                      </w:divBdr>
                                      <w:divsChild>
                                        <w:div w:id="1179733071">
                                          <w:marLeft w:val="0"/>
                                          <w:marRight w:val="0"/>
                                          <w:marTop w:val="0"/>
                                          <w:marBottom w:val="0"/>
                                          <w:divBdr>
                                            <w:top w:val="none" w:sz="0" w:space="0" w:color="auto"/>
                                            <w:left w:val="none" w:sz="0" w:space="0" w:color="auto"/>
                                            <w:bottom w:val="none" w:sz="0" w:space="0" w:color="auto"/>
                                            <w:right w:val="none" w:sz="0" w:space="0" w:color="auto"/>
                                          </w:divBdr>
                                          <w:divsChild>
                                            <w:div w:id="28065685">
                                              <w:marLeft w:val="0"/>
                                              <w:marRight w:val="0"/>
                                              <w:marTop w:val="0"/>
                                              <w:marBottom w:val="0"/>
                                              <w:divBdr>
                                                <w:top w:val="none" w:sz="0" w:space="0" w:color="auto"/>
                                                <w:left w:val="none" w:sz="0" w:space="0" w:color="auto"/>
                                                <w:bottom w:val="none" w:sz="0" w:space="0" w:color="auto"/>
                                                <w:right w:val="none" w:sz="0" w:space="0" w:color="auto"/>
                                              </w:divBdr>
                                              <w:divsChild>
                                                <w:div w:id="316614065">
                                                  <w:marLeft w:val="0"/>
                                                  <w:marRight w:val="0"/>
                                                  <w:marTop w:val="0"/>
                                                  <w:marBottom w:val="0"/>
                                                  <w:divBdr>
                                                    <w:top w:val="none" w:sz="0" w:space="0" w:color="auto"/>
                                                    <w:left w:val="none" w:sz="0" w:space="0" w:color="auto"/>
                                                    <w:bottom w:val="none" w:sz="0" w:space="0" w:color="auto"/>
                                                    <w:right w:val="none" w:sz="0" w:space="0" w:color="auto"/>
                                                  </w:divBdr>
                                                  <w:divsChild>
                                                    <w:div w:id="874388409">
                                                      <w:marLeft w:val="0"/>
                                                      <w:marRight w:val="0"/>
                                                      <w:marTop w:val="0"/>
                                                      <w:marBottom w:val="0"/>
                                                      <w:divBdr>
                                                        <w:top w:val="none" w:sz="0" w:space="0" w:color="auto"/>
                                                        <w:left w:val="none" w:sz="0" w:space="0" w:color="auto"/>
                                                        <w:bottom w:val="none" w:sz="0" w:space="0" w:color="auto"/>
                                                        <w:right w:val="none" w:sz="0" w:space="0" w:color="auto"/>
                                                      </w:divBdr>
                                                      <w:divsChild>
                                                        <w:div w:id="10051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673245">
      <w:bodyDiv w:val="1"/>
      <w:marLeft w:val="0"/>
      <w:marRight w:val="0"/>
      <w:marTop w:val="0"/>
      <w:marBottom w:val="0"/>
      <w:divBdr>
        <w:top w:val="none" w:sz="0" w:space="0" w:color="auto"/>
        <w:left w:val="none" w:sz="0" w:space="0" w:color="auto"/>
        <w:bottom w:val="none" w:sz="0" w:space="0" w:color="auto"/>
        <w:right w:val="none" w:sz="0" w:space="0" w:color="auto"/>
      </w:divBdr>
    </w:div>
    <w:div w:id="1608466556">
      <w:bodyDiv w:val="1"/>
      <w:marLeft w:val="0"/>
      <w:marRight w:val="0"/>
      <w:marTop w:val="0"/>
      <w:marBottom w:val="0"/>
      <w:divBdr>
        <w:top w:val="none" w:sz="0" w:space="0" w:color="auto"/>
        <w:left w:val="none" w:sz="0" w:space="0" w:color="auto"/>
        <w:bottom w:val="none" w:sz="0" w:space="0" w:color="auto"/>
        <w:right w:val="none" w:sz="0" w:space="0" w:color="auto"/>
      </w:divBdr>
    </w:div>
    <w:div w:id="1664696995">
      <w:bodyDiv w:val="1"/>
      <w:marLeft w:val="0"/>
      <w:marRight w:val="0"/>
      <w:marTop w:val="0"/>
      <w:marBottom w:val="0"/>
      <w:divBdr>
        <w:top w:val="none" w:sz="0" w:space="0" w:color="auto"/>
        <w:left w:val="none" w:sz="0" w:space="0" w:color="auto"/>
        <w:bottom w:val="none" w:sz="0" w:space="0" w:color="auto"/>
        <w:right w:val="none" w:sz="0" w:space="0" w:color="auto"/>
      </w:divBdr>
    </w:div>
    <w:div w:id="1751267360">
      <w:bodyDiv w:val="1"/>
      <w:marLeft w:val="0"/>
      <w:marRight w:val="0"/>
      <w:marTop w:val="0"/>
      <w:marBottom w:val="0"/>
      <w:divBdr>
        <w:top w:val="none" w:sz="0" w:space="0" w:color="auto"/>
        <w:left w:val="none" w:sz="0" w:space="0" w:color="auto"/>
        <w:bottom w:val="none" w:sz="0" w:space="0" w:color="auto"/>
        <w:right w:val="none" w:sz="0" w:space="0" w:color="auto"/>
      </w:divBdr>
    </w:div>
    <w:div w:id="1811362093">
      <w:bodyDiv w:val="1"/>
      <w:marLeft w:val="0"/>
      <w:marRight w:val="0"/>
      <w:marTop w:val="0"/>
      <w:marBottom w:val="0"/>
      <w:divBdr>
        <w:top w:val="none" w:sz="0" w:space="0" w:color="auto"/>
        <w:left w:val="none" w:sz="0" w:space="0" w:color="auto"/>
        <w:bottom w:val="none" w:sz="0" w:space="0" w:color="auto"/>
        <w:right w:val="none" w:sz="0" w:space="0" w:color="auto"/>
      </w:divBdr>
    </w:div>
    <w:div w:id="1858888302">
      <w:bodyDiv w:val="1"/>
      <w:marLeft w:val="0"/>
      <w:marRight w:val="0"/>
      <w:marTop w:val="0"/>
      <w:marBottom w:val="0"/>
      <w:divBdr>
        <w:top w:val="none" w:sz="0" w:space="0" w:color="auto"/>
        <w:left w:val="none" w:sz="0" w:space="0" w:color="auto"/>
        <w:bottom w:val="none" w:sz="0" w:space="0" w:color="auto"/>
        <w:right w:val="none" w:sz="0" w:space="0" w:color="auto"/>
      </w:divBdr>
    </w:div>
    <w:div w:id="1924297375">
      <w:bodyDiv w:val="1"/>
      <w:marLeft w:val="0"/>
      <w:marRight w:val="0"/>
      <w:marTop w:val="0"/>
      <w:marBottom w:val="0"/>
      <w:divBdr>
        <w:top w:val="none" w:sz="0" w:space="0" w:color="auto"/>
        <w:left w:val="none" w:sz="0" w:space="0" w:color="auto"/>
        <w:bottom w:val="none" w:sz="0" w:space="0" w:color="auto"/>
        <w:right w:val="none" w:sz="0" w:space="0" w:color="auto"/>
      </w:divBdr>
    </w:div>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 w:id="1954896360">
      <w:bodyDiv w:val="1"/>
      <w:marLeft w:val="0"/>
      <w:marRight w:val="0"/>
      <w:marTop w:val="0"/>
      <w:marBottom w:val="0"/>
      <w:divBdr>
        <w:top w:val="none" w:sz="0" w:space="0" w:color="auto"/>
        <w:left w:val="none" w:sz="0" w:space="0" w:color="auto"/>
        <w:bottom w:val="none" w:sz="0" w:space="0" w:color="auto"/>
        <w:right w:val="none" w:sz="0" w:space="0" w:color="auto"/>
      </w:divBdr>
    </w:div>
    <w:div w:id="2071535852">
      <w:bodyDiv w:val="1"/>
      <w:marLeft w:val="0"/>
      <w:marRight w:val="0"/>
      <w:marTop w:val="0"/>
      <w:marBottom w:val="0"/>
      <w:divBdr>
        <w:top w:val="none" w:sz="0" w:space="0" w:color="auto"/>
        <w:left w:val="none" w:sz="0" w:space="0" w:color="auto"/>
        <w:bottom w:val="none" w:sz="0" w:space="0" w:color="auto"/>
        <w:right w:val="none" w:sz="0" w:space="0" w:color="auto"/>
      </w:divBdr>
    </w:div>
    <w:div w:id="21045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hyperlink" Target="http://www.communications.gov.au/have-your-say" TargetMode="External"/><Relationship Id="rId39" Type="http://schemas.openxmlformats.org/officeDocument/2006/relationships/hyperlink" Target="http://www.legislation.gov.au/Details/F2012L01934" TargetMode="Externa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34" Type="http://schemas.openxmlformats.org/officeDocument/2006/relationships/image" Target="media/image9.png"/><Relationship Id="rId42" Type="http://schemas.openxmlformats.org/officeDocument/2006/relationships/hyperlink" Target="http://www.acma.gov.au/industry-codes-practic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yperlink" Target="http://www.classification.gov.au/" TargetMode="External"/><Relationship Id="rId33" Type="http://schemas.openxmlformats.org/officeDocument/2006/relationships/image" Target="media/image8.png"/><Relationship Id="rId38" Type="http://schemas.openxmlformats.org/officeDocument/2006/relationships/hyperlink" Target="http://www.legislation.gov.au/Details/F2012L02541"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29" Type="http://schemas.openxmlformats.org/officeDocument/2006/relationships/image" Target="media/image4.png"/><Relationship Id="rId41" Type="http://schemas.openxmlformats.org/officeDocument/2006/relationships/hyperlink" Target="http://www.legislation.gov.au/Series/C2004A048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ommunications.gov.au/have-your-say/consultation-new-online-safety-act" TargetMode="External"/><Relationship Id="rId32" Type="http://schemas.openxmlformats.org/officeDocument/2006/relationships/image" Target="media/image7.png"/><Relationship Id="rId37" Type="http://schemas.openxmlformats.org/officeDocument/2006/relationships/hyperlink" Target="http://www.legislation.gov.au/Details/F2013C00006" TargetMode="External"/><Relationship Id="rId40" Type="http://schemas.openxmlformats.org/officeDocument/2006/relationships/hyperlink" Target="http://www.legislation.gov.au/Details/F2008C00129" TargetMode="External"/><Relationship Id="rId45" Type="http://schemas.openxmlformats.org/officeDocument/2006/relationships/hyperlink" Target="http://www.classification.gov.au"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treasury.gov.au/publication/p2019-41708" TargetMode="External"/><Relationship Id="rId28" Type="http://schemas.openxmlformats.org/officeDocument/2006/relationships/hyperlink" Target="mailto:policy@classification.gov.au" TargetMode="External"/><Relationship Id="rId36" Type="http://schemas.openxmlformats.org/officeDocument/2006/relationships/hyperlink" Target="http://www.classification.gov.au" TargetMode="Externa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31" Type="http://schemas.openxmlformats.org/officeDocument/2006/relationships/image" Target="media/image6.png"/><Relationship Id="rId44" Type="http://schemas.openxmlformats.org/officeDocument/2006/relationships/hyperlink" Target="http://www.globalrating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lassification.gov.au" TargetMode="External"/><Relationship Id="rId27" Type="http://schemas.openxmlformats.org/officeDocument/2006/relationships/hyperlink" Target="mailto:consultation@classification.gov.au" TargetMode="External"/><Relationship Id="rId30" Type="http://schemas.openxmlformats.org/officeDocument/2006/relationships/image" Target="media/image5.png"/><Relationship Id="rId35" Type="http://schemas.openxmlformats.org/officeDocument/2006/relationships/hyperlink" Target="http://www.classification.gov.au" TargetMode="External"/><Relationship Id="rId43" Type="http://schemas.openxmlformats.org/officeDocument/2006/relationships/hyperlink" Target="http://www.classification.gov.au"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lrc.gov.au/inquiry/national-classification-scheme-review/implementation-13/" TargetMode="External"/><Relationship Id="rId13" Type="http://schemas.openxmlformats.org/officeDocument/2006/relationships/hyperlink" Target="https://www.legislation.gov.au/Details/F2014C01386" TargetMode="External"/><Relationship Id="rId18" Type="http://schemas.openxmlformats.org/officeDocument/2006/relationships/hyperlink" Target="https://www.legislation.gov.au/Details/C2018C00241" TargetMode="External"/><Relationship Id="rId26" Type="http://schemas.openxmlformats.org/officeDocument/2006/relationships/hyperlink" Target="http://www.abc.net.au/mediawatch/transcripts/1339_convergence.pdf" TargetMode="External"/><Relationship Id="rId39" Type="http://schemas.openxmlformats.org/officeDocument/2006/relationships/hyperlink" Target="http://www.alrc.gov.au/publications/classification-content-regulation-and-convergent-media-alrc-report-118" TargetMode="External"/><Relationship Id="rId3" Type="http://schemas.openxmlformats.org/officeDocument/2006/relationships/hyperlink" Target="http://www.classification.gov.au/about-us/corporate-reporting/annual-reports" TargetMode="External"/><Relationship Id="rId21" Type="http://schemas.openxmlformats.org/officeDocument/2006/relationships/hyperlink" Target="https://www.communications.gov.au/publications/report-statutory-review-enhancing-online-safety-act-2015-and-review-schedules-5-and-7-broadcasting" TargetMode="External"/><Relationship Id="rId34" Type="http://schemas.openxmlformats.org/officeDocument/2006/relationships/hyperlink" Target="http://www.classification.gov.au/about-us/legislation" TargetMode="External"/><Relationship Id="rId42" Type="http://schemas.openxmlformats.org/officeDocument/2006/relationships/hyperlink" Target="https://www.aheda.com.au/yearbooks" TargetMode="External"/><Relationship Id="rId7" Type="http://schemas.openxmlformats.org/officeDocument/2006/relationships/hyperlink" Target="http://www.alrc.gov.au/publications/classification-content-regulation-and-convergent-media-alrc-report-118" TargetMode="External"/><Relationship Id="rId12" Type="http://schemas.openxmlformats.org/officeDocument/2006/relationships/hyperlink" Target="https://www.accc.gov.au/focus-areas/inquiries-ongoing/digital-platforms-inquiry" TargetMode="External"/><Relationship Id="rId17" Type="http://schemas.openxmlformats.org/officeDocument/2006/relationships/hyperlink" Target="https://www.legislation.gov.au/Details/C2018C00375" TargetMode="External"/><Relationship Id="rId25" Type="http://schemas.openxmlformats.org/officeDocument/2006/relationships/hyperlink" Target="http://www.alrc.gov.au/publications/classification-content-regulation-and-convergent-media-alrc-report-118" TargetMode="External"/><Relationship Id="rId33" Type="http://schemas.openxmlformats.org/officeDocument/2006/relationships/hyperlink" Target="https://www.acma.gov.au/publications/2019-10/report/australian-communications-and-media-authority-and-office-esafety-commissioner-annual-reports-2018-19" TargetMode="External"/><Relationship Id="rId38" Type="http://schemas.openxmlformats.org/officeDocument/2006/relationships/hyperlink" Target="http://www.alrc.gov.au/publications/classification-content-regulation-and-convergent-media-alrc-report-118" TargetMode="External"/><Relationship Id="rId2" Type="http://schemas.openxmlformats.org/officeDocument/2006/relationships/hyperlink" Target="http://www.classification.gov.au/about-us/legislation" TargetMode="External"/><Relationship Id="rId16" Type="http://schemas.openxmlformats.org/officeDocument/2006/relationships/hyperlink" Target="http://www.acma.gov.au/industry-codes-practice" TargetMode="External"/><Relationship Id="rId20" Type="http://schemas.openxmlformats.org/officeDocument/2006/relationships/hyperlink" Target="https://www.legislation.gov.au/Details/C2018C00241" TargetMode="External"/><Relationship Id="rId29" Type="http://schemas.openxmlformats.org/officeDocument/2006/relationships/hyperlink" Target="http://www.alrc.gov.au/publications/classification-content-regulation-and-convergent-media-alrc-report-118" TargetMode="External"/><Relationship Id="rId41" Type="http://schemas.openxmlformats.org/officeDocument/2006/relationships/hyperlink" Target="https://igea.net/wp-content/uploads/2019/08/DA20-Report-FINAL-Aug19.pdf" TargetMode="External"/><Relationship Id="rId1" Type="http://schemas.openxmlformats.org/officeDocument/2006/relationships/hyperlink" Target="https://www.legislation.gov.au/Details/C2017C00267" TargetMode="External"/><Relationship Id="rId6" Type="http://schemas.openxmlformats.org/officeDocument/2006/relationships/hyperlink" Target="https://www.legislation.gov.au/Details/C2018C00375" TargetMode="External"/><Relationship Id="rId11" Type="http://schemas.openxmlformats.org/officeDocument/2006/relationships/hyperlink" Target="https://www.communications.gov.au/publications/report-statutory-review-enhancing-online-safety-act-2015-and-review-schedules-5-and-7-broadcasting" TargetMode="External"/><Relationship Id="rId24" Type="http://schemas.openxmlformats.org/officeDocument/2006/relationships/hyperlink" Target="http://www.theguardian.com/media/2019/oct/23/softcore-magazines-the-picture-and-people-to-close-amid-sale-ban-and-falling-circulation" TargetMode="External"/><Relationship Id="rId32" Type="http://schemas.openxmlformats.org/officeDocument/2006/relationships/hyperlink" Target="http://www.alrc.gov.au/publications/classification-content-regulation-and-convergent-media-alrc-report-118" TargetMode="External"/><Relationship Id="rId37" Type="http://schemas.openxmlformats.org/officeDocument/2006/relationships/hyperlink" Target="http://www.alrc.gov.au/publications/classification-content-regulation-and-convergent-media-alrc-report-118" TargetMode="External"/><Relationship Id="rId40" Type="http://schemas.openxmlformats.org/officeDocument/2006/relationships/hyperlink" Target="https://igea.net/2019/05/aussies-love-for-video-games-continues-to-grow/" TargetMode="External"/><Relationship Id="rId5" Type="http://schemas.openxmlformats.org/officeDocument/2006/relationships/hyperlink" Target="https://www.legislation.gov.au/Details/C2018C00375" TargetMode="External"/><Relationship Id="rId15" Type="http://schemas.openxmlformats.org/officeDocument/2006/relationships/hyperlink" Target="http://www.aph.gov.au/Parliamentary_Business/Committees/Senate/Environment_and_Communications/Gamingmicro-transactions/Report" TargetMode="External"/><Relationship Id="rId23" Type="http://schemas.openxmlformats.org/officeDocument/2006/relationships/hyperlink" Target="http://www.classification.gov.au/about-us/corporate-reporting/annual-reports" TargetMode="External"/><Relationship Id="rId28" Type="http://schemas.openxmlformats.org/officeDocument/2006/relationships/hyperlink" Target="http://www.alrc.gov.au/publications/classification-content-regulation-and-convergent-media-alrc-report-118" TargetMode="External"/><Relationship Id="rId36" Type="http://schemas.openxmlformats.org/officeDocument/2006/relationships/hyperlink" Target="http://www.alrc.gov.au/publications/classification-content-regulation-and-convergent-media-alrc-report-118" TargetMode="External"/><Relationship Id="rId10" Type="http://schemas.openxmlformats.org/officeDocument/2006/relationships/hyperlink" Target="https://www.communications.gov.au/what-we-do/television/media/acma-review/acma-review-final-report" TargetMode="External"/><Relationship Id="rId19" Type="http://schemas.openxmlformats.org/officeDocument/2006/relationships/hyperlink" Target="http://www.alrc.gov.au/publications/classification-content-regulation-and-convergent-media-alrc-report-118" TargetMode="External"/><Relationship Id="rId31" Type="http://schemas.openxmlformats.org/officeDocument/2006/relationships/hyperlink" Target="http://www.classification.gov.au/about-us/corporate-reporting/annual-reports" TargetMode="External"/><Relationship Id="rId4" Type="http://schemas.openxmlformats.org/officeDocument/2006/relationships/hyperlink" Target="https://www.legislation.gov.au/Details/F2011C00745" TargetMode="External"/><Relationship Id="rId9" Type="http://schemas.openxmlformats.org/officeDocument/2006/relationships/hyperlink" Target="http://www.abc.net.au/mediawatch/transcripts/1339_convergence.pdf" TargetMode="External"/><Relationship Id="rId14" Type="http://schemas.openxmlformats.org/officeDocument/2006/relationships/hyperlink" Target="http://www.acma.gov.au/childrens-tv-programs" TargetMode="External"/><Relationship Id="rId22" Type="http://schemas.openxmlformats.org/officeDocument/2006/relationships/hyperlink" Target="http://www.alrc.gov.au/publications/classification-content-regulation-and-convergent-media-alrc-report-118" TargetMode="External"/><Relationship Id="rId27" Type="http://schemas.openxmlformats.org/officeDocument/2006/relationships/hyperlink" Target="http://www.alrc.gov.au/publications/classification-content-regulation-and-convergent-media-alrc-report-118" TargetMode="External"/><Relationship Id="rId30" Type="http://schemas.openxmlformats.org/officeDocument/2006/relationships/hyperlink" Target="https://www.legislation.gov.au/Details/C2017C00267" TargetMode="External"/><Relationship Id="rId35" Type="http://schemas.openxmlformats.org/officeDocument/2006/relationships/hyperlink" Target="http://www.alrc.gov.au/publications/classification-content-regulation-and-convergent-media-alrc-report-118" TargetMode="External"/><Relationship Id="rId43" Type="http://schemas.openxmlformats.org/officeDocument/2006/relationships/hyperlink" Target="https://www.screenaustralia.gov.au/fact-finders/cinema/industry-trends/box-office"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368D7756F841BF70C428B8020122" ma:contentTypeVersion="0" ma:contentTypeDescription="Create a new document." ma:contentTypeScope="" ma:versionID="e0c2bc21b091c28d92e681ffca749c3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B858-3309-42B8-8CB4-C5A27633D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3638C4-D3A6-41F7-9661-5856AF5F5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7A3769-8FA5-419B-9036-44392D678A72}">
  <ds:schemaRefs>
    <ds:schemaRef ds:uri="http://schemas.microsoft.com/sharepoint/v3/contenttype/forms"/>
  </ds:schemaRefs>
</ds:datastoreItem>
</file>

<file path=customXml/itemProps4.xml><?xml version="1.0" encoding="utf-8"?>
<ds:datastoreItem xmlns:ds="http://schemas.openxmlformats.org/officeDocument/2006/customXml" ds:itemID="{551B7C74-B26D-4E9F-B7F6-3F4226D1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8006</Words>
  <Characters>45636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Review of Australian classification regulation</vt:lpstr>
    </vt:vector>
  </TitlesOfParts>
  <Company>Department of Communications and the Arts</Company>
  <LinksUpToDate>false</LinksUpToDate>
  <CharactersWithSpaces>53535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Australian classification regulation</dc:title>
  <dc:subject/>
  <dc:creator>Department of Communications and the Arts</dc:creator>
  <cp:keywords/>
  <dc:description>9 April 2019</dc:description>
  <cp:lastModifiedBy>Hall, Theresa</cp:lastModifiedBy>
  <cp:revision>5</cp:revision>
  <cp:lastPrinted>2020-01-06T05:29:00Z</cp:lastPrinted>
  <dcterms:created xsi:type="dcterms:W3CDTF">2020-01-07T00:31:00Z</dcterms:created>
  <dcterms:modified xsi:type="dcterms:W3CDTF">2020-01-07T00:46:00Z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0x01010093A6368D7756F841BF70C428B8020122</vt:lpwstr>
  </property>
  <property fmtid="{D5CDD505-2E9C-101B-9397-08002B2CF9AE}" pid="3" name="TrimRevisionNumber">
    <vt:i4>72</vt:i4>
  </property>
</Properties>
</file>