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B3670" w14:textId="77777777"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en-AU"/>
        </w:rPr>
        <w:drawing>
          <wp:inline distT="0" distB="0" distL="0" distR="0" wp14:anchorId="00F35CC5" wp14:editId="133A9D67">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7FE43A74" w14:textId="3567743F" w:rsidR="00A7176A" w:rsidRDefault="00642757" w:rsidP="00C61D2E">
      <w:pPr>
        <w:pStyle w:val="Heading1"/>
      </w:pPr>
      <w:r>
        <w:lastRenderedPageBreak/>
        <w:t>Legislative Proposals Consultation Paper</w:t>
      </w:r>
    </w:p>
    <w:p w14:paraId="71A37730" w14:textId="77777777" w:rsidR="00A7176A" w:rsidRPr="005621D9" w:rsidRDefault="00642757" w:rsidP="00A7176A">
      <w:pPr>
        <w:pStyle w:val="subtitleofdocument"/>
      </w:pPr>
      <w:bookmarkStart w:id="0" w:name="_GoBack"/>
      <w:r>
        <w:t>Radiocommunications Bill 2016</w:t>
      </w:r>
      <w:bookmarkEnd w:id="0"/>
    </w:p>
    <w:p w14:paraId="272060CE" w14:textId="77777777" w:rsidR="00A7176A" w:rsidRPr="005621D9" w:rsidRDefault="00610353" w:rsidP="00A7176A">
      <w:pPr>
        <w:pStyle w:val="Normal-monthyearforcoverpage"/>
      </w:pPr>
      <w:r>
        <w:t>March</w:t>
      </w:r>
      <w:r w:rsidR="00642757">
        <w:t xml:space="preserve"> 2016</w:t>
      </w:r>
    </w:p>
    <w:p w14:paraId="202E75C3" w14:textId="77777777" w:rsidR="00A7176A" w:rsidRDefault="00A7176A" w:rsidP="00A7176A">
      <w:r>
        <w:br w:type="page"/>
      </w:r>
    </w:p>
    <w:p w14:paraId="316872C9" w14:textId="77777777" w:rsidR="00A7176A" w:rsidRDefault="00642757" w:rsidP="00A7176A">
      <w:pPr>
        <w:pStyle w:val="Heading2-notshowingincontentsindocument"/>
      </w:pPr>
      <w:r>
        <w:lastRenderedPageBreak/>
        <w:t>Introduction</w:t>
      </w:r>
    </w:p>
    <w:p w14:paraId="0F0864A9" w14:textId="77777777" w:rsidR="00EA3DF5" w:rsidRDefault="00EA3DF5" w:rsidP="00EA3DF5">
      <w:bookmarkStart w:id="1" w:name="_Toc382493212"/>
      <w:r>
        <w:t>Spectrum will become increasingly important to a digitally networked economy. The services it supports promote economic growth and social wellbeing. The economic value of Australia’s spectrum</w:t>
      </w:r>
      <w:r w:rsidR="00DA0467">
        <w:t xml:space="preserve"> to the national economy</w:t>
      </w:r>
      <w:r>
        <w:t xml:space="preserve"> is estimated to be $177 billion over 15 years</w:t>
      </w:r>
      <w:r>
        <w:rPr>
          <w:rStyle w:val="FootnoteReference"/>
        </w:rPr>
        <w:footnoteReference w:id="2"/>
      </w:r>
      <w:r>
        <w:t>. The extent to which these benefits are realised or improved upon will depend in part on the ability of the spectrum management regulatory arrangements to accommodate rapid technological change and respond to increasing demand. Australia’s current regulatory framework has been in place since 1992.</w:t>
      </w:r>
    </w:p>
    <w:p w14:paraId="490E8EC3" w14:textId="77777777" w:rsidR="00EA3DF5" w:rsidRDefault="00297D20" w:rsidP="00EA3DF5">
      <w:r>
        <w:t>The</w:t>
      </w:r>
      <w:r w:rsidRPr="004311BC">
        <w:t xml:space="preserve"> </w:t>
      </w:r>
      <w:r w:rsidR="00642757" w:rsidRPr="004311BC">
        <w:t xml:space="preserve">Spectrum Review </w:t>
      </w:r>
      <w:r w:rsidR="00A66A27" w:rsidRPr="00A66A27">
        <w:t>report</w:t>
      </w:r>
      <w:r w:rsidR="00642757" w:rsidRPr="004311BC">
        <w:t xml:space="preserve"> </w:t>
      </w:r>
      <w:r w:rsidR="00642757">
        <w:t xml:space="preserve">(the Review) </w:t>
      </w:r>
      <w:r w:rsidR="00642757" w:rsidRPr="004311BC">
        <w:t xml:space="preserve">prepared by the </w:t>
      </w:r>
      <w:r w:rsidR="00047B77">
        <w:t xml:space="preserve">then </w:t>
      </w:r>
      <w:r w:rsidR="00642757" w:rsidRPr="004311BC">
        <w:t>Department of Communications was released in May 2015.</w:t>
      </w:r>
      <w:r w:rsidR="00EA3DF5" w:rsidRPr="00EA3DF5">
        <w:t xml:space="preserve"> </w:t>
      </w:r>
    </w:p>
    <w:p w14:paraId="4E87B92A" w14:textId="77777777" w:rsidR="00EA3DF5" w:rsidRDefault="00EA3DF5" w:rsidP="00EA3DF5">
      <w:r>
        <w:t>The Review found that the current spectrum management arrangements are slow, rigid and administratively cumbersome, and unnecessarily costly for users. Simpler, more flexible spectrum management arrangements are required to efficiently accommodate new technologies and to enable the regulatory arrangements to better respond to increasing demand for spectrum. Without significant reform, Australia will not be able to realise the full economic potential of spectrum.</w:t>
      </w:r>
    </w:p>
    <w:p w14:paraId="47D7506E" w14:textId="77777777" w:rsidR="00642757" w:rsidRPr="004311BC" w:rsidRDefault="00642757" w:rsidP="00642757">
      <w:r w:rsidRPr="004311BC">
        <w:t xml:space="preserve">In August 2015 the Government </w:t>
      </w:r>
      <w:r w:rsidR="00A66A27" w:rsidRPr="00A66A27">
        <w:t>announced</w:t>
      </w:r>
      <w:r w:rsidRPr="004311BC">
        <w:t xml:space="preserve"> it had decided to implement the thr</w:t>
      </w:r>
      <w:r>
        <w:t>ee main recommendations of the R</w:t>
      </w:r>
      <w:r w:rsidRPr="004311BC">
        <w:t>eview:</w:t>
      </w:r>
    </w:p>
    <w:p w14:paraId="2A357370" w14:textId="77777777" w:rsidR="005E13FE" w:rsidRDefault="00642757" w:rsidP="005E13FE">
      <w:pPr>
        <w:pStyle w:val="StyleListParagraphListParagraph1ListParagraph11Recommendatio"/>
        <w:numPr>
          <w:ilvl w:val="0"/>
          <w:numId w:val="8"/>
        </w:numPr>
        <w:ind w:left="567" w:hanging="567"/>
      </w:pPr>
      <w:r>
        <w:t>R</w:t>
      </w:r>
      <w:r w:rsidRPr="004311BC">
        <w:t>eplace the current legislative arrangements with new legislation that removes prescriptive process and streamlines licensing, for a simpler and more flexible framework.</w:t>
      </w:r>
    </w:p>
    <w:p w14:paraId="5F9A639B" w14:textId="77777777" w:rsidR="005E13FE" w:rsidRDefault="00642757" w:rsidP="005E13FE">
      <w:pPr>
        <w:pStyle w:val="StyleListParagraphListParagraph1ListParagraph11Recommendatio"/>
        <w:numPr>
          <w:ilvl w:val="0"/>
          <w:numId w:val="8"/>
        </w:numPr>
        <w:ind w:left="567" w:hanging="567"/>
      </w:pPr>
      <w:r>
        <w:t>B</w:t>
      </w:r>
      <w:r w:rsidRPr="004311BC">
        <w:t>etter integrate the management of public sector and broadcasting spectrum to improve the consistency and integrity of the framework.</w:t>
      </w:r>
    </w:p>
    <w:p w14:paraId="40EC1BEF" w14:textId="77777777" w:rsidR="00642757" w:rsidRPr="004311BC" w:rsidRDefault="00642757" w:rsidP="005E13FE">
      <w:pPr>
        <w:pStyle w:val="StyleListParagraphListParagraph1ListParagraph11Recommendatio"/>
        <w:numPr>
          <w:ilvl w:val="0"/>
          <w:numId w:val="8"/>
        </w:numPr>
        <w:ind w:left="567" w:hanging="567"/>
      </w:pPr>
      <w:r>
        <w:t>R</w:t>
      </w:r>
      <w:r w:rsidRPr="004311BC">
        <w:t>eview spectrum pricing to ensure consistent and transparent arrangements to support the efficient use of spectrum and secondary markets.</w:t>
      </w:r>
    </w:p>
    <w:p w14:paraId="3CF86582" w14:textId="77777777" w:rsidR="00EA3DF5" w:rsidRDefault="00642757" w:rsidP="00EA3DF5">
      <w:r w:rsidRPr="004311BC">
        <w:t>The Government also undertook at that time to continue to consult with industry on implementation</w:t>
      </w:r>
      <w:r>
        <w:t xml:space="preserve"> of the recommendations</w:t>
      </w:r>
      <w:r w:rsidRPr="004311BC">
        <w:t xml:space="preserve">, including development of </w:t>
      </w:r>
      <w:r>
        <w:t xml:space="preserve">a </w:t>
      </w:r>
      <w:r w:rsidRPr="004311BC">
        <w:t xml:space="preserve">new Radiocommunications </w:t>
      </w:r>
      <w:r>
        <w:t>Bill (the Bill).</w:t>
      </w:r>
      <w:r w:rsidR="00EA3DF5" w:rsidRPr="00EA3DF5">
        <w:t xml:space="preserve"> </w:t>
      </w:r>
    </w:p>
    <w:p w14:paraId="205B0338" w14:textId="77777777" w:rsidR="00EA3DF5" w:rsidRPr="004311BC" w:rsidRDefault="00EA3DF5" w:rsidP="00EA3DF5">
      <w:r w:rsidRPr="004311BC">
        <w:t>The proposed approach in preparing draft new legislation is to:</w:t>
      </w:r>
    </w:p>
    <w:p w14:paraId="5E9750C3" w14:textId="77777777" w:rsidR="00EA3DF5" w:rsidRPr="004311BC" w:rsidRDefault="00EA3DF5" w:rsidP="00EA3DF5">
      <w:pPr>
        <w:pStyle w:val="Bullet1"/>
      </w:pPr>
      <w:r w:rsidRPr="004311BC">
        <w:t>simplify regulatory structures for planning, licensing and equipment regulation</w:t>
      </w:r>
      <w:r>
        <w:t>;</w:t>
      </w:r>
    </w:p>
    <w:p w14:paraId="6E022560" w14:textId="77777777" w:rsidR="00EA3DF5" w:rsidRPr="004311BC" w:rsidRDefault="00EA3DF5" w:rsidP="00EA3DF5">
      <w:pPr>
        <w:pStyle w:val="Bullet1"/>
      </w:pPr>
      <w:r w:rsidRPr="004311BC">
        <w:t>streamline regulatory processes, particularly for allocating licences</w:t>
      </w:r>
      <w:r>
        <w:t>;</w:t>
      </w:r>
    </w:p>
    <w:p w14:paraId="6360BA3A" w14:textId="77777777" w:rsidR="00EA3DF5" w:rsidRPr="004311BC" w:rsidRDefault="00EA3DF5" w:rsidP="00EA3DF5">
      <w:pPr>
        <w:pStyle w:val="Bullet1"/>
      </w:pPr>
      <w:r w:rsidRPr="004311BC">
        <w:t>clarify the role for Government, the Australian Communications and Media Authority (ACMA) and spectrum users</w:t>
      </w:r>
      <w:r>
        <w:t>;</w:t>
      </w:r>
    </w:p>
    <w:p w14:paraId="10D521B5" w14:textId="77777777" w:rsidR="00EA3DF5" w:rsidRPr="004311BC" w:rsidRDefault="00EA3DF5" w:rsidP="00EA3DF5">
      <w:pPr>
        <w:pStyle w:val="Bullet1"/>
      </w:pPr>
      <w:r w:rsidRPr="004311BC">
        <w:t xml:space="preserve">bring broadcasting spectrum into the general spectrum framework while also providing certainty for </w:t>
      </w:r>
      <w:r>
        <w:t>the broadcasting sector; and</w:t>
      </w:r>
    </w:p>
    <w:p w14:paraId="5B7AE00A" w14:textId="77777777" w:rsidR="00EA3DF5" w:rsidRPr="004311BC" w:rsidRDefault="00EA3DF5" w:rsidP="00EA3DF5">
      <w:pPr>
        <w:pStyle w:val="Bullet1"/>
      </w:pPr>
      <w:proofErr w:type="gramStart"/>
      <w:r w:rsidRPr="004311BC">
        <w:t>provide</w:t>
      </w:r>
      <w:proofErr w:type="gramEnd"/>
      <w:r w:rsidRPr="004311BC">
        <w:t xml:space="preserve"> for </w:t>
      </w:r>
      <w:r w:rsidRPr="005E13FE">
        <w:t>graduated</w:t>
      </w:r>
      <w:r w:rsidRPr="004311BC">
        <w:t xml:space="preserve"> and proportionate en</w:t>
      </w:r>
      <w:r>
        <w:t>forcement and compliance tools.</w:t>
      </w:r>
    </w:p>
    <w:p w14:paraId="13F1BDD2" w14:textId="77777777" w:rsidR="00EA3DF5" w:rsidRDefault="00EA3DF5" w:rsidP="00EA3DF5">
      <w:r w:rsidRPr="004311BC">
        <w:t xml:space="preserve">New legislation will be drafted rather than amending the current legislation. This provides </w:t>
      </w:r>
      <w:r>
        <w:t>more</w:t>
      </w:r>
      <w:r w:rsidRPr="004311BC">
        <w:t xml:space="preserve"> opportunity to ensure efficient arr</w:t>
      </w:r>
      <w:r>
        <w:t xml:space="preserve">angements are put in place that minimise the </w:t>
      </w:r>
      <w:r w:rsidRPr="004311BC">
        <w:t>cost to industry and Government.</w:t>
      </w:r>
      <w:r w:rsidRPr="00EA3DF5">
        <w:t xml:space="preserve"> </w:t>
      </w:r>
    </w:p>
    <w:p w14:paraId="3C0BE121" w14:textId="77777777" w:rsidR="00EA3DF5" w:rsidRDefault="00EA3DF5" w:rsidP="00EA3DF5">
      <w:r>
        <w:t xml:space="preserve">To a large extent the Government’s proposed reforms aim to free up opportunities for spectrum users. The Government is not requiring particular approaches, rather it is seeking to remove barriers to </w:t>
      </w:r>
      <w:r>
        <w:lastRenderedPageBreak/>
        <w:t xml:space="preserve">innovation. The extent to which these opportunities are </w:t>
      </w:r>
      <w:r w:rsidR="00911DB4">
        <w:t>utilised</w:t>
      </w:r>
      <w:r>
        <w:t xml:space="preserve"> will depend on the decisions of users in response to market developments.</w:t>
      </w:r>
    </w:p>
    <w:p w14:paraId="2EC87F8A" w14:textId="77777777" w:rsidR="00EA3DF5" w:rsidRDefault="00EA3DF5" w:rsidP="00642757">
      <w:r w:rsidRPr="00EA3DF5">
        <w:t>This paper sets out, for stakeholder comment, the proposed approach to key provisions in the new legislation. In doing so, the proposals set out in this paper build on the extensive stakeholder feedback provided in response to the Spectrum Review Issues Paper (May 2014) and Spectrum Review Potential Reform Directions (November 2014), as well as the industry workshop convened in January 2015.</w:t>
      </w:r>
    </w:p>
    <w:p w14:paraId="5CD18EB9" w14:textId="77777777" w:rsidR="00642757" w:rsidRDefault="00642757" w:rsidP="00642757">
      <w:r w:rsidRPr="004311BC">
        <w:t xml:space="preserve">This paper does not deal with pricing issues. A review of </w:t>
      </w:r>
      <w:r>
        <w:t xml:space="preserve">the broad framework for </w:t>
      </w:r>
      <w:r w:rsidRPr="004311BC">
        <w:t xml:space="preserve">spectrum pricing is currently underway and is </w:t>
      </w:r>
      <w:r>
        <w:t xml:space="preserve">considering the </w:t>
      </w:r>
      <w:r w:rsidRPr="004311BC">
        <w:t xml:space="preserve">pricing of licences under the new licensing </w:t>
      </w:r>
      <w:r>
        <w:t>framework</w:t>
      </w:r>
      <w:r w:rsidRPr="004311BC">
        <w:t>.</w:t>
      </w:r>
    </w:p>
    <w:p w14:paraId="6E5D34E2" w14:textId="0379880F" w:rsidR="00EF112E" w:rsidRDefault="00EF112E" w:rsidP="00EF112E">
      <w:r>
        <w:t xml:space="preserve">This consultation paper addresses the transitional arrangements at a high level. </w:t>
      </w:r>
      <w:r w:rsidR="00B42394">
        <w:t>Transitional arrangements have not yet been settled and the Department will work with industry</w:t>
      </w:r>
      <w:r w:rsidR="00047B77">
        <w:t xml:space="preserve"> on the available options</w:t>
      </w:r>
      <w:r w:rsidR="00047B77" w:rsidRPr="00DA0467">
        <w:t>. More detailed discussions will occur with broadcasters given the nature of the changes proposed in that case.</w:t>
      </w:r>
    </w:p>
    <w:p w14:paraId="08C2AE9A" w14:textId="77777777" w:rsidR="00642757" w:rsidRPr="004311BC" w:rsidRDefault="00642757" w:rsidP="00642757">
      <w:r w:rsidRPr="004311BC">
        <w:t xml:space="preserve">Feedback on the proposals is requested by </w:t>
      </w:r>
      <w:r w:rsidRPr="0057170F">
        <w:rPr>
          <w:b/>
        </w:rPr>
        <w:t>COB Friday</w:t>
      </w:r>
      <w:r>
        <w:rPr>
          <w:b/>
        </w:rPr>
        <w:t xml:space="preserve"> </w:t>
      </w:r>
      <w:r w:rsidR="00EA3DF5">
        <w:rPr>
          <w:b/>
        </w:rPr>
        <w:t>29</w:t>
      </w:r>
      <w:r>
        <w:rPr>
          <w:b/>
        </w:rPr>
        <w:t xml:space="preserve"> </w:t>
      </w:r>
      <w:r w:rsidR="00EA3DF5">
        <w:rPr>
          <w:b/>
        </w:rPr>
        <w:t>Ap</w:t>
      </w:r>
      <w:r>
        <w:rPr>
          <w:b/>
        </w:rPr>
        <w:t xml:space="preserve">ril </w:t>
      </w:r>
      <w:r w:rsidRPr="0057170F">
        <w:rPr>
          <w:b/>
        </w:rPr>
        <w:t>2016.</w:t>
      </w:r>
      <w:r w:rsidRPr="004311BC">
        <w:t xml:space="preserve"> This can be either provided in a written form or we would welcome direct discussions.</w:t>
      </w:r>
    </w:p>
    <w:p w14:paraId="2FB0FE06" w14:textId="77777777" w:rsidR="00642757" w:rsidRDefault="00642757" w:rsidP="00642757">
      <w:r w:rsidRPr="004311BC">
        <w:t xml:space="preserve">Written comments can be emailed to the Spectrum Reform mailbox: </w:t>
      </w:r>
      <w:hyperlink r:id="rId13" w:history="1">
        <w:r w:rsidRPr="004311BC">
          <w:rPr>
            <w:rStyle w:val="Hyperlink"/>
          </w:rPr>
          <w:t>spectrumreform@communications.gov.au</w:t>
        </w:r>
      </w:hyperlink>
      <w:r>
        <w:t>.</w:t>
      </w:r>
      <w:r>
        <w:br w:type="page"/>
      </w:r>
    </w:p>
    <w:bookmarkEnd w:id="1"/>
    <w:p w14:paraId="340DE8DF" w14:textId="77777777" w:rsidR="00642757" w:rsidRPr="00D044C5" w:rsidRDefault="00642757" w:rsidP="00642757">
      <w:pPr>
        <w:pStyle w:val="Heading2"/>
      </w:pPr>
      <w:r w:rsidRPr="004311BC">
        <w:lastRenderedPageBreak/>
        <w:t>Radiocommunications Bill 2016—overview</w:t>
      </w:r>
      <w:r>
        <w:t xml:space="preserve"> of proposals</w:t>
      </w:r>
    </w:p>
    <w:p w14:paraId="14AB91CD" w14:textId="12D9CDB9" w:rsidR="00642757" w:rsidRPr="00AD46D6" w:rsidRDefault="00642757" w:rsidP="00642757">
      <w:pPr>
        <w:pStyle w:val="Heading3"/>
        <w:numPr>
          <w:ilvl w:val="0"/>
          <w:numId w:val="7"/>
        </w:numPr>
        <w:spacing w:after="60"/>
      </w:pPr>
      <w:r w:rsidRPr="00AD46D6">
        <w:t>Object</w:t>
      </w:r>
      <w:r>
        <w:t xml:space="preserve">s </w:t>
      </w:r>
      <w:r w:rsidR="00317E4F">
        <w:t>and span</w:t>
      </w:r>
    </w:p>
    <w:p w14:paraId="15051056" w14:textId="77777777" w:rsidR="00642757" w:rsidRPr="00AD46D6" w:rsidRDefault="00642757" w:rsidP="00E0261A">
      <w:pPr>
        <w:pStyle w:val="Heading4"/>
      </w:pPr>
      <w:r w:rsidRPr="00AD46D6">
        <w:t>Current arrangements:</w:t>
      </w:r>
    </w:p>
    <w:p w14:paraId="7E5062D1" w14:textId="77777777" w:rsidR="008F3329" w:rsidRDefault="00642757" w:rsidP="00642757">
      <w:pPr>
        <w:spacing w:after="160" w:line="259" w:lineRule="auto"/>
      </w:pPr>
      <w:r>
        <w:t>Part 1.2 of the current Act sets out its objects. Inclusion of objects provides a general understanding of the purpose of the legislation and assists the Courts, the regulator and others in the interpretation of the legislation. The Review noted that the objects of the Act would be reviewed to ensure that these support the aims of the new spectrum management framework. In particular, encouraging efficiency, innovation and certainty of investment, and ensuring regulation does not unnecessarily constrain spectrum use.</w:t>
      </w:r>
    </w:p>
    <w:p w14:paraId="6CEBF93D" w14:textId="77777777" w:rsidR="008F3329" w:rsidRDefault="00EA3DF5" w:rsidP="00642757">
      <w:pPr>
        <w:spacing w:after="160" w:line="259" w:lineRule="auto"/>
      </w:pPr>
      <w:r>
        <w:t xml:space="preserve">An objects clause was inserted into the </w:t>
      </w:r>
      <w:r w:rsidR="00911DB4">
        <w:t xml:space="preserve">1992 </w:t>
      </w:r>
      <w:r w:rsidR="00642757">
        <w:t xml:space="preserve">Act to </w:t>
      </w:r>
      <w:r>
        <w:rPr>
          <w:i/>
        </w:rPr>
        <w:t>guide the</w:t>
      </w:r>
      <w:r w:rsidR="00642757" w:rsidRPr="00FB5BD8">
        <w:rPr>
          <w:i/>
        </w:rPr>
        <w:t xml:space="preserve"> Spectrum Management Agency and the Minister in the administration of the new Radiocommunica</w:t>
      </w:r>
      <w:r w:rsidR="00642757">
        <w:rPr>
          <w:i/>
        </w:rPr>
        <w:t xml:space="preserve">tions </w:t>
      </w:r>
      <w:r w:rsidR="00642757" w:rsidRPr="00FB5BD8">
        <w:rPr>
          <w:i/>
        </w:rPr>
        <w:t>regime, and in the exercise of powers under the Bill.</w:t>
      </w:r>
      <w:r w:rsidR="00642757">
        <w:rPr>
          <w:rStyle w:val="FootnoteReference"/>
          <w:i/>
        </w:rPr>
        <w:footnoteReference w:id="3"/>
      </w:r>
    </w:p>
    <w:p w14:paraId="3C2C7278" w14:textId="77777777" w:rsidR="008F3329" w:rsidRDefault="00642757" w:rsidP="00642757">
      <w:pPr>
        <w:spacing w:after="160" w:line="259" w:lineRule="auto"/>
      </w:pPr>
      <w:r>
        <w:t>Section 3 of the Act provides for the following:</w:t>
      </w:r>
    </w:p>
    <w:p w14:paraId="10302762" w14:textId="77777777" w:rsidR="00642757" w:rsidRDefault="00642757" w:rsidP="00642757">
      <w:pPr>
        <w:spacing w:after="160" w:line="259" w:lineRule="auto"/>
        <w:ind w:left="567" w:hanging="11"/>
      </w:pPr>
      <w:r>
        <w:t>The object of this Act is to provide for management of the radiofrequency spectrum in order to:</w:t>
      </w:r>
    </w:p>
    <w:p w14:paraId="2263A083" w14:textId="77777777" w:rsidR="00642757" w:rsidRDefault="00642757" w:rsidP="00642757">
      <w:pPr>
        <w:spacing w:after="160" w:line="259" w:lineRule="auto"/>
        <w:ind w:left="1134" w:hanging="567"/>
      </w:pPr>
      <w:r>
        <w:t>(a)</w:t>
      </w:r>
      <w:r>
        <w:tab/>
      </w:r>
      <w:proofErr w:type="gramStart"/>
      <w:r>
        <w:t>maximise</w:t>
      </w:r>
      <w:proofErr w:type="gramEnd"/>
      <w:r>
        <w:t>, by ensuring the efficient allocation and use of the spectrum, the overall public benefit derived from using the radiofrequency spectrum;</w:t>
      </w:r>
    </w:p>
    <w:p w14:paraId="6311871F" w14:textId="77777777" w:rsidR="00642757" w:rsidRDefault="00642757" w:rsidP="00642757">
      <w:pPr>
        <w:spacing w:after="160" w:line="259" w:lineRule="auto"/>
        <w:ind w:left="1134" w:hanging="567"/>
      </w:pPr>
      <w:r>
        <w:t>(b)</w:t>
      </w:r>
      <w:r>
        <w:tab/>
      </w:r>
      <w:proofErr w:type="gramStart"/>
      <w:r>
        <w:t>make</w:t>
      </w:r>
      <w:proofErr w:type="gramEnd"/>
      <w:r>
        <w:t xml:space="preserve"> adequate provision of the spectrum:</w:t>
      </w:r>
    </w:p>
    <w:p w14:paraId="32799FAE" w14:textId="77777777" w:rsidR="00642757" w:rsidRDefault="00642757" w:rsidP="00642757">
      <w:pPr>
        <w:spacing w:after="160" w:line="259" w:lineRule="auto"/>
        <w:ind w:left="1701" w:hanging="567"/>
      </w:pPr>
      <w:r>
        <w:t>(</w:t>
      </w:r>
      <w:proofErr w:type="spellStart"/>
      <w:r>
        <w:t>i</w:t>
      </w:r>
      <w:proofErr w:type="spellEnd"/>
      <w:r>
        <w:t>)</w:t>
      </w:r>
      <w:r>
        <w:tab/>
      </w:r>
      <w:proofErr w:type="gramStart"/>
      <w:r>
        <w:t>for</w:t>
      </w:r>
      <w:proofErr w:type="gramEnd"/>
      <w:r>
        <w:t xml:space="preserve"> use by agencies involved in the defence or national security of Australia, law enforcement or the provision of emergency services; and</w:t>
      </w:r>
    </w:p>
    <w:p w14:paraId="7EEFB3DE" w14:textId="77777777" w:rsidR="00642757" w:rsidRDefault="00642757" w:rsidP="00642757">
      <w:pPr>
        <w:spacing w:after="160" w:line="259" w:lineRule="auto"/>
        <w:ind w:left="1701" w:hanging="567"/>
      </w:pPr>
      <w:r>
        <w:t>(ii)</w:t>
      </w:r>
      <w:r>
        <w:tab/>
      </w:r>
      <w:proofErr w:type="gramStart"/>
      <w:r>
        <w:t>for</w:t>
      </w:r>
      <w:proofErr w:type="gramEnd"/>
      <w:r>
        <w:t xml:space="preserve"> use by other public or community services;</w:t>
      </w:r>
    </w:p>
    <w:p w14:paraId="4CD44DCC" w14:textId="77777777" w:rsidR="00642757" w:rsidRDefault="00642757" w:rsidP="00642757">
      <w:pPr>
        <w:spacing w:after="160" w:line="259" w:lineRule="auto"/>
        <w:ind w:left="1134" w:hanging="567"/>
      </w:pPr>
      <w:r>
        <w:t>(c)</w:t>
      </w:r>
      <w:r>
        <w:tab/>
      </w:r>
      <w:proofErr w:type="gramStart"/>
      <w:r>
        <w:t>provide</w:t>
      </w:r>
      <w:proofErr w:type="gramEnd"/>
      <w:r>
        <w:t xml:space="preserve"> a responsive and flexible approach to meeting the needs of users of the spectrum;</w:t>
      </w:r>
    </w:p>
    <w:p w14:paraId="07B97895" w14:textId="48B5E2FC" w:rsidR="00642757" w:rsidRDefault="00642757" w:rsidP="00642757">
      <w:pPr>
        <w:spacing w:after="160" w:line="259" w:lineRule="auto"/>
        <w:ind w:left="1134" w:hanging="567"/>
      </w:pPr>
      <w:r>
        <w:t>(d)</w:t>
      </w:r>
      <w:r>
        <w:tab/>
      </w:r>
      <w:proofErr w:type="gramStart"/>
      <w:r>
        <w:t>encourage</w:t>
      </w:r>
      <w:proofErr w:type="gramEnd"/>
      <w:r>
        <w:t xml:space="preserve"> the use of efficient radiocommunication technologies so that a wide range of services of an adequate quality can be provided;</w:t>
      </w:r>
    </w:p>
    <w:p w14:paraId="7153AE10" w14:textId="77777777" w:rsidR="00642757" w:rsidRDefault="00642757" w:rsidP="00642757">
      <w:pPr>
        <w:spacing w:after="160" w:line="259" w:lineRule="auto"/>
        <w:ind w:left="1134" w:hanging="567"/>
      </w:pPr>
      <w:r>
        <w:t>(e)</w:t>
      </w:r>
      <w:r>
        <w:tab/>
      </w:r>
      <w:proofErr w:type="gramStart"/>
      <w:r>
        <w:t>provide</w:t>
      </w:r>
      <w:proofErr w:type="gramEnd"/>
      <w:r>
        <w:t xml:space="preserve"> an efficient, equitable and transparent system of charging for the use of spectrum, taking account of the value of both commercial and non-commercial use of spectrum;</w:t>
      </w:r>
    </w:p>
    <w:p w14:paraId="32499606" w14:textId="77777777" w:rsidR="00642757" w:rsidRDefault="00642757" w:rsidP="00642757">
      <w:pPr>
        <w:spacing w:after="160" w:line="259" w:lineRule="auto"/>
        <w:ind w:left="1134" w:hanging="567"/>
      </w:pPr>
      <w:r>
        <w:t>(f)</w:t>
      </w:r>
      <w:r>
        <w:tab/>
      </w:r>
      <w:proofErr w:type="gramStart"/>
      <w:r>
        <w:t>support</w:t>
      </w:r>
      <w:proofErr w:type="gramEnd"/>
      <w:r>
        <w:t xml:space="preserve"> the communications policy objectives of the Commonwealth Government;</w:t>
      </w:r>
    </w:p>
    <w:p w14:paraId="4C0D218C" w14:textId="77777777" w:rsidR="00642757" w:rsidRDefault="00642757" w:rsidP="00642757">
      <w:pPr>
        <w:spacing w:after="160" w:line="259" w:lineRule="auto"/>
        <w:ind w:left="1134" w:hanging="567"/>
      </w:pPr>
      <w:r>
        <w:t>(g)</w:t>
      </w:r>
      <w:r>
        <w:tab/>
      </w:r>
      <w:proofErr w:type="gramStart"/>
      <w:r>
        <w:t>provide</w:t>
      </w:r>
      <w:proofErr w:type="gramEnd"/>
      <w:r>
        <w:t xml:space="preserve"> a regulatory environment that maximises opportunities for the Australian communications industry in domestic and international markets;</w:t>
      </w:r>
    </w:p>
    <w:p w14:paraId="2ECCC8A2" w14:textId="77777777" w:rsidR="00642757" w:rsidRDefault="00642757" w:rsidP="00642757">
      <w:pPr>
        <w:spacing w:after="160" w:line="259" w:lineRule="auto"/>
        <w:ind w:left="1134" w:hanging="567"/>
      </w:pPr>
      <w:r>
        <w:t>(h)</w:t>
      </w:r>
      <w:r>
        <w:tab/>
      </w:r>
      <w:proofErr w:type="gramStart"/>
      <w:r>
        <w:t>promote</w:t>
      </w:r>
      <w:proofErr w:type="gramEnd"/>
      <w:r>
        <w:t xml:space="preserve"> Australia’s interests concerning international agreements, treaties and conventions relating to radiocommunications or the radiofrequency spectrum.</w:t>
      </w:r>
    </w:p>
    <w:p w14:paraId="0139C15A" w14:textId="77777777" w:rsidR="00642757" w:rsidRDefault="00642757" w:rsidP="00642757">
      <w:pPr>
        <w:keepNext/>
        <w:keepLines/>
        <w:spacing w:after="160" w:line="259" w:lineRule="auto"/>
      </w:pPr>
      <w:r>
        <w:lastRenderedPageBreak/>
        <w:t>In reviewing section 3 of the Act a number of issues were identified:</w:t>
      </w:r>
    </w:p>
    <w:p w14:paraId="1FBB4CA6" w14:textId="77777777" w:rsidR="008F3329" w:rsidRDefault="00642757" w:rsidP="00642757">
      <w:pPr>
        <w:pStyle w:val="Bullet1"/>
        <w:keepNext/>
        <w:keepLines/>
      </w:pPr>
      <w:proofErr w:type="gramStart"/>
      <w:r>
        <w:t>the</w:t>
      </w:r>
      <w:proofErr w:type="gramEnd"/>
      <w:r>
        <w:t xml:space="preserve"> provision has one primary object, that is, to provide for management of the radiofrequency spectrum, but specifies eight separate aims to be achieved. The Act provides no hierarchy for these aims. In the absence of a clear priority it is assumed that all eight aims are to be given equal weighting. This can lead to conflict and confusion;</w:t>
      </w:r>
    </w:p>
    <w:p w14:paraId="6F78438F" w14:textId="77777777" w:rsidR="00642757" w:rsidRDefault="00642757" w:rsidP="00642757">
      <w:pPr>
        <w:pStyle w:val="Bullet1"/>
        <w:keepNext/>
        <w:keepLines/>
      </w:pPr>
      <w:r>
        <w:t>the provision lacks specificity;</w:t>
      </w:r>
    </w:p>
    <w:p w14:paraId="73C4C6AF" w14:textId="77777777" w:rsidR="008F3329" w:rsidRDefault="00642757" w:rsidP="00642757">
      <w:pPr>
        <w:pStyle w:val="Bullet1"/>
        <w:keepNext/>
        <w:keepLines/>
      </w:pPr>
      <w:r>
        <w:t>some of the current subparagraphs simply rephrase aspects of more general subparagraphs;</w:t>
      </w:r>
    </w:p>
    <w:p w14:paraId="5F072839" w14:textId="77777777" w:rsidR="008F3329" w:rsidRDefault="00642757" w:rsidP="00642757">
      <w:pPr>
        <w:pStyle w:val="Bullet1"/>
        <w:keepNext/>
        <w:keepLines/>
      </w:pPr>
      <w:r>
        <w:t>the provision includes matters that are no longer relevant or significant in terms of the management and planning of spectrum in Australia; and</w:t>
      </w:r>
    </w:p>
    <w:p w14:paraId="309F0E44" w14:textId="77777777" w:rsidR="00642757" w:rsidRPr="005F0FB6" w:rsidRDefault="00642757" w:rsidP="00642757">
      <w:pPr>
        <w:pStyle w:val="Bullet1"/>
        <w:rPr>
          <w:b/>
        </w:rPr>
      </w:pPr>
      <w:proofErr w:type="gramStart"/>
      <w:r>
        <w:t>the</w:t>
      </w:r>
      <w:proofErr w:type="gramEnd"/>
      <w:r>
        <w:t xml:space="preserve"> current language used mixes both outcomes to be attained and the means for achieving those outcomes.</w:t>
      </w:r>
    </w:p>
    <w:p w14:paraId="60F30E55" w14:textId="77777777" w:rsidR="00642757" w:rsidRPr="00D20297" w:rsidRDefault="00642757" w:rsidP="00E0261A">
      <w:pPr>
        <w:pStyle w:val="Heading4"/>
      </w:pPr>
      <w:r w:rsidRPr="00D20297">
        <w:t>Proposed approach:</w:t>
      </w:r>
    </w:p>
    <w:p w14:paraId="6779C598" w14:textId="77777777" w:rsidR="008F3329" w:rsidRDefault="00642757" w:rsidP="00642757">
      <w:r>
        <w:t>Since the Act commenced in 1992, s</w:t>
      </w:r>
      <w:r w:rsidRPr="00585123">
        <w:t xml:space="preserve">ignificant </w:t>
      </w:r>
      <w:r>
        <w:t>change has occurred in the communications industry and the spectrum management market has continued to mature. It is proposed that the Bill will retain</w:t>
      </w:r>
      <w:r w:rsidR="00297D20">
        <w:t xml:space="preserve"> the use of</w:t>
      </w:r>
      <w:r>
        <w:t xml:space="preserve"> objects however, these will be drafted to ensure clarity and their usefulness to guide administration and application of the legislation.</w:t>
      </w:r>
    </w:p>
    <w:p w14:paraId="459E3594" w14:textId="77777777" w:rsidR="00642757" w:rsidRPr="009B31C8" w:rsidRDefault="00642757" w:rsidP="00642757">
      <w:r w:rsidRPr="00D31D36">
        <w:rPr>
          <w:rFonts w:cs="Times New Roman"/>
        </w:rPr>
        <w:t>It is proposed that th</w:t>
      </w:r>
      <w:r>
        <w:rPr>
          <w:rFonts w:cs="Times New Roman"/>
        </w:rPr>
        <w:t xml:space="preserve">e </w:t>
      </w:r>
      <w:r w:rsidR="00297D20">
        <w:rPr>
          <w:rFonts w:cs="Times New Roman"/>
        </w:rPr>
        <w:t xml:space="preserve">stated </w:t>
      </w:r>
      <w:r>
        <w:rPr>
          <w:rFonts w:cs="Times New Roman"/>
        </w:rPr>
        <w:t xml:space="preserve">object of the Bill will be to </w:t>
      </w:r>
      <w:r w:rsidRPr="009B31C8">
        <w:rPr>
          <w:rFonts w:cs="Times New Roman"/>
        </w:rPr>
        <w:t>promote</w:t>
      </w:r>
      <w:r w:rsidRPr="009B31C8">
        <w:t xml:space="preserve"> the long-term public interest derived from the use of radiofrequency spectrum by:</w:t>
      </w:r>
    </w:p>
    <w:p w14:paraId="617A550B" w14:textId="77777777" w:rsidR="00642757" w:rsidRPr="009B31C8" w:rsidRDefault="00642757" w:rsidP="00642757">
      <w:pPr>
        <w:pStyle w:val="Bullet1"/>
      </w:pPr>
      <w:r>
        <w:t>f</w:t>
      </w:r>
      <w:r w:rsidRPr="009B31C8">
        <w:t>acilitating efficient, flexible and innovative allocation and use of spectrum</w:t>
      </w:r>
      <w:r>
        <w:t>; and</w:t>
      </w:r>
    </w:p>
    <w:p w14:paraId="2D1D5E84" w14:textId="77777777" w:rsidR="008F3329" w:rsidRDefault="00642757" w:rsidP="00642757">
      <w:pPr>
        <w:pStyle w:val="Bullet1"/>
      </w:pPr>
      <w:proofErr w:type="gramStart"/>
      <w:r>
        <w:t>p</w:t>
      </w:r>
      <w:r w:rsidRPr="009B31C8">
        <w:t>roviding</w:t>
      </w:r>
      <w:proofErr w:type="gramEnd"/>
      <w:r w:rsidRPr="009B31C8">
        <w:t xml:space="preserve"> arrangements for the provision of spectrum for public or community purposes.</w:t>
      </w:r>
    </w:p>
    <w:p w14:paraId="5ABFA76C" w14:textId="77777777" w:rsidR="00642757" w:rsidRPr="00D31D36" w:rsidRDefault="00642757" w:rsidP="00642757">
      <w:pPr>
        <w:rPr>
          <w:b/>
        </w:rPr>
      </w:pPr>
      <w:r w:rsidRPr="00D31D36">
        <w:t xml:space="preserve">It is intended that </w:t>
      </w:r>
      <w:r>
        <w:t>e</w:t>
      </w:r>
      <w:r w:rsidRPr="00D31D36">
        <w:t>xplanatory material to the legislation will indicate that public or community purposes will include use such as for defence or national security, law enforcement,</w:t>
      </w:r>
      <w:r>
        <w:t xml:space="preserve"> </w:t>
      </w:r>
      <w:r w:rsidRPr="00D31D36">
        <w:t xml:space="preserve">meteorology and the provision of emergency </w:t>
      </w:r>
      <w:r w:rsidRPr="003D45F8">
        <w:t>services. The approach will not limit any particular public or community purpose.</w:t>
      </w:r>
    </w:p>
    <w:p w14:paraId="0586C04A" w14:textId="72B22535" w:rsidR="00642757" w:rsidRPr="00904EF5" w:rsidRDefault="00297D20" w:rsidP="00642757">
      <w:r>
        <w:t>T</w:t>
      </w:r>
      <w:r w:rsidR="00642757" w:rsidRPr="00904EF5">
        <w:t xml:space="preserve">he </w:t>
      </w:r>
      <w:r>
        <w:t xml:space="preserve">span of the </w:t>
      </w:r>
      <w:r w:rsidR="00EB0F13">
        <w:t xml:space="preserve">Bill </w:t>
      </w:r>
      <w:r>
        <w:t>is</w:t>
      </w:r>
      <w:r w:rsidR="00642757">
        <w:t xml:space="preserve"> </w:t>
      </w:r>
      <w:r w:rsidR="00642757" w:rsidRPr="00904EF5">
        <w:t>intended to</w:t>
      </w:r>
      <w:r w:rsidR="00642757">
        <w:t xml:space="preserve"> </w:t>
      </w:r>
      <w:r w:rsidR="00DA0467">
        <w:t xml:space="preserve">specify </w:t>
      </w:r>
      <w:r w:rsidR="00642757">
        <w:t>the rights, powers and obligations of</w:t>
      </w:r>
      <w:r w:rsidR="00642757" w:rsidRPr="00904EF5">
        <w:t>:</w:t>
      </w:r>
    </w:p>
    <w:p w14:paraId="1D8B997F" w14:textId="77777777" w:rsidR="00642757" w:rsidRPr="00904EF5" w:rsidRDefault="00642757" w:rsidP="00642757">
      <w:pPr>
        <w:pStyle w:val="Bullet1"/>
      </w:pPr>
      <w:r w:rsidRPr="00904EF5">
        <w:t>the Minister;</w:t>
      </w:r>
    </w:p>
    <w:p w14:paraId="0F8C62F9" w14:textId="77777777" w:rsidR="00642757" w:rsidRPr="00904EF5" w:rsidRDefault="00642757" w:rsidP="00642757">
      <w:pPr>
        <w:pStyle w:val="Bullet1"/>
      </w:pPr>
      <w:r w:rsidRPr="00904EF5">
        <w:t>users of radiofrequen</w:t>
      </w:r>
      <w:r>
        <w:t>cy spectrum</w:t>
      </w:r>
      <w:r w:rsidRPr="00904EF5">
        <w:t>;</w:t>
      </w:r>
    </w:p>
    <w:p w14:paraId="17BDA906" w14:textId="77777777" w:rsidR="008F3329" w:rsidRDefault="00642757" w:rsidP="00642757">
      <w:pPr>
        <w:pStyle w:val="Bullet1"/>
      </w:pPr>
      <w:r w:rsidRPr="00904EF5">
        <w:t>third party administrators (e.g. private band managers); and</w:t>
      </w:r>
    </w:p>
    <w:p w14:paraId="620A185B" w14:textId="77777777" w:rsidR="00642757" w:rsidRPr="00904EF5" w:rsidRDefault="00642757" w:rsidP="00642757">
      <w:pPr>
        <w:pStyle w:val="Bullet1"/>
      </w:pPr>
      <w:proofErr w:type="gramStart"/>
      <w:r>
        <w:t>persons</w:t>
      </w:r>
      <w:proofErr w:type="gramEnd"/>
      <w:r w:rsidRPr="00904EF5">
        <w:t xml:space="preserve"> involved in the supply chain of devices.</w:t>
      </w:r>
    </w:p>
    <w:p w14:paraId="38553858" w14:textId="77777777" w:rsidR="008F3329" w:rsidRDefault="00642757" w:rsidP="00642757">
      <w:r>
        <w:t>T</w:t>
      </w:r>
      <w:r w:rsidRPr="00904EF5">
        <w:t xml:space="preserve">he ACMA </w:t>
      </w:r>
      <w:r>
        <w:t xml:space="preserve">will continue to </w:t>
      </w:r>
      <w:r w:rsidRPr="00904EF5">
        <w:t>undertake important functions in relation to the regulation of radiofrequenc</w:t>
      </w:r>
      <w:r w:rsidR="005A49EF">
        <w:t>y spectrum</w:t>
      </w:r>
      <w:r>
        <w:t>. Retaining</w:t>
      </w:r>
      <w:r w:rsidRPr="00904EF5">
        <w:t xml:space="preserve"> object</w:t>
      </w:r>
      <w:r>
        <w:t>s</w:t>
      </w:r>
      <w:r w:rsidRPr="00904EF5">
        <w:t xml:space="preserve"> in the </w:t>
      </w:r>
      <w:r>
        <w:t xml:space="preserve">Bill </w:t>
      </w:r>
      <w:r w:rsidRPr="00904EF5">
        <w:t xml:space="preserve">will assist in </w:t>
      </w:r>
      <w:r>
        <w:t xml:space="preserve">distinguishing </w:t>
      </w:r>
      <w:r w:rsidRPr="00904EF5">
        <w:t>between the role of the ACMA as a contributor to achieving the objects as opposed to the ACMA hav</w:t>
      </w:r>
      <w:r>
        <w:t xml:space="preserve">ing primary responsibility and accountability for </w:t>
      </w:r>
      <w:r w:rsidRPr="00904EF5">
        <w:t xml:space="preserve">the </w:t>
      </w:r>
      <w:r>
        <w:t>objects.</w:t>
      </w:r>
    </w:p>
    <w:p w14:paraId="385F6747" w14:textId="481F3DBC" w:rsidR="00642757" w:rsidRPr="00AD46D6" w:rsidRDefault="00317E4F" w:rsidP="00317E4F">
      <w:pPr>
        <w:pStyle w:val="Heading3"/>
        <w:keepLines/>
        <w:numPr>
          <w:ilvl w:val="0"/>
          <w:numId w:val="7"/>
        </w:numPr>
        <w:spacing w:after="60"/>
      </w:pPr>
      <w:r>
        <w:t>Application</w:t>
      </w:r>
    </w:p>
    <w:p w14:paraId="3F09EA6E" w14:textId="77777777" w:rsidR="00642757" w:rsidRPr="00144F41" w:rsidRDefault="005C2055" w:rsidP="00317E4F">
      <w:pPr>
        <w:pStyle w:val="Heading4"/>
        <w:keepLines/>
      </w:pPr>
      <w:r>
        <w:t>Current arrangements:</w:t>
      </w:r>
    </w:p>
    <w:p w14:paraId="7A735D6B" w14:textId="77777777" w:rsidR="00642757" w:rsidRDefault="00642757" w:rsidP="00317E4F">
      <w:pPr>
        <w:keepNext/>
        <w:keepLines/>
      </w:pPr>
      <w:r w:rsidRPr="00144F41">
        <w:t xml:space="preserve">Part 1.4 of the </w:t>
      </w:r>
      <w:r>
        <w:t xml:space="preserve">current </w:t>
      </w:r>
      <w:r w:rsidRPr="00144F41">
        <w:t xml:space="preserve">Act sets out the scope of the legislation. </w:t>
      </w:r>
      <w:r>
        <w:t>This part contains four Divisions:</w:t>
      </w:r>
    </w:p>
    <w:p w14:paraId="36D3BB72" w14:textId="77777777" w:rsidR="00642757" w:rsidRDefault="00642757" w:rsidP="00317E4F">
      <w:pPr>
        <w:pStyle w:val="Bullet1"/>
        <w:keepNext/>
        <w:keepLines/>
      </w:pPr>
      <w:r>
        <w:t>Division 1 – General</w:t>
      </w:r>
    </w:p>
    <w:p w14:paraId="73CADBB4" w14:textId="77777777" w:rsidR="00642757" w:rsidRPr="00642757" w:rsidRDefault="00642757" w:rsidP="00317E4F">
      <w:pPr>
        <w:pStyle w:val="Bullet1"/>
        <w:keepNext/>
        <w:keepLines/>
        <w:ind w:left="1134"/>
      </w:pPr>
      <w:r w:rsidRPr="00642757">
        <w:t>This provision binds the Crown.</w:t>
      </w:r>
    </w:p>
    <w:p w14:paraId="485B79AF" w14:textId="77777777" w:rsidR="008F3329" w:rsidRDefault="00642757" w:rsidP="00317E4F">
      <w:pPr>
        <w:pStyle w:val="Bullet1"/>
        <w:keepNext/>
        <w:keepLines/>
      </w:pPr>
      <w:r>
        <w:t>Division 2 – Provisions relating to location and similar matters</w:t>
      </w:r>
    </w:p>
    <w:p w14:paraId="7857FAA0" w14:textId="77777777" w:rsidR="00642757" w:rsidRPr="00642757" w:rsidRDefault="00642757" w:rsidP="00317E4F">
      <w:pPr>
        <w:pStyle w:val="Bullet1"/>
        <w:keepNext/>
        <w:keepLines/>
        <w:ind w:left="1134"/>
      </w:pPr>
      <w:r w:rsidRPr="00642757">
        <w:lastRenderedPageBreak/>
        <w:t>Application of the Act to the external Territories, State/Territory offshore areas, the Western Greater Sunrise area, limitations on application outside of Australia, and application to the atmosphere.</w:t>
      </w:r>
    </w:p>
    <w:p w14:paraId="6236B3F9" w14:textId="77777777" w:rsidR="00642757" w:rsidRDefault="00642757" w:rsidP="00317E4F">
      <w:pPr>
        <w:pStyle w:val="Bullet1"/>
        <w:keepNext/>
        <w:keepLines/>
      </w:pPr>
      <w:r>
        <w:t>Division 3 – Provisions extending the concept of radiocommunication</w:t>
      </w:r>
    </w:p>
    <w:p w14:paraId="67A34E5E" w14:textId="77777777" w:rsidR="00642757" w:rsidRDefault="00642757" w:rsidP="00317E4F">
      <w:pPr>
        <w:pStyle w:val="Bullet1"/>
        <w:keepNext/>
        <w:keepLines/>
        <w:ind w:left="1134"/>
      </w:pPr>
      <w:r w:rsidRPr="00642757">
        <w:t>Brings certain activities within the concept of radiocommunications for the purposes of</w:t>
      </w:r>
      <w:r>
        <w:t xml:space="preserve"> the Act.</w:t>
      </w:r>
    </w:p>
    <w:p w14:paraId="7F025019" w14:textId="77777777" w:rsidR="008F3329" w:rsidRDefault="00642757" w:rsidP="00317E4F">
      <w:pPr>
        <w:pStyle w:val="Bullet1"/>
        <w:keepNext/>
        <w:keepLines/>
      </w:pPr>
      <w:r>
        <w:t>Division 4 – Matters to which the Act does not apply</w:t>
      </w:r>
    </w:p>
    <w:p w14:paraId="16C7DB20" w14:textId="77777777" w:rsidR="00642757" w:rsidRPr="00642757" w:rsidRDefault="00642757" w:rsidP="00642757">
      <w:pPr>
        <w:pStyle w:val="Bullet1"/>
        <w:ind w:left="1134"/>
      </w:pPr>
      <w:r w:rsidRPr="00642757">
        <w:t>Situations and activities that are or may be exempt from the operation of the Act (e.g. defence and intelligence functions, law enforcement, emergency and defence personnel).</w:t>
      </w:r>
    </w:p>
    <w:p w14:paraId="0C2E20D6" w14:textId="77777777" w:rsidR="00642757" w:rsidRPr="00AD46D6" w:rsidRDefault="00642757" w:rsidP="00E0261A">
      <w:pPr>
        <w:pStyle w:val="Heading4"/>
      </w:pPr>
      <w:r>
        <w:t>Proposed approach:</w:t>
      </w:r>
    </w:p>
    <w:p w14:paraId="60AE6CC9" w14:textId="77777777" w:rsidR="00642757" w:rsidRDefault="00642757" w:rsidP="00642757">
      <w:r>
        <w:t xml:space="preserve">It is not proposed to change the current scope of application of the Act. However given its age, the language and drafting of the provisions will be reviewed to ensure the equivalent provisions in </w:t>
      </w:r>
      <w:r w:rsidR="00705F00">
        <w:t>the Bill</w:t>
      </w:r>
      <w:r>
        <w:t xml:space="preserve"> reflect current legislative drafting practice and take account of any relevant court decisions that have been delivered since the 1992 Act was enacted.</w:t>
      </w:r>
    </w:p>
    <w:p w14:paraId="1E9039F5" w14:textId="77777777" w:rsidR="00642757" w:rsidRPr="002A5262" w:rsidRDefault="00642757" w:rsidP="00642757">
      <w:pPr>
        <w:pStyle w:val="Heading3"/>
        <w:numPr>
          <w:ilvl w:val="0"/>
          <w:numId w:val="7"/>
        </w:numPr>
        <w:spacing w:after="60"/>
      </w:pPr>
      <w:r w:rsidRPr="002A5262">
        <w:t>Ministerial direction powers</w:t>
      </w:r>
      <w:r w:rsidR="00686E0A">
        <w:t xml:space="preserve">, </w:t>
      </w:r>
      <w:r w:rsidRPr="002A5262">
        <w:t>policy guidance</w:t>
      </w:r>
      <w:r w:rsidR="00686E0A">
        <w:t xml:space="preserve"> and accountability</w:t>
      </w:r>
    </w:p>
    <w:p w14:paraId="1E0C24CD" w14:textId="77777777" w:rsidR="00642757" w:rsidRDefault="00642757" w:rsidP="00E0261A">
      <w:pPr>
        <w:pStyle w:val="Heading4"/>
      </w:pPr>
      <w:r>
        <w:t>Current arrangements:</w:t>
      </w:r>
    </w:p>
    <w:p w14:paraId="52EC9A2C" w14:textId="77777777" w:rsidR="00642757" w:rsidRDefault="00642757" w:rsidP="00642757">
      <w:r>
        <w:t>The current Act provides for significant Ministerial control and direction in regard to matters which are primarily day-to-day operational decisions of the ACMA. Of the 24 provisions enabling Ministerial intervention, 16 are related to matters of process.</w:t>
      </w:r>
    </w:p>
    <w:p w14:paraId="59E371AF" w14:textId="77777777" w:rsidR="00642757" w:rsidRDefault="00642757" w:rsidP="00642757">
      <w:r>
        <w:t xml:space="preserve">These arrangements are a legacy feature of the Act. When enacted the arrangements represented a significant change in how spectrum was managed in Australia by introducing </w:t>
      </w:r>
      <w:r w:rsidRPr="00FC48D2">
        <w:t xml:space="preserve">market </w:t>
      </w:r>
      <w:r>
        <w:t xml:space="preserve">mechanisms, </w:t>
      </w:r>
      <w:r w:rsidRPr="00FC48D2">
        <w:t>including market allocations and secondar</w:t>
      </w:r>
      <w:r>
        <w:t>y trading of spectrum licences</w:t>
      </w:r>
      <w:r w:rsidRPr="00FC48D2">
        <w:t>.</w:t>
      </w:r>
      <w:r>
        <w:t xml:space="preserve"> The inclusion of provisions that enabled direct Ministerial intervention in administrative activities reflected concerns about how a market based system might operate. In particular, that non-commercial users may be denied access to spectrum.</w:t>
      </w:r>
    </w:p>
    <w:p w14:paraId="058D2F67" w14:textId="77777777" w:rsidR="00642757" w:rsidRDefault="00642757" w:rsidP="00642757">
      <w:r>
        <w:t>Since that time the spectrum market has matured and management of these mechanisms is now well understood. More broadly, the approach taken by governments to regulation has evolved significantly. “Black letter” rules-based approaches have been progressively replaced with outcomes focused arrangements. Strong Ministerial control was a feature of these more dated regimes and is out of step with contemporary approaches to regulatory governance.</w:t>
      </w:r>
    </w:p>
    <w:p w14:paraId="14603A51" w14:textId="77777777" w:rsidR="00642757" w:rsidRDefault="00642757" w:rsidP="00642757">
      <w:r>
        <w:t xml:space="preserve">Stakeholders have indicated that they </w:t>
      </w:r>
      <w:r w:rsidRPr="00BB2388">
        <w:t>want greater transparency and accountability in decision‐making, and a clear distinction between the responsibilities of the Minister to set policy and the ACMA to implement policy. This includes transparent disclosure of decisions and the reasoning behind decisions, regular updates on processes and explanations when things change. Stakeholders are also seeking clear guidance on future spectrum policy and management priorities.</w:t>
      </w:r>
    </w:p>
    <w:p w14:paraId="4AA9FC3C" w14:textId="77777777" w:rsidR="00642757" w:rsidRDefault="00642757" w:rsidP="00E0261A">
      <w:pPr>
        <w:pStyle w:val="Heading4"/>
      </w:pPr>
      <w:r>
        <w:t>Proposed approach:</w:t>
      </w:r>
    </w:p>
    <w:p w14:paraId="763E5639" w14:textId="77777777" w:rsidR="008F3329" w:rsidRDefault="00642757" w:rsidP="00642757">
      <w:r>
        <w:t xml:space="preserve">It is proposed that the Bill </w:t>
      </w:r>
      <w:r w:rsidR="00EB0F13">
        <w:t xml:space="preserve">set out </w:t>
      </w:r>
      <w:r>
        <w:t>clear accountability arrangements.</w:t>
      </w:r>
      <w:r w:rsidR="00297D20">
        <w:t xml:space="preserve"> The </w:t>
      </w:r>
      <w:r w:rsidR="00EB0F13">
        <w:t xml:space="preserve">Bill </w:t>
      </w:r>
      <w:r w:rsidR="00297D20">
        <w:t>will clarify t</w:t>
      </w:r>
      <w:r>
        <w:t>he role and responsibilities of the Minister and the ACMA, including accountabilities for regulatory decision making.</w:t>
      </w:r>
    </w:p>
    <w:p w14:paraId="507EAD09" w14:textId="77777777" w:rsidR="00642757" w:rsidRDefault="00642757" w:rsidP="00642757">
      <w:r>
        <w:t xml:space="preserve">It is proposed that the Minister’s role will be focused </w:t>
      </w:r>
      <w:r w:rsidR="00EC7717">
        <w:t>on setting</w:t>
      </w:r>
      <w:r>
        <w:t xml:space="preserve"> strategic priorities to guide the delivery of the ACMA’s spectrum management regulatory functions. To this end it is proposed that </w:t>
      </w:r>
      <w:r w:rsidR="00EB0F13">
        <w:t xml:space="preserve">the Bill </w:t>
      </w:r>
      <w:r w:rsidR="00EC7717">
        <w:t xml:space="preserve">will empower </w:t>
      </w:r>
      <w:r>
        <w:t xml:space="preserve">the Minister </w:t>
      </w:r>
      <w:r w:rsidR="00EB0F13">
        <w:t xml:space="preserve">to </w:t>
      </w:r>
      <w:r>
        <w:t xml:space="preserve">issue policy statements (referred to as </w:t>
      </w:r>
      <w:proofErr w:type="gramStart"/>
      <w:r w:rsidRPr="00717B5B">
        <w:rPr>
          <w:i/>
        </w:rPr>
        <w:t>Ministerial</w:t>
      </w:r>
      <w:proofErr w:type="gramEnd"/>
      <w:r w:rsidRPr="00717B5B">
        <w:rPr>
          <w:i/>
        </w:rPr>
        <w:t xml:space="preserve"> policy statements</w:t>
      </w:r>
      <w:r>
        <w:t>) that are to apply to:</w:t>
      </w:r>
    </w:p>
    <w:p w14:paraId="26C11481" w14:textId="77777777" w:rsidR="008F3329" w:rsidRDefault="00642757" w:rsidP="00642757">
      <w:pPr>
        <w:pStyle w:val="Bullet1"/>
      </w:pPr>
      <w:r>
        <w:t>the performance of any of the ACMA’s spectrum management functions; and</w:t>
      </w:r>
    </w:p>
    <w:p w14:paraId="583C515C" w14:textId="77777777" w:rsidR="00642757" w:rsidRDefault="00642757" w:rsidP="00642757">
      <w:pPr>
        <w:pStyle w:val="Bullet1"/>
      </w:pPr>
      <w:proofErr w:type="gramStart"/>
      <w:r>
        <w:t>the</w:t>
      </w:r>
      <w:proofErr w:type="gramEnd"/>
      <w:r>
        <w:t xml:space="preserve"> exercise of any of the ACMA’s spectrum management powers.</w:t>
      </w:r>
    </w:p>
    <w:p w14:paraId="1D0A0E9D" w14:textId="77777777" w:rsidR="00EC7717" w:rsidRDefault="00642757" w:rsidP="00642757">
      <w:r>
        <w:t>Ministerial policy statements would not</w:t>
      </w:r>
      <w:r w:rsidR="00EC7717">
        <w:t>, themselves,</w:t>
      </w:r>
      <w:r>
        <w:t xml:space="preserve"> be legislative instruments</w:t>
      </w:r>
      <w:r w:rsidR="00EC7717">
        <w:t xml:space="preserve"> however the ACMA would be required to have regard to any relevant Ministerial policy statements in performance of the ACMA’s functions</w:t>
      </w:r>
      <w:r w:rsidR="00DE130E">
        <w:t xml:space="preserve"> and the exercise of its powers</w:t>
      </w:r>
      <w:r w:rsidR="006E78DB">
        <w:t>. The Bill</w:t>
      </w:r>
      <w:r w:rsidR="00EC7717">
        <w:t xml:space="preserve"> will specify that </w:t>
      </w:r>
      <w:r w:rsidR="00E220B9">
        <w:t>M</w:t>
      </w:r>
      <w:r w:rsidR="00EC7717">
        <w:t xml:space="preserve">inisterial policy statements are to be published on the ACMA website. The ACMA </w:t>
      </w:r>
      <w:r w:rsidR="005E7DE5">
        <w:t xml:space="preserve">will be required to annually report on how it has accounted for </w:t>
      </w:r>
      <w:r w:rsidR="00DE130E">
        <w:t>M</w:t>
      </w:r>
      <w:r w:rsidR="005E7DE5">
        <w:t xml:space="preserve">inisterial policy statements in performance of its functions and exercise of powers. </w:t>
      </w:r>
    </w:p>
    <w:p w14:paraId="25DF6EDC" w14:textId="77777777" w:rsidR="006009F0" w:rsidRDefault="006009F0" w:rsidP="008A755A">
      <w:r>
        <w:t>For example, the ACMA will be required, in consultation with the Commonwealth and spectrum users, to identify information requirements to support the spectrum market and facilitate spectrum sharing</w:t>
      </w:r>
      <w:r w:rsidR="009B614A">
        <w:t>,</w:t>
      </w:r>
      <w:r>
        <w:t xml:space="preserve"> taking an open-data approach. This will build upon the current Act’s requirement to maintain a Register of Licences. </w:t>
      </w:r>
    </w:p>
    <w:p w14:paraId="07ACAEE3" w14:textId="77CBB391" w:rsidR="005E7DE5" w:rsidRDefault="00421F56" w:rsidP="005E7DE5">
      <w:r>
        <w:t>T</w:t>
      </w:r>
      <w:r w:rsidR="005E7DE5">
        <w:t xml:space="preserve">he Minister </w:t>
      </w:r>
      <w:r>
        <w:t>has</w:t>
      </w:r>
      <w:r w:rsidR="005E7DE5">
        <w:t xml:space="preserve"> the power to direct the ACMA in relation to the performance of its functions and the exercise of its powers </w:t>
      </w:r>
      <w:r w:rsidR="00153F5A">
        <w:t>through section</w:t>
      </w:r>
      <w:r w:rsidR="005E7DE5">
        <w:t xml:space="preserve"> 14 of the ACMA Act. In accordance with existing practice, Ministerial directions are published and ordinarily accompanied by statements that explain the rationale for the direction.</w:t>
      </w:r>
    </w:p>
    <w:p w14:paraId="06BE0074" w14:textId="77777777" w:rsidR="008F3329" w:rsidRDefault="005E7DE5" w:rsidP="00642757">
      <w:r>
        <w:t xml:space="preserve">The establishment of the </w:t>
      </w:r>
      <w:r w:rsidR="008A755A">
        <w:t>M</w:t>
      </w:r>
      <w:r>
        <w:t>inisterial policy statement mechanism</w:t>
      </w:r>
      <w:r w:rsidR="00642757">
        <w:t xml:space="preserve"> is anticipated</w:t>
      </w:r>
      <w:r>
        <w:t xml:space="preserve"> to reduce the </w:t>
      </w:r>
      <w:r w:rsidR="00642757">
        <w:t>need for the Minister to actively intervene in spectrum management through exercising a section 14 ACMA Act directions power.</w:t>
      </w:r>
    </w:p>
    <w:p w14:paraId="42240848" w14:textId="77777777" w:rsidR="00642757" w:rsidRPr="004311BC" w:rsidRDefault="00642757" w:rsidP="00642757">
      <w:pPr>
        <w:pStyle w:val="Heading3"/>
        <w:numPr>
          <w:ilvl w:val="0"/>
          <w:numId w:val="7"/>
        </w:numPr>
        <w:spacing w:after="60"/>
      </w:pPr>
      <w:r w:rsidRPr="004311BC">
        <w:t xml:space="preserve">Annual </w:t>
      </w:r>
      <w:r w:rsidR="00EA3DF5">
        <w:t xml:space="preserve">spectrum </w:t>
      </w:r>
      <w:r w:rsidRPr="004311BC">
        <w:t>work plan</w:t>
      </w:r>
    </w:p>
    <w:p w14:paraId="7B5E7716" w14:textId="77777777" w:rsidR="00642757" w:rsidRDefault="00642757" w:rsidP="00E0261A">
      <w:pPr>
        <w:pStyle w:val="Heading4"/>
      </w:pPr>
      <w:r>
        <w:t>Current arrangements:</w:t>
      </w:r>
    </w:p>
    <w:p w14:paraId="720B8B63" w14:textId="77777777" w:rsidR="00911DB4" w:rsidRDefault="00911DB4" w:rsidP="00642757">
      <w:r>
        <w:t>T</w:t>
      </w:r>
      <w:r w:rsidR="00642757">
        <w:t xml:space="preserve">he ACMA </w:t>
      </w:r>
      <w:r>
        <w:t>currently</w:t>
      </w:r>
      <w:r w:rsidR="00642757">
        <w:t xml:space="preserve"> issue</w:t>
      </w:r>
      <w:r>
        <w:t>s</w:t>
      </w:r>
      <w:r w:rsidR="00642757">
        <w:t xml:space="preserve"> an annual five-year spectrum outlook (FYSO), </w:t>
      </w:r>
      <w:r>
        <w:t xml:space="preserve">although </w:t>
      </w:r>
      <w:r w:rsidR="00642757">
        <w:t xml:space="preserve">there is no requirement to do so. </w:t>
      </w:r>
      <w:r w:rsidR="00642757">
        <w:rPr>
          <w:rFonts w:eastAsia="Times New Roman"/>
        </w:rPr>
        <w:t xml:space="preserve">The FYSO provides only general indications of the ACMA's actual work program or spectrum work plan in the coming 12 months and has a </w:t>
      </w:r>
      <w:r w:rsidR="00642757">
        <w:t>strong technical focus.</w:t>
      </w:r>
      <w:r>
        <w:t xml:space="preserve"> There is also no requirement for the ACMA to notify the Minister in advance of it making any significant decisions. </w:t>
      </w:r>
    </w:p>
    <w:p w14:paraId="3FEF53AB" w14:textId="77777777" w:rsidR="00642757" w:rsidRDefault="00911DB4" w:rsidP="00642757">
      <w:r w:rsidRPr="00531182">
        <w:t xml:space="preserve">The Review identified that there needed to be greater </w:t>
      </w:r>
      <w:r>
        <w:t xml:space="preserve">visibility of </w:t>
      </w:r>
      <w:r w:rsidRPr="00531182">
        <w:t>the ACMA’s future work plan regarding allocation of spectrum, implementation and timing</w:t>
      </w:r>
      <w:r>
        <w:t xml:space="preserve">. </w:t>
      </w:r>
    </w:p>
    <w:p w14:paraId="5B69A6F4" w14:textId="77777777" w:rsidR="00642757" w:rsidRDefault="00642757" w:rsidP="00E0261A">
      <w:pPr>
        <w:pStyle w:val="Heading4"/>
      </w:pPr>
      <w:r>
        <w:t>Proposed approach:</w:t>
      </w:r>
    </w:p>
    <w:p w14:paraId="7F36C4B0" w14:textId="7409319B" w:rsidR="00642757" w:rsidRDefault="005E7DE5" w:rsidP="00642757">
      <w:r>
        <w:t xml:space="preserve">The </w:t>
      </w:r>
      <w:r w:rsidR="008A755A">
        <w:t xml:space="preserve">Bill </w:t>
      </w:r>
      <w:r>
        <w:t xml:space="preserve">will specify that </w:t>
      </w:r>
      <w:r w:rsidR="00642757">
        <w:t xml:space="preserve">the ACMA </w:t>
      </w:r>
      <w:r>
        <w:t xml:space="preserve">is required to </w:t>
      </w:r>
      <w:r w:rsidR="00642757">
        <w:t xml:space="preserve">prepare </w:t>
      </w:r>
      <w:r>
        <w:t xml:space="preserve">and publish </w:t>
      </w:r>
      <w:r w:rsidR="00642757">
        <w:t>an annual s</w:t>
      </w:r>
      <w:r w:rsidR="00642757" w:rsidRPr="00531182">
        <w:t>pectrum work plan</w:t>
      </w:r>
      <w:r w:rsidR="00686E0A">
        <w:t xml:space="preserve"> and that the scope of the plan will be set out in </w:t>
      </w:r>
      <w:r w:rsidR="00317E4F">
        <w:t>a Ministerial policy statement.</w:t>
      </w:r>
    </w:p>
    <w:p w14:paraId="7324A346" w14:textId="77777777" w:rsidR="00642757" w:rsidRDefault="00642757" w:rsidP="00317E4F">
      <w:pPr>
        <w:keepNext/>
      </w:pPr>
      <w:r>
        <w:t xml:space="preserve">It is </w:t>
      </w:r>
      <w:r w:rsidR="00686E0A">
        <w:t xml:space="preserve">generally expected </w:t>
      </w:r>
      <w:r>
        <w:t>that the plan will identify priorities over a three to five year timeframe whilst also providing greater detail on activities to be undertaken in the forthcoming 12 months. Matters to be addressed in the annual work plan would include:</w:t>
      </w:r>
    </w:p>
    <w:p w14:paraId="5F98A0B3" w14:textId="77777777" w:rsidR="00642757" w:rsidRDefault="00642757" w:rsidP="00642757">
      <w:pPr>
        <w:pStyle w:val="Bullet1"/>
      </w:pPr>
      <w:r w:rsidRPr="00AA44A7">
        <w:t xml:space="preserve">proposed </w:t>
      </w:r>
      <w:r>
        <w:t xml:space="preserve">licence issues, </w:t>
      </w:r>
      <w:r w:rsidRPr="00AA44A7">
        <w:t>timeframes and consultation requirements</w:t>
      </w:r>
      <w:r>
        <w:t>;</w:t>
      </w:r>
    </w:p>
    <w:p w14:paraId="7D59DEFF" w14:textId="77777777" w:rsidR="008F3329" w:rsidRDefault="00642757" w:rsidP="00642757">
      <w:pPr>
        <w:pStyle w:val="Bullet1"/>
      </w:pPr>
      <w:r>
        <w:t>progress on implementation of initiatives</w:t>
      </w:r>
      <w:r w:rsidR="00911DB4">
        <w:t xml:space="preserve"> and </w:t>
      </w:r>
      <w:r w:rsidR="001A3020">
        <w:t xml:space="preserve">any </w:t>
      </w:r>
      <w:r w:rsidR="00911DB4">
        <w:t>planning changes</w:t>
      </w:r>
      <w:r>
        <w:t>;</w:t>
      </w:r>
    </w:p>
    <w:p w14:paraId="7BCCD305" w14:textId="77777777" w:rsidR="008F3329" w:rsidRDefault="00642757" w:rsidP="00642757">
      <w:pPr>
        <w:pStyle w:val="Bullet1"/>
      </w:pPr>
      <w:r>
        <w:t>any Ministerial directions on policy objectives and the ACMA’s plan to respond to these directions; and</w:t>
      </w:r>
    </w:p>
    <w:p w14:paraId="7BC866B7" w14:textId="77777777" w:rsidR="001A3020" w:rsidRDefault="00642757" w:rsidP="001A3020">
      <w:pPr>
        <w:pStyle w:val="Bullet1"/>
      </w:pPr>
      <w:proofErr w:type="gramStart"/>
      <w:r>
        <w:t>advice</w:t>
      </w:r>
      <w:proofErr w:type="gramEnd"/>
      <w:r>
        <w:t xml:space="preserve"> on any changes to priorities.</w:t>
      </w:r>
    </w:p>
    <w:p w14:paraId="52197D14" w14:textId="77777777" w:rsidR="00087CDA" w:rsidRPr="00087CDA" w:rsidRDefault="00087CDA" w:rsidP="00D27714">
      <w:r w:rsidRPr="00D27714">
        <w:t xml:space="preserve">The ACMA will also be expected to give the Minister reasonable notice of any significant issues it becomes aware of in relation to its spectrum management functions and notify the Minister before making a decision relevant to that issue. </w:t>
      </w:r>
    </w:p>
    <w:p w14:paraId="57CA2FA6" w14:textId="77777777" w:rsidR="00642757" w:rsidRPr="004311BC" w:rsidRDefault="00642757" w:rsidP="00642757">
      <w:pPr>
        <w:pStyle w:val="Heading3"/>
        <w:numPr>
          <w:ilvl w:val="0"/>
          <w:numId w:val="7"/>
        </w:numPr>
        <w:spacing w:after="60"/>
      </w:pPr>
      <w:r w:rsidRPr="004311BC">
        <w:t>Radiofrequency planning</w:t>
      </w:r>
    </w:p>
    <w:p w14:paraId="0292C967" w14:textId="77777777" w:rsidR="008F3329" w:rsidRDefault="00642757" w:rsidP="00E0261A">
      <w:pPr>
        <w:pStyle w:val="Heading4"/>
      </w:pPr>
      <w:r w:rsidRPr="000846D9">
        <w:t>Current arrangements:</w:t>
      </w:r>
    </w:p>
    <w:p w14:paraId="54451C94" w14:textId="77777777" w:rsidR="008F3329" w:rsidRDefault="00642757" w:rsidP="00642757">
      <w:r>
        <w:t>Under the current Act, the A</w:t>
      </w:r>
      <w:r w:rsidRPr="00342570">
        <w:t>CMA</w:t>
      </w:r>
      <w:r>
        <w:t xml:space="preserve"> has a range of spectrum planning powers. These are set out in Chapter 2 and cover:</w:t>
      </w:r>
    </w:p>
    <w:p w14:paraId="7A664164" w14:textId="77777777" w:rsidR="00642757" w:rsidRDefault="00642757" w:rsidP="00642757">
      <w:pPr>
        <w:pStyle w:val="Bullet1"/>
      </w:pPr>
      <w:r>
        <w:t>Part 2.1 – Spectrum plans and frequency band plans (including broadcasting services bands):</w:t>
      </w:r>
    </w:p>
    <w:p w14:paraId="3FE79230" w14:textId="77777777" w:rsidR="008F3329" w:rsidRDefault="00642757" w:rsidP="00642757">
      <w:pPr>
        <w:pStyle w:val="Bullet1"/>
        <w:ind w:left="1134"/>
      </w:pPr>
      <w:r>
        <w:t>The spectrum plan divides the radiofrequency spectrum into a number of frequency bands and specifies the general purpose for which bands may be used;</w:t>
      </w:r>
    </w:p>
    <w:p w14:paraId="31E014D4" w14:textId="77777777" w:rsidR="00642757" w:rsidRDefault="00642757" w:rsidP="00642757">
      <w:pPr>
        <w:pStyle w:val="Bullet1"/>
        <w:ind w:left="1134"/>
      </w:pPr>
      <w:r>
        <w:t>Frequency band plans may cover the particular parts of the spectrum in more detail;</w:t>
      </w:r>
    </w:p>
    <w:p w14:paraId="7C8BD73D" w14:textId="77777777" w:rsidR="008F3329" w:rsidRDefault="00642757" w:rsidP="00642757">
      <w:pPr>
        <w:pStyle w:val="Bullet1"/>
        <w:ind w:left="1134"/>
      </w:pPr>
      <w:r>
        <w:t xml:space="preserve">Broadcasting licence areas plans made by the ACMA under the </w:t>
      </w:r>
      <w:r w:rsidRPr="002412B6">
        <w:rPr>
          <w:i/>
        </w:rPr>
        <w:t>Broadcasting Services Act 1992</w:t>
      </w:r>
      <w:r w:rsidRPr="001D4C35">
        <w:t xml:space="preserve"> </w:t>
      </w:r>
      <w:r>
        <w:t>(BSA) cover the particular parts of the spectrum that have been specifically designated by the Minister for broadcasting services.</w:t>
      </w:r>
      <w:r w:rsidR="008301DB" w:rsidRPr="002412B6" w:rsidDel="008301DB">
        <w:rPr>
          <w:vertAlign w:val="superscript"/>
        </w:rPr>
        <w:t xml:space="preserve"> </w:t>
      </w:r>
    </w:p>
    <w:p w14:paraId="1BCD3147" w14:textId="77777777" w:rsidR="00642757" w:rsidRDefault="00642757" w:rsidP="00642757">
      <w:pPr>
        <w:pStyle w:val="Bullet1"/>
      </w:pPr>
      <w:r>
        <w:t>Part 2.2 – Conversion plans and marketing plans:</w:t>
      </w:r>
    </w:p>
    <w:p w14:paraId="29E83CD9" w14:textId="77777777" w:rsidR="00642757" w:rsidRDefault="00642757" w:rsidP="00642757">
      <w:pPr>
        <w:pStyle w:val="Bullet1"/>
        <w:ind w:left="1134"/>
      </w:pPr>
      <w:r>
        <w:t>Designation by the Minister of parts of the spectrum for spectrum licences;</w:t>
      </w:r>
    </w:p>
    <w:p w14:paraId="4D731252" w14:textId="77777777" w:rsidR="00642757" w:rsidRDefault="00642757" w:rsidP="00642757">
      <w:pPr>
        <w:pStyle w:val="Bullet1"/>
        <w:ind w:left="1134"/>
      </w:pPr>
      <w:r>
        <w:t>Conversion plans govern conversion from apparatus licences to spectrum licences;</w:t>
      </w:r>
    </w:p>
    <w:p w14:paraId="5292A430" w14:textId="77777777" w:rsidR="008F3329" w:rsidRDefault="00642757" w:rsidP="00642757">
      <w:pPr>
        <w:pStyle w:val="Bullet1"/>
        <w:ind w:left="1134"/>
      </w:pPr>
      <w:r>
        <w:t>Marketing plans provide the process for issuing spectrum licences for both encumbered and unencumbered spectrum.</w:t>
      </w:r>
    </w:p>
    <w:p w14:paraId="5EB19B74" w14:textId="77777777" w:rsidR="008F3329" w:rsidRDefault="00642757" w:rsidP="00642757">
      <w:pPr>
        <w:pStyle w:val="Bullet1"/>
      </w:pPr>
      <w:r>
        <w:t>Part 2.3 – Digital radio channel plans.</w:t>
      </w:r>
    </w:p>
    <w:p w14:paraId="5EA59F0F" w14:textId="77777777" w:rsidR="00642757" w:rsidRDefault="00642757" w:rsidP="00642757">
      <w:r>
        <w:t>The ACMA incorporates Article 5 (Table of Regulations) of the ITU Radio Regulations into Australian law through the Australian Radiofrequency Spectrum Plan.</w:t>
      </w:r>
    </w:p>
    <w:p w14:paraId="12D3EE33" w14:textId="77777777" w:rsidR="00642757" w:rsidRPr="000846D9" w:rsidRDefault="00642757" w:rsidP="00E0261A">
      <w:pPr>
        <w:pStyle w:val="Heading4"/>
      </w:pPr>
      <w:r>
        <w:t>Proposed approach:</w:t>
      </w:r>
    </w:p>
    <w:p w14:paraId="6765D5A5" w14:textId="479B28C1" w:rsidR="00642757" w:rsidRDefault="00642757" w:rsidP="00642757">
      <w:pPr>
        <w:keepNext/>
        <w:keepLines/>
      </w:pPr>
      <w:r w:rsidRPr="00342570">
        <w:t>The radiocommunications planning fram</w:t>
      </w:r>
      <w:r>
        <w:t>ework is largely working well, however there is scope to further streamline the current arrangements. It is proposed</w:t>
      </w:r>
      <w:r w:rsidR="00686E0A">
        <w:t xml:space="preserve"> that the </w:t>
      </w:r>
      <w:r w:rsidR="008A755A">
        <w:t xml:space="preserve">Bill </w:t>
      </w:r>
      <w:r>
        <w:t>consolidate the current separate planning powers for spectrum plans, radiofrequency band plans and broadcasting licence area plans into a single, discretionary, legislated power. This will provide the ACMA with greater flexibility in its approach to planning</w:t>
      </w:r>
      <w:r w:rsidR="00317E4F">
        <w:t>.</w:t>
      </w:r>
    </w:p>
    <w:p w14:paraId="48C200D8" w14:textId="4C49608B" w:rsidR="00860FD5" w:rsidRDefault="008A599D" w:rsidP="00686E0A">
      <w:r>
        <w:t>P</w:t>
      </w:r>
      <w:r w:rsidR="00642757">
        <w:t>lan</w:t>
      </w:r>
      <w:r>
        <w:t>s</w:t>
      </w:r>
      <w:r w:rsidR="00642757">
        <w:t xml:space="preserve"> made under these provisions will be legislative instrument</w:t>
      </w:r>
      <w:r w:rsidR="003D2B6A">
        <w:t>s</w:t>
      </w:r>
      <w:r w:rsidR="00642757">
        <w:t xml:space="preserve"> but would not be subject to section 42 (disallowance) of the </w:t>
      </w:r>
      <w:r w:rsidR="00642757" w:rsidRPr="009F1428">
        <w:rPr>
          <w:i/>
        </w:rPr>
        <w:t>Legislati</w:t>
      </w:r>
      <w:r w:rsidR="00FD03ED">
        <w:rPr>
          <w:i/>
        </w:rPr>
        <w:t>on</w:t>
      </w:r>
      <w:r w:rsidR="00686E0A">
        <w:rPr>
          <w:i/>
        </w:rPr>
        <w:t xml:space="preserve"> </w:t>
      </w:r>
      <w:r w:rsidR="00642757" w:rsidRPr="009F1428">
        <w:rPr>
          <w:i/>
        </w:rPr>
        <w:t>Act 2003</w:t>
      </w:r>
      <w:r w:rsidR="00642757">
        <w:t xml:space="preserve">. </w:t>
      </w:r>
      <w:r w:rsidR="00686E0A">
        <w:t xml:space="preserve">In accordance with the </w:t>
      </w:r>
      <w:r w:rsidR="00686E0A" w:rsidRPr="00517000">
        <w:rPr>
          <w:i/>
        </w:rPr>
        <w:t>L</w:t>
      </w:r>
      <w:r w:rsidR="009467B7" w:rsidRPr="00517000">
        <w:rPr>
          <w:i/>
        </w:rPr>
        <w:t>egislation</w:t>
      </w:r>
      <w:r w:rsidR="00686E0A" w:rsidRPr="00517000">
        <w:rPr>
          <w:i/>
        </w:rPr>
        <w:t xml:space="preserve"> Act</w:t>
      </w:r>
      <w:r w:rsidR="009467B7" w:rsidRPr="00517000">
        <w:rPr>
          <w:i/>
        </w:rPr>
        <w:t xml:space="preserve"> 2003</w:t>
      </w:r>
      <w:r w:rsidR="00686E0A">
        <w:t xml:space="preserve">, plans </w:t>
      </w:r>
      <w:r w:rsidR="00642757">
        <w:t>made as a legislative instrument will be legally binding, published and subject to consultation</w:t>
      </w:r>
      <w:r w:rsidR="00860FD5">
        <w:t>, im</w:t>
      </w:r>
      <w:r w:rsidR="00317E4F">
        <w:t>proving certainty for industry.</w:t>
      </w:r>
    </w:p>
    <w:p w14:paraId="55A73981" w14:textId="77777777" w:rsidR="00642757" w:rsidRDefault="00642757" w:rsidP="00642757">
      <w:r>
        <w:t>The single licensing framework (discussed at section 6) will remove the requirement to develop conversion plans. Marketing plans would be done as a matter of administrative practice.</w:t>
      </w:r>
    </w:p>
    <w:p w14:paraId="0B55FE4E" w14:textId="77777777" w:rsidR="00642757" w:rsidRDefault="00642757" w:rsidP="00642757">
      <w:r>
        <w:t>It is proposed that the Bill will continue to specify that plans may provide for parts of the spectrum to be reserved for the provision of public or community services.</w:t>
      </w:r>
    </w:p>
    <w:p w14:paraId="7D09B426" w14:textId="77777777" w:rsidR="00642757" w:rsidRDefault="00642757" w:rsidP="00642757">
      <w:pPr>
        <w:pStyle w:val="Heading3"/>
        <w:numPr>
          <w:ilvl w:val="0"/>
          <w:numId w:val="7"/>
        </w:numPr>
        <w:spacing w:after="60"/>
      </w:pPr>
      <w:r>
        <w:t>Licensing of spectrum</w:t>
      </w:r>
    </w:p>
    <w:p w14:paraId="78511062" w14:textId="77777777" w:rsidR="00642757" w:rsidRDefault="00642757" w:rsidP="00E0261A">
      <w:pPr>
        <w:pStyle w:val="Heading4"/>
      </w:pPr>
      <w:r w:rsidRPr="00607AD2">
        <w:t>Current arrangements:</w:t>
      </w:r>
    </w:p>
    <w:p w14:paraId="58EE8619" w14:textId="77777777" w:rsidR="004439EA" w:rsidRDefault="00642757" w:rsidP="00642757">
      <w:pPr>
        <w:rPr>
          <w:rFonts w:cs="Times New Roman"/>
        </w:rPr>
      </w:pPr>
      <w:r>
        <w:rPr>
          <w:rFonts w:cs="Times New Roman"/>
        </w:rPr>
        <w:t xml:space="preserve">The current Act </w:t>
      </w:r>
      <w:r w:rsidR="004C5307">
        <w:rPr>
          <w:rFonts w:cs="Times New Roman"/>
        </w:rPr>
        <w:t xml:space="preserve">provides for the use of </w:t>
      </w:r>
      <w:r>
        <w:rPr>
          <w:rFonts w:cs="Times New Roman"/>
        </w:rPr>
        <w:t>market mechanisms</w:t>
      </w:r>
      <w:r w:rsidR="004C5307">
        <w:rPr>
          <w:rFonts w:cs="Times New Roman"/>
        </w:rPr>
        <w:t>,</w:t>
      </w:r>
      <w:r>
        <w:rPr>
          <w:rFonts w:cs="Times New Roman"/>
        </w:rPr>
        <w:t xml:space="preserve"> alongside administrative and commons approaches</w:t>
      </w:r>
      <w:r w:rsidR="004C5307">
        <w:rPr>
          <w:rFonts w:cs="Times New Roman"/>
        </w:rPr>
        <w:t>,</w:t>
      </w:r>
      <w:r>
        <w:rPr>
          <w:rFonts w:cs="Times New Roman"/>
        </w:rPr>
        <w:t xml:space="preserve"> </w:t>
      </w:r>
      <w:r w:rsidR="004C5307">
        <w:rPr>
          <w:rFonts w:cs="Times New Roman"/>
        </w:rPr>
        <w:t xml:space="preserve">to manage </w:t>
      </w:r>
      <w:r>
        <w:rPr>
          <w:rFonts w:cs="Times New Roman"/>
        </w:rPr>
        <w:t xml:space="preserve">spectrum. While this model has served Australia well, the proliferation of new digital technologies and communications services </w:t>
      </w:r>
      <w:r w:rsidR="004C5307">
        <w:rPr>
          <w:rFonts w:cs="Times New Roman"/>
        </w:rPr>
        <w:t xml:space="preserve">exposed the lack of flexibility of existing spectrum management tools. </w:t>
      </w:r>
    </w:p>
    <w:p w14:paraId="519B48B8" w14:textId="77777777" w:rsidR="004C5307" w:rsidRDefault="00642757" w:rsidP="00642757">
      <w:r w:rsidRPr="00607AD2">
        <w:t xml:space="preserve">The rigid boundaries between licence categories </w:t>
      </w:r>
      <w:r w:rsidR="00957B9F">
        <w:t xml:space="preserve">(spectrum, apparatus and class licences) </w:t>
      </w:r>
      <w:r>
        <w:t>and the prescriptive rights that apply under the Act have limited the ACMA’s ability to design licences that meet users’ needs and</w:t>
      </w:r>
      <w:r w:rsidR="004C5307">
        <w:t xml:space="preserve"> opportuniti</w:t>
      </w:r>
      <w:r w:rsidR="00957B9F">
        <w:t xml:space="preserve">es for licence holders to trade and share spectrum. </w:t>
      </w:r>
    </w:p>
    <w:p w14:paraId="4D419A4D" w14:textId="77777777" w:rsidR="006009F0" w:rsidRDefault="006009F0" w:rsidP="006009F0">
      <w:r>
        <w:t>While the current Act provides for licences (apparatus and spectrum) to be transferred, traded or for third party authorisations to be granted, secondary market activities have been limited by a number of factors including:</w:t>
      </w:r>
    </w:p>
    <w:p w14:paraId="68C9658B" w14:textId="77777777" w:rsidR="006009F0" w:rsidRDefault="006009F0" w:rsidP="006009F0">
      <w:pPr>
        <w:pStyle w:val="Bullet1"/>
      </w:pPr>
      <w:r>
        <w:t>the specific nature of licences (that is, not sufficiently generic to be tradeable);</w:t>
      </w:r>
    </w:p>
    <w:p w14:paraId="11498314" w14:textId="77777777" w:rsidR="006009F0" w:rsidRDefault="006009F0" w:rsidP="006009F0">
      <w:pPr>
        <w:pStyle w:val="Bullet1"/>
      </w:pPr>
      <w:r>
        <w:t>lack of interest from industry or emergence of a trading market;</w:t>
      </w:r>
    </w:p>
    <w:p w14:paraId="4C365A3A" w14:textId="77777777" w:rsidR="006009F0" w:rsidRDefault="006009F0" w:rsidP="006009F0">
      <w:pPr>
        <w:pStyle w:val="Bullet1"/>
      </w:pPr>
      <w:r>
        <w:t>there may be insufficient information available to the market; and</w:t>
      </w:r>
    </w:p>
    <w:p w14:paraId="5C30333E" w14:textId="77777777" w:rsidR="006009F0" w:rsidRDefault="006009F0" w:rsidP="006009F0">
      <w:pPr>
        <w:pStyle w:val="Bullet1"/>
      </w:pPr>
      <w:proofErr w:type="gramStart"/>
      <w:r>
        <w:t>lack</w:t>
      </w:r>
      <w:proofErr w:type="gramEnd"/>
      <w:r>
        <w:t xml:space="preserve"> of certainty regarding renewal rights.</w:t>
      </w:r>
    </w:p>
    <w:p w14:paraId="402AB900" w14:textId="77777777" w:rsidR="006009F0" w:rsidRPr="0009097D" w:rsidRDefault="006009F0" w:rsidP="006009F0">
      <w:pPr>
        <w:pStyle w:val="Heading4"/>
        <w:rPr>
          <w:b w:val="0"/>
        </w:rPr>
      </w:pPr>
      <w:r w:rsidRPr="0009097D">
        <w:rPr>
          <w:b w:val="0"/>
        </w:rPr>
        <w:t>The Review recommended reforms that would facilitate greater market-based activity.</w:t>
      </w:r>
    </w:p>
    <w:p w14:paraId="420808EB" w14:textId="77777777" w:rsidR="005D2C6A" w:rsidRDefault="00957B9F" w:rsidP="005D2C6A">
      <w:r>
        <w:t>As an illustration of the complexity of the existing three licence categories,</w:t>
      </w:r>
      <w:r w:rsidR="005D2C6A">
        <w:t xml:space="preserve"> the Review noted that the current Act contains over 180 pages of rules relating to the three licence types. Conversion and/or reallocation from apparatus to spectrum licences involve complicated and lengthy processes which may serve as a barrier to secondary trading.</w:t>
      </w:r>
    </w:p>
    <w:p w14:paraId="494B09FE" w14:textId="77777777" w:rsidR="00642757" w:rsidRDefault="00642757" w:rsidP="00E0261A">
      <w:pPr>
        <w:pStyle w:val="Heading4"/>
      </w:pPr>
      <w:r>
        <w:t>Proposed approach:</w:t>
      </w:r>
    </w:p>
    <w:p w14:paraId="5ECB4152" w14:textId="77777777" w:rsidR="006009F0" w:rsidRPr="00206F9E" w:rsidRDefault="005D2C6A" w:rsidP="006009F0">
      <w:r>
        <w:t>The Bill</w:t>
      </w:r>
      <w:r w:rsidR="00957B9F">
        <w:t xml:space="preserve"> would </w:t>
      </w:r>
      <w:r w:rsidR="00642757">
        <w:t>establish</w:t>
      </w:r>
      <w:r w:rsidR="00957B9F">
        <w:t xml:space="preserve"> </w:t>
      </w:r>
      <w:r w:rsidR="00642757">
        <w:t xml:space="preserve">a single </w:t>
      </w:r>
      <w:r w:rsidR="00642757" w:rsidRPr="002225AD">
        <w:t>licence</w:t>
      </w:r>
      <w:r w:rsidR="00642757">
        <w:t xml:space="preserve"> category</w:t>
      </w:r>
      <w:r w:rsidR="006009F0">
        <w:t xml:space="preserve"> and will facilitate and encourage </w:t>
      </w:r>
      <w:r w:rsidR="006009F0" w:rsidRPr="00517000">
        <w:t>secondary market activities</w:t>
      </w:r>
      <w:r w:rsidR="006009F0" w:rsidRPr="00206F9E">
        <w:t xml:space="preserve">, </w:t>
      </w:r>
      <w:r w:rsidR="006009F0">
        <w:t>by allowing</w:t>
      </w:r>
      <w:r w:rsidR="008B05B5">
        <w:t xml:space="preserve"> assignment, sharing and subdivision (subject to any licence restrictions). </w:t>
      </w:r>
    </w:p>
    <w:p w14:paraId="3695BDC8" w14:textId="77777777" w:rsidR="007D0F84" w:rsidRDefault="007D0F84" w:rsidP="007D0F84">
      <w:r>
        <w:t>Replacement of spectrum and apparatus licences with a single licensing system will remove the need to designate parts of the spectrum for spectrum licensing (s 36), for conversion between the two types of licences (Part 2.2) and for reallocation processes (Part 3.6).</w:t>
      </w:r>
    </w:p>
    <w:p w14:paraId="299E7714" w14:textId="77777777" w:rsidR="007D0F84" w:rsidRDefault="007D0F84" w:rsidP="007D0F84">
      <w:r>
        <w:t>The current class licences would not be incorporated into the single licence system. The proposed arrangements for the authorisation of commons spectrum and other applications that will not require a licence are set out at section 1</w:t>
      </w:r>
      <w:r w:rsidR="00FD03ED">
        <w:t>1</w:t>
      </w:r>
      <w:r>
        <w:t xml:space="preserve"> of this paper.</w:t>
      </w:r>
    </w:p>
    <w:p w14:paraId="3F4AF070" w14:textId="77777777" w:rsidR="00642757" w:rsidRPr="002225AD" w:rsidRDefault="00642757" w:rsidP="00642757">
      <w:r w:rsidRPr="002225AD">
        <w:t>Licences will be required to specify core conditions</w:t>
      </w:r>
      <w:r w:rsidR="00DA0467">
        <w:t xml:space="preserve"> including</w:t>
      </w:r>
      <w:r w:rsidRPr="002225AD">
        <w:t>:</w:t>
      </w:r>
    </w:p>
    <w:p w14:paraId="38F6DF0A" w14:textId="77777777" w:rsidR="00642757" w:rsidRPr="002225AD" w:rsidRDefault="00642757" w:rsidP="00642757">
      <w:pPr>
        <w:pStyle w:val="Bullet1"/>
      </w:pPr>
      <w:r w:rsidRPr="002225AD">
        <w:t>parts of the spectrum</w:t>
      </w:r>
      <w:r>
        <w:t>;</w:t>
      </w:r>
    </w:p>
    <w:p w14:paraId="71D7611D" w14:textId="77777777" w:rsidR="00642757" w:rsidRPr="002225AD" w:rsidRDefault="00642757" w:rsidP="00D977A9">
      <w:pPr>
        <w:pStyle w:val="Bullet1"/>
      </w:pPr>
      <w:r w:rsidRPr="002225AD">
        <w:t>geographic information (area/site)</w:t>
      </w:r>
      <w:r>
        <w:t xml:space="preserve">; </w:t>
      </w:r>
      <w:r w:rsidR="009921DB">
        <w:t>and</w:t>
      </w:r>
    </w:p>
    <w:p w14:paraId="6EB5979C" w14:textId="77777777" w:rsidR="00642757" w:rsidRPr="002225AD" w:rsidRDefault="00642757">
      <w:pPr>
        <w:pStyle w:val="Bullet1"/>
      </w:pPr>
      <w:proofErr w:type="gramStart"/>
      <w:r w:rsidRPr="002225AD">
        <w:t>payment</w:t>
      </w:r>
      <w:proofErr w:type="gramEnd"/>
      <w:r w:rsidRPr="002225AD">
        <w:t xml:space="preserve"> of any applicable charges</w:t>
      </w:r>
      <w:r>
        <w:t xml:space="preserve"> (including taxes)</w:t>
      </w:r>
      <w:r w:rsidRPr="002225AD">
        <w:t>.</w:t>
      </w:r>
    </w:p>
    <w:p w14:paraId="47862219" w14:textId="180F1638" w:rsidR="00642757" w:rsidRPr="002225AD" w:rsidRDefault="00957B9F" w:rsidP="00642757">
      <w:r>
        <w:t xml:space="preserve">The </w:t>
      </w:r>
      <w:r w:rsidR="00D977A9">
        <w:t xml:space="preserve">Bill </w:t>
      </w:r>
      <w:r>
        <w:t>will specify that l</w:t>
      </w:r>
      <w:r w:rsidR="00642757">
        <w:t>icences may be issued for terms of up to 20 years (spectrum licences are currently limited to 15 years).</w:t>
      </w:r>
      <w:r w:rsidR="00FD03ED">
        <w:t xml:space="preserve"> </w:t>
      </w:r>
      <w:r w:rsidR="00642757" w:rsidRPr="002225AD">
        <w:t xml:space="preserve">The ACMA would retain the legislative power to set licence conditions, providing the flexibility to tailor </w:t>
      </w:r>
      <w:r w:rsidR="00642757">
        <w:t>l</w:t>
      </w:r>
      <w:r w:rsidR="00642757" w:rsidRPr="002225AD">
        <w:t>icences to suit different uses.</w:t>
      </w:r>
    </w:p>
    <w:p w14:paraId="7FD6FE9B" w14:textId="77777777" w:rsidR="007D0F84" w:rsidRDefault="00C00F1B" w:rsidP="00642757">
      <w:r>
        <w:t>To remove impediments to spectrum sharing, it is proposed to expressly authorise the ACMA to issue a licence, or make a spectrum authorisation within parts of the spectrum for which the ACMA has already issued a licence or provided an authorisation</w:t>
      </w:r>
      <w:r w:rsidRPr="00321653">
        <w:t>.</w:t>
      </w:r>
      <w:r w:rsidR="005771AD" w:rsidRPr="00321653">
        <w:t xml:space="preserve"> In practice this would only occur where arrangements are in place to manage any interference between different uses. </w:t>
      </w:r>
    </w:p>
    <w:p w14:paraId="75F2853A" w14:textId="77777777" w:rsidR="003B07DF" w:rsidRDefault="003B07DF" w:rsidP="003B07DF">
      <w:r>
        <w:t xml:space="preserve">Legislation with respect to </w:t>
      </w:r>
      <w:r w:rsidRPr="003B07DF">
        <w:t xml:space="preserve">third party authorisations </w:t>
      </w:r>
      <w:r>
        <w:t>would be simplified. Licensees will continue to be able to authorise other persons to operate devices under their licence, subject to any restrictions or limitations in the licence. Records of third party authorisations would still need to be retained by licensees but only for the duration of the authorisation.</w:t>
      </w:r>
      <w:r w:rsidRPr="006009F0">
        <w:t xml:space="preserve"> </w:t>
      </w:r>
    </w:p>
    <w:p w14:paraId="73EE0B43" w14:textId="77777777" w:rsidR="00642757" w:rsidRPr="004311BC" w:rsidRDefault="00642757" w:rsidP="00642757">
      <w:pPr>
        <w:pStyle w:val="Heading3"/>
        <w:numPr>
          <w:ilvl w:val="0"/>
          <w:numId w:val="7"/>
        </w:numPr>
        <w:spacing w:after="60"/>
      </w:pPr>
      <w:r w:rsidRPr="004311BC">
        <w:t>Licence issue</w:t>
      </w:r>
    </w:p>
    <w:p w14:paraId="0E32F9A9" w14:textId="77777777" w:rsidR="00642757" w:rsidRPr="006232E8" w:rsidRDefault="00642757" w:rsidP="00E0261A">
      <w:pPr>
        <w:pStyle w:val="Heading4"/>
      </w:pPr>
      <w:r w:rsidRPr="002A5262">
        <w:t>Current arrangements:</w:t>
      </w:r>
    </w:p>
    <w:p w14:paraId="54A086A9" w14:textId="77777777" w:rsidR="00321653" w:rsidRPr="006232E8" w:rsidRDefault="00321653" w:rsidP="00321653">
      <w:r>
        <w:t>As outlined in the Review</w:t>
      </w:r>
      <w:r w:rsidR="009467B7">
        <w:t>,</w:t>
      </w:r>
      <w:r>
        <w:t xml:space="preserve"> the Act currently details </w:t>
      </w:r>
      <w:r w:rsidR="009467B7">
        <w:t>the</w:t>
      </w:r>
      <w:r>
        <w:t xml:space="preserve"> licence application and issue processes. </w:t>
      </w:r>
      <w:r w:rsidR="0001219E">
        <w:t xml:space="preserve">For example, </w:t>
      </w:r>
      <w:r w:rsidR="00A749E6">
        <w:t>spectrum licences can only be issued</w:t>
      </w:r>
      <w:r w:rsidR="00480CC7">
        <w:t xml:space="preserve"> once the Minister designates </w:t>
      </w:r>
      <w:r w:rsidR="00095791">
        <w:t xml:space="preserve">spectrum </w:t>
      </w:r>
      <w:r w:rsidR="00A749E6">
        <w:t xml:space="preserve">bands for </w:t>
      </w:r>
      <w:r w:rsidR="00C637FF">
        <w:t>such licences</w:t>
      </w:r>
      <w:r w:rsidR="000220AD">
        <w:t xml:space="preserve"> or makes a re-allocation declaration</w:t>
      </w:r>
      <w:r w:rsidR="00A749E6">
        <w:t>.</w:t>
      </w:r>
      <w:r w:rsidR="0001219E">
        <w:t xml:space="preserve"> </w:t>
      </w:r>
      <w:r>
        <w:t>These are not able to be readily changed or adapted to new market requirements.</w:t>
      </w:r>
    </w:p>
    <w:p w14:paraId="2D5AD910" w14:textId="77777777" w:rsidR="00642757" w:rsidRDefault="00642757" w:rsidP="00642757">
      <w:r>
        <w:t>The Act</w:t>
      </w:r>
      <w:r w:rsidRPr="006232E8">
        <w:t xml:space="preserve"> </w:t>
      </w:r>
      <w:r>
        <w:t xml:space="preserve">prescribes a number of </w:t>
      </w:r>
      <w:r w:rsidRPr="006232E8">
        <w:t>processes</w:t>
      </w:r>
      <w:r>
        <w:t xml:space="preserve"> that the ACMA must undertake</w:t>
      </w:r>
      <w:r w:rsidRPr="006232E8">
        <w:t xml:space="preserve"> when issuing licences.</w:t>
      </w:r>
      <w:r>
        <w:t xml:space="preserve"> Allocation and re-allocation processes for spectrum licences are </w:t>
      </w:r>
      <w:r w:rsidRPr="006232E8">
        <w:t>comple</w:t>
      </w:r>
      <w:r>
        <w:t>x and lengthy, and require Ministerial involvement in routine processes.</w:t>
      </w:r>
    </w:p>
    <w:p w14:paraId="11460239" w14:textId="77777777" w:rsidR="00642757" w:rsidRDefault="00642757" w:rsidP="00642757">
      <w:r>
        <w:t xml:space="preserve">The </w:t>
      </w:r>
      <w:r w:rsidRPr="004964D8">
        <w:t xml:space="preserve">ACMA normally creates separate legislative instruments for each </w:t>
      </w:r>
      <w:r>
        <w:t xml:space="preserve">spectrum licence </w:t>
      </w:r>
      <w:r w:rsidRPr="004964D8">
        <w:t>allocation</w:t>
      </w:r>
      <w:r>
        <w:t>, and is also re</w:t>
      </w:r>
      <w:r w:rsidRPr="004964D8">
        <w:t xml:space="preserve">quired to prepare a marketing plan, by </w:t>
      </w:r>
      <w:r>
        <w:t>legislative</w:t>
      </w:r>
      <w:r w:rsidRPr="004964D8">
        <w:t xml:space="preserve"> instrument</w:t>
      </w:r>
      <w:r>
        <w:t>.</w:t>
      </w:r>
    </w:p>
    <w:p w14:paraId="45CFFC27" w14:textId="77777777" w:rsidR="00642757" w:rsidRDefault="00642757" w:rsidP="00642757">
      <w:r>
        <w:t>The current Act also prevents the ACMA from issuing an apparatus licence that authorises the operation of radiocommunications devices within part of the spectrum that is designated to be allocated to spectrum licences (unless special circumstances apply). The practical impact of this is that there is limited flexibility to use spectrum sharing technologies.</w:t>
      </w:r>
      <w:r w:rsidR="0001219E">
        <w:t xml:space="preserve"> </w:t>
      </w:r>
    </w:p>
    <w:p w14:paraId="57094DE4" w14:textId="77777777" w:rsidR="00642757" w:rsidRPr="006232E8" w:rsidRDefault="00642757" w:rsidP="00E0261A">
      <w:pPr>
        <w:pStyle w:val="Heading4"/>
      </w:pPr>
      <w:r>
        <w:t>Proposed approach:</w:t>
      </w:r>
    </w:p>
    <w:p w14:paraId="1AFE08FC" w14:textId="77777777" w:rsidR="00642757" w:rsidRDefault="00642757" w:rsidP="00642757">
      <w:r>
        <w:t>It is proposed that the Bill streamline and simplify arrangements for issuing licences.</w:t>
      </w:r>
    </w:p>
    <w:p w14:paraId="1EAB6744" w14:textId="77777777" w:rsidR="008F3329" w:rsidRDefault="00C00F1B" w:rsidP="00642757">
      <w:pPr>
        <w:rPr>
          <w:bCs/>
        </w:rPr>
      </w:pPr>
      <w:r>
        <w:t xml:space="preserve">Provisions in the </w:t>
      </w:r>
      <w:r w:rsidR="00095791">
        <w:t>Bill</w:t>
      </w:r>
      <w:r>
        <w:t xml:space="preserve"> would </w:t>
      </w:r>
      <w:r w:rsidR="00642757">
        <w:rPr>
          <w:bCs/>
        </w:rPr>
        <w:t>empower</w:t>
      </w:r>
      <w:r>
        <w:rPr>
          <w:bCs/>
        </w:rPr>
        <w:t xml:space="preserve"> the ACMA </w:t>
      </w:r>
      <w:r w:rsidR="00642757">
        <w:rPr>
          <w:bCs/>
        </w:rPr>
        <w:t xml:space="preserve">to issue licences on written application or in accordance with a licence issue scheme. The </w:t>
      </w:r>
      <w:r w:rsidR="00642757">
        <w:rPr>
          <w:bCs/>
          <w:i/>
        </w:rPr>
        <w:t xml:space="preserve">licence issue schemes </w:t>
      </w:r>
      <w:r w:rsidR="00642757">
        <w:rPr>
          <w:bCs/>
        </w:rPr>
        <w:t xml:space="preserve">will set out the procedures and rules for the issue of licences by various allocation mechanisms. </w:t>
      </w:r>
      <w:r>
        <w:rPr>
          <w:bCs/>
        </w:rPr>
        <w:t>Like radiofrequency plans, t</w:t>
      </w:r>
      <w:r w:rsidR="00642757">
        <w:rPr>
          <w:bCs/>
        </w:rPr>
        <w:t xml:space="preserve">hese schemes would be made as legislative instruments which would not be subject to disallowance. The ACMA would </w:t>
      </w:r>
      <w:r w:rsidR="00642757" w:rsidRPr="006F185D">
        <w:rPr>
          <w:bCs/>
        </w:rPr>
        <w:t xml:space="preserve">be required to </w:t>
      </w:r>
      <w:r w:rsidR="00642757">
        <w:rPr>
          <w:bCs/>
        </w:rPr>
        <w:t xml:space="preserve">consult with </w:t>
      </w:r>
      <w:r w:rsidR="00642757" w:rsidRPr="002A5262">
        <w:rPr>
          <w:bCs/>
        </w:rPr>
        <w:t>stakeholders</w:t>
      </w:r>
      <w:r w:rsidR="00642757">
        <w:rPr>
          <w:bCs/>
        </w:rPr>
        <w:t xml:space="preserve"> consistent with the requirements under the </w:t>
      </w:r>
      <w:r w:rsidR="00642757">
        <w:rPr>
          <w:bCs/>
          <w:i/>
        </w:rPr>
        <w:t>Legislati</w:t>
      </w:r>
      <w:r w:rsidR="00FD03ED">
        <w:rPr>
          <w:bCs/>
          <w:i/>
        </w:rPr>
        <w:t>on</w:t>
      </w:r>
      <w:r>
        <w:rPr>
          <w:bCs/>
          <w:i/>
        </w:rPr>
        <w:t xml:space="preserve"> </w:t>
      </w:r>
      <w:r w:rsidR="00642757">
        <w:rPr>
          <w:bCs/>
          <w:i/>
        </w:rPr>
        <w:t>Act 2003</w:t>
      </w:r>
      <w:r w:rsidR="00642757" w:rsidRPr="00562181">
        <w:rPr>
          <w:bCs/>
        </w:rPr>
        <w:t>.</w:t>
      </w:r>
    </w:p>
    <w:p w14:paraId="30A56CA0" w14:textId="26393B57" w:rsidR="00C00F1B" w:rsidRDefault="00C00F1B" w:rsidP="00642757">
      <w:pPr>
        <w:rPr>
          <w:bCs/>
        </w:rPr>
      </w:pPr>
      <w:r>
        <w:rPr>
          <w:bCs/>
        </w:rPr>
        <w:t>It is expected that the ACMA would develop administrative documents setting out the issue process for a relevant allocation. Details relevant to a specific allocation</w:t>
      </w:r>
      <w:r w:rsidR="006E78DB">
        <w:rPr>
          <w:bCs/>
        </w:rPr>
        <w:t xml:space="preserve"> which are currently included in marketing plans (</w:t>
      </w:r>
      <w:r>
        <w:rPr>
          <w:bCs/>
        </w:rPr>
        <w:t xml:space="preserve">such </w:t>
      </w:r>
      <w:r w:rsidRPr="00FD03ED">
        <w:rPr>
          <w:bCs/>
        </w:rPr>
        <w:t>as</w:t>
      </w:r>
      <w:r w:rsidR="00EB5224">
        <w:rPr>
          <w:bCs/>
        </w:rPr>
        <w:t xml:space="preserve"> the type of auction, arrangements for advertising of the auction</w:t>
      </w:r>
      <w:r w:rsidR="006E78DB">
        <w:rPr>
          <w:bCs/>
        </w:rPr>
        <w:t>,</w:t>
      </w:r>
      <w:r w:rsidR="00EB5224">
        <w:rPr>
          <w:bCs/>
        </w:rPr>
        <w:t xml:space="preserve"> and detail of how to participate in the auction</w:t>
      </w:r>
      <w:r w:rsidR="006E78DB">
        <w:rPr>
          <w:bCs/>
        </w:rPr>
        <w:t xml:space="preserve">) </w:t>
      </w:r>
      <w:r>
        <w:rPr>
          <w:bCs/>
        </w:rPr>
        <w:t>would be expected to be set out in the relevant administrative d</w:t>
      </w:r>
      <w:r w:rsidR="00317E4F">
        <w:rPr>
          <w:bCs/>
        </w:rPr>
        <w:t>ocument prior to an allocation.</w:t>
      </w:r>
    </w:p>
    <w:p w14:paraId="5545168F" w14:textId="77777777" w:rsidR="008F3329" w:rsidRDefault="00C00F1B" w:rsidP="00642757">
      <w:pPr>
        <w:rPr>
          <w:bCs/>
        </w:rPr>
      </w:pPr>
      <w:r>
        <w:rPr>
          <w:bCs/>
        </w:rPr>
        <w:t>Consistent with existing provisions of the Act, it</w:t>
      </w:r>
      <w:r w:rsidR="00642757">
        <w:rPr>
          <w:bCs/>
        </w:rPr>
        <w:t xml:space="preserve"> is proposed that refusal of a licence by the ACMA would be a reviewable decision – both internally and subsequently by the Administrative Appeals Tribunal (see section 1</w:t>
      </w:r>
      <w:r w:rsidR="00FD03ED">
        <w:rPr>
          <w:bCs/>
        </w:rPr>
        <w:t>8</w:t>
      </w:r>
      <w:r w:rsidR="00642757">
        <w:rPr>
          <w:bCs/>
        </w:rPr>
        <w:t xml:space="preserve"> of this paper).</w:t>
      </w:r>
    </w:p>
    <w:p w14:paraId="567F3D05" w14:textId="77777777" w:rsidR="008F3329" w:rsidRDefault="00642757" w:rsidP="00642757">
      <w:pPr>
        <w:pStyle w:val="Heading3"/>
        <w:numPr>
          <w:ilvl w:val="0"/>
          <w:numId w:val="7"/>
        </w:numPr>
        <w:spacing w:after="60"/>
      </w:pPr>
      <w:r w:rsidRPr="004311BC">
        <w:t>Licensing</w:t>
      </w:r>
      <w:r>
        <w:t>—limits</w:t>
      </w:r>
    </w:p>
    <w:p w14:paraId="6A54D72F" w14:textId="77777777" w:rsidR="00642757" w:rsidRDefault="00642757" w:rsidP="00E0261A">
      <w:pPr>
        <w:pStyle w:val="Heading4"/>
      </w:pPr>
      <w:r w:rsidRPr="008F7695">
        <w:t>Current arrangements:</w:t>
      </w:r>
    </w:p>
    <w:p w14:paraId="53D01544" w14:textId="77777777" w:rsidR="008F3329" w:rsidRDefault="00642757" w:rsidP="00642757">
      <w:r w:rsidRPr="009448E5">
        <w:t xml:space="preserve">The </w:t>
      </w:r>
      <w:r>
        <w:t xml:space="preserve">current </w:t>
      </w:r>
      <w:r w:rsidRPr="009448E5">
        <w:t>Act includes p</w:t>
      </w:r>
      <w:r>
        <w:t>rovisions which enable limits (commonly referred to as competition limits) to be imposed at the time a spectrum or apparatus licence is issued. These limits may restrict use by any single person, a specified person or a specified group of persons of a specified part of the spectrum, a specified area or a specified population reach.</w:t>
      </w:r>
    </w:p>
    <w:p w14:paraId="70CCC0D2" w14:textId="77777777" w:rsidR="00642757" w:rsidRDefault="00642757" w:rsidP="00642757">
      <w:r>
        <w:t>The ACMA can, however, only implement these limits on a direction from the Minister. Before determining allocation procedures the ACMA must consult the Australian Competition and Consumer Commission (ACCC) whether the procedures should include a requirement for the ACMA to provide specified information to the ACCC. Consultation with the ACCC on the actual limits is not mandatory but it is the usual practice.</w:t>
      </w:r>
    </w:p>
    <w:p w14:paraId="7A0E2070" w14:textId="77777777" w:rsidR="00642757" w:rsidRDefault="00642757" w:rsidP="00642757">
      <w:r>
        <w:t xml:space="preserve">Under the current law, when a competition limit is imposed, s 50 of the </w:t>
      </w:r>
      <w:r w:rsidRPr="001D4C35">
        <w:rPr>
          <w:i/>
        </w:rPr>
        <w:t>Competition and Consumer Act 2010</w:t>
      </w:r>
      <w:r>
        <w:t xml:space="preserve"> (CCA) continues to apply to the relevant spectrum acquisition. Section 50 prohibits the acquisition of shares or assets where this would have, or be likely to have, the effect of substantially lessening competition in a market. Therefore, under the current law, there are effectively two competition regimes imposed. While it has not created practical difficulties to date, this arrangement has the potential to be duplicative and add uncertainty and delay to an allocation process.</w:t>
      </w:r>
    </w:p>
    <w:p w14:paraId="0AFF551D" w14:textId="77777777" w:rsidR="00642757" w:rsidRDefault="00642757" w:rsidP="00E0261A">
      <w:pPr>
        <w:pStyle w:val="Heading4"/>
      </w:pPr>
      <w:r>
        <w:t>Proposed approach:</w:t>
      </w:r>
    </w:p>
    <w:p w14:paraId="0070E6B9" w14:textId="77777777" w:rsidR="00642757" w:rsidRPr="00EB7581" w:rsidRDefault="00642757" w:rsidP="00642757">
      <w:r w:rsidRPr="00EB7581">
        <w:t xml:space="preserve">It is proposed that the legislation </w:t>
      </w:r>
      <w:r>
        <w:t>enable the ACMA to determine, in writing,</w:t>
      </w:r>
      <w:r w:rsidRPr="00EB7581">
        <w:t xml:space="preserve"> limits</w:t>
      </w:r>
      <w:r>
        <w:t xml:space="preserve"> </w:t>
      </w:r>
      <w:r w:rsidRPr="00EB7581">
        <w:t>for licence issue</w:t>
      </w:r>
      <w:r>
        <w:t xml:space="preserve"> without first having to be directed by the Minister</w:t>
      </w:r>
      <w:r w:rsidRPr="00EB7581">
        <w:t>. The Minister may, however, through s</w:t>
      </w:r>
      <w:r>
        <w:t xml:space="preserve"> </w:t>
      </w:r>
      <w:r w:rsidRPr="00EB7581">
        <w:t xml:space="preserve">14 of the ACMA Act, direct the ACMA on </w:t>
      </w:r>
      <w:r>
        <w:t>the</w:t>
      </w:r>
      <w:r w:rsidRPr="00EB7581">
        <w:t xml:space="preserve"> limits. </w:t>
      </w:r>
      <w:r>
        <w:t>A determination by the ACMA on limits would not be a legislative instrument.</w:t>
      </w:r>
    </w:p>
    <w:p w14:paraId="064FE8A1" w14:textId="3823AA17" w:rsidR="00642757" w:rsidRDefault="00642757" w:rsidP="00642757">
      <w:r w:rsidRPr="00EB7581">
        <w:t>The proposed legislation w</w:t>
      </w:r>
      <w:r>
        <w:t xml:space="preserve">ill </w:t>
      </w:r>
      <w:r w:rsidRPr="00EB7581">
        <w:t>provide that s</w:t>
      </w:r>
      <w:r>
        <w:t xml:space="preserve"> </w:t>
      </w:r>
      <w:r w:rsidRPr="00EB7581">
        <w:t>50 of the CCA</w:t>
      </w:r>
      <w:r>
        <w:t xml:space="preserve"> </w:t>
      </w:r>
      <w:r w:rsidRPr="00EB7581">
        <w:t>w</w:t>
      </w:r>
      <w:r>
        <w:t xml:space="preserve">ill </w:t>
      </w:r>
      <w:r w:rsidRPr="00EB7581">
        <w:t xml:space="preserve">not apply to a </w:t>
      </w:r>
      <w:r>
        <w:t xml:space="preserve">particular </w:t>
      </w:r>
      <w:r w:rsidRPr="00EB7581">
        <w:t>licence issue if</w:t>
      </w:r>
      <w:r>
        <w:t xml:space="preserve"> </w:t>
      </w:r>
      <w:r w:rsidRPr="00EB7581">
        <w:t xml:space="preserve">limits have been set. </w:t>
      </w:r>
      <w:r>
        <w:t xml:space="preserve">This approach is intended to improve certainty surrounding an allocation process whilst still ensuring that competition issues are addressed. However, s </w:t>
      </w:r>
      <w:r w:rsidRPr="00EB7581">
        <w:t>50 w</w:t>
      </w:r>
      <w:r>
        <w:t xml:space="preserve">ill </w:t>
      </w:r>
      <w:r w:rsidRPr="00EB7581">
        <w:t>continue to apply to licence issues</w:t>
      </w:r>
      <w:r w:rsidR="00DA0467">
        <w:t xml:space="preserve"> where</w:t>
      </w:r>
      <w:r w:rsidRPr="00EB7581">
        <w:t xml:space="preserve"> competition limits</w:t>
      </w:r>
      <w:r w:rsidR="00DA0467">
        <w:t xml:space="preserve"> </w:t>
      </w:r>
      <w:r w:rsidR="00D27714">
        <w:t>are</w:t>
      </w:r>
      <w:r w:rsidR="00DA0467">
        <w:t xml:space="preserve"> not determined</w:t>
      </w:r>
      <w:r w:rsidRPr="00EB7581">
        <w:t>, secondary trading and third party authorisations. It is pr</w:t>
      </w:r>
      <w:r>
        <w:t xml:space="preserve">oposed that the legislation will </w:t>
      </w:r>
      <w:r w:rsidRPr="00EB7581">
        <w:t>also provide for s</w:t>
      </w:r>
      <w:r>
        <w:t xml:space="preserve"> </w:t>
      </w:r>
      <w:r w:rsidRPr="00EB7581">
        <w:t>50 of the CCA to apply to renewal of a licence.</w:t>
      </w:r>
    </w:p>
    <w:p w14:paraId="429C1C6A" w14:textId="77777777" w:rsidR="00642757" w:rsidRDefault="00642757" w:rsidP="00642757">
      <w:pPr>
        <w:rPr>
          <w:b/>
        </w:rPr>
      </w:pPr>
      <w:r>
        <w:t>It is proposed that the legislation will require the ACMA to consult with the ACCC on licence issue limits where appropriate and reasonably practicable. This will reflect the current practice of consulting with the ACCC on such matters but give the ACMA the flexibility not to do so in instances where it is not appropriate or reasonably practicable.</w:t>
      </w:r>
    </w:p>
    <w:p w14:paraId="79FAEF1F" w14:textId="77777777" w:rsidR="00642757" w:rsidRPr="004311BC" w:rsidRDefault="004C40B3" w:rsidP="00317E4F">
      <w:pPr>
        <w:pStyle w:val="Heading3"/>
      </w:pPr>
      <w:r>
        <w:t>9</w:t>
      </w:r>
      <w:r w:rsidR="00642757">
        <w:t xml:space="preserve">. </w:t>
      </w:r>
      <w:r w:rsidR="00642757" w:rsidRPr="004311BC">
        <w:t>Licensing</w:t>
      </w:r>
      <w:r w:rsidR="00642757">
        <w:t>—</w:t>
      </w:r>
      <w:r w:rsidR="00642757" w:rsidRPr="004311BC">
        <w:t>renewal rights</w:t>
      </w:r>
    </w:p>
    <w:p w14:paraId="2AB46655" w14:textId="77777777" w:rsidR="00642757" w:rsidRDefault="00642757" w:rsidP="00317E4F">
      <w:pPr>
        <w:pStyle w:val="Heading4"/>
      </w:pPr>
      <w:r w:rsidRPr="008F7695">
        <w:t>Current arrangements:</w:t>
      </w:r>
    </w:p>
    <w:p w14:paraId="65C69E46" w14:textId="77777777" w:rsidR="008F3329" w:rsidRDefault="00642757" w:rsidP="00317E4F">
      <w:pPr>
        <w:keepNext/>
      </w:pPr>
      <w:r>
        <w:t>Under the current regulatory arrangements, licensees do not have automatic renewal rights.</w:t>
      </w:r>
    </w:p>
    <w:p w14:paraId="0FB2C3A4" w14:textId="77777777" w:rsidR="008F3329" w:rsidRDefault="00642757" w:rsidP="00642757">
      <w:r>
        <w:t xml:space="preserve">With apparatus licences, the Act enables the licensee to apply for licence renewal and refusal by the ACMA to renew the licence is a reviewable decision. As </w:t>
      </w:r>
      <w:r w:rsidRPr="00460103">
        <w:t>a ma</w:t>
      </w:r>
      <w:r>
        <w:t>tter of administrative practice, the ACMA generally renews apparatus licences.</w:t>
      </w:r>
    </w:p>
    <w:p w14:paraId="580826BF" w14:textId="77777777" w:rsidR="00642757" w:rsidRDefault="00642757" w:rsidP="00642757">
      <w:r>
        <w:t>In regard to spectrum licences, the c</w:t>
      </w:r>
      <w:r w:rsidRPr="00460103">
        <w:t>urrent re</w:t>
      </w:r>
      <w:r>
        <w:t>issue</w:t>
      </w:r>
      <w:r w:rsidRPr="00460103">
        <w:t xml:space="preserve"> process is uncertain</w:t>
      </w:r>
      <w:r w:rsidR="00FD03ED">
        <w:t xml:space="preserve"> and</w:t>
      </w:r>
      <w:r w:rsidRPr="00460103">
        <w:t xml:space="preserve"> </w:t>
      </w:r>
      <w:r w:rsidR="006E78DB">
        <w:t xml:space="preserve">has </w:t>
      </w:r>
      <w:r>
        <w:t>proven to have been</w:t>
      </w:r>
      <w:r w:rsidR="006E78DB">
        <w:t xml:space="preserve"> very time consuming.</w:t>
      </w:r>
      <w:r w:rsidRPr="00460103">
        <w:t xml:space="preserve">  </w:t>
      </w:r>
      <w:r>
        <w:t>The Act assumes that all spectrum licences will be returned to the market on expiry. The Minister can determine by legislative instrument a class of services where re-issue to the same licensees would be in the public interest. This enables the ACMA to then re-issue the licence if it is satisfied the licence has been used in the provision of a service included in the class of services. Alternatively, the ACMA may re-issue if it is satisfied special circumstances exist such that it would be in the public interest for the same person to hold the licence. What constitutes ‘use’ in the provision of a service or ‘special circumstances’ is not defined in the Act and is at the discretion of the ACMA. To date the ACMA has relied on the ‘use’ test instead of considering re-issue based on special circumstances.</w:t>
      </w:r>
    </w:p>
    <w:p w14:paraId="4BC341C1" w14:textId="77777777" w:rsidR="008F3329" w:rsidRDefault="00642757" w:rsidP="00642757">
      <w:r w:rsidRPr="006D766D">
        <w:t>Indicative of the delays created by these provisions, it took nearly 2 years to assess that reissuing the 15</w:t>
      </w:r>
      <w:r>
        <w:t> </w:t>
      </w:r>
      <w:r w:rsidRPr="006D766D">
        <w:t>year spectrum licences would be in the public interest, which culminated in 2012 with the Minister making a determination and pricing direction. Following the making of these instruments,</w:t>
      </w:r>
      <w:r>
        <w:t xml:space="preserve"> </w:t>
      </w:r>
      <w:r w:rsidRPr="006D766D">
        <w:t>the ACMA then had to assess whether the relevant licences had been ‘used’ in provision of a service specified in the determination.</w:t>
      </w:r>
    </w:p>
    <w:p w14:paraId="1CBE772F" w14:textId="77777777" w:rsidR="000E20A3" w:rsidRPr="009E25E3" w:rsidRDefault="000E20A3" w:rsidP="000E20A3">
      <w:r w:rsidRPr="009E25E3">
        <w:t xml:space="preserve">The Review noted that </w:t>
      </w:r>
      <w:r>
        <w:t>while stakeholders want a more flexible licensing system, they also seek certainty particularly in regard to renewal rights.</w:t>
      </w:r>
    </w:p>
    <w:p w14:paraId="51EF1965" w14:textId="77777777" w:rsidR="00642757" w:rsidRDefault="00642757" w:rsidP="00E0261A">
      <w:pPr>
        <w:pStyle w:val="Heading4"/>
      </w:pPr>
      <w:r>
        <w:t>Proposed approach:</w:t>
      </w:r>
    </w:p>
    <w:p w14:paraId="5CAE10EE" w14:textId="77777777" w:rsidR="00642757" w:rsidRDefault="00642757" w:rsidP="00642757">
      <w:r>
        <w:t>To balance the needs</w:t>
      </w:r>
      <w:r w:rsidR="000E20A3">
        <w:t xml:space="preserve"> of flexibility in respect to planning and certainty of licensee’s rights</w:t>
      </w:r>
      <w:r>
        <w:t xml:space="preserve">, and having regard to the move to single licensing, it is proposed the Bill </w:t>
      </w:r>
      <w:r w:rsidRPr="00460103">
        <w:t xml:space="preserve">will not specify renewal rights </w:t>
      </w:r>
      <w:r>
        <w:t>but instead</w:t>
      </w:r>
      <w:r w:rsidRPr="00460103">
        <w:t xml:space="preserve"> will mandate that a licence must include a statement outlining the licensee’s right to licence renewal</w:t>
      </w:r>
      <w:r>
        <w:t xml:space="preserve"> and the circumstances when that will apply</w:t>
      </w:r>
      <w:r w:rsidRPr="00460103">
        <w:t>.</w:t>
      </w:r>
    </w:p>
    <w:p w14:paraId="1CCC611D" w14:textId="77777777" w:rsidR="00642757" w:rsidRPr="00460103" w:rsidRDefault="00642757" w:rsidP="00642757">
      <w:pPr>
        <w:keepNext/>
        <w:keepLines/>
      </w:pPr>
      <w:r>
        <w:t>The Bill</w:t>
      </w:r>
      <w:r w:rsidR="00DC4384">
        <w:t xml:space="preserve"> will also contain</w:t>
      </w:r>
      <w:r w:rsidRPr="00460103">
        <w:t xml:space="preserve"> a reserve power for the ACMA to refuse renewal, despite the</w:t>
      </w:r>
      <w:r w:rsidR="0095618B">
        <w:t xml:space="preserve"> specifications of a</w:t>
      </w:r>
      <w:r w:rsidR="00A33990">
        <w:t xml:space="preserve"> licence statement</w:t>
      </w:r>
      <w:r w:rsidRPr="00460103">
        <w:t>, if:</w:t>
      </w:r>
    </w:p>
    <w:p w14:paraId="67B66987" w14:textId="77777777" w:rsidR="00642757" w:rsidRPr="00460103" w:rsidRDefault="00642757" w:rsidP="00642757">
      <w:pPr>
        <w:pStyle w:val="Bullet1"/>
      </w:pPr>
      <w:r>
        <w:t>t</w:t>
      </w:r>
      <w:r w:rsidRPr="00460103">
        <w:t>he licence to be renewed is inconsistent with the current radiofrequency plans;</w:t>
      </w:r>
    </w:p>
    <w:p w14:paraId="5BFB51A2" w14:textId="77777777" w:rsidR="00642757" w:rsidRPr="00460103" w:rsidRDefault="00642757" w:rsidP="00642757">
      <w:pPr>
        <w:pStyle w:val="Bullet1"/>
      </w:pPr>
      <w:r w:rsidRPr="00460103">
        <w:t>the licensee is in bre</w:t>
      </w:r>
      <w:r>
        <w:t>ach of the existing licence; or</w:t>
      </w:r>
    </w:p>
    <w:p w14:paraId="53779BC7" w14:textId="77777777" w:rsidR="00642757" w:rsidRPr="00460103" w:rsidRDefault="00642757" w:rsidP="00642757">
      <w:pPr>
        <w:pStyle w:val="Bullet1"/>
      </w:pPr>
      <w:proofErr w:type="gramStart"/>
      <w:r w:rsidRPr="00460103">
        <w:t>the</w:t>
      </w:r>
      <w:proofErr w:type="gramEnd"/>
      <w:r w:rsidRPr="00460103">
        <w:t xml:space="preserve"> renewal would breach another law of the Commonwealth.</w:t>
      </w:r>
    </w:p>
    <w:p w14:paraId="2E9FF8A9" w14:textId="77777777" w:rsidR="00B4615E" w:rsidRDefault="004C40B3" w:rsidP="00642757">
      <w:pPr>
        <w:pStyle w:val="Heading3"/>
      </w:pPr>
      <w:r>
        <w:t>10</w:t>
      </w:r>
      <w:r w:rsidR="00B4615E">
        <w:t>. Licensing – resumption</w:t>
      </w:r>
    </w:p>
    <w:p w14:paraId="4A133D4A" w14:textId="77777777" w:rsidR="00B4615E" w:rsidRDefault="00B4615E" w:rsidP="00B4615E">
      <w:pPr>
        <w:pStyle w:val="Heading4"/>
      </w:pPr>
      <w:r>
        <w:t>Current arrangements:</w:t>
      </w:r>
    </w:p>
    <w:p w14:paraId="5F232E2D" w14:textId="77777777" w:rsidR="005C6CEF" w:rsidRDefault="00B4615E" w:rsidP="0009097D">
      <w:r>
        <w:t>The current Act enables the ACMA to resume spectrum licences by agreement or by compulsory process but only with the Minister’s approval. Two schedules to the Act set out the detailed process to apply for compulsory resumption as well as the mechanism for determining any compensation payable.</w:t>
      </w:r>
      <w:r w:rsidR="005C6CEF">
        <w:t xml:space="preserve">  </w:t>
      </w:r>
    </w:p>
    <w:p w14:paraId="63AF5C92" w14:textId="77777777" w:rsidR="005C6CEF" w:rsidRDefault="005C6CEF">
      <w:r>
        <w:t xml:space="preserve">The Review recommended </w:t>
      </w:r>
      <w:r w:rsidR="00074CAF">
        <w:t>the</w:t>
      </w:r>
      <w:r w:rsidR="008B05B5">
        <w:t xml:space="preserve"> new Act</w:t>
      </w:r>
      <w:r>
        <w:t xml:space="preserve"> retain the right to compensation for resumption but noted that it would continue to be a last resort in limited circumstances.</w:t>
      </w:r>
    </w:p>
    <w:p w14:paraId="597F4047" w14:textId="77777777" w:rsidR="005C6CEF" w:rsidRDefault="005C6CEF" w:rsidP="005C6CEF">
      <w:pPr>
        <w:pStyle w:val="Heading4"/>
      </w:pPr>
      <w:r>
        <w:t>Proposed approach:</w:t>
      </w:r>
    </w:p>
    <w:p w14:paraId="01D1CB93" w14:textId="77777777" w:rsidR="005C6CEF" w:rsidRDefault="005C6CEF" w:rsidP="0009097D">
      <w:r>
        <w:t xml:space="preserve">It is proposed </w:t>
      </w:r>
      <w:r w:rsidR="008B05B5">
        <w:t xml:space="preserve">that the </w:t>
      </w:r>
      <w:r w:rsidR="00AF32E7">
        <w:t>Bill</w:t>
      </w:r>
      <w:r w:rsidR="008B05B5">
        <w:t xml:space="preserve"> will provide for </w:t>
      </w:r>
      <w:r>
        <w:t xml:space="preserve">the ACMA </w:t>
      </w:r>
      <w:r w:rsidR="008B05B5">
        <w:t>to</w:t>
      </w:r>
      <w:r>
        <w:t xml:space="preserve"> continue to have the power to compulsorily resume licences subject to the Minister’s approval. The resumption provisions will, however, be simplified and rather than incorporate detailed processes and compensation formulas into schedules to the Bill, the ACMA will be empowered to provide for such matters in legislative instruments. Consistent with the move to </w:t>
      </w:r>
      <w:r w:rsidR="00104EEC">
        <w:t xml:space="preserve">a </w:t>
      </w:r>
      <w:r>
        <w:t>single licence category, compulsory resumption will be a tool available in respect to any licence.</w:t>
      </w:r>
    </w:p>
    <w:p w14:paraId="687B6977" w14:textId="77777777" w:rsidR="00104EEC" w:rsidRDefault="005C6CEF">
      <w:r>
        <w:t xml:space="preserve">The </w:t>
      </w:r>
      <w:r w:rsidR="00AF32E7">
        <w:t>Bill</w:t>
      </w:r>
      <w:r>
        <w:t xml:space="preserve"> will also enable the ACMA to enter into agreements with licensees for the making of a payment as an incentive to surrender a licence.  </w:t>
      </w:r>
    </w:p>
    <w:p w14:paraId="6189FABC" w14:textId="77777777" w:rsidR="00642757" w:rsidRPr="004311BC" w:rsidRDefault="00642757" w:rsidP="00642757">
      <w:pPr>
        <w:pStyle w:val="Heading3"/>
      </w:pPr>
      <w:r>
        <w:t>1</w:t>
      </w:r>
      <w:r w:rsidR="004C40B3">
        <w:t>1</w:t>
      </w:r>
      <w:r>
        <w:t xml:space="preserve">. </w:t>
      </w:r>
      <w:r w:rsidRPr="004311BC">
        <w:t>Spectrum authorisations (class licences)</w:t>
      </w:r>
    </w:p>
    <w:p w14:paraId="0564DC7C" w14:textId="77777777" w:rsidR="00642757" w:rsidRDefault="001F4DFF" w:rsidP="00E0261A">
      <w:pPr>
        <w:pStyle w:val="Heading4"/>
      </w:pPr>
      <w:r>
        <w:t>Current arrangements:</w:t>
      </w:r>
    </w:p>
    <w:p w14:paraId="096B40E4" w14:textId="77777777" w:rsidR="00642757" w:rsidRDefault="00642757" w:rsidP="00642757">
      <w:r w:rsidRPr="00311B1E">
        <w:t>Class licences are one of the three licence types</w:t>
      </w:r>
      <w:r>
        <w:t xml:space="preserve"> that are provided for under the current Act. Class licences regulate the ‘commons’ use of spectrum such as low interference devices (e.g. Wi-Fi, cordless phones, garage door openers etc.). In addition, many consumer devices whose operation is ancillary to licensed uses of spectrum (for example, mobile telephones and satellite receivers) are authorised under class licences. Class licences are also used where it is appropriate to authorise a class of persons to operate devices for a particular purpose (e.g. public safety use).</w:t>
      </w:r>
    </w:p>
    <w:p w14:paraId="72A51503" w14:textId="77777777" w:rsidR="00642757" w:rsidRDefault="00642757" w:rsidP="00642757">
      <w:r>
        <w:t>A class licence is a limited type of licence, as many of the standard licence terms are not applicable. Further, users under class licences are afforded more limited rights in contrast to those provided to holders of other licences, such as certainty of tenure or greater levels of interference protection (undisturbed use). No fee is payable by class licensed users.</w:t>
      </w:r>
    </w:p>
    <w:p w14:paraId="4223F80B" w14:textId="77777777" w:rsidR="00642757" w:rsidRDefault="00642757" w:rsidP="00642757">
      <w:r w:rsidRPr="00A20B06">
        <w:t xml:space="preserve">The Review considered how best to accommodate class licences within the single licensing scheme. </w:t>
      </w:r>
      <w:r>
        <w:t>Options considered included:</w:t>
      </w:r>
    </w:p>
    <w:p w14:paraId="78EFA3D2" w14:textId="77777777" w:rsidR="00642757" w:rsidRDefault="00642757" w:rsidP="00642757">
      <w:pPr>
        <w:pStyle w:val="Bullet1"/>
      </w:pPr>
      <w:r>
        <w:t>merging apparatus and spectrum licences, but retaining class licences as a separate category;</w:t>
      </w:r>
    </w:p>
    <w:p w14:paraId="1C6CA9B9" w14:textId="77777777" w:rsidR="00642757" w:rsidRDefault="00642757" w:rsidP="00642757">
      <w:pPr>
        <w:pStyle w:val="Bullet1"/>
      </w:pPr>
      <w:r>
        <w:t>excluding class licences from the single licensing system but providing for unlicensed spectrum use (a spectrum authorisation);</w:t>
      </w:r>
    </w:p>
    <w:p w14:paraId="0FB7F08E" w14:textId="77777777" w:rsidR="008F3329" w:rsidRDefault="00642757" w:rsidP="00642757">
      <w:pPr>
        <w:pStyle w:val="Bullet1"/>
      </w:pPr>
      <w:proofErr w:type="gramStart"/>
      <w:r>
        <w:t>incorporating</w:t>
      </w:r>
      <w:proofErr w:type="gramEnd"/>
      <w:r>
        <w:t xml:space="preserve"> class licences fully into the single licensing system.</w:t>
      </w:r>
    </w:p>
    <w:p w14:paraId="1E9442F7" w14:textId="77777777" w:rsidR="00642757" w:rsidRPr="00A20B06" w:rsidRDefault="00642757" w:rsidP="00642757">
      <w:r w:rsidRPr="00A20B06">
        <w:t xml:space="preserve">A </w:t>
      </w:r>
      <w:r>
        <w:t>‘</w:t>
      </w:r>
      <w:r w:rsidRPr="00A20B06">
        <w:t>commons</w:t>
      </w:r>
      <w:r>
        <w:t>’</w:t>
      </w:r>
      <w:r w:rsidRPr="00A20B06">
        <w:t xml:space="preserve"> form of regulated use of spectrum exists in most international spectrum management frameworks. This allows operation of certain services and devices using common frequencies on a shared basis with </w:t>
      </w:r>
      <w:r>
        <w:t>limited</w:t>
      </w:r>
      <w:r w:rsidRPr="00A20B06">
        <w:t xml:space="preserve"> right to interference protection</w:t>
      </w:r>
      <w:r>
        <w:t>. The risk of interference and health related concerns in class licensed spectrum is also managed through requirements to comply with technical conditions and equipment standards.</w:t>
      </w:r>
    </w:p>
    <w:p w14:paraId="38D9CD3B" w14:textId="77777777" w:rsidR="00642757" w:rsidRDefault="00642757" w:rsidP="00E0261A">
      <w:pPr>
        <w:pStyle w:val="Heading4"/>
      </w:pPr>
      <w:r>
        <w:t>Proposed approach:</w:t>
      </w:r>
    </w:p>
    <w:p w14:paraId="16A31F90" w14:textId="77777777" w:rsidR="008F3329" w:rsidRDefault="00642757" w:rsidP="00642757">
      <w:r>
        <w:t>It is proposed that class licences will be replaced by ‘spectrum authorisations’, rather than regulated through the single licensing system. This reflects the limited nature of class licensees’ rights and obligations, in contrast to those currently applying to holders of spectrum and apparatus licences.</w:t>
      </w:r>
    </w:p>
    <w:p w14:paraId="0AFE8399" w14:textId="77777777" w:rsidR="008F3329" w:rsidRDefault="00642757" w:rsidP="00642757">
      <w:r>
        <w:t xml:space="preserve">The Bill will enable the ACMA to authorise (by legislative instrument) the use of devices outside of the licensing framework under a </w:t>
      </w:r>
      <w:r w:rsidRPr="00E35A6E">
        <w:rPr>
          <w:i/>
        </w:rPr>
        <w:t>spectrum authorisation</w:t>
      </w:r>
      <w:r>
        <w:t xml:space="preserve">. The legislation will not specify which types of devices should be authorised outside the licensing system. This will provide the ACMA with the flexibility to apply a spectrum authorisation and/or licensing approach as appropriate. The Bill will indicate that spectrum authorisations may include conditions such as technical requirements, frequencies, purpose, area and periods of operation. </w:t>
      </w:r>
      <w:r w:rsidR="00A66AC4">
        <w:t xml:space="preserve">In addition, the </w:t>
      </w:r>
      <w:r w:rsidR="006877E9">
        <w:t xml:space="preserve">Bill </w:t>
      </w:r>
      <w:r w:rsidR="00A66AC4">
        <w:t>will enable the ACMA to continue to regulate e</w:t>
      </w:r>
      <w:r>
        <w:t>quipment (and ancillary requirements such as labelling and record-keeping) where appropriate.</w:t>
      </w:r>
    </w:p>
    <w:p w14:paraId="610B4578" w14:textId="77777777" w:rsidR="00642757" w:rsidRPr="004311BC" w:rsidRDefault="00642757" w:rsidP="00642757">
      <w:pPr>
        <w:pStyle w:val="Heading3"/>
      </w:pPr>
      <w:r>
        <w:t>1</w:t>
      </w:r>
      <w:r w:rsidR="004C40B3">
        <w:t>2</w:t>
      </w:r>
      <w:r>
        <w:t xml:space="preserve">. </w:t>
      </w:r>
      <w:r w:rsidRPr="004311BC">
        <w:t>Interference management</w:t>
      </w:r>
    </w:p>
    <w:p w14:paraId="0874F1FA" w14:textId="77777777" w:rsidR="00642757" w:rsidRDefault="00642757" w:rsidP="00E0261A">
      <w:pPr>
        <w:pStyle w:val="Heading4"/>
      </w:pPr>
      <w:r>
        <w:t>Current arrangements:</w:t>
      </w:r>
    </w:p>
    <w:p w14:paraId="0973AE15" w14:textId="77777777" w:rsidR="00353A68" w:rsidRDefault="00642757" w:rsidP="00642757">
      <w:r>
        <w:t xml:space="preserve">Currently the ACMA uses a substantial amount of resources to monitor and resolve technical issues and disputes. To a large extent, the cost of these resources flows through to industry and therefore consumers. Stakeholders have expressed concern regarding the difficulty in resolving disputes. </w:t>
      </w:r>
      <w:r w:rsidRPr="00D20735">
        <w:t>The conciliation procedures provided for in the</w:t>
      </w:r>
      <w:r>
        <w:t xml:space="preserve"> current </w:t>
      </w:r>
      <w:r w:rsidRPr="00D20735">
        <w:t>Act are detailed and have rarely been used.</w:t>
      </w:r>
      <w:r w:rsidR="00353A68">
        <w:t xml:space="preserve"> </w:t>
      </w:r>
      <w:r w:rsidR="000E20A3">
        <w:t>Also, the ability to take civil action in relation to interference is currently limited to spectrum licensees.</w:t>
      </w:r>
    </w:p>
    <w:p w14:paraId="35EA2030" w14:textId="77777777" w:rsidR="00642757" w:rsidRDefault="00642757" w:rsidP="00E0261A">
      <w:pPr>
        <w:pStyle w:val="Heading4"/>
      </w:pPr>
      <w:r>
        <w:t>Proposed approach:</w:t>
      </w:r>
    </w:p>
    <w:p w14:paraId="71E1B2FE" w14:textId="77777777" w:rsidR="00172A1A" w:rsidRDefault="00642757" w:rsidP="00642757">
      <w:r>
        <w:t>In order to simplify the legislative regime, it is proposed that the conciliation process will</w:t>
      </w:r>
      <w:r w:rsidR="00172A1A">
        <w:t xml:space="preserve"> not</w:t>
      </w:r>
      <w:r>
        <w:t xml:space="preserve"> be </w:t>
      </w:r>
      <w:r w:rsidR="00172A1A">
        <w:t xml:space="preserve">included in </w:t>
      </w:r>
      <w:r w:rsidR="00AF32E7">
        <w:t>the Bill</w:t>
      </w:r>
      <w:r w:rsidR="00172A1A">
        <w:t xml:space="preserve"> however the </w:t>
      </w:r>
      <w:r w:rsidR="00AF32E7">
        <w:t>Bill</w:t>
      </w:r>
      <w:r w:rsidR="00172A1A">
        <w:t xml:space="preserve"> would </w:t>
      </w:r>
      <w:r>
        <w:t xml:space="preserve">provide enhanced scope for licensees to resolve interference and disputes, without recourse to the ACMA in the first instance. </w:t>
      </w:r>
    </w:p>
    <w:p w14:paraId="7A9CA724" w14:textId="77777777" w:rsidR="008F3329" w:rsidRDefault="00642757" w:rsidP="00642757">
      <w:r>
        <w:t>It is proposed:</w:t>
      </w:r>
    </w:p>
    <w:p w14:paraId="66C50D6E" w14:textId="77777777" w:rsidR="00642757" w:rsidRDefault="00642757" w:rsidP="00642757">
      <w:pPr>
        <w:pStyle w:val="Bullet1"/>
      </w:pPr>
      <w:r>
        <w:t xml:space="preserve">to extend eligibility to take civil action in relation to interference to all impacted licensees </w:t>
      </w:r>
    </w:p>
    <w:p w14:paraId="30A130D2" w14:textId="77777777" w:rsidR="00642757" w:rsidRDefault="00642757" w:rsidP="00642757">
      <w:pPr>
        <w:pStyle w:val="Bullet1"/>
      </w:pPr>
      <w:proofErr w:type="gramStart"/>
      <w:r>
        <w:t>the</w:t>
      </w:r>
      <w:proofErr w:type="gramEnd"/>
      <w:r>
        <w:t xml:space="preserve"> ACMA may develop </w:t>
      </w:r>
      <w:r w:rsidR="00AF32E7">
        <w:t xml:space="preserve">non-legislative </w:t>
      </w:r>
      <w:r>
        <w:t>interference management guidelines to assist stakeholders in their resolution of interference disputes. The guidelines would encourage stakeholders to directly implement dispute resolution options without involving the regulator; and, if suitable, the ACMA may provide alternative dispute resolution services to assist in resolving interference disputes; and</w:t>
      </w:r>
    </w:p>
    <w:p w14:paraId="32DAA56F" w14:textId="1DDD2AEB" w:rsidR="00642757" w:rsidRDefault="00642757" w:rsidP="00642757">
      <w:pPr>
        <w:pStyle w:val="Bullet1"/>
      </w:pPr>
      <w:proofErr w:type="gramStart"/>
      <w:r>
        <w:t>the</w:t>
      </w:r>
      <w:proofErr w:type="gramEnd"/>
      <w:r>
        <w:t xml:space="preserve"> </w:t>
      </w:r>
      <w:r w:rsidR="00D27714">
        <w:t>Bill</w:t>
      </w:r>
      <w:r w:rsidR="00172A1A">
        <w:t xml:space="preserve"> will continue to provide the </w:t>
      </w:r>
      <w:r>
        <w:t xml:space="preserve">ACMA </w:t>
      </w:r>
      <w:r w:rsidR="00172A1A">
        <w:t>with</w:t>
      </w:r>
      <w:r>
        <w:t xml:space="preserve"> the discretion and power to investigate and take action against interference, particularly where the interference is most serious (e.g. it relates to safety of life).</w:t>
      </w:r>
    </w:p>
    <w:p w14:paraId="09094F32" w14:textId="77777777" w:rsidR="00642757" w:rsidRPr="004311BC" w:rsidRDefault="00642757" w:rsidP="00517000">
      <w:r>
        <w:t xml:space="preserve">Efficient planning of the spectrum </w:t>
      </w:r>
      <w:r w:rsidR="00172A1A" w:rsidRPr="00AF32E7">
        <w:t>(</w:t>
      </w:r>
      <w:r w:rsidR="00AF32E7" w:rsidRPr="00AF32E7">
        <w:t>section 5 of this paper)</w:t>
      </w:r>
      <w:r w:rsidR="00172A1A">
        <w:t xml:space="preserve"> </w:t>
      </w:r>
      <w:r>
        <w:t xml:space="preserve">will continue to be a key tool for the ACMA in its interference </w:t>
      </w:r>
      <w:r w:rsidR="00A33990">
        <w:t>management.</w:t>
      </w:r>
    </w:p>
    <w:p w14:paraId="452FE9A9" w14:textId="77777777" w:rsidR="00517000" w:rsidRPr="004311BC" w:rsidRDefault="00517000" w:rsidP="00517000">
      <w:pPr>
        <w:pStyle w:val="Heading3"/>
      </w:pPr>
      <w:r>
        <w:t xml:space="preserve">13. </w:t>
      </w:r>
      <w:r w:rsidRPr="004311BC">
        <w:t>Equipment regulation</w:t>
      </w:r>
    </w:p>
    <w:p w14:paraId="5A23D095" w14:textId="77777777" w:rsidR="008F3329" w:rsidRDefault="00642757" w:rsidP="00642757">
      <w:r w:rsidRPr="00B27331">
        <w:t xml:space="preserve">The primary elements of equipment regulation </w:t>
      </w:r>
      <w:r>
        <w:t xml:space="preserve">arrangements (currently provided for in Part 4.1 of the Act and referred to as technical regulation) </w:t>
      </w:r>
      <w:r w:rsidRPr="00B27331">
        <w:t>are the technical standards for specified devices, the testing, labelling and record-keeping requirements imposed on suppliers (importers and manufacturers</w:t>
      </w:r>
      <w:r>
        <w:t xml:space="preserve"> or their authorised agents</w:t>
      </w:r>
      <w:r w:rsidRPr="00B27331">
        <w:t>) through labelling notices and the specific prohibitions imposed by the ACMA on the supply</w:t>
      </w:r>
      <w:r>
        <w:t xml:space="preserve">, possession and operation </w:t>
      </w:r>
      <w:r w:rsidRPr="00B27331">
        <w:t>of certain devices.</w:t>
      </w:r>
    </w:p>
    <w:p w14:paraId="2B05DC51" w14:textId="77777777" w:rsidR="008F3329" w:rsidRDefault="00642757" w:rsidP="00642757">
      <w:r w:rsidRPr="002A5262">
        <w:t>The current arrangements have a number of limitations</w:t>
      </w:r>
      <w:r>
        <w:t xml:space="preserve"> including:</w:t>
      </w:r>
    </w:p>
    <w:p w14:paraId="1AE1D064" w14:textId="77777777" w:rsidR="00642757" w:rsidRPr="002A5262" w:rsidRDefault="00642757" w:rsidP="00642757">
      <w:pPr>
        <w:pStyle w:val="Bullet1"/>
      </w:pPr>
      <w:proofErr w:type="gramStart"/>
      <w:r w:rsidRPr="002A5262">
        <w:t>insufficient</w:t>
      </w:r>
      <w:proofErr w:type="gramEnd"/>
      <w:r w:rsidRPr="002A5262">
        <w:t xml:space="preserve"> flexibility to regulate equipment proportionate </w:t>
      </w:r>
      <w:r>
        <w:t xml:space="preserve">to </w:t>
      </w:r>
      <w:r w:rsidRPr="002A5262">
        <w:t>the risk and specific circumstances of their supply and operation.</w:t>
      </w:r>
      <w:r>
        <w:t xml:space="preserve"> For example; </w:t>
      </w:r>
      <w:r w:rsidRPr="00B27331">
        <w:t>the ACMA</w:t>
      </w:r>
      <w:r>
        <w:t xml:space="preserve"> has</w:t>
      </w:r>
      <w:r w:rsidRPr="00B27331">
        <w:t xml:space="preserve"> separate</w:t>
      </w:r>
      <w:r>
        <w:t xml:space="preserve"> and different</w:t>
      </w:r>
      <w:r w:rsidRPr="00B27331">
        <w:t xml:space="preserve"> instrument</w:t>
      </w:r>
      <w:r>
        <w:t>-making powers</w:t>
      </w:r>
      <w:r w:rsidRPr="00B27331">
        <w:t xml:space="preserve"> for each </w:t>
      </w:r>
      <w:r>
        <w:t xml:space="preserve">kind of requirement, such as </w:t>
      </w:r>
      <w:r w:rsidRPr="00B27331">
        <w:t>standard</w:t>
      </w:r>
      <w:r>
        <w:t>s</w:t>
      </w:r>
      <w:r w:rsidRPr="00B27331">
        <w:t>, labelling and record-keeping</w:t>
      </w:r>
      <w:r>
        <w:t>, and it is not able</w:t>
      </w:r>
      <w:r w:rsidRPr="00B27331">
        <w:t xml:space="preserve"> to target</w:t>
      </w:r>
      <w:r>
        <w:t xml:space="preserve"> compliance </w:t>
      </w:r>
      <w:r w:rsidRPr="00B27331">
        <w:t>requirements to speci</w:t>
      </w:r>
      <w:r>
        <w:t>fic persons in the supply chain other than Australian manufacturers or importers (or their agents);</w:t>
      </w:r>
    </w:p>
    <w:p w14:paraId="6404524F" w14:textId="77777777" w:rsidR="008F3329" w:rsidRDefault="00642757" w:rsidP="00642757">
      <w:pPr>
        <w:pStyle w:val="Bullet1"/>
      </w:pPr>
      <w:r>
        <w:t>t</w:t>
      </w:r>
      <w:r w:rsidRPr="002A5262">
        <w:t>he Act is overly</w:t>
      </w:r>
      <w:r>
        <w:t xml:space="preserve"> </w:t>
      </w:r>
      <w:r w:rsidRPr="002A5262">
        <w:t>detailed</w:t>
      </w:r>
      <w:r>
        <w:t xml:space="preserve"> and duplicative;</w:t>
      </w:r>
    </w:p>
    <w:p w14:paraId="14D69391" w14:textId="77777777" w:rsidR="00642757" w:rsidRDefault="00642757" w:rsidP="00642757">
      <w:pPr>
        <w:pStyle w:val="Bullet1"/>
      </w:pPr>
      <w:proofErr w:type="gramStart"/>
      <w:r>
        <w:t>all</w:t>
      </w:r>
      <w:proofErr w:type="gramEnd"/>
      <w:r>
        <w:t xml:space="preserve"> breaches are criminal, which limits enforcement options. Further, the ACMA can only issue a permanent </w:t>
      </w:r>
      <w:r w:rsidRPr="002A5262">
        <w:t xml:space="preserve">ban </w:t>
      </w:r>
      <w:r>
        <w:t>and has no recourse to interim bans or recalls; and</w:t>
      </w:r>
    </w:p>
    <w:p w14:paraId="06E7E69D" w14:textId="77777777" w:rsidR="00642757" w:rsidRPr="002A5262" w:rsidRDefault="00642757" w:rsidP="00642757">
      <w:pPr>
        <w:pStyle w:val="Bullet1"/>
      </w:pPr>
      <w:proofErr w:type="gramStart"/>
      <w:r>
        <w:t>labelling</w:t>
      </w:r>
      <w:proofErr w:type="gramEnd"/>
      <w:r>
        <w:t xml:space="preserve"> and record-keeping requirements can only be imposed on Australian </w:t>
      </w:r>
      <w:r w:rsidRPr="002A5262">
        <w:t>manufacturers and importers</w:t>
      </w:r>
      <w:r>
        <w:t>, and therefore fail</w:t>
      </w:r>
      <w:r w:rsidRPr="002A5262">
        <w:t xml:space="preserve"> to capture relevant parties in </w:t>
      </w:r>
      <w:r w:rsidRPr="00B27331">
        <w:t>supply chain</w:t>
      </w:r>
      <w:r>
        <w:t>s</w:t>
      </w:r>
      <w:r w:rsidRPr="00B27331">
        <w:t xml:space="preserve">. For example, requirements </w:t>
      </w:r>
      <w:r>
        <w:t>cannot be imposed and</w:t>
      </w:r>
      <w:r w:rsidRPr="00B27331">
        <w:t xml:space="preserve"> action </w:t>
      </w:r>
      <w:r>
        <w:t xml:space="preserve">cannot be directed </w:t>
      </w:r>
      <w:r w:rsidRPr="00B27331">
        <w:t xml:space="preserve">against intermediaries in the supply chain such </w:t>
      </w:r>
      <w:r>
        <w:t xml:space="preserve">as persons organising </w:t>
      </w:r>
      <w:r w:rsidRPr="00B27331">
        <w:t>direct/drop shipments from overseas</w:t>
      </w:r>
      <w:r w:rsidRPr="002A5262">
        <w:t>.</w:t>
      </w:r>
    </w:p>
    <w:p w14:paraId="0986CCB6" w14:textId="77777777" w:rsidR="00642757" w:rsidRDefault="00642757" w:rsidP="00642757">
      <w:r w:rsidRPr="002A5262">
        <w:t>It is standard practice amongst other Australian regulators such as the ACCC and internationa</w:t>
      </w:r>
      <w:r>
        <w:t xml:space="preserve">l jurisdictions, such as the UK, Sweden and </w:t>
      </w:r>
      <w:r w:rsidRPr="002A5262">
        <w:t xml:space="preserve">Norway, to </w:t>
      </w:r>
      <w:r>
        <w:t>provide</w:t>
      </w:r>
      <w:r w:rsidRPr="002A5262">
        <w:t xml:space="preserve"> the ability to issue interim bans and recalls to address product or device safety issues.</w:t>
      </w:r>
      <w:r w:rsidR="00EB5224">
        <w:t xml:space="preserve">  Further detail on compliance tools are set out in section 14 of this paper.</w:t>
      </w:r>
    </w:p>
    <w:p w14:paraId="13681406" w14:textId="77777777" w:rsidR="00642757" w:rsidRPr="00B27331" w:rsidRDefault="00642757" w:rsidP="00E0261A">
      <w:pPr>
        <w:pStyle w:val="Heading4"/>
      </w:pPr>
      <w:r>
        <w:t>Proposed approach:</w:t>
      </w:r>
    </w:p>
    <w:p w14:paraId="1AD4DC9C" w14:textId="77777777" w:rsidR="00642757" w:rsidRDefault="00642757" w:rsidP="00642757">
      <w:r>
        <w:t xml:space="preserve">The new model for equipment regulation will adopt an outcomes-based approach. It is proposed the Bill will enable the ACMA to make </w:t>
      </w:r>
      <w:r>
        <w:rPr>
          <w:i/>
        </w:rPr>
        <w:t>equipment rules</w:t>
      </w:r>
      <w:r w:rsidR="005526D5" w:rsidRPr="005526D5">
        <w:t>,</w:t>
      </w:r>
      <w:r>
        <w:t xml:space="preserve"> </w:t>
      </w:r>
      <w:r w:rsidR="001C1735">
        <w:t>by legislative instrument</w:t>
      </w:r>
      <w:r w:rsidR="005526D5">
        <w:t>,</w:t>
      </w:r>
      <w:r w:rsidR="001C1735">
        <w:t xml:space="preserve"> </w:t>
      </w:r>
      <w:r>
        <w:t xml:space="preserve">directed towards achieving a number of key objectives. </w:t>
      </w:r>
      <w:r w:rsidR="00C20D2A">
        <w:t>The objectives will be listed in the Bill and include</w:t>
      </w:r>
      <w:r>
        <w:t xml:space="preserve"> objectives to ensure the electromagnetic compatibility of equipment, contain interference and protect the health and safety of persons from radio emission. The equipment rules will enable the ACMA to prescribe standards for equipment and impose obligations in respect of quality assurance, tests, labelling and record-keeping.</w:t>
      </w:r>
    </w:p>
    <w:p w14:paraId="73200983" w14:textId="77777777" w:rsidR="004E1033" w:rsidRPr="00B27331" w:rsidRDefault="00642757" w:rsidP="004E1033">
      <w:r>
        <w:t>This approach</w:t>
      </w:r>
      <w:r w:rsidRPr="002A5262">
        <w:t xml:space="preserve"> will provide the ACMA with </w:t>
      </w:r>
      <w:r>
        <w:t>increased</w:t>
      </w:r>
      <w:r w:rsidRPr="002A5262">
        <w:t xml:space="preserve"> flexibility to make equipment rules commensurate with risk of the equipment</w:t>
      </w:r>
      <w:r>
        <w:t xml:space="preserve"> and enable it </w:t>
      </w:r>
      <w:r w:rsidRPr="00B27331">
        <w:t>to devise rule</w:t>
      </w:r>
      <w:r>
        <w:t>s</w:t>
      </w:r>
      <w:r w:rsidRPr="00B27331">
        <w:t xml:space="preserve"> that cover all standards and/or requirements in relation to a class of devices (e.g. the standards, testing, labelling and record-keeping requirements that apply) or to create separate instruments for each standard/requirement.</w:t>
      </w:r>
    </w:p>
    <w:p w14:paraId="2F19D350" w14:textId="77777777" w:rsidR="00642757" w:rsidRPr="004311BC" w:rsidRDefault="00642757" w:rsidP="00642757">
      <w:pPr>
        <w:pStyle w:val="Heading3"/>
      </w:pPr>
      <w:r>
        <w:t>1</w:t>
      </w:r>
      <w:r w:rsidR="004C40B3">
        <w:t>4</w:t>
      </w:r>
      <w:r>
        <w:t xml:space="preserve">. </w:t>
      </w:r>
      <w:r w:rsidRPr="004311BC">
        <w:t>Compliance and enforcement</w:t>
      </w:r>
    </w:p>
    <w:p w14:paraId="0CCC6D1F" w14:textId="77777777" w:rsidR="00642757" w:rsidRDefault="00642757" w:rsidP="00E0261A">
      <w:pPr>
        <w:pStyle w:val="Heading4"/>
      </w:pPr>
      <w:r>
        <w:t>Current arrangements:</w:t>
      </w:r>
    </w:p>
    <w:p w14:paraId="1982F590" w14:textId="77777777" w:rsidR="008F3329" w:rsidRDefault="00642757" w:rsidP="00642757">
      <w:r w:rsidRPr="00B651FC">
        <w:t xml:space="preserve">The </w:t>
      </w:r>
      <w:r>
        <w:t xml:space="preserve">current </w:t>
      </w:r>
      <w:r w:rsidRPr="00B651FC">
        <w:t xml:space="preserve">Act’s compliance and enforcement regime is outdated and does not reflect contemporary regulatory approaches. </w:t>
      </w:r>
      <w:r>
        <w:t>The penalties rely on criminal sanctions and there is limited scope for a graduated approach to compliance.</w:t>
      </w:r>
    </w:p>
    <w:p w14:paraId="50134ABC" w14:textId="77777777" w:rsidR="008F3329" w:rsidRDefault="00642757" w:rsidP="00642757">
      <w:r>
        <w:t>For example, in the event of a breach of a spectrum licence condition, the ACMA’s only options are suspension or cancellation of the licence. Whilst the ACMA would ordinarily issue a formal warning in the first instance, there is no scope to use remedial directions or civil penalties, which may be more appropriate in a given set of circumstances.</w:t>
      </w:r>
    </w:p>
    <w:p w14:paraId="0F26FBB2" w14:textId="77777777" w:rsidR="008F3329" w:rsidRDefault="00642757" w:rsidP="00642757">
      <w:r>
        <w:t>Criminal sanctions require a higher standard of proof than for civil actions. Further, the Director of Public Prosecutions, rather than the ACMA, is required to initiate legal action for breaches of criminal offence provisions. This should not be necessary in most spectrum cases and in practice means prosecutions do not often occur.</w:t>
      </w:r>
    </w:p>
    <w:p w14:paraId="659296A1" w14:textId="77777777" w:rsidR="008F3329" w:rsidRDefault="00642757" w:rsidP="00642757">
      <w:r>
        <w:t>The limited compliance and enforcement toolkit in the current Act often prevents timely action by the ACMA to address minor breaches. Stakeholders have advocated for a more effective compliance and enforcement regime to be implemented.</w:t>
      </w:r>
    </w:p>
    <w:p w14:paraId="43A99CD1" w14:textId="77777777" w:rsidR="00642757" w:rsidRDefault="00642757" w:rsidP="00E0261A">
      <w:pPr>
        <w:pStyle w:val="Heading4"/>
      </w:pPr>
      <w:r>
        <w:t>Proposed approach:</w:t>
      </w:r>
    </w:p>
    <w:p w14:paraId="5CF1E134" w14:textId="77777777" w:rsidR="00642757" w:rsidRDefault="00642757" w:rsidP="00642757">
      <w:r>
        <w:t>The Bill would provide for a simple, graduated approach to offences and penalties, and provide for an expanded range of enforcement tools. Key elements of this approach include:</w:t>
      </w:r>
    </w:p>
    <w:p w14:paraId="46597B94" w14:textId="77777777" w:rsidR="00642757" w:rsidRDefault="00642757" w:rsidP="00642757">
      <w:pPr>
        <w:pStyle w:val="Bullet1"/>
      </w:pPr>
      <w:r>
        <w:t>introduction of civil penalties – with the size of the penalty reflecting current Commonwealth practice and the seriousness of the breach;</w:t>
      </w:r>
    </w:p>
    <w:p w14:paraId="71E6C7FC" w14:textId="77777777" w:rsidR="00642757" w:rsidRDefault="004F4D77" w:rsidP="00642757">
      <w:pPr>
        <w:pStyle w:val="Bullet1"/>
      </w:pPr>
      <w:r>
        <w:t>only having</w:t>
      </w:r>
      <w:r w:rsidR="00642757">
        <w:t xml:space="preserve"> criminal penalties </w:t>
      </w:r>
      <w:r>
        <w:t xml:space="preserve">apply </w:t>
      </w:r>
      <w:r w:rsidR="00642757">
        <w:t>to conduct that involves or has the potential to cause considerable harm to society or individuals</w:t>
      </w:r>
      <w:r>
        <w:t xml:space="preserve"> (consistent with the </w:t>
      </w:r>
      <w:r w:rsidRPr="005A4454">
        <w:rPr>
          <w:i/>
        </w:rPr>
        <w:t>Attorney-General’s Guide to Framing Commonwealth Offences, Infringement Notices and Enforcement Powers</w:t>
      </w:r>
      <w:r>
        <w:t>)</w:t>
      </w:r>
      <w:r w:rsidR="00642757">
        <w:t>;</w:t>
      </w:r>
    </w:p>
    <w:p w14:paraId="3D930BFA" w14:textId="77777777" w:rsidR="008F3329" w:rsidRDefault="00642757" w:rsidP="00642757">
      <w:pPr>
        <w:pStyle w:val="Bullet1"/>
      </w:pPr>
      <w:r>
        <w:t>not replicating provisions that are already sufficiently provided for in other Commonwealth or State legislation;</w:t>
      </w:r>
    </w:p>
    <w:p w14:paraId="4D3F525B" w14:textId="77777777" w:rsidR="00642757" w:rsidRDefault="00642757" w:rsidP="00642757">
      <w:pPr>
        <w:pStyle w:val="Bullet1"/>
      </w:pPr>
      <w:r>
        <w:t xml:space="preserve">adoption, </w:t>
      </w:r>
      <w:r w:rsidR="009921DB">
        <w:t>with minor variation</w:t>
      </w:r>
      <w:r>
        <w:t>, of the standard provisions included in the</w:t>
      </w:r>
      <w:r w:rsidRPr="005A4454">
        <w:rPr>
          <w:i/>
        </w:rPr>
        <w:t xml:space="preserve"> Regulatory Powers (Standard Provisions) Act 2014</w:t>
      </w:r>
      <w:r>
        <w:t xml:space="preserve"> in respect to investigations, civil penalties, infringement notices, enforceable undertakings and injunctions;</w:t>
      </w:r>
    </w:p>
    <w:p w14:paraId="1147536A" w14:textId="77777777" w:rsidR="008F3329" w:rsidRDefault="00642757" w:rsidP="00642757">
      <w:pPr>
        <w:pStyle w:val="Bullet1"/>
      </w:pPr>
      <w:proofErr w:type="gramStart"/>
      <w:r>
        <w:t>broadening</w:t>
      </w:r>
      <w:proofErr w:type="gramEnd"/>
      <w:r>
        <w:t xml:space="preserve"> the provisions to which injunctions may apply and introducing new enforcement tools such as remedial directions and those particular to equipment regulation (interim and permanent bans, and recalls).</w:t>
      </w:r>
    </w:p>
    <w:p w14:paraId="7857C1A0" w14:textId="77777777" w:rsidR="00642757" w:rsidRDefault="00642757" w:rsidP="00642757">
      <w:r>
        <w:t>The ACMA would continue to be able to use other tools to encourage compliance including education, written warnings and public warning notices.</w:t>
      </w:r>
    </w:p>
    <w:p w14:paraId="59AC1933" w14:textId="77777777" w:rsidR="00642757" w:rsidRDefault="00642757" w:rsidP="00642757">
      <w:pPr>
        <w:pStyle w:val="Heading3"/>
      </w:pPr>
      <w:r>
        <w:t>1</w:t>
      </w:r>
      <w:r w:rsidR="004C40B3">
        <w:t>5</w:t>
      </w:r>
      <w:r>
        <w:t xml:space="preserve">. </w:t>
      </w:r>
      <w:r w:rsidRPr="004311BC">
        <w:t xml:space="preserve">Information </w:t>
      </w:r>
      <w:r>
        <w:t>provision</w:t>
      </w:r>
    </w:p>
    <w:p w14:paraId="3A4F9FF4" w14:textId="77777777" w:rsidR="00642757" w:rsidRDefault="00642757" w:rsidP="00E0261A">
      <w:pPr>
        <w:pStyle w:val="Heading4"/>
      </w:pPr>
      <w:r w:rsidRPr="008F7695">
        <w:t>Current arrangements:</w:t>
      </w:r>
    </w:p>
    <w:p w14:paraId="1BB83919" w14:textId="77777777" w:rsidR="008F3329" w:rsidRDefault="00642757" w:rsidP="00642757">
      <w:r>
        <w:t>Efficient spectrum management and market transactions rely on information being available to market participants and the regulator on what spectrum is available, where, under what conditions, and the prices paid. More readily available information reduces transaction costs, aids price disclosure and supports spectrum sharing, secondary trading and new market entry. Unlike other legislation that is administered by the ACMA, the Act provides limited power to gather information.</w:t>
      </w:r>
    </w:p>
    <w:p w14:paraId="05732550" w14:textId="77777777" w:rsidR="008F3329" w:rsidRDefault="00642757" w:rsidP="00642757">
      <w:r>
        <w:t>The ACMA is currently limited in what role it can play in providing information because it can only obtain:</w:t>
      </w:r>
    </w:p>
    <w:p w14:paraId="2D6B2E81" w14:textId="77777777" w:rsidR="008F3329" w:rsidRDefault="00642757" w:rsidP="00642757">
      <w:pPr>
        <w:pStyle w:val="Bullet1"/>
      </w:pPr>
      <w:r>
        <w:t>information required for the Register of Licences;</w:t>
      </w:r>
    </w:p>
    <w:p w14:paraId="03E3C66F" w14:textId="77777777" w:rsidR="00642757" w:rsidRDefault="00642757" w:rsidP="00642757">
      <w:pPr>
        <w:pStyle w:val="Bullet1"/>
      </w:pPr>
      <w:r>
        <w:t>access to records regarding device testing and quality assurance; and</w:t>
      </w:r>
    </w:p>
    <w:p w14:paraId="5440534F" w14:textId="77777777" w:rsidR="00642757" w:rsidRDefault="00642757" w:rsidP="00642757">
      <w:pPr>
        <w:pStyle w:val="Bullet1"/>
      </w:pPr>
      <w:proofErr w:type="gramStart"/>
      <w:r>
        <w:t>copies</w:t>
      </w:r>
      <w:proofErr w:type="gramEnd"/>
      <w:r>
        <w:t xml:space="preserve"> of licences, authorisations or other documents or records required to be kept or held under the Act.</w:t>
      </w:r>
    </w:p>
    <w:p w14:paraId="42C8E660" w14:textId="77777777" w:rsidR="008F3329" w:rsidRDefault="00642757" w:rsidP="00E0261A">
      <w:pPr>
        <w:pStyle w:val="Heading4"/>
      </w:pPr>
      <w:r w:rsidRPr="008F7695">
        <w:t>Proposed approach:</w:t>
      </w:r>
    </w:p>
    <w:p w14:paraId="303AC133" w14:textId="77777777" w:rsidR="008F3329" w:rsidRDefault="00642757" w:rsidP="00642757">
      <w:r>
        <w:t>The Review recommended improv</w:t>
      </w:r>
      <w:r w:rsidR="009E7102">
        <w:t>ing the</w:t>
      </w:r>
      <w:r>
        <w:t xml:space="preserve"> arrangements for the provision of information to assist the ACMA and provide quality information to the market. It is proposed that the Bill would enable the ACMA to require persons to provide the following information:</w:t>
      </w:r>
    </w:p>
    <w:p w14:paraId="59129093" w14:textId="77777777" w:rsidR="00642757" w:rsidRDefault="00642757" w:rsidP="00642757">
      <w:pPr>
        <w:pStyle w:val="Bullet1"/>
      </w:pPr>
      <w:proofErr w:type="gramStart"/>
      <w:r>
        <w:t>the</w:t>
      </w:r>
      <w:proofErr w:type="gramEnd"/>
      <w:r>
        <w:t xml:space="preserve"> value of the consideration paid in respect to licence trades or third party authorisations. This information would be able to be published by the ACMA so as to improve information available to the market. The ACMA would have the discretion to also publish the information in aggregate or a form not likely to enable the identification of the licensee; and</w:t>
      </w:r>
    </w:p>
    <w:p w14:paraId="38414972" w14:textId="77777777" w:rsidR="00642757" w:rsidRDefault="00642757" w:rsidP="00642757">
      <w:pPr>
        <w:pStyle w:val="Bullet1"/>
      </w:pPr>
      <w:proofErr w:type="gramStart"/>
      <w:r>
        <w:t>device</w:t>
      </w:r>
      <w:proofErr w:type="gramEnd"/>
      <w:r>
        <w:t xml:space="preserve"> supply related</w:t>
      </w:r>
      <w:r w:rsidRPr="009B3C23">
        <w:t xml:space="preserve"> information </w:t>
      </w:r>
      <w:r>
        <w:t>for the purpose of</w:t>
      </w:r>
      <w:r w:rsidRPr="009B3C23">
        <w:t xml:space="preserve"> managing interference. This information will assist the ACMA in its compliance management activities and to better target education initiatives.</w:t>
      </w:r>
    </w:p>
    <w:p w14:paraId="3BAB5F6C" w14:textId="77777777" w:rsidR="00104EEC" w:rsidRPr="0021657D" w:rsidRDefault="00EF112E" w:rsidP="0021657D">
      <w:r w:rsidRPr="0021657D">
        <w:t xml:space="preserve">It is further proposed that the Minister will </w:t>
      </w:r>
      <w:r>
        <w:t>require</w:t>
      </w:r>
      <w:r w:rsidRPr="0021657D">
        <w:t>, through Ministerial policy statement,</w:t>
      </w:r>
      <w:r>
        <w:t xml:space="preserve"> the ACMA to report through its annual work plan on efforts to improve and maintain the range, availability and quality of information to support the market.</w:t>
      </w:r>
    </w:p>
    <w:p w14:paraId="3878973D" w14:textId="77777777" w:rsidR="00642757" w:rsidRPr="004311BC" w:rsidRDefault="00642757" w:rsidP="00642757">
      <w:pPr>
        <w:pStyle w:val="Heading3"/>
      </w:pPr>
      <w:r>
        <w:t>1</w:t>
      </w:r>
      <w:r w:rsidR="004C40B3">
        <w:t>6</w:t>
      </w:r>
      <w:r>
        <w:t xml:space="preserve">. </w:t>
      </w:r>
      <w:r w:rsidRPr="004311BC">
        <w:t>User involvement: accreditation, delegation, industry codes</w:t>
      </w:r>
    </w:p>
    <w:p w14:paraId="054ED34F" w14:textId="77777777" w:rsidR="008F3329" w:rsidRDefault="00642757" w:rsidP="00E0261A">
      <w:pPr>
        <w:pStyle w:val="Heading4"/>
      </w:pPr>
      <w:r w:rsidRPr="008F7695">
        <w:t>Current arrangements:</w:t>
      </w:r>
    </w:p>
    <w:p w14:paraId="3C0D3080" w14:textId="77777777" w:rsidR="008F3329" w:rsidRDefault="00642757" w:rsidP="00642757">
      <w:r>
        <w:t>The Act has limited scope for the ACMA to devolve functions to industry. This results in a dependence on the regulator to undertake most spectrum management functions. Examples of the limitations in the current Act include:</w:t>
      </w:r>
    </w:p>
    <w:p w14:paraId="610A7E2F" w14:textId="77777777" w:rsidR="008F3329" w:rsidRDefault="00642757" w:rsidP="00642757">
      <w:pPr>
        <w:pStyle w:val="Bullet1"/>
      </w:pPr>
      <w:r>
        <w:t>no provision for industry codes in the Act;</w:t>
      </w:r>
    </w:p>
    <w:p w14:paraId="6A97A930" w14:textId="77777777" w:rsidR="008F3329" w:rsidRDefault="00642757" w:rsidP="00642757">
      <w:pPr>
        <w:pStyle w:val="Bullet1"/>
      </w:pPr>
      <w:proofErr w:type="gramStart"/>
      <w:r>
        <w:t>limited</w:t>
      </w:r>
      <w:proofErr w:type="gramEnd"/>
      <w:r>
        <w:t xml:space="preserve"> private band management is possible using third party authorisations, however, whilst third party authorisations are well utilised, in practice band management does not occur. The current Act limits the scope and flexibility of these arrangements and places significant liabilities on the manager in relation to conduct of the managed parties; and</w:t>
      </w:r>
    </w:p>
    <w:p w14:paraId="574287A7" w14:textId="77777777" w:rsidR="00642757" w:rsidRDefault="00642757" w:rsidP="00642757">
      <w:pPr>
        <w:pStyle w:val="Bullet1"/>
      </w:pPr>
      <w:proofErr w:type="gramStart"/>
      <w:r>
        <w:t>most</w:t>
      </w:r>
      <w:proofErr w:type="gramEnd"/>
      <w:r>
        <w:t xml:space="preserve"> spectrum management activities require, at minimum, final approval by the ACMA.</w:t>
      </w:r>
    </w:p>
    <w:p w14:paraId="2E5AFD1E" w14:textId="77777777" w:rsidR="00642757" w:rsidRDefault="00642757" w:rsidP="00642757">
      <w:r>
        <w:t>Where the ACMA can devolve functions to industry, this has proven effective in reducing the regulator’s workload. For example, the ACMA may accredit persons to issue certain certificates that relate to the engineering work required before a decision can be made to licence or allow operation of a device – frequency assignment and interference impact certification – a large majority of this work is now performed by industry.</w:t>
      </w:r>
    </w:p>
    <w:p w14:paraId="73AD2D81" w14:textId="77777777" w:rsidR="004F4D77" w:rsidRDefault="004F4D77" w:rsidP="004F4D77">
      <w:r>
        <w:t>The Review identified opportunities for increased user involvement in the management of spectrum. The objective of increasing user involvement is to facilitate more flexible and efficient use of spectrum and allow for more innovative management arrangements.</w:t>
      </w:r>
    </w:p>
    <w:p w14:paraId="55B7A440" w14:textId="77777777" w:rsidR="00642757" w:rsidRDefault="00642757" w:rsidP="00E0261A">
      <w:pPr>
        <w:pStyle w:val="Heading4"/>
      </w:pPr>
      <w:r>
        <w:t>Proposed approach:</w:t>
      </w:r>
    </w:p>
    <w:p w14:paraId="012504CB" w14:textId="77777777" w:rsidR="00642757" w:rsidRDefault="00642757" w:rsidP="00642757">
      <w:r>
        <w:t>To encourage greater user involvement in spectrum management it is proposed to include the following in the Bill:</w:t>
      </w:r>
    </w:p>
    <w:p w14:paraId="0435958C" w14:textId="77777777" w:rsidR="00642757" w:rsidRPr="00872F34" w:rsidRDefault="00642757" w:rsidP="00642757">
      <w:pPr>
        <w:pStyle w:val="Bullet1"/>
        <w:rPr>
          <w:b/>
        </w:rPr>
      </w:pPr>
      <w:r>
        <w:t>continue to enable the ACMA to accredit other persons to issue certificates, such as frequency assignment certificates;</w:t>
      </w:r>
    </w:p>
    <w:p w14:paraId="16B6DF60" w14:textId="77777777" w:rsidR="00642757" w:rsidRDefault="00642757" w:rsidP="00642757">
      <w:pPr>
        <w:pStyle w:val="Bullet1"/>
      </w:pPr>
      <w:r>
        <w:t xml:space="preserve">provide scope for industry </w:t>
      </w:r>
      <w:r w:rsidR="00AF32E7">
        <w:t xml:space="preserve">to </w:t>
      </w:r>
      <w:r w:rsidR="005526D5">
        <w:t xml:space="preserve">be able to </w:t>
      </w:r>
      <w:r w:rsidR="00AF32E7">
        <w:t xml:space="preserve">develop </w:t>
      </w:r>
      <w:r>
        <w:t>code</w:t>
      </w:r>
      <w:r w:rsidR="00AF32E7">
        <w:t>s</w:t>
      </w:r>
      <w:r>
        <w:t>, limiting the ACMA’s role to code approval;</w:t>
      </w:r>
      <w:r w:rsidR="000267BE">
        <w:t xml:space="preserve"> and</w:t>
      </w:r>
    </w:p>
    <w:p w14:paraId="00A417BD" w14:textId="77777777" w:rsidR="00642757" w:rsidRDefault="00642757" w:rsidP="00D7396E">
      <w:pPr>
        <w:pStyle w:val="Bullet1"/>
      </w:pPr>
      <w:r>
        <w:t>enable the ACMA to delegate spectrum management functions to facilitate private band management and to deliver cer</w:t>
      </w:r>
      <w:r w:rsidR="00D7396E">
        <w:t xml:space="preserve">tain functions more efficiently (the </w:t>
      </w:r>
      <w:r>
        <w:t xml:space="preserve">ACMA </w:t>
      </w:r>
      <w:r w:rsidR="00D7396E">
        <w:t xml:space="preserve">will be able </w:t>
      </w:r>
      <w:r>
        <w:t>to designate what roles and functions are</w:t>
      </w:r>
      <w:r w:rsidR="00D7396E">
        <w:t xml:space="preserve"> to be delegated to a person,</w:t>
      </w:r>
      <w:r>
        <w:t xml:space="preserve"> </w:t>
      </w:r>
      <w:r w:rsidR="00D7396E">
        <w:t>the conditions which will apply</w:t>
      </w:r>
      <w:r>
        <w:t xml:space="preserve"> and</w:t>
      </w:r>
      <w:r w:rsidR="00D7396E">
        <w:t xml:space="preserve"> they will be </w:t>
      </w:r>
      <w:r>
        <w:t>empower</w:t>
      </w:r>
      <w:r w:rsidR="00D7396E">
        <w:t xml:space="preserve">ed </w:t>
      </w:r>
      <w:r>
        <w:t>to revoke any delegation and direct a delegate in the exercise of the delegated powers where appropriate</w:t>
      </w:r>
      <w:r w:rsidR="00D7396E">
        <w:t>)</w:t>
      </w:r>
      <w:r>
        <w:t>.</w:t>
      </w:r>
    </w:p>
    <w:p w14:paraId="322F6829" w14:textId="77777777" w:rsidR="00642757" w:rsidRPr="004311BC" w:rsidRDefault="00642757" w:rsidP="00642757">
      <w:pPr>
        <w:pStyle w:val="Heading3"/>
      </w:pPr>
      <w:r>
        <w:t>1</w:t>
      </w:r>
      <w:r w:rsidR="004C40B3">
        <w:t>7</w:t>
      </w:r>
      <w:r>
        <w:t xml:space="preserve">. </w:t>
      </w:r>
      <w:r w:rsidRPr="004311BC">
        <w:t>Broadcasting</w:t>
      </w:r>
    </w:p>
    <w:p w14:paraId="5FBBC943" w14:textId="77777777" w:rsidR="008F3329" w:rsidRDefault="00642757" w:rsidP="00E0261A">
      <w:pPr>
        <w:pStyle w:val="Heading4"/>
      </w:pPr>
      <w:r w:rsidRPr="008F7695">
        <w:t xml:space="preserve">Current </w:t>
      </w:r>
      <w:r w:rsidRPr="00E0261A">
        <w:t>arrangements</w:t>
      </w:r>
      <w:r w:rsidRPr="008F7695">
        <w:t>:</w:t>
      </w:r>
    </w:p>
    <w:p w14:paraId="4224FB16" w14:textId="77777777" w:rsidR="00642757" w:rsidRDefault="00642757" w:rsidP="00642757">
      <w:r>
        <w:t>Historically spectrum used by the broadcasters has been treated separately from the general spectrum framework.</w:t>
      </w:r>
    </w:p>
    <w:p w14:paraId="1FC15C7A" w14:textId="77777777" w:rsidR="00642757" w:rsidRDefault="00642757" w:rsidP="00540BC5">
      <w:pPr>
        <w:keepNext/>
      </w:pPr>
      <w:r>
        <w:t>Planning and licensing of spectrum for broadcasters is complex and split across the radiocommunications and broadcasting legislation (BSA). Specifically, under the current Act:</w:t>
      </w:r>
    </w:p>
    <w:p w14:paraId="580573DC" w14:textId="77777777" w:rsidR="00642757" w:rsidRDefault="00642757" w:rsidP="00642757">
      <w:pPr>
        <w:pStyle w:val="Bullet1"/>
      </w:pPr>
      <w:r>
        <w:t>Section 31 provides that the Minister may designate a part of the spectrum primarily for broadcasting. Once designated, the spectrum in the Broadcasting Services Bands is referred to the ACMA for planning, mostly under the BSA. The BSA plans this spectrum using instruments called Licence Area Plans (LAPs) and Television Licence Area Plans (TLAPs)). The detailed requirements of these plans is included in the BSA. The ACMA also plans digital radio spectrum use under digital radio channel plans (DRCPs) made under the Act.</w:t>
      </w:r>
    </w:p>
    <w:p w14:paraId="643A99F5" w14:textId="77777777" w:rsidR="00642757" w:rsidRDefault="00642757" w:rsidP="00642757">
      <w:pPr>
        <w:pStyle w:val="Bullet1"/>
      </w:pPr>
      <w:r>
        <w:t>Section 102 requires the ACMA to issue a transmitter licence to certain commercial and community broadcasters holding a licence under the BSA. However, this licence can only be used by the licensee to provide its own broadcasting services. This restricts the ability of broadcasters to share infrastructure, and trade or lease their spectrum. Other broadcasters have varying degrees of statutory provisions relating to transmission licensing. In particular, digital radio has its own licensing and access arrangements within the Act.</w:t>
      </w:r>
    </w:p>
    <w:p w14:paraId="37314071" w14:textId="77777777" w:rsidR="00642757" w:rsidRDefault="00642757" w:rsidP="00642757">
      <w:r>
        <w:t>Current broadcasting spectrum planning and licensing arrangements are complex, inflexible and lack consistency with the rest of the spectrum framework. As identified in the Department’s Digital Television Regulation Consultation Paper (January 2015), in an environment of changing technology and increasing competition for content services, broadcasters will face commercial pressure to innovate. To facilitate this, the constraints imposed by the current spectrum regulatory framework need to be eased to enable broadcasters to offer new services and better manage their costs, through the use of more spectrally efficient technologies and / or shared infrastructure.</w:t>
      </w:r>
    </w:p>
    <w:p w14:paraId="7782133A" w14:textId="77777777" w:rsidR="00642757" w:rsidRPr="008F7695" w:rsidRDefault="00642757" w:rsidP="00E0261A">
      <w:pPr>
        <w:pStyle w:val="Heading4"/>
      </w:pPr>
      <w:r>
        <w:t>Proposed approach:</w:t>
      </w:r>
    </w:p>
    <w:p w14:paraId="542892A7" w14:textId="77777777" w:rsidR="00642757" w:rsidRDefault="00642757" w:rsidP="00642757">
      <w:r>
        <w:t>Consistent with the Review recommendations, i</w:t>
      </w:r>
      <w:r w:rsidRPr="00E33DC3">
        <w:t>t is proposed</w:t>
      </w:r>
      <w:r>
        <w:t xml:space="preserve"> that the Bill integrate broadcasting spectrum into the general spectrum management framework. This will be done in a manner that provides</w:t>
      </w:r>
      <w:r w:rsidRPr="00EB5B5D">
        <w:t xml:space="preserve"> certainty of access to spectrum</w:t>
      </w:r>
      <w:r>
        <w:t xml:space="preserve"> to deliver broadcasting services</w:t>
      </w:r>
      <w:r w:rsidRPr="00EB5B5D">
        <w:t xml:space="preserve"> under the new framework</w:t>
      </w:r>
      <w:r>
        <w:t xml:space="preserve"> for those broadcasters currently required to be issued with a transmitter licence</w:t>
      </w:r>
      <w:r w:rsidRPr="00EB5B5D">
        <w:t>.</w:t>
      </w:r>
    </w:p>
    <w:p w14:paraId="338EF0CD" w14:textId="77777777" w:rsidR="00642757" w:rsidRDefault="00642757" w:rsidP="00642757">
      <w:r>
        <w:t>To provide enhanced clarity on the roles of the two Acts, it is intended that the new Bill address spectrum-related matters and the BSA will focus on broadcasting policy matters (for example, the mix of broadcasting services, market access issues and content regulation). To enable this, it is proposed that planning and licensing of spectrum for licensed and national broadcasters will be covered in the general spectrum framework under the new Bill. Specifically, it is proposed to:</w:t>
      </w:r>
    </w:p>
    <w:p w14:paraId="0DB8C40A" w14:textId="77777777" w:rsidR="00642757" w:rsidRDefault="00642757" w:rsidP="00642757">
      <w:pPr>
        <w:pStyle w:val="Bullet1"/>
      </w:pPr>
      <w:proofErr w:type="gramStart"/>
      <w:r>
        <w:t>remove</w:t>
      </w:r>
      <w:proofErr w:type="gramEnd"/>
      <w:r>
        <w:t xml:space="preserve"> the current legislative requirement for the Minister to designate spectrum specifically for broadcasting services and instead rely on the general planning powers provided for in the Bill. To ensure continued access, Government policy would require the ACMA to set aside spectrum under its spectrum plan primarily for broadcasting use;</w:t>
      </w:r>
    </w:p>
    <w:p w14:paraId="044565C4" w14:textId="77777777" w:rsidR="00642757" w:rsidRDefault="00642757" w:rsidP="00642757">
      <w:pPr>
        <w:pStyle w:val="Bullet1"/>
      </w:pPr>
      <w:r>
        <w:t>remove the detailed transmitter licensing requirements specified under the current Act and instead rely on the general licensing provisions to licence broadcaster spectrum use; and</w:t>
      </w:r>
    </w:p>
    <w:p w14:paraId="755DB12B" w14:textId="77777777" w:rsidR="00642757" w:rsidRDefault="00642757" w:rsidP="00642757">
      <w:pPr>
        <w:pStyle w:val="Bullet1"/>
      </w:pPr>
      <w:proofErr w:type="gramStart"/>
      <w:r>
        <w:t>remove</w:t>
      </w:r>
      <w:proofErr w:type="gramEnd"/>
      <w:r>
        <w:t xml:space="preserve"> spectrum-related technical matters currently included in LAPs/TLAPs/DRCPs and include this detail in the licences.</w:t>
      </w:r>
    </w:p>
    <w:p w14:paraId="34CC7B93" w14:textId="16616797" w:rsidR="00642757" w:rsidRDefault="00DA0467" w:rsidP="00642757">
      <w:r>
        <w:t>Transitional arrangements have not yet been settled and the Department will work with industry on the available options</w:t>
      </w:r>
      <w:r w:rsidRPr="00DA0467">
        <w:t>.</w:t>
      </w:r>
      <w:r>
        <w:t xml:space="preserve"> </w:t>
      </w:r>
      <w:r w:rsidR="009E7102">
        <w:t>Noting the complexity of the existing arrangements it is proposed that broadcasters would be transitioned to the new framework over time. New licences would be issued by the ACMA in consultation with broadcasters within the first five years of commencement of the Bill.</w:t>
      </w:r>
      <w:r w:rsidRPr="00DA0467">
        <w:t xml:space="preserve"> </w:t>
      </w:r>
      <w:r>
        <w:t xml:space="preserve"> </w:t>
      </w:r>
      <w:r w:rsidR="009921DB">
        <w:t>As specified earlier in the paper, l</w:t>
      </w:r>
      <w:r w:rsidR="00642757">
        <w:t>icences, rather than the legislation would specify licence conditions, the licence term/duration, areas of operation and renewal rights. The proposed legislation will authorise the ACMA to vary licences subject to statements limiting such variation contained in the licence. For new licences, it is intended that a Ministerial policy statement would provide guidance as to licence term, renewal arrangements and pricing for broadcasters.</w:t>
      </w:r>
    </w:p>
    <w:p w14:paraId="23AD7BCA" w14:textId="77777777" w:rsidR="008F3329" w:rsidRDefault="00642757" w:rsidP="00642757">
      <w:r>
        <w:t>Subject to any statements in the licence to the contrary, it is proposed that broadcasters will be able to share, trade or lease all or part of their spectrum with or to other broadcasters or for non-broadcasting uses (i.e. the provision restricting use of a broadcaster’s spectrum to their own broadcasting service will be removed). This will provide consistency in the management of spectrum and will provide broadcasters with increased flexibility in the long term as to their use of the spectrum</w:t>
      </w:r>
      <w:r w:rsidRPr="003B50F5">
        <w:t>.</w:t>
      </w:r>
      <w:r>
        <w:t xml:space="preserve"> Approval would be required for non-broadcasting use of this spectrum, noting the technical complexities likely to be present in such circumstances. The relevant Ministerial policy statement would address these matters.</w:t>
      </w:r>
    </w:p>
    <w:p w14:paraId="5172AF80" w14:textId="77777777" w:rsidR="008F3329" w:rsidRDefault="00642757" w:rsidP="00642757">
      <w:r>
        <w:t>The requirement for the ACMA to issue free</w:t>
      </w:r>
      <w:r>
        <w:noBreakHyphen/>
        <w:t>to</w:t>
      </w:r>
      <w:r>
        <w:noBreakHyphen/>
        <w:t>air commercial and community broadcasters with a radiocommunications licence if their broadcasting licence is in force would also be removed as these licences would be issued under the general framework.</w:t>
      </w:r>
    </w:p>
    <w:p w14:paraId="37C3A767" w14:textId="77777777" w:rsidR="00642757" w:rsidRDefault="00642757" w:rsidP="00642757">
      <w:r>
        <w:t>To provide certainty, current broadcasting licensees will be issued new radiocommunications licences under the new licensing system under transitional legislation. In the case of digital radio multiplexes, the radiocommunications licences would be issued to the multiplex licensee. In making the decision to plan for the issue of BSA licences, the ACMA will still need to have regard to spectrum availability as planned under the Bill (in addition to other statutory criteria under the BSA). It is proposed to include this as a legislative requirement under the BSA.</w:t>
      </w:r>
    </w:p>
    <w:p w14:paraId="67F9F574" w14:textId="77777777" w:rsidR="008F3329" w:rsidRDefault="00642757" w:rsidP="00642757">
      <w:r>
        <w:t>The current Act includes two access</w:t>
      </w:r>
      <w:r w:rsidRPr="001D4892">
        <w:t xml:space="preserve"> regimes for </w:t>
      </w:r>
      <w:r>
        <w:t xml:space="preserve">digital radio: a regime for </w:t>
      </w:r>
      <w:r w:rsidRPr="001D4892">
        <w:t>accessing digital radio multiplex</w:t>
      </w:r>
      <w:r>
        <w:t xml:space="preserve"> licenc</w:t>
      </w:r>
      <w:r w:rsidRPr="001D4892">
        <w:t xml:space="preserve">es and </w:t>
      </w:r>
      <w:r>
        <w:t xml:space="preserve">a separate regime for accessing </w:t>
      </w:r>
      <w:r w:rsidRPr="001D4892">
        <w:t>transmission towers</w:t>
      </w:r>
      <w:r>
        <w:t>, associated facilities and sites. These access regimes relate to participation in the broadcasting market, therefore it is proposed to incorporate</w:t>
      </w:r>
      <w:r w:rsidRPr="001D4892">
        <w:t xml:space="preserve"> </w:t>
      </w:r>
      <w:r>
        <w:t>these</w:t>
      </w:r>
      <w:r w:rsidRPr="001D4892">
        <w:t xml:space="preserve"> regimes </w:t>
      </w:r>
      <w:r>
        <w:t>into</w:t>
      </w:r>
      <w:r w:rsidRPr="001D4892">
        <w:t xml:space="preserve"> the BSA.</w:t>
      </w:r>
    </w:p>
    <w:p w14:paraId="7B4A5793" w14:textId="77777777" w:rsidR="00642757" w:rsidRDefault="004C40B3" w:rsidP="00642757">
      <w:pPr>
        <w:pStyle w:val="Heading3"/>
      </w:pPr>
      <w:r>
        <w:t>18</w:t>
      </w:r>
      <w:r w:rsidR="00642757">
        <w:t xml:space="preserve">. </w:t>
      </w:r>
      <w:r w:rsidR="00642757" w:rsidRPr="004311BC">
        <w:t>Review of decisions</w:t>
      </w:r>
    </w:p>
    <w:p w14:paraId="6E0EACF1" w14:textId="77777777" w:rsidR="00642757" w:rsidRPr="008F7695" w:rsidRDefault="001F4DFF" w:rsidP="00E0261A">
      <w:pPr>
        <w:pStyle w:val="Heading4"/>
      </w:pPr>
      <w:r>
        <w:t>Current arrangements:</w:t>
      </w:r>
    </w:p>
    <w:p w14:paraId="440D9435" w14:textId="77777777" w:rsidR="00642757" w:rsidRDefault="00642757" w:rsidP="00642757">
      <w:r w:rsidRPr="00872F34">
        <w:t xml:space="preserve">The </w:t>
      </w:r>
      <w:r>
        <w:t>current</w:t>
      </w:r>
      <w:r w:rsidRPr="00872F34">
        <w:t xml:space="preserve"> Act provides for certain decisions of the ACMA to be reviewed internally by the ACMA and then subsequently by the Administrative Appeals Tribunal (AAT).</w:t>
      </w:r>
    </w:p>
    <w:p w14:paraId="57FB9C6E" w14:textId="77777777" w:rsidR="00642757" w:rsidRPr="008F7695" w:rsidRDefault="001F4DFF" w:rsidP="00E0261A">
      <w:pPr>
        <w:pStyle w:val="Heading4"/>
      </w:pPr>
      <w:r>
        <w:t>Proposed approach:</w:t>
      </w:r>
    </w:p>
    <w:p w14:paraId="6AAD065E" w14:textId="77777777" w:rsidR="00642757" w:rsidRDefault="00642757" w:rsidP="00642757">
      <w:r>
        <w:t>It is proposed that the legislation will continue to provide for certain decisions of the ACMA to be able to be reviewed by the ACMA and then the AAT. These are:</w:t>
      </w:r>
    </w:p>
    <w:p w14:paraId="0ADA3F42" w14:textId="77777777" w:rsidR="00642757" w:rsidRDefault="00642757" w:rsidP="00642757">
      <w:pPr>
        <w:pStyle w:val="Bullet1"/>
      </w:pPr>
      <w:r>
        <w:t>refusal to issue a licence;</w:t>
      </w:r>
    </w:p>
    <w:p w14:paraId="71B98B29" w14:textId="77777777" w:rsidR="00642757" w:rsidRDefault="00642757" w:rsidP="00642757">
      <w:pPr>
        <w:pStyle w:val="Bullet1"/>
      </w:pPr>
      <w:r>
        <w:t>inclusion of licence conditions;</w:t>
      </w:r>
    </w:p>
    <w:p w14:paraId="761C88F8" w14:textId="77777777" w:rsidR="00642757" w:rsidRDefault="00642757" w:rsidP="00642757">
      <w:pPr>
        <w:pStyle w:val="Bullet1"/>
      </w:pPr>
      <w:r>
        <w:t>decision to vary or refusal to vary a licence;</w:t>
      </w:r>
    </w:p>
    <w:p w14:paraId="3FBF93A5" w14:textId="77777777" w:rsidR="00642757" w:rsidRDefault="00642757" w:rsidP="00642757">
      <w:pPr>
        <w:pStyle w:val="Bullet1"/>
      </w:pPr>
      <w:r>
        <w:t>decision to suspend/cancel a licence;</w:t>
      </w:r>
    </w:p>
    <w:p w14:paraId="338FFD08" w14:textId="77777777" w:rsidR="00642757" w:rsidRDefault="00642757" w:rsidP="00642757">
      <w:pPr>
        <w:pStyle w:val="Bullet1"/>
      </w:pPr>
      <w:r>
        <w:t>resumption of a licence or part of a licence;</w:t>
      </w:r>
    </w:p>
    <w:p w14:paraId="35EAD873" w14:textId="77777777" w:rsidR="00642757" w:rsidRDefault="00642757" w:rsidP="00642757">
      <w:pPr>
        <w:pStyle w:val="Bullet1"/>
      </w:pPr>
      <w:r>
        <w:t>decision to change information or refuse to correct information in the Register of Licences;</w:t>
      </w:r>
    </w:p>
    <w:p w14:paraId="0D7E84A1" w14:textId="77777777" w:rsidR="00642757" w:rsidRDefault="00642757" w:rsidP="00642757">
      <w:pPr>
        <w:pStyle w:val="Bullet1"/>
      </w:pPr>
      <w:r>
        <w:t>refusal to issue or cancellation of a qualified operator certificate of proficiency; and</w:t>
      </w:r>
    </w:p>
    <w:p w14:paraId="49B2C797" w14:textId="77777777" w:rsidR="00642757" w:rsidRDefault="00642757" w:rsidP="00642757">
      <w:pPr>
        <w:pStyle w:val="Bullet1"/>
      </w:pPr>
      <w:proofErr w:type="gramStart"/>
      <w:r>
        <w:t>refusal</w:t>
      </w:r>
      <w:proofErr w:type="gramEnd"/>
      <w:r>
        <w:t xml:space="preserve"> to give, or withdrawal of a person’s accreditation.</w:t>
      </w:r>
    </w:p>
    <w:p w14:paraId="6A9FC10C" w14:textId="77777777" w:rsidR="00642757" w:rsidRDefault="00642757" w:rsidP="00642757">
      <w:r>
        <w:t>Additional decisions to be reviewed would be included in order to accommodate new decision making powers in the Bill, including decisions not to renew a licence contrary to any rights in the licence.</w:t>
      </w:r>
    </w:p>
    <w:p w14:paraId="0DBDD75C" w14:textId="77777777" w:rsidR="00642757" w:rsidRDefault="004C40B3" w:rsidP="00E0261A">
      <w:pPr>
        <w:pStyle w:val="Heading3"/>
        <w:keepLines/>
      </w:pPr>
      <w:r>
        <w:t>19</w:t>
      </w:r>
      <w:r w:rsidR="00642757">
        <w:t xml:space="preserve">. </w:t>
      </w:r>
      <w:r w:rsidR="00642757" w:rsidRPr="004311BC">
        <w:t>Transitional arrangements</w:t>
      </w:r>
    </w:p>
    <w:p w14:paraId="46FB8A69" w14:textId="77777777" w:rsidR="00642757" w:rsidRDefault="00642757" w:rsidP="00E0261A">
      <w:pPr>
        <w:keepNext/>
        <w:keepLines/>
      </w:pPr>
      <w:r>
        <w:t>The Review indicated that transitional arrangements would need to be worked through carefully with stakeholders and that the full transition to a new framework would take place over a number of years. In transitioning to the new framework, the rights of existing licence holders will not be diminished. In this regard, it is proposed that:</w:t>
      </w:r>
    </w:p>
    <w:p w14:paraId="3AF9BB81" w14:textId="77777777" w:rsidR="00642757" w:rsidRDefault="00642757" w:rsidP="00642757">
      <w:pPr>
        <w:pStyle w:val="Bullet1"/>
      </w:pPr>
      <w:r>
        <w:t>the legislation will commence approximately one year after passage of the Bill through Parliament;</w:t>
      </w:r>
    </w:p>
    <w:p w14:paraId="199B2A25" w14:textId="77777777" w:rsidR="00642757" w:rsidRDefault="00642757" w:rsidP="00642757">
      <w:pPr>
        <w:pStyle w:val="Bullet1"/>
      </w:pPr>
      <w:r>
        <w:t>licensing processes currently underway will continue under the current framework;</w:t>
      </w:r>
    </w:p>
    <w:p w14:paraId="70AC7E97" w14:textId="77777777" w:rsidR="00642757" w:rsidRDefault="00642757" w:rsidP="00642757">
      <w:pPr>
        <w:pStyle w:val="Bullet1"/>
      </w:pPr>
      <w:r>
        <w:t>where practicable, class licences will be deemed as spectrum authorisations on commencement of the Bill;</w:t>
      </w:r>
    </w:p>
    <w:p w14:paraId="24816D0E" w14:textId="77777777" w:rsidR="008F3329" w:rsidRDefault="00642757" w:rsidP="00642757">
      <w:pPr>
        <w:pStyle w:val="Bullet1"/>
      </w:pPr>
      <w:r>
        <w:t>apparatus licences will transition to the new framework over a period of time in a staged approach; and</w:t>
      </w:r>
    </w:p>
    <w:p w14:paraId="144171DA" w14:textId="77777777" w:rsidR="008F3329" w:rsidRDefault="00642757" w:rsidP="00642757">
      <w:pPr>
        <w:pStyle w:val="Bullet1"/>
      </w:pPr>
      <w:proofErr w:type="gramStart"/>
      <w:r>
        <w:t>spectrum</w:t>
      </w:r>
      <w:proofErr w:type="gramEnd"/>
      <w:r>
        <w:t xml:space="preserve"> licences will continue until expiry unless the parties agree to transition earlier.</w:t>
      </w:r>
    </w:p>
    <w:p w14:paraId="2DB981C7" w14:textId="77777777" w:rsidR="00642757" w:rsidRDefault="00642757" w:rsidP="008549CB">
      <w:r>
        <w:t>Detailed transitional provisions will be released at or about the time of the exposure draft of the Bill for stakeholder feedback. A draft ACMA annual work plan will also be released for public consultation during the transition to the new Act.</w:t>
      </w:r>
      <w:r>
        <w:br w:type="page"/>
      </w:r>
    </w:p>
    <w:p w14:paraId="40B47101" w14:textId="77777777" w:rsidR="00642757" w:rsidRDefault="00642757" w:rsidP="00642757">
      <w:pPr>
        <w:pStyle w:val="Heading2"/>
      </w:pPr>
      <w:r w:rsidRPr="005F4620">
        <w:t>Disclaimer</w:t>
      </w:r>
    </w:p>
    <w:p w14:paraId="656018AA" w14:textId="77777777" w:rsidR="00642757" w:rsidRDefault="00642757" w:rsidP="00642757">
      <w:r w:rsidRPr="00F125A7">
        <w:t>The material in this Consultation Paper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14:paraId="329F21C7" w14:textId="77777777" w:rsidR="00642757" w:rsidRDefault="00642757" w:rsidP="00642757">
      <w:r w:rsidRPr="00F125A7">
        <w:t>The Commonwealth accepts no responsibility or liability for any damage, loss or expense incurred as a result of the reliance on information contained in this Consultation Paper.</w:t>
      </w:r>
    </w:p>
    <w:p w14:paraId="1DDF97FA" w14:textId="77777777" w:rsidR="00642757" w:rsidRDefault="00642757" w:rsidP="00642757">
      <w:r w:rsidRPr="00F125A7">
        <w:t>This Consultation Paper has been prepared for consultation purposes only and does not indicate the Commonwealth’s commitment to a particular course of action. Additionally, any third party views or recommendations included in this Consultation Paper do not reflect the views of the Commonwealth, or indicate its commitment to a particular course of action.</w:t>
      </w:r>
    </w:p>
    <w:p w14:paraId="25D60CA4" w14:textId="77777777" w:rsidR="00642757" w:rsidRDefault="00642757" w:rsidP="00642757">
      <w:pPr>
        <w:pStyle w:val="Heading2"/>
      </w:pPr>
      <w:r>
        <w:t>Copyright</w:t>
      </w:r>
    </w:p>
    <w:p w14:paraId="1FAFB99C" w14:textId="77777777" w:rsidR="00642757" w:rsidRDefault="00642757" w:rsidP="00642757">
      <w:pPr>
        <w:rPr>
          <w:lang w:eastAsia="en-AU"/>
        </w:rPr>
      </w:pPr>
      <w:r w:rsidRPr="00F125A7">
        <w:rPr>
          <w:lang w:eastAsia="en-AU"/>
        </w:rPr>
        <w:t>© Commonwealth of Australia 201</w:t>
      </w:r>
      <w:r w:rsidR="00812C93">
        <w:rPr>
          <w:lang w:eastAsia="en-AU"/>
        </w:rPr>
        <w:t>6</w:t>
      </w:r>
    </w:p>
    <w:p w14:paraId="33705AD5" w14:textId="77777777" w:rsidR="00642757" w:rsidRDefault="00642757" w:rsidP="00642757">
      <w:pPr>
        <w:rPr>
          <w:lang w:eastAsia="en-AU"/>
        </w:rPr>
      </w:pPr>
      <w:r w:rsidRPr="00F125A7">
        <w:rPr>
          <w:noProof/>
          <w:lang w:eastAsia="en-AU"/>
        </w:rPr>
        <w:drawing>
          <wp:inline distT="0" distB="0" distL="0" distR="0" wp14:anchorId="4AB535DC" wp14:editId="24E01C2B">
            <wp:extent cx="836930" cy="293370"/>
            <wp:effectExtent l="0" t="0" r="1270" b="0"/>
            <wp:docPr id="2"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F125A7">
        <w:rPr>
          <w:lang w:eastAsia="en-AU"/>
        </w:rPr>
        <w:t xml:space="preserve"> The material in this discussion paper is licensed under a Creative Commons Attribution—3.0 Australia license, with the exception of</w:t>
      </w:r>
      <w:r>
        <w:rPr>
          <w:lang w:eastAsia="en-AU"/>
        </w:rPr>
        <w:t>:</w:t>
      </w:r>
    </w:p>
    <w:p w14:paraId="785969F4" w14:textId="77777777" w:rsidR="00642757" w:rsidRPr="004311BC" w:rsidRDefault="00642757" w:rsidP="00642757">
      <w:pPr>
        <w:pStyle w:val="Bullet1"/>
      </w:pPr>
      <w:r w:rsidRPr="004311BC">
        <w:t>the Commonwealth Coat of Arms;</w:t>
      </w:r>
    </w:p>
    <w:p w14:paraId="1942A7E9" w14:textId="77777777" w:rsidR="00642757" w:rsidRPr="004311BC" w:rsidRDefault="00642757" w:rsidP="00642757">
      <w:pPr>
        <w:pStyle w:val="Bullet1"/>
      </w:pPr>
      <w:r w:rsidRPr="004311BC">
        <w:t>this Department’s logo;</w:t>
      </w:r>
    </w:p>
    <w:p w14:paraId="2D304946" w14:textId="77777777" w:rsidR="00642757" w:rsidRPr="004311BC" w:rsidRDefault="00642757" w:rsidP="00642757">
      <w:pPr>
        <w:pStyle w:val="Bullet1"/>
      </w:pPr>
      <w:r w:rsidRPr="004311BC">
        <w:t>any third party material;</w:t>
      </w:r>
    </w:p>
    <w:p w14:paraId="3077BBAD" w14:textId="77777777" w:rsidR="00642757" w:rsidRPr="004311BC" w:rsidRDefault="00642757" w:rsidP="00642757">
      <w:pPr>
        <w:pStyle w:val="Bullet1"/>
      </w:pPr>
      <w:r w:rsidRPr="004311BC">
        <w:t>any material protected by a trademark; and</w:t>
      </w:r>
    </w:p>
    <w:p w14:paraId="7C67ACFE" w14:textId="77777777" w:rsidR="00642757" w:rsidRPr="004311BC" w:rsidRDefault="00642757" w:rsidP="00642757">
      <w:pPr>
        <w:pStyle w:val="Bullet1"/>
      </w:pPr>
      <w:proofErr w:type="gramStart"/>
      <w:r w:rsidRPr="004311BC">
        <w:t>any</w:t>
      </w:r>
      <w:proofErr w:type="gramEnd"/>
      <w:r w:rsidRPr="004311BC">
        <w:t xml:space="preserve"> images and/or photographs.</w:t>
      </w:r>
    </w:p>
    <w:p w14:paraId="3064819D" w14:textId="77777777" w:rsidR="00642757" w:rsidRPr="004311BC" w:rsidRDefault="00642757" w:rsidP="00642757">
      <w:r w:rsidRPr="004311BC">
        <w:t xml:space="preserve">More information on this CC BY license is set out at the creative commons website: </w:t>
      </w:r>
      <w:hyperlink r:id="rId16" w:history="1">
        <w:r w:rsidRPr="004311BC">
          <w:rPr>
            <w:rStyle w:val="Hyperlink"/>
          </w:rPr>
          <w:t>www.creativecommons.org/licenses/by/3.0/au/</w:t>
        </w:r>
      </w:hyperlink>
      <w:r w:rsidRPr="004311BC">
        <w:t>. Enquiries about this license and any use of this Consultation Paper can be sent to: Spectrum Branch, Department of Communications and the Arts, GPO Box 2154, Canberra, ACT, 2601.</w:t>
      </w:r>
    </w:p>
    <w:p w14:paraId="1ACD28E6" w14:textId="77777777" w:rsidR="00642757" w:rsidRPr="004311BC" w:rsidRDefault="00642757" w:rsidP="00642757">
      <w:pPr>
        <w:pStyle w:val="Heading2"/>
      </w:pPr>
      <w:r w:rsidRPr="004311BC">
        <w:t>Attribution</w:t>
      </w:r>
    </w:p>
    <w:p w14:paraId="4BA6B042" w14:textId="77777777" w:rsidR="00642757" w:rsidRPr="004311BC" w:rsidRDefault="00642757" w:rsidP="00642757">
      <w:r w:rsidRPr="004311BC">
        <w:t>Use of all or part of this Consultation Paper must include the following attribution:</w:t>
      </w:r>
    </w:p>
    <w:p w14:paraId="54C4B05D" w14:textId="77777777" w:rsidR="00642757" w:rsidRPr="004311BC" w:rsidRDefault="00642757" w:rsidP="00642757">
      <w:pPr>
        <w:ind w:left="720"/>
      </w:pPr>
      <w:r w:rsidRPr="004311BC">
        <w:t xml:space="preserve">© Commonwealth of Australia </w:t>
      </w:r>
      <w:r>
        <w:t>201</w:t>
      </w:r>
      <w:r w:rsidR="00812C93">
        <w:t>6</w:t>
      </w:r>
      <w:r>
        <w:t>.</w:t>
      </w:r>
    </w:p>
    <w:p w14:paraId="18AEB834" w14:textId="77777777" w:rsidR="00642757" w:rsidRPr="004311BC" w:rsidRDefault="00642757" w:rsidP="00642757">
      <w:pPr>
        <w:pStyle w:val="Heading2"/>
      </w:pPr>
      <w:bookmarkStart w:id="2" w:name="_Toc356292524"/>
      <w:r w:rsidRPr="004311BC">
        <w:t>Using the Commonwealth Coat of Arms</w:t>
      </w:r>
      <w:bookmarkEnd w:id="2"/>
    </w:p>
    <w:p w14:paraId="01DD6342" w14:textId="77777777" w:rsidR="00642757" w:rsidRPr="004311BC" w:rsidRDefault="00642757" w:rsidP="00642757">
      <w:bookmarkStart w:id="3" w:name="_Toc356292525"/>
      <w:r w:rsidRPr="004311BC">
        <w:t xml:space="preserve">The terms of use for the Coat of Arms are available from the It’s an Honour website </w:t>
      </w:r>
      <w:r w:rsidRPr="004311BC">
        <w:br/>
        <w:t xml:space="preserve">(see </w:t>
      </w:r>
      <w:bookmarkEnd w:id="3"/>
      <w:r w:rsidRPr="004311BC">
        <w:fldChar w:fldCharType="begin"/>
      </w:r>
      <w:r w:rsidRPr="004311BC">
        <w:instrText xml:space="preserve"> HYPERLINK "http://www.itsanhonour.gov.au/" </w:instrText>
      </w:r>
      <w:r w:rsidRPr="004311BC">
        <w:fldChar w:fldCharType="separate"/>
      </w:r>
      <w:r w:rsidRPr="004311BC">
        <w:rPr>
          <w:rStyle w:val="Hyperlink"/>
        </w:rPr>
        <w:t>www.itsanhonour.gov.au</w:t>
      </w:r>
      <w:r w:rsidRPr="004311BC">
        <w:fldChar w:fldCharType="end"/>
      </w:r>
      <w:r w:rsidRPr="004311BC">
        <w:t xml:space="preserve"> and click ‘Commonwealth Coat of Arms’).</w:t>
      </w:r>
    </w:p>
    <w:p w14:paraId="25358F94" w14:textId="77777777" w:rsidR="00642757" w:rsidRPr="00642757" w:rsidRDefault="00642757" w:rsidP="00642757"/>
    <w:sectPr w:rsidR="00642757" w:rsidRPr="00642757" w:rsidSect="0084603E">
      <w:headerReference w:type="default" r:id="rId17"/>
      <w:footerReference w:type="default" r:id="rId18"/>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54732" w14:textId="77777777" w:rsidR="004B2C31" w:rsidRDefault="004B2C31" w:rsidP="003F0A2D">
      <w:pPr>
        <w:spacing w:after="0"/>
      </w:pPr>
      <w:r>
        <w:separator/>
      </w:r>
    </w:p>
  </w:endnote>
  <w:endnote w:type="continuationSeparator" w:id="0">
    <w:p w14:paraId="07E9330B" w14:textId="77777777" w:rsidR="004B2C31" w:rsidRDefault="004B2C31" w:rsidP="003F0A2D">
      <w:pPr>
        <w:spacing w:after="0"/>
      </w:pPr>
      <w:r>
        <w:continuationSeparator/>
      </w:r>
    </w:p>
  </w:endnote>
  <w:endnote w:type="continuationNotice" w:id="1">
    <w:p w14:paraId="48B1BE03" w14:textId="77777777" w:rsidR="004B2C31" w:rsidRDefault="004B2C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E0D91" w14:textId="77777777" w:rsidR="008A755A" w:rsidRDefault="008A755A" w:rsidP="00297528">
    <w:pPr>
      <w:pStyle w:val="Footer"/>
      <w:ind w:left="-1418"/>
    </w:pPr>
    <w:r>
      <w:rPr>
        <w:noProof/>
        <w:lang w:eastAsia="en-AU"/>
      </w:rPr>
      <w:drawing>
        <wp:inline distT="0" distB="0" distL="0" distR="0" wp14:anchorId="670A38B2" wp14:editId="0E2DE6F9">
          <wp:extent cx="7550988" cy="721970"/>
          <wp:effectExtent l="0" t="0" r="0" b="2540"/>
          <wp:docPr id="10" name="Picture 10" descr="GPO Box 2154, Canberra ACT 2601 Australia.&#10;Telephone: 02 6271 1000&#10;Web: www.communications.gov.au." title="Address for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2051" cy="73832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82052" w14:textId="77777777" w:rsidR="008A755A" w:rsidRPr="000249BC" w:rsidRDefault="008A755A" w:rsidP="009A56D0">
    <w:pPr>
      <w:pStyle w:val="Footer"/>
      <w:tabs>
        <w:tab w:val="clear" w:pos="9026"/>
        <w:tab w:val="right" w:pos="9333"/>
      </w:tabs>
      <w:ind w:left="-567"/>
      <w:jc w:val="right"/>
      <w:rPr>
        <w:sz w:val="18"/>
        <w:szCs w:val="18"/>
      </w:rPr>
    </w:pPr>
    <w:r>
      <w:rPr>
        <w:sz w:val="18"/>
        <w:szCs w:val="18"/>
      </w:rPr>
      <w:t>Legislative Proposals—consultation paper</w:t>
    </w:r>
    <w:r>
      <w:rPr>
        <w:sz w:val="18"/>
        <w:szCs w:val="18"/>
      </w:rPr>
      <w:tab/>
    </w:r>
    <w:r w:rsidRPr="009A56D0">
      <w:rPr>
        <w:color w:val="07478C"/>
        <w:sz w:val="18"/>
        <w:szCs w:val="18"/>
      </w:rPr>
      <w:t>www.communications.gov.au</w:t>
    </w:r>
    <w:r>
      <w:rPr>
        <w:sz w:val="18"/>
        <w:szCs w:val="18"/>
      </w:rPr>
      <w:tab/>
    </w:r>
    <w:sdt>
      <w:sdtPr>
        <w:rPr>
          <w:sz w:val="18"/>
          <w:szCs w:val="18"/>
        </w:rPr>
        <w:id w:val="-984167973"/>
        <w:docPartObj>
          <w:docPartGallery w:val="Page Numbers (Top of Page)"/>
          <w:docPartUnique/>
        </w:docPartObj>
      </w:sdtPr>
      <w:sdtEndPr/>
      <w:sdtContent>
        <w:r w:rsidRPr="000249BC">
          <w:rPr>
            <w:sz w:val="18"/>
            <w:szCs w:val="18"/>
          </w:rPr>
          <w:t xml:space="preserve">Page </w:t>
        </w:r>
        <w:r w:rsidRPr="000249BC">
          <w:rPr>
            <w:bCs/>
            <w:sz w:val="18"/>
            <w:szCs w:val="18"/>
          </w:rPr>
          <w:fldChar w:fldCharType="begin"/>
        </w:r>
        <w:r w:rsidRPr="000249BC">
          <w:rPr>
            <w:bCs/>
            <w:sz w:val="18"/>
            <w:szCs w:val="18"/>
          </w:rPr>
          <w:instrText xml:space="preserve"> PAGE </w:instrText>
        </w:r>
        <w:r w:rsidRPr="000249BC">
          <w:rPr>
            <w:bCs/>
            <w:sz w:val="18"/>
            <w:szCs w:val="18"/>
          </w:rPr>
          <w:fldChar w:fldCharType="separate"/>
        </w:r>
        <w:r w:rsidR="008C3414">
          <w:rPr>
            <w:bCs/>
            <w:noProof/>
            <w:sz w:val="18"/>
            <w:szCs w:val="18"/>
          </w:rPr>
          <w:t>21</w:t>
        </w:r>
        <w:r w:rsidRPr="000249BC">
          <w:rPr>
            <w:bCs/>
            <w:sz w:val="18"/>
            <w:szCs w:val="18"/>
          </w:rPr>
          <w:fldChar w:fldCharType="end"/>
        </w:r>
        <w:r w:rsidRPr="000249BC">
          <w:rPr>
            <w:sz w:val="18"/>
            <w:szCs w:val="18"/>
          </w:rPr>
          <w:t xml:space="preserve"> of </w:t>
        </w:r>
        <w:r w:rsidRPr="000249BC">
          <w:rPr>
            <w:bCs/>
            <w:sz w:val="18"/>
            <w:szCs w:val="18"/>
          </w:rPr>
          <w:fldChar w:fldCharType="begin"/>
        </w:r>
        <w:r w:rsidRPr="000249BC">
          <w:rPr>
            <w:bCs/>
            <w:sz w:val="18"/>
            <w:szCs w:val="18"/>
          </w:rPr>
          <w:instrText xml:space="preserve"> NUMPAGES  </w:instrText>
        </w:r>
        <w:r w:rsidRPr="000249BC">
          <w:rPr>
            <w:bCs/>
            <w:sz w:val="18"/>
            <w:szCs w:val="18"/>
          </w:rPr>
          <w:fldChar w:fldCharType="separate"/>
        </w:r>
        <w:r w:rsidR="008C3414">
          <w:rPr>
            <w:bCs/>
            <w:noProof/>
            <w:sz w:val="18"/>
            <w:szCs w:val="18"/>
          </w:rPr>
          <w:t>21</w:t>
        </w:r>
        <w:r w:rsidRPr="000249BC">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C9A0A" w14:textId="77777777" w:rsidR="004B2C31" w:rsidRDefault="004B2C31" w:rsidP="003F0A2D">
      <w:pPr>
        <w:spacing w:after="0"/>
      </w:pPr>
      <w:r>
        <w:separator/>
      </w:r>
    </w:p>
  </w:footnote>
  <w:footnote w:type="continuationSeparator" w:id="0">
    <w:p w14:paraId="631E70EF" w14:textId="77777777" w:rsidR="004B2C31" w:rsidRDefault="004B2C31" w:rsidP="003F0A2D">
      <w:pPr>
        <w:spacing w:after="0"/>
      </w:pPr>
      <w:r>
        <w:continuationSeparator/>
      </w:r>
    </w:p>
  </w:footnote>
  <w:footnote w:type="continuationNotice" w:id="1">
    <w:p w14:paraId="30C94C3D" w14:textId="77777777" w:rsidR="004B2C31" w:rsidRDefault="004B2C31">
      <w:pPr>
        <w:spacing w:after="0"/>
      </w:pPr>
    </w:p>
  </w:footnote>
  <w:footnote w:id="2">
    <w:p w14:paraId="357E902F" w14:textId="77777777" w:rsidR="008A755A" w:rsidRDefault="008A755A">
      <w:pPr>
        <w:pStyle w:val="FootnoteText"/>
      </w:pPr>
      <w:r>
        <w:rPr>
          <w:rStyle w:val="FootnoteReference"/>
        </w:rPr>
        <w:footnoteRef/>
      </w:r>
      <w:r w:rsidRPr="00C33AFF">
        <w:rPr>
          <w:rStyle w:val="FootnoteReference"/>
        </w:rPr>
        <w:t xml:space="preserve"> </w:t>
      </w:r>
      <w:r w:rsidRPr="00CA7772">
        <w:t>Th</w:t>
      </w:r>
      <w:r>
        <w:t xml:space="preserve">e economic value of spectrum’, </w:t>
      </w:r>
      <w:r w:rsidRPr="00CA7772">
        <w:t xml:space="preserve">Research report prepared for the </w:t>
      </w:r>
      <w:r>
        <w:t xml:space="preserve">[then] </w:t>
      </w:r>
      <w:r w:rsidRPr="00CA7772">
        <w:t>Department of Communications by the Centre for International Economics, January 2015</w:t>
      </w:r>
      <w:r>
        <w:t>.</w:t>
      </w:r>
    </w:p>
  </w:footnote>
  <w:footnote w:id="3">
    <w:p w14:paraId="536E349D" w14:textId="77777777" w:rsidR="008A755A" w:rsidRDefault="008A755A" w:rsidP="00642757">
      <w:pPr>
        <w:pStyle w:val="FootnoteText"/>
      </w:pPr>
      <w:r>
        <w:rPr>
          <w:rStyle w:val="FootnoteReference"/>
        </w:rPr>
        <w:footnoteRef/>
      </w:r>
      <w:r>
        <w:t xml:space="preserve"> Radiocommunications Bill 1992, Explanatory Memorandum,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95551" w14:textId="77777777" w:rsidR="008A755A" w:rsidRDefault="008A755A" w:rsidP="003F0A2D">
    <w:pPr>
      <w:pStyle w:val="Header"/>
      <w:ind w:left="-1418"/>
    </w:pPr>
    <w:r>
      <w:rPr>
        <w:noProof/>
        <w:lang w:eastAsia="en-AU"/>
      </w:rPr>
      <w:drawing>
        <wp:inline distT="0" distB="0" distL="0" distR="0" wp14:anchorId="12029DED" wp14:editId="09713ACF">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760ACF34" w14:textId="77777777" w:rsidR="008A755A" w:rsidRPr="009A56D0" w:rsidRDefault="008A755A"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Pr>
        <w:color w:val="07478C"/>
      </w:rPr>
      <w:t>March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32166"/>
    <w:multiLevelType w:val="multilevel"/>
    <w:tmpl w:val="EFDC8A06"/>
    <w:styleLink w:val="Bulle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0151DC"/>
    <w:multiLevelType w:val="hybridMultilevel"/>
    <w:tmpl w:val="653AD12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3A15FB9"/>
    <w:multiLevelType w:val="hybridMultilevel"/>
    <w:tmpl w:val="0DA02A9C"/>
    <w:lvl w:ilvl="0" w:tplc="7514E1D4">
      <w:start w:val="1"/>
      <w:numFmt w:val="bullet"/>
      <w:pStyle w:val="Bullet1"/>
      <w:lvlText w:val=""/>
      <w:lvlJc w:val="left"/>
      <w:pPr>
        <w:ind w:left="360" w:hanging="360"/>
      </w:pPr>
      <w:rPr>
        <w:rFonts w:ascii="Symbol" w:hAnsi="Symbol" w:hint="default"/>
        <w:caps w:val="0"/>
        <w:strike w:val="0"/>
        <w:dstrike w:val="0"/>
        <w:vanish w:val="0"/>
        <w:color w:val="005391"/>
        <w:sz w:val="22"/>
        <w:vertAlign w:val="baseline"/>
      </w:rPr>
    </w:lvl>
    <w:lvl w:ilvl="1" w:tplc="F1ACFA4C">
      <w:start w:val="1"/>
      <w:numFmt w:val="bullet"/>
      <w:pStyle w:val="ListBullet"/>
      <w:lvlText w:val=""/>
      <w:lvlJc w:val="left"/>
      <w:pPr>
        <w:ind w:left="1440" w:hanging="360"/>
      </w:pPr>
      <w:rPr>
        <w:rFonts w:ascii="Symbol" w:hAnsi="Symbol" w:hint="default"/>
        <w:color w:val="897005"/>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51062D"/>
    <w:multiLevelType w:val="hybridMultilevel"/>
    <w:tmpl w:val="4AA038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9DA0173"/>
    <w:multiLevelType w:val="hybridMultilevel"/>
    <w:tmpl w:val="7F64A1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4"/>
  </w:num>
  <w:num w:numId="5">
    <w:abstractNumId w:val="0"/>
  </w:num>
  <w:num w:numId="6">
    <w:abstractNumId w:val="7"/>
  </w:num>
  <w:num w:numId="7">
    <w:abstractNumId w:val="5"/>
  </w:num>
  <w:num w:numId="8">
    <w:abstractNumId w:val="2"/>
  </w:num>
  <w:num w:numId="9">
    <w:abstractNumId w:val="4"/>
  </w:num>
  <w:num w:numId="10">
    <w:abstractNumId w:val="4"/>
  </w:num>
  <w:num w:numId="11">
    <w:abstractNumId w:val="4"/>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57"/>
    <w:rsid w:val="0001219E"/>
    <w:rsid w:val="00012F0B"/>
    <w:rsid w:val="000220AD"/>
    <w:rsid w:val="000249BC"/>
    <w:rsid w:val="000267BE"/>
    <w:rsid w:val="00047B77"/>
    <w:rsid w:val="00074CAF"/>
    <w:rsid w:val="00077777"/>
    <w:rsid w:val="00087CDA"/>
    <w:rsid w:val="0009097D"/>
    <w:rsid w:val="00095791"/>
    <w:rsid w:val="000A1DB4"/>
    <w:rsid w:val="000D208C"/>
    <w:rsid w:val="000E1A93"/>
    <w:rsid w:val="000E20A3"/>
    <w:rsid w:val="00100F1A"/>
    <w:rsid w:val="00104EEC"/>
    <w:rsid w:val="00153F5A"/>
    <w:rsid w:val="00172A1A"/>
    <w:rsid w:val="001A3020"/>
    <w:rsid w:val="001C0213"/>
    <w:rsid w:val="001C1735"/>
    <w:rsid w:val="001F3924"/>
    <w:rsid w:val="001F4DFF"/>
    <w:rsid w:val="00206704"/>
    <w:rsid w:val="0021657D"/>
    <w:rsid w:val="00220BB8"/>
    <w:rsid w:val="00285881"/>
    <w:rsid w:val="00297528"/>
    <w:rsid w:val="00297D20"/>
    <w:rsid w:val="002E06F2"/>
    <w:rsid w:val="00317E4F"/>
    <w:rsid w:val="00321653"/>
    <w:rsid w:val="003509FE"/>
    <w:rsid w:val="00353A68"/>
    <w:rsid w:val="0039308B"/>
    <w:rsid w:val="003B07DF"/>
    <w:rsid w:val="003D2B6A"/>
    <w:rsid w:val="003F0A2D"/>
    <w:rsid w:val="0040012A"/>
    <w:rsid w:val="0040622C"/>
    <w:rsid w:val="00421F56"/>
    <w:rsid w:val="004439EA"/>
    <w:rsid w:val="004453F3"/>
    <w:rsid w:val="0045434B"/>
    <w:rsid w:val="00480CC7"/>
    <w:rsid w:val="0049182E"/>
    <w:rsid w:val="0049736D"/>
    <w:rsid w:val="004B2C31"/>
    <w:rsid w:val="004C094B"/>
    <w:rsid w:val="004C40B3"/>
    <w:rsid w:val="004C5307"/>
    <w:rsid w:val="004E1033"/>
    <w:rsid w:val="004E10A5"/>
    <w:rsid w:val="004F3C4E"/>
    <w:rsid w:val="004F4D77"/>
    <w:rsid w:val="005041AF"/>
    <w:rsid w:val="00505D5A"/>
    <w:rsid w:val="00507E41"/>
    <w:rsid w:val="00517000"/>
    <w:rsid w:val="00535ADA"/>
    <w:rsid w:val="00540BC5"/>
    <w:rsid w:val="005526D5"/>
    <w:rsid w:val="00556638"/>
    <w:rsid w:val="00567FAF"/>
    <w:rsid w:val="005771AD"/>
    <w:rsid w:val="005A4454"/>
    <w:rsid w:val="005A49EF"/>
    <w:rsid w:val="005C2055"/>
    <w:rsid w:val="005C6CEF"/>
    <w:rsid w:val="005D2C6A"/>
    <w:rsid w:val="005E13FE"/>
    <w:rsid w:val="005E7DE5"/>
    <w:rsid w:val="005F08D5"/>
    <w:rsid w:val="005F38F6"/>
    <w:rsid w:val="006009F0"/>
    <w:rsid w:val="00610353"/>
    <w:rsid w:val="00624AB5"/>
    <w:rsid w:val="00642757"/>
    <w:rsid w:val="00646CE5"/>
    <w:rsid w:val="0064771D"/>
    <w:rsid w:val="0065316C"/>
    <w:rsid w:val="00663D52"/>
    <w:rsid w:val="00686E0A"/>
    <w:rsid w:val="006877E9"/>
    <w:rsid w:val="00690C2A"/>
    <w:rsid w:val="006A19A2"/>
    <w:rsid w:val="006D014F"/>
    <w:rsid w:val="006D3097"/>
    <w:rsid w:val="006E78DB"/>
    <w:rsid w:val="00704775"/>
    <w:rsid w:val="00705F00"/>
    <w:rsid w:val="007C0935"/>
    <w:rsid w:val="007C4F5D"/>
    <w:rsid w:val="007D0F84"/>
    <w:rsid w:val="0081264D"/>
    <w:rsid w:val="00812C93"/>
    <w:rsid w:val="00822731"/>
    <w:rsid w:val="008301DB"/>
    <w:rsid w:val="00832492"/>
    <w:rsid w:val="0084603E"/>
    <w:rsid w:val="00852E5C"/>
    <w:rsid w:val="00853419"/>
    <w:rsid w:val="008549CB"/>
    <w:rsid w:val="00860FD5"/>
    <w:rsid w:val="00875192"/>
    <w:rsid w:val="008A312B"/>
    <w:rsid w:val="008A599D"/>
    <w:rsid w:val="008A755A"/>
    <w:rsid w:val="008B05B5"/>
    <w:rsid w:val="008C3414"/>
    <w:rsid w:val="008C6C53"/>
    <w:rsid w:val="008E1994"/>
    <w:rsid w:val="008F3329"/>
    <w:rsid w:val="00911DB4"/>
    <w:rsid w:val="00933ABA"/>
    <w:rsid w:val="009467B7"/>
    <w:rsid w:val="0095618B"/>
    <w:rsid w:val="00957B9F"/>
    <w:rsid w:val="0096052B"/>
    <w:rsid w:val="009921DB"/>
    <w:rsid w:val="009A56D0"/>
    <w:rsid w:val="009B614A"/>
    <w:rsid w:val="009E7102"/>
    <w:rsid w:val="00A33990"/>
    <w:rsid w:val="00A625B3"/>
    <w:rsid w:val="00A669A1"/>
    <w:rsid w:val="00A66A27"/>
    <w:rsid w:val="00A66AC4"/>
    <w:rsid w:val="00A7176A"/>
    <w:rsid w:val="00A749E6"/>
    <w:rsid w:val="00AA6A4A"/>
    <w:rsid w:val="00AF277C"/>
    <w:rsid w:val="00AF32E7"/>
    <w:rsid w:val="00B163FC"/>
    <w:rsid w:val="00B35BC7"/>
    <w:rsid w:val="00B370BC"/>
    <w:rsid w:val="00B42394"/>
    <w:rsid w:val="00B4615E"/>
    <w:rsid w:val="00B57D30"/>
    <w:rsid w:val="00B72C06"/>
    <w:rsid w:val="00BA2D40"/>
    <w:rsid w:val="00BB312E"/>
    <w:rsid w:val="00C00F1B"/>
    <w:rsid w:val="00C17230"/>
    <w:rsid w:val="00C20D2A"/>
    <w:rsid w:val="00C33AFF"/>
    <w:rsid w:val="00C61D2E"/>
    <w:rsid w:val="00C637FF"/>
    <w:rsid w:val="00CA7772"/>
    <w:rsid w:val="00CE770A"/>
    <w:rsid w:val="00D151DA"/>
    <w:rsid w:val="00D24D05"/>
    <w:rsid w:val="00D27714"/>
    <w:rsid w:val="00D55A03"/>
    <w:rsid w:val="00D7396E"/>
    <w:rsid w:val="00D92E33"/>
    <w:rsid w:val="00D977A9"/>
    <w:rsid w:val="00DA0467"/>
    <w:rsid w:val="00DA20F9"/>
    <w:rsid w:val="00DB095A"/>
    <w:rsid w:val="00DC4384"/>
    <w:rsid w:val="00DD4718"/>
    <w:rsid w:val="00DE130E"/>
    <w:rsid w:val="00E0261A"/>
    <w:rsid w:val="00E220B9"/>
    <w:rsid w:val="00E240F8"/>
    <w:rsid w:val="00EA3DF5"/>
    <w:rsid w:val="00EB0F13"/>
    <w:rsid w:val="00EB5224"/>
    <w:rsid w:val="00EC7717"/>
    <w:rsid w:val="00EE67ED"/>
    <w:rsid w:val="00EF112E"/>
    <w:rsid w:val="00F12F25"/>
    <w:rsid w:val="00F41896"/>
    <w:rsid w:val="00F71EA8"/>
    <w:rsid w:val="00F729AE"/>
    <w:rsid w:val="00F83A5A"/>
    <w:rsid w:val="00F977DF"/>
    <w:rsid w:val="00FA414F"/>
    <w:rsid w:val="00FB4064"/>
    <w:rsid w:val="00FD03ED"/>
    <w:rsid w:val="00FD457A"/>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F0D362"/>
  <w15:chartTrackingRefBased/>
  <w15:docId w15:val="{DB9EB29A-62AF-4904-B720-E6475D1C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3FE"/>
    <w:pPr>
      <w:spacing w:after="240" w:line="240" w:lineRule="auto"/>
    </w:pPr>
  </w:style>
  <w:style w:type="paragraph" w:styleId="Heading1">
    <w:name w:val="heading 1"/>
    <w:basedOn w:val="Normal"/>
    <w:next w:val="Normal"/>
    <w:link w:val="Heading1Char"/>
    <w:uiPriority w:val="9"/>
    <w:qFormat/>
    <w:rsid w:val="00C61D2E"/>
    <w:pPr>
      <w:keepNext/>
      <w:spacing w:before="30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9A56D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9A56D0"/>
    <w:pPr>
      <w:keepNext/>
      <w:spacing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E0261A"/>
    <w:pPr>
      <w:keepNext/>
      <w:outlineLvl w:val="3"/>
    </w:pPr>
    <w:rPr>
      <w:b/>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D2E"/>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9A56D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9A56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E0261A"/>
    <w:rPr>
      <w:b/>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9A56D0"/>
    <w:pPr>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aliases w:val="List Paragraph1,List Paragraph11,Recommendation,bullet point list,L,CV text,Dot pt,F5 List Paragraph,No Spacing1,List Paragraph Char Char Char,Indicator Text,Numbered Para 1,List Paragraph12,Bullet Points,MAIN CONTENT"/>
    <w:basedOn w:val="Normal"/>
    <w:link w:val="ListParagraphChar"/>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4F3C4E"/>
    <w:pPr>
      <w:numPr>
        <w:numId w:val="3"/>
      </w:numPr>
      <w:spacing w:after="0"/>
      <w:ind w:left="397" w:hanging="397"/>
    </w:pPr>
  </w:style>
  <w:style w:type="paragraph" w:styleId="Title">
    <w:name w:val="Title"/>
    <w:basedOn w:val="Normal"/>
    <w:next w:val="Normal"/>
    <w:link w:val="TitleChar"/>
    <w:uiPriority w:val="10"/>
    <w:qFormat/>
    <w:rsid w:val="00642757"/>
    <w:pPr>
      <w:spacing w:before="240" w:after="60"/>
      <w:outlineLvl w:val="0"/>
    </w:pPr>
    <w:rPr>
      <w:rFonts w:ascii="Calibri" w:eastAsia="SimSun" w:hAnsi="Calibri" w:cs="Angsana New"/>
      <w:b/>
      <w:bCs/>
      <w:noProof/>
      <w:w w:val="105"/>
      <w:kern w:val="28"/>
      <w:sz w:val="56"/>
      <w:szCs w:val="32"/>
    </w:rPr>
  </w:style>
  <w:style w:type="character" w:customStyle="1" w:styleId="TitleChar">
    <w:name w:val="Title Char"/>
    <w:basedOn w:val="DefaultParagraphFont"/>
    <w:link w:val="Title"/>
    <w:uiPriority w:val="10"/>
    <w:rsid w:val="00642757"/>
    <w:rPr>
      <w:rFonts w:ascii="Calibri" w:eastAsia="SimSun" w:hAnsi="Calibri" w:cs="Angsana New"/>
      <w:b/>
      <w:bCs/>
      <w:noProof/>
      <w:w w:val="105"/>
      <w:kern w:val="28"/>
      <w:sz w:val="56"/>
      <w:szCs w:val="32"/>
    </w:rPr>
  </w:style>
  <w:style w:type="paragraph" w:styleId="BalloonText">
    <w:name w:val="Balloon Text"/>
    <w:basedOn w:val="Normal"/>
    <w:link w:val="BalloonTextChar"/>
    <w:uiPriority w:val="99"/>
    <w:semiHidden/>
    <w:unhideWhenUsed/>
    <w:rsid w:val="00642757"/>
    <w:pPr>
      <w:spacing w:after="0"/>
    </w:pPr>
    <w:rPr>
      <w:rFonts w:ascii="Tahoma" w:eastAsia="Calibri" w:hAnsi="Tahoma" w:cs="Tahoma"/>
      <w:w w:val="105"/>
      <w:kern w:val="40"/>
      <w:sz w:val="16"/>
      <w:szCs w:val="16"/>
    </w:rPr>
  </w:style>
  <w:style w:type="character" w:customStyle="1" w:styleId="BalloonTextChar">
    <w:name w:val="Balloon Text Char"/>
    <w:basedOn w:val="DefaultParagraphFont"/>
    <w:link w:val="BalloonText"/>
    <w:uiPriority w:val="99"/>
    <w:semiHidden/>
    <w:rsid w:val="00642757"/>
    <w:rPr>
      <w:rFonts w:ascii="Tahoma" w:eastAsia="Calibri" w:hAnsi="Tahoma" w:cs="Tahoma"/>
      <w:w w:val="105"/>
      <w:kern w:val="40"/>
      <w:sz w:val="16"/>
      <w:szCs w:val="16"/>
    </w:rPr>
  </w:style>
  <w:style w:type="paragraph" w:customStyle="1" w:styleId="Bullet1">
    <w:name w:val="Bullet 1"/>
    <w:basedOn w:val="ListBullet2"/>
    <w:qFormat/>
    <w:rsid w:val="00317E4F"/>
    <w:pPr>
      <w:numPr>
        <w:ilvl w:val="0"/>
      </w:numPr>
      <w:spacing w:after="240" w:line="240" w:lineRule="auto"/>
      <w:ind w:left="567" w:hanging="567"/>
    </w:pPr>
  </w:style>
  <w:style w:type="numbering" w:customStyle="1" w:styleId="Bullet2">
    <w:name w:val="Bullet 2"/>
    <w:basedOn w:val="NoList"/>
    <w:uiPriority w:val="99"/>
    <w:rsid w:val="00642757"/>
    <w:pPr>
      <w:numPr>
        <w:numId w:val="5"/>
      </w:numPr>
    </w:pPr>
  </w:style>
  <w:style w:type="paragraph" w:styleId="ListBullet2">
    <w:name w:val="List Bullet 2"/>
    <w:basedOn w:val="ListBullet"/>
    <w:uiPriority w:val="99"/>
    <w:unhideWhenUsed/>
    <w:qFormat/>
    <w:rsid w:val="00642757"/>
  </w:style>
  <w:style w:type="paragraph" w:styleId="ListBullet">
    <w:name w:val="List Bullet"/>
    <w:aliases w:val="List Bullet 1"/>
    <w:basedOn w:val="Normal"/>
    <w:uiPriority w:val="99"/>
    <w:unhideWhenUsed/>
    <w:rsid w:val="00642757"/>
    <w:pPr>
      <w:numPr>
        <w:ilvl w:val="1"/>
        <w:numId w:val="4"/>
      </w:numPr>
      <w:spacing w:after="200" w:line="276" w:lineRule="auto"/>
      <w:contextualSpacing/>
    </w:pPr>
    <w:rPr>
      <w:rFonts w:ascii="Calibri" w:eastAsia="Calibri" w:hAnsi="Calibri" w:cs="Calibri"/>
      <w:w w:val="105"/>
      <w:kern w:val="40"/>
    </w:rPr>
  </w:style>
  <w:style w:type="character" w:styleId="Strong">
    <w:name w:val="Strong"/>
    <w:basedOn w:val="DefaultParagraphFont"/>
    <w:uiPriority w:val="22"/>
    <w:rsid w:val="00642757"/>
    <w:rPr>
      <w:b/>
      <w:bCs/>
    </w:rPr>
  </w:style>
  <w:style w:type="character" w:styleId="SubtleEmphasis">
    <w:name w:val="Subtle Emphasis"/>
    <w:basedOn w:val="DefaultParagraphFont"/>
    <w:uiPriority w:val="19"/>
    <w:rsid w:val="00642757"/>
    <w:rPr>
      <w:i/>
      <w:iCs/>
      <w:color w:val="808080" w:themeColor="text1" w:themeTint="7F"/>
    </w:rPr>
  </w:style>
  <w:style w:type="character" w:styleId="PageNumber">
    <w:name w:val="page number"/>
    <w:basedOn w:val="DefaultParagraphFont"/>
    <w:uiPriority w:val="49"/>
    <w:rsid w:val="00642757"/>
    <w:rPr>
      <w:color w:val="FFFFFF" w:themeColor="background1"/>
      <w:sz w:val="22"/>
    </w:rPr>
  </w:style>
  <w:style w:type="character" w:styleId="FollowedHyperlink">
    <w:name w:val="FollowedHyperlink"/>
    <w:basedOn w:val="DefaultParagraphFont"/>
    <w:uiPriority w:val="99"/>
    <w:semiHidden/>
    <w:unhideWhenUsed/>
    <w:rsid w:val="00642757"/>
    <w:rPr>
      <w:color w:val="954F72" w:themeColor="followedHyperlink"/>
      <w:u w:val="single"/>
    </w:rPr>
  </w:style>
  <w:style w:type="character" w:styleId="CommentReference">
    <w:name w:val="annotation reference"/>
    <w:basedOn w:val="DefaultParagraphFont"/>
    <w:uiPriority w:val="99"/>
    <w:semiHidden/>
    <w:unhideWhenUsed/>
    <w:rsid w:val="00642757"/>
    <w:rPr>
      <w:sz w:val="16"/>
      <w:szCs w:val="16"/>
    </w:rPr>
  </w:style>
  <w:style w:type="paragraph" w:styleId="CommentText">
    <w:name w:val="annotation text"/>
    <w:basedOn w:val="Normal"/>
    <w:link w:val="CommentTextChar"/>
    <w:uiPriority w:val="99"/>
    <w:unhideWhenUsed/>
    <w:rsid w:val="00642757"/>
    <w:pPr>
      <w:spacing w:after="160"/>
    </w:pPr>
    <w:rPr>
      <w:sz w:val="20"/>
      <w:szCs w:val="20"/>
    </w:rPr>
  </w:style>
  <w:style w:type="character" w:customStyle="1" w:styleId="CommentTextChar">
    <w:name w:val="Comment Text Char"/>
    <w:basedOn w:val="DefaultParagraphFont"/>
    <w:link w:val="CommentText"/>
    <w:uiPriority w:val="99"/>
    <w:rsid w:val="00642757"/>
    <w:rPr>
      <w:sz w:val="20"/>
      <w:szCs w:val="20"/>
    </w:rPr>
  </w:style>
  <w:style w:type="character" w:customStyle="1" w:styleId="ListParagraphChar">
    <w:name w:val="List Paragraph Char"/>
    <w:aliases w:val="List Paragraph1 Char,List Paragraph11 Char,Recommendation Char,bullet point list Char,L Char,CV text Char,Dot pt Char,F5 List Paragraph Char,No Spacing1 Char,List Paragraph Char Char Char Char,Indicator Text Char,Numbered Para 1 Char"/>
    <w:basedOn w:val="DefaultParagraphFont"/>
    <w:link w:val="ListParagraph"/>
    <w:uiPriority w:val="34"/>
    <w:rsid w:val="00642757"/>
  </w:style>
  <w:style w:type="paragraph" w:styleId="CommentSubject">
    <w:name w:val="annotation subject"/>
    <w:basedOn w:val="CommentText"/>
    <w:next w:val="CommentText"/>
    <w:link w:val="CommentSubjectChar"/>
    <w:uiPriority w:val="99"/>
    <w:semiHidden/>
    <w:unhideWhenUsed/>
    <w:rsid w:val="00642757"/>
    <w:pPr>
      <w:spacing w:after="200"/>
    </w:pPr>
    <w:rPr>
      <w:rFonts w:ascii="Calibri" w:eastAsia="Calibri" w:hAnsi="Calibri" w:cs="Calibri"/>
      <w:b/>
      <w:bCs/>
      <w:w w:val="105"/>
      <w:kern w:val="40"/>
    </w:rPr>
  </w:style>
  <w:style w:type="character" w:customStyle="1" w:styleId="CommentSubjectChar">
    <w:name w:val="Comment Subject Char"/>
    <w:basedOn w:val="CommentTextChar"/>
    <w:link w:val="CommentSubject"/>
    <w:uiPriority w:val="99"/>
    <w:semiHidden/>
    <w:rsid w:val="00642757"/>
    <w:rPr>
      <w:rFonts w:ascii="Calibri" w:eastAsia="Calibri" w:hAnsi="Calibri" w:cs="Calibri"/>
      <w:b/>
      <w:bCs/>
      <w:w w:val="105"/>
      <w:kern w:val="40"/>
      <w:sz w:val="20"/>
      <w:szCs w:val="20"/>
    </w:rPr>
  </w:style>
  <w:style w:type="paragraph" w:customStyle="1" w:styleId="CABHeading1">
    <w:name w:val="CAB Heading 1"/>
    <w:basedOn w:val="Normal"/>
    <w:qFormat/>
    <w:rsid w:val="00642757"/>
    <w:pPr>
      <w:spacing w:before="120" w:after="120"/>
    </w:pPr>
    <w:rPr>
      <w:rFonts w:ascii="Times New Roman" w:hAnsi="Times New Roman"/>
      <w:b/>
      <w:sz w:val="24"/>
      <w:szCs w:val="24"/>
    </w:rPr>
  </w:style>
  <w:style w:type="paragraph" w:styleId="Revision">
    <w:name w:val="Revision"/>
    <w:hidden/>
    <w:uiPriority w:val="99"/>
    <w:semiHidden/>
    <w:rsid w:val="00642757"/>
    <w:pPr>
      <w:spacing w:after="0" w:line="240" w:lineRule="auto"/>
    </w:pPr>
    <w:rPr>
      <w:rFonts w:ascii="Calibri" w:eastAsia="Calibri" w:hAnsi="Calibri" w:cs="Calibri"/>
      <w:w w:val="105"/>
      <w:kern w:val="40"/>
    </w:rPr>
  </w:style>
  <w:style w:type="paragraph" w:customStyle="1" w:styleId="StyleListParagraphListParagraph1ListParagraph11Recommendatio">
    <w:name w:val="Style List ParagraphList Paragraph1List Paragraph11Recommendatio..."/>
    <w:basedOn w:val="ListParagraph"/>
    <w:rsid w:val="005E13FE"/>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800728978">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 w:id="18550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ctrumreform@communications.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reativecommons.org/licenses/by/3.0/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cid:image001.jpg@01CF53E2.F599D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7da67-68a3-4e9d-8803-ba3e1787ab6c"/>
    <dd9c7627a75f4720a6ccce58a35e4d75 xmlns="4597da67-68a3-4e9d-8803-ba3e1787ab6c">
      <Terms xmlns="http://schemas.microsoft.com/office/infopath/2007/PartnerControls"/>
    </dd9c7627a75f4720a6ccce58a35e4d75>
    <trimRootDocSecurityCaveats xmlns="4597da67-68a3-4e9d-8803-ba3e1787ab6c"/>
    <trimRootDocURI xmlns="4597da67-68a3-4e9d-8803-ba3e1787ab6c" xsi:nil="true"/>
    <trimRootDocParentURI xmlns="4597da67-68a3-4e9d-8803-ba3e1787ab6c" xsi:nil="true"/>
    <trimRootDocSecurityLevel xmlns="4597da67-68a3-4e9d-8803-ba3e1787ab6c" xsi:nil="true"/>
    <trimRootDocACLCanViewDocument xmlns="4597da67-68a3-4e9d-8803-ba3e1787ab6c" xsi:nil="true"/>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hab31d4ae2264d5c8e77fd86c07e7635 xmlns="4597da67-68a3-4e9d-8803-ba3e1787ab6c">
      <Terms xmlns="http://schemas.microsoft.com/office/infopath/2007/PartnerControls"/>
    </hab31d4ae2264d5c8e77fd86c07e7635>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ACLCanUpdateMetadata xmlns="4597da67-68a3-4e9d-8803-ba3e1787ab6c" xsi:nil="true"/>
    <trimRootDocACLCanViewMetadata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46D6BD8B92622140866B9303B490BA5F" ma:contentTypeVersion="5" ma:contentTypeDescription="This content type is the root content type of all trim record types with behaviour as Document" ma:contentTypeScope="" ma:versionID="3614cb0a6d5ce0341d5667bd6a1163c6">
  <xsd:schema xmlns:xsd="http://www.w3.org/2001/XMLSchema" xmlns:xs="http://www.w3.org/2001/XMLSchema" xmlns:p="http://schemas.microsoft.com/office/2006/metadata/properties" xmlns:ns2="4597da67-68a3-4e9d-8803-ba3e1787ab6c" targetNamespace="http://schemas.microsoft.com/office/2006/metadata/properties" ma:root="true" ma:fieldsID="3eebb09dbc625f57189c5121741f900f"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EEF4-6C53-48F6-B039-80A3249C66D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597da67-68a3-4e9d-8803-ba3e1787ab6c"/>
    <ds:schemaRef ds:uri="http://www.w3.org/XML/1998/namespace"/>
    <ds:schemaRef ds:uri="http://purl.org/dc/dcmitype/"/>
  </ds:schemaRefs>
</ds:datastoreItem>
</file>

<file path=customXml/itemProps2.xml><?xml version="1.0" encoding="utf-8"?>
<ds:datastoreItem xmlns:ds="http://schemas.openxmlformats.org/officeDocument/2006/customXml" ds:itemID="{85FAFF56-0C72-4D20-9E4A-899FCDC105D5}">
  <ds:schemaRefs>
    <ds:schemaRef ds:uri="http://schemas.microsoft.com/sharepoint/v3/contenttype/forms"/>
  </ds:schemaRefs>
</ds:datastoreItem>
</file>

<file path=customXml/itemProps3.xml><?xml version="1.0" encoding="utf-8"?>
<ds:datastoreItem xmlns:ds="http://schemas.openxmlformats.org/officeDocument/2006/customXml" ds:itemID="{98EA9100-BC80-44AD-ACE6-A6C64917F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B4AF60-D803-4792-8075-6BB2302B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8163</Words>
  <Characters>46531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Legislative Proposals Consultation Paper—Radiocommunications Bill 2016</vt:lpstr>
    </vt:vector>
  </TitlesOfParts>
  <Company>Department of Communications</Company>
  <LinksUpToDate>false</LinksUpToDate>
  <CharactersWithSpaces>54585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Proposals Consultation Paper—Radiocommunications Bill 2016</dc:title>
  <dc:subject/>
  <dc:creator>Theresa Hall</dc:creator>
  <cp:keywords/>
  <dc:description/>
  <cp:lastModifiedBy>Theresa Hall</cp:lastModifiedBy>
  <cp:revision>4</cp:revision>
  <cp:lastPrinted>2016-03-09T01:57:00Z</cp:lastPrinted>
  <dcterms:created xsi:type="dcterms:W3CDTF">2016-03-09T01:56:00Z</dcterms:created>
  <dcterms:modified xsi:type="dcterms:W3CDTF">2016-03-09T01:59:00Z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cea4a888-d6f5-45c5-8730-4e4c01e71c40</vt:lpwstr>
  </property>
  <property fmtid="{D5CDD505-2E9C-101B-9397-08002B2CF9AE}" pid="3" name="ContentTypeId">
    <vt:lpwstr>0x010100407620DDFF47524F86BCF55EDD3946430046D6BD8B92622140866B9303B490BA5F</vt:lpwstr>
  </property>
  <property fmtid="{D5CDD505-2E9C-101B-9397-08002B2CF9AE}" pid="4" name="TrimRevisionNumber">
    <vt:i4>3</vt:i4>
  </property>
  <property fmtid="{D5CDD505-2E9C-101B-9397-08002B2CF9AE}" pid="5" name="trimRootDocClassification">
    <vt:lpwstr/>
  </property>
  <property fmtid="{D5CDD505-2E9C-101B-9397-08002B2CF9AE}" pid="6" name="trimRootDocAssigneeLocation">
    <vt:lpwstr/>
  </property>
  <property fmtid="{D5CDD505-2E9C-101B-9397-08002B2CF9AE}" pid="7" name="trimRootDocOtherContactLocation">
    <vt:lpwstr/>
  </property>
  <property fmtid="{D5CDD505-2E9C-101B-9397-08002B2CF9AE}" pid="8" name="trimRootDocACLCanUpdateMetadata_List">
    <vt:lpwstr/>
  </property>
  <property fmtid="{D5CDD505-2E9C-101B-9397-08002B2CF9AE}" pid="9" name="trimRootDocACLCanModifyAccess_List">
    <vt:lpwstr/>
  </property>
  <property fmtid="{D5CDD505-2E9C-101B-9397-08002B2CF9AE}" pid="10" name="trimRootDocACLCanContributeDocuments_List">
    <vt:lpwstr/>
  </property>
  <property fmtid="{D5CDD505-2E9C-101B-9397-08002B2CF9AE}" pid="11" name="trimRootDocACLCanUpdateDocument_List">
    <vt:lpwstr/>
  </property>
  <property fmtid="{D5CDD505-2E9C-101B-9397-08002B2CF9AE}" pid="12" name="trimRootDocACLCanViewMetadata_List">
    <vt:lpwstr/>
  </property>
  <property fmtid="{D5CDD505-2E9C-101B-9397-08002B2CF9AE}" pid="13" name="trimRootDocACLCanViewDocument_List">
    <vt:lpwstr/>
  </property>
  <property fmtid="{D5CDD505-2E9C-101B-9397-08002B2CF9AE}" pid="14" name="trimRootDocOwnerLocation">
    <vt:lpwstr/>
  </property>
</Properties>
</file>