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CBD8F" w14:textId="77777777" w:rsidR="00296124" w:rsidRDefault="00296124" w:rsidP="00296124">
      <w:pPr>
        <w:ind w:left="-1418"/>
        <w:sectPr w:rsidR="00296124" w:rsidSect="00296124">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656C8A6B" wp14:editId="10071AE4">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780FC68" w14:textId="57C5C1FC" w:rsidR="00296124" w:rsidRPr="003E7EC7" w:rsidRDefault="00F751E7" w:rsidP="003E7EC7">
      <w:pPr>
        <w:pStyle w:val="Heading1"/>
        <w:spacing w:before="3000"/>
        <w:rPr>
          <w:color w:val="auto"/>
        </w:rPr>
      </w:pPr>
      <w:r>
        <w:rPr>
          <w:color w:val="auto"/>
        </w:rPr>
        <w:t xml:space="preserve">Radiocommunications Bill 2017: </w:t>
      </w:r>
      <w:r w:rsidR="00296124" w:rsidRPr="003E7EC7">
        <w:rPr>
          <w:color w:val="auto"/>
        </w:rPr>
        <w:t>a platform for the future</w:t>
      </w:r>
    </w:p>
    <w:p w14:paraId="1A5D3ED5" w14:textId="720B5097" w:rsidR="003A0C3C" w:rsidRPr="005621D9" w:rsidRDefault="003A0C3C" w:rsidP="003A0C3C">
      <w:pPr>
        <w:pStyle w:val="subtitleofdocument"/>
      </w:pPr>
      <w:r>
        <w:t>Information paper</w:t>
      </w:r>
    </w:p>
    <w:p w14:paraId="230F4387" w14:textId="4DC2467D" w:rsidR="003A0C3C" w:rsidRDefault="00C05E0A" w:rsidP="003E7EC7">
      <w:pPr>
        <w:pStyle w:val="Normal-monthyearforcoverpage"/>
      </w:pPr>
      <w:r>
        <w:t xml:space="preserve">May </w:t>
      </w:r>
      <w:r w:rsidR="003A0C3C">
        <w:t>2017</w:t>
      </w:r>
    </w:p>
    <w:p w14:paraId="24F72D4C" w14:textId="77777777" w:rsidR="003A0C3C" w:rsidRPr="00745DEB" w:rsidRDefault="003A0C3C" w:rsidP="00745DEB">
      <w:pPr>
        <w:pStyle w:val="Heading2-notshowingincontentsindocument"/>
      </w:pPr>
      <w:r>
        <w:br w:type="page"/>
      </w:r>
    </w:p>
    <w:p w14:paraId="4DDFCC75" w14:textId="77777777" w:rsidR="003A0C3C" w:rsidRPr="0009516A" w:rsidRDefault="003A0C3C" w:rsidP="00745DEB">
      <w:pPr>
        <w:pStyle w:val="Heading2"/>
      </w:pPr>
      <w:r>
        <w:lastRenderedPageBreak/>
        <w:t>Disclaimer</w:t>
      </w:r>
    </w:p>
    <w:p w14:paraId="1DB3725B" w14:textId="54FDF2E0" w:rsidR="003A0C3C" w:rsidRPr="006628F3" w:rsidRDefault="003A0C3C" w:rsidP="003A0C3C">
      <w:r w:rsidRPr="006B47F3">
        <w:t xml:space="preserve">The material in this </w:t>
      </w:r>
      <w:r w:rsidRPr="003E7EC7">
        <w:t>information paper</w:t>
      </w:r>
      <w:r w:rsidRPr="006B47F3">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0836DC56" w14:textId="40D4F1D6" w:rsidR="003A0C3C" w:rsidRPr="006B47F3" w:rsidRDefault="003A0C3C">
      <w:r w:rsidRPr="006628F3">
        <w:t>The Commonwealth accepts no responsibility or liability for any damage, loss or expense incurred as a result of the reliance on information contained in this</w:t>
      </w:r>
      <w:r w:rsidRPr="006B47F3">
        <w:t xml:space="preserve"> </w:t>
      </w:r>
      <w:r w:rsidRPr="003E7EC7">
        <w:t>information paper</w:t>
      </w:r>
      <w:r w:rsidRPr="006B47F3">
        <w:t>.</w:t>
      </w:r>
    </w:p>
    <w:p w14:paraId="3BAF8976" w14:textId="69593E1E" w:rsidR="003A0C3C" w:rsidRPr="006628F3" w:rsidRDefault="003A0C3C">
      <w:r w:rsidRPr="006B47F3">
        <w:t xml:space="preserve">This </w:t>
      </w:r>
      <w:r w:rsidRPr="003E7EC7">
        <w:t>information paper</w:t>
      </w:r>
      <w:r w:rsidRPr="006B47F3">
        <w:t xml:space="preserve"> has been prepared for consultation purposes only and does not indicate the Commonwealth’s commitment to a particular course of action. Additionally, any third party views or recommendations included in this </w:t>
      </w:r>
      <w:r w:rsidR="00D07BA3" w:rsidRPr="003E7EC7">
        <w:t>information</w:t>
      </w:r>
      <w:r w:rsidRPr="003E7EC7">
        <w:t xml:space="preserve"> paper</w:t>
      </w:r>
      <w:r w:rsidRPr="006B47F3">
        <w:t xml:space="preserve"> do </w:t>
      </w:r>
      <w:r w:rsidRPr="006628F3">
        <w:t>not reflect the views of the Commonwealth, or indicate its commitment to a particular course of action.</w:t>
      </w:r>
    </w:p>
    <w:p w14:paraId="583952E0" w14:textId="77777777" w:rsidR="003A0C3C" w:rsidRPr="0009516A" w:rsidRDefault="003A0C3C" w:rsidP="00745DEB">
      <w:pPr>
        <w:pStyle w:val="Heading2"/>
      </w:pPr>
      <w:r w:rsidRPr="0009516A">
        <w:t>Co</w:t>
      </w:r>
      <w:r>
        <w:t>pyright</w:t>
      </w:r>
    </w:p>
    <w:p w14:paraId="2A2D4181" w14:textId="77777777" w:rsidR="003A0C3C" w:rsidRPr="006628F3" w:rsidRDefault="003A0C3C" w:rsidP="003A0C3C">
      <w:r w:rsidRPr="006628F3">
        <w:t xml:space="preserve">© Commonwealth of Australia </w:t>
      </w:r>
      <w:r>
        <w:t>2017</w:t>
      </w:r>
    </w:p>
    <w:p w14:paraId="2536BB72" w14:textId="279443B9" w:rsidR="003A0C3C" w:rsidRPr="006628F3" w:rsidRDefault="003A0C3C" w:rsidP="003A0C3C">
      <w:r w:rsidRPr="006628F3">
        <w:rPr>
          <w:noProof/>
          <w:lang w:eastAsia="en-AU"/>
        </w:rPr>
        <w:drawing>
          <wp:inline distT="0" distB="0" distL="0" distR="0" wp14:anchorId="24F66218" wp14:editId="1B1DFAF4">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EE4C02">
        <w:t xml:space="preserve"> </w:t>
      </w:r>
      <w:r w:rsidRPr="006628F3">
        <w:t>The material in this discussion paper is licensed under a Creative Commons Attribution—3.0 Australia license, with the exception of:</w:t>
      </w:r>
    </w:p>
    <w:p w14:paraId="3FC1C620" w14:textId="77777777" w:rsidR="003A0C3C" w:rsidRPr="007A2586" w:rsidRDefault="003A0C3C" w:rsidP="007A2586">
      <w:pPr>
        <w:pStyle w:val="Bulletlevel1"/>
      </w:pPr>
      <w:r>
        <w:t xml:space="preserve">the </w:t>
      </w:r>
      <w:r w:rsidRPr="007A2586">
        <w:t>Commonwealth Coat of Arms</w:t>
      </w:r>
    </w:p>
    <w:p w14:paraId="07DA9EEF" w14:textId="77777777" w:rsidR="003A0C3C" w:rsidRPr="007A2586" w:rsidRDefault="003A0C3C" w:rsidP="007A2586">
      <w:pPr>
        <w:pStyle w:val="Bulletlevel1"/>
      </w:pPr>
      <w:r w:rsidRPr="007A2586">
        <w:t>this Department’s logo</w:t>
      </w:r>
    </w:p>
    <w:p w14:paraId="690FDA1D" w14:textId="77777777" w:rsidR="003A0C3C" w:rsidRPr="007A2586" w:rsidRDefault="003A0C3C" w:rsidP="007A2586">
      <w:pPr>
        <w:pStyle w:val="Bulletlevel1"/>
      </w:pPr>
      <w:r w:rsidRPr="007A2586">
        <w:t>any third party material</w:t>
      </w:r>
    </w:p>
    <w:p w14:paraId="202F7995" w14:textId="77777777" w:rsidR="003A0C3C" w:rsidRPr="007A2586" w:rsidRDefault="003A0C3C" w:rsidP="007A2586">
      <w:pPr>
        <w:pStyle w:val="Bulletlevel1"/>
      </w:pPr>
      <w:r w:rsidRPr="007A2586">
        <w:t>any material protected by a trademark, and</w:t>
      </w:r>
    </w:p>
    <w:p w14:paraId="585803F2" w14:textId="77777777" w:rsidR="003A0C3C" w:rsidRPr="006628F3" w:rsidRDefault="003A0C3C" w:rsidP="007A2586">
      <w:pPr>
        <w:pStyle w:val="Bulletlevel1"/>
      </w:pPr>
      <w:proofErr w:type="gramStart"/>
      <w:r w:rsidRPr="007A2586">
        <w:t>any</w:t>
      </w:r>
      <w:proofErr w:type="gramEnd"/>
      <w:r w:rsidRPr="007A2586">
        <w:t xml:space="preserve"> images</w:t>
      </w:r>
      <w:r w:rsidRPr="006628F3">
        <w:t xml:space="preserve"> and/or photographs.</w:t>
      </w:r>
    </w:p>
    <w:p w14:paraId="439C4B4E" w14:textId="77777777" w:rsidR="003A0C3C" w:rsidRPr="006628F3" w:rsidRDefault="003A0C3C" w:rsidP="003A0C3C">
      <w:r w:rsidRPr="006628F3">
        <w:t xml:space="preserve">More information on this CC BY license is set out at the creative commons website: </w:t>
      </w:r>
      <w:hyperlink r:id="rId15" w:history="1">
        <w:r w:rsidRPr="006628F3">
          <w:rPr>
            <w:rStyle w:val="Hyperlink"/>
          </w:rPr>
          <w:t>www.creativecommons.org/licenses/by/3.0/au/</w:t>
        </w:r>
      </w:hyperlink>
      <w:r w:rsidRPr="006628F3">
        <w:t xml:space="preserve">. Enquiries about this license and any use of this discussion paper can be sent to: </w:t>
      </w:r>
      <w:r w:rsidRPr="003E7EC7">
        <w:t>Spectrum Branch</w:t>
      </w:r>
      <w:r w:rsidRPr="006628F3">
        <w:t>, Department of Communications and the Arts, GPO Box 2154, Canberra, ACT, 2601.</w:t>
      </w:r>
    </w:p>
    <w:p w14:paraId="5E01DADB" w14:textId="77777777" w:rsidR="003A0C3C" w:rsidRPr="0009516A" w:rsidRDefault="003A0C3C" w:rsidP="00745DEB">
      <w:pPr>
        <w:pStyle w:val="Heading3"/>
      </w:pPr>
      <w:r w:rsidRPr="0009516A">
        <w:t>Attribution</w:t>
      </w:r>
    </w:p>
    <w:p w14:paraId="0835F681" w14:textId="6B0418C8" w:rsidR="003A0C3C" w:rsidRPr="006628F3" w:rsidRDefault="003A0C3C" w:rsidP="003A0C3C">
      <w:r w:rsidRPr="006628F3">
        <w:t xml:space="preserve">Use of all or part of this </w:t>
      </w:r>
      <w:r w:rsidR="00D07BA3" w:rsidRPr="003E7EC7">
        <w:t>information</w:t>
      </w:r>
      <w:r w:rsidRPr="003E7EC7">
        <w:t xml:space="preserve"> paper</w:t>
      </w:r>
      <w:r w:rsidRPr="006628F3">
        <w:t xml:space="preserve"> must include the following attribution:</w:t>
      </w:r>
    </w:p>
    <w:p w14:paraId="193E5868" w14:textId="77777777" w:rsidR="003A0C3C" w:rsidRDefault="003A0C3C" w:rsidP="003A0C3C">
      <w:pPr>
        <w:ind w:left="567"/>
      </w:pPr>
      <w:r w:rsidRPr="006628F3">
        <w:t xml:space="preserve">© Commonwealth of Australia </w:t>
      </w:r>
      <w:r>
        <w:t>2017</w:t>
      </w:r>
    </w:p>
    <w:p w14:paraId="07D24156" w14:textId="77777777" w:rsidR="003A0C3C" w:rsidRPr="0009516A" w:rsidRDefault="003A0C3C" w:rsidP="00745DEB">
      <w:pPr>
        <w:pStyle w:val="Heading3"/>
      </w:pPr>
      <w:bookmarkStart w:id="0" w:name="_Toc356292524"/>
      <w:r w:rsidRPr="0009516A">
        <w:t>Using the Commonwealth Coat of Arms</w:t>
      </w:r>
      <w:bookmarkEnd w:id="0"/>
    </w:p>
    <w:p w14:paraId="28213285" w14:textId="77777777" w:rsidR="003A0C3C" w:rsidRDefault="003A0C3C" w:rsidP="003A0C3C">
      <w:bookmarkStart w:id="1" w:name="_Toc356292525"/>
      <w:r w:rsidRPr="006628F3">
        <w:t xml:space="preserve">The terms of use for the Coat of Arms are available from the It’s an Honour website </w:t>
      </w:r>
      <w:r w:rsidRPr="006628F3">
        <w:br/>
        <w:t xml:space="preserve">(see </w:t>
      </w:r>
      <w:bookmarkEnd w:id="1"/>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14:paraId="1C9BED96" w14:textId="77777777" w:rsidR="003A0C3C" w:rsidRDefault="003A0C3C" w:rsidP="003A0C3C">
      <w:pPr>
        <w:spacing w:after="160" w:line="259" w:lineRule="auto"/>
      </w:pPr>
      <w:r>
        <w:br w:type="page"/>
      </w:r>
    </w:p>
    <w:p w14:paraId="42F260CF" w14:textId="3683B1B0" w:rsidR="003A0C3C" w:rsidRPr="0009516A" w:rsidRDefault="003A0C3C" w:rsidP="00745DEB">
      <w:pPr>
        <w:pStyle w:val="Heading2"/>
      </w:pPr>
      <w:bookmarkStart w:id="2" w:name="_Toc480810768"/>
      <w:r w:rsidRPr="0009516A">
        <w:lastRenderedPageBreak/>
        <w:t>Contents</w:t>
      </w:r>
      <w:bookmarkEnd w:id="2"/>
    </w:p>
    <w:p w14:paraId="7EDD15FD" w14:textId="77777777" w:rsidR="007A2586" w:rsidRDefault="003A0C3C">
      <w:pPr>
        <w:pStyle w:val="TOC1"/>
        <w:tabs>
          <w:tab w:val="right" w:leader="dot" w:pos="9323"/>
        </w:tabs>
        <w:rPr>
          <w:rFonts w:eastAsiaTheme="minorEastAsia"/>
          <w:b w:val="0"/>
          <w:noProof/>
          <w:color w:val="auto"/>
          <w:sz w:val="22"/>
          <w:lang w:eastAsia="en-AU"/>
        </w:rPr>
      </w:pPr>
      <w:r>
        <w:fldChar w:fldCharType="begin"/>
      </w:r>
      <w:r>
        <w:instrText xml:space="preserve"> TOC \h \z \u \t "Heading 2,1,Heading 3,2,Heading 4,3" </w:instrText>
      </w:r>
      <w:r>
        <w:fldChar w:fldCharType="separate"/>
      </w:r>
      <w:hyperlink w:anchor="_Toc480810825" w:history="1">
        <w:r w:rsidR="007A2586" w:rsidRPr="001C7D5E">
          <w:rPr>
            <w:rStyle w:val="Hyperlink"/>
            <w:noProof/>
          </w:rPr>
          <w:t>Introduction</w:t>
        </w:r>
        <w:r w:rsidR="007A2586">
          <w:rPr>
            <w:noProof/>
            <w:webHidden/>
          </w:rPr>
          <w:tab/>
        </w:r>
        <w:r w:rsidR="007A2586">
          <w:rPr>
            <w:noProof/>
            <w:webHidden/>
          </w:rPr>
          <w:fldChar w:fldCharType="begin"/>
        </w:r>
        <w:r w:rsidR="007A2586">
          <w:rPr>
            <w:noProof/>
            <w:webHidden/>
          </w:rPr>
          <w:instrText xml:space="preserve"> PAGEREF _Toc480810825 \h </w:instrText>
        </w:r>
        <w:r w:rsidR="007A2586">
          <w:rPr>
            <w:noProof/>
            <w:webHidden/>
          </w:rPr>
        </w:r>
        <w:r w:rsidR="007A2586">
          <w:rPr>
            <w:noProof/>
            <w:webHidden/>
          </w:rPr>
          <w:fldChar w:fldCharType="separate"/>
        </w:r>
        <w:r w:rsidR="007828EB">
          <w:rPr>
            <w:noProof/>
            <w:webHidden/>
          </w:rPr>
          <w:t>5</w:t>
        </w:r>
        <w:r w:rsidR="007A2586">
          <w:rPr>
            <w:noProof/>
            <w:webHidden/>
          </w:rPr>
          <w:fldChar w:fldCharType="end"/>
        </w:r>
      </w:hyperlink>
    </w:p>
    <w:p w14:paraId="02A17B15" w14:textId="77777777" w:rsidR="007A2586" w:rsidRDefault="000A1729">
      <w:pPr>
        <w:pStyle w:val="TOC2"/>
        <w:tabs>
          <w:tab w:val="right" w:leader="dot" w:pos="9323"/>
        </w:tabs>
        <w:rPr>
          <w:rFonts w:eastAsiaTheme="minorEastAsia"/>
          <w:noProof/>
          <w:lang w:eastAsia="en-AU"/>
        </w:rPr>
      </w:pPr>
      <w:hyperlink w:anchor="_Toc480810826" w:history="1">
        <w:r w:rsidR="007A2586" w:rsidRPr="001C7D5E">
          <w:rPr>
            <w:rStyle w:val="Hyperlink"/>
            <w:noProof/>
          </w:rPr>
          <w:t>The Spectrum Review</w:t>
        </w:r>
        <w:r w:rsidR="007A2586">
          <w:rPr>
            <w:noProof/>
            <w:webHidden/>
          </w:rPr>
          <w:tab/>
        </w:r>
        <w:r w:rsidR="007A2586">
          <w:rPr>
            <w:noProof/>
            <w:webHidden/>
          </w:rPr>
          <w:fldChar w:fldCharType="begin"/>
        </w:r>
        <w:r w:rsidR="007A2586">
          <w:rPr>
            <w:noProof/>
            <w:webHidden/>
          </w:rPr>
          <w:instrText xml:space="preserve"> PAGEREF _Toc480810826 \h </w:instrText>
        </w:r>
        <w:r w:rsidR="007A2586">
          <w:rPr>
            <w:noProof/>
            <w:webHidden/>
          </w:rPr>
        </w:r>
        <w:r w:rsidR="007A2586">
          <w:rPr>
            <w:noProof/>
            <w:webHidden/>
          </w:rPr>
          <w:fldChar w:fldCharType="separate"/>
        </w:r>
        <w:r w:rsidR="007828EB">
          <w:rPr>
            <w:noProof/>
            <w:webHidden/>
          </w:rPr>
          <w:t>5</w:t>
        </w:r>
        <w:r w:rsidR="007A2586">
          <w:rPr>
            <w:noProof/>
            <w:webHidden/>
          </w:rPr>
          <w:fldChar w:fldCharType="end"/>
        </w:r>
      </w:hyperlink>
    </w:p>
    <w:p w14:paraId="07FB84F6" w14:textId="77777777" w:rsidR="007A2586" w:rsidRDefault="000A1729">
      <w:pPr>
        <w:pStyle w:val="TOC1"/>
        <w:tabs>
          <w:tab w:val="right" w:leader="dot" w:pos="9323"/>
        </w:tabs>
        <w:rPr>
          <w:rFonts w:eastAsiaTheme="minorEastAsia"/>
          <w:b w:val="0"/>
          <w:noProof/>
          <w:color w:val="auto"/>
          <w:sz w:val="22"/>
          <w:lang w:eastAsia="en-AU"/>
        </w:rPr>
      </w:pPr>
      <w:hyperlink w:anchor="_Toc480810827" w:history="1">
        <w:r w:rsidR="007A2586" w:rsidRPr="001C7D5E">
          <w:rPr>
            <w:rStyle w:val="Hyperlink"/>
            <w:noProof/>
          </w:rPr>
          <w:t>Purpose and scope</w:t>
        </w:r>
        <w:r w:rsidR="007A2586">
          <w:rPr>
            <w:noProof/>
            <w:webHidden/>
          </w:rPr>
          <w:tab/>
        </w:r>
        <w:r w:rsidR="007A2586">
          <w:rPr>
            <w:noProof/>
            <w:webHidden/>
          </w:rPr>
          <w:fldChar w:fldCharType="begin"/>
        </w:r>
        <w:r w:rsidR="007A2586">
          <w:rPr>
            <w:noProof/>
            <w:webHidden/>
          </w:rPr>
          <w:instrText xml:space="preserve"> PAGEREF _Toc480810827 \h </w:instrText>
        </w:r>
        <w:r w:rsidR="007A2586">
          <w:rPr>
            <w:noProof/>
            <w:webHidden/>
          </w:rPr>
        </w:r>
        <w:r w:rsidR="007A2586">
          <w:rPr>
            <w:noProof/>
            <w:webHidden/>
          </w:rPr>
          <w:fldChar w:fldCharType="separate"/>
        </w:r>
        <w:r w:rsidR="007828EB">
          <w:rPr>
            <w:noProof/>
            <w:webHidden/>
          </w:rPr>
          <w:t>5</w:t>
        </w:r>
        <w:r w:rsidR="007A2586">
          <w:rPr>
            <w:noProof/>
            <w:webHidden/>
          </w:rPr>
          <w:fldChar w:fldCharType="end"/>
        </w:r>
      </w:hyperlink>
    </w:p>
    <w:p w14:paraId="57288AEA" w14:textId="77777777" w:rsidR="007A2586" w:rsidRDefault="000A1729">
      <w:pPr>
        <w:pStyle w:val="TOC2"/>
        <w:tabs>
          <w:tab w:val="right" w:leader="dot" w:pos="9323"/>
        </w:tabs>
        <w:rPr>
          <w:rFonts w:eastAsiaTheme="minorEastAsia"/>
          <w:noProof/>
          <w:lang w:eastAsia="en-AU"/>
        </w:rPr>
      </w:pPr>
      <w:hyperlink w:anchor="_Toc480810828" w:history="1">
        <w:r w:rsidR="007A2586" w:rsidRPr="001C7D5E">
          <w:rPr>
            <w:rStyle w:val="Hyperlink"/>
            <w:noProof/>
          </w:rPr>
          <w:t>Consultation process and stakeholder input</w:t>
        </w:r>
        <w:r w:rsidR="007A2586">
          <w:rPr>
            <w:noProof/>
            <w:webHidden/>
          </w:rPr>
          <w:tab/>
        </w:r>
        <w:r w:rsidR="007A2586">
          <w:rPr>
            <w:noProof/>
            <w:webHidden/>
          </w:rPr>
          <w:fldChar w:fldCharType="begin"/>
        </w:r>
        <w:r w:rsidR="007A2586">
          <w:rPr>
            <w:noProof/>
            <w:webHidden/>
          </w:rPr>
          <w:instrText xml:space="preserve"> PAGEREF _Toc480810828 \h </w:instrText>
        </w:r>
        <w:r w:rsidR="007A2586">
          <w:rPr>
            <w:noProof/>
            <w:webHidden/>
          </w:rPr>
        </w:r>
        <w:r w:rsidR="007A2586">
          <w:rPr>
            <w:noProof/>
            <w:webHidden/>
          </w:rPr>
          <w:fldChar w:fldCharType="separate"/>
        </w:r>
        <w:r w:rsidR="007828EB">
          <w:rPr>
            <w:noProof/>
            <w:webHidden/>
          </w:rPr>
          <w:t>6</w:t>
        </w:r>
        <w:r w:rsidR="007A2586">
          <w:rPr>
            <w:noProof/>
            <w:webHidden/>
          </w:rPr>
          <w:fldChar w:fldCharType="end"/>
        </w:r>
      </w:hyperlink>
    </w:p>
    <w:p w14:paraId="496610A9" w14:textId="77777777" w:rsidR="007A2586" w:rsidRDefault="000A1729">
      <w:pPr>
        <w:pStyle w:val="TOC1"/>
        <w:tabs>
          <w:tab w:val="right" w:leader="dot" w:pos="9323"/>
        </w:tabs>
        <w:rPr>
          <w:rFonts w:eastAsiaTheme="minorEastAsia"/>
          <w:b w:val="0"/>
          <w:noProof/>
          <w:color w:val="auto"/>
          <w:sz w:val="22"/>
          <w:lang w:eastAsia="en-AU"/>
        </w:rPr>
      </w:pPr>
      <w:hyperlink w:anchor="_Toc480810829" w:history="1">
        <w:r w:rsidR="007A2586" w:rsidRPr="001C7D5E">
          <w:rPr>
            <w:rStyle w:val="Hyperlink"/>
            <w:noProof/>
          </w:rPr>
          <w:t>Policy principles</w:t>
        </w:r>
        <w:r w:rsidR="007A2586">
          <w:rPr>
            <w:noProof/>
            <w:webHidden/>
          </w:rPr>
          <w:tab/>
        </w:r>
        <w:r w:rsidR="007A2586">
          <w:rPr>
            <w:noProof/>
            <w:webHidden/>
          </w:rPr>
          <w:fldChar w:fldCharType="begin"/>
        </w:r>
        <w:r w:rsidR="007A2586">
          <w:rPr>
            <w:noProof/>
            <w:webHidden/>
          </w:rPr>
          <w:instrText xml:space="preserve"> PAGEREF _Toc480810829 \h </w:instrText>
        </w:r>
        <w:r w:rsidR="007A2586">
          <w:rPr>
            <w:noProof/>
            <w:webHidden/>
          </w:rPr>
        </w:r>
        <w:r w:rsidR="007A2586">
          <w:rPr>
            <w:noProof/>
            <w:webHidden/>
          </w:rPr>
          <w:fldChar w:fldCharType="separate"/>
        </w:r>
        <w:r w:rsidR="007828EB">
          <w:rPr>
            <w:noProof/>
            <w:webHidden/>
          </w:rPr>
          <w:t>6</w:t>
        </w:r>
        <w:r w:rsidR="007A2586">
          <w:rPr>
            <w:noProof/>
            <w:webHidden/>
          </w:rPr>
          <w:fldChar w:fldCharType="end"/>
        </w:r>
      </w:hyperlink>
    </w:p>
    <w:p w14:paraId="6B99EFE5" w14:textId="77777777" w:rsidR="007A2586" w:rsidRDefault="000A1729">
      <w:pPr>
        <w:pStyle w:val="TOC1"/>
        <w:tabs>
          <w:tab w:val="right" w:leader="dot" w:pos="9323"/>
        </w:tabs>
        <w:rPr>
          <w:rFonts w:eastAsiaTheme="minorEastAsia"/>
          <w:b w:val="0"/>
          <w:noProof/>
          <w:color w:val="auto"/>
          <w:sz w:val="22"/>
          <w:lang w:eastAsia="en-AU"/>
        </w:rPr>
      </w:pPr>
      <w:hyperlink w:anchor="_Toc480810830" w:history="1">
        <w:r w:rsidR="007A2586" w:rsidRPr="001C7D5E">
          <w:rPr>
            <w:rStyle w:val="Hyperlink"/>
            <w:noProof/>
          </w:rPr>
          <w:t>Role of the Minister in spectrum management</w:t>
        </w:r>
        <w:r w:rsidR="007A2586">
          <w:rPr>
            <w:noProof/>
            <w:webHidden/>
          </w:rPr>
          <w:tab/>
        </w:r>
        <w:r w:rsidR="007A2586">
          <w:rPr>
            <w:noProof/>
            <w:webHidden/>
          </w:rPr>
          <w:fldChar w:fldCharType="begin"/>
        </w:r>
        <w:r w:rsidR="007A2586">
          <w:rPr>
            <w:noProof/>
            <w:webHidden/>
          </w:rPr>
          <w:instrText xml:space="preserve"> PAGEREF _Toc480810830 \h </w:instrText>
        </w:r>
        <w:r w:rsidR="007A2586">
          <w:rPr>
            <w:noProof/>
            <w:webHidden/>
          </w:rPr>
        </w:r>
        <w:r w:rsidR="007A2586">
          <w:rPr>
            <w:noProof/>
            <w:webHidden/>
          </w:rPr>
          <w:fldChar w:fldCharType="separate"/>
        </w:r>
        <w:r w:rsidR="007828EB">
          <w:rPr>
            <w:noProof/>
            <w:webHidden/>
          </w:rPr>
          <w:t>7</w:t>
        </w:r>
        <w:r w:rsidR="007A2586">
          <w:rPr>
            <w:noProof/>
            <w:webHidden/>
          </w:rPr>
          <w:fldChar w:fldCharType="end"/>
        </w:r>
      </w:hyperlink>
    </w:p>
    <w:p w14:paraId="0B950F7E" w14:textId="77777777" w:rsidR="007A2586" w:rsidRDefault="000A1729">
      <w:pPr>
        <w:pStyle w:val="TOC2"/>
        <w:tabs>
          <w:tab w:val="right" w:leader="dot" w:pos="9323"/>
        </w:tabs>
        <w:rPr>
          <w:rFonts w:eastAsiaTheme="minorEastAsia"/>
          <w:noProof/>
          <w:lang w:eastAsia="en-AU"/>
        </w:rPr>
      </w:pPr>
      <w:hyperlink w:anchor="_Toc480810831" w:history="1">
        <w:r w:rsidR="007A2586" w:rsidRPr="001C7D5E">
          <w:rPr>
            <w:rStyle w:val="Hyperlink"/>
            <w:noProof/>
          </w:rPr>
          <w:t>Ministerial powers</w:t>
        </w:r>
        <w:r w:rsidR="007A2586">
          <w:rPr>
            <w:noProof/>
            <w:webHidden/>
          </w:rPr>
          <w:tab/>
        </w:r>
        <w:r w:rsidR="007A2586">
          <w:rPr>
            <w:noProof/>
            <w:webHidden/>
          </w:rPr>
          <w:fldChar w:fldCharType="begin"/>
        </w:r>
        <w:r w:rsidR="007A2586">
          <w:rPr>
            <w:noProof/>
            <w:webHidden/>
          </w:rPr>
          <w:instrText xml:space="preserve"> PAGEREF _Toc480810831 \h </w:instrText>
        </w:r>
        <w:r w:rsidR="007A2586">
          <w:rPr>
            <w:noProof/>
            <w:webHidden/>
          </w:rPr>
        </w:r>
        <w:r w:rsidR="007A2586">
          <w:rPr>
            <w:noProof/>
            <w:webHidden/>
          </w:rPr>
          <w:fldChar w:fldCharType="separate"/>
        </w:r>
        <w:r w:rsidR="007828EB">
          <w:rPr>
            <w:noProof/>
            <w:webHidden/>
          </w:rPr>
          <w:t>7</w:t>
        </w:r>
        <w:r w:rsidR="007A2586">
          <w:rPr>
            <w:noProof/>
            <w:webHidden/>
          </w:rPr>
          <w:fldChar w:fldCharType="end"/>
        </w:r>
      </w:hyperlink>
    </w:p>
    <w:p w14:paraId="70800C71" w14:textId="77777777" w:rsidR="007A2586" w:rsidRDefault="000A1729">
      <w:pPr>
        <w:pStyle w:val="TOC3"/>
        <w:tabs>
          <w:tab w:val="right" w:leader="dot" w:pos="9323"/>
        </w:tabs>
        <w:rPr>
          <w:rFonts w:eastAsiaTheme="minorEastAsia"/>
          <w:noProof/>
          <w:lang w:eastAsia="en-AU"/>
        </w:rPr>
      </w:pPr>
      <w:hyperlink w:anchor="_Toc480810832" w:history="1">
        <w:r w:rsidR="007A2586" w:rsidRPr="001C7D5E">
          <w:rPr>
            <w:rStyle w:val="Hyperlink"/>
            <w:noProof/>
          </w:rPr>
          <w:t>Table 1: Current Ministerial ‘accountability / strategic policy-directed’ powers</w:t>
        </w:r>
        <w:r w:rsidR="007A2586">
          <w:rPr>
            <w:noProof/>
            <w:webHidden/>
          </w:rPr>
          <w:tab/>
        </w:r>
        <w:r w:rsidR="007A2586">
          <w:rPr>
            <w:noProof/>
            <w:webHidden/>
          </w:rPr>
          <w:fldChar w:fldCharType="begin"/>
        </w:r>
        <w:r w:rsidR="007A2586">
          <w:rPr>
            <w:noProof/>
            <w:webHidden/>
          </w:rPr>
          <w:instrText xml:space="preserve"> PAGEREF _Toc480810832 \h </w:instrText>
        </w:r>
        <w:r w:rsidR="007A2586">
          <w:rPr>
            <w:noProof/>
            <w:webHidden/>
          </w:rPr>
        </w:r>
        <w:r w:rsidR="007A2586">
          <w:rPr>
            <w:noProof/>
            <w:webHidden/>
          </w:rPr>
          <w:fldChar w:fldCharType="separate"/>
        </w:r>
        <w:r w:rsidR="007828EB">
          <w:rPr>
            <w:noProof/>
            <w:webHidden/>
          </w:rPr>
          <w:t>8</w:t>
        </w:r>
        <w:r w:rsidR="007A2586">
          <w:rPr>
            <w:noProof/>
            <w:webHidden/>
          </w:rPr>
          <w:fldChar w:fldCharType="end"/>
        </w:r>
      </w:hyperlink>
    </w:p>
    <w:p w14:paraId="7B6A49AD" w14:textId="77777777" w:rsidR="007A2586" w:rsidRDefault="000A1729">
      <w:pPr>
        <w:pStyle w:val="TOC3"/>
        <w:tabs>
          <w:tab w:val="right" w:leader="dot" w:pos="9323"/>
        </w:tabs>
        <w:rPr>
          <w:rFonts w:eastAsiaTheme="minorEastAsia"/>
          <w:noProof/>
          <w:lang w:eastAsia="en-AU"/>
        </w:rPr>
      </w:pPr>
      <w:hyperlink w:anchor="_Toc480810833" w:history="1">
        <w:r w:rsidR="007A2586" w:rsidRPr="001C7D5E">
          <w:rPr>
            <w:rStyle w:val="Hyperlink"/>
            <w:noProof/>
          </w:rPr>
          <w:t>Table 2: Current Ministerial ‘process’ powers</w:t>
        </w:r>
        <w:r w:rsidR="007A2586">
          <w:rPr>
            <w:noProof/>
            <w:webHidden/>
          </w:rPr>
          <w:tab/>
        </w:r>
        <w:r w:rsidR="007A2586">
          <w:rPr>
            <w:noProof/>
            <w:webHidden/>
          </w:rPr>
          <w:fldChar w:fldCharType="begin"/>
        </w:r>
        <w:r w:rsidR="007A2586">
          <w:rPr>
            <w:noProof/>
            <w:webHidden/>
          </w:rPr>
          <w:instrText xml:space="preserve"> PAGEREF _Toc480810833 \h </w:instrText>
        </w:r>
        <w:r w:rsidR="007A2586">
          <w:rPr>
            <w:noProof/>
            <w:webHidden/>
          </w:rPr>
        </w:r>
        <w:r w:rsidR="007A2586">
          <w:rPr>
            <w:noProof/>
            <w:webHidden/>
          </w:rPr>
          <w:fldChar w:fldCharType="separate"/>
        </w:r>
        <w:r w:rsidR="007828EB">
          <w:rPr>
            <w:noProof/>
            <w:webHidden/>
          </w:rPr>
          <w:t>9</w:t>
        </w:r>
        <w:r w:rsidR="007A2586">
          <w:rPr>
            <w:noProof/>
            <w:webHidden/>
          </w:rPr>
          <w:fldChar w:fldCharType="end"/>
        </w:r>
      </w:hyperlink>
    </w:p>
    <w:p w14:paraId="37997127" w14:textId="77777777" w:rsidR="007A2586" w:rsidRDefault="000A1729">
      <w:pPr>
        <w:pStyle w:val="TOC1"/>
        <w:tabs>
          <w:tab w:val="right" w:leader="dot" w:pos="9323"/>
        </w:tabs>
        <w:rPr>
          <w:rFonts w:eastAsiaTheme="minorEastAsia"/>
          <w:b w:val="0"/>
          <w:noProof/>
          <w:color w:val="auto"/>
          <w:sz w:val="22"/>
          <w:lang w:eastAsia="en-AU"/>
        </w:rPr>
      </w:pPr>
      <w:hyperlink w:anchor="_Toc480810834" w:history="1">
        <w:r w:rsidR="007A2586" w:rsidRPr="001C7D5E">
          <w:rPr>
            <w:rStyle w:val="Hyperlink"/>
            <w:noProof/>
          </w:rPr>
          <w:t>Overview of Exposure Draft Bill provisions</w:t>
        </w:r>
        <w:r w:rsidR="007A2586">
          <w:rPr>
            <w:noProof/>
            <w:webHidden/>
          </w:rPr>
          <w:tab/>
        </w:r>
        <w:r w:rsidR="007A2586">
          <w:rPr>
            <w:noProof/>
            <w:webHidden/>
          </w:rPr>
          <w:fldChar w:fldCharType="begin"/>
        </w:r>
        <w:r w:rsidR="007A2586">
          <w:rPr>
            <w:noProof/>
            <w:webHidden/>
          </w:rPr>
          <w:instrText xml:space="preserve"> PAGEREF _Toc480810834 \h </w:instrText>
        </w:r>
        <w:r w:rsidR="007A2586">
          <w:rPr>
            <w:noProof/>
            <w:webHidden/>
          </w:rPr>
        </w:r>
        <w:r w:rsidR="007A2586">
          <w:rPr>
            <w:noProof/>
            <w:webHidden/>
          </w:rPr>
          <w:fldChar w:fldCharType="separate"/>
        </w:r>
        <w:r w:rsidR="007828EB">
          <w:rPr>
            <w:noProof/>
            <w:webHidden/>
          </w:rPr>
          <w:t>9</w:t>
        </w:r>
        <w:r w:rsidR="007A2586">
          <w:rPr>
            <w:noProof/>
            <w:webHidden/>
          </w:rPr>
          <w:fldChar w:fldCharType="end"/>
        </w:r>
      </w:hyperlink>
    </w:p>
    <w:p w14:paraId="1496B006" w14:textId="77777777" w:rsidR="007A2586" w:rsidRDefault="000A1729">
      <w:pPr>
        <w:pStyle w:val="TOC2"/>
        <w:tabs>
          <w:tab w:val="right" w:leader="dot" w:pos="9323"/>
        </w:tabs>
        <w:rPr>
          <w:rFonts w:eastAsiaTheme="minorEastAsia"/>
          <w:noProof/>
          <w:lang w:eastAsia="en-AU"/>
        </w:rPr>
      </w:pPr>
      <w:hyperlink w:anchor="_Toc480810835" w:history="1">
        <w:r w:rsidR="007A2586" w:rsidRPr="001C7D5E">
          <w:rPr>
            <w:rStyle w:val="Hyperlink"/>
            <w:noProof/>
          </w:rPr>
          <w:t>Preliminary (Part 1)</w:t>
        </w:r>
        <w:r w:rsidR="007A2586">
          <w:rPr>
            <w:noProof/>
            <w:webHidden/>
          </w:rPr>
          <w:tab/>
        </w:r>
        <w:r w:rsidR="007A2586">
          <w:rPr>
            <w:noProof/>
            <w:webHidden/>
          </w:rPr>
          <w:fldChar w:fldCharType="begin"/>
        </w:r>
        <w:r w:rsidR="007A2586">
          <w:rPr>
            <w:noProof/>
            <w:webHidden/>
          </w:rPr>
          <w:instrText xml:space="preserve"> PAGEREF _Toc480810835 \h </w:instrText>
        </w:r>
        <w:r w:rsidR="007A2586">
          <w:rPr>
            <w:noProof/>
            <w:webHidden/>
          </w:rPr>
        </w:r>
        <w:r w:rsidR="007A2586">
          <w:rPr>
            <w:noProof/>
            <w:webHidden/>
          </w:rPr>
          <w:fldChar w:fldCharType="separate"/>
        </w:r>
        <w:r w:rsidR="007828EB">
          <w:rPr>
            <w:noProof/>
            <w:webHidden/>
          </w:rPr>
          <w:t>10</w:t>
        </w:r>
        <w:r w:rsidR="007A2586">
          <w:rPr>
            <w:noProof/>
            <w:webHidden/>
          </w:rPr>
          <w:fldChar w:fldCharType="end"/>
        </w:r>
      </w:hyperlink>
    </w:p>
    <w:p w14:paraId="73EB9B43" w14:textId="77777777" w:rsidR="007A2586" w:rsidRDefault="000A1729">
      <w:pPr>
        <w:pStyle w:val="TOC3"/>
        <w:tabs>
          <w:tab w:val="right" w:leader="dot" w:pos="9323"/>
        </w:tabs>
        <w:rPr>
          <w:rFonts w:eastAsiaTheme="minorEastAsia"/>
          <w:noProof/>
          <w:lang w:eastAsia="en-AU"/>
        </w:rPr>
      </w:pPr>
      <w:hyperlink w:anchor="_Toc480810836" w:history="1">
        <w:r w:rsidR="007A2586" w:rsidRPr="001C7D5E">
          <w:rPr>
            <w:rStyle w:val="Hyperlink"/>
            <w:noProof/>
          </w:rPr>
          <w:t>Objects</w:t>
        </w:r>
        <w:r w:rsidR="007A2586">
          <w:rPr>
            <w:noProof/>
            <w:webHidden/>
          </w:rPr>
          <w:tab/>
        </w:r>
        <w:r w:rsidR="007A2586">
          <w:rPr>
            <w:noProof/>
            <w:webHidden/>
          </w:rPr>
          <w:fldChar w:fldCharType="begin"/>
        </w:r>
        <w:r w:rsidR="007A2586">
          <w:rPr>
            <w:noProof/>
            <w:webHidden/>
          </w:rPr>
          <w:instrText xml:space="preserve"> PAGEREF _Toc480810836 \h </w:instrText>
        </w:r>
        <w:r w:rsidR="007A2586">
          <w:rPr>
            <w:noProof/>
            <w:webHidden/>
          </w:rPr>
        </w:r>
        <w:r w:rsidR="007A2586">
          <w:rPr>
            <w:noProof/>
            <w:webHidden/>
          </w:rPr>
          <w:fldChar w:fldCharType="separate"/>
        </w:r>
        <w:r w:rsidR="007828EB">
          <w:rPr>
            <w:noProof/>
            <w:webHidden/>
          </w:rPr>
          <w:t>10</w:t>
        </w:r>
        <w:r w:rsidR="007A2586">
          <w:rPr>
            <w:noProof/>
            <w:webHidden/>
          </w:rPr>
          <w:fldChar w:fldCharType="end"/>
        </w:r>
      </w:hyperlink>
    </w:p>
    <w:p w14:paraId="30B04550" w14:textId="77777777" w:rsidR="007A2586" w:rsidRDefault="000A1729">
      <w:pPr>
        <w:pStyle w:val="TOC3"/>
        <w:tabs>
          <w:tab w:val="right" w:leader="dot" w:pos="9323"/>
        </w:tabs>
        <w:rPr>
          <w:rFonts w:eastAsiaTheme="minorEastAsia"/>
          <w:noProof/>
          <w:lang w:eastAsia="en-AU"/>
        </w:rPr>
      </w:pPr>
      <w:hyperlink w:anchor="_Toc480810837" w:history="1">
        <w:r w:rsidR="007A2586" w:rsidRPr="001C7D5E">
          <w:rPr>
            <w:rStyle w:val="Hyperlink"/>
            <w:noProof/>
          </w:rPr>
          <w:t>Definitions</w:t>
        </w:r>
        <w:r w:rsidR="007A2586">
          <w:rPr>
            <w:noProof/>
            <w:webHidden/>
          </w:rPr>
          <w:tab/>
        </w:r>
        <w:r w:rsidR="007A2586">
          <w:rPr>
            <w:noProof/>
            <w:webHidden/>
          </w:rPr>
          <w:fldChar w:fldCharType="begin"/>
        </w:r>
        <w:r w:rsidR="007A2586">
          <w:rPr>
            <w:noProof/>
            <w:webHidden/>
          </w:rPr>
          <w:instrText xml:space="preserve"> PAGEREF _Toc480810837 \h </w:instrText>
        </w:r>
        <w:r w:rsidR="007A2586">
          <w:rPr>
            <w:noProof/>
            <w:webHidden/>
          </w:rPr>
        </w:r>
        <w:r w:rsidR="007A2586">
          <w:rPr>
            <w:noProof/>
            <w:webHidden/>
          </w:rPr>
          <w:fldChar w:fldCharType="separate"/>
        </w:r>
        <w:r w:rsidR="007828EB">
          <w:rPr>
            <w:noProof/>
            <w:webHidden/>
          </w:rPr>
          <w:t>10</w:t>
        </w:r>
        <w:r w:rsidR="007A2586">
          <w:rPr>
            <w:noProof/>
            <w:webHidden/>
          </w:rPr>
          <w:fldChar w:fldCharType="end"/>
        </w:r>
      </w:hyperlink>
    </w:p>
    <w:p w14:paraId="755FDE28" w14:textId="77777777" w:rsidR="007A2586" w:rsidRDefault="000A1729">
      <w:pPr>
        <w:pStyle w:val="TOC3"/>
        <w:tabs>
          <w:tab w:val="right" w:leader="dot" w:pos="9323"/>
        </w:tabs>
        <w:rPr>
          <w:rFonts w:eastAsiaTheme="minorEastAsia"/>
          <w:noProof/>
          <w:lang w:eastAsia="en-AU"/>
        </w:rPr>
      </w:pPr>
      <w:hyperlink w:anchor="_Toc480810838" w:history="1">
        <w:r w:rsidR="007A2586" w:rsidRPr="001C7D5E">
          <w:rPr>
            <w:rStyle w:val="Hyperlink"/>
            <w:noProof/>
          </w:rPr>
          <w:t>Application</w:t>
        </w:r>
        <w:r w:rsidR="007A2586">
          <w:rPr>
            <w:noProof/>
            <w:webHidden/>
          </w:rPr>
          <w:tab/>
        </w:r>
        <w:r w:rsidR="007A2586">
          <w:rPr>
            <w:noProof/>
            <w:webHidden/>
          </w:rPr>
          <w:fldChar w:fldCharType="begin"/>
        </w:r>
        <w:r w:rsidR="007A2586">
          <w:rPr>
            <w:noProof/>
            <w:webHidden/>
          </w:rPr>
          <w:instrText xml:space="preserve"> PAGEREF _Toc480810838 \h </w:instrText>
        </w:r>
        <w:r w:rsidR="007A2586">
          <w:rPr>
            <w:noProof/>
            <w:webHidden/>
          </w:rPr>
        </w:r>
        <w:r w:rsidR="007A2586">
          <w:rPr>
            <w:noProof/>
            <w:webHidden/>
          </w:rPr>
          <w:fldChar w:fldCharType="separate"/>
        </w:r>
        <w:r w:rsidR="007828EB">
          <w:rPr>
            <w:noProof/>
            <w:webHidden/>
          </w:rPr>
          <w:t>10</w:t>
        </w:r>
        <w:r w:rsidR="007A2586">
          <w:rPr>
            <w:noProof/>
            <w:webHidden/>
          </w:rPr>
          <w:fldChar w:fldCharType="end"/>
        </w:r>
      </w:hyperlink>
    </w:p>
    <w:p w14:paraId="79DAAB66" w14:textId="77777777" w:rsidR="007A2586" w:rsidRDefault="000A1729">
      <w:pPr>
        <w:pStyle w:val="TOC2"/>
        <w:tabs>
          <w:tab w:val="right" w:leader="dot" w:pos="9323"/>
        </w:tabs>
        <w:rPr>
          <w:rFonts w:eastAsiaTheme="minorEastAsia"/>
          <w:noProof/>
          <w:lang w:eastAsia="en-AU"/>
        </w:rPr>
      </w:pPr>
      <w:hyperlink w:anchor="_Toc480810839" w:history="1">
        <w:r w:rsidR="007A2586" w:rsidRPr="001C7D5E">
          <w:rPr>
            <w:rStyle w:val="Hyperlink"/>
            <w:noProof/>
          </w:rPr>
          <w:t>Ministerial policy statements (Part 2)</w:t>
        </w:r>
        <w:r w:rsidR="007A2586">
          <w:rPr>
            <w:noProof/>
            <w:webHidden/>
          </w:rPr>
          <w:tab/>
        </w:r>
        <w:r w:rsidR="007A2586">
          <w:rPr>
            <w:noProof/>
            <w:webHidden/>
          </w:rPr>
          <w:fldChar w:fldCharType="begin"/>
        </w:r>
        <w:r w:rsidR="007A2586">
          <w:rPr>
            <w:noProof/>
            <w:webHidden/>
          </w:rPr>
          <w:instrText xml:space="preserve"> PAGEREF _Toc480810839 \h </w:instrText>
        </w:r>
        <w:r w:rsidR="007A2586">
          <w:rPr>
            <w:noProof/>
            <w:webHidden/>
          </w:rPr>
        </w:r>
        <w:r w:rsidR="007A2586">
          <w:rPr>
            <w:noProof/>
            <w:webHidden/>
          </w:rPr>
          <w:fldChar w:fldCharType="separate"/>
        </w:r>
        <w:r w:rsidR="007828EB">
          <w:rPr>
            <w:noProof/>
            <w:webHidden/>
          </w:rPr>
          <w:t>11</w:t>
        </w:r>
        <w:r w:rsidR="007A2586">
          <w:rPr>
            <w:noProof/>
            <w:webHidden/>
          </w:rPr>
          <w:fldChar w:fldCharType="end"/>
        </w:r>
      </w:hyperlink>
    </w:p>
    <w:p w14:paraId="54EE6675" w14:textId="77777777" w:rsidR="007A2586" w:rsidRDefault="000A1729">
      <w:pPr>
        <w:pStyle w:val="TOC2"/>
        <w:tabs>
          <w:tab w:val="right" w:leader="dot" w:pos="9323"/>
        </w:tabs>
        <w:rPr>
          <w:rFonts w:eastAsiaTheme="minorEastAsia"/>
          <w:noProof/>
          <w:lang w:eastAsia="en-AU"/>
        </w:rPr>
      </w:pPr>
      <w:hyperlink w:anchor="_Toc480810840" w:history="1">
        <w:r w:rsidR="007A2586" w:rsidRPr="001C7D5E">
          <w:rPr>
            <w:rStyle w:val="Hyperlink"/>
            <w:noProof/>
          </w:rPr>
          <w:t>ACMA’s work program (Part 3)</w:t>
        </w:r>
        <w:r w:rsidR="007A2586">
          <w:rPr>
            <w:noProof/>
            <w:webHidden/>
          </w:rPr>
          <w:tab/>
        </w:r>
        <w:r w:rsidR="007A2586">
          <w:rPr>
            <w:noProof/>
            <w:webHidden/>
          </w:rPr>
          <w:fldChar w:fldCharType="begin"/>
        </w:r>
        <w:r w:rsidR="007A2586">
          <w:rPr>
            <w:noProof/>
            <w:webHidden/>
          </w:rPr>
          <w:instrText xml:space="preserve"> PAGEREF _Toc480810840 \h </w:instrText>
        </w:r>
        <w:r w:rsidR="007A2586">
          <w:rPr>
            <w:noProof/>
            <w:webHidden/>
          </w:rPr>
        </w:r>
        <w:r w:rsidR="007A2586">
          <w:rPr>
            <w:noProof/>
            <w:webHidden/>
          </w:rPr>
          <w:fldChar w:fldCharType="separate"/>
        </w:r>
        <w:r w:rsidR="007828EB">
          <w:rPr>
            <w:noProof/>
            <w:webHidden/>
          </w:rPr>
          <w:t>11</w:t>
        </w:r>
        <w:r w:rsidR="007A2586">
          <w:rPr>
            <w:noProof/>
            <w:webHidden/>
          </w:rPr>
          <w:fldChar w:fldCharType="end"/>
        </w:r>
      </w:hyperlink>
    </w:p>
    <w:p w14:paraId="58DD80D3" w14:textId="77777777" w:rsidR="007A2586" w:rsidRDefault="000A1729">
      <w:pPr>
        <w:pStyle w:val="TOC2"/>
        <w:tabs>
          <w:tab w:val="right" w:leader="dot" w:pos="9323"/>
        </w:tabs>
        <w:rPr>
          <w:rFonts w:eastAsiaTheme="minorEastAsia"/>
          <w:noProof/>
          <w:lang w:eastAsia="en-AU"/>
        </w:rPr>
      </w:pPr>
      <w:hyperlink w:anchor="_Toc480810841" w:history="1">
        <w:r w:rsidR="007A2586" w:rsidRPr="001C7D5E">
          <w:rPr>
            <w:rStyle w:val="Hyperlink"/>
            <w:noProof/>
          </w:rPr>
          <w:t>Radiofrequency plans (Part 4)</w:t>
        </w:r>
        <w:r w:rsidR="007A2586">
          <w:rPr>
            <w:noProof/>
            <w:webHidden/>
          </w:rPr>
          <w:tab/>
        </w:r>
        <w:r w:rsidR="007A2586">
          <w:rPr>
            <w:noProof/>
            <w:webHidden/>
          </w:rPr>
          <w:fldChar w:fldCharType="begin"/>
        </w:r>
        <w:r w:rsidR="007A2586">
          <w:rPr>
            <w:noProof/>
            <w:webHidden/>
          </w:rPr>
          <w:instrText xml:space="preserve"> PAGEREF _Toc480810841 \h </w:instrText>
        </w:r>
        <w:r w:rsidR="007A2586">
          <w:rPr>
            <w:noProof/>
            <w:webHidden/>
          </w:rPr>
        </w:r>
        <w:r w:rsidR="007A2586">
          <w:rPr>
            <w:noProof/>
            <w:webHidden/>
          </w:rPr>
          <w:fldChar w:fldCharType="separate"/>
        </w:r>
        <w:r w:rsidR="007828EB">
          <w:rPr>
            <w:noProof/>
            <w:webHidden/>
          </w:rPr>
          <w:t>12</w:t>
        </w:r>
        <w:r w:rsidR="007A2586">
          <w:rPr>
            <w:noProof/>
            <w:webHidden/>
          </w:rPr>
          <w:fldChar w:fldCharType="end"/>
        </w:r>
      </w:hyperlink>
    </w:p>
    <w:p w14:paraId="44A41530" w14:textId="77777777" w:rsidR="007A2586" w:rsidRDefault="000A1729">
      <w:pPr>
        <w:pStyle w:val="TOC2"/>
        <w:tabs>
          <w:tab w:val="right" w:leader="dot" w:pos="9323"/>
        </w:tabs>
        <w:rPr>
          <w:rFonts w:eastAsiaTheme="minorEastAsia"/>
          <w:noProof/>
          <w:lang w:eastAsia="en-AU"/>
        </w:rPr>
      </w:pPr>
      <w:hyperlink w:anchor="_Toc480810842" w:history="1">
        <w:r w:rsidR="007A2586" w:rsidRPr="001C7D5E">
          <w:rPr>
            <w:rStyle w:val="Hyperlink"/>
            <w:noProof/>
          </w:rPr>
          <w:t>Operation of radiocommunications devices (Part 5)</w:t>
        </w:r>
        <w:r w:rsidR="007A2586">
          <w:rPr>
            <w:noProof/>
            <w:webHidden/>
          </w:rPr>
          <w:tab/>
        </w:r>
        <w:r w:rsidR="007A2586">
          <w:rPr>
            <w:noProof/>
            <w:webHidden/>
          </w:rPr>
          <w:fldChar w:fldCharType="begin"/>
        </w:r>
        <w:r w:rsidR="007A2586">
          <w:rPr>
            <w:noProof/>
            <w:webHidden/>
          </w:rPr>
          <w:instrText xml:space="preserve"> PAGEREF _Toc480810842 \h </w:instrText>
        </w:r>
        <w:r w:rsidR="007A2586">
          <w:rPr>
            <w:noProof/>
            <w:webHidden/>
          </w:rPr>
        </w:r>
        <w:r w:rsidR="007A2586">
          <w:rPr>
            <w:noProof/>
            <w:webHidden/>
          </w:rPr>
          <w:fldChar w:fldCharType="separate"/>
        </w:r>
        <w:r w:rsidR="007828EB">
          <w:rPr>
            <w:noProof/>
            <w:webHidden/>
          </w:rPr>
          <w:t>12</w:t>
        </w:r>
        <w:r w:rsidR="007A2586">
          <w:rPr>
            <w:noProof/>
            <w:webHidden/>
          </w:rPr>
          <w:fldChar w:fldCharType="end"/>
        </w:r>
      </w:hyperlink>
    </w:p>
    <w:p w14:paraId="65CDB9E9" w14:textId="77777777" w:rsidR="007A2586" w:rsidRDefault="000A1729">
      <w:pPr>
        <w:pStyle w:val="TOC3"/>
        <w:tabs>
          <w:tab w:val="right" w:leader="dot" w:pos="9323"/>
        </w:tabs>
        <w:rPr>
          <w:rFonts w:eastAsiaTheme="minorEastAsia"/>
          <w:noProof/>
          <w:lang w:eastAsia="en-AU"/>
        </w:rPr>
      </w:pPr>
      <w:hyperlink w:anchor="_Toc480810843" w:history="1">
        <w:r w:rsidR="007A2586" w:rsidRPr="001C7D5E">
          <w:rPr>
            <w:rStyle w:val="Hyperlink"/>
            <w:noProof/>
            <w:lang w:eastAsia="en-AU"/>
          </w:rPr>
          <w:t>Unauthorised operation and unlawful possession</w:t>
        </w:r>
        <w:r w:rsidR="007A2586">
          <w:rPr>
            <w:noProof/>
            <w:webHidden/>
          </w:rPr>
          <w:tab/>
        </w:r>
        <w:r w:rsidR="007A2586">
          <w:rPr>
            <w:noProof/>
            <w:webHidden/>
          </w:rPr>
          <w:fldChar w:fldCharType="begin"/>
        </w:r>
        <w:r w:rsidR="007A2586">
          <w:rPr>
            <w:noProof/>
            <w:webHidden/>
          </w:rPr>
          <w:instrText xml:space="preserve"> PAGEREF _Toc480810843 \h </w:instrText>
        </w:r>
        <w:r w:rsidR="007A2586">
          <w:rPr>
            <w:noProof/>
            <w:webHidden/>
          </w:rPr>
        </w:r>
        <w:r w:rsidR="007A2586">
          <w:rPr>
            <w:noProof/>
            <w:webHidden/>
          </w:rPr>
          <w:fldChar w:fldCharType="separate"/>
        </w:r>
        <w:r w:rsidR="007828EB">
          <w:rPr>
            <w:noProof/>
            <w:webHidden/>
          </w:rPr>
          <w:t>13</w:t>
        </w:r>
        <w:r w:rsidR="007A2586">
          <w:rPr>
            <w:noProof/>
            <w:webHidden/>
          </w:rPr>
          <w:fldChar w:fldCharType="end"/>
        </w:r>
      </w:hyperlink>
    </w:p>
    <w:p w14:paraId="206219EE" w14:textId="77777777" w:rsidR="007A2586" w:rsidRDefault="000A1729">
      <w:pPr>
        <w:pStyle w:val="TOC3"/>
        <w:tabs>
          <w:tab w:val="right" w:leader="dot" w:pos="9323"/>
        </w:tabs>
        <w:rPr>
          <w:rFonts w:eastAsiaTheme="minorEastAsia"/>
          <w:noProof/>
          <w:lang w:eastAsia="en-AU"/>
        </w:rPr>
      </w:pPr>
      <w:hyperlink w:anchor="_Toc480810844" w:history="1">
        <w:r w:rsidR="007A2586" w:rsidRPr="001C7D5E">
          <w:rPr>
            <w:rStyle w:val="Hyperlink"/>
            <w:noProof/>
            <w:lang w:eastAsia="en-AU"/>
          </w:rPr>
          <w:t>Uncertified operation</w:t>
        </w:r>
        <w:r w:rsidR="007A2586">
          <w:rPr>
            <w:noProof/>
            <w:webHidden/>
          </w:rPr>
          <w:tab/>
        </w:r>
        <w:r w:rsidR="007A2586">
          <w:rPr>
            <w:noProof/>
            <w:webHidden/>
          </w:rPr>
          <w:fldChar w:fldCharType="begin"/>
        </w:r>
        <w:r w:rsidR="007A2586">
          <w:rPr>
            <w:noProof/>
            <w:webHidden/>
          </w:rPr>
          <w:instrText xml:space="preserve"> PAGEREF _Toc480810844 \h </w:instrText>
        </w:r>
        <w:r w:rsidR="007A2586">
          <w:rPr>
            <w:noProof/>
            <w:webHidden/>
          </w:rPr>
        </w:r>
        <w:r w:rsidR="007A2586">
          <w:rPr>
            <w:noProof/>
            <w:webHidden/>
          </w:rPr>
          <w:fldChar w:fldCharType="separate"/>
        </w:r>
        <w:r w:rsidR="007828EB">
          <w:rPr>
            <w:noProof/>
            <w:webHidden/>
          </w:rPr>
          <w:t>13</w:t>
        </w:r>
        <w:r w:rsidR="007A2586">
          <w:rPr>
            <w:noProof/>
            <w:webHidden/>
          </w:rPr>
          <w:fldChar w:fldCharType="end"/>
        </w:r>
      </w:hyperlink>
    </w:p>
    <w:p w14:paraId="6E8983B8" w14:textId="77777777" w:rsidR="007A2586" w:rsidRDefault="000A1729">
      <w:pPr>
        <w:pStyle w:val="TOC3"/>
        <w:tabs>
          <w:tab w:val="right" w:leader="dot" w:pos="9323"/>
        </w:tabs>
        <w:rPr>
          <w:rFonts w:eastAsiaTheme="minorEastAsia"/>
          <w:noProof/>
          <w:lang w:eastAsia="en-AU"/>
        </w:rPr>
      </w:pPr>
      <w:hyperlink w:anchor="_Toc480810845" w:history="1">
        <w:r w:rsidR="007A2586" w:rsidRPr="001C7D5E">
          <w:rPr>
            <w:rStyle w:val="Hyperlink"/>
            <w:noProof/>
            <w:lang w:eastAsia="en-AU"/>
          </w:rPr>
          <w:t>Civil proceedings</w:t>
        </w:r>
        <w:r w:rsidR="007A2586">
          <w:rPr>
            <w:noProof/>
            <w:webHidden/>
          </w:rPr>
          <w:tab/>
        </w:r>
        <w:r w:rsidR="007A2586">
          <w:rPr>
            <w:noProof/>
            <w:webHidden/>
          </w:rPr>
          <w:fldChar w:fldCharType="begin"/>
        </w:r>
        <w:r w:rsidR="007A2586">
          <w:rPr>
            <w:noProof/>
            <w:webHidden/>
          </w:rPr>
          <w:instrText xml:space="preserve"> PAGEREF _Toc480810845 \h </w:instrText>
        </w:r>
        <w:r w:rsidR="007A2586">
          <w:rPr>
            <w:noProof/>
            <w:webHidden/>
          </w:rPr>
        </w:r>
        <w:r w:rsidR="007A2586">
          <w:rPr>
            <w:noProof/>
            <w:webHidden/>
          </w:rPr>
          <w:fldChar w:fldCharType="separate"/>
        </w:r>
        <w:r w:rsidR="007828EB">
          <w:rPr>
            <w:noProof/>
            <w:webHidden/>
          </w:rPr>
          <w:t>13</w:t>
        </w:r>
        <w:r w:rsidR="007A2586">
          <w:rPr>
            <w:noProof/>
            <w:webHidden/>
          </w:rPr>
          <w:fldChar w:fldCharType="end"/>
        </w:r>
      </w:hyperlink>
    </w:p>
    <w:p w14:paraId="2C8F15E4" w14:textId="77777777" w:rsidR="007A2586" w:rsidRDefault="000A1729">
      <w:pPr>
        <w:pStyle w:val="TOC2"/>
        <w:tabs>
          <w:tab w:val="right" w:leader="dot" w:pos="9323"/>
        </w:tabs>
        <w:rPr>
          <w:rFonts w:eastAsiaTheme="minorEastAsia"/>
          <w:noProof/>
          <w:lang w:eastAsia="en-AU"/>
        </w:rPr>
      </w:pPr>
      <w:hyperlink w:anchor="_Toc480810846" w:history="1">
        <w:r w:rsidR="007A2586" w:rsidRPr="001C7D5E">
          <w:rPr>
            <w:rStyle w:val="Hyperlink"/>
            <w:noProof/>
          </w:rPr>
          <w:t>Licences (Part 6)</w:t>
        </w:r>
        <w:r w:rsidR="007A2586">
          <w:rPr>
            <w:noProof/>
            <w:webHidden/>
          </w:rPr>
          <w:tab/>
        </w:r>
        <w:r w:rsidR="007A2586">
          <w:rPr>
            <w:noProof/>
            <w:webHidden/>
          </w:rPr>
          <w:fldChar w:fldCharType="begin"/>
        </w:r>
        <w:r w:rsidR="007A2586">
          <w:rPr>
            <w:noProof/>
            <w:webHidden/>
          </w:rPr>
          <w:instrText xml:space="preserve"> PAGEREF _Toc480810846 \h </w:instrText>
        </w:r>
        <w:r w:rsidR="007A2586">
          <w:rPr>
            <w:noProof/>
            <w:webHidden/>
          </w:rPr>
        </w:r>
        <w:r w:rsidR="007A2586">
          <w:rPr>
            <w:noProof/>
            <w:webHidden/>
          </w:rPr>
          <w:fldChar w:fldCharType="separate"/>
        </w:r>
        <w:r w:rsidR="007828EB">
          <w:rPr>
            <w:noProof/>
            <w:webHidden/>
          </w:rPr>
          <w:t>13</w:t>
        </w:r>
        <w:r w:rsidR="007A2586">
          <w:rPr>
            <w:noProof/>
            <w:webHidden/>
          </w:rPr>
          <w:fldChar w:fldCharType="end"/>
        </w:r>
      </w:hyperlink>
    </w:p>
    <w:p w14:paraId="0847A2F9" w14:textId="77777777" w:rsidR="007A2586" w:rsidRDefault="000A1729">
      <w:pPr>
        <w:pStyle w:val="TOC3"/>
        <w:tabs>
          <w:tab w:val="right" w:leader="dot" w:pos="9323"/>
        </w:tabs>
        <w:rPr>
          <w:rFonts w:eastAsiaTheme="minorEastAsia"/>
          <w:noProof/>
          <w:lang w:eastAsia="en-AU"/>
        </w:rPr>
      </w:pPr>
      <w:hyperlink w:anchor="_Toc480810847" w:history="1">
        <w:r w:rsidR="007A2586" w:rsidRPr="001C7D5E">
          <w:rPr>
            <w:rStyle w:val="Hyperlink"/>
            <w:noProof/>
          </w:rPr>
          <w:t>General provisions (Part 6, Division 1)</w:t>
        </w:r>
        <w:r w:rsidR="007A2586">
          <w:rPr>
            <w:noProof/>
            <w:webHidden/>
          </w:rPr>
          <w:tab/>
        </w:r>
        <w:r w:rsidR="007A2586">
          <w:rPr>
            <w:noProof/>
            <w:webHidden/>
          </w:rPr>
          <w:fldChar w:fldCharType="begin"/>
        </w:r>
        <w:r w:rsidR="007A2586">
          <w:rPr>
            <w:noProof/>
            <w:webHidden/>
          </w:rPr>
          <w:instrText xml:space="preserve"> PAGEREF _Toc480810847 \h </w:instrText>
        </w:r>
        <w:r w:rsidR="007A2586">
          <w:rPr>
            <w:noProof/>
            <w:webHidden/>
          </w:rPr>
        </w:r>
        <w:r w:rsidR="007A2586">
          <w:rPr>
            <w:noProof/>
            <w:webHidden/>
          </w:rPr>
          <w:fldChar w:fldCharType="separate"/>
        </w:r>
        <w:r w:rsidR="007828EB">
          <w:rPr>
            <w:noProof/>
            <w:webHidden/>
          </w:rPr>
          <w:t>14</w:t>
        </w:r>
        <w:r w:rsidR="007A2586">
          <w:rPr>
            <w:noProof/>
            <w:webHidden/>
          </w:rPr>
          <w:fldChar w:fldCharType="end"/>
        </w:r>
      </w:hyperlink>
    </w:p>
    <w:p w14:paraId="3F43E773" w14:textId="77777777" w:rsidR="007A2586" w:rsidRDefault="000A1729">
      <w:pPr>
        <w:pStyle w:val="TOC3"/>
        <w:tabs>
          <w:tab w:val="right" w:leader="dot" w:pos="9323"/>
        </w:tabs>
        <w:rPr>
          <w:rFonts w:eastAsiaTheme="minorEastAsia"/>
          <w:noProof/>
          <w:lang w:eastAsia="en-AU"/>
        </w:rPr>
      </w:pPr>
      <w:hyperlink w:anchor="_Toc480810848" w:history="1">
        <w:r w:rsidR="007A2586" w:rsidRPr="001C7D5E">
          <w:rPr>
            <w:rStyle w:val="Hyperlink"/>
            <w:noProof/>
          </w:rPr>
          <w:t>Issue of licences (Part 6, Division 2)</w:t>
        </w:r>
        <w:r w:rsidR="007A2586">
          <w:rPr>
            <w:noProof/>
            <w:webHidden/>
          </w:rPr>
          <w:tab/>
        </w:r>
        <w:r w:rsidR="007A2586">
          <w:rPr>
            <w:noProof/>
            <w:webHidden/>
          </w:rPr>
          <w:fldChar w:fldCharType="begin"/>
        </w:r>
        <w:r w:rsidR="007A2586">
          <w:rPr>
            <w:noProof/>
            <w:webHidden/>
          </w:rPr>
          <w:instrText xml:space="preserve"> PAGEREF _Toc480810848 \h </w:instrText>
        </w:r>
        <w:r w:rsidR="007A2586">
          <w:rPr>
            <w:noProof/>
            <w:webHidden/>
          </w:rPr>
        </w:r>
        <w:r w:rsidR="007A2586">
          <w:rPr>
            <w:noProof/>
            <w:webHidden/>
          </w:rPr>
          <w:fldChar w:fldCharType="separate"/>
        </w:r>
        <w:r w:rsidR="007828EB">
          <w:rPr>
            <w:noProof/>
            <w:webHidden/>
          </w:rPr>
          <w:t>14</w:t>
        </w:r>
        <w:r w:rsidR="007A2586">
          <w:rPr>
            <w:noProof/>
            <w:webHidden/>
          </w:rPr>
          <w:fldChar w:fldCharType="end"/>
        </w:r>
      </w:hyperlink>
    </w:p>
    <w:p w14:paraId="2B12FB13" w14:textId="77777777" w:rsidR="007A2586" w:rsidRDefault="000A1729">
      <w:pPr>
        <w:pStyle w:val="TOC3"/>
        <w:tabs>
          <w:tab w:val="right" w:leader="dot" w:pos="9323"/>
        </w:tabs>
        <w:rPr>
          <w:rFonts w:eastAsiaTheme="minorEastAsia"/>
          <w:noProof/>
          <w:lang w:eastAsia="en-AU"/>
        </w:rPr>
      </w:pPr>
      <w:hyperlink w:anchor="_Toc480810849" w:history="1">
        <w:r w:rsidR="007A2586" w:rsidRPr="001C7D5E">
          <w:rPr>
            <w:rStyle w:val="Hyperlink"/>
            <w:noProof/>
          </w:rPr>
          <w:t>Third party use (Part 6, Division 3)</w:t>
        </w:r>
        <w:r w:rsidR="007A2586">
          <w:rPr>
            <w:noProof/>
            <w:webHidden/>
          </w:rPr>
          <w:tab/>
        </w:r>
        <w:r w:rsidR="007A2586">
          <w:rPr>
            <w:noProof/>
            <w:webHidden/>
          </w:rPr>
          <w:fldChar w:fldCharType="begin"/>
        </w:r>
        <w:r w:rsidR="007A2586">
          <w:rPr>
            <w:noProof/>
            <w:webHidden/>
          </w:rPr>
          <w:instrText xml:space="preserve"> PAGEREF _Toc480810849 \h </w:instrText>
        </w:r>
        <w:r w:rsidR="007A2586">
          <w:rPr>
            <w:noProof/>
            <w:webHidden/>
          </w:rPr>
        </w:r>
        <w:r w:rsidR="007A2586">
          <w:rPr>
            <w:noProof/>
            <w:webHidden/>
          </w:rPr>
          <w:fldChar w:fldCharType="separate"/>
        </w:r>
        <w:r w:rsidR="007828EB">
          <w:rPr>
            <w:noProof/>
            <w:webHidden/>
          </w:rPr>
          <w:t>15</w:t>
        </w:r>
        <w:r w:rsidR="007A2586">
          <w:rPr>
            <w:noProof/>
            <w:webHidden/>
          </w:rPr>
          <w:fldChar w:fldCharType="end"/>
        </w:r>
      </w:hyperlink>
    </w:p>
    <w:p w14:paraId="1236C8A5" w14:textId="77777777" w:rsidR="007A2586" w:rsidRDefault="000A1729">
      <w:pPr>
        <w:pStyle w:val="TOC3"/>
        <w:tabs>
          <w:tab w:val="right" w:leader="dot" w:pos="9323"/>
        </w:tabs>
        <w:rPr>
          <w:rFonts w:eastAsiaTheme="minorEastAsia"/>
          <w:noProof/>
          <w:lang w:eastAsia="en-AU"/>
        </w:rPr>
      </w:pPr>
      <w:hyperlink w:anchor="_Toc480810850" w:history="1">
        <w:r w:rsidR="007A2586" w:rsidRPr="001C7D5E">
          <w:rPr>
            <w:rStyle w:val="Hyperlink"/>
            <w:noProof/>
          </w:rPr>
          <w:t>Conditions of Licences (Part 6, Division 4)</w:t>
        </w:r>
        <w:r w:rsidR="007A2586">
          <w:rPr>
            <w:noProof/>
            <w:webHidden/>
          </w:rPr>
          <w:tab/>
        </w:r>
        <w:r w:rsidR="007A2586">
          <w:rPr>
            <w:noProof/>
            <w:webHidden/>
          </w:rPr>
          <w:fldChar w:fldCharType="begin"/>
        </w:r>
        <w:r w:rsidR="007A2586">
          <w:rPr>
            <w:noProof/>
            <w:webHidden/>
          </w:rPr>
          <w:instrText xml:space="preserve"> PAGEREF _Toc480810850 \h </w:instrText>
        </w:r>
        <w:r w:rsidR="007A2586">
          <w:rPr>
            <w:noProof/>
            <w:webHidden/>
          </w:rPr>
        </w:r>
        <w:r w:rsidR="007A2586">
          <w:rPr>
            <w:noProof/>
            <w:webHidden/>
          </w:rPr>
          <w:fldChar w:fldCharType="separate"/>
        </w:r>
        <w:r w:rsidR="007828EB">
          <w:rPr>
            <w:noProof/>
            <w:webHidden/>
          </w:rPr>
          <w:t>16</w:t>
        </w:r>
        <w:r w:rsidR="007A2586">
          <w:rPr>
            <w:noProof/>
            <w:webHidden/>
          </w:rPr>
          <w:fldChar w:fldCharType="end"/>
        </w:r>
      </w:hyperlink>
    </w:p>
    <w:p w14:paraId="5ABC1305" w14:textId="77777777" w:rsidR="007A2586" w:rsidRDefault="000A1729">
      <w:pPr>
        <w:pStyle w:val="TOC3"/>
        <w:tabs>
          <w:tab w:val="right" w:leader="dot" w:pos="9323"/>
        </w:tabs>
        <w:rPr>
          <w:rFonts w:eastAsiaTheme="minorEastAsia"/>
          <w:noProof/>
          <w:lang w:eastAsia="en-AU"/>
        </w:rPr>
      </w:pPr>
      <w:hyperlink w:anchor="_Toc480810851" w:history="1">
        <w:r w:rsidR="007A2586" w:rsidRPr="001C7D5E">
          <w:rPr>
            <w:rStyle w:val="Hyperlink"/>
            <w:noProof/>
          </w:rPr>
          <w:t>Regulatory undertakings (Part 6, Division 5)</w:t>
        </w:r>
        <w:r w:rsidR="007A2586">
          <w:rPr>
            <w:noProof/>
            <w:webHidden/>
          </w:rPr>
          <w:tab/>
        </w:r>
        <w:r w:rsidR="007A2586">
          <w:rPr>
            <w:noProof/>
            <w:webHidden/>
          </w:rPr>
          <w:fldChar w:fldCharType="begin"/>
        </w:r>
        <w:r w:rsidR="007A2586">
          <w:rPr>
            <w:noProof/>
            <w:webHidden/>
          </w:rPr>
          <w:instrText xml:space="preserve"> PAGEREF _Toc480810851 \h </w:instrText>
        </w:r>
        <w:r w:rsidR="007A2586">
          <w:rPr>
            <w:noProof/>
            <w:webHidden/>
          </w:rPr>
        </w:r>
        <w:r w:rsidR="007A2586">
          <w:rPr>
            <w:noProof/>
            <w:webHidden/>
          </w:rPr>
          <w:fldChar w:fldCharType="separate"/>
        </w:r>
        <w:r w:rsidR="007828EB">
          <w:rPr>
            <w:noProof/>
            <w:webHidden/>
          </w:rPr>
          <w:t>17</w:t>
        </w:r>
        <w:r w:rsidR="007A2586">
          <w:rPr>
            <w:noProof/>
            <w:webHidden/>
          </w:rPr>
          <w:fldChar w:fldCharType="end"/>
        </w:r>
      </w:hyperlink>
    </w:p>
    <w:p w14:paraId="7C327FAE" w14:textId="77777777" w:rsidR="007A2586" w:rsidRDefault="000A1729">
      <w:pPr>
        <w:pStyle w:val="TOC3"/>
        <w:tabs>
          <w:tab w:val="right" w:leader="dot" w:pos="9323"/>
        </w:tabs>
        <w:rPr>
          <w:rFonts w:eastAsiaTheme="minorEastAsia"/>
          <w:noProof/>
          <w:lang w:eastAsia="en-AU"/>
        </w:rPr>
      </w:pPr>
      <w:hyperlink w:anchor="_Toc480810852" w:history="1">
        <w:r w:rsidR="007A2586" w:rsidRPr="001C7D5E">
          <w:rPr>
            <w:rStyle w:val="Hyperlink"/>
            <w:noProof/>
          </w:rPr>
          <w:t>Varying licences (Part 6, Division 6)</w:t>
        </w:r>
        <w:r w:rsidR="007A2586">
          <w:rPr>
            <w:noProof/>
            <w:webHidden/>
          </w:rPr>
          <w:tab/>
        </w:r>
        <w:r w:rsidR="007A2586">
          <w:rPr>
            <w:noProof/>
            <w:webHidden/>
          </w:rPr>
          <w:fldChar w:fldCharType="begin"/>
        </w:r>
        <w:r w:rsidR="007A2586">
          <w:rPr>
            <w:noProof/>
            <w:webHidden/>
          </w:rPr>
          <w:instrText xml:space="preserve"> PAGEREF _Toc480810852 \h </w:instrText>
        </w:r>
        <w:r w:rsidR="007A2586">
          <w:rPr>
            <w:noProof/>
            <w:webHidden/>
          </w:rPr>
        </w:r>
        <w:r w:rsidR="007A2586">
          <w:rPr>
            <w:noProof/>
            <w:webHidden/>
          </w:rPr>
          <w:fldChar w:fldCharType="separate"/>
        </w:r>
        <w:r w:rsidR="007828EB">
          <w:rPr>
            <w:noProof/>
            <w:webHidden/>
          </w:rPr>
          <w:t>17</w:t>
        </w:r>
        <w:r w:rsidR="007A2586">
          <w:rPr>
            <w:noProof/>
            <w:webHidden/>
          </w:rPr>
          <w:fldChar w:fldCharType="end"/>
        </w:r>
      </w:hyperlink>
    </w:p>
    <w:p w14:paraId="38592063" w14:textId="77777777" w:rsidR="007A2586" w:rsidRDefault="000A1729">
      <w:pPr>
        <w:pStyle w:val="TOC3"/>
        <w:tabs>
          <w:tab w:val="right" w:leader="dot" w:pos="9323"/>
        </w:tabs>
        <w:rPr>
          <w:rFonts w:eastAsiaTheme="minorEastAsia"/>
          <w:noProof/>
          <w:lang w:eastAsia="en-AU"/>
        </w:rPr>
      </w:pPr>
      <w:hyperlink w:anchor="_Toc480810853" w:history="1">
        <w:r w:rsidR="007A2586" w:rsidRPr="001C7D5E">
          <w:rPr>
            <w:rStyle w:val="Hyperlink"/>
            <w:noProof/>
          </w:rPr>
          <w:t>Renewing licences (Part 6, Division 7)</w:t>
        </w:r>
        <w:r w:rsidR="007A2586">
          <w:rPr>
            <w:noProof/>
            <w:webHidden/>
          </w:rPr>
          <w:tab/>
        </w:r>
        <w:r w:rsidR="007A2586">
          <w:rPr>
            <w:noProof/>
            <w:webHidden/>
          </w:rPr>
          <w:fldChar w:fldCharType="begin"/>
        </w:r>
        <w:r w:rsidR="007A2586">
          <w:rPr>
            <w:noProof/>
            <w:webHidden/>
          </w:rPr>
          <w:instrText xml:space="preserve"> PAGEREF _Toc480810853 \h </w:instrText>
        </w:r>
        <w:r w:rsidR="007A2586">
          <w:rPr>
            <w:noProof/>
            <w:webHidden/>
          </w:rPr>
        </w:r>
        <w:r w:rsidR="007A2586">
          <w:rPr>
            <w:noProof/>
            <w:webHidden/>
          </w:rPr>
          <w:fldChar w:fldCharType="separate"/>
        </w:r>
        <w:r w:rsidR="007828EB">
          <w:rPr>
            <w:noProof/>
            <w:webHidden/>
          </w:rPr>
          <w:t>17</w:t>
        </w:r>
        <w:r w:rsidR="007A2586">
          <w:rPr>
            <w:noProof/>
            <w:webHidden/>
          </w:rPr>
          <w:fldChar w:fldCharType="end"/>
        </w:r>
      </w:hyperlink>
    </w:p>
    <w:p w14:paraId="4E3C3847" w14:textId="77777777" w:rsidR="007A2586" w:rsidRDefault="000A1729">
      <w:pPr>
        <w:pStyle w:val="TOC3"/>
        <w:tabs>
          <w:tab w:val="right" w:leader="dot" w:pos="9323"/>
        </w:tabs>
        <w:rPr>
          <w:rFonts w:eastAsiaTheme="minorEastAsia"/>
          <w:noProof/>
          <w:lang w:eastAsia="en-AU"/>
        </w:rPr>
      </w:pPr>
      <w:hyperlink w:anchor="_Toc480810854" w:history="1">
        <w:r w:rsidR="007A2586" w:rsidRPr="001C7D5E">
          <w:rPr>
            <w:rStyle w:val="Hyperlink"/>
            <w:noProof/>
          </w:rPr>
          <w:t>Suspension and cancellation of licences (Part 6, Divisions 8 and 9A &amp; B)</w:t>
        </w:r>
        <w:r w:rsidR="007A2586">
          <w:rPr>
            <w:noProof/>
            <w:webHidden/>
          </w:rPr>
          <w:tab/>
        </w:r>
        <w:r w:rsidR="007A2586">
          <w:rPr>
            <w:noProof/>
            <w:webHidden/>
          </w:rPr>
          <w:fldChar w:fldCharType="begin"/>
        </w:r>
        <w:r w:rsidR="007A2586">
          <w:rPr>
            <w:noProof/>
            <w:webHidden/>
          </w:rPr>
          <w:instrText xml:space="preserve"> PAGEREF _Toc480810854 \h </w:instrText>
        </w:r>
        <w:r w:rsidR="007A2586">
          <w:rPr>
            <w:noProof/>
            <w:webHidden/>
          </w:rPr>
        </w:r>
        <w:r w:rsidR="007A2586">
          <w:rPr>
            <w:noProof/>
            <w:webHidden/>
          </w:rPr>
          <w:fldChar w:fldCharType="separate"/>
        </w:r>
        <w:r w:rsidR="007828EB">
          <w:rPr>
            <w:noProof/>
            <w:webHidden/>
          </w:rPr>
          <w:t>18</w:t>
        </w:r>
        <w:r w:rsidR="007A2586">
          <w:rPr>
            <w:noProof/>
            <w:webHidden/>
          </w:rPr>
          <w:fldChar w:fldCharType="end"/>
        </w:r>
      </w:hyperlink>
    </w:p>
    <w:p w14:paraId="7747CC1D" w14:textId="77777777" w:rsidR="007A2586" w:rsidRDefault="000A1729">
      <w:pPr>
        <w:pStyle w:val="TOC3"/>
        <w:tabs>
          <w:tab w:val="right" w:leader="dot" w:pos="9323"/>
        </w:tabs>
        <w:rPr>
          <w:rFonts w:eastAsiaTheme="minorEastAsia"/>
          <w:noProof/>
          <w:lang w:eastAsia="en-AU"/>
        </w:rPr>
      </w:pPr>
      <w:hyperlink w:anchor="_Toc480810855" w:history="1">
        <w:r w:rsidR="007A2586" w:rsidRPr="001C7D5E">
          <w:rPr>
            <w:rStyle w:val="Hyperlink"/>
            <w:noProof/>
          </w:rPr>
          <w:t>Surrender of licences (Part 6, Division 10)</w:t>
        </w:r>
        <w:r w:rsidR="007A2586">
          <w:rPr>
            <w:noProof/>
            <w:webHidden/>
          </w:rPr>
          <w:tab/>
        </w:r>
        <w:r w:rsidR="007A2586">
          <w:rPr>
            <w:noProof/>
            <w:webHidden/>
          </w:rPr>
          <w:fldChar w:fldCharType="begin"/>
        </w:r>
        <w:r w:rsidR="007A2586">
          <w:rPr>
            <w:noProof/>
            <w:webHidden/>
          </w:rPr>
          <w:instrText xml:space="preserve"> PAGEREF _Toc480810855 \h </w:instrText>
        </w:r>
        <w:r w:rsidR="007A2586">
          <w:rPr>
            <w:noProof/>
            <w:webHidden/>
          </w:rPr>
        </w:r>
        <w:r w:rsidR="007A2586">
          <w:rPr>
            <w:noProof/>
            <w:webHidden/>
          </w:rPr>
          <w:fldChar w:fldCharType="separate"/>
        </w:r>
        <w:r w:rsidR="007828EB">
          <w:rPr>
            <w:noProof/>
            <w:webHidden/>
          </w:rPr>
          <w:t>19</w:t>
        </w:r>
        <w:r w:rsidR="007A2586">
          <w:rPr>
            <w:noProof/>
            <w:webHidden/>
          </w:rPr>
          <w:fldChar w:fldCharType="end"/>
        </w:r>
      </w:hyperlink>
    </w:p>
    <w:p w14:paraId="186E69F3" w14:textId="77777777" w:rsidR="007A2586" w:rsidRDefault="000A1729">
      <w:pPr>
        <w:pStyle w:val="TOC3"/>
        <w:tabs>
          <w:tab w:val="right" w:leader="dot" w:pos="9323"/>
        </w:tabs>
        <w:rPr>
          <w:rFonts w:eastAsiaTheme="minorEastAsia"/>
          <w:noProof/>
          <w:lang w:eastAsia="en-AU"/>
        </w:rPr>
      </w:pPr>
      <w:hyperlink w:anchor="_Toc480810856" w:history="1">
        <w:r w:rsidR="007A2586" w:rsidRPr="001C7D5E">
          <w:rPr>
            <w:rStyle w:val="Hyperlink"/>
            <w:noProof/>
          </w:rPr>
          <w:t>Subdivision of licences (Part 6, Division 11)</w:t>
        </w:r>
        <w:r w:rsidR="007A2586">
          <w:rPr>
            <w:noProof/>
            <w:webHidden/>
          </w:rPr>
          <w:tab/>
        </w:r>
        <w:r w:rsidR="007A2586">
          <w:rPr>
            <w:noProof/>
            <w:webHidden/>
          </w:rPr>
          <w:fldChar w:fldCharType="begin"/>
        </w:r>
        <w:r w:rsidR="007A2586">
          <w:rPr>
            <w:noProof/>
            <w:webHidden/>
          </w:rPr>
          <w:instrText xml:space="preserve"> PAGEREF _Toc480810856 \h </w:instrText>
        </w:r>
        <w:r w:rsidR="007A2586">
          <w:rPr>
            <w:noProof/>
            <w:webHidden/>
          </w:rPr>
        </w:r>
        <w:r w:rsidR="007A2586">
          <w:rPr>
            <w:noProof/>
            <w:webHidden/>
          </w:rPr>
          <w:fldChar w:fldCharType="separate"/>
        </w:r>
        <w:r w:rsidR="007828EB">
          <w:rPr>
            <w:noProof/>
            <w:webHidden/>
          </w:rPr>
          <w:t>19</w:t>
        </w:r>
        <w:r w:rsidR="007A2586">
          <w:rPr>
            <w:noProof/>
            <w:webHidden/>
          </w:rPr>
          <w:fldChar w:fldCharType="end"/>
        </w:r>
      </w:hyperlink>
    </w:p>
    <w:p w14:paraId="5EE35B07" w14:textId="77777777" w:rsidR="007A2586" w:rsidRDefault="000A1729">
      <w:pPr>
        <w:pStyle w:val="TOC3"/>
        <w:tabs>
          <w:tab w:val="right" w:leader="dot" w:pos="9323"/>
        </w:tabs>
        <w:rPr>
          <w:rFonts w:eastAsiaTheme="minorEastAsia"/>
          <w:noProof/>
          <w:lang w:eastAsia="en-AU"/>
        </w:rPr>
      </w:pPr>
      <w:hyperlink w:anchor="_Toc480810857" w:history="1">
        <w:r w:rsidR="007A2586" w:rsidRPr="001C7D5E">
          <w:rPr>
            <w:rStyle w:val="Hyperlink"/>
            <w:noProof/>
          </w:rPr>
          <w:t>Assigning and dealing with licences (Part 6, Divisions 12 and 13)</w:t>
        </w:r>
        <w:r w:rsidR="007A2586">
          <w:rPr>
            <w:noProof/>
            <w:webHidden/>
          </w:rPr>
          <w:tab/>
        </w:r>
        <w:r w:rsidR="007A2586">
          <w:rPr>
            <w:noProof/>
            <w:webHidden/>
          </w:rPr>
          <w:fldChar w:fldCharType="begin"/>
        </w:r>
        <w:r w:rsidR="007A2586">
          <w:rPr>
            <w:noProof/>
            <w:webHidden/>
          </w:rPr>
          <w:instrText xml:space="preserve"> PAGEREF _Toc480810857 \h </w:instrText>
        </w:r>
        <w:r w:rsidR="007A2586">
          <w:rPr>
            <w:noProof/>
            <w:webHidden/>
          </w:rPr>
        </w:r>
        <w:r w:rsidR="007A2586">
          <w:rPr>
            <w:noProof/>
            <w:webHidden/>
          </w:rPr>
          <w:fldChar w:fldCharType="separate"/>
        </w:r>
        <w:r w:rsidR="007828EB">
          <w:rPr>
            <w:noProof/>
            <w:webHidden/>
          </w:rPr>
          <w:t>19</w:t>
        </w:r>
        <w:r w:rsidR="007A2586">
          <w:rPr>
            <w:noProof/>
            <w:webHidden/>
          </w:rPr>
          <w:fldChar w:fldCharType="end"/>
        </w:r>
      </w:hyperlink>
    </w:p>
    <w:p w14:paraId="53280DE2" w14:textId="77777777" w:rsidR="007A2586" w:rsidRDefault="000A1729">
      <w:pPr>
        <w:pStyle w:val="TOC3"/>
        <w:tabs>
          <w:tab w:val="right" w:leader="dot" w:pos="9323"/>
        </w:tabs>
        <w:rPr>
          <w:rFonts w:eastAsiaTheme="minorEastAsia"/>
          <w:noProof/>
          <w:lang w:eastAsia="en-AU"/>
        </w:rPr>
      </w:pPr>
      <w:hyperlink w:anchor="_Toc480810858" w:history="1">
        <w:r w:rsidR="007A2586" w:rsidRPr="001C7D5E">
          <w:rPr>
            <w:rStyle w:val="Hyperlink"/>
            <w:noProof/>
          </w:rPr>
          <w:t>Resumption of licences (Part 6, Division 14)</w:t>
        </w:r>
        <w:r w:rsidR="007A2586">
          <w:rPr>
            <w:noProof/>
            <w:webHidden/>
          </w:rPr>
          <w:tab/>
        </w:r>
        <w:r w:rsidR="007A2586">
          <w:rPr>
            <w:noProof/>
            <w:webHidden/>
          </w:rPr>
          <w:fldChar w:fldCharType="begin"/>
        </w:r>
        <w:r w:rsidR="007A2586">
          <w:rPr>
            <w:noProof/>
            <w:webHidden/>
          </w:rPr>
          <w:instrText xml:space="preserve"> PAGEREF _Toc480810858 \h </w:instrText>
        </w:r>
        <w:r w:rsidR="007A2586">
          <w:rPr>
            <w:noProof/>
            <w:webHidden/>
          </w:rPr>
        </w:r>
        <w:r w:rsidR="007A2586">
          <w:rPr>
            <w:noProof/>
            <w:webHidden/>
          </w:rPr>
          <w:fldChar w:fldCharType="separate"/>
        </w:r>
        <w:r w:rsidR="007828EB">
          <w:rPr>
            <w:noProof/>
            <w:webHidden/>
          </w:rPr>
          <w:t>19</w:t>
        </w:r>
        <w:r w:rsidR="007A2586">
          <w:rPr>
            <w:noProof/>
            <w:webHidden/>
          </w:rPr>
          <w:fldChar w:fldCharType="end"/>
        </w:r>
      </w:hyperlink>
    </w:p>
    <w:p w14:paraId="42A977FC" w14:textId="77777777" w:rsidR="007A2586" w:rsidRDefault="000A1729">
      <w:pPr>
        <w:pStyle w:val="TOC3"/>
        <w:tabs>
          <w:tab w:val="right" w:leader="dot" w:pos="9323"/>
        </w:tabs>
        <w:rPr>
          <w:rFonts w:eastAsiaTheme="minorEastAsia"/>
          <w:noProof/>
          <w:lang w:eastAsia="en-AU"/>
        </w:rPr>
      </w:pPr>
      <w:hyperlink w:anchor="_Toc480810859" w:history="1">
        <w:r w:rsidR="007A2586" w:rsidRPr="001C7D5E">
          <w:rPr>
            <w:rStyle w:val="Hyperlink"/>
            <w:noProof/>
          </w:rPr>
          <w:t>Register of licences and miscellaneous (Part 6, Division 15 and 16)</w:t>
        </w:r>
        <w:r w:rsidR="007A2586">
          <w:rPr>
            <w:noProof/>
            <w:webHidden/>
          </w:rPr>
          <w:tab/>
        </w:r>
        <w:r w:rsidR="007A2586">
          <w:rPr>
            <w:noProof/>
            <w:webHidden/>
          </w:rPr>
          <w:fldChar w:fldCharType="begin"/>
        </w:r>
        <w:r w:rsidR="007A2586">
          <w:rPr>
            <w:noProof/>
            <w:webHidden/>
          </w:rPr>
          <w:instrText xml:space="preserve"> PAGEREF _Toc480810859 \h </w:instrText>
        </w:r>
        <w:r w:rsidR="007A2586">
          <w:rPr>
            <w:noProof/>
            <w:webHidden/>
          </w:rPr>
        </w:r>
        <w:r w:rsidR="007A2586">
          <w:rPr>
            <w:noProof/>
            <w:webHidden/>
          </w:rPr>
          <w:fldChar w:fldCharType="separate"/>
        </w:r>
        <w:r w:rsidR="007828EB">
          <w:rPr>
            <w:noProof/>
            <w:webHidden/>
          </w:rPr>
          <w:t>19</w:t>
        </w:r>
        <w:r w:rsidR="007A2586">
          <w:rPr>
            <w:noProof/>
            <w:webHidden/>
          </w:rPr>
          <w:fldChar w:fldCharType="end"/>
        </w:r>
      </w:hyperlink>
    </w:p>
    <w:p w14:paraId="7A6CD310" w14:textId="77777777" w:rsidR="007A2586" w:rsidRDefault="000A1729">
      <w:pPr>
        <w:pStyle w:val="TOC2"/>
        <w:tabs>
          <w:tab w:val="right" w:leader="dot" w:pos="9323"/>
        </w:tabs>
        <w:rPr>
          <w:rFonts w:eastAsiaTheme="minorEastAsia"/>
          <w:noProof/>
          <w:lang w:eastAsia="en-AU"/>
        </w:rPr>
      </w:pPr>
      <w:hyperlink w:anchor="_Toc480810860" w:history="1">
        <w:r w:rsidR="007A2586" w:rsidRPr="001C7D5E">
          <w:rPr>
            <w:rStyle w:val="Hyperlink"/>
            <w:noProof/>
          </w:rPr>
          <w:t>Spectrum authorisations (Part 7)</w:t>
        </w:r>
        <w:r w:rsidR="007A2586">
          <w:rPr>
            <w:noProof/>
            <w:webHidden/>
          </w:rPr>
          <w:tab/>
        </w:r>
        <w:r w:rsidR="007A2586">
          <w:rPr>
            <w:noProof/>
            <w:webHidden/>
          </w:rPr>
          <w:fldChar w:fldCharType="begin"/>
        </w:r>
        <w:r w:rsidR="007A2586">
          <w:rPr>
            <w:noProof/>
            <w:webHidden/>
          </w:rPr>
          <w:instrText xml:space="preserve"> PAGEREF _Toc480810860 \h </w:instrText>
        </w:r>
        <w:r w:rsidR="007A2586">
          <w:rPr>
            <w:noProof/>
            <w:webHidden/>
          </w:rPr>
        </w:r>
        <w:r w:rsidR="007A2586">
          <w:rPr>
            <w:noProof/>
            <w:webHidden/>
          </w:rPr>
          <w:fldChar w:fldCharType="separate"/>
        </w:r>
        <w:r w:rsidR="007828EB">
          <w:rPr>
            <w:noProof/>
            <w:webHidden/>
          </w:rPr>
          <w:t>20</w:t>
        </w:r>
        <w:r w:rsidR="007A2586">
          <w:rPr>
            <w:noProof/>
            <w:webHidden/>
          </w:rPr>
          <w:fldChar w:fldCharType="end"/>
        </w:r>
      </w:hyperlink>
    </w:p>
    <w:p w14:paraId="3BEA08D2" w14:textId="77777777" w:rsidR="007A2586" w:rsidRDefault="000A1729">
      <w:pPr>
        <w:pStyle w:val="TOC3"/>
        <w:tabs>
          <w:tab w:val="right" w:leader="dot" w:pos="9323"/>
        </w:tabs>
        <w:rPr>
          <w:rFonts w:eastAsiaTheme="minorEastAsia"/>
          <w:noProof/>
          <w:lang w:eastAsia="en-AU"/>
        </w:rPr>
      </w:pPr>
      <w:hyperlink w:anchor="_Toc480810861" w:history="1">
        <w:r w:rsidR="007A2586" w:rsidRPr="001C7D5E">
          <w:rPr>
            <w:rStyle w:val="Hyperlink"/>
            <w:noProof/>
          </w:rPr>
          <w:t>Table 3: Differences between spectrum authorisations and licences under the single licence system</w:t>
        </w:r>
        <w:r w:rsidR="007A2586">
          <w:rPr>
            <w:noProof/>
            <w:webHidden/>
          </w:rPr>
          <w:tab/>
        </w:r>
        <w:r w:rsidR="007A2586">
          <w:rPr>
            <w:noProof/>
            <w:webHidden/>
          </w:rPr>
          <w:fldChar w:fldCharType="begin"/>
        </w:r>
        <w:r w:rsidR="007A2586">
          <w:rPr>
            <w:noProof/>
            <w:webHidden/>
          </w:rPr>
          <w:instrText xml:space="preserve"> PAGEREF _Toc480810861 \h </w:instrText>
        </w:r>
        <w:r w:rsidR="007A2586">
          <w:rPr>
            <w:noProof/>
            <w:webHidden/>
          </w:rPr>
        </w:r>
        <w:r w:rsidR="007A2586">
          <w:rPr>
            <w:noProof/>
            <w:webHidden/>
          </w:rPr>
          <w:fldChar w:fldCharType="separate"/>
        </w:r>
        <w:r w:rsidR="007828EB">
          <w:rPr>
            <w:noProof/>
            <w:webHidden/>
          </w:rPr>
          <w:t>21</w:t>
        </w:r>
        <w:r w:rsidR="007A2586">
          <w:rPr>
            <w:noProof/>
            <w:webHidden/>
          </w:rPr>
          <w:fldChar w:fldCharType="end"/>
        </w:r>
      </w:hyperlink>
    </w:p>
    <w:p w14:paraId="1C612B72" w14:textId="77777777" w:rsidR="007A2586" w:rsidRDefault="000A1729">
      <w:pPr>
        <w:pStyle w:val="TOC2"/>
        <w:tabs>
          <w:tab w:val="right" w:leader="dot" w:pos="9323"/>
        </w:tabs>
        <w:rPr>
          <w:rFonts w:eastAsiaTheme="minorEastAsia"/>
          <w:noProof/>
          <w:lang w:eastAsia="en-AU"/>
        </w:rPr>
      </w:pPr>
      <w:hyperlink w:anchor="_Toc480810862" w:history="1">
        <w:r w:rsidR="007A2586" w:rsidRPr="001C7D5E">
          <w:rPr>
            <w:rStyle w:val="Hyperlink"/>
            <w:noProof/>
          </w:rPr>
          <w:t>Certified operators (Part 8)</w:t>
        </w:r>
        <w:r w:rsidR="007A2586">
          <w:rPr>
            <w:noProof/>
            <w:webHidden/>
          </w:rPr>
          <w:tab/>
        </w:r>
        <w:r w:rsidR="007A2586">
          <w:rPr>
            <w:noProof/>
            <w:webHidden/>
          </w:rPr>
          <w:fldChar w:fldCharType="begin"/>
        </w:r>
        <w:r w:rsidR="007A2586">
          <w:rPr>
            <w:noProof/>
            <w:webHidden/>
          </w:rPr>
          <w:instrText xml:space="preserve"> PAGEREF _Toc480810862 \h </w:instrText>
        </w:r>
        <w:r w:rsidR="007A2586">
          <w:rPr>
            <w:noProof/>
            <w:webHidden/>
          </w:rPr>
        </w:r>
        <w:r w:rsidR="007A2586">
          <w:rPr>
            <w:noProof/>
            <w:webHidden/>
          </w:rPr>
          <w:fldChar w:fldCharType="separate"/>
        </w:r>
        <w:r w:rsidR="007828EB">
          <w:rPr>
            <w:noProof/>
            <w:webHidden/>
          </w:rPr>
          <w:t>21</w:t>
        </w:r>
        <w:r w:rsidR="007A2586">
          <w:rPr>
            <w:noProof/>
            <w:webHidden/>
          </w:rPr>
          <w:fldChar w:fldCharType="end"/>
        </w:r>
      </w:hyperlink>
    </w:p>
    <w:p w14:paraId="56CC6F02" w14:textId="77777777" w:rsidR="007A2586" w:rsidRDefault="000A1729">
      <w:pPr>
        <w:pStyle w:val="TOC2"/>
        <w:tabs>
          <w:tab w:val="right" w:leader="dot" w:pos="9323"/>
        </w:tabs>
        <w:rPr>
          <w:rFonts w:eastAsiaTheme="minorEastAsia"/>
          <w:noProof/>
          <w:lang w:eastAsia="en-AU"/>
        </w:rPr>
      </w:pPr>
      <w:hyperlink w:anchor="_Toc480810863" w:history="1">
        <w:r w:rsidR="007A2586" w:rsidRPr="001C7D5E">
          <w:rPr>
            <w:rStyle w:val="Hyperlink"/>
            <w:noProof/>
          </w:rPr>
          <w:t>Interference management (Part 9)</w:t>
        </w:r>
        <w:r w:rsidR="007A2586">
          <w:rPr>
            <w:noProof/>
            <w:webHidden/>
          </w:rPr>
          <w:tab/>
        </w:r>
        <w:r w:rsidR="007A2586">
          <w:rPr>
            <w:noProof/>
            <w:webHidden/>
          </w:rPr>
          <w:fldChar w:fldCharType="begin"/>
        </w:r>
        <w:r w:rsidR="007A2586">
          <w:rPr>
            <w:noProof/>
            <w:webHidden/>
          </w:rPr>
          <w:instrText xml:space="preserve"> PAGEREF _Toc480810863 \h </w:instrText>
        </w:r>
        <w:r w:rsidR="007A2586">
          <w:rPr>
            <w:noProof/>
            <w:webHidden/>
          </w:rPr>
        </w:r>
        <w:r w:rsidR="007A2586">
          <w:rPr>
            <w:noProof/>
            <w:webHidden/>
          </w:rPr>
          <w:fldChar w:fldCharType="separate"/>
        </w:r>
        <w:r w:rsidR="007828EB">
          <w:rPr>
            <w:noProof/>
            <w:webHidden/>
          </w:rPr>
          <w:t>22</w:t>
        </w:r>
        <w:r w:rsidR="007A2586">
          <w:rPr>
            <w:noProof/>
            <w:webHidden/>
          </w:rPr>
          <w:fldChar w:fldCharType="end"/>
        </w:r>
      </w:hyperlink>
    </w:p>
    <w:p w14:paraId="7BCB7B36" w14:textId="77777777" w:rsidR="007A2586" w:rsidRDefault="000A1729">
      <w:pPr>
        <w:pStyle w:val="TOC3"/>
        <w:tabs>
          <w:tab w:val="right" w:leader="dot" w:pos="9323"/>
        </w:tabs>
        <w:rPr>
          <w:rFonts w:eastAsiaTheme="minorEastAsia"/>
          <w:noProof/>
          <w:lang w:eastAsia="en-AU"/>
        </w:rPr>
      </w:pPr>
      <w:hyperlink w:anchor="_Toc480810864" w:history="1">
        <w:r w:rsidR="007A2586" w:rsidRPr="001C7D5E">
          <w:rPr>
            <w:rStyle w:val="Hyperlink"/>
            <w:noProof/>
          </w:rPr>
          <w:t>Dispute resolution</w:t>
        </w:r>
        <w:r w:rsidR="007A2586">
          <w:rPr>
            <w:noProof/>
            <w:webHidden/>
          </w:rPr>
          <w:tab/>
        </w:r>
        <w:r w:rsidR="007A2586">
          <w:rPr>
            <w:noProof/>
            <w:webHidden/>
          </w:rPr>
          <w:fldChar w:fldCharType="begin"/>
        </w:r>
        <w:r w:rsidR="007A2586">
          <w:rPr>
            <w:noProof/>
            <w:webHidden/>
          </w:rPr>
          <w:instrText xml:space="preserve"> PAGEREF _Toc480810864 \h </w:instrText>
        </w:r>
        <w:r w:rsidR="007A2586">
          <w:rPr>
            <w:noProof/>
            <w:webHidden/>
          </w:rPr>
        </w:r>
        <w:r w:rsidR="007A2586">
          <w:rPr>
            <w:noProof/>
            <w:webHidden/>
          </w:rPr>
          <w:fldChar w:fldCharType="separate"/>
        </w:r>
        <w:r w:rsidR="007828EB">
          <w:rPr>
            <w:noProof/>
            <w:webHidden/>
          </w:rPr>
          <w:t>22</w:t>
        </w:r>
        <w:r w:rsidR="007A2586">
          <w:rPr>
            <w:noProof/>
            <w:webHidden/>
          </w:rPr>
          <w:fldChar w:fldCharType="end"/>
        </w:r>
      </w:hyperlink>
    </w:p>
    <w:p w14:paraId="4842BE81" w14:textId="77777777" w:rsidR="007A2586" w:rsidRDefault="000A1729">
      <w:pPr>
        <w:pStyle w:val="TOC3"/>
        <w:tabs>
          <w:tab w:val="right" w:leader="dot" w:pos="9323"/>
        </w:tabs>
        <w:rPr>
          <w:rFonts w:eastAsiaTheme="minorEastAsia"/>
          <w:noProof/>
          <w:lang w:eastAsia="en-AU"/>
        </w:rPr>
      </w:pPr>
      <w:hyperlink w:anchor="_Toc480810865" w:history="1">
        <w:r w:rsidR="007A2586" w:rsidRPr="001C7D5E">
          <w:rPr>
            <w:rStyle w:val="Hyperlink"/>
            <w:noProof/>
          </w:rPr>
          <w:t>Causing interference</w:t>
        </w:r>
        <w:r w:rsidR="007A2586">
          <w:rPr>
            <w:noProof/>
            <w:webHidden/>
          </w:rPr>
          <w:tab/>
        </w:r>
        <w:r w:rsidR="007A2586">
          <w:rPr>
            <w:noProof/>
            <w:webHidden/>
          </w:rPr>
          <w:fldChar w:fldCharType="begin"/>
        </w:r>
        <w:r w:rsidR="007A2586">
          <w:rPr>
            <w:noProof/>
            <w:webHidden/>
          </w:rPr>
          <w:instrText xml:space="preserve"> PAGEREF _Toc480810865 \h </w:instrText>
        </w:r>
        <w:r w:rsidR="007A2586">
          <w:rPr>
            <w:noProof/>
            <w:webHidden/>
          </w:rPr>
        </w:r>
        <w:r w:rsidR="007A2586">
          <w:rPr>
            <w:noProof/>
            <w:webHidden/>
          </w:rPr>
          <w:fldChar w:fldCharType="separate"/>
        </w:r>
        <w:r w:rsidR="007828EB">
          <w:rPr>
            <w:noProof/>
            <w:webHidden/>
          </w:rPr>
          <w:t>22</w:t>
        </w:r>
        <w:r w:rsidR="007A2586">
          <w:rPr>
            <w:noProof/>
            <w:webHidden/>
          </w:rPr>
          <w:fldChar w:fldCharType="end"/>
        </w:r>
      </w:hyperlink>
    </w:p>
    <w:p w14:paraId="43932651" w14:textId="77777777" w:rsidR="007A2586" w:rsidRDefault="000A1729">
      <w:pPr>
        <w:pStyle w:val="TOC3"/>
        <w:tabs>
          <w:tab w:val="right" w:leader="dot" w:pos="9323"/>
        </w:tabs>
        <w:rPr>
          <w:rFonts w:eastAsiaTheme="minorEastAsia"/>
          <w:noProof/>
          <w:lang w:eastAsia="en-AU"/>
        </w:rPr>
      </w:pPr>
      <w:hyperlink w:anchor="_Toc480810866" w:history="1">
        <w:r w:rsidR="007A2586" w:rsidRPr="001C7D5E">
          <w:rPr>
            <w:rStyle w:val="Hyperlink"/>
            <w:noProof/>
          </w:rPr>
          <w:t>Directions to licensees and powers of inspectors</w:t>
        </w:r>
        <w:r w:rsidR="007A2586">
          <w:rPr>
            <w:noProof/>
            <w:webHidden/>
          </w:rPr>
          <w:tab/>
        </w:r>
        <w:r w:rsidR="007A2586">
          <w:rPr>
            <w:noProof/>
            <w:webHidden/>
          </w:rPr>
          <w:fldChar w:fldCharType="begin"/>
        </w:r>
        <w:r w:rsidR="007A2586">
          <w:rPr>
            <w:noProof/>
            <w:webHidden/>
          </w:rPr>
          <w:instrText xml:space="preserve"> PAGEREF _Toc480810866 \h </w:instrText>
        </w:r>
        <w:r w:rsidR="007A2586">
          <w:rPr>
            <w:noProof/>
            <w:webHidden/>
          </w:rPr>
        </w:r>
        <w:r w:rsidR="007A2586">
          <w:rPr>
            <w:noProof/>
            <w:webHidden/>
          </w:rPr>
          <w:fldChar w:fldCharType="separate"/>
        </w:r>
        <w:r w:rsidR="007828EB">
          <w:rPr>
            <w:noProof/>
            <w:webHidden/>
          </w:rPr>
          <w:t>22</w:t>
        </w:r>
        <w:r w:rsidR="007A2586">
          <w:rPr>
            <w:noProof/>
            <w:webHidden/>
          </w:rPr>
          <w:fldChar w:fldCharType="end"/>
        </w:r>
      </w:hyperlink>
    </w:p>
    <w:p w14:paraId="7F31C7E4" w14:textId="77777777" w:rsidR="007A2586" w:rsidRDefault="000A1729">
      <w:pPr>
        <w:pStyle w:val="TOC2"/>
        <w:tabs>
          <w:tab w:val="right" w:leader="dot" w:pos="9323"/>
        </w:tabs>
        <w:rPr>
          <w:rFonts w:eastAsiaTheme="minorEastAsia"/>
          <w:noProof/>
          <w:lang w:eastAsia="en-AU"/>
        </w:rPr>
      </w:pPr>
      <w:hyperlink w:anchor="_Toc480810867" w:history="1">
        <w:r w:rsidR="007A2586" w:rsidRPr="001C7D5E">
          <w:rPr>
            <w:rStyle w:val="Hyperlink"/>
            <w:noProof/>
          </w:rPr>
          <w:t>Equipment (Part 10)</w:t>
        </w:r>
        <w:r w:rsidR="007A2586">
          <w:rPr>
            <w:noProof/>
            <w:webHidden/>
          </w:rPr>
          <w:tab/>
        </w:r>
        <w:r w:rsidR="007A2586">
          <w:rPr>
            <w:noProof/>
            <w:webHidden/>
          </w:rPr>
          <w:fldChar w:fldCharType="begin"/>
        </w:r>
        <w:r w:rsidR="007A2586">
          <w:rPr>
            <w:noProof/>
            <w:webHidden/>
          </w:rPr>
          <w:instrText xml:space="preserve"> PAGEREF _Toc480810867 \h </w:instrText>
        </w:r>
        <w:r w:rsidR="007A2586">
          <w:rPr>
            <w:noProof/>
            <w:webHidden/>
          </w:rPr>
        </w:r>
        <w:r w:rsidR="007A2586">
          <w:rPr>
            <w:noProof/>
            <w:webHidden/>
          </w:rPr>
          <w:fldChar w:fldCharType="separate"/>
        </w:r>
        <w:r w:rsidR="007828EB">
          <w:rPr>
            <w:noProof/>
            <w:webHidden/>
          </w:rPr>
          <w:t>22</w:t>
        </w:r>
        <w:r w:rsidR="007A2586">
          <w:rPr>
            <w:noProof/>
            <w:webHidden/>
          </w:rPr>
          <w:fldChar w:fldCharType="end"/>
        </w:r>
      </w:hyperlink>
    </w:p>
    <w:p w14:paraId="33CE6732" w14:textId="77777777" w:rsidR="007A2586" w:rsidRDefault="000A1729">
      <w:pPr>
        <w:pStyle w:val="TOC2"/>
        <w:tabs>
          <w:tab w:val="right" w:leader="dot" w:pos="9323"/>
        </w:tabs>
        <w:rPr>
          <w:rFonts w:eastAsiaTheme="minorEastAsia"/>
          <w:noProof/>
          <w:lang w:eastAsia="en-AU"/>
        </w:rPr>
      </w:pPr>
      <w:hyperlink w:anchor="_Toc480810868" w:history="1">
        <w:r w:rsidR="007A2586" w:rsidRPr="001C7D5E">
          <w:rPr>
            <w:rStyle w:val="Hyperlink"/>
            <w:noProof/>
          </w:rPr>
          <w:t>Emergency orders (Part 11)</w:t>
        </w:r>
        <w:bookmarkStart w:id="3" w:name="_GoBack"/>
        <w:bookmarkEnd w:id="3"/>
        <w:r w:rsidR="007A2586">
          <w:rPr>
            <w:noProof/>
            <w:webHidden/>
          </w:rPr>
          <w:tab/>
        </w:r>
        <w:r w:rsidR="007A2586">
          <w:rPr>
            <w:noProof/>
            <w:webHidden/>
          </w:rPr>
          <w:fldChar w:fldCharType="begin"/>
        </w:r>
        <w:r w:rsidR="007A2586">
          <w:rPr>
            <w:noProof/>
            <w:webHidden/>
          </w:rPr>
          <w:instrText xml:space="preserve"> PAGEREF _Toc480810868 \h </w:instrText>
        </w:r>
        <w:r w:rsidR="007A2586">
          <w:rPr>
            <w:noProof/>
            <w:webHidden/>
          </w:rPr>
        </w:r>
        <w:r w:rsidR="007A2586">
          <w:rPr>
            <w:noProof/>
            <w:webHidden/>
          </w:rPr>
          <w:fldChar w:fldCharType="separate"/>
        </w:r>
        <w:r w:rsidR="007828EB">
          <w:rPr>
            <w:noProof/>
            <w:webHidden/>
          </w:rPr>
          <w:t>23</w:t>
        </w:r>
        <w:r w:rsidR="007A2586">
          <w:rPr>
            <w:noProof/>
            <w:webHidden/>
          </w:rPr>
          <w:fldChar w:fldCharType="end"/>
        </w:r>
      </w:hyperlink>
    </w:p>
    <w:p w14:paraId="1059BC43" w14:textId="77777777" w:rsidR="007A2586" w:rsidRDefault="000A1729">
      <w:pPr>
        <w:pStyle w:val="TOC2"/>
        <w:tabs>
          <w:tab w:val="right" w:leader="dot" w:pos="9323"/>
        </w:tabs>
        <w:rPr>
          <w:rFonts w:eastAsiaTheme="minorEastAsia"/>
          <w:noProof/>
          <w:lang w:eastAsia="en-AU"/>
        </w:rPr>
      </w:pPr>
      <w:hyperlink w:anchor="_Toc480810869" w:history="1">
        <w:r w:rsidR="007A2586" w:rsidRPr="001C7D5E">
          <w:rPr>
            <w:rStyle w:val="Hyperlink"/>
            <w:noProof/>
          </w:rPr>
          <w:t>Accreditation (Part 12)</w:t>
        </w:r>
        <w:r w:rsidR="007A2586">
          <w:rPr>
            <w:noProof/>
            <w:webHidden/>
          </w:rPr>
          <w:tab/>
        </w:r>
        <w:r w:rsidR="007A2586">
          <w:rPr>
            <w:noProof/>
            <w:webHidden/>
          </w:rPr>
          <w:fldChar w:fldCharType="begin"/>
        </w:r>
        <w:r w:rsidR="007A2586">
          <w:rPr>
            <w:noProof/>
            <w:webHidden/>
          </w:rPr>
          <w:instrText xml:space="preserve"> PAGEREF _Toc480810869 \h </w:instrText>
        </w:r>
        <w:r w:rsidR="007A2586">
          <w:rPr>
            <w:noProof/>
            <w:webHidden/>
          </w:rPr>
        </w:r>
        <w:r w:rsidR="007A2586">
          <w:rPr>
            <w:noProof/>
            <w:webHidden/>
          </w:rPr>
          <w:fldChar w:fldCharType="separate"/>
        </w:r>
        <w:r w:rsidR="007828EB">
          <w:rPr>
            <w:noProof/>
            <w:webHidden/>
          </w:rPr>
          <w:t>23</w:t>
        </w:r>
        <w:r w:rsidR="007A2586">
          <w:rPr>
            <w:noProof/>
            <w:webHidden/>
          </w:rPr>
          <w:fldChar w:fldCharType="end"/>
        </w:r>
      </w:hyperlink>
    </w:p>
    <w:p w14:paraId="5D981AAC" w14:textId="77777777" w:rsidR="007A2586" w:rsidRDefault="000A1729">
      <w:pPr>
        <w:pStyle w:val="TOC2"/>
        <w:tabs>
          <w:tab w:val="right" w:leader="dot" w:pos="9323"/>
        </w:tabs>
        <w:rPr>
          <w:rFonts w:eastAsiaTheme="minorEastAsia"/>
          <w:noProof/>
          <w:lang w:eastAsia="en-AU"/>
        </w:rPr>
      </w:pPr>
      <w:hyperlink w:anchor="_Toc480810870" w:history="1">
        <w:r w:rsidR="007A2586" w:rsidRPr="001C7D5E">
          <w:rPr>
            <w:rStyle w:val="Hyperlink"/>
            <w:noProof/>
          </w:rPr>
          <w:t>Industry codes (Part 13)</w:t>
        </w:r>
        <w:r w:rsidR="007A2586">
          <w:rPr>
            <w:noProof/>
            <w:webHidden/>
          </w:rPr>
          <w:tab/>
        </w:r>
        <w:r w:rsidR="007A2586">
          <w:rPr>
            <w:noProof/>
            <w:webHidden/>
          </w:rPr>
          <w:fldChar w:fldCharType="begin"/>
        </w:r>
        <w:r w:rsidR="007A2586">
          <w:rPr>
            <w:noProof/>
            <w:webHidden/>
          </w:rPr>
          <w:instrText xml:space="preserve"> PAGEREF _Toc480810870 \h </w:instrText>
        </w:r>
        <w:r w:rsidR="007A2586">
          <w:rPr>
            <w:noProof/>
            <w:webHidden/>
          </w:rPr>
        </w:r>
        <w:r w:rsidR="007A2586">
          <w:rPr>
            <w:noProof/>
            <w:webHidden/>
          </w:rPr>
          <w:fldChar w:fldCharType="separate"/>
        </w:r>
        <w:r w:rsidR="007828EB">
          <w:rPr>
            <w:noProof/>
            <w:webHidden/>
          </w:rPr>
          <w:t>24</w:t>
        </w:r>
        <w:r w:rsidR="007A2586">
          <w:rPr>
            <w:noProof/>
            <w:webHidden/>
          </w:rPr>
          <w:fldChar w:fldCharType="end"/>
        </w:r>
      </w:hyperlink>
    </w:p>
    <w:p w14:paraId="2F442B80" w14:textId="77777777" w:rsidR="007A2586" w:rsidRDefault="000A1729">
      <w:pPr>
        <w:pStyle w:val="TOC2"/>
        <w:tabs>
          <w:tab w:val="right" w:leader="dot" w:pos="9323"/>
        </w:tabs>
        <w:rPr>
          <w:rFonts w:eastAsiaTheme="minorEastAsia"/>
          <w:noProof/>
          <w:lang w:eastAsia="en-AU"/>
        </w:rPr>
      </w:pPr>
      <w:hyperlink w:anchor="_Toc480810871" w:history="1">
        <w:r w:rsidR="007A2586" w:rsidRPr="001C7D5E">
          <w:rPr>
            <w:rStyle w:val="Hyperlink"/>
            <w:noProof/>
          </w:rPr>
          <w:t>Information gathering powers (Part 14)</w:t>
        </w:r>
        <w:r w:rsidR="007A2586">
          <w:rPr>
            <w:noProof/>
            <w:webHidden/>
          </w:rPr>
          <w:tab/>
        </w:r>
        <w:r w:rsidR="007A2586">
          <w:rPr>
            <w:noProof/>
            <w:webHidden/>
          </w:rPr>
          <w:fldChar w:fldCharType="begin"/>
        </w:r>
        <w:r w:rsidR="007A2586">
          <w:rPr>
            <w:noProof/>
            <w:webHidden/>
          </w:rPr>
          <w:instrText xml:space="preserve"> PAGEREF _Toc480810871 \h </w:instrText>
        </w:r>
        <w:r w:rsidR="007A2586">
          <w:rPr>
            <w:noProof/>
            <w:webHidden/>
          </w:rPr>
        </w:r>
        <w:r w:rsidR="007A2586">
          <w:rPr>
            <w:noProof/>
            <w:webHidden/>
          </w:rPr>
          <w:fldChar w:fldCharType="separate"/>
        </w:r>
        <w:r w:rsidR="007828EB">
          <w:rPr>
            <w:noProof/>
            <w:webHidden/>
          </w:rPr>
          <w:t>24</w:t>
        </w:r>
        <w:r w:rsidR="007A2586">
          <w:rPr>
            <w:noProof/>
            <w:webHidden/>
          </w:rPr>
          <w:fldChar w:fldCharType="end"/>
        </w:r>
      </w:hyperlink>
    </w:p>
    <w:p w14:paraId="6545A05E" w14:textId="77777777" w:rsidR="007A2586" w:rsidRDefault="000A1729">
      <w:pPr>
        <w:pStyle w:val="TOC2"/>
        <w:tabs>
          <w:tab w:val="right" w:leader="dot" w:pos="9323"/>
        </w:tabs>
        <w:rPr>
          <w:rFonts w:eastAsiaTheme="minorEastAsia"/>
          <w:noProof/>
          <w:lang w:eastAsia="en-AU"/>
        </w:rPr>
      </w:pPr>
      <w:hyperlink w:anchor="_Toc480810872" w:history="1">
        <w:r w:rsidR="007A2586" w:rsidRPr="001C7D5E">
          <w:rPr>
            <w:rStyle w:val="Hyperlink"/>
            <w:noProof/>
          </w:rPr>
          <w:t>Enforcement (Part 15)</w:t>
        </w:r>
        <w:r w:rsidR="007A2586">
          <w:rPr>
            <w:noProof/>
            <w:webHidden/>
          </w:rPr>
          <w:tab/>
        </w:r>
        <w:r w:rsidR="007A2586">
          <w:rPr>
            <w:noProof/>
            <w:webHidden/>
          </w:rPr>
          <w:fldChar w:fldCharType="begin"/>
        </w:r>
        <w:r w:rsidR="007A2586">
          <w:rPr>
            <w:noProof/>
            <w:webHidden/>
          </w:rPr>
          <w:instrText xml:space="preserve"> PAGEREF _Toc480810872 \h </w:instrText>
        </w:r>
        <w:r w:rsidR="007A2586">
          <w:rPr>
            <w:noProof/>
            <w:webHidden/>
          </w:rPr>
        </w:r>
        <w:r w:rsidR="007A2586">
          <w:rPr>
            <w:noProof/>
            <w:webHidden/>
          </w:rPr>
          <w:fldChar w:fldCharType="separate"/>
        </w:r>
        <w:r w:rsidR="007828EB">
          <w:rPr>
            <w:noProof/>
            <w:webHidden/>
          </w:rPr>
          <w:t>24</w:t>
        </w:r>
        <w:r w:rsidR="007A2586">
          <w:rPr>
            <w:noProof/>
            <w:webHidden/>
          </w:rPr>
          <w:fldChar w:fldCharType="end"/>
        </w:r>
      </w:hyperlink>
    </w:p>
    <w:p w14:paraId="3B26324E" w14:textId="77777777" w:rsidR="007A2586" w:rsidRDefault="000A1729">
      <w:pPr>
        <w:pStyle w:val="TOC2"/>
        <w:tabs>
          <w:tab w:val="right" w:leader="dot" w:pos="9323"/>
        </w:tabs>
        <w:rPr>
          <w:rFonts w:eastAsiaTheme="minorEastAsia"/>
          <w:noProof/>
          <w:lang w:eastAsia="en-AU"/>
        </w:rPr>
      </w:pPr>
      <w:hyperlink w:anchor="_Toc480810873" w:history="1">
        <w:r w:rsidR="007A2586" w:rsidRPr="001C7D5E">
          <w:rPr>
            <w:rStyle w:val="Hyperlink"/>
            <w:noProof/>
          </w:rPr>
          <w:t>Spectrum access charges (Part 16)</w:t>
        </w:r>
        <w:r w:rsidR="007A2586">
          <w:rPr>
            <w:noProof/>
            <w:webHidden/>
          </w:rPr>
          <w:tab/>
        </w:r>
        <w:r w:rsidR="007A2586">
          <w:rPr>
            <w:noProof/>
            <w:webHidden/>
          </w:rPr>
          <w:fldChar w:fldCharType="begin"/>
        </w:r>
        <w:r w:rsidR="007A2586">
          <w:rPr>
            <w:noProof/>
            <w:webHidden/>
          </w:rPr>
          <w:instrText xml:space="preserve"> PAGEREF _Toc480810873 \h </w:instrText>
        </w:r>
        <w:r w:rsidR="007A2586">
          <w:rPr>
            <w:noProof/>
            <w:webHidden/>
          </w:rPr>
        </w:r>
        <w:r w:rsidR="007A2586">
          <w:rPr>
            <w:noProof/>
            <w:webHidden/>
          </w:rPr>
          <w:fldChar w:fldCharType="separate"/>
        </w:r>
        <w:r w:rsidR="007828EB">
          <w:rPr>
            <w:noProof/>
            <w:webHidden/>
          </w:rPr>
          <w:t>25</w:t>
        </w:r>
        <w:r w:rsidR="007A2586">
          <w:rPr>
            <w:noProof/>
            <w:webHidden/>
          </w:rPr>
          <w:fldChar w:fldCharType="end"/>
        </w:r>
      </w:hyperlink>
    </w:p>
    <w:p w14:paraId="4364B35A" w14:textId="77777777" w:rsidR="007A2586" w:rsidRDefault="000A1729">
      <w:pPr>
        <w:pStyle w:val="TOC2"/>
        <w:tabs>
          <w:tab w:val="right" w:leader="dot" w:pos="9323"/>
        </w:tabs>
        <w:rPr>
          <w:rFonts w:eastAsiaTheme="minorEastAsia"/>
          <w:noProof/>
          <w:lang w:eastAsia="en-AU"/>
        </w:rPr>
      </w:pPr>
      <w:hyperlink w:anchor="_Toc480810874" w:history="1">
        <w:r w:rsidR="007A2586" w:rsidRPr="001C7D5E">
          <w:rPr>
            <w:rStyle w:val="Hyperlink"/>
            <w:noProof/>
          </w:rPr>
          <w:t>Delegation (Part 17)</w:t>
        </w:r>
        <w:r w:rsidR="007A2586">
          <w:rPr>
            <w:noProof/>
            <w:webHidden/>
          </w:rPr>
          <w:tab/>
        </w:r>
        <w:r w:rsidR="007A2586">
          <w:rPr>
            <w:noProof/>
            <w:webHidden/>
          </w:rPr>
          <w:fldChar w:fldCharType="begin"/>
        </w:r>
        <w:r w:rsidR="007A2586">
          <w:rPr>
            <w:noProof/>
            <w:webHidden/>
          </w:rPr>
          <w:instrText xml:space="preserve"> PAGEREF _Toc480810874 \h </w:instrText>
        </w:r>
        <w:r w:rsidR="007A2586">
          <w:rPr>
            <w:noProof/>
            <w:webHidden/>
          </w:rPr>
        </w:r>
        <w:r w:rsidR="007A2586">
          <w:rPr>
            <w:noProof/>
            <w:webHidden/>
          </w:rPr>
          <w:fldChar w:fldCharType="separate"/>
        </w:r>
        <w:r w:rsidR="007828EB">
          <w:rPr>
            <w:noProof/>
            <w:webHidden/>
          </w:rPr>
          <w:t>25</w:t>
        </w:r>
        <w:r w:rsidR="007A2586">
          <w:rPr>
            <w:noProof/>
            <w:webHidden/>
          </w:rPr>
          <w:fldChar w:fldCharType="end"/>
        </w:r>
      </w:hyperlink>
    </w:p>
    <w:p w14:paraId="09415572" w14:textId="77777777" w:rsidR="007A2586" w:rsidRDefault="000A1729">
      <w:pPr>
        <w:pStyle w:val="TOC2"/>
        <w:tabs>
          <w:tab w:val="right" w:leader="dot" w:pos="9323"/>
        </w:tabs>
        <w:rPr>
          <w:rFonts w:eastAsiaTheme="minorEastAsia"/>
          <w:noProof/>
          <w:lang w:eastAsia="en-AU"/>
        </w:rPr>
      </w:pPr>
      <w:hyperlink w:anchor="_Toc480810875" w:history="1">
        <w:r w:rsidR="007A2586" w:rsidRPr="001C7D5E">
          <w:rPr>
            <w:rStyle w:val="Hyperlink"/>
            <w:noProof/>
          </w:rPr>
          <w:t>Review of decisions (Part 18)</w:t>
        </w:r>
        <w:r w:rsidR="007A2586">
          <w:rPr>
            <w:noProof/>
            <w:webHidden/>
          </w:rPr>
          <w:tab/>
        </w:r>
        <w:r w:rsidR="007A2586">
          <w:rPr>
            <w:noProof/>
            <w:webHidden/>
          </w:rPr>
          <w:fldChar w:fldCharType="begin"/>
        </w:r>
        <w:r w:rsidR="007A2586">
          <w:rPr>
            <w:noProof/>
            <w:webHidden/>
          </w:rPr>
          <w:instrText xml:space="preserve"> PAGEREF _Toc480810875 \h </w:instrText>
        </w:r>
        <w:r w:rsidR="007A2586">
          <w:rPr>
            <w:noProof/>
            <w:webHidden/>
          </w:rPr>
        </w:r>
        <w:r w:rsidR="007A2586">
          <w:rPr>
            <w:noProof/>
            <w:webHidden/>
          </w:rPr>
          <w:fldChar w:fldCharType="separate"/>
        </w:r>
        <w:r w:rsidR="007828EB">
          <w:rPr>
            <w:noProof/>
            <w:webHidden/>
          </w:rPr>
          <w:t>26</w:t>
        </w:r>
        <w:r w:rsidR="007A2586">
          <w:rPr>
            <w:noProof/>
            <w:webHidden/>
          </w:rPr>
          <w:fldChar w:fldCharType="end"/>
        </w:r>
      </w:hyperlink>
    </w:p>
    <w:p w14:paraId="2A77B069" w14:textId="77777777" w:rsidR="007A2586" w:rsidRDefault="000A1729">
      <w:pPr>
        <w:pStyle w:val="TOC2"/>
        <w:tabs>
          <w:tab w:val="right" w:leader="dot" w:pos="9323"/>
        </w:tabs>
        <w:rPr>
          <w:rFonts w:eastAsiaTheme="minorEastAsia"/>
          <w:noProof/>
          <w:lang w:eastAsia="en-AU"/>
        </w:rPr>
      </w:pPr>
      <w:hyperlink w:anchor="_Toc480810876" w:history="1">
        <w:r w:rsidR="007A2586" w:rsidRPr="001C7D5E">
          <w:rPr>
            <w:rStyle w:val="Hyperlink"/>
            <w:noProof/>
          </w:rPr>
          <w:t>Provisions extending the concept of radiocommunications (Part 19)</w:t>
        </w:r>
        <w:r w:rsidR="007A2586">
          <w:rPr>
            <w:noProof/>
            <w:webHidden/>
          </w:rPr>
          <w:tab/>
        </w:r>
        <w:r w:rsidR="007A2586">
          <w:rPr>
            <w:noProof/>
            <w:webHidden/>
          </w:rPr>
          <w:fldChar w:fldCharType="begin"/>
        </w:r>
        <w:r w:rsidR="007A2586">
          <w:rPr>
            <w:noProof/>
            <w:webHidden/>
          </w:rPr>
          <w:instrText xml:space="preserve"> PAGEREF _Toc480810876 \h </w:instrText>
        </w:r>
        <w:r w:rsidR="007A2586">
          <w:rPr>
            <w:noProof/>
            <w:webHidden/>
          </w:rPr>
        </w:r>
        <w:r w:rsidR="007A2586">
          <w:rPr>
            <w:noProof/>
            <w:webHidden/>
          </w:rPr>
          <w:fldChar w:fldCharType="separate"/>
        </w:r>
        <w:r w:rsidR="007828EB">
          <w:rPr>
            <w:noProof/>
            <w:webHidden/>
          </w:rPr>
          <w:t>26</w:t>
        </w:r>
        <w:r w:rsidR="007A2586">
          <w:rPr>
            <w:noProof/>
            <w:webHidden/>
          </w:rPr>
          <w:fldChar w:fldCharType="end"/>
        </w:r>
      </w:hyperlink>
    </w:p>
    <w:p w14:paraId="4CB77640" w14:textId="77777777" w:rsidR="007A2586" w:rsidRDefault="000A1729">
      <w:pPr>
        <w:pStyle w:val="TOC2"/>
        <w:tabs>
          <w:tab w:val="right" w:leader="dot" w:pos="9323"/>
        </w:tabs>
        <w:rPr>
          <w:rFonts w:eastAsiaTheme="minorEastAsia"/>
          <w:noProof/>
          <w:lang w:eastAsia="en-AU"/>
        </w:rPr>
      </w:pPr>
      <w:hyperlink w:anchor="_Toc480810877" w:history="1">
        <w:r w:rsidR="007A2586" w:rsidRPr="001C7D5E">
          <w:rPr>
            <w:rStyle w:val="Hyperlink"/>
            <w:noProof/>
          </w:rPr>
          <w:t>Exemptions (Part 20)</w:t>
        </w:r>
        <w:r w:rsidR="007A2586">
          <w:rPr>
            <w:noProof/>
            <w:webHidden/>
          </w:rPr>
          <w:tab/>
        </w:r>
        <w:r w:rsidR="007A2586">
          <w:rPr>
            <w:noProof/>
            <w:webHidden/>
          </w:rPr>
          <w:fldChar w:fldCharType="begin"/>
        </w:r>
        <w:r w:rsidR="007A2586">
          <w:rPr>
            <w:noProof/>
            <w:webHidden/>
          </w:rPr>
          <w:instrText xml:space="preserve"> PAGEREF _Toc480810877 \h </w:instrText>
        </w:r>
        <w:r w:rsidR="007A2586">
          <w:rPr>
            <w:noProof/>
            <w:webHidden/>
          </w:rPr>
        </w:r>
        <w:r w:rsidR="007A2586">
          <w:rPr>
            <w:noProof/>
            <w:webHidden/>
          </w:rPr>
          <w:fldChar w:fldCharType="separate"/>
        </w:r>
        <w:r w:rsidR="007828EB">
          <w:rPr>
            <w:noProof/>
            <w:webHidden/>
          </w:rPr>
          <w:t>27</w:t>
        </w:r>
        <w:r w:rsidR="007A2586">
          <w:rPr>
            <w:noProof/>
            <w:webHidden/>
          </w:rPr>
          <w:fldChar w:fldCharType="end"/>
        </w:r>
      </w:hyperlink>
    </w:p>
    <w:p w14:paraId="35404161" w14:textId="77777777" w:rsidR="007A2586" w:rsidRDefault="000A1729">
      <w:pPr>
        <w:pStyle w:val="TOC2"/>
        <w:tabs>
          <w:tab w:val="right" w:leader="dot" w:pos="9323"/>
        </w:tabs>
        <w:rPr>
          <w:rFonts w:eastAsiaTheme="minorEastAsia"/>
          <w:noProof/>
          <w:lang w:eastAsia="en-AU"/>
        </w:rPr>
      </w:pPr>
      <w:hyperlink w:anchor="_Toc480810878" w:history="1">
        <w:r w:rsidR="007A2586" w:rsidRPr="001C7D5E">
          <w:rPr>
            <w:rStyle w:val="Hyperlink"/>
            <w:noProof/>
          </w:rPr>
          <w:t>Miscellaneous (Part 21)</w:t>
        </w:r>
        <w:r w:rsidR="007A2586">
          <w:rPr>
            <w:noProof/>
            <w:webHidden/>
          </w:rPr>
          <w:tab/>
        </w:r>
        <w:r w:rsidR="007A2586">
          <w:rPr>
            <w:noProof/>
            <w:webHidden/>
          </w:rPr>
          <w:fldChar w:fldCharType="begin"/>
        </w:r>
        <w:r w:rsidR="007A2586">
          <w:rPr>
            <w:noProof/>
            <w:webHidden/>
          </w:rPr>
          <w:instrText xml:space="preserve"> PAGEREF _Toc480810878 \h </w:instrText>
        </w:r>
        <w:r w:rsidR="007A2586">
          <w:rPr>
            <w:noProof/>
            <w:webHidden/>
          </w:rPr>
        </w:r>
        <w:r w:rsidR="007A2586">
          <w:rPr>
            <w:noProof/>
            <w:webHidden/>
          </w:rPr>
          <w:fldChar w:fldCharType="separate"/>
        </w:r>
        <w:r w:rsidR="007828EB">
          <w:rPr>
            <w:noProof/>
            <w:webHidden/>
          </w:rPr>
          <w:t>27</w:t>
        </w:r>
        <w:r w:rsidR="007A2586">
          <w:rPr>
            <w:noProof/>
            <w:webHidden/>
          </w:rPr>
          <w:fldChar w:fldCharType="end"/>
        </w:r>
      </w:hyperlink>
    </w:p>
    <w:p w14:paraId="7D18EEB1" w14:textId="77777777" w:rsidR="007A2586" w:rsidRDefault="000A1729">
      <w:pPr>
        <w:pStyle w:val="TOC1"/>
        <w:tabs>
          <w:tab w:val="right" w:leader="dot" w:pos="9323"/>
        </w:tabs>
        <w:rPr>
          <w:rFonts w:eastAsiaTheme="minorEastAsia"/>
          <w:b w:val="0"/>
          <w:noProof/>
          <w:color w:val="auto"/>
          <w:sz w:val="22"/>
          <w:lang w:eastAsia="en-AU"/>
        </w:rPr>
      </w:pPr>
      <w:hyperlink w:anchor="_Toc480810879" w:history="1">
        <w:r w:rsidR="007A2586" w:rsidRPr="001C7D5E">
          <w:rPr>
            <w:rStyle w:val="Hyperlink"/>
            <w:noProof/>
          </w:rPr>
          <w:t>Conclusion</w:t>
        </w:r>
        <w:r w:rsidR="007A2586">
          <w:rPr>
            <w:noProof/>
            <w:webHidden/>
          </w:rPr>
          <w:tab/>
        </w:r>
        <w:r w:rsidR="007A2586">
          <w:rPr>
            <w:noProof/>
            <w:webHidden/>
          </w:rPr>
          <w:fldChar w:fldCharType="begin"/>
        </w:r>
        <w:r w:rsidR="007A2586">
          <w:rPr>
            <w:noProof/>
            <w:webHidden/>
          </w:rPr>
          <w:instrText xml:space="preserve"> PAGEREF _Toc480810879 \h </w:instrText>
        </w:r>
        <w:r w:rsidR="007A2586">
          <w:rPr>
            <w:noProof/>
            <w:webHidden/>
          </w:rPr>
        </w:r>
        <w:r w:rsidR="007A2586">
          <w:rPr>
            <w:noProof/>
            <w:webHidden/>
          </w:rPr>
          <w:fldChar w:fldCharType="separate"/>
        </w:r>
        <w:r w:rsidR="007828EB">
          <w:rPr>
            <w:noProof/>
            <w:webHidden/>
          </w:rPr>
          <w:t>27</w:t>
        </w:r>
        <w:r w:rsidR="007A2586">
          <w:rPr>
            <w:noProof/>
            <w:webHidden/>
          </w:rPr>
          <w:fldChar w:fldCharType="end"/>
        </w:r>
      </w:hyperlink>
    </w:p>
    <w:p w14:paraId="4089EEF1" w14:textId="77777777" w:rsidR="007A2586" w:rsidRDefault="000A1729">
      <w:pPr>
        <w:pStyle w:val="TOC1"/>
        <w:tabs>
          <w:tab w:val="right" w:leader="dot" w:pos="9323"/>
        </w:tabs>
        <w:rPr>
          <w:rFonts w:eastAsiaTheme="minorEastAsia"/>
          <w:b w:val="0"/>
          <w:noProof/>
          <w:color w:val="auto"/>
          <w:sz w:val="22"/>
          <w:lang w:eastAsia="en-AU"/>
        </w:rPr>
      </w:pPr>
      <w:hyperlink w:anchor="_Toc480810880" w:history="1">
        <w:r w:rsidR="007A2586" w:rsidRPr="001C7D5E">
          <w:rPr>
            <w:rStyle w:val="Hyperlink"/>
            <w:noProof/>
          </w:rPr>
          <w:t>Feedback options</w:t>
        </w:r>
        <w:r w:rsidR="007A2586">
          <w:rPr>
            <w:noProof/>
            <w:webHidden/>
          </w:rPr>
          <w:tab/>
        </w:r>
        <w:r w:rsidR="007A2586">
          <w:rPr>
            <w:noProof/>
            <w:webHidden/>
          </w:rPr>
          <w:fldChar w:fldCharType="begin"/>
        </w:r>
        <w:r w:rsidR="007A2586">
          <w:rPr>
            <w:noProof/>
            <w:webHidden/>
          </w:rPr>
          <w:instrText xml:space="preserve"> PAGEREF _Toc480810880 \h </w:instrText>
        </w:r>
        <w:r w:rsidR="007A2586">
          <w:rPr>
            <w:noProof/>
            <w:webHidden/>
          </w:rPr>
        </w:r>
        <w:r w:rsidR="007A2586">
          <w:rPr>
            <w:noProof/>
            <w:webHidden/>
          </w:rPr>
          <w:fldChar w:fldCharType="separate"/>
        </w:r>
        <w:r w:rsidR="007828EB">
          <w:rPr>
            <w:noProof/>
            <w:webHidden/>
          </w:rPr>
          <w:t>28</w:t>
        </w:r>
        <w:r w:rsidR="007A2586">
          <w:rPr>
            <w:noProof/>
            <w:webHidden/>
          </w:rPr>
          <w:fldChar w:fldCharType="end"/>
        </w:r>
      </w:hyperlink>
    </w:p>
    <w:p w14:paraId="05DD8E14" w14:textId="39D23DDC" w:rsidR="003A0C3C" w:rsidRDefault="003A0C3C" w:rsidP="003E7EC7">
      <w:r>
        <w:fldChar w:fldCharType="end"/>
      </w:r>
    </w:p>
    <w:p w14:paraId="519BF6CA" w14:textId="6757835D" w:rsidR="003A0C3C" w:rsidRDefault="003A0C3C">
      <w:pPr>
        <w:spacing w:after="160" w:line="259" w:lineRule="auto"/>
      </w:pPr>
      <w:r>
        <w:br w:type="page"/>
      </w:r>
    </w:p>
    <w:p w14:paraId="7A5FD328" w14:textId="0F2CE6C1" w:rsidR="00296124" w:rsidRPr="008A73E8" w:rsidRDefault="00296124" w:rsidP="003E7EC7">
      <w:pPr>
        <w:pStyle w:val="Heading2"/>
      </w:pPr>
      <w:bookmarkStart w:id="4" w:name="_Toc480810825"/>
      <w:r>
        <w:t>Introduction</w:t>
      </w:r>
      <w:bookmarkEnd w:id="4"/>
    </w:p>
    <w:p w14:paraId="4285C7AC" w14:textId="77777777" w:rsidR="003A0C3C" w:rsidRDefault="003A0C3C" w:rsidP="003A0C3C">
      <w:pPr>
        <w:pStyle w:val="Heading3"/>
      </w:pPr>
      <w:bookmarkStart w:id="5" w:name="_Toc480810826"/>
      <w:r>
        <w:t>The Spectrum Review</w:t>
      </w:r>
      <w:bookmarkEnd w:id="5"/>
    </w:p>
    <w:p w14:paraId="2EF0B006" w14:textId="77777777" w:rsidR="00AC595C" w:rsidRPr="001100C4" w:rsidRDefault="00AC595C" w:rsidP="00AC595C">
      <w:r w:rsidRPr="001100C4">
        <w:t>The Department of Communications released its Spectrum Review (the review)</w:t>
      </w:r>
      <w:r w:rsidRPr="001100C4">
        <w:rPr>
          <w:rStyle w:val="FootnoteReference"/>
        </w:rPr>
        <w:footnoteReference w:id="2"/>
      </w:r>
      <w:r w:rsidRPr="001100C4">
        <w:t xml:space="preserve"> in March 2015. In August 2015 the Government announced it would implement the recommendations of the review, including agreement to:</w:t>
      </w:r>
    </w:p>
    <w:p w14:paraId="629DB15E" w14:textId="6AC2D494" w:rsidR="00AC595C" w:rsidRPr="001100C4" w:rsidRDefault="001B02BE" w:rsidP="004130AA">
      <w:pPr>
        <w:numPr>
          <w:ilvl w:val="0"/>
          <w:numId w:val="3"/>
        </w:numPr>
        <w:ind w:left="567" w:hanging="567"/>
      </w:pPr>
      <w:r>
        <w:t>r</w:t>
      </w:r>
      <w:r w:rsidR="00AC595C" w:rsidRPr="001100C4">
        <w:t>eplace the current legislative arrangements with new legislation that removes prescriptive process and streamlines licensing for a simpler and more flexible framework</w:t>
      </w:r>
    </w:p>
    <w:p w14:paraId="56AA3F29" w14:textId="5E9F790B" w:rsidR="00AC595C" w:rsidRPr="001100C4" w:rsidRDefault="001B02BE" w:rsidP="004130AA">
      <w:pPr>
        <w:numPr>
          <w:ilvl w:val="0"/>
          <w:numId w:val="3"/>
        </w:numPr>
        <w:ind w:left="567" w:hanging="567"/>
      </w:pPr>
      <w:r>
        <w:t>b</w:t>
      </w:r>
      <w:r w:rsidR="00AC595C" w:rsidRPr="001100C4">
        <w:t>etter integrate the management of public sector and broadcasting spectrum to improve the consistency and integrity of the framework</w:t>
      </w:r>
    </w:p>
    <w:p w14:paraId="5BC37863" w14:textId="26F3797C" w:rsidR="003A0C3C" w:rsidRPr="00A1595E" w:rsidRDefault="001B02BE" w:rsidP="004130AA">
      <w:pPr>
        <w:numPr>
          <w:ilvl w:val="0"/>
          <w:numId w:val="3"/>
        </w:numPr>
        <w:ind w:left="567" w:hanging="567"/>
      </w:pPr>
      <w:proofErr w:type="gramStart"/>
      <w:r>
        <w:t>r</w:t>
      </w:r>
      <w:r w:rsidR="00AC595C" w:rsidRPr="001100C4">
        <w:t>eview</w:t>
      </w:r>
      <w:proofErr w:type="gramEnd"/>
      <w:r w:rsidR="00AC595C" w:rsidRPr="001100C4">
        <w:t xml:space="preserve"> spectrum pricing to ensure consistent and transparent arrangements to support the efficient use of spectrum and secondary markets.</w:t>
      </w:r>
    </w:p>
    <w:p w14:paraId="74EE4C99" w14:textId="77777777" w:rsidR="003A0C3C" w:rsidRDefault="003A0C3C" w:rsidP="00693300">
      <w:pPr>
        <w:pStyle w:val="Heading2"/>
      </w:pPr>
      <w:bookmarkStart w:id="6" w:name="_Toc480810827"/>
      <w:r>
        <w:t>Purpose and scope</w:t>
      </w:r>
      <w:bookmarkEnd w:id="6"/>
    </w:p>
    <w:p w14:paraId="5BE5541C" w14:textId="36F4EC1F" w:rsidR="00AC595C" w:rsidRPr="00646C0D" w:rsidRDefault="00AC595C">
      <w:r w:rsidRPr="00646C0D">
        <w:t>Spectrum is essential to a digitally networked economy and a major contributor to Australia’s economic and social wellbeing. It is a resource that supports essential services such as safety-of-life and security and improves the quality of life of users.</w:t>
      </w:r>
      <w:r w:rsidR="00166585">
        <w:t xml:space="preserve"> </w:t>
      </w:r>
      <w:r w:rsidRPr="00646C0D">
        <w:t>It is critical infrastructure enabling production for industrial, commercial, educational and other social services.</w:t>
      </w:r>
      <w:r w:rsidR="00166585">
        <w:t xml:space="preserve"> </w:t>
      </w:r>
      <w:r w:rsidRPr="00646C0D">
        <w:t>The economic value of Australia’s spectrum to the national economy is estimated to be $177 billion over 15 years</w:t>
      </w:r>
      <w:r>
        <w:rPr>
          <w:rStyle w:val="FootnoteReference"/>
        </w:rPr>
        <w:footnoteReference w:id="3"/>
      </w:r>
      <w:r w:rsidRPr="00646C0D">
        <w:t>.</w:t>
      </w:r>
    </w:p>
    <w:p w14:paraId="07D89CD4" w14:textId="11CCF44A" w:rsidR="00AC595C" w:rsidRPr="00646C0D" w:rsidRDefault="00AC595C">
      <w:r w:rsidRPr="00646C0D">
        <w:t>Technology has changed substantially since 1992 when the current regulatory framework</w:t>
      </w:r>
      <w:r>
        <w:t xml:space="preserve"> </w:t>
      </w:r>
      <w:r w:rsidRPr="00646C0D">
        <w:t>was introduced. The framework has served the nation well and been a source of international competitiveness.</w:t>
      </w:r>
      <w:r w:rsidR="00166585">
        <w:t xml:space="preserve"> </w:t>
      </w:r>
      <w:r w:rsidRPr="00646C0D">
        <w:t>However, sector wide changes are challenging the efficiency, productivity and accessibility of the current arrangements for spectrum management.</w:t>
      </w:r>
      <w:r w:rsidR="00166585">
        <w:t xml:space="preserve"> </w:t>
      </w:r>
      <w:r w:rsidRPr="00646C0D">
        <w:t>As technology advances, there are increasingly novel ways to use spectrum to communicate and send information. This constant development means there is increasing demand for spectrum arising from an expanding array of uses. In addition, Australians as a whole are early adopters of new technologies, typically leading the world in the uptake of the latest technological products and services.</w:t>
      </w:r>
    </w:p>
    <w:p w14:paraId="1C6C5E96" w14:textId="1C051EA6" w:rsidR="003A0C3C" w:rsidRPr="00E34E26" w:rsidRDefault="00AC595C">
      <w:pPr>
        <w:rPr>
          <w:highlight w:val="yellow"/>
        </w:rPr>
      </w:pPr>
      <w:r w:rsidRPr="00646C0D">
        <w:t>The extent to which the benefits of spectrum are realised or improved upon will depend in part on the ability of the spectrum management regulatory arrangements to accommodate rapid technological change and respond to increasing demand.</w:t>
      </w:r>
    </w:p>
    <w:p w14:paraId="0C7EF8BD" w14:textId="5B78C50A" w:rsidR="00612B86" w:rsidRDefault="0070441A" w:rsidP="00693300">
      <w:pPr>
        <w:rPr>
          <w:rFonts w:cs="Arial"/>
        </w:rPr>
      </w:pPr>
      <w:r>
        <w:rPr>
          <w:rFonts w:cs="Arial"/>
        </w:rPr>
        <w:t xml:space="preserve">In </w:t>
      </w:r>
      <w:r w:rsidR="00296124" w:rsidRPr="00333D13">
        <w:rPr>
          <w:rFonts w:cs="Arial"/>
        </w:rPr>
        <w:t xml:space="preserve">August 2015, the Government announced it would replace the current legislative arrangements with modern legislation that removes prescriptive process and streamlines licensing and spectrum </w:t>
      </w:r>
      <w:r w:rsidR="002A6015">
        <w:rPr>
          <w:rFonts w:cs="Arial"/>
        </w:rPr>
        <w:t>allocations</w:t>
      </w:r>
      <w:r>
        <w:rPr>
          <w:rFonts w:cs="Arial"/>
        </w:rPr>
        <w:t>, consistent with the Spectrum Review</w:t>
      </w:r>
      <w:r w:rsidR="006636B0">
        <w:rPr>
          <w:rFonts w:cs="Arial"/>
        </w:rPr>
        <w:t>.</w:t>
      </w:r>
      <w:r w:rsidR="00FE4DC5">
        <w:rPr>
          <w:rFonts w:cs="Arial"/>
        </w:rPr>
        <w:t xml:space="preserve"> </w:t>
      </w:r>
      <w:r w:rsidR="00612B86">
        <w:rPr>
          <w:rFonts w:cs="Arial"/>
        </w:rPr>
        <w:t xml:space="preserve">The </w:t>
      </w:r>
      <w:r w:rsidR="00D94EA1">
        <w:rPr>
          <w:rFonts w:cs="Arial"/>
        </w:rPr>
        <w:t xml:space="preserve">rewrite of the </w:t>
      </w:r>
      <w:r w:rsidR="00D94EA1">
        <w:rPr>
          <w:rFonts w:cs="Arial"/>
          <w:i/>
        </w:rPr>
        <w:t>Radiocommunications Act 1992</w:t>
      </w:r>
      <w:r w:rsidR="00D94EA1">
        <w:rPr>
          <w:rFonts w:cs="Arial"/>
        </w:rPr>
        <w:t xml:space="preserve"> (1992 Act) </w:t>
      </w:r>
      <w:r w:rsidR="00612B86">
        <w:rPr>
          <w:rFonts w:cs="Arial"/>
        </w:rPr>
        <w:t>seeks to i</w:t>
      </w:r>
      <w:r w:rsidR="00612B86" w:rsidRPr="00333D13">
        <w:rPr>
          <w:rFonts w:cs="Arial"/>
        </w:rPr>
        <w:t>mprov</w:t>
      </w:r>
      <w:r w:rsidR="00612B86">
        <w:rPr>
          <w:rFonts w:cs="Arial"/>
        </w:rPr>
        <w:t>e</w:t>
      </w:r>
      <w:r w:rsidR="00612B86" w:rsidRPr="00333D13">
        <w:rPr>
          <w:rFonts w:cs="Arial"/>
        </w:rPr>
        <w:t xml:space="preserve"> the efficiency, effectiveness and transparency of spectrum management and use</w:t>
      </w:r>
      <w:r w:rsidR="00612B86">
        <w:rPr>
          <w:rFonts w:cs="Arial"/>
        </w:rPr>
        <w:t xml:space="preserve">. This will </w:t>
      </w:r>
      <w:r w:rsidR="00612B86" w:rsidRPr="00333D13">
        <w:rPr>
          <w:rFonts w:cs="Arial"/>
        </w:rPr>
        <w:t xml:space="preserve">ensure </w:t>
      </w:r>
      <w:r w:rsidR="00612B86" w:rsidRPr="00703C2D">
        <w:rPr>
          <w:rFonts w:cs="Arial"/>
        </w:rPr>
        <w:t xml:space="preserve">that Australia’s regulatory framework remains fit for purpose in an </w:t>
      </w:r>
      <w:r w:rsidR="00612B86" w:rsidRPr="008F299C">
        <w:t>environment</w:t>
      </w:r>
      <w:r w:rsidR="00612B86" w:rsidRPr="00703C2D">
        <w:rPr>
          <w:rFonts w:cs="Arial"/>
        </w:rPr>
        <w:t xml:space="preserve"> of continuing and rapid change.</w:t>
      </w:r>
    </w:p>
    <w:p w14:paraId="5C166460" w14:textId="7EC47B64" w:rsidR="00D94EA1" w:rsidRDefault="003B030A" w:rsidP="00693300">
      <w:pPr>
        <w:spacing w:after="120"/>
        <w:rPr>
          <w:rFonts w:cs="Arial"/>
        </w:rPr>
      </w:pPr>
      <w:r>
        <w:rPr>
          <w:rFonts w:cs="Arial"/>
        </w:rPr>
        <w:t>A</w:t>
      </w:r>
      <w:r w:rsidR="00750599">
        <w:rPr>
          <w:rFonts w:cs="Arial"/>
        </w:rPr>
        <w:t xml:space="preserve"> </w:t>
      </w:r>
      <w:r w:rsidR="00750599" w:rsidRPr="008F299C">
        <w:t>partial</w:t>
      </w:r>
      <w:r>
        <w:rPr>
          <w:rFonts w:cs="Arial"/>
        </w:rPr>
        <w:t xml:space="preserve"> exposure</w:t>
      </w:r>
      <w:r w:rsidR="00D94EA1">
        <w:rPr>
          <w:rFonts w:cs="Arial"/>
        </w:rPr>
        <w:t xml:space="preserve"> draft of the Radiocommunications Bill 2017 (Bill) </w:t>
      </w:r>
      <w:r>
        <w:rPr>
          <w:rFonts w:cs="Arial"/>
        </w:rPr>
        <w:t xml:space="preserve">has been drafted </w:t>
      </w:r>
      <w:r w:rsidR="00D94EA1">
        <w:rPr>
          <w:rFonts w:cs="Arial"/>
        </w:rPr>
        <w:t>to commence a consultation process on detailed provisions of the rewrite of the 1992 Act.</w:t>
      </w:r>
    </w:p>
    <w:p w14:paraId="38455E97" w14:textId="415DEE37" w:rsidR="00FE4DC5" w:rsidRPr="008F299C" w:rsidRDefault="002A6015" w:rsidP="00693300">
      <w:r w:rsidRPr="003E7EC7">
        <w:rPr>
          <w:rFonts w:cs="Arial"/>
        </w:rPr>
        <w:t>T</w:t>
      </w:r>
      <w:r w:rsidR="00296124" w:rsidRPr="003E7EC7">
        <w:rPr>
          <w:rFonts w:cs="Arial"/>
        </w:rPr>
        <w:t xml:space="preserve">his paper </w:t>
      </w:r>
      <w:r w:rsidR="00703C2D" w:rsidRPr="003E7EC7">
        <w:rPr>
          <w:rFonts w:cs="Arial"/>
        </w:rPr>
        <w:t xml:space="preserve">outlines the range of tools to make the Minister’s policy guidance on spectrum management matters transparent and then </w:t>
      </w:r>
      <w:r w:rsidR="00333D13" w:rsidRPr="003E7EC7">
        <w:rPr>
          <w:rFonts w:cs="Arial"/>
        </w:rPr>
        <w:t>provide</w:t>
      </w:r>
      <w:r w:rsidR="006636B0" w:rsidRPr="003E7EC7">
        <w:rPr>
          <w:rFonts w:cs="Arial"/>
        </w:rPr>
        <w:t>s</w:t>
      </w:r>
      <w:r w:rsidR="00333D13" w:rsidRPr="003E7EC7">
        <w:rPr>
          <w:rFonts w:cs="Arial"/>
        </w:rPr>
        <w:t xml:space="preserve"> </w:t>
      </w:r>
      <w:r w:rsidR="00703C2D" w:rsidRPr="003E7EC7">
        <w:rPr>
          <w:rFonts w:cs="Arial"/>
        </w:rPr>
        <w:t>a high level discussion of the policy intent of the Bill.</w:t>
      </w:r>
      <w:r w:rsidR="00EE4C02">
        <w:rPr>
          <w:rFonts w:cs="Arial"/>
        </w:rPr>
        <w:t xml:space="preserve"> </w:t>
      </w:r>
      <w:r w:rsidR="00FE4DC5">
        <w:rPr>
          <w:rFonts w:cs="Arial"/>
        </w:rPr>
        <w:t xml:space="preserve">The </w:t>
      </w:r>
      <w:r w:rsidR="00FE4DC5" w:rsidRPr="00333D13">
        <w:rPr>
          <w:rFonts w:cs="Arial"/>
        </w:rPr>
        <w:t>Bill provides a statutory framework</w:t>
      </w:r>
      <w:r w:rsidR="00FE4DC5">
        <w:rPr>
          <w:rFonts w:cs="Arial"/>
        </w:rPr>
        <w:t xml:space="preserve"> and removes </w:t>
      </w:r>
      <w:r w:rsidR="00FE4DC5" w:rsidRPr="00333D13">
        <w:rPr>
          <w:rFonts w:cs="Arial"/>
        </w:rPr>
        <w:t>regulatory barriers to innovation</w:t>
      </w:r>
      <w:r w:rsidR="00FE4DC5">
        <w:rPr>
          <w:rFonts w:cs="Arial"/>
        </w:rPr>
        <w:t xml:space="preserve">. The extent to which these </w:t>
      </w:r>
      <w:r w:rsidR="00FE4DC5" w:rsidRPr="008F299C">
        <w:t>opportunities are used will depend on the decisions of users in response to market developments.</w:t>
      </w:r>
    </w:p>
    <w:p w14:paraId="7A2D9E66" w14:textId="52BEBA97" w:rsidR="00296124" w:rsidRDefault="001B3A4C" w:rsidP="00693300">
      <w:pPr>
        <w:rPr>
          <w:rFonts w:cs="Arial"/>
        </w:rPr>
      </w:pPr>
      <w:r w:rsidRPr="00693300">
        <w:t>T</w:t>
      </w:r>
      <w:r w:rsidR="00296124" w:rsidRPr="00693300">
        <w:t>he Au</w:t>
      </w:r>
      <w:r w:rsidR="00296124" w:rsidRPr="00333D13">
        <w:rPr>
          <w:rFonts w:cs="Arial"/>
        </w:rPr>
        <w:t>stralian Communication and Media Authority (the ACMA)</w:t>
      </w:r>
      <w:r>
        <w:rPr>
          <w:rFonts w:cs="Arial"/>
        </w:rPr>
        <w:t xml:space="preserve"> </w:t>
      </w:r>
      <w:r w:rsidR="00296124" w:rsidRPr="00333D13">
        <w:rPr>
          <w:rFonts w:cs="Arial"/>
        </w:rPr>
        <w:t xml:space="preserve">is responsible for </w:t>
      </w:r>
      <w:r>
        <w:rPr>
          <w:rFonts w:cs="Arial"/>
        </w:rPr>
        <w:t>designing and developing new spectrum management arrangements in accordance with the Bill.</w:t>
      </w:r>
    </w:p>
    <w:p w14:paraId="2CD2C504" w14:textId="2B0D0E57" w:rsidR="00750599" w:rsidRPr="00950FC9" w:rsidRDefault="00750599" w:rsidP="00E046AE">
      <w:pPr>
        <w:pStyle w:val="Heading3"/>
      </w:pPr>
      <w:bookmarkStart w:id="7" w:name="_Toc480810828"/>
      <w:r w:rsidRPr="00950FC9">
        <w:t>Consultation process</w:t>
      </w:r>
      <w:r w:rsidR="00950FC9">
        <w:t xml:space="preserve"> and stakeholder input</w:t>
      </w:r>
      <w:bookmarkEnd w:id="7"/>
    </w:p>
    <w:p w14:paraId="3E9DF1CB" w14:textId="4A73717A" w:rsidR="00750599" w:rsidRDefault="00950FC9" w:rsidP="00693300">
      <w:pPr>
        <w:rPr>
          <w:rFonts w:cs="Arial"/>
        </w:rPr>
      </w:pPr>
      <w:r>
        <w:rPr>
          <w:rFonts w:cs="Arial"/>
        </w:rPr>
        <w:t>The development of new legislation is the most significant change to spectrum management in the last 25 years. To ensure that the new arrangements are practical we need significant input from industry and spectrum users.</w:t>
      </w:r>
      <w:r w:rsidR="00340428">
        <w:rPr>
          <w:rFonts w:cs="Arial"/>
        </w:rPr>
        <w:t xml:space="preserve"> To that end, there will be </w:t>
      </w:r>
      <w:r>
        <w:rPr>
          <w:rFonts w:cs="Arial"/>
        </w:rPr>
        <w:t xml:space="preserve">a two stage </w:t>
      </w:r>
      <w:r w:rsidR="00077510">
        <w:rPr>
          <w:rFonts w:cs="Arial"/>
        </w:rPr>
        <w:t>c</w:t>
      </w:r>
      <w:r w:rsidR="00750599">
        <w:rPr>
          <w:rFonts w:cs="Arial"/>
        </w:rPr>
        <w:t xml:space="preserve">onsultation </w:t>
      </w:r>
      <w:r>
        <w:rPr>
          <w:rFonts w:cs="Arial"/>
        </w:rPr>
        <w:t xml:space="preserve">process </w:t>
      </w:r>
      <w:r w:rsidR="00750599">
        <w:rPr>
          <w:rFonts w:cs="Arial"/>
        </w:rPr>
        <w:t>on the exposure draft of the Radiocommunications Bill.</w:t>
      </w:r>
      <w:r>
        <w:rPr>
          <w:rFonts w:cs="Arial"/>
        </w:rPr>
        <w:t xml:space="preserve"> This will </w:t>
      </w:r>
      <w:r w:rsidR="00077510">
        <w:rPr>
          <w:rFonts w:cs="Arial"/>
        </w:rPr>
        <w:t>enable co-</w:t>
      </w:r>
      <w:r w:rsidR="00340428">
        <w:rPr>
          <w:rFonts w:cs="Arial"/>
        </w:rPr>
        <w:t xml:space="preserve">design benefits </w:t>
      </w:r>
      <w:r w:rsidR="000B669D">
        <w:rPr>
          <w:rFonts w:cs="Arial"/>
        </w:rPr>
        <w:t>with</w:t>
      </w:r>
      <w:r w:rsidR="00340428">
        <w:rPr>
          <w:rFonts w:cs="Arial"/>
        </w:rPr>
        <w:t xml:space="preserve"> the </w:t>
      </w:r>
      <w:r w:rsidR="00340428" w:rsidRPr="00340428">
        <w:rPr>
          <w:rFonts w:cs="Arial"/>
        </w:rPr>
        <w:t xml:space="preserve">drafting </w:t>
      </w:r>
      <w:r w:rsidR="00077510" w:rsidRPr="00340428">
        <w:rPr>
          <w:rFonts w:cs="Arial"/>
        </w:rPr>
        <w:t>tested by industry experts</w:t>
      </w:r>
      <w:r w:rsidR="00340428" w:rsidRPr="00340428">
        <w:rPr>
          <w:rFonts w:cs="Arial"/>
        </w:rPr>
        <w:t>.</w:t>
      </w:r>
    </w:p>
    <w:p w14:paraId="1EDD987E" w14:textId="49D52A70" w:rsidR="00750599" w:rsidRDefault="00750599" w:rsidP="00E046AE">
      <w:pPr>
        <w:pStyle w:val="NormalWeb"/>
        <w:spacing w:before="0" w:beforeAutospacing="0" w:after="240" w:afterAutospacing="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This paper </w:t>
      </w:r>
      <w:r w:rsidR="002D2AAB">
        <w:rPr>
          <w:rFonts w:asciiTheme="minorHAnsi" w:eastAsiaTheme="minorHAnsi" w:hAnsiTheme="minorHAnsi" w:cs="Arial"/>
          <w:sz w:val="22"/>
          <w:szCs w:val="22"/>
          <w:lang w:eastAsia="en-US"/>
        </w:rPr>
        <w:t>is</w:t>
      </w:r>
      <w:r>
        <w:rPr>
          <w:rFonts w:asciiTheme="minorHAnsi" w:eastAsiaTheme="minorHAnsi" w:hAnsiTheme="minorHAnsi" w:cs="Arial"/>
          <w:sz w:val="22"/>
          <w:szCs w:val="22"/>
          <w:lang w:eastAsia="en-US"/>
        </w:rPr>
        <w:t xml:space="preserve"> part of the first stage of consultation. This paper accompanies:</w:t>
      </w:r>
    </w:p>
    <w:p w14:paraId="4B5F3856" w14:textId="0FCB22F0" w:rsidR="00750599" w:rsidRPr="001E46A1" w:rsidRDefault="001B02BE" w:rsidP="004130AA">
      <w:pPr>
        <w:pStyle w:val="Bulletlevel1"/>
        <w:ind w:left="567" w:hanging="567"/>
      </w:pPr>
      <w:r w:rsidRPr="001E46A1">
        <w:t>a</w:t>
      </w:r>
      <w:r w:rsidR="00750599" w:rsidRPr="001E46A1">
        <w:t xml:space="preserve"> partial draft of the Radiocommunications Bill, excluding provisions relating to broadcasting spectrum</w:t>
      </w:r>
      <w:r w:rsidR="00E05980" w:rsidRPr="001E46A1">
        <w:t xml:space="preserve"> and transitional and consequential provisions</w:t>
      </w:r>
    </w:p>
    <w:p w14:paraId="648B6087" w14:textId="4F3272A0" w:rsidR="00750599" w:rsidRPr="001E46A1" w:rsidRDefault="001B02BE" w:rsidP="004130AA">
      <w:pPr>
        <w:pStyle w:val="Bulletlevel1"/>
        <w:ind w:left="567" w:hanging="567"/>
      </w:pPr>
      <w:r w:rsidRPr="001E46A1">
        <w:t>c</w:t>
      </w:r>
      <w:r w:rsidR="00661F42" w:rsidRPr="001E46A1">
        <w:t>onsultation</w:t>
      </w:r>
      <w:r w:rsidR="00750599" w:rsidRPr="001E46A1">
        <w:t xml:space="preserve"> papers relating to transition and broadcasting spectrum</w:t>
      </w:r>
    </w:p>
    <w:p w14:paraId="6D037DB9" w14:textId="5D644DEC" w:rsidR="00750599" w:rsidRDefault="001B02BE" w:rsidP="004130AA">
      <w:pPr>
        <w:pStyle w:val="Bulletlevel1"/>
        <w:ind w:left="567" w:hanging="567"/>
      </w:pPr>
      <w:proofErr w:type="gramStart"/>
      <w:r w:rsidRPr="001E46A1">
        <w:t>s</w:t>
      </w:r>
      <w:r w:rsidR="00750599" w:rsidRPr="001E46A1">
        <w:t>upporting</w:t>
      </w:r>
      <w:proofErr w:type="gramEnd"/>
      <w:r w:rsidR="00750599">
        <w:t xml:space="preserve"> material</w:t>
      </w:r>
      <w:r w:rsidR="00E05980">
        <w:t>s</w:t>
      </w:r>
      <w:r w:rsidR="00750599">
        <w:t xml:space="preserve"> provided by the ACMA</w:t>
      </w:r>
      <w:r w:rsidR="00661F42">
        <w:t>.</w:t>
      </w:r>
    </w:p>
    <w:p w14:paraId="0B9417BA" w14:textId="77777777" w:rsidR="001751BB" w:rsidRDefault="00750599" w:rsidP="00E046AE">
      <w:pPr>
        <w:pStyle w:val="NormalWeb"/>
        <w:spacing w:before="0" w:beforeAutospacing="0" w:after="240" w:afterAutospacing="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Feedback on these documents will inform the drafting of remaining provisions of the Radiocommunications Bill</w:t>
      </w:r>
      <w:r w:rsidR="003553A4">
        <w:rPr>
          <w:rFonts w:asciiTheme="minorHAnsi" w:eastAsiaTheme="minorHAnsi" w:hAnsiTheme="minorHAnsi" w:cs="Arial"/>
          <w:sz w:val="22"/>
          <w:szCs w:val="22"/>
          <w:lang w:eastAsia="en-US"/>
        </w:rPr>
        <w:t xml:space="preserve"> and other required legislation</w:t>
      </w:r>
      <w:r w:rsidR="00BF2C73">
        <w:rPr>
          <w:rFonts w:asciiTheme="minorHAnsi" w:eastAsiaTheme="minorHAnsi" w:hAnsiTheme="minorHAnsi" w:cs="Arial"/>
          <w:sz w:val="22"/>
          <w:szCs w:val="22"/>
          <w:lang w:eastAsia="en-US"/>
        </w:rPr>
        <w:t xml:space="preserve"> including transitional, consequential and taxation provisions</w:t>
      </w:r>
      <w:r w:rsidR="003553A4">
        <w:rPr>
          <w:rFonts w:asciiTheme="minorHAnsi" w:eastAsiaTheme="minorHAnsi" w:hAnsiTheme="minorHAnsi" w:cs="Arial"/>
          <w:sz w:val="22"/>
          <w:szCs w:val="22"/>
          <w:lang w:eastAsia="en-US"/>
        </w:rPr>
        <w:t>,</w:t>
      </w:r>
      <w:r w:rsidR="000B669D">
        <w:rPr>
          <w:rFonts w:asciiTheme="minorHAnsi" w:eastAsiaTheme="minorHAnsi" w:hAnsiTheme="minorHAnsi" w:cs="Arial"/>
          <w:sz w:val="22"/>
          <w:szCs w:val="22"/>
          <w:lang w:eastAsia="en-US"/>
        </w:rPr>
        <w:t xml:space="preserve"> </w:t>
      </w:r>
      <w:r>
        <w:rPr>
          <w:rFonts w:asciiTheme="minorHAnsi" w:eastAsiaTheme="minorHAnsi" w:hAnsiTheme="minorHAnsi" w:cs="Arial"/>
          <w:sz w:val="22"/>
          <w:szCs w:val="22"/>
          <w:lang w:eastAsia="en-US"/>
        </w:rPr>
        <w:t xml:space="preserve">which will be the subject of a second round of </w:t>
      </w:r>
      <w:r w:rsidR="000B669D">
        <w:rPr>
          <w:rFonts w:asciiTheme="minorHAnsi" w:eastAsiaTheme="minorHAnsi" w:hAnsiTheme="minorHAnsi" w:cs="Arial"/>
          <w:sz w:val="22"/>
          <w:szCs w:val="22"/>
          <w:lang w:eastAsia="en-US"/>
        </w:rPr>
        <w:t>consultation</w:t>
      </w:r>
      <w:r>
        <w:rPr>
          <w:rFonts w:asciiTheme="minorHAnsi" w:eastAsiaTheme="minorHAnsi" w:hAnsiTheme="minorHAnsi" w:cs="Arial"/>
          <w:sz w:val="22"/>
          <w:szCs w:val="22"/>
          <w:lang w:eastAsia="en-US"/>
        </w:rPr>
        <w:t>.</w:t>
      </w:r>
    </w:p>
    <w:p w14:paraId="46F3518E" w14:textId="0E8D19C7" w:rsidR="00661F42" w:rsidRDefault="00661F42" w:rsidP="00E046AE">
      <w:pPr>
        <w:pStyle w:val="NormalWeb"/>
        <w:spacing w:before="0" w:beforeAutospacing="0" w:after="240" w:afterAutospacing="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Feedback on consultation papers on the Spectrum Pricing and Commonwealth Held Spectrum </w:t>
      </w:r>
      <w:r w:rsidR="002C1F66">
        <w:rPr>
          <w:rFonts w:asciiTheme="minorHAnsi" w:eastAsiaTheme="minorHAnsi" w:hAnsiTheme="minorHAnsi" w:cs="Arial"/>
          <w:sz w:val="22"/>
          <w:szCs w:val="22"/>
          <w:lang w:eastAsia="en-US"/>
        </w:rPr>
        <w:t>r</w:t>
      </w:r>
      <w:r>
        <w:rPr>
          <w:rFonts w:asciiTheme="minorHAnsi" w:eastAsiaTheme="minorHAnsi" w:hAnsiTheme="minorHAnsi" w:cs="Arial"/>
          <w:sz w:val="22"/>
          <w:szCs w:val="22"/>
          <w:lang w:eastAsia="en-US"/>
        </w:rPr>
        <w:t>eviews will inform a report to Government.</w:t>
      </w:r>
    </w:p>
    <w:p w14:paraId="16771629" w14:textId="77777777" w:rsidR="001751BB" w:rsidRDefault="00161A7D" w:rsidP="00E046AE">
      <w:pPr>
        <w:pStyle w:val="Heading2"/>
        <w:spacing w:after="120"/>
      </w:pPr>
      <w:bookmarkStart w:id="8" w:name="_Toc480810829"/>
      <w:r>
        <w:t>P</w:t>
      </w:r>
      <w:r w:rsidR="00A80FE9">
        <w:t>olicy principles</w:t>
      </w:r>
      <w:bookmarkEnd w:id="8"/>
    </w:p>
    <w:p w14:paraId="36C1A0AD" w14:textId="77777777" w:rsidR="001751BB" w:rsidRDefault="00FE4DC5" w:rsidP="00693300">
      <w:pPr>
        <w:rPr>
          <w:rFonts w:cs="Arial"/>
        </w:rPr>
      </w:pPr>
      <w:r>
        <w:rPr>
          <w:rFonts w:cs="Arial"/>
        </w:rPr>
        <w:t>The Spectrum Review took a principles-based approach to the reform</w:t>
      </w:r>
      <w:r w:rsidR="00A80FE9">
        <w:rPr>
          <w:rFonts w:cs="Arial"/>
        </w:rPr>
        <w:t xml:space="preserve"> with the following </w:t>
      </w:r>
      <w:r w:rsidR="00267B7D">
        <w:rPr>
          <w:rFonts w:cs="Arial"/>
        </w:rPr>
        <w:t xml:space="preserve">five </w:t>
      </w:r>
      <w:r w:rsidR="00A80FE9">
        <w:rPr>
          <w:rFonts w:cs="Arial"/>
        </w:rPr>
        <w:t xml:space="preserve">principles guiding the </w:t>
      </w:r>
      <w:r w:rsidR="00A80FE9" w:rsidRPr="008F299C">
        <w:t>development</w:t>
      </w:r>
      <w:r w:rsidR="00A80FE9">
        <w:rPr>
          <w:rFonts w:cs="Arial"/>
        </w:rPr>
        <w:t xml:space="preserve"> of its recommendations:</w:t>
      </w:r>
    </w:p>
    <w:p w14:paraId="2335CA59" w14:textId="7199DD09" w:rsidR="00755ACA" w:rsidRPr="001E46A1" w:rsidRDefault="0008631E" w:rsidP="004130AA">
      <w:pPr>
        <w:pStyle w:val="Bulletlevel1"/>
        <w:ind w:left="567" w:hanging="567"/>
      </w:pPr>
      <w:proofErr w:type="gramStart"/>
      <w:r w:rsidRPr="00364F74">
        <w:rPr>
          <w:i/>
          <w:color w:val="2F5496" w:themeColor="accent5" w:themeShade="BF"/>
        </w:rPr>
        <w:t>t</w:t>
      </w:r>
      <w:r w:rsidR="00755ACA" w:rsidRPr="00364F74">
        <w:rPr>
          <w:i/>
          <w:color w:val="2F5496" w:themeColor="accent5" w:themeShade="BF"/>
        </w:rPr>
        <w:t>ransparency</w:t>
      </w:r>
      <w:proofErr w:type="gramEnd"/>
      <w:r w:rsidR="00755ACA" w:rsidRPr="00755ACA">
        <w:t xml:space="preserve">: provide a clear and transparent policy framework and direction to manage the spectrum </w:t>
      </w:r>
      <w:r w:rsidR="00755ACA" w:rsidRPr="001E46A1">
        <w:t>elements to improve disclosure of decisions, provide regular updates on processes and deliver explanations when things change. The reform also enables the provision of clear guidance on future spectrum p</w:t>
      </w:r>
      <w:r w:rsidR="00E046AE" w:rsidRPr="001E46A1">
        <w:t>olicy and management priorities</w:t>
      </w:r>
    </w:p>
    <w:p w14:paraId="61A07998" w14:textId="208E0FB4" w:rsidR="00755ACA" w:rsidRPr="001E46A1" w:rsidRDefault="0008631E" w:rsidP="004130AA">
      <w:pPr>
        <w:pStyle w:val="Bulletlevel1"/>
        <w:ind w:left="567" w:hanging="567"/>
      </w:pPr>
      <w:r w:rsidRPr="002C1F66">
        <w:rPr>
          <w:i/>
          <w:color w:val="2F5496" w:themeColor="accent5" w:themeShade="BF"/>
        </w:rPr>
        <w:t>e</w:t>
      </w:r>
      <w:r w:rsidR="00755ACA" w:rsidRPr="002C1F66">
        <w:rPr>
          <w:i/>
          <w:color w:val="2F5496" w:themeColor="accent5" w:themeShade="BF"/>
        </w:rPr>
        <w:t>fficiency</w:t>
      </w:r>
      <w:r w:rsidR="00755ACA" w:rsidRPr="001E46A1">
        <w:t>: promote efficient allocation and use of spectrum, including by making market principles and mechanisms the preferred approach and providing licensees with the freedom and incentives to make optimal ch</w:t>
      </w:r>
      <w:r w:rsidR="00E046AE" w:rsidRPr="001E46A1">
        <w:t>oices about their spectrum uses</w:t>
      </w:r>
    </w:p>
    <w:p w14:paraId="07806560" w14:textId="77777777" w:rsidR="001751BB" w:rsidRPr="001E46A1" w:rsidRDefault="0008631E" w:rsidP="004130AA">
      <w:pPr>
        <w:pStyle w:val="Bulletlevel1"/>
        <w:ind w:left="567" w:hanging="567"/>
      </w:pPr>
      <w:r w:rsidRPr="002C1F66">
        <w:rPr>
          <w:i/>
          <w:color w:val="2F5496" w:themeColor="accent5" w:themeShade="BF"/>
        </w:rPr>
        <w:t>f</w:t>
      </w:r>
      <w:r w:rsidR="00755ACA" w:rsidRPr="002C1F66">
        <w:rPr>
          <w:i/>
          <w:color w:val="2F5496" w:themeColor="accent5" w:themeShade="BF"/>
        </w:rPr>
        <w:t>lexibility</w:t>
      </w:r>
      <w:r w:rsidR="00755ACA" w:rsidRPr="001E46A1">
        <w:t>: ensure arrangements are as flexible as possible to promote choice and innovation for both t</w:t>
      </w:r>
      <w:r w:rsidR="00E046AE" w:rsidRPr="001E46A1">
        <w:t>he regulator and spectrum users</w:t>
      </w:r>
    </w:p>
    <w:p w14:paraId="296E2149" w14:textId="3D3DD0CF" w:rsidR="00755ACA" w:rsidRPr="001E46A1" w:rsidRDefault="0008631E" w:rsidP="004130AA">
      <w:pPr>
        <w:pStyle w:val="Bulletlevel1"/>
        <w:ind w:left="567" w:hanging="567"/>
      </w:pPr>
      <w:proofErr w:type="gramStart"/>
      <w:r w:rsidRPr="002C1F66">
        <w:rPr>
          <w:i/>
          <w:color w:val="2F5496" w:themeColor="accent5" w:themeShade="BF"/>
        </w:rPr>
        <w:t>c</w:t>
      </w:r>
      <w:r w:rsidR="00755ACA" w:rsidRPr="002C1F66">
        <w:rPr>
          <w:i/>
          <w:color w:val="2F5496" w:themeColor="accent5" w:themeShade="BF"/>
        </w:rPr>
        <w:t>ertainty</w:t>
      </w:r>
      <w:proofErr w:type="gramEnd"/>
      <w:r w:rsidR="00755ACA" w:rsidRPr="001E46A1">
        <w:t>: provide confidence about regulatory arrangements and spectrum access terms and conditions and promote international harmonisation in Australia’s interests. This could be understood as predictability of process</w:t>
      </w:r>
    </w:p>
    <w:p w14:paraId="04A0C1D5" w14:textId="77777777" w:rsidR="001751BB" w:rsidRDefault="0008631E" w:rsidP="004130AA">
      <w:pPr>
        <w:pStyle w:val="Bulletlevel1"/>
        <w:ind w:left="567" w:hanging="567"/>
      </w:pPr>
      <w:proofErr w:type="gramStart"/>
      <w:r w:rsidRPr="002C1F66">
        <w:rPr>
          <w:i/>
          <w:color w:val="2F5496" w:themeColor="accent5" w:themeShade="BF"/>
        </w:rPr>
        <w:t>s</w:t>
      </w:r>
      <w:r w:rsidR="00755ACA" w:rsidRPr="002C1F66">
        <w:rPr>
          <w:i/>
          <w:color w:val="2F5496" w:themeColor="accent5" w:themeShade="BF"/>
        </w:rPr>
        <w:t>implicity</w:t>
      </w:r>
      <w:proofErr w:type="gramEnd"/>
      <w:r w:rsidR="00755ACA" w:rsidRPr="001E46A1">
        <w:t>: create a framework</w:t>
      </w:r>
      <w:r w:rsidR="00755ACA" w:rsidRPr="00EE0C9B">
        <w:t xml:space="preserve"> that is clear and simple, easy to understand and uses the least cost regulation required to achieve the objective. This could be understood as light touch regulation.</w:t>
      </w:r>
    </w:p>
    <w:p w14:paraId="7192EE01" w14:textId="77777777" w:rsidR="000F16AD" w:rsidRDefault="000F16AD" w:rsidP="00693300">
      <w:pPr>
        <w:rPr>
          <w:rFonts w:cs="Arial"/>
        </w:rPr>
        <w:sectPr w:rsidR="000F16AD" w:rsidSect="00296124">
          <w:headerReference w:type="even" r:id="rId16"/>
          <w:headerReference w:type="default" r:id="rId17"/>
          <w:footerReference w:type="default" r:id="rId18"/>
          <w:headerReference w:type="first" r:id="rId19"/>
          <w:type w:val="continuous"/>
          <w:pgSz w:w="11906" w:h="16838"/>
          <w:pgMar w:top="1702" w:right="1133" w:bottom="1276" w:left="1440" w:header="0" w:footer="567" w:gutter="0"/>
          <w:cols w:space="708"/>
          <w:docGrid w:linePitch="360"/>
        </w:sectPr>
      </w:pPr>
    </w:p>
    <w:p w14:paraId="224A27C6" w14:textId="63BDD4FC" w:rsidR="00A80FE9" w:rsidRDefault="00A80FE9" w:rsidP="00693300">
      <w:pPr>
        <w:rPr>
          <w:rFonts w:cs="Arial"/>
        </w:rPr>
      </w:pPr>
      <w:r>
        <w:rPr>
          <w:rFonts w:cs="Arial"/>
        </w:rPr>
        <w:t xml:space="preserve">In </w:t>
      </w:r>
      <w:r w:rsidR="006379E7">
        <w:rPr>
          <w:rFonts w:cs="Arial"/>
        </w:rPr>
        <w:t xml:space="preserve">proposing to </w:t>
      </w:r>
      <w:r>
        <w:rPr>
          <w:rFonts w:cs="Arial"/>
        </w:rPr>
        <w:t>restructur</w:t>
      </w:r>
      <w:r w:rsidR="006379E7">
        <w:rPr>
          <w:rFonts w:cs="Arial"/>
        </w:rPr>
        <w:t>e</w:t>
      </w:r>
      <w:r>
        <w:rPr>
          <w:rFonts w:cs="Arial"/>
        </w:rPr>
        <w:t xml:space="preserve"> and rationalis</w:t>
      </w:r>
      <w:r w:rsidR="006379E7">
        <w:rPr>
          <w:rFonts w:cs="Arial"/>
        </w:rPr>
        <w:t>e</w:t>
      </w:r>
      <w:r>
        <w:rPr>
          <w:rFonts w:cs="Arial"/>
        </w:rPr>
        <w:t xml:space="preserve"> the legislative framework, the review sought to achieve two primary aims</w:t>
      </w:r>
      <w:r w:rsidR="001B02BE">
        <w:rPr>
          <w:rFonts w:cs="Arial"/>
        </w:rPr>
        <w:t xml:space="preserve"> to</w:t>
      </w:r>
      <w:r>
        <w:rPr>
          <w:rFonts w:cs="Arial"/>
        </w:rPr>
        <w:t>:</w:t>
      </w:r>
    </w:p>
    <w:p w14:paraId="1DE60CB1" w14:textId="5DB9FCF7" w:rsidR="00A80FE9" w:rsidRPr="00A80FE9" w:rsidRDefault="001B02BE" w:rsidP="004130AA">
      <w:pPr>
        <w:pStyle w:val="Bulletlevel1"/>
        <w:ind w:left="567" w:hanging="567"/>
      </w:pPr>
      <w:r w:rsidRPr="001E46A1">
        <w:t>p</w:t>
      </w:r>
      <w:r w:rsidR="00A80FE9" w:rsidRPr="001E46A1">
        <w:t>rovide</w:t>
      </w:r>
      <w:r w:rsidR="00A80FE9" w:rsidRPr="00A80FE9">
        <w:t xml:space="preserve"> for </w:t>
      </w:r>
      <w:r w:rsidR="00A80FE9" w:rsidRPr="001E46A1">
        <w:t>greater</w:t>
      </w:r>
      <w:r w:rsidR="00A80FE9" w:rsidRPr="00A80FE9">
        <w:t xml:space="preserve"> market based-activity</w:t>
      </w:r>
    </w:p>
    <w:p w14:paraId="6C0F7542" w14:textId="77777777" w:rsidR="001751BB" w:rsidRDefault="001B02BE" w:rsidP="004130AA">
      <w:pPr>
        <w:pStyle w:val="Bulletlevel1"/>
        <w:ind w:left="567" w:hanging="567"/>
      </w:pPr>
      <w:proofErr w:type="gramStart"/>
      <w:r>
        <w:t>s</w:t>
      </w:r>
      <w:r w:rsidR="00A80FE9" w:rsidRPr="00A80FE9">
        <w:t>implify</w:t>
      </w:r>
      <w:proofErr w:type="gramEnd"/>
      <w:r w:rsidR="00A80FE9" w:rsidRPr="00A80FE9">
        <w:t xml:space="preserve"> regulatory </w:t>
      </w:r>
      <w:r w:rsidR="00A80FE9" w:rsidRPr="001E46A1">
        <w:t>structures</w:t>
      </w:r>
      <w:r w:rsidR="00A80FE9" w:rsidRPr="00A80FE9">
        <w:t>, streamline regulatory processes and clarify the role of Government.</w:t>
      </w:r>
    </w:p>
    <w:p w14:paraId="2AD59988" w14:textId="2638CCA4" w:rsidR="00267B7D" w:rsidRPr="00267B7D" w:rsidRDefault="00A80FE9" w:rsidP="00693300">
      <w:pPr>
        <w:rPr>
          <w:rFonts w:cs="Arial"/>
        </w:rPr>
      </w:pPr>
      <w:r>
        <w:rPr>
          <w:rFonts w:cs="Arial"/>
        </w:rPr>
        <w:t xml:space="preserve">These principles and aims have informed the development of the new Bill. </w:t>
      </w:r>
      <w:r w:rsidR="00267B7D">
        <w:t>Taking on board feedback from stakeholders to date, the following principle has also been instructive:</w:t>
      </w:r>
    </w:p>
    <w:p w14:paraId="5F6FBCD6" w14:textId="500C3616" w:rsidR="00267B7D" w:rsidRPr="003E7EC7" w:rsidRDefault="001B02BE" w:rsidP="004130AA">
      <w:pPr>
        <w:pStyle w:val="Bulletlevel1"/>
        <w:ind w:left="567" w:hanging="567"/>
      </w:pPr>
      <w:r>
        <w:rPr>
          <w:i/>
          <w:color w:val="2F5496" w:themeColor="accent5" w:themeShade="BF"/>
        </w:rPr>
        <w:t>c</w:t>
      </w:r>
      <w:r w:rsidR="00267B7D" w:rsidRPr="00F44035">
        <w:rPr>
          <w:i/>
          <w:color w:val="2F5496" w:themeColor="accent5" w:themeShade="BF"/>
        </w:rPr>
        <w:t>onsistency</w:t>
      </w:r>
      <w:r w:rsidR="00267B7D" w:rsidRPr="00D23327">
        <w:t xml:space="preserve">: treat spectrum users uniformly and equitably while recognising that some users require access to spectrum to perform important public services, such as defence, national security, law enforcement, </w:t>
      </w:r>
      <w:r w:rsidR="00267B7D" w:rsidRPr="001E46A1">
        <w:t>emergency</w:t>
      </w:r>
      <w:r w:rsidR="00267B7D" w:rsidRPr="00D23327">
        <w:t xml:space="preserve"> services a</w:t>
      </w:r>
      <w:r w:rsidR="00267B7D" w:rsidRPr="00F751E7">
        <w:t>nd other public and community services (such as weather forecasting and scientific research).</w:t>
      </w:r>
    </w:p>
    <w:p w14:paraId="221FE3CD" w14:textId="1719D6A1" w:rsidR="00755ACA" w:rsidRDefault="006433DE" w:rsidP="00693300">
      <w:pPr>
        <w:rPr>
          <w:rFonts w:cs="Arial"/>
        </w:rPr>
      </w:pPr>
      <w:r>
        <w:rPr>
          <w:rFonts w:cs="Arial"/>
        </w:rPr>
        <w:t xml:space="preserve">The Bill has been drafted consistent with </w:t>
      </w:r>
      <w:r w:rsidR="00755ACA">
        <w:rPr>
          <w:rFonts w:cs="Arial"/>
        </w:rPr>
        <w:t>contemporary approach</w:t>
      </w:r>
      <w:r>
        <w:rPr>
          <w:rFonts w:cs="Arial"/>
        </w:rPr>
        <w:t xml:space="preserve">es to regulation. </w:t>
      </w:r>
      <w:r w:rsidR="00E3653A">
        <w:rPr>
          <w:rFonts w:cs="Arial"/>
        </w:rPr>
        <w:t>Over time</w:t>
      </w:r>
      <w:r>
        <w:rPr>
          <w:rFonts w:cs="Arial"/>
        </w:rPr>
        <w:t xml:space="preserve"> </w:t>
      </w:r>
      <w:r w:rsidR="00E046AE">
        <w:rPr>
          <w:rFonts w:cs="Arial"/>
        </w:rPr>
        <w:t>‘</w:t>
      </w:r>
      <w:r>
        <w:rPr>
          <w:rFonts w:cs="Arial"/>
        </w:rPr>
        <w:t>command and control</w:t>
      </w:r>
      <w:r w:rsidR="00E046AE">
        <w:rPr>
          <w:rFonts w:cs="Arial"/>
        </w:rPr>
        <w:t>’</w:t>
      </w:r>
      <w:r>
        <w:rPr>
          <w:rFonts w:cs="Arial"/>
        </w:rPr>
        <w:t xml:space="preserve"> regulation has been replaced by statu</w:t>
      </w:r>
      <w:r w:rsidR="0003473A">
        <w:rPr>
          <w:rFonts w:cs="Arial"/>
        </w:rPr>
        <w:t>t</w:t>
      </w:r>
      <w:r>
        <w:rPr>
          <w:rFonts w:cs="Arial"/>
        </w:rPr>
        <w:t>es which are principles-based</w:t>
      </w:r>
      <w:r w:rsidR="00E3653A">
        <w:rPr>
          <w:rFonts w:cs="Arial"/>
        </w:rPr>
        <w:t xml:space="preserve"> and</w:t>
      </w:r>
      <w:r>
        <w:rPr>
          <w:rFonts w:cs="Arial"/>
        </w:rPr>
        <w:t xml:space="preserve"> </w:t>
      </w:r>
      <w:r w:rsidR="00E3653A">
        <w:rPr>
          <w:rFonts w:cs="Arial"/>
        </w:rPr>
        <w:t xml:space="preserve">outcomes focused. In practice, this means that rather than </w:t>
      </w:r>
      <w:r w:rsidR="003974B9">
        <w:rPr>
          <w:rFonts w:cs="Arial"/>
        </w:rPr>
        <w:t>entrenching</w:t>
      </w:r>
      <w:r>
        <w:rPr>
          <w:rFonts w:cs="Arial"/>
        </w:rPr>
        <w:t xml:space="preserve"> overly prescriptive rules into primary legislation, much of the detail is left to subordinate regulations or administrative arrangements.</w:t>
      </w:r>
      <w:r w:rsidR="00166585">
        <w:rPr>
          <w:rFonts w:cs="Arial"/>
        </w:rPr>
        <w:t xml:space="preserve"> </w:t>
      </w:r>
      <w:r w:rsidR="00E3653A">
        <w:t xml:space="preserve">In the context of the Bill, </w:t>
      </w:r>
      <w:r w:rsidR="00BE7423">
        <w:rPr>
          <w:rFonts w:cs="Arial"/>
        </w:rPr>
        <w:t>the primary</w:t>
      </w:r>
      <w:r w:rsidR="00755ACA">
        <w:rPr>
          <w:rFonts w:cs="Arial"/>
        </w:rPr>
        <w:t xml:space="preserve"> legislation deals with significant matters only – for example, </w:t>
      </w:r>
      <w:r w:rsidR="00BE7423">
        <w:rPr>
          <w:rFonts w:cs="Arial"/>
        </w:rPr>
        <w:t>licensing administrative arrangements</w:t>
      </w:r>
      <w:r w:rsidR="00755ACA">
        <w:rPr>
          <w:rFonts w:cs="Arial"/>
        </w:rPr>
        <w:t xml:space="preserve"> will be left to subordinate processes and systems to be developed by the </w:t>
      </w:r>
      <w:r w:rsidR="00755ACA" w:rsidRPr="008F299C">
        <w:t>regulator</w:t>
      </w:r>
      <w:r w:rsidR="00755ACA">
        <w:rPr>
          <w:rFonts w:cs="Arial"/>
        </w:rPr>
        <w:t>.</w:t>
      </w:r>
    </w:p>
    <w:p w14:paraId="64532C5F" w14:textId="77777777" w:rsidR="001751BB" w:rsidRDefault="0083457A" w:rsidP="00B07678">
      <w:pPr>
        <w:pStyle w:val="Heading2"/>
        <w:spacing w:after="120"/>
      </w:pPr>
      <w:bookmarkStart w:id="9" w:name="_Toc480810830"/>
      <w:r>
        <w:t>Role of the Minister in spectrum management</w:t>
      </w:r>
      <w:bookmarkEnd w:id="9"/>
    </w:p>
    <w:p w14:paraId="3D93483A" w14:textId="28126255" w:rsidR="0083457A" w:rsidRPr="000B42AC" w:rsidRDefault="00C81772">
      <w:pPr>
        <w:rPr>
          <w:rFonts w:cs="Arial"/>
        </w:rPr>
      </w:pPr>
      <w:r>
        <w:rPr>
          <w:rFonts w:cs="Arial"/>
        </w:rPr>
        <w:t xml:space="preserve">A key feature of the Bill is the </w:t>
      </w:r>
      <w:r w:rsidR="00BE7423">
        <w:rPr>
          <w:rFonts w:cs="Arial"/>
        </w:rPr>
        <w:t xml:space="preserve">removal of the Minister from </w:t>
      </w:r>
      <w:r w:rsidR="003B030A">
        <w:rPr>
          <w:rFonts w:cs="Arial"/>
        </w:rPr>
        <w:t>operational</w:t>
      </w:r>
      <w:r w:rsidR="00D073F0">
        <w:rPr>
          <w:rFonts w:cs="Arial"/>
        </w:rPr>
        <w:t xml:space="preserve"> </w:t>
      </w:r>
      <w:r w:rsidR="00BE7423">
        <w:rPr>
          <w:rFonts w:cs="Arial"/>
        </w:rPr>
        <w:t>decisions</w:t>
      </w:r>
      <w:r w:rsidR="009504D4">
        <w:rPr>
          <w:rFonts w:cs="Arial"/>
        </w:rPr>
        <w:t>.</w:t>
      </w:r>
      <w:r w:rsidR="00EE4C02">
        <w:rPr>
          <w:rFonts w:cs="Arial"/>
        </w:rPr>
        <w:t xml:space="preserve"> </w:t>
      </w:r>
      <w:r w:rsidR="009504D4">
        <w:rPr>
          <w:rFonts w:cs="Arial"/>
        </w:rPr>
        <w:t xml:space="preserve">The Minister’s role </w:t>
      </w:r>
      <w:r w:rsidR="00D94EA1">
        <w:rPr>
          <w:rFonts w:cs="Arial"/>
        </w:rPr>
        <w:t xml:space="preserve">under the Bill’s framework </w:t>
      </w:r>
      <w:r w:rsidR="009504D4">
        <w:rPr>
          <w:rFonts w:cs="Arial"/>
        </w:rPr>
        <w:t xml:space="preserve">is to set strategic priorities to guide the </w:t>
      </w:r>
      <w:r w:rsidR="00E046AE">
        <w:rPr>
          <w:rFonts w:cs="Arial"/>
        </w:rPr>
        <w:t>ACMA</w:t>
      </w:r>
      <w:r w:rsidR="009504D4">
        <w:rPr>
          <w:rFonts w:cs="Arial"/>
        </w:rPr>
        <w:t xml:space="preserve"> </w:t>
      </w:r>
      <w:r w:rsidR="00D073F0">
        <w:rPr>
          <w:rFonts w:cs="Arial"/>
        </w:rPr>
        <w:t xml:space="preserve">in the delivery of its </w:t>
      </w:r>
      <w:r w:rsidR="009504D4">
        <w:rPr>
          <w:rFonts w:cs="Arial"/>
        </w:rPr>
        <w:t>spectrum management regulatory functions.</w:t>
      </w:r>
    </w:p>
    <w:p w14:paraId="7B71A7AE" w14:textId="77777777" w:rsidR="001751BB" w:rsidRDefault="0083457A" w:rsidP="00693300">
      <w:pPr>
        <w:rPr>
          <w:rFonts w:cs="Arial"/>
        </w:rPr>
      </w:pPr>
      <w:r w:rsidRPr="00566D02">
        <w:rPr>
          <w:rFonts w:cs="Arial"/>
        </w:rPr>
        <w:t xml:space="preserve">Decisions with significant public policy implications (for example, those involving major government policy initiatives) remain </w:t>
      </w:r>
      <w:r>
        <w:rPr>
          <w:rFonts w:cs="Arial"/>
        </w:rPr>
        <w:t>under</w:t>
      </w:r>
      <w:r w:rsidRPr="00566D02">
        <w:rPr>
          <w:rFonts w:cs="Arial"/>
        </w:rPr>
        <w:t xml:space="preserve"> the Minister’s </w:t>
      </w:r>
      <w:r>
        <w:rPr>
          <w:rFonts w:cs="Arial"/>
        </w:rPr>
        <w:t>oversight</w:t>
      </w:r>
      <w:r w:rsidRPr="00566D02">
        <w:rPr>
          <w:rFonts w:cs="Arial"/>
        </w:rPr>
        <w:t xml:space="preserve">. </w:t>
      </w:r>
      <w:r>
        <w:rPr>
          <w:rFonts w:cs="Arial"/>
        </w:rPr>
        <w:t xml:space="preserve">The Bill introduces or strengthens a range of tools to make the Minister’s policy guidance transparent and increase the </w:t>
      </w:r>
      <w:r w:rsidRPr="00566D02">
        <w:rPr>
          <w:rFonts w:cs="Arial"/>
        </w:rPr>
        <w:t xml:space="preserve">accountability by which the </w:t>
      </w:r>
      <w:r>
        <w:rPr>
          <w:rFonts w:cs="Arial"/>
        </w:rPr>
        <w:t xml:space="preserve">spectrum policy leadership </w:t>
      </w:r>
      <w:r w:rsidRPr="00566D02">
        <w:rPr>
          <w:rFonts w:cs="Arial"/>
        </w:rPr>
        <w:t>role is undertaken</w:t>
      </w:r>
      <w:r>
        <w:rPr>
          <w:rFonts w:cs="Arial"/>
        </w:rPr>
        <w:t>. These tools include:</w:t>
      </w:r>
    </w:p>
    <w:p w14:paraId="1D042DB9" w14:textId="65DA1C04" w:rsidR="0083457A" w:rsidRPr="00284D52" w:rsidRDefault="0083457A" w:rsidP="004130AA">
      <w:pPr>
        <w:pStyle w:val="Bulletlevel1"/>
        <w:ind w:left="567" w:hanging="567"/>
      </w:pPr>
      <w:r w:rsidRPr="00284D52">
        <w:t xml:space="preserve">maintaining the Minister’s general directions power available under the </w:t>
      </w:r>
      <w:r w:rsidR="00CC208F" w:rsidRPr="002C1F66">
        <w:rPr>
          <w:i/>
        </w:rPr>
        <w:t>Australian Communications and Media Authority Act 2005</w:t>
      </w:r>
      <w:r w:rsidR="00CC208F" w:rsidRPr="00284D52">
        <w:t xml:space="preserve"> (ACMA Act)</w:t>
      </w:r>
    </w:p>
    <w:p w14:paraId="5B589D20" w14:textId="3635ABB4" w:rsidR="00352EFE" w:rsidRPr="00284D52" w:rsidRDefault="00352EFE" w:rsidP="004130AA">
      <w:pPr>
        <w:pStyle w:val="Bulletlevel1"/>
        <w:ind w:left="567" w:hanging="567"/>
      </w:pPr>
      <w:r w:rsidRPr="00284D52">
        <w:t xml:space="preserve">revising the Minister’s </w:t>
      </w:r>
      <w:r w:rsidR="0098746A" w:rsidRPr="00284D52">
        <w:t xml:space="preserve">current </w:t>
      </w:r>
      <w:r w:rsidRPr="00284D52">
        <w:t xml:space="preserve">powers </w:t>
      </w:r>
      <w:r w:rsidR="0098746A" w:rsidRPr="00284D52">
        <w:t xml:space="preserve">in the 1992 Act </w:t>
      </w:r>
      <w:r w:rsidRPr="00284D52">
        <w:t>to direct the</w:t>
      </w:r>
      <w:r w:rsidR="009504D4" w:rsidRPr="00284D52">
        <w:t xml:space="preserve"> </w:t>
      </w:r>
      <w:r w:rsidRPr="00284D52">
        <w:t>ACMA on specific matters</w:t>
      </w:r>
    </w:p>
    <w:p w14:paraId="445AE441" w14:textId="4408FC1F" w:rsidR="0083457A" w:rsidRPr="006B3C6E" w:rsidRDefault="0098746A" w:rsidP="004130AA">
      <w:pPr>
        <w:pStyle w:val="Bulletlevel1"/>
        <w:ind w:left="567" w:hanging="567"/>
      </w:pPr>
      <w:proofErr w:type="gramStart"/>
      <w:r w:rsidRPr="00284D52">
        <w:t>enabling</w:t>
      </w:r>
      <w:proofErr w:type="gramEnd"/>
      <w:r w:rsidRPr="00284D52">
        <w:t xml:space="preserve"> </w:t>
      </w:r>
      <w:r w:rsidR="0083457A" w:rsidRPr="00284D52">
        <w:t xml:space="preserve">the Minister </w:t>
      </w:r>
      <w:r w:rsidRPr="00284D52">
        <w:t xml:space="preserve">to </w:t>
      </w:r>
      <w:r w:rsidR="0083457A" w:rsidRPr="00284D52">
        <w:t xml:space="preserve">issue policy statements </w:t>
      </w:r>
      <w:r w:rsidR="00D073F0" w:rsidRPr="00284D52">
        <w:t xml:space="preserve">to the ACMA </w:t>
      </w:r>
      <w:r w:rsidR="0083457A" w:rsidRPr="00284D52">
        <w:t xml:space="preserve">on the </w:t>
      </w:r>
      <w:r w:rsidR="00D17C8D" w:rsidRPr="00284D52">
        <w:t>G</w:t>
      </w:r>
      <w:r w:rsidR="0083457A" w:rsidRPr="00284D52">
        <w:t>overnment’s s</w:t>
      </w:r>
      <w:r w:rsidR="00352EFE" w:rsidRPr="00284D52">
        <w:t>pectrum</w:t>
      </w:r>
      <w:r w:rsidR="00352EFE">
        <w:t xml:space="preserve"> strategy and priorities</w:t>
      </w:r>
      <w:r>
        <w:t>, to which the ACMA must have regard in performing its spectrum management functions and exercising its spectrum management powers</w:t>
      </w:r>
      <w:r w:rsidR="00DD21CF">
        <w:t xml:space="preserve"> (Part 2)</w:t>
      </w:r>
      <w:r w:rsidR="00352EFE">
        <w:t>.</w:t>
      </w:r>
    </w:p>
    <w:p w14:paraId="2DD5B9AB" w14:textId="77777777" w:rsidR="0083457A" w:rsidRPr="00084973" w:rsidRDefault="0083457A" w:rsidP="003E7EC7">
      <w:pPr>
        <w:pStyle w:val="Heading3"/>
      </w:pPr>
      <w:bookmarkStart w:id="10" w:name="_Toc480810831"/>
      <w:r w:rsidRPr="00084973">
        <w:t>Minister</w:t>
      </w:r>
      <w:r>
        <w:t>ial powers</w:t>
      </w:r>
      <w:bookmarkEnd w:id="10"/>
    </w:p>
    <w:p w14:paraId="336851AA" w14:textId="77777777" w:rsidR="001751BB" w:rsidRDefault="00CC208F">
      <w:pPr>
        <w:rPr>
          <w:rFonts w:cs="Arial"/>
        </w:rPr>
      </w:pPr>
      <w:r>
        <w:rPr>
          <w:rFonts w:cs="Arial"/>
        </w:rPr>
        <w:t>S</w:t>
      </w:r>
      <w:r w:rsidR="0083457A" w:rsidRPr="00346711">
        <w:rPr>
          <w:rFonts w:cs="Arial"/>
        </w:rPr>
        <w:t>ection 14</w:t>
      </w:r>
      <w:r w:rsidR="0083457A">
        <w:rPr>
          <w:rFonts w:cs="Arial"/>
        </w:rPr>
        <w:t xml:space="preserve"> </w:t>
      </w:r>
      <w:r>
        <w:rPr>
          <w:rFonts w:cs="Arial"/>
        </w:rPr>
        <w:t xml:space="preserve">of the ACMA Act </w:t>
      </w:r>
      <w:r w:rsidR="0083457A" w:rsidRPr="00346711">
        <w:rPr>
          <w:rFonts w:cs="Arial"/>
        </w:rPr>
        <w:t xml:space="preserve">provides a broad power that enables the Minister to direct </w:t>
      </w:r>
      <w:r w:rsidR="0098746A">
        <w:rPr>
          <w:rFonts w:cs="Arial"/>
        </w:rPr>
        <w:t>the ACMA in the performance of its functions and exercise of its powers</w:t>
      </w:r>
      <w:r w:rsidR="0083457A" w:rsidRPr="00424ED6">
        <w:rPr>
          <w:rFonts w:cs="Arial"/>
        </w:rPr>
        <w:t xml:space="preserve">. This includes </w:t>
      </w:r>
      <w:r w:rsidR="0098746A">
        <w:rPr>
          <w:rFonts w:cs="Arial"/>
        </w:rPr>
        <w:t xml:space="preserve">the spectrum management functions listed in section 9 of the ACMA Act, functions and powers under the Bill relating to licensing and technical regulation, </w:t>
      </w:r>
      <w:r w:rsidR="0083457A" w:rsidRPr="00424ED6">
        <w:rPr>
          <w:rFonts w:cs="Arial"/>
        </w:rPr>
        <w:t>advising the public</w:t>
      </w:r>
      <w:r w:rsidR="0083457A" w:rsidRPr="006B46EB">
        <w:rPr>
          <w:rFonts w:cs="Arial"/>
        </w:rPr>
        <w:t xml:space="preserve"> and assisting the radiocommunications community, managing input into international standard settings as well as m</w:t>
      </w:r>
      <w:r w:rsidR="0083457A" w:rsidRPr="00495E5D">
        <w:rPr>
          <w:rFonts w:cs="Arial"/>
        </w:rPr>
        <w:t>onitor</w:t>
      </w:r>
      <w:r w:rsidR="0083457A" w:rsidRPr="00B54380">
        <w:rPr>
          <w:rFonts w:cs="Arial"/>
        </w:rPr>
        <w:t xml:space="preserve">ing and </w:t>
      </w:r>
      <w:r w:rsidR="0083457A" w:rsidRPr="00094657">
        <w:rPr>
          <w:rFonts w:cs="Arial"/>
        </w:rPr>
        <w:t>reporting to the Minister on the operations of radiocommunications.</w:t>
      </w:r>
    </w:p>
    <w:p w14:paraId="7B40A2D2" w14:textId="523AC36F" w:rsidR="0083457A" w:rsidRPr="00D746FB" w:rsidRDefault="0083457A" w:rsidP="0083457A">
      <w:pPr>
        <w:rPr>
          <w:rFonts w:cs="Arial"/>
        </w:rPr>
      </w:pPr>
      <w:r w:rsidRPr="00346711">
        <w:rPr>
          <w:rFonts w:cs="Arial"/>
        </w:rPr>
        <w:t xml:space="preserve">Under the new arrangements, if there is a need to direct the ACMA on its spectrum management functions, the Minister </w:t>
      </w:r>
      <w:r w:rsidR="0098746A">
        <w:rPr>
          <w:rFonts w:cs="Arial"/>
        </w:rPr>
        <w:t xml:space="preserve">may </w:t>
      </w:r>
      <w:r>
        <w:rPr>
          <w:rFonts w:cs="Arial"/>
        </w:rPr>
        <w:t xml:space="preserve">continue to rely </w:t>
      </w:r>
      <w:r w:rsidRPr="00346711">
        <w:rPr>
          <w:rFonts w:cs="Arial"/>
        </w:rPr>
        <w:t>on the direction power set out in the ACMA Act.</w:t>
      </w:r>
    </w:p>
    <w:p w14:paraId="79B339FD" w14:textId="20717375" w:rsidR="0083457A" w:rsidRDefault="009504D4">
      <w:r>
        <w:t>T</w:t>
      </w:r>
      <w:r w:rsidR="0083457A" w:rsidRPr="006C7DEA">
        <w:t xml:space="preserve">he Bill </w:t>
      </w:r>
      <w:r>
        <w:t xml:space="preserve">also </w:t>
      </w:r>
      <w:r w:rsidR="0083457A">
        <w:t>provides</w:t>
      </w:r>
      <w:r w:rsidR="0083457A" w:rsidRPr="006C7DEA">
        <w:t xml:space="preserve"> specific directions power</w:t>
      </w:r>
      <w:r w:rsidR="00D46CC5">
        <w:t>s</w:t>
      </w:r>
      <w:r w:rsidR="0083457A" w:rsidRPr="006C7DEA">
        <w:t xml:space="preserve"> </w:t>
      </w:r>
      <w:r w:rsidR="0098746A">
        <w:t xml:space="preserve">for specific matters in relation to which </w:t>
      </w:r>
      <w:r w:rsidR="0083457A" w:rsidRPr="006C7DEA">
        <w:t>the Minister may intervene.</w:t>
      </w:r>
      <w:r w:rsidR="0083457A">
        <w:t xml:space="preserve"> </w:t>
      </w:r>
      <w:r w:rsidR="0083457A">
        <w:rPr>
          <w:rFonts w:cs="Arial"/>
        </w:rPr>
        <w:t>Under</w:t>
      </w:r>
      <w:r w:rsidR="0083457A" w:rsidRPr="00094657">
        <w:rPr>
          <w:rFonts w:cs="Arial"/>
        </w:rPr>
        <w:t xml:space="preserve"> the </w:t>
      </w:r>
      <w:r w:rsidR="0083457A" w:rsidRPr="001673EE">
        <w:rPr>
          <w:rFonts w:cs="Arial"/>
        </w:rPr>
        <w:t xml:space="preserve">Bill, the Minister </w:t>
      </w:r>
      <w:r w:rsidR="002438A1">
        <w:rPr>
          <w:rFonts w:cs="Arial"/>
        </w:rPr>
        <w:t xml:space="preserve">is </w:t>
      </w:r>
      <w:r w:rsidR="0083457A" w:rsidRPr="001673EE">
        <w:rPr>
          <w:rFonts w:cs="Arial"/>
        </w:rPr>
        <w:t>able to direct the ACMA, by legislative instrument, to issue a licence to a particular person</w:t>
      </w:r>
      <w:r w:rsidR="00AE7C8F">
        <w:rPr>
          <w:rFonts w:cs="Arial"/>
        </w:rPr>
        <w:t xml:space="preserve"> (</w:t>
      </w:r>
      <w:r w:rsidR="005242F7">
        <w:rPr>
          <w:rFonts w:cs="Arial"/>
        </w:rPr>
        <w:t xml:space="preserve">clause </w:t>
      </w:r>
      <w:r w:rsidR="00AE7C8F">
        <w:rPr>
          <w:rFonts w:cs="Arial"/>
        </w:rPr>
        <w:t>^</w:t>
      </w:r>
      <w:r w:rsidR="00923FAD">
        <w:rPr>
          <w:rFonts w:cs="Arial"/>
        </w:rPr>
        <w:t>39</w:t>
      </w:r>
      <w:r w:rsidR="00AE7C8F">
        <w:rPr>
          <w:rFonts w:cs="Arial"/>
        </w:rPr>
        <w:t>)</w:t>
      </w:r>
      <w:r w:rsidR="0083457A" w:rsidRPr="001673EE">
        <w:rPr>
          <w:rFonts w:cs="Arial"/>
        </w:rPr>
        <w:t xml:space="preserve">. </w:t>
      </w:r>
      <w:r w:rsidR="0083457A" w:rsidRPr="006C7DEA">
        <w:t xml:space="preserve">This ability is not explicitly </w:t>
      </w:r>
      <w:r w:rsidR="0083457A">
        <w:t xml:space="preserve">available under the </w:t>
      </w:r>
      <w:r w:rsidR="00EB6A17">
        <w:t xml:space="preserve">1992 </w:t>
      </w:r>
      <w:r w:rsidR="0083457A">
        <w:t>Act.</w:t>
      </w:r>
    </w:p>
    <w:p w14:paraId="78F99509" w14:textId="77777777" w:rsidR="001751BB" w:rsidRDefault="009504D4">
      <w:pPr>
        <w:rPr>
          <w:rFonts w:cs="Arial"/>
        </w:rPr>
      </w:pPr>
      <w:r>
        <w:rPr>
          <w:rFonts w:cs="Arial"/>
        </w:rPr>
        <w:t>T</w:t>
      </w:r>
      <w:r w:rsidR="0083457A" w:rsidRPr="001673EE">
        <w:rPr>
          <w:rFonts w:cs="Arial"/>
        </w:rPr>
        <w:t>he Minister may direct the ACMA about matters dealt with in spectrum access charge determinations</w:t>
      </w:r>
      <w:r w:rsidR="0083457A" w:rsidRPr="00EB2C2F">
        <w:rPr>
          <w:rFonts w:cs="Arial"/>
        </w:rPr>
        <w:t xml:space="preserve"> (such as </w:t>
      </w:r>
      <w:r w:rsidR="007C3688" w:rsidRPr="008F299C">
        <w:t>the</w:t>
      </w:r>
      <w:r w:rsidR="007C3688">
        <w:rPr>
          <w:rFonts w:cs="Arial"/>
        </w:rPr>
        <w:t xml:space="preserve"> value of the spectrum, or </w:t>
      </w:r>
      <w:r w:rsidR="0083457A" w:rsidRPr="00EB2C2F">
        <w:rPr>
          <w:rFonts w:cs="Arial"/>
        </w:rPr>
        <w:t xml:space="preserve">payment </w:t>
      </w:r>
      <w:r w:rsidR="007C3688">
        <w:rPr>
          <w:rFonts w:cs="Arial"/>
        </w:rPr>
        <w:t>by instalments</w:t>
      </w:r>
      <w:r w:rsidR="0083457A" w:rsidRPr="00EB2C2F">
        <w:rPr>
          <w:rFonts w:cs="Arial"/>
        </w:rPr>
        <w:t>)</w:t>
      </w:r>
      <w:r w:rsidR="00AE7C8F">
        <w:rPr>
          <w:rFonts w:cs="Arial"/>
        </w:rPr>
        <w:t xml:space="preserve"> (</w:t>
      </w:r>
      <w:r w:rsidR="005242F7">
        <w:rPr>
          <w:rFonts w:cs="Arial"/>
        </w:rPr>
        <w:t xml:space="preserve">clause </w:t>
      </w:r>
      <w:r w:rsidR="00AE7C8F">
        <w:rPr>
          <w:rFonts w:cs="Arial"/>
        </w:rPr>
        <w:t>^</w:t>
      </w:r>
      <w:r w:rsidR="00923FAD">
        <w:rPr>
          <w:rFonts w:cs="Arial"/>
        </w:rPr>
        <w:t>194</w:t>
      </w:r>
      <w:r w:rsidR="00AE7C8F">
        <w:rPr>
          <w:rFonts w:cs="Arial"/>
        </w:rPr>
        <w:t>)</w:t>
      </w:r>
      <w:r w:rsidR="0083457A" w:rsidRPr="00EB2C2F">
        <w:rPr>
          <w:rFonts w:cs="Arial"/>
        </w:rPr>
        <w:t>.</w:t>
      </w:r>
    </w:p>
    <w:p w14:paraId="62C3A82C" w14:textId="4411C684" w:rsidR="009504D4" w:rsidRPr="00F751E7" w:rsidRDefault="009504D4">
      <w:pPr>
        <w:rPr>
          <w:rFonts w:cs="Arial"/>
        </w:rPr>
      </w:pPr>
      <w:r w:rsidRPr="00D23327">
        <w:rPr>
          <w:rFonts w:cs="Arial"/>
        </w:rPr>
        <w:t>In addition, t</w:t>
      </w:r>
      <w:r w:rsidRPr="00F751E7">
        <w:rPr>
          <w:rFonts w:cs="Arial"/>
        </w:rPr>
        <w:t xml:space="preserve">he Minster will also be able to issue guidance in relation to any of the ACMA’s spectrum management powers and functions through </w:t>
      </w:r>
      <w:r w:rsidR="00D07BA3">
        <w:rPr>
          <w:rFonts w:cs="Arial"/>
        </w:rPr>
        <w:t>Ministerial policy statements</w:t>
      </w:r>
      <w:r>
        <w:rPr>
          <w:rFonts w:cs="Arial"/>
        </w:rPr>
        <w:t xml:space="preserve"> (Part 2)</w:t>
      </w:r>
      <w:r w:rsidRPr="00D23327">
        <w:rPr>
          <w:rFonts w:cs="Arial"/>
        </w:rPr>
        <w:t>.</w:t>
      </w:r>
      <w:r w:rsidR="00A8152C">
        <w:rPr>
          <w:rFonts w:cs="Arial"/>
        </w:rPr>
        <w:t xml:space="preserve"> The ACMA must have regard to these Ministerial policy statements in performing its spectrum management functions and exercising </w:t>
      </w:r>
      <w:r w:rsidR="00A8152C" w:rsidRPr="008F299C">
        <w:t>its</w:t>
      </w:r>
      <w:r w:rsidR="00A8152C">
        <w:rPr>
          <w:rFonts w:cs="Arial"/>
        </w:rPr>
        <w:t xml:space="preserve"> spectrum management powers.</w:t>
      </w:r>
    </w:p>
    <w:p w14:paraId="7E82B5B3" w14:textId="5DBA7475" w:rsidR="0083457A" w:rsidRDefault="0083457A" w:rsidP="00693300">
      <w:r w:rsidRPr="007F3C01">
        <w:t xml:space="preserve">The </w:t>
      </w:r>
      <w:r>
        <w:t>fo</w:t>
      </w:r>
      <w:r w:rsidRPr="007F3C01">
        <w:t>llowing</w:t>
      </w:r>
      <w:r>
        <w:t xml:space="preserve"> tables provide an outline of the current Ministerial powers under the </w:t>
      </w:r>
      <w:r w:rsidR="00EB6A17">
        <w:t xml:space="preserve">1992 Act </w:t>
      </w:r>
      <w:r>
        <w:t>and outline the proposed changes to each power under the new framework.</w:t>
      </w:r>
    </w:p>
    <w:p w14:paraId="778189BD" w14:textId="76F73AE5" w:rsidR="0083457A" w:rsidRPr="00AC595C" w:rsidRDefault="0083457A" w:rsidP="00693300">
      <w:pPr>
        <w:pStyle w:val="Heading4"/>
      </w:pPr>
      <w:bookmarkStart w:id="11" w:name="_Toc480810832"/>
      <w:r w:rsidRPr="00AC595C">
        <w:t>Table</w:t>
      </w:r>
      <w:r w:rsidR="009504D4" w:rsidRPr="00AC595C">
        <w:t xml:space="preserve"> 1</w:t>
      </w:r>
      <w:r w:rsidRPr="00AC595C">
        <w:t>: Current Ministerial ‘accountability / strategic policy-directed’ powers</w:t>
      </w:r>
      <w:bookmarkEnd w:id="11"/>
    </w:p>
    <w:tbl>
      <w:tblPr>
        <w:tblStyle w:val="TableGrid"/>
        <w:tblW w:w="9493" w:type="dxa"/>
        <w:tblLook w:val="04A0" w:firstRow="1" w:lastRow="0" w:firstColumn="1" w:lastColumn="0" w:noHBand="0" w:noVBand="1"/>
        <w:tblCaption w:val="Table 1: The table describes what the current ministerial powers are under the 1992 Act in relation to accountability or strategic policy direction, and then outlines the proposed action under the Bill.   "/>
      </w:tblPr>
      <w:tblGrid>
        <w:gridCol w:w="1980"/>
        <w:gridCol w:w="1306"/>
        <w:gridCol w:w="4222"/>
        <w:gridCol w:w="1985"/>
      </w:tblGrid>
      <w:tr w:rsidR="0083457A" w:rsidRPr="003F6421" w14:paraId="5648145F" w14:textId="77777777" w:rsidTr="00284D52">
        <w:trPr>
          <w:cantSplit/>
          <w:tblHeader/>
        </w:trPr>
        <w:tc>
          <w:tcPr>
            <w:tcW w:w="1980" w:type="dxa"/>
            <w:tcBorders>
              <w:top w:val="single" w:sz="4" w:space="0" w:color="auto"/>
              <w:left w:val="single" w:sz="4" w:space="0" w:color="auto"/>
              <w:bottom w:val="single" w:sz="4" w:space="0" w:color="auto"/>
              <w:right w:val="single" w:sz="4" w:space="0" w:color="auto"/>
            </w:tcBorders>
            <w:shd w:val="clear" w:color="auto" w:fill="E4E4E4"/>
            <w:vAlign w:val="center"/>
          </w:tcPr>
          <w:p w14:paraId="3F8DFF49" w14:textId="77777777" w:rsidR="0083457A" w:rsidRPr="003F6421" w:rsidRDefault="0083457A" w:rsidP="00E9767D">
            <w:pPr>
              <w:jc w:val="center"/>
              <w:rPr>
                <w:b/>
              </w:rPr>
            </w:pPr>
            <w:r w:rsidRPr="003F6421">
              <w:rPr>
                <w:b/>
              </w:rPr>
              <w:t>Reference</w:t>
            </w:r>
          </w:p>
        </w:tc>
        <w:tc>
          <w:tcPr>
            <w:tcW w:w="1306" w:type="dxa"/>
            <w:tcBorders>
              <w:top w:val="single" w:sz="4" w:space="0" w:color="auto"/>
              <w:left w:val="single" w:sz="4" w:space="0" w:color="auto"/>
              <w:bottom w:val="single" w:sz="4" w:space="0" w:color="auto"/>
              <w:right w:val="single" w:sz="4" w:space="0" w:color="auto"/>
            </w:tcBorders>
            <w:shd w:val="clear" w:color="auto" w:fill="E4E4E4"/>
            <w:vAlign w:val="center"/>
            <w:hideMark/>
          </w:tcPr>
          <w:p w14:paraId="45877573" w14:textId="68D2A4A6" w:rsidR="0083457A" w:rsidRPr="003F6421" w:rsidRDefault="00903B80" w:rsidP="00E9767D">
            <w:pPr>
              <w:jc w:val="center"/>
              <w:rPr>
                <w:b/>
              </w:rPr>
            </w:pPr>
            <w:r>
              <w:rPr>
                <w:b/>
              </w:rPr>
              <w:t>Provision of 1992 Act</w:t>
            </w:r>
          </w:p>
        </w:tc>
        <w:tc>
          <w:tcPr>
            <w:tcW w:w="4222" w:type="dxa"/>
            <w:tcBorders>
              <w:top w:val="single" w:sz="4" w:space="0" w:color="auto"/>
              <w:left w:val="single" w:sz="4" w:space="0" w:color="auto"/>
              <w:bottom w:val="single" w:sz="4" w:space="0" w:color="auto"/>
              <w:right w:val="single" w:sz="4" w:space="0" w:color="auto"/>
            </w:tcBorders>
            <w:shd w:val="clear" w:color="auto" w:fill="E4E4E4"/>
            <w:vAlign w:val="center"/>
            <w:hideMark/>
          </w:tcPr>
          <w:p w14:paraId="78B1A620" w14:textId="77777777" w:rsidR="0083457A" w:rsidRPr="003F6421" w:rsidRDefault="0083457A" w:rsidP="00E9767D">
            <w:pPr>
              <w:jc w:val="center"/>
              <w:rPr>
                <w:b/>
              </w:rPr>
            </w:pPr>
            <w:r w:rsidRPr="003F6421">
              <w:rPr>
                <w:b/>
              </w:rPr>
              <w:t>Description</w:t>
            </w:r>
          </w:p>
        </w:tc>
        <w:tc>
          <w:tcPr>
            <w:tcW w:w="1985" w:type="dxa"/>
            <w:tcBorders>
              <w:top w:val="single" w:sz="4" w:space="0" w:color="auto"/>
              <w:left w:val="single" w:sz="4" w:space="0" w:color="auto"/>
              <w:bottom w:val="single" w:sz="4" w:space="0" w:color="auto"/>
              <w:right w:val="single" w:sz="4" w:space="0" w:color="auto"/>
            </w:tcBorders>
            <w:shd w:val="clear" w:color="auto" w:fill="E4E4E4"/>
            <w:vAlign w:val="center"/>
          </w:tcPr>
          <w:p w14:paraId="523F024D" w14:textId="244DFBC6" w:rsidR="0083457A" w:rsidRPr="003F6421" w:rsidRDefault="0083457A" w:rsidP="00EB6A17">
            <w:pPr>
              <w:jc w:val="center"/>
              <w:rPr>
                <w:b/>
              </w:rPr>
            </w:pPr>
            <w:r w:rsidRPr="003F6421">
              <w:rPr>
                <w:b/>
              </w:rPr>
              <w:t>Proposed action under the Bill</w:t>
            </w:r>
          </w:p>
        </w:tc>
      </w:tr>
      <w:tr w:rsidR="00903B80" w14:paraId="250F605C" w14:textId="77777777" w:rsidTr="001751BB">
        <w:trPr>
          <w:cantSplit/>
        </w:trPr>
        <w:tc>
          <w:tcPr>
            <w:tcW w:w="1980" w:type="dxa"/>
            <w:vAlign w:val="center"/>
          </w:tcPr>
          <w:p w14:paraId="26425688" w14:textId="0B21147A" w:rsidR="00903B80" w:rsidRPr="00485881" w:rsidRDefault="00903B80" w:rsidP="00903B80">
            <w:pPr>
              <w:spacing w:after="0"/>
              <w:rPr>
                <w:rFonts w:ascii="Calibri" w:hAnsi="Calibri" w:cs="Calibri"/>
                <w:color w:val="000000"/>
              </w:rPr>
            </w:pPr>
            <w:r>
              <w:rPr>
                <w:rFonts w:ascii="Calibri" w:hAnsi="Calibri" w:cs="Calibri"/>
                <w:color w:val="000000"/>
              </w:rPr>
              <w:t>Allocation limits for spectrum licences</w:t>
            </w:r>
          </w:p>
        </w:tc>
        <w:tc>
          <w:tcPr>
            <w:tcW w:w="1306" w:type="dxa"/>
            <w:vAlign w:val="center"/>
            <w:hideMark/>
          </w:tcPr>
          <w:p w14:paraId="59FE66F6" w14:textId="77777777" w:rsidR="00903B80" w:rsidRDefault="00903B80" w:rsidP="001751BB">
            <w:pPr>
              <w:spacing w:after="0"/>
              <w:jc w:val="center"/>
              <w:rPr>
                <w:rFonts w:ascii="Calibri" w:hAnsi="Calibri" w:cs="Calibri"/>
                <w:color w:val="000000"/>
              </w:rPr>
            </w:pPr>
            <w:r>
              <w:rPr>
                <w:rFonts w:ascii="Calibri" w:hAnsi="Calibri" w:cs="Calibri"/>
                <w:color w:val="000000"/>
              </w:rPr>
              <w:t>60(10)</w:t>
            </w:r>
          </w:p>
        </w:tc>
        <w:tc>
          <w:tcPr>
            <w:tcW w:w="4222" w:type="dxa"/>
            <w:vAlign w:val="center"/>
            <w:hideMark/>
          </w:tcPr>
          <w:p w14:paraId="0FC0D71E" w14:textId="7B4CD87E" w:rsidR="00903B80" w:rsidRDefault="00903B80" w:rsidP="00903B80">
            <w:pPr>
              <w:spacing w:after="0"/>
              <w:rPr>
                <w:rFonts w:ascii="Calibri" w:hAnsi="Calibri" w:cs="Calibri"/>
                <w:color w:val="000000"/>
              </w:rPr>
            </w:pPr>
            <w:r>
              <w:t>The Minister may direct the ACMA to impose limits on the aggregate of the parts of the spectrum that may be allocated to persons or groups of persons.</w:t>
            </w:r>
          </w:p>
        </w:tc>
        <w:tc>
          <w:tcPr>
            <w:tcW w:w="1985" w:type="dxa"/>
            <w:vAlign w:val="center"/>
          </w:tcPr>
          <w:p w14:paraId="74095504" w14:textId="77777777" w:rsidR="00903B80" w:rsidRDefault="00903B80" w:rsidP="00903B80">
            <w:pPr>
              <w:spacing w:after="0"/>
            </w:pPr>
            <w:r>
              <w:t>Remove and rely on s14 ACMA Act if required.</w:t>
            </w:r>
          </w:p>
        </w:tc>
      </w:tr>
      <w:tr w:rsidR="0083457A" w14:paraId="4CC1063F" w14:textId="77777777" w:rsidTr="004C6E8B">
        <w:trPr>
          <w:cantSplit/>
        </w:trPr>
        <w:tc>
          <w:tcPr>
            <w:tcW w:w="1980" w:type="dxa"/>
            <w:shd w:val="clear" w:color="auto" w:fill="auto"/>
            <w:vAlign w:val="center"/>
          </w:tcPr>
          <w:p w14:paraId="59F05E18" w14:textId="77777777" w:rsidR="0083457A" w:rsidRPr="00485881" w:rsidRDefault="0083457A" w:rsidP="00E9767D">
            <w:pPr>
              <w:spacing w:after="0"/>
              <w:rPr>
                <w:rFonts w:ascii="Calibri" w:hAnsi="Calibri" w:cs="Calibri"/>
                <w:color w:val="000000"/>
              </w:rPr>
            </w:pPr>
            <w:r w:rsidRPr="00485881">
              <w:rPr>
                <w:rFonts w:ascii="Calibri" w:hAnsi="Calibri" w:cs="Calibri"/>
                <w:color w:val="000000"/>
              </w:rPr>
              <w:t>Re-issuing spectrum licences</w:t>
            </w:r>
          </w:p>
        </w:tc>
        <w:tc>
          <w:tcPr>
            <w:tcW w:w="1306" w:type="dxa"/>
            <w:shd w:val="clear" w:color="auto" w:fill="auto"/>
            <w:vAlign w:val="center"/>
          </w:tcPr>
          <w:p w14:paraId="7556B328" w14:textId="77777777" w:rsidR="0083457A" w:rsidRDefault="0083457A" w:rsidP="001751BB">
            <w:pPr>
              <w:spacing w:after="0"/>
              <w:jc w:val="center"/>
              <w:rPr>
                <w:rFonts w:ascii="Calibri" w:hAnsi="Calibri" w:cs="Calibri"/>
                <w:color w:val="000000"/>
              </w:rPr>
            </w:pPr>
            <w:r>
              <w:rPr>
                <w:rFonts w:ascii="Calibri" w:hAnsi="Calibri" w:cs="Calibri"/>
                <w:color w:val="000000"/>
              </w:rPr>
              <w:t>82(3)</w:t>
            </w:r>
          </w:p>
        </w:tc>
        <w:tc>
          <w:tcPr>
            <w:tcW w:w="4222" w:type="dxa"/>
            <w:shd w:val="clear" w:color="auto" w:fill="auto"/>
            <w:vAlign w:val="center"/>
          </w:tcPr>
          <w:p w14:paraId="1A23E9B7" w14:textId="3FF301FE" w:rsidR="0083457A" w:rsidRDefault="0083457A" w:rsidP="0015125B">
            <w:pPr>
              <w:spacing w:after="0"/>
            </w:pPr>
            <w:r>
              <w:t xml:space="preserve">The Minister may determine a class of services for which re-issuing spectrum licences </w:t>
            </w:r>
            <w:r w:rsidR="00903B80">
              <w:t>to the same licensee</w:t>
            </w:r>
            <w:r w:rsidR="00354DD3">
              <w:t>s</w:t>
            </w:r>
            <w:r w:rsidR="00903B80">
              <w:t xml:space="preserve"> </w:t>
            </w:r>
            <w:r w:rsidR="0015125B">
              <w:t>would be</w:t>
            </w:r>
            <w:r>
              <w:t xml:space="preserve"> in the public interest.</w:t>
            </w:r>
          </w:p>
        </w:tc>
        <w:tc>
          <w:tcPr>
            <w:tcW w:w="1985" w:type="dxa"/>
            <w:shd w:val="clear" w:color="auto" w:fill="auto"/>
            <w:vAlign w:val="center"/>
          </w:tcPr>
          <w:p w14:paraId="6EC9BF69" w14:textId="77777777" w:rsidR="0083457A" w:rsidRDefault="0083457A" w:rsidP="00E9767D">
            <w:pPr>
              <w:spacing w:after="0"/>
            </w:pPr>
            <w:r>
              <w:t>No longer applicable - renewal arrangements now to be specified in the licence.</w:t>
            </w:r>
          </w:p>
        </w:tc>
      </w:tr>
      <w:tr w:rsidR="0083457A" w14:paraId="68DAA89C" w14:textId="77777777" w:rsidTr="001751B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4197654" w14:textId="77777777" w:rsidR="0083457A" w:rsidRPr="00485881" w:rsidRDefault="0083457A" w:rsidP="00E9767D">
            <w:pPr>
              <w:spacing w:after="0"/>
              <w:rPr>
                <w:rFonts w:ascii="Calibri" w:hAnsi="Calibri" w:cs="Calibri"/>
                <w:color w:val="000000"/>
              </w:rPr>
            </w:pPr>
            <w:r w:rsidRPr="00485881">
              <w:rPr>
                <w:rFonts w:ascii="Calibri" w:hAnsi="Calibri" w:cs="Calibri"/>
                <w:color w:val="000000"/>
              </w:rPr>
              <w:t>Resuming spectrum licences by compulsory process</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FDD4D61" w14:textId="77777777" w:rsidR="0083457A" w:rsidRDefault="0083457A" w:rsidP="001751BB">
            <w:pPr>
              <w:spacing w:after="0"/>
              <w:jc w:val="center"/>
              <w:rPr>
                <w:rFonts w:ascii="Calibri" w:hAnsi="Calibri" w:cs="Calibri"/>
                <w:color w:val="000000"/>
              </w:rPr>
            </w:pPr>
            <w:r>
              <w:rPr>
                <w:rFonts w:ascii="Calibri" w:hAnsi="Calibri" w:cs="Calibri"/>
                <w:color w:val="000000"/>
              </w:rPr>
              <w:t>91(2)(a)</w:t>
            </w:r>
          </w:p>
        </w:tc>
        <w:tc>
          <w:tcPr>
            <w:tcW w:w="4222" w:type="dxa"/>
            <w:tcBorders>
              <w:top w:val="single" w:sz="4" w:space="0" w:color="auto"/>
              <w:left w:val="single" w:sz="4" w:space="0" w:color="auto"/>
              <w:bottom w:val="single" w:sz="4" w:space="0" w:color="auto"/>
              <w:right w:val="single" w:sz="4" w:space="0" w:color="auto"/>
            </w:tcBorders>
            <w:vAlign w:val="center"/>
            <w:hideMark/>
          </w:tcPr>
          <w:p w14:paraId="67EE6C69" w14:textId="67D97B8A" w:rsidR="0083457A" w:rsidRDefault="00354DD3" w:rsidP="00E9767D">
            <w:pPr>
              <w:spacing w:after="0"/>
              <w:rPr>
                <w:rFonts w:ascii="Calibri" w:hAnsi="Calibri" w:cs="Calibri"/>
                <w:color w:val="000000"/>
              </w:rPr>
            </w:pPr>
            <w:r>
              <w:rPr>
                <w:rFonts w:ascii="Calibri" w:hAnsi="Calibri" w:cs="Calibri"/>
                <w:color w:val="000000"/>
              </w:rPr>
              <w:t xml:space="preserve">ACMA must not resume a spectrum licence without ministerial approval. </w:t>
            </w:r>
            <w:r w:rsidR="0083457A">
              <w:rPr>
                <w:rFonts w:ascii="Calibri" w:hAnsi="Calibri" w:cs="Calibri"/>
                <w:color w:val="000000"/>
              </w:rPr>
              <w:t>The Minister may give written approval for the ACMA to resume a licence.</w:t>
            </w:r>
          </w:p>
        </w:tc>
        <w:tc>
          <w:tcPr>
            <w:tcW w:w="1985" w:type="dxa"/>
            <w:tcBorders>
              <w:top w:val="single" w:sz="4" w:space="0" w:color="auto"/>
              <w:left w:val="single" w:sz="4" w:space="0" w:color="auto"/>
              <w:bottom w:val="single" w:sz="4" w:space="0" w:color="auto"/>
              <w:right w:val="single" w:sz="4" w:space="0" w:color="auto"/>
            </w:tcBorders>
            <w:vAlign w:val="center"/>
          </w:tcPr>
          <w:p w14:paraId="40C1E0D2" w14:textId="69019655" w:rsidR="0083457A" w:rsidRDefault="0083457A" w:rsidP="00E9767D">
            <w:pPr>
              <w:spacing w:after="0"/>
              <w:rPr>
                <w:rFonts w:ascii="Calibri" w:hAnsi="Calibri" w:cs="Calibri"/>
                <w:color w:val="000000"/>
              </w:rPr>
            </w:pPr>
            <w:r>
              <w:rPr>
                <w:rFonts w:ascii="Calibri" w:hAnsi="Calibri" w:cs="Calibri"/>
                <w:color w:val="000000"/>
              </w:rPr>
              <w:t>Retain</w:t>
            </w:r>
            <w:r w:rsidR="00354DD3">
              <w:rPr>
                <w:rFonts w:ascii="Calibri" w:hAnsi="Calibri" w:cs="Calibri"/>
                <w:color w:val="000000"/>
              </w:rPr>
              <w:t xml:space="preserve"> equivalent</w:t>
            </w:r>
            <w:r w:rsidR="00FF06E3">
              <w:rPr>
                <w:rFonts w:ascii="Calibri" w:hAnsi="Calibri" w:cs="Calibri"/>
                <w:color w:val="000000"/>
              </w:rPr>
              <w:t>.</w:t>
            </w:r>
          </w:p>
        </w:tc>
      </w:tr>
      <w:tr w:rsidR="00AC2896" w14:paraId="1D4E4316" w14:textId="77777777" w:rsidTr="001751B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054F095E" w14:textId="3EFD6318" w:rsidR="00AC2896" w:rsidRPr="00485881" w:rsidRDefault="00AC2896" w:rsidP="00AC2896">
            <w:pPr>
              <w:spacing w:after="0"/>
              <w:rPr>
                <w:rFonts w:ascii="Calibri" w:hAnsi="Calibri" w:cs="Calibri"/>
                <w:color w:val="000000"/>
              </w:rPr>
            </w:pPr>
            <w:r>
              <w:rPr>
                <w:rFonts w:ascii="Calibri" w:hAnsi="Calibri" w:cs="Calibri"/>
                <w:color w:val="000000"/>
              </w:rPr>
              <w:t>Allocation limits and eligibility requirements for certain transmitter licences</w:t>
            </w:r>
          </w:p>
        </w:tc>
        <w:tc>
          <w:tcPr>
            <w:tcW w:w="1306" w:type="dxa"/>
            <w:tcBorders>
              <w:top w:val="single" w:sz="4" w:space="0" w:color="auto"/>
              <w:left w:val="single" w:sz="4" w:space="0" w:color="auto"/>
              <w:bottom w:val="single" w:sz="4" w:space="0" w:color="auto"/>
              <w:right w:val="single" w:sz="4" w:space="0" w:color="auto"/>
            </w:tcBorders>
            <w:vAlign w:val="center"/>
          </w:tcPr>
          <w:p w14:paraId="4427081B" w14:textId="6747EAC0" w:rsidR="00AC2896" w:rsidRDefault="00AC2896" w:rsidP="001751BB">
            <w:pPr>
              <w:spacing w:after="0"/>
              <w:jc w:val="center"/>
              <w:rPr>
                <w:rFonts w:ascii="Calibri" w:hAnsi="Calibri" w:cs="Calibri"/>
                <w:color w:val="000000"/>
              </w:rPr>
            </w:pPr>
            <w:r>
              <w:rPr>
                <w:rFonts w:ascii="Calibri" w:hAnsi="Calibri" w:cs="Calibri"/>
                <w:iCs/>
                <w:color w:val="000000"/>
              </w:rPr>
              <w:t>106(9)</w:t>
            </w:r>
          </w:p>
        </w:tc>
        <w:tc>
          <w:tcPr>
            <w:tcW w:w="4222" w:type="dxa"/>
            <w:tcBorders>
              <w:top w:val="single" w:sz="4" w:space="0" w:color="auto"/>
              <w:left w:val="single" w:sz="4" w:space="0" w:color="auto"/>
              <w:bottom w:val="single" w:sz="4" w:space="0" w:color="auto"/>
              <w:right w:val="single" w:sz="4" w:space="0" w:color="auto"/>
            </w:tcBorders>
            <w:vAlign w:val="center"/>
          </w:tcPr>
          <w:p w14:paraId="286ECD0D" w14:textId="4D05AA48" w:rsidR="00AC2896" w:rsidRDefault="00AC2896" w:rsidP="00AC2896">
            <w:pPr>
              <w:spacing w:after="0"/>
              <w:rPr>
                <w:rFonts w:ascii="Calibri" w:hAnsi="Calibri" w:cs="Calibri"/>
                <w:color w:val="000000"/>
              </w:rPr>
            </w:pPr>
            <w:r>
              <w:rPr>
                <w:rFonts w:ascii="Calibri" w:hAnsi="Calibri" w:cs="Calibri"/>
                <w:color w:val="000000"/>
              </w:rPr>
              <w:t xml:space="preserve">The Minister may direct the ACMA to </w:t>
            </w:r>
            <w:r w:rsidRPr="004972A3">
              <w:rPr>
                <w:rFonts w:ascii="Calibri" w:hAnsi="Calibri" w:cs="Calibri"/>
                <w:color w:val="000000"/>
              </w:rPr>
              <w:t xml:space="preserve">impose </w:t>
            </w:r>
            <w:r>
              <w:rPr>
                <w:rFonts w:ascii="Calibri" w:hAnsi="Calibri" w:cs="Calibri"/>
                <w:color w:val="000000"/>
              </w:rPr>
              <w:t xml:space="preserve">competition </w:t>
            </w:r>
            <w:r w:rsidRPr="004972A3">
              <w:rPr>
                <w:rFonts w:ascii="Calibri" w:hAnsi="Calibri" w:cs="Calibri"/>
                <w:color w:val="000000"/>
              </w:rPr>
              <w:t>limits on</w:t>
            </w:r>
            <w:r>
              <w:rPr>
                <w:rFonts w:ascii="Calibri" w:hAnsi="Calibri" w:cs="Calibri"/>
                <w:color w:val="000000"/>
              </w:rPr>
              <w:t xml:space="preserve"> the</w:t>
            </w:r>
            <w:r w:rsidRPr="004972A3">
              <w:rPr>
                <w:rFonts w:ascii="Calibri" w:hAnsi="Calibri" w:cs="Calibri"/>
                <w:color w:val="000000"/>
              </w:rPr>
              <w:t xml:space="preserve"> number of transmitter licences </w:t>
            </w:r>
            <w:r>
              <w:rPr>
                <w:rFonts w:ascii="Calibri" w:hAnsi="Calibri" w:cs="Calibri"/>
                <w:color w:val="000000"/>
              </w:rPr>
              <w:t>which may be issued to a person or group of persons.</w:t>
            </w:r>
          </w:p>
        </w:tc>
        <w:tc>
          <w:tcPr>
            <w:tcW w:w="1985" w:type="dxa"/>
            <w:tcBorders>
              <w:top w:val="single" w:sz="4" w:space="0" w:color="auto"/>
              <w:left w:val="single" w:sz="4" w:space="0" w:color="auto"/>
              <w:bottom w:val="single" w:sz="4" w:space="0" w:color="auto"/>
              <w:right w:val="single" w:sz="4" w:space="0" w:color="auto"/>
            </w:tcBorders>
            <w:vAlign w:val="center"/>
          </w:tcPr>
          <w:p w14:paraId="3DBD2C03" w14:textId="6D626086" w:rsidR="00AC2896" w:rsidRDefault="00AC2896" w:rsidP="00AC2896">
            <w:pPr>
              <w:spacing w:after="0"/>
              <w:rPr>
                <w:rFonts w:ascii="Calibri" w:hAnsi="Calibri" w:cs="Calibri"/>
                <w:color w:val="000000"/>
              </w:rPr>
            </w:pPr>
            <w:r>
              <w:t>Remove and rely on s14 ACMA Act if required.</w:t>
            </w:r>
          </w:p>
        </w:tc>
      </w:tr>
      <w:tr w:rsidR="00AC2896" w14:paraId="554D297B" w14:textId="77777777" w:rsidTr="001751B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7C10E8F3" w14:textId="75D5E7C4" w:rsidR="00AC2896" w:rsidRPr="00485881" w:rsidRDefault="00AC2896" w:rsidP="00AC2896">
            <w:pPr>
              <w:spacing w:after="0"/>
              <w:rPr>
                <w:rFonts w:ascii="Calibri" w:hAnsi="Calibri" w:cs="Calibri"/>
                <w:color w:val="000000"/>
              </w:rPr>
            </w:pPr>
            <w:r>
              <w:rPr>
                <w:rFonts w:ascii="Calibri" w:hAnsi="Calibri" w:cs="Calibri"/>
                <w:color w:val="000000"/>
              </w:rPr>
              <w:t>Allocation limits and eligibility requirements for certain transmitter licences</w:t>
            </w:r>
          </w:p>
        </w:tc>
        <w:tc>
          <w:tcPr>
            <w:tcW w:w="1306" w:type="dxa"/>
            <w:tcBorders>
              <w:top w:val="single" w:sz="4" w:space="0" w:color="auto"/>
              <w:left w:val="single" w:sz="4" w:space="0" w:color="auto"/>
              <w:bottom w:val="single" w:sz="4" w:space="0" w:color="auto"/>
              <w:right w:val="single" w:sz="4" w:space="0" w:color="auto"/>
            </w:tcBorders>
            <w:vAlign w:val="center"/>
          </w:tcPr>
          <w:p w14:paraId="2FC5BA80" w14:textId="721DE2BF" w:rsidR="00AC2896" w:rsidRDefault="00AC2896" w:rsidP="001751BB">
            <w:pPr>
              <w:spacing w:after="0"/>
              <w:jc w:val="center"/>
              <w:rPr>
                <w:rFonts w:ascii="Calibri" w:hAnsi="Calibri" w:cs="Calibri"/>
                <w:color w:val="000000"/>
              </w:rPr>
            </w:pPr>
            <w:r>
              <w:rPr>
                <w:rFonts w:ascii="Calibri" w:hAnsi="Calibri" w:cs="Calibri"/>
                <w:color w:val="000000"/>
              </w:rPr>
              <w:t>106(14)</w:t>
            </w:r>
          </w:p>
        </w:tc>
        <w:tc>
          <w:tcPr>
            <w:tcW w:w="4222" w:type="dxa"/>
            <w:tcBorders>
              <w:top w:val="single" w:sz="4" w:space="0" w:color="auto"/>
              <w:left w:val="single" w:sz="4" w:space="0" w:color="auto"/>
              <w:bottom w:val="single" w:sz="4" w:space="0" w:color="auto"/>
              <w:right w:val="single" w:sz="4" w:space="0" w:color="auto"/>
            </w:tcBorders>
            <w:vAlign w:val="center"/>
          </w:tcPr>
          <w:p w14:paraId="4F907CAB" w14:textId="7F90B324" w:rsidR="00AC2896" w:rsidRDefault="00AC2896" w:rsidP="00AC2896">
            <w:pPr>
              <w:spacing w:after="0"/>
              <w:rPr>
                <w:rFonts w:ascii="Calibri" w:hAnsi="Calibri" w:cs="Calibri"/>
                <w:color w:val="000000"/>
              </w:rPr>
            </w:pPr>
            <w:r>
              <w:t>The Minister may direct the ACMA to limit the persons eligible to apply for a particular transmitter licence to a certain class of persons if any law requires persons to be within specified class.</w:t>
            </w:r>
          </w:p>
        </w:tc>
        <w:tc>
          <w:tcPr>
            <w:tcW w:w="1985" w:type="dxa"/>
            <w:tcBorders>
              <w:top w:val="single" w:sz="4" w:space="0" w:color="auto"/>
              <w:left w:val="single" w:sz="4" w:space="0" w:color="auto"/>
              <w:bottom w:val="single" w:sz="4" w:space="0" w:color="auto"/>
              <w:right w:val="single" w:sz="4" w:space="0" w:color="auto"/>
            </w:tcBorders>
            <w:vAlign w:val="center"/>
          </w:tcPr>
          <w:p w14:paraId="750B807D" w14:textId="6D3572B9" w:rsidR="00AC2896" w:rsidRDefault="00AC2896" w:rsidP="00AC2896">
            <w:pPr>
              <w:spacing w:after="0"/>
              <w:rPr>
                <w:rFonts w:ascii="Calibri" w:hAnsi="Calibri" w:cs="Calibri"/>
                <w:color w:val="000000"/>
              </w:rPr>
            </w:pPr>
            <w:r>
              <w:t>Remove and rely on s14 ACMA Act if required.</w:t>
            </w:r>
          </w:p>
        </w:tc>
      </w:tr>
      <w:tr w:rsidR="00AC2896" w14:paraId="6D9A4435" w14:textId="77777777" w:rsidTr="001751BB">
        <w:trPr>
          <w:cantSplit/>
        </w:trPr>
        <w:tc>
          <w:tcPr>
            <w:tcW w:w="1980" w:type="dxa"/>
            <w:tcBorders>
              <w:left w:val="single" w:sz="4" w:space="0" w:color="auto"/>
              <w:bottom w:val="single" w:sz="4" w:space="0" w:color="auto"/>
              <w:right w:val="single" w:sz="4" w:space="0" w:color="auto"/>
            </w:tcBorders>
            <w:vAlign w:val="center"/>
          </w:tcPr>
          <w:p w14:paraId="18D7112B" w14:textId="77777777" w:rsidR="00AC2896" w:rsidRDefault="00AC2896" w:rsidP="00AC2896">
            <w:pPr>
              <w:spacing w:after="0"/>
              <w:rPr>
                <w:rFonts w:ascii="Calibri" w:hAnsi="Calibri" w:cs="Calibri"/>
                <w:color w:val="000000"/>
              </w:rPr>
            </w:pPr>
            <w:r>
              <w:rPr>
                <w:rFonts w:ascii="Calibri" w:hAnsi="Calibri" w:cs="Calibri"/>
                <w:color w:val="000000"/>
              </w:rPr>
              <w:t>Restrictive orders</w:t>
            </w:r>
          </w:p>
        </w:tc>
        <w:tc>
          <w:tcPr>
            <w:tcW w:w="1306" w:type="dxa"/>
            <w:tcBorders>
              <w:top w:val="single" w:sz="4" w:space="0" w:color="auto"/>
              <w:left w:val="single" w:sz="4" w:space="0" w:color="auto"/>
              <w:bottom w:val="single" w:sz="4" w:space="0" w:color="auto"/>
              <w:right w:val="single" w:sz="4" w:space="0" w:color="auto"/>
            </w:tcBorders>
            <w:vAlign w:val="center"/>
          </w:tcPr>
          <w:p w14:paraId="0DBA6030" w14:textId="20FCAF86" w:rsidR="00AC2896" w:rsidRDefault="00AC2896" w:rsidP="001751BB">
            <w:pPr>
              <w:spacing w:after="0"/>
              <w:jc w:val="center"/>
              <w:rPr>
                <w:rFonts w:ascii="Calibri" w:hAnsi="Calibri" w:cs="Calibri"/>
                <w:color w:val="000000"/>
              </w:rPr>
            </w:pPr>
            <w:r>
              <w:rPr>
                <w:rFonts w:ascii="Calibri" w:hAnsi="Calibri" w:cs="Calibri"/>
                <w:color w:val="000000"/>
              </w:rPr>
              <w:t>222 and 223</w:t>
            </w:r>
          </w:p>
        </w:tc>
        <w:tc>
          <w:tcPr>
            <w:tcW w:w="4222" w:type="dxa"/>
            <w:tcBorders>
              <w:top w:val="single" w:sz="4" w:space="0" w:color="auto"/>
              <w:left w:val="single" w:sz="4" w:space="0" w:color="auto"/>
              <w:bottom w:val="single" w:sz="4" w:space="0" w:color="auto"/>
              <w:right w:val="single" w:sz="4" w:space="0" w:color="auto"/>
            </w:tcBorders>
            <w:vAlign w:val="center"/>
          </w:tcPr>
          <w:p w14:paraId="4208C271" w14:textId="7B450E2F" w:rsidR="00AC2896" w:rsidRDefault="00AC2896" w:rsidP="00AC2896">
            <w:pPr>
              <w:spacing w:after="0"/>
            </w:pPr>
            <w:r>
              <w:t xml:space="preserve">The Minister may make a restrictive order during a period of emergency that prohibits or regulates the use or operation of radiocommunications transmitters within a specified area. </w:t>
            </w:r>
            <w:r>
              <w:rPr>
                <w:rFonts w:ascii="Calibri" w:hAnsi="Calibri" w:cs="Calibri"/>
                <w:color w:val="000000"/>
              </w:rPr>
              <w:t>The Minister must publish the restrictive order.</w:t>
            </w:r>
          </w:p>
        </w:tc>
        <w:tc>
          <w:tcPr>
            <w:tcW w:w="1985" w:type="dxa"/>
            <w:tcBorders>
              <w:top w:val="single" w:sz="4" w:space="0" w:color="auto"/>
              <w:left w:val="single" w:sz="4" w:space="0" w:color="auto"/>
              <w:bottom w:val="single" w:sz="4" w:space="0" w:color="auto"/>
              <w:right w:val="single" w:sz="4" w:space="0" w:color="auto"/>
            </w:tcBorders>
            <w:vAlign w:val="center"/>
          </w:tcPr>
          <w:p w14:paraId="65183AF2" w14:textId="2EA49CA6" w:rsidR="00AC2896" w:rsidRDefault="00AC2896" w:rsidP="00AC2896">
            <w:pPr>
              <w:spacing w:after="0"/>
            </w:pPr>
            <w:r>
              <w:rPr>
                <w:rFonts w:ascii="Calibri" w:hAnsi="Calibri" w:cs="Calibri"/>
                <w:color w:val="000000"/>
              </w:rPr>
              <w:t>Retain ability to create restrictive orders (now emergency orders).</w:t>
            </w:r>
          </w:p>
        </w:tc>
      </w:tr>
      <w:tr w:rsidR="00AC2896" w14:paraId="3EB39058" w14:textId="77777777" w:rsidTr="001751BB">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52378D7A" w14:textId="77777777" w:rsidR="00AC2896" w:rsidRPr="00485881" w:rsidRDefault="00AC2896" w:rsidP="00AC2896">
            <w:pPr>
              <w:spacing w:after="0"/>
              <w:rPr>
                <w:rFonts w:ascii="Calibri" w:hAnsi="Calibri" w:cs="Calibri"/>
                <w:color w:val="000000"/>
              </w:rPr>
            </w:pPr>
            <w:r w:rsidRPr="00485881">
              <w:rPr>
                <w:rFonts w:ascii="Calibri" w:hAnsi="Calibri" w:cs="Calibri"/>
                <w:color w:val="000000"/>
              </w:rPr>
              <w:t>Charges</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83B74A3" w14:textId="77777777" w:rsidR="00AC2896" w:rsidRDefault="00AC2896" w:rsidP="001751BB">
            <w:pPr>
              <w:spacing w:after="0"/>
              <w:jc w:val="center"/>
              <w:rPr>
                <w:rFonts w:ascii="Calibri" w:hAnsi="Calibri" w:cs="Calibri"/>
                <w:color w:val="000000"/>
              </w:rPr>
            </w:pPr>
            <w:r>
              <w:rPr>
                <w:rFonts w:ascii="Calibri" w:hAnsi="Calibri" w:cs="Calibri"/>
                <w:color w:val="000000"/>
              </w:rPr>
              <w:t>294(2)</w:t>
            </w:r>
          </w:p>
        </w:tc>
        <w:tc>
          <w:tcPr>
            <w:tcW w:w="4222" w:type="dxa"/>
            <w:tcBorders>
              <w:top w:val="single" w:sz="4" w:space="0" w:color="auto"/>
              <w:left w:val="single" w:sz="4" w:space="0" w:color="auto"/>
              <w:bottom w:val="single" w:sz="4" w:space="0" w:color="auto"/>
              <w:right w:val="single" w:sz="4" w:space="0" w:color="auto"/>
            </w:tcBorders>
            <w:vAlign w:val="center"/>
            <w:hideMark/>
          </w:tcPr>
          <w:p w14:paraId="5BF65998" w14:textId="77777777" w:rsidR="00AC2896" w:rsidRDefault="00AC2896" w:rsidP="00AC2896">
            <w:pPr>
              <w:spacing w:after="0"/>
              <w:rPr>
                <w:rFonts w:ascii="Calibri" w:hAnsi="Calibri" w:cs="Calibri"/>
                <w:color w:val="000000"/>
              </w:rPr>
            </w:pPr>
            <w:r>
              <w:t>The Minister may direct the ACMA on spectrum access charges.</w:t>
            </w:r>
          </w:p>
        </w:tc>
        <w:tc>
          <w:tcPr>
            <w:tcW w:w="1985" w:type="dxa"/>
            <w:tcBorders>
              <w:top w:val="single" w:sz="4" w:space="0" w:color="auto"/>
              <w:left w:val="single" w:sz="4" w:space="0" w:color="auto"/>
              <w:bottom w:val="single" w:sz="4" w:space="0" w:color="auto"/>
              <w:right w:val="single" w:sz="4" w:space="0" w:color="auto"/>
            </w:tcBorders>
            <w:vAlign w:val="center"/>
          </w:tcPr>
          <w:p w14:paraId="14D807E5" w14:textId="6456809A" w:rsidR="00AC2896" w:rsidRDefault="00AC2896" w:rsidP="00AC2896">
            <w:pPr>
              <w:spacing w:after="0"/>
            </w:pPr>
            <w:r>
              <w:t>Retain equivalent</w:t>
            </w:r>
            <w:r w:rsidR="00FF06E3">
              <w:t>.</w:t>
            </w:r>
          </w:p>
        </w:tc>
      </w:tr>
    </w:tbl>
    <w:p w14:paraId="09F05228" w14:textId="148A986C" w:rsidR="0083457A" w:rsidRPr="00673D2B" w:rsidRDefault="0083457A" w:rsidP="00693300">
      <w:pPr>
        <w:pStyle w:val="Heading4"/>
      </w:pPr>
      <w:bookmarkStart w:id="12" w:name="_Toc480810833"/>
      <w:r w:rsidRPr="00AC595C">
        <w:t>Table</w:t>
      </w:r>
      <w:r w:rsidR="009504D4" w:rsidRPr="00AC595C">
        <w:t xml:space="preserve"> 2</w:t>
      </w:r>
      <w:r w:rsidRPr="00AC595C">
        <w:t>: Current Ministerial ‘process’ powers</w:t>
      </w:r>
      <w:bookmarkEnd w:id="12"/>
    </w:p>
    <w:tbl>
      <w:tblPr>
        <w:tblStyle w:val="TableGrid"/>
        <w:tblW w:w="9493" w:type="dxa"/>
        <w:tblLayout w:type="fixed"/>
        <w:tblCellMar>
          <w:top w:w="28" w:type="dxa"/>
          <w:bottom w:w="28" w:type="dxa"/>
        </w:tblCellMar>
        <w:tblLook w:val="04A0" w:firstRow="1" w:lastRow="0" w:firstColumn="1" w:lastColumn="0" w:noHBand="0" w:noVBand="1"/>
        <w:tblCaption w:val="Table 2: Current Ministerial ‘process’ powers. The table describes what the current Ministerial process powers are under the 1992 Act, and then outlines the proposed action under the Bill.  "/>
        <w:tblDescription w:val="Table 2: Current Ministerial ‘process’ powers. The table describes what the current Ministerial process powers are under the 1992 Act, and then outlines the proposed action under the Bill.  "/>
      </w:tblPr>
      <w:tblGrid>
        <w:gridCol w:w="1980"/>
        <w:gridCol w:w="1306"/>
        <w:gridCol w:w="4222"/>
        <w:gridCol w:w="1985"/>
      </w:tblGrid>
      <w:tr w:rsidR="00EE0F76" w14:paraId="440DCFBE" w14:textId="77777777" w:rsidTr="007A2586">
        <w:trPr>
          <w:cantSplit/>
          <w:tblHeader/>
        </w:trPr>
        <w:tc>
          <w:tcPr>
            <w:tcW w:w="1980" w:type="dxa"/>
            <w:tcBorders>
              <w:top w:val="single" w:sz="4" w:space="0" w:color="auto"/>
              <w:left w:val="single" w:sz="4" w:space="0" w:color="auto"/>
              <w:bottom w:val="single" w:sz="4" w:space="0" w:color="auto"/>
              <w:right w:val="single" w:sz="4" w:space="0" w:color="auto"/>
            </w:tcBorders>
            <w:shd w:val="clear" w:color="auto" w:fill="E4E4E4"/>
            <w:vAlign w:val="center"/>
          </w:tcPr>
          <w:p w14:paraId="638C73C3" w14:textId="77777777" w:rsidR="0083457A" w:rsidRDefault="0083457A" w:rsidP="00E9767D">
            <w:pPr>
              <w:spacing w:after="0"/>
              <w:jc w:val="center"/>
              <w:rPr>
                <w:rFonts w:ascii="Calibri" w:hAnsi="Calibri" w:cs="Calibri"/>
                <w:b/>
                <w:color w:val="000000"/>
              </w:rPr>
            </w:pPr>
            <w:r>
              <w:rPr>
                <w:rFonts w:ascii="Calibri" w:hAnsi="Calibri" w:cs="Calibri"/>
                <w:b/>
                <w:color w:val="000000"/>
              </w:rPr>
              <w:t>Reference</w:t>
            </w:r>
          </w:p>
        </w:tc>
        <w:tc>
          <w:tcPr>
            <w:tcW w:w="1306" w:type="dxa"/>
            <w:tcBorders>
              <w:top w:val="single" w:sz="4" w:space="0" w:color="auto"/>
              <w:left w:val="single" w:sz="4" w:space="0" w:color="auto"/>
              <w:bottom w:val="single" w:sz="4" w:space="0" w:color="auto"/>
              <w:right w:val="single" w:sz="4" w:space="0" w:color="auto"/>
            </w:tcBorders>
            <w:shd w:val="clear" w:color="auto" w:fill="E4E4E4"/>
            <w:vAlign w:val="center"/>
            <w:hideMark/>
          </w:tcPr>
          <w:p w14:paraId="1E41F8A0" w14:textId="7C1A5BE0" w:rsidR="0083457A" w:rsidRDefault="001C2957" w:rsidP="00E9767D">
            <w:pPr>
              <w:spacing w:after="0"/>
              <w:jc w:val="center"/>
              <w:rPr>
                <w:rFonts w:ascii="Calibri" w:hAnsi="Calibri" w:cs="Calibri"/>
                <w:b/>
                <w:color w:val="000000"/>
              </w:rPr>
            </w:pPr>
            <w:r>
              <w:rPr>
                <w:rFonts w:ascii="Calibri" w:hAnsi="Calibri" w:cs="Calibri"/>
                <w:b/>
                <w:color w:val="000000"/>
              </w:rPr>
              <w:t>Provision of 1992 Act</w:t>
            </w:r>
          </w:p>
        </w:tc>
        <w:tc>
          <w:tcPr>
            <w:tcW w:w="4222" w:type="dxa"/>
            <w:tcBorders>
              <w:top w:val="single" w:sz="4" w:space="0" w:color="auto"/>
              <w:left w:val="single" w:sz="4" w:space="0" w:color="auto"/>
              <w:bottom w:val="single" w:sz="4" w:space="0" w:color="auto"/>
              <w:right w:val="single" w:sz="4" w:space="0" w:color="auto"/>
            </w:tcBorders>
            <w:shd w:val="clear" w:color="auto" w:fill="E4E4E4"/>
            <w:vAlign w:val="center"/>
            <w:hideMark/>
          </w:tcPr>
          <w:p w14:paraId="63EBE478" w14:textId="77777777" w:rsidR="0083457A" w:rsidRDefault="0083457A" w:rsidP="00E9767D">
            <w:pPr>
              <w:spacing w:after="0"/>
              <w:jc w:val="center"/>
              <w:rPr>
                <w:rFonts w:ascii="Calibri" w:hAnsi="Calibri" w:cs="Calibri"/>
                <w:b/>
                <w:color w:val="000000"/>
              </w:rPr>
            </w:pPr>
            <w:r>
              <w:rPr>
                <w:rFonts w:ascii="Calibri" w:hAnsi="Calibri" w:cs="Calibri"/>
                <w:b/>
                <w:color w:val="000000"/>
              </w:rPr>
              <w:t>Description</w:t>
            </w:r>
          </w:p>
        </w:tc>
        <w:tc>
          <w:tcPr>
            <w:tcW w:w="1985" w:type="dxa"/>
            <w:tcBorders>
              <w:top w:val="single" w:sz="4" w:space="0" w:color="auto"/>
              <w:left w:val="single" w:sz="4" w:space="0" w:color="auto"/>
              <w:bottom w:val="single" w:sz="4" w:space="0" w:color="auto"/>
              <w:right w:val="single" w:sz="4" w:space="0" w:color="auto"/>
            </w:tcBorders>
            <w:shd w:val="clear" w:color="auto" w:fill="E4E4E4"/>
            <w:vAlign w:val="center"/>
          </w:tcPr>
          <w:p w14:paraId="6BA8C155" w14:textId="77777777" w:rsidR="0083457A" w:rsidRDefault="0083457A" w:rsidP="00E9767D">
            <w:pPr>
              <w:spacing w:after="0"/>
              <w:jc w:val="center"/>
              <w:rPr>
                <w:rFonts w:ascii="Calibri" w:hAnsi="Calibri" w:cs="Calibri"/>
                <w:b/>
                <w:color w:val="000000"/>
              </w:rPr>
            </w:pPr>
            <w:r>
              <w:rPr>
                <w:rFonts w:ascii="Calibri" w:hAnsi="Calibri" w:cs="Calibri"/>
                <w:b/>
                <w:color w:val="000000"/>
              </w:rPr>
              <w:t>Proposed action under the new Radiocommunications Bill</w:t>
            </w:r>
          </w:p>
        </w:tc>
      </w:tr>
      <w:tr w:rsidR="00EE0F76" w14:paraId="191D0CBB" w14:textId="77777777" w:rsidTr="007A2586">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60E77B39" w14:textId="77777777" w:rsidR="0083457A" w:rsidRPr="00485881" w:rsidRDefault="0083457A" w:rsidP="00E9767D">
            <w:pPr>
              <w:spacing w:after="0"/>
              <w:rPr>
                <w:rFonts w:ascii="Calibri" w:hAnsi="Calibri" w:cs="Calibri"/>
                <w:color w:val="000000"/>
              </w:rPr>
            </w:pPr>
            <w:r w:rsidRPr="00485881">
              <w:rPr>
                <w:rFonts w:ascii="Calibri" w:hAnsi="Calibri" w:cs="Calibri"/>
                <w:color w:val="000000"/>
              </w:rPr>
              <w:t>Interpretative provision</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B6F1353" w14:textId="77777777" w:rsidR="0083457A" w:rsidRDefault="0083457A" w:rsidP="001751BB">
            <w:pPr>
              <w:spacing w:after="0"/>
              <w:jc w:val="center"/>
              <w:rPr>
                <w:rFonts w:ascii="Calibri" w:hAnsi="Calibri" w:cs="Calibri"/>
                <w:color w:val="000000"/>
              </w:rPr>
            </w:pPr>
            <w:r>
              <w:rPr>
                <w:rFonts w:ascii="Calibri" w:hAnsi="Calibri" w:cs="Calibri"/>
                <w:color w:val="000000"/>
              </w:rPr>
              <w:t>10</w:t>
            </w:r>
          </w:p>
        </w:tc>
        <w:tc>
          <w:tcPr>
            <w:tcW w:w="4222" w:type="dxa"/>
            <w:tcBorders>
              <w:top w:val="single" w:sz="4" w:space="0" w:color="auto"/>
              <w:left w:val="single" w:sz="4" w:space="0" w:color="auto"/>
              <w:bottom w:val="single" w:sz="4" w:space="0" w:color="auto"/>
              <w:right w:val="single" w:sz="4" w:space="0" w:color="auto"/>
            </w:tcBorders>
            <w:vAlign w:val="center"/>
            <w:hideMark/>
          </w:tcPr>
          <w:p w14:paraId="5F4513EB" w14:textId="7EF1C773" w:rsidR="0083457A" w:rsidRDefault="0083457A" w:rsidP="00354DD3">
            <w:pPr>
              <w:spacing w:after="0"/>
              <w:rPr>
                <w:rFonts w:ascii="Calibri" w:hAnsi="Calibri" w:cs="Calibri"/>
                <w:color w:val="000000"/>
              </w:rPr>
            </w:pPr>
            <w:r>
              <w:t xml:space="preserve">The Minister may specify bodies or organisations that </w:t>
            </w:r>
            <w:r w:rsidR="00354DD3">
              <w:t>provide</w:t>
            </w:r>
            <w:r>
              <w:t xml:space="preserve"> public or community services.</w:t>
            </w:r>
          </w:p>
        </w:tc>
        <w:tc>
          <w:tcPr>
            <w:tcW w:w="1985" w:type="dxa"/>
            <w:tcBorders>
              <w:top w:val="single" w:sz="4" w:space="0" w:color="auto"/>
              <w:left w:val="single" w:sz="4" w:space="0" w:color="auto"/>
              <w:bottom w:val="single" w:sz="4" w:space="0" w:color="auto"/>
              <w:right w:val="single" w:sz="4" w:space="0" w:color="auto"/>
            </w:tcBorders>
            <w:vAlign w:val="center"/>
          </w:tcPr>
          <w:p w14:paraId="781A041F" w14:textId="77777777" w:rsidR="0083457A" w:rsidRDefault="0083457A" w:rsidP="00E9767D">
            <w:pPr>
              <w:spacing w:after="0"/>
            </w:pPr>
            <w:r>
              <w:t>Rely on the ordinary meaning of the term.</w:t>
            </w:r>
          </w:p>
        </w:tc>
      </w:tr>
      <w:tr w:rsidR="00EC41C5" w14:paraId="12EB719C" w14:textId="77777777" w:rsidTr="007A2586">
        <w:trPr>
          <w:cantSplit/>
        </w:trPr>
        <w:tc>
          <w:tcPr>
            <w:tcW w:w="1980" w:type="dxa"/>
            <w:shd w:val="clear" w:color="auto" w:fill="auto"/>
          </w:tcPr>
          <w:p w14:paraId="13D0A0DC" w14:textId="77777777" w:rsidR="00EC41C5" w:rsidRPr="00485881" w:rsidRDefault="00EC41C5" w:rsidP="004A2560">
            <w:pPr>
              <w:spacing w:after="0"/>
              <w:rPr>
                <w:rFonts w:ascii="Calibri" w:hAnsi="Calibri" w:cs="Calibri"/>
                <w:color w:val="000000"/>
              </w:rPr>
            </w:pPr>
            <w:r>
              <w:rPr>
                <w:rFonts w:ascii="Calibri" w:hAnsi="Calibri" w:cs="Calibri"/>
                <w:color w:val="000000"/>
              </w:rPr>
              <w:t>Spectrum plans and frequency band plans</w:t>
            </w:r>
          </w:p>
        </w:tc>
        <w:tc>
          <w:tcPr>
            <w:tcW w:w="1306" w:type="dxa"/>
            <w:shd w:val="clear" w:color="auto" w:fill="auto"/>
            <w:hideMark/>
          </w:tcPr>
          <w:p w14:paraId="45B7DC08" w14:textId="77777777" w:rsidR="00EC41C5" w:rsidRDefault="00EC41C5" w:rsidP="001751BB">
            <w:pPr>
              <w:spacing w:after="0"/>
              <w:jc w:val="center"/>
              <w:rPr>
                <w:rFonts w:ascii="Calibri" w:hAnsi="Calibri" w:cs="Calibri"/>
                <w:color w:val="000000"/>
              </w:rPr>
            </w:pPr>
            <w:r>
              <w:rPr>
                <w:rFonts w:ascii="Calibri" w:hAnsi="Calibri" w:cs="Calibri"/>
                <w:color w:val="000000"/>
              </w:rPr>
              <w:t>Subsections 31(1)-(1D)</w:t>
            </w:r>
          </w:p>
        </w:tc>
        <w:tc>
          <w:tcPr>
            <w:tcW w:w="4222" w:type="dxa"/>
            <w:shd w:val="clear" w:color="auto" w:fill="auto"/>
            <w:hideMark/>
          </w:tcPr>
          <w:p w14:paraId="3980FD04" w14:textId="77777777" w:rsidR="00EC41C5" w:rsidRDefault="00EC41C5" w:rsidP="004A2560">
            <w:pPr>
              <w:spacing w:after="0"/>
              <w:rPr>
                <w:rFonts w:ascii="Calibri" w:hAnsi="Calibri" w:cs="Calibri"/>
                <w:color w:val="000000"/>
              </w:rPr>
            </w:pPr>
            <w:r>
              <w:t>The Minister may, after consulting with the ACMA, designate part of the spectrum for broadcasting purposes, and related powers.</w:t>
            </w:r>
          </w:p>
        </w:tc>
        <w:tc>
          <w:tcPr>
            <w:tcW w:w="1985" w:type="dxa"/>
            <w:shd w:val="clear" w:color="auto" w:fill="auto"/>
          </w:tcPr>
          <w:p w14:paraId="247761B0" w14:textId="77777777" w:rsidR="00EC41C5" w:rsidRPr="006C7DEA" w:rsidRDefault="00EC41C5" w:rsidP="004A2560">
            <w:pPr>
              <w:spacing w:after="0"/>
            </w:pPr>
            <w:r w:rsidRPr="006C7DEA">
              <w:t>Remove</w:t>
            </w:r>
            <w:r>
              <w:t>. R</w:t>
            </w:r>
            <w:r w:rsidRPr="006C7DEA">
              <w:t xml:space="preserve">ely on </w:t>
            </w:r>
            <w:r>
              <w:t xml:space="preserve">the ACMA’s spectrum </w:t>
            </w:r>
            <w:r w:rsidRPr="006C7DEA">
              <w:t xml:space="preserve">planning </w:t>
            </w:r>
            <w:r>
              <w:t>provisions and Ministerial policy statements. If required,</w:t>
            </w:r>
            <w:r w:rsidRPr="006C7DEA">
              <w:t xml:space="preserve"> s14 ACMA Act </w:t>
            </w:r>
            <w:r>
              <w:t>is available</w:t>
            </w:r>
            <w:r w:rsidRPr="006C7DEA">
              <w:t>.</w:t>
            </w:r>
          </w:p>
        </w:tc>
      </w:tr>
      <w:tr w:rsidR="00EE0F76" w14:paraId="04D3E1AE" w14:textId="77777777" w:rsidTr="007A2586">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96AF295" w14:textId="77777777" w:rsidR="0083457A" w:rsidRPr="00485881" w:rsidRDefault="0083457A" w:rsidP="00E9767D">
            <w:pPr>
              <w:spacing w:after="0"/>
              <w:rPr>
                <w:rFonts w:ascii="Calibri" w:hAnsi="Calibri" w:cs="Calibri"/>
                <w:color w:val="000000"/>
              </w:rPr>
            </w:pPr>
            <w:r w:rsidRPr="00485881">
              <w:rPr>
                <w:rFonts w:ascii="Calibri" w:hAnsi="Calibri" w:cs="Calibri"/>
                <w:color w:val="000000"/>
              </w:rPr>
              <w:t>Conversion plans and marketing plans</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6E9290E" w14:textId="77777777" w:rsidR="0083457A" w:rsidRDefault="0083457A" w:rsidP="001751BB">
            <w:pPr>
              <w:spacing w:after="0"/>
              <w:jc w:val="center"/>
              <w:rPr>
                <w:rFonts w:ascii="Calibri" w:hAnsi="Calibri" w:cs="Calibri"/>
                <w:color w:val="000000"/>
              </w:rPr>
            </w:pPr>
            <w:r>
              <w:rPr>
                <w:rFonts w:ascii="Calibri" w:hAnsi="Calibri" w:cs="Calibri"/>
                <w:color w:val="000000"/>
              </w:rPr>
              <w:t>36(1)</w:t>
            </w:r>
          </w:p>
        </w:tc>
        <w:tc>
          <w:tcPr>
            <w:tcW w:w="4222" w:type="dxa"/>
            <w:tcBorders>
              <w:top w:val="single" w:sz="4" w:space="0" w:color="auto"/>
              <w:left w:val="single" w:sz="4" w:space="0" w:color="auto"/>
              <w:bottom w:val="single" w:sz="4" w:space="0" w:color="auto"/>
              <w:right w:val="single" w:sz="4" w:space="0" w:color="auto"/>
            </w:tcBorders>
            <w:vAlign w:val="center"/>
            <w:hideMark/>
          </w:tcPr>
          <w:p w14:paraId="59D8B947" w14:textId="73241410" w:rsidR="0083457A" w:rsidRDefault="0083457A" w:rsidP="00EC41C5">
            <w:pPr>
              <w:spacing w:after="0"/>
              <w:rPr>
                <w:rFonts w:ascii="Calibri" w:hAnsi="Calibri" w:cs="Calibri"/>
                <w:color w:val="000000"/>
              </w:rPr>
            </w:pPr>
            <w:r>
              <w:t xml:space="preserve">The Minister may, after consulting with the ACMA, designate part of the spectrum for </w:t>
            </w:r>
            <w:r w:rsidR="00EC41C5">
              <w:t>the issue of spectrum licences</w:t>
            </w:r>
            <w:r>
              <w:rPr>
                <w:rFonts w:ascii="Calibri" w:hAnsi="Calibri" w:cs="Calibri"/>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14:paraId="6A48C5A9" w14:textId="77777777" w:rsidR="0083457A" w:rsidRDefault="0083457A" w:rsidP="00E9767D">
            <w:pPr>
              <w:spacing w:after="0"/>
            </w:pPr>
            <w:r>
              <w:t>No longer applicable under the single licensing system.</w:t>
            </w:r>
          </w:p>
        </w:tc>
      </w:tr>
      <w:tr w:rsidR="00137662" w14:paraId="53B6B369" w14:textId="77777777" w:rsidTr="007A2586">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99AB29E" w14:textId="567E7A9B" w:rsidR="00137662" w:rsidRPr="00485881" w:rsidRDefault="000D602E" w:rsidP="00E9767D">
            <w:pPr>
              <w:spacing w:after="0"/>
              <w:rPr>
                <w:rFonts w:ascii="Calibri" w:hAnsi="Calibri" w:cs="Calibri"/>
                <w:color w:val="000000"/>
              </w:rPr>
            </w:pPr>
            <w:r w:rsidRPr="00485881">
              <w:rPr>
                <w:rFonts w:ascii="Calibri" w:hAnsi="Calibri" w:cs="Calibri"/>
                <w:color w:val="000000"/>
              </w:rPr>
              <w:t>Reallocation of encumbered spectrum</w:t>
            </w:r>
          </w:p>
        </w:tc>
        <w:tc>
          <w:tcPr>
            <w:tcW w:w="1306" w:type="dxa"/>
            <w:tcBorders>
              <w:top w:val="single" w:sz="4" w:space="0" w:color="auto"/>
              <w:left w:val="single" w:sz="4" w:space="0" w:color="auto"/>
              <w:bottom w:val="single" w:sz="4" w:space="0" w:color="auto"/>
              <w:right w:val="single" w:sz="4" w:space="0" w:color="auto"/>
            </w:tcBorders>
            <w:vAlign w:val="center"/>
          </w:tcPr>
          <w:p w14:paraId="7EC32326" w14:textId="2109519C" w:rsidR="00137662" w:rsidRDefault="000D602E" w:rsidP="001751BB">
            <w:pPr>
              <w:spacing w:after="0"/>
              <w:jc w:val="center"/>
              <w:rPr>
                <w:rFonts w:ascii="Calibri" w:hAnsi="Calibri" w:cs="Calibri"/>
                <w:color w:val="000000"/>
              </w:rPr>
            </w:pPr>
            <w:r>
              <w:rPr>
                <w:rFonts w:ascii="Calibri" w:hAnsi="Calibri" w:cs="Calibri"/>
                <w:color w:val="000000"/>
              </w:rPr>
              <w:t>153B(1)</w:t>
            </w:r>
          </w:p>
        </w:tc>
        <w:tc>
          <w:tcPr>
            <w:tcW w:w="4222" w:type="dxa"/>
            <w:tcBorders>
              <w:top w:val="single" w:sz="4" w:space="0" w:color="auto"/>
              <w:left w:val="single" w:sz="4" w:space="0" w:color="auto"/>
              <w:bottom w:val="single" w:sz="4" w:space="0" w:color="auto"/>
              <w:right w:val="single" w:sz="4" w:space="0" w:color="auto"/>
            </w:tcBorders>
            <w:vAlign w:val="center"/>
          </w:tcPr>
          <w:p w14:paraId="1F285B26" w14:textId="5E3C693C" w:rsidR="00137662" w:rsidRDefault="000D602E" w:rsidP="00EC41C5">
            <w:pPr>
              <w:spacing w:after="0"/>
            </w:pPr>
            <w:r>
              <w:t>The Minister may make a declaration that parts of the spectrum are subject to re-allocation.</w:t>
            </w:r>
          </w:p>
        </w:tc>
        <w:tc>
          <w:tcPr>
            <w:tcW w:w="1985" w:type="dxa"/>
            <w:tcBorders>
              <w:top w:val="single" w:sz="4" w:space="0" w:color="auto"/>
              <w:left w:val="single" w:sz="4" w:space="0" w:color="auto"/>
              <w:bottom w:val="single" w:sz="4" w:space="0" w:color="auto"/>
              <w:right w:val="single" w:sz="4" w:space="0" w:color="auto"/>
            </w:tcBorders>
            <w:vAlign w:val="center"/>
          </w:tcPr>
          <w:p w14:paraId="6A3D7B79" w14:textId="49EE5B56" w:rsidR="00137662" w:rsidRDefault="000D602E" w:rsidP="00E9767D">
            <w:pPr>
              <w:spacing w:after="0"/>
            </w:pPr>
            <w:r>
              <w:t>No longer applicable under the single licensing system</w:t>
            </w:r>
            <w:r w:rsidR="00FF06E3">
              <w:t>.</w:t>
            </w:r>
          </w:p>
        </w:tc>
      </w:tr>
      <w:tr w:rsidR="000D602E" w14:paraId="01AD5D5F" w14:textId="77777777" w:rsidTr="007A2586">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3D38A63B" w14:textId="778A9F94" w:rsidR="000D602E" w:rsidRPr="00485881" w:rsidRDefault="000D602E" w:rsidP="000D602E">
            <w:pPr>
              <w:spacing w:after="0"/>
              <w:rPr>
                <w:rFonts w:ascii="Calibri" w:hAnsi="Calibri" w:cs="Calibri"/>
                <w:color w:val="000000"/>
              </w:rPr>
            </w:pPr>
            <w:r w:rsidRPr="00485881">
              <w:rPr>
                <w:rFonts w:ascii="Calibri" w:hAnsi="Calibri" w:cs="Calibri"/>
                <w:color w:val="000000"/>
              </w:rPr>
              <w:t>Reallocation of encumbered spectrum</w:t>
            </w:r>
          </w:p>
        </w:tc>
        <w:tc>
          <w:tcPr>
            <w:tcW w:w="1306" w:type="dxa"/>
            <w:tcBorders>
              <w:top w:val="single" w:sz="4" w:space="0" w:color="auto"/>
              <w:left w:val="single" w:sz="4" w:space="0" w:color="auto"/>
              <w:bottom w:val="single" w:sz="4" w:space="0" w:color="auto"/>
              <w:right w:val="single" w:sz="4" w:space="0" w:color="auto"/>
            </w:tcBorders>
            <w:vAlign w:val="center"/>
          </w:tcPr>
          <w:p w14:paraId="414DE99E" w14:textId="15EEDEB9" w:rsidR="000D602E" w:rsidRDefault="000D602E" w:rsidP="001751BB">
            <w:pPr>
              <w:spacing w:after="0"/>
              <w:jc w:val="center"/>
              <w:rPr>
                <w:rFonts w:ascii="Calibri" w:hAnsi="Calibri" w:cs="Calibri"/>
                <w:color w:val="000000"/>
              </w:rPr>
            </w:pPr>
            <w:r>
              <w:rPr>
                <w:rFonts w:ascii="Calibri" w:hAnsi="Calibri" w:cs="Calibri"/>
                <w:color w:val="000000"/>
              </w:rPr>
              <w:t>153J</w:t>
            </w:r>
          </w:p>
        </w:tc>
        <w:tc>
          <w:tcPr>
            <w:tcW w:w="4222" w:type="dxa"/>
            <w:tcBorders>
              <w:top w:val="single" w:sz="4" w:space="0" w:color="auto"/>
              <w:left w:val="single" w:sz="4" w:space="0" w:color="auto"/>
              <w:bottom w:val="single" w:sz="4" w:space="0" w:color="auto"/>
              <w:right w:val="single" w:sz="4" w:space="0" w:color="auto"/>
            </w:tcBorders>
            <w:vAlign w:val="center"/>
          </w:tcPr>
          <w:p w14:paraId="6508377A" w14:textId="05661A84" w:rsidR="000D602E" w:rsidRDefault="000D602E" w:rsidP="000D602E">
            <w:pPr>
              <w:spacing w:after="0"/>
            </w:pPr>
            <w:r>
              <w:t>The Minister may only vary a spectrum re-allocation declaration to extend the re-allocation deadline where there are special circumstances.</w:t>
            </w:r>
          </w:p>
        </w:tc>
        <w:tc>
          <w:tcPr>
            <w:tcW w:w="1985" w:type="dxa"/>
            <w:tcBorders>
              <w:top w:val="single" w:sz="4" w:space="0" w:color="auto"/>
              <w:left w:val="single" w:sz="4" w:space="0" w:color="auto"/>
              <w:bottom w:val="single" w:sz="4" w:space="0" w:color="auto"/>
              <w:right w:val="single" w:sz="4" w:space="0" w:color="auto"/>
            </w:tcBorders>
            <w:vAlign w:val="center"/>
          </w:tcPr>
          <w:p w14:paraId="07451E70" w14:textId="3913F599" w:rsidR="000D602E" w:rsidRDefault="000D602E" w:rsidP="000D602E">
            <w:pPr>
              <w:spacing w:after="0"/>
            </w:pPr>
            <w:r>
              <w:t>No longer applicable under the single licensing system.</w:t>
            </w:r>
          </w:p>
        </w:tc>
      </w:tr>
      <w:tr w:rsidR="000D602E" w14:paraId="3FFF2CB4" w14:textId="77777777" w:rsidTr="007A2586">
        <w:trPr>
          <w:cantSplit/>
        </w:trPr>
        <w:tc>
          <w:tcPr>
            <w:tcW w:w="1980" w:type="dxa"/>
            <w:tcBorders>
              <w:top w:val="single" w:sz="4" w:space="0" w:color="auto"/>
              <w:left w:val="single" w:sz="4" w:space="0" w:color="auto"/>
              <w:right w:val="single" w:sz="4" w:space="0" w:color="auto"/>
            </w:tcBorders>
            <w:vAlign w:val="center"/>
          </w:tcPr>
          <w:p w14:paraId="6B58AB57" w14:textId="77777777" w:rsidR="000D602E" w:rsidRDefault="000D602E" w:rsidP="000D602E">
            <w:pPr>
              <w:spacing w:after="0"/>
              <w:rPr>
                <w:rFonts w:ascii="Calibri" w:hAnsi="Calibri" w:cs="Calibri"/>
                <w:color w:val="000000"/>
              </w:rPr>
            </w:pPr>
            <w:r>
              <w:rPr>
                <w:rFonts w:ascii="Calibri" w:hAnsi="Calibri" w:cs="Calibri"/>
                <w:color w:val="000000"/>
              </w:rPr>
              <w:t>R</w:t>
            </w:r>
            <w:r w:rsidRPr="00485881">
              <w:rPr>
                <w:rFonts w:ascii="Calibri" w:hAnsi="Calibri" w:cs="Calibri"/>
                <w:color w:val="000000"/>
              </w:rPr>
              <w:t>estrictive orders</w:t>
            </w:r>
          </w:p>
        </w:tc>
        <w:tc>
          <w:tcPr>
            <w:tcW w:w="1306" w:type="dxa"/>
            <w:tcBorders>
              <w:top w:val="single" w:sz="4" w:space="0" w:color="auto"/>
              <w:left w:val="single" w:sz="4" w:space="0" w:color="auto"/>
              <w:bottom w:val="single" w:sz="4" w:space="0" w:color="auto"/>
              <w:right w:val="single" w:sz="4" w:space="0" w:color="auto"/>
            </w:tcBorders>
            <w:vAlign w:val="center"/>
          </w:tcPr>
          <w:p w14:paraId="43B21254" w14:textId="77777777" w:rsidR="000D602E" w:rsidRDefault="000D602E" w:rsidP="001751BB">
            <w:pPr>
              <w:spacing w:after="0"/>
              <w:jc w:val="center"/>
              <w:rPr>
                <w:rFonts w:ascii="Calibri" w:hAnsi="Calibri" w:cs="Calibri"/>
                <w:color w:val="000000"/>
              </w:rPr>
            </w:pPr>
            <w:r>
              <w:rPr>
                <w:rFonts w:ascii="Calibri" w:hAnsi="Calibri" w:cs="Calibri"/>
                <w:color w:val="000000"/>
              </w:rPr>
              <w:t>230(1)</w:t>
            </w:r>
          </w:p>
        </w:tc>
        <w:tc>
          <w:tcPr>
            <w:tcW w:w="4222" w:type="dxa"/>
            <w:tcBorders>
              <w:top w:val="single" w:sz="4" w:space="0" w:color="auto"/>
              <w:left w:val="single" w:sz="4" w:space="0" w:color="auto"/>
              <w:bottom w:val="single" w:sz="4" w:space="0" w:color="auto"/>
              <w:right w:val="single" w:sz="4" w:space="0" w:color="auto"/>
            </w:tcBorders>
            <w:vAlign w:val="center"/>
          </w:tcPr>
          <w:p w14:paraId="217605BF" w14:textId="7E76B9A4" w:rsidR="000D602E" w:rsidRDefault="000D602E" w:rsidP="000D602E">
            <w:pPr>
              <w:spacing w:after="0"/>
              <w:rPr>
                <w:rFonts w:ascii="Calibri" w:hAnsi="Calibri" w:cs="Calibri"/>
                <w:color w:val="000000"/>
              </w:rPr>
            </w:pPr>
            <w:r>
              <w:rPr>
                <w:rFonts w:ascii="Calibri" w:hAnsi="Calibri" w:cs="Calibri"/>
                <w:color w:val="000000"/>
              </w:rPr>
              <w:t xml:space="preserve">The Minister may </w:t>
            </w:r>
            <w:r>
              <w:t>make guidelines with respect to exercise of the power to make restrictive orders. The Minister may vary or revoke restrictive order guidelines.</w:t>
            </w:r>
          </w:p>
        </w:tc>
        <w:tc>
          <w:tcPr>
            <w:tcW w:w="1985" w:type="dxa"/>
            <w:tcBorders>
              <w:top w:val="single" w:sz="4" w:space="0" w:color="auto"/>
              <w:left w:val="single" w:sz="4" w:space="0" w:color="auto"/>
              <w:bottom w:val="single" w:sz="4" w:space="0" w:color="auto"/>
              <w:right w:val="single" w:sz="4" w:space="0" w:color="auto"/>
            </w:tcBorders>
            <w:vAlign w:val="center"/>
          </w:tcPr>
          <w:p w14:paraId="47C73313" w14:textId="786639C4" w:rsidR="000D602E" w:rsidRDefault="000D602E" w:rsidP="000D602E">
            <w:pPr>
              <w:spacing w:after="0"/>
              <w:rPr>
                <w:rFonts w:ascii="Calibri" w:hAnsi="Calibri" w:cs="Calibri"/>
                <w:color w:val="000000"/>
              </w:rPr>
            </w:pPr>
            <w:r>
              <w:rPr>
                <w:rFonts w:ascii="Calibri" w:hAnsi="Calibri" w:cs="Calibri"/>
                <w:color w:val="000000"/>
              </w:rPr>
              <w:t xml:space="preserve">Remove provision for Minister to create guidelines. </w:t>
            </w:r>
          </w:p>
        </w:tc>
      </w:tr>
      <w:tr w:rsidR="000D602E" w14:paraId="52AE782E" w14:textId="77777777" w:rsidTr="007A2586">
        <w:trPr>
          <w:cantSplit/>
        </w:trPr>
        <w:tc>
          <w:tcPr>
            <w:tcW w:w="1980" w:type="dxa"/>
            <w:tcBorders>
              <w:top w:val="single" w:sz="4" w:space="0" w:color="auto"/>
              <w:left w:val="single" w:sz="4" w:space="0" w:color="auto"/>
              <w:right w:val="single" w:sz="4" w:space="0" w:color="auto"/>
            </w:tcBorders>
            <w:vAlign w:val="center"/>
          </w:tcPr>
          <w:p w14:paraId="3B62D633" w14:textId="77777777" w:rsidR="000D602E" w:rsidRDefault="000D602E" w:rsidP="000D602E">
            <w:pPr>
              <w:spacing w:after="0"/>
              <w:rPr>
                <w:rFonts w:ascii="Calibri" w:hAnsi="Calibri" w:cs="Calibri"/>
                <w:color w:val="000000"/>
              </w:rPr>
            </w:pPr>
            <w:r w:rsidRPr="00485881">
              <w:rPr>
                <w:rFonts w:ascii="Calibri" w:hAnsi="Calibri" w:cs="Calibri"/>
                <w:color w:val="000000"/>
              </w:rPr>
              <w:t>Public inquiries</w:t>
            </w:r>
          </w:p>
        </w:tc>
        <w:tc>
          <w:tcPr>
            <w:tcW w:w="1306" w:type="dxa"/>
            <w:tcBorders>
              <w:top w:val="single" w:sz="4" w:space="0" w:color="auto"/>
              <w:left w:val="single" w:sz="4" w:space="0" w:color="auto"/>
              <w:bottom w:val="single" w:sz="4" w:space="0" w:color="auto"/>
              <w:right w:val="single" w:sz="4" w:space="0" w:color="auto"/>
            </w:tcBorders>
            <w:vAlign w:val="center"/>
          </w:tcPr>
          <w:p w14:paraId="59C03014" w14:textId="77777777" w:rsidR="000D602E" w:rsidRDefault="000D602E" w:rsidP="001751BB">
            <w:pPr>
              <w:spacing w:after="0"/>
              <w:jc w:val="center"/>
              <w:rPr>
                <w:rFonts w:ascii="Calibri" w:hAnsi="Calibri" w:cs="Calibri"/>
                <w:color w:val="000000"/>
              </w:rPr>
            </w:pPr>
            <w:r>
              <w:rPr>
                <w:rFonts w:ascii="Calibri" w:hAnsi="Calibri" w:cs="Calibri"/>
                <w:color w:val="000000"/>
              </w:rPr>
              <w:t>256(1)</w:t>
            </w:r>
          </w:p>
        </w:tc>
        <w:tc>
          <w:tcPr>
            <w:tcW w:w="4222" w:type="dxa"/>
            <w:tcBorders>
              <w:top w:val="single" w:sz="4" w:space="0" w:color="auto"/>
              <w:left w:val="single" w:sz="4" w:space="0" w:color="auto"/>
              <w:bottom w:val="single" w:sz="4" w:space="0" w:color="auto"/>
              <w:right w:val="single" w:sz="4" w:space="0" w:color="auto"/>
            </w:tcBorders>
            <w:vAlign w:val="center"/>
          </w:tcPr>
          <w:p w14:paraId="3D014908" w14:textId="77777777" w:rsidR="000D602E" w:rsidRDefault="000D602E" w:rsidP="000D602E">
            <w:pPr>
              <w:spacing w:after="0"/>
              <w:rPr>
                <w:rFonts w:ascii="Calibri" w:hAnsi="Calibri" w:cs="Calibri"/>
                <w:color w:val="000000"/>
              </w:rPr>
            </w:pPr>
            <w:r>
              <w:t xml:space="preserve">The Minister may direct the ACMA to undertake </w:t>
            </w:r>
            <w:r w:rsidRPr="004972A3">
              <w:t>a public inquiry relating to the management of spectrum, or any other radio emission issues</w:t>
            </w:r>
            <w:r>
              <w:t>.</w:t>
            </w:r>
          </w:p>
        </w:tc>
        <w:tc>
          <w:tcPr>
            <w:tcW w:w="1985" w:type="dxa"/>
            <w:tcBorders>
              <w:top w:val="single" w:sz="4" w:space="0" w:color="auto"/>
              <w:left w:val="single" w:sz="4" w:space="0" w:color="auto"/>
              <w:bottom w:val="single" w:sz="4" w:space="0" w:color="auto"/>
              <w:right w:val="single" w:sz="4" w:space="0" w:color="auto"/>
            </w:tcBorders>
            <w:vAlign w:val="center"/>
          </w:tcPr>
          <w:p w14:paraId="755B829B" w14:textId="77777777" w:rsidR="000D602E" w:rsidRDefault="000D602E" w:rsidP="000D602E">
            <w:pPr>
              <w:spacing w:after="0"/>
              <w:rPr>
                <w:rFonts w:ascii="Calibri" w:hAnsi="Calibri" w:cs="Calibri"/>
                <w:color w:val="000000"/>
              </w:rPr>
            </w:pPr>
            <w:r>
              <w:t>Remove. This provision has not been used to date.</w:t>
            </w:r>
          </w:p>
        </w:tc>
      </w:tr>
    </w:tbl>
    <w:p w14:paraId="788EA09B" w14:textId="77777777" w:rsidR="0083457A" w:rsidRDefault="0083457A" w:rsidP="0083457A">
      <w:pPr>
        <w:spacing w:after="0"/>
        <w:rPr>
          <w:b/>
          <w:u w:val="single"/>
        </w:rPr>
      </w:pPr>
    </w:p>
    <w:p w14:paraId="31339685" w14:textId="456F170F" w:rsidR="00C43077" w:rsidRPr="00F42BD7" w:rsidRDefault="00CD0EB1" w:rsidP="00B07678">
      <w:pPr>
        <w:pStyle w:val="Heading2"/>
        <w:spacing w:after="120"/>
      </w:pPr>
      <w:bookmarkStart w:id="13" w:name="_Toc480810834"/>
      <w:r w:rsidRPr="00F42BD7">
        <w:t>Overview of Exposure Draft Bill</w:t>
      </w:r>
      <w:r w:rsidR="00DC53DC">
        <w:t xml:space="preserve"> </w:t>
      </w:r>
      <w:r w:rsidR="00DC53DC" w:rsidRPr="00F42BD7">
        <w:t>provisions</w:t>
      </w:r>
      <w:bookmarkEnd w:id="13"/>
    </w:p>
    <w:p w14:paraId="3C54F63F" w14:textId="74EA1066" w:rsidR="00CD0EB1" w:rsidRDefault="007A74A6" w:rsidP="00693300">
      <w:pPr>
        <w:spacing w:after="120"/>
      </w:pPr>
      <w:r>
        <w:t>The f</w:t>
      </w:r>
      <w:r w:rsidR="00DD21CF">
        <w:t>ollowing is a ‘walkthrough’ of the Bill.</w:t>
      </w:r>
      <w:r w:rsidR="00EE4C02">
        <w:t xml:space="preserve"> </w:t>
      </w:r>
      <w:r w:rsidR="00DD21CF">
        <w:t>It identifies those areas where there is a significant change to the current arrangements, such as</w:t>
      </w:r>
      <w:r w:rsidR="004C63EE">
        <w:t>:</w:t>
      </w:r>
    </w:p>
    <w:p w14:paraId="072B6F62" w14:textId="35E236C4" w:rsidR="004C63EE" w:rsidRPr="00B860B2" w:rsidRDefault="00C11548" w:rsidP="004130AA">
      <w:pPr>
        <w:pStyle w:val="Bulletlevel1"/>
        <w:ind w:left="567" w:hanging="567"/>
      </w:pPr>
      <w:r w:rsidRPr="00B860B2">
        <w:t>M</w:t>
      </w:r>
      <w:r w:rsidR="00D07BA3" w:rsidRPr="00B860B2">
        <w:t>inisterial policy statements</w:t>
      </w:r>
    </w:p>
    <w:p w14:paraId="77A5469B" w14:textId="77777777" w:rsidR="001751BB" w:rsidRPr="00B860B2" w:rsidRDefault="001B02BE" w:rsidP="004130AA">
      <w:pPr>
        <w:pStyle w:val="Bulletlevel1"/>
        <w:ind w:left="567" w:hanging="567"/>
      </w:pPr>
      <w:r w:rsidRPr="00B860B2">
        <w:t>l</w:t>
      </w:r>
      <w:r w:rsidR="004C63EE" w:rsidRPr="00B860B2">
        <w:t>i</w:t>
      </w:r>
      <w:r w:rsidR="00161A7D" w:rsidRPr="00B860B2">
        <w:t>censing</w:t>
      </w:r>
      <w:r w:rsidR="007A74A6" w:rsidRPr="00B860B2">
        <w:t>, including:</w:t>
      </w:r>
    </w:p>
    <w:p w14:paraId="2DF6D339" w14:textId="19D7675E" w:rsidR="00686B1A" w:rsidRPr="00B860B2" w:rsidRDefault="001B02BE" w:rsidP="00B860B2">
      <w:pPr>
        <w:pStyle w:val="Bulletlevel1"/>
        <w:ind w:left="1134"/>
      </w:pPr>
      <w:r w:rsidRPr="00B860B2">
        <w:t>i</w:t>
      </w:r>
      <w:r w:rsidR="00686B1A" w:rsidRPr="00B860B2">
        <w:t>ssue process</w:t>
      </w:r>
      <w:r w:rsidR="00AB66D6" w:rsidRPr="00B860B2">
        <w:t xml:space="preserve"> and licence issue schemes</w:t>
      </w:r>
    </w:p>
    <w:p w14:paraId="03C84469" w14:textId="77777777" w:rsidR="001751BB" w:rsidRPr="00B860B2" w:rsidRDefault="001B02BE" w:rsidP="00B860B2">
      <w:pPr>
        <w:pStyle w:val="Bulletlevel1"/>
        <w:ind w:left="1134"/>
      </w:pPr>
      <w:r w:rsidRPr="00B860B2">
        <w:t>c</w:t>
      </w:r>
      <w:r w:rsidR="00AB66D6" w:rsidRPr="00B860B2">
        <w:t>onditions</w:t>
      </w:r>
      <w:r w:rsidR="00B0796C" w:rsidRPr="00B860B2">
        <w:t xml:space="preserve"> of licences</w:t>
      </w:r>
    </w:p>
    <w:p w14:paraId="26207D3A" w14:textId="1A9290C3" w:rsidR="00686B1A" w:rsidRPr="00B860B2" w:rsidRDefault="001B02BE" w:rsidP="00B860B2">
      <w:pPr>
        <w:pStyle w:val="Bulletlevel1"/>
        <w:ind w:left="1134"/>
      </w:pPr>
      <w:r w:rsidRPr="00B860B2">
        <w:t>d</w:t>
      </w:r>
      <w:r w:rsidR="00686B1A" w:rsidRPr="00B860B2">
        <w:t>esignated statements</w:t>
      </w:r>
    </w:p>
    <w:p w14:paraId="4E30FE08" w14:textId="1C4290FA" w:rsidR="00686B1A" w:rsidRDefault="001B02BE" w:rsidP="00B860B2">
      <w:pPr>
        <w:pStyle w:val="Bulletlevel1"/>
        <w:ind w:left="1134"/>
      </w:pPr>
      <w:r w:rsidRPr="00B860B2">
        <w:t>r</w:t>
      </w:r>
      <w:r w:rsidR="00686B1A" w:rsidRPr="00B860B2">
        <w:t>egulatory</w:t>
      </w:r>
      <w:r w:rsidR="00686B1A">
        <w:t xml:space="preserve"> undertakings</w:t>
      </w:r>
    </w:p>
    <w:p w14:paraId="3990D6A3" w14:textId="40C07E0B" w:rsidR="00161A7D" w:rsidRPr="00B860B2" w:rsidRDefault="001B02BE" w:rsidP="00B860B2">
      <w:pPr>
        <w:pStyle w:val="Bulletlevel1"/>
      </w:pPr>
      <w:r w:rsidRPr="00B860B2">
        <w:t>e</w:t>
      </w:r>
      <w:r w:rsidR="00161A7D" w:rsidRPr="00B860B2">
        <w:t>quipment rules</w:t>
      </w:r>
    </w:p>
    <w:p w14:paraId="150539DA" w14:textId="33B040D1" w:rsidR="004C63EE" w:rsidRDefault="001B02BE" w:rsidP="00B860B2">
      <w:pPr>
        <w:pStyle w:val="Bulletlevel1"/>
      </w:pPr>
      <w:proofErr w:type="gramStart"/>
      <w:r w:rsidRPr="00B860B2">
        <w:t>d</w:t>
      </w:r>
      <w:r w:rsidR="00161A7D" w:rsidRPr="00B860B2">
        <w:t>elegation</w:t>
      </w:r>
      <w:proofErr w:type="gramEnd"/>
      <w:r w:rsidR="007A74A6">
        <w:t>, including management</w:t>
      </w:r>
      <w:r w:rsidR="00161A7D">
        <w:t xml:space="preserve"> rights</w:t>
      </w:r>
      <w:r w:rsidR="003B030A">
        <w:t>.</w:t>
      </w:r>
    </w:p>
    <w:p w14:paraId="74FCF179" w14:textId="6603919F" w:rsidR="003B030A" w:rsidRDefault="003B030A" w:rsidP="003B030A">
      <w:r>
        <w:t>This paper should be read in conjunction with the Bill.</w:t>
      </w:r>
    </w:p>
    <w:p w14:paraId="237844B0" w14:textId="2B78647B" w:rsidR="002E59B1" w:rsidRPr="00F42BD7" w:rsidRDefault="002E59B1" w:rsidP="00693300">
      <w:pPr>
        <w:pStyle w:val="Heading3"/>
      </w:pPr>
      <w:bookmarkStart w:id="14" w:name="_Toc480810835"/>
      <w:r w:rsidRPr="00F42BD7">
        <w:t>Preliminary (Part 1)</w:t>
      </w:r>
      <w:bookmarkEnd w:id="14"/>
    </w:p>
    <w:p w14:paraId="20A14A3D" w14:textId="0A7083E9" w:rsidR="00DC53DC" w:rsidRDefault="00DC53DC" w:rsidP="00F42BD7">
      <w:r>
        <w:t>Part 1 of the Bill sets out the objects of the Bill, definitions of terms used in the Bill and the scope of the Bill’s application.</w:t>
      </w:r>
    </w:p>
    <w:p w14:paraId="050D849A" w14:textId="779B5A09" w:rsidR="00916E8F" w:rsidRPr="00F42BD7" w:rsidRDefault="00916E8F" w:rsidP="00693300">
      <w:pPr>
        <w:pStyle w:val="Heading4"/>
      </w:pPr>
      <w:bookmarkStart w:id="15" w:name="_Toc480810836"/>
      <w:r w:rsidRPr="00F42BD7">
        <w:t>Objects</w:t>
      </w:r>
      <w:bookmarkEnd w:id="15"/>
    </w:p>
    <w:p w14:paraId="0893758C" w14:textId="3E0ACD15" w:rsidR="0016317F" w:rsidRDefault="00C81772">
      <w:r>
        <w:t xml:space="preserve">The </w:t>
      </w:r>
      <w:r w:rsidR="009F4BC7">
        <w:t xml:space="preserve">objects </w:t>
      </w:r>
      <w:r w:rsidR="00A71DF5">
        <w:t xml:space="preserve">provision </w:t>
      </w:r>
      <w:r w:rsidR="00E83576">
        <w:t xml:space="preserve">sets out the purpose </w:t>
      </w:r>
      <w:r w:rsidR="009F4BC7">
        <w:t xml:space="preserve">of the legislation and assist the Courts, the regulator and others </w:t>
      </w:r>
      <w:r w:rsidR="00B0796C">
        <w:t xml:space="preserve">to interpret </w:t>
      </w:r>
      <w:r w:rsidR="009F4BC7">
        <w:t>the legislation.</w:t>
      </w:r>
    </w:p>
    <w:p w14:paraId="39C781C5" w14:textId="44512BDC" w:rsidR="00543F2B" w:rsidRDefault="009F4BC7">
      <w:r>
        <w:t xml:space="preserve">The </w:t>
      </w:r>
      <w:r w:rsidR="0016317F">
        <w:t xml:space="preserve">object of the </w:t>
      </w:r>
      <w:r w:rsidR="00EB6A17">
        <w:t xml:space="preserve">1992 </w:t>
      </w:r>
      <w:r>
        <w:t xml:space="preserve">Act </w:t>
      </w:r>
      <w:r w:rsidR="0016317F">
        <w:t xml:space="preserve">has </w:t>
      </w:r>
      <w:r w:rsidR="00EE0F76">
        <w:t xml:space="preserve">eight </w:t>
      </w:r>
      <w:r>
        <w:t>separate</w:t>
      </w:r>
      <w:r w:rsidR="0016317F">
        <w:t xml:space="preserve"> elements. This can be confusing as </w:t>
      </w:r>
      <w:r>
        <w:t>there is no hierarchy for these aims and an assumption that all have equal weighting.</w:t>
      </w:r>
    </w:p>
    <w:p w14:paraId="46DE44B9" w14:textId="2C7AFD15" w:rsidR="00296124" w:rsidRPr="009B11DB" w:rsidRDefault="0016317F">
      <w:r>
        <w:t xml:space="preserve">The objects in the Bill have been </w:t>
      </w:r>
      <w:r w:rsidR="009F4BC7">
        <w:t xml:space="preserve">revised to </w:t>
      </w:r>
      <w:r>
        <w:t>provide greater clarity</w:t>
      </w:r>
      <w:r w:rsidR="00EB3017">
        <w:t>, without detracting from the policy objectives of the spectrum reforms.</w:t>
      </w:r>
    </w:p>
    <w:p w14:paraId="121AF164" w14:textId="33D1D349" w:rsidR="00E415FE" w:rsidRPr="003E7EC7" w:rsidRDefault="00E415FE" w:rsidP="00693300">
      <w:pPr>
        <w:pStyle w:val="Heading4"/>
      </w:pPr>
      <w:bookmarkStart w:id="16" w:name="_Toc480810837"/>
      <w:r w:rsidRPr="003E7EC7">
        <w:t>Definitions</w:t>
      </w:r>
      <w:bookmarkEnd w:id="16"/>
    </w:p>
    <w:p w14:paraId="6EE97C07" w14:textId="28273043" w:rsidR="00B0796C" w:rsidRDefault="00B0796C">
      <w:r>
        <w:t xml:space="preserve">There can be conflicting terminology in radiocommunications where the same terms have different meanings in different circumstances. For example, the use of the terms allocation and assignment have different connotations when used for spectrum planning generally, rather than their </w:t>
      </w:r>
      <w:r w:rsidR="003B030A">
        <w:t>use</w:t>
      </w:r>
      <w:r>
        <w:t xml:space="preserve"> in the 1992 Act. Where possible, </w:t>
      </w:r>
      <w:r w:rsidRPr="00FA6C55">
        <w:t>definitions have been reviewed</w:t>
      </w:r>
      <w:r>
        <w:t xml:space="preserve"> and updated</w:t>
      </w:r>
      <w:r w:rsidRPr="00FA6C55">
        <w:t xml:space="preserve"> to </w:t>
      </w:r>
      <w:r>
        <w:t xml:space="preserve">simplify interpretation. Defined terms have also been reviewed to </w:t>
      </w:r>
      <w:r w:rsidRPr="00FA6C55">
        <w:t xml:space="preserve">reflect current legislative drafting practice </w:t>
      </w:r>
      <w:r>
        <w:t>and</w:t>
      </w:r>
      <w:r w:rsidRPr="00FA6C55">
        <w:t xml:space="preserve"> ensure consistency with </w:t>
      </w:r>
      <w:r>
        <w:t xml:space="preserve">other </w:t>
      </w:r>
      <w:r w:rsidRPr="00FA6C55">
        <w:t>legislation</w:t>
      </w:r>
      <w:r>
        <w:t>.</w:t>
      </w:r>
    </w:p>
    <w:p w14:paraId="118A49D1" w14:textId="77777777" w:rsidR="00B0796C" w:rsidRDefault="00B0796C" w:rsidP="00693300">
      <w:r>
        <w:t>Changes include:</w:t>
      </w:r>
    </w:p>
    <w:p w14:paraId="013EA0BC" w14:textId="350C6179" w:rsidR="00B0796C" w:rsidRPr="00284D52" w:rsidRDefault="00B0796C" w:rsidP="004130AA">
      <w:pPr>
        <w:pStyle w:val="Bulletlevel1"/>
        <w:ind w:left="567" w:hanging="567"/>
      </w:pPr>
      <w:r w:rsidRPr="00284D52">
        <w:t xml:space="preserve">renaming the concept of </w:t>
      </w:r>
      <w:r w:rsidR="003231ED" w:rsidRPr="00284D52">
        <w:t>device</w:t>
      </w:r>
      <w:r w:rsidRPr="00284D52">
        <w:t xml:space="preserve"> to equipment</w:t>
      </w:r>
      <w:r w:rsidR="00D92A9A" w:rsidRPr="00284D52">
        <w:t>,</w:t>
      </w:r>
      <w:r w:rsidRPr="00284D52">
        <w:t xml:space="preserve"> to avoid confusion</w:t>
      </w:r>
      <w:r w:rsidR="003231ED" w:rsidRPr="00284D52">
        <w:t xml:space="preserve"> with radiocommunications device</w:t>
      </w:r>
    </w:p>
    <w:p w14:paraId="5AA8FC8D" w14:textId="4996CB32" w:rsidR="00B0796C" w:rsidRPr="00284D52" w:rsidRDefault="00B0796C" w:rsidP="004130AA">
      <w:pPr>
        <w:pStyle w:val="Bulletlevel1"/>
        <w:ind w:left="567" w:hanging="567"/>
      </w:pPr>
      <w:r w:rsidRPr="00284D52">
        <w:t>providing that all radiocommunications transmitters and radiocommunications receivers are radiocommunications device</w:t>
      </w:r>
      <w:r w:rsidR="00541FF1" w:rsidRPr="00284D52">
        <w:t>s</w:t>
      </w:r>
      <w:r w:rsidR="00166585" w:rsidRPr="00284D52">
        <w:t xml:space="preserve"> </w:t>
      </w:r>
      <w:r w:rsidR="003231ED" w:rsidRPr="00284D52">
        <w:t>(</w:t>
      </w:r>
      <w:r w:rsidR="00541FF1" w:rsidRPr="00284D52">
        <w:t>b</w:t>
      </w:r>
      <w:r w:rsidRPr="00284D52">
        <w:t>y contrast, in the 1992 Act radiocommunications receivers had to be determined by instrument to be radiocommunications devices, and radiocommunications transmitters could be determined not to be radiocommunications devices</w:t>
      </w:r>
      <w:r w:rsidR="003231ED" w:rsidRPr="00284D52">
        <w:t>)</w:t>
      </w:r>
    </w:p>
    <w:p w14:paraId="1FED862A" w14:textId="623D8964" w:rsidR="00B0796C" w:rsidRPr="00284D52" w:rsidRDefault="00B0796C" w:rsidP="004130AA">
      <w:pPr>
        <w:pStyle w:val="Bulletlevel1"/>
        <w:ind w:left="567" w:hanging="567"/>
      </w:pPr>
      <w:r w:rsidRPr="00284D52">
        <w:t xml:space="preserve">removing the </w:t>
      </w:r>
      <w:r w:rsidR="003231ED" w:rsidRPr="00284D52">
        <w:t xml:space="preserve">separate </w:t>
      </w:r>
      <w:r w:rsidRPr="00284D52">
        <w:t>definitions of Australian space object</w:t>
      </w:r>
      <w:r w:rsidR="003231ED" w:rsidRPr="00284D52">
        <w:t xml:space="preserve"> and</w:t>
      </w:r>
      <w:r w:rsidRPr="00284D52">
        <w:t xml:space="preserve"> foreign space object</w:t>
      </w:r>
      <w:r w:rsidR="003231ED" w:rsidRPr="00284D52">
        <w:t>,</w:t>
      </w:r>
      <w:r w:rsidRPr="00284D52">
        <w:t xml:space="preserve"> and the ability </w:t>
      </w:r>
      <w:r w:rsidR="003231ED" w:rsidRPr="00284D52">
        <w:t xml:space="preserve">of the ACMA </w:t>
      </w:r>
      <w:r w:rsidRPr="00284D52">
        <w:t>to determine that specified objects are not space objects</w:t>
      </w:r>
    </w:p>
    <w:p w14:paraId="7640CF7F" w14:textId="77777777" w:rsidR="00B0796C" w:rsidRPr="00284D52" w:rsidRDefault="00B0796C" w:rsidP="004130AA">
      <w:pPr>
        <w:pStyle w:val="Bulletlevel1"/>
        <w:ind w:left="567" w:hanging="567"/>
      </w:pPr>
      <w:r w:rsidRPr="00284D52">
        <w:t>introducing the concept of designated statements, which are statements in a licence constraining the treatment of the licence by either the ACMA or the licensee</w:t>
      </w:r>
    </w:p>
    <w:p w14:paraId="1F0E8A1D" w14:textId="2D22EF17" w:rsidR="00EC3D15" w:rsidRDefault="00B0796C" w:rsidP="004130AA">
      <w:pPr>
        <w:pStyle w:val="Bulletlevel1"/>
        <w:ind w:left="567" w:hanging="567"/>
      </w:pPr>
      <w:proofErr w:type="gramStart"/>
      <w:r w:rsidRPr="00284D52">
        <w:t>introducing</w:t>
      </w:r>
      <w:proofErr w:type="gramEnd"/>
      <w:r w:rsidRPr="00284D52">
        <w:t xml:space="preserve"> the concept of general licensing functions or powers, which set</w:t>
      </w:r>
      <w:r w:rsidR="007418D7" w:rsidRPr="00284D52">
        <w:t>s</w:t>
      </w:r>
      <w:r w:rsidRPr="00284D52">
        <w:t xml:space="preserve"> the scope of the</w:t>
      </w:r>
      <w:r>
        <w:t xml:space="preserve"> delegation powers in Part 12A.</w:t>
      </w:r>
    </w:p>
    <w:p w14:paraId="13A35F4E" w14:textId="2BE6AFE2" w:rsidR="00E415FE" w:rsidRPr="00F42BD7" w:rsidRDefault="00E415FE" w:rsidP="00693300">
      <w:pPr>
        <w:pStyle w:val="Heading4"/>
      </w:pPr>
      <w:bookmarkStart w:id="17" w:name="_Toc480810838"/>
      <w:r w:rsidRPr="00F42BD7">
        <w:t>Application</w:t>
      </w:r>
      <w:bookmarkEnd w:id="17"/>
    </w:p>
    <w:p w14:paraId="3DB761AA" w14:textId="77777777" w:rsidR="001751BB" w:rsidRDefault="00191DC0">
      <w:r>
        <w:t>The Bill is</w:t>
      </w:r>
      <w:r w:rsidR="00D713F7">
        <w:t xml:space="preserve"> generally</w:t>
      </w:r>
      <w:r>
        <w:t xml:space="preserve"> consistent with the application provisions contained in the 1992 Act.</w:t>
      </w:r>
    </w:p>
    <w:p w14:paraId="6FF4550C" w14:textId="34F53322" w:rsidR="00D713F7" w:rsidRDefault="00D713F7" w:rsidP="00E415FE">
      <w:r>
        <w:t>For ease of interpretation, the Bill simplifies the drafting of provisions relating t</w:t>
      </w:r>
      <w:r w:rsidR="001751BB">
        <w:t>o application to space objects.</w:t>
      </w:r>
    </w:p>
    <w:p w14:paraId="129A450A" w14:textId="2B4AACCC" w:rsidR="00296124" w:rsidRPr="00F42BD7" w:rsidRDefault="00D07BA3" w:rsidP="00693300">
      <w:pPr>
        <w:pStyle w:val="Heading3"/>
      </w:pPr>
      <w:bookmarkStart w:id="18" w:name="_Toc480810839"/>
      <w:r>
        <w:t>Ministerial policy statements</w:t>
      </w:r>
      <w:r w:rsidR="00296124" w:rsidRPr="00F42BD7">
        <w:t xml:space="preserve"> (Part 2)</w:t>
      </w:r>
      <w:bookmarkEnd w:id="18"/>
    </w:p>
    <w:p w14:paraId="78AD1533" w14:textId="1E9E6388" w:rsidR="0050415F" w:rsidRDefault="00296124">
      <w:r>
        <w:t xml:space="preserve">Part 2 </w:t>
      </w:r>
      <w:r w:rsidR="006648D7">
        <w:t xml:space="preserve">of the Bill </w:t>
      </w:r>
      <w:r w:rsidR="00622EBC">
        <w:t>empowers the</w:t>
      </w:r>
      <w:r w:rsidR="00C472F1">
        <w:t xml:space="preserve"> </w:t>
      </w:r>
      <w:r w:rsidR="00622EBC">
        <w:t xml:space="preserve">Minister to issue </w:t>
      </w:r>
      <w:r w:rsidR="00D07BA3">
        <w:t>Ministerial policy statements</w:t>
      </w:r>
      <w:r>
        <w:t>.</w:t>
      </w:r>
      <w:r w:rsidR="00EE4C02">
        <w:t xml:space="preserve"> </w:t>
      </w:r>
      <w:r w:rsidR="00D07BA3">
        <w:t>Ministerial policy statements</w:t>
      </w:r>
      <w:r w:rsidR="00D07BA3" w:rsidDel="00D07BA3">
        <w:t xml:space="preserve"> </w:t>
      </w:r>
      <w:r w:rsidR="00790010">
        <w:t xml:space="preserve">provide a mechanism for the Minister to </w:t>
      </w:r>
      <w:r w:rsidR="00AE545C">
        <w:t xml:space="preserve">provide </w:t>
      </w:r>
      <w:r w:rsidR="00790010">
        <w:t xml:space="preserve">the ACMA with policy guidance in relation to the exercise of its spectrum management powers and functions. The Bill requires the ACMA </w:t>
      </w:r>
      <w:r w:rsidR="00AE545C">
        <w:t xml:space="preserve">to </w:t>
      </w:r>
      <w:r w:rsidR="00790010">
        <w:t xml:space="preserve">have regard to any relevant </w:t>
      </w:r>
      <w:r w:rsidR="00D07BA3">
        <w:t>Ministerial policy statements</w:t>
      </w:r>
      <w:r w:rsidR="00790010">
        <w:t>.</w:t>
      </w:r>
    </w:p>
    <w:p w14:paraId="5A657719" w14:textId="1B747147" w:rsidR="0050415F" w:rsidRDefault="0050415F" w:rsidP="00B860B2">
      <w:pPr>
        <w:keepNext/>
        <w:keepLines/>
      </w:pPr>
      <w:r>
        <w:t xml:space="preserve">Consistent with the findings of the </w:t>
      </w:r>
      <w:r w:rsidR="003B030A">
        <w:t>r</w:t>
      </w:r>
      <w:r>
        <w:t xml:space="preserve">eview and the ACMA Review, </w:t>
      </w:r>
      <w:r w:rsidR="00D07BA3">
        <w:t>Ministerial policy statements</w:t>
      </w:r>
      <w:r w:rsidR="00D07BA3" w:rsidDel="00D07BA3">
        <w:t xml:space="preserve"> </w:t>
      </w:r>
      <w:r>
        <w:t xml:space="preserve">will provide for </w:t>
      </w:r>
      <w:r w:rsidRPr="00DB6F86">
        <w:t>Ministerial oversight of spectrum policy and management</w:t>
      </w:r>
      <w:r>
        <w:t xml:space="preserve">, while reducing the need for the Minister to be actively involved in the day to day administrative processes of the ACMA. In the first instance, the matters likely to be subject of </w:t>
      </w:r>
      <w:r w:rsidR="00D07BA3">
        <w:t>Ministerial policy statements</w:t>
      </w:r>
      <w:r w:rsidR="00D07BA3" w:rsidDel="00D07BA3">
        <w:t xml:space="preserve"> </w:t>
      </w:r>
      <w:r>
        <w:t>include, but are not limited to:</w:t>
      </w:r>
    </w:p>
    <w:p w14:paraId="0196E0AA" w14:textId="65C414F5" w:rsidR="0050415F" w:rsidRPr="00284D52" w:rsidRDefault="0050415F" w:rsidP="004130AA">
      <w:pPr>
        <w:pStyle w:val="Bulletlevel1"/>
        <w:ind w:left="567" w:hanging="567"/>
      </w:pPr>
      <w:r w:rsidRPr="00284D52">
        <w:t>the ACMA’s annual work program</w:t>
      </w:r>
    </w:p>
    <w:p w14:paraId="1435806C" w14:textId="2E64E40E" w:rsidR="0050415F" w:rsidRPr="00284D52" w:rsidRDefault="0050415F" w:rsidP="004130AA">
      <w:pPr>
        <w:pStyle w:val="Bulletlevel1"/>
        <w:ind w:left="567" w:hanging="567"/>
      </w:pPr>
      <w:r w:rsidRPr="00284D52">
        <w:t>the single licensing system, including license issue and conditions and end of licence term processes and renewal rights</w:t>
      </w:r>
    </w:p>
    <w:p w14:paraId="638C7E95" w14:textId="6F8DB9E3" w:rsidR="0050415F" w:rsidRPr="00284D52" w:rsidRDefault="0050415F" w:rsidP="004130AA">
      <w:pPr>
        <w:pStyle w:val="Bulletlevel1"/>
        <w:ind w:left="567" w:hanging="567"/>
      </w:pPr>
      <w:r w:rsidRPr="00284D52">
        <w:t>the protection arrangements for the radio quiet zone (RQZ) for the square kilometre array (SKA)</w:t>
      </w:r>
    </w:p>
    <w:p w14:paraId="28DB7D09" w14:textId="77777777" w:rsidR="001751BB" w:rsidRDefault="0050415F" w:rsidP="004130AA">
      <w:pPr>
        <w:pStyle w:val="Bulletlevel1"/>
        <w:ind w:left="567" w:hanging="567"/>
      </w:pPr>
      <w:proofErr w:type="gramStart"/>
      <w:r w:rsidRPr="00284D52">
        <w:t>matters</w:t>
      </w:r>
      <w:proofErr w:type="gramEnd"/>
      <w:r>
        <w:t xml:space="preserve"> relating to broadcasting</w:t>
      </w:r>
      <w:r w:rsidR="00AE545C">
        <w:t xml:space="preserve"> spectrum</w:t>
      </w:r>
      <w:r>
        <w:t>.</w:t>
      </w:r>
    </w:p>
    <w:p w14:paraId="7B30B411" w14:textId="5C3CF04C" w:rsidR="00D07BA3" w:rsidRDefault="00D07BA3">
      <w:r>
        <w:t>It is intended that the majority of the Ministerial policy statements</w:t>
      </w:r>
      <w:r w:rsidDel="00D07BA3">
        <w:t xml:space="preserve"> </w:t>
      </w:r>
      <w:r>
        <w:t>set out above will be developed prior to the commencement of the new legislation.</w:t>
      </w:r>
    </w:p>
    <w:p w14:paraId="32590BDC" w14:textId="46BC347F" w:rsidR="0050415F" w:rsidRPr="00296124" w:rsidRDefault="0050415F">
      <w:r>
        <w:t xml:space="preserve">The Minister will </w:t>
      </w:r>
      <w:r w:rsidR="00AE545C">
        <w:t xml:space="preserve">also </w:t>
      </w:r>
      <w:r>
        <w:t>retain the power</w:t>
      </w:r>
      <w:r w:rsidR="00A55254">
        <w:t xml:space="preserve"> to direct the ACMA if required</w:t>
      </w:r>
      <w:r>
        <w:t xml:space="preserve"> through section 14 of the ACMA Act.</w:t>
      </w:r>
      <w:r>
        <w:rPr>
          <w:i/>
        </w:rPr>
        <w:t xml:space="preserve"> </w:t>
      </w:r>
      <w:r>
        <w:t xml:space="preserve">The Bill also provides for the </w:t>
      </w:r>
      <w:r w:rsidRPr="00E86F19">
        <w:t xml:space="preserve">Minister </w:t>
      </w:r>
      <w:r>
        <w:t>to direct the ACMA in relation to particular licence issues and the setting of spectrum access charges.</w:t>
      </w:r>
    </w:p>
    <w:p w14:paraId="01DDE068" w14:textId="015ADC9A" w:rsidR="0050415F" w:rsidRPr="00D9089A" w:rsidRDefault="00D07BA3" w:rsidP="00693300">
      <w:pPr>
        <w:rPr>
          <w:rFonts w:cs="Times New Roman"/>
        </w:rPr>
      </w:pPr>
      <w:r>
        <w:t>Ministerial policy statements</w:t>
      </w:r>
      <w:r w:rsidDel="00D07BA3">
        <w:t xml:space="preserve"> </w:t>
      </w:r>
      <w:r w:rsidR="0050415F">
        <w:t>will be notifiable instruments and will be required to be published on the Federal Register of Legislation (</w:t>
      </w:r>
      <w:hyperlink r:id="rId20" w:history="1">
        <w:r w:rsidR="000760F9" w:rsidRPr="001E4142">
          <w:rPr>
            <w:rStyle w:val="Hyperlink"/>
          </w:rPr>
          <w:t>www.legislation.gov.au</w:t>
        </w:r>
      </w:hyperlink>
      <w:r w:rsidR="0050415F">
        <w:t xml:space="preserve">). The Department will advise the Minister on relevant matters to be contained in </w:t>
      </w:r>
      <w:r>
        <w:t>Ministerial policy statements</w:t>
      </w:r>
      <w:r w:rsidR="0050415F">
        <w:t xml:space="preserve">. Consultation will be undertaken prior to finalisation of any </w:t>
      </w:r>
      <w:r>
        <w:t>Ministerial policy statements</w:t>
      </w:r>
      <w:r w:rsidR="0050415F">
        <w:t>.</w:t>
      </w:r>
    </w:p>
    <w:p w14:paraId="6AEE6C6C" w14:textId="77777777" w:rsidR="001751BB" w:rsidRDefault="00D07BA3">
      <w:r>
        <w:t>S</w:t>
      </w:r>
      <w:r w:rsidR="00E940B6">
        <w:t xml:space="preserve">takeholders have sought clarification </w:t>
      </w:r>
      <w:r>
        <w:t>on</w:t>
      </w:r>
      <w:r w:rsidR="00E940B6">
        <w:t xml:space="preserve"> the interaction between the proposed Statement of Expectations (as recommended by the ACMA Review) and </w:t>
      </w:r>
      <w:r>
        <w:t>Ministerial policy statements</w:t>
      </w:r>
      <w:r w:rsidR="00E940B6">
        <w:t>.</w:t>
      </w:r>
      <w:r w:rsidR="00EE4C02">
        <w:t xml:space="preserve"> </w:t>
      </w:r>
      <w:r w:rsidR="00E940B6">
        <w:t>While a Statement of Expectation</w:t>
      </w:r>
      <w:r w:rsidR="003E7EC7">
        <w:t>s</w:t>
      </w:r>
      <w:r w:rsidR="00E940B6">
        <w:t xml:space="preserve"> is yet to be issued by the Minister, in general terms</w:t>
      </w:r>
      <w:r>
        <w:t xml:space="preserve">, the Statement of Expectations </w:t>
      </w:r>
      <w:r w:rsidR="00F01E3D" w:rsidRPr="0075313C">
        <w:t xml:space="preserve">would outline the </w:t>
      </w:r>
      <w:r w:rsidR="00746E6E">
        <w:t>G</w:t>
      </w:r>
      <w:r w:rsidR="00F01E3D" w:rsidRPr="0075313C">
        <w:t xml:space="preserve">overnment’s expectations </w:t>
      </w:r>
      <w:r w:rsidR="00746E6E">
        <w:t xml:space="preserve">of the ACMA in the performance of all its roles </w:t>
      </w:r>
      <w:r w:rsidR="0003473A">
        <w:t xml:space="preserve">and </w:t>
      </w:r>
      <w:r w:rsidR="00746E6E">
        <w:t xml:space="preserve">responsibilities. </w:t>
      </w:r>
      <w:r w:rsidR="00F01E3D" w:rsidRPr="0075313C">
        <w:t>In response, the ACMA would develop its own publicly available Statement of Intent.</w:t>
      </w:r>
    </w:p>
    <w:p w14:paraId="08AD4CAE" w14:textId="07588B8E" w:rsidR="0083457A" w:rsidRDefault="00EA0420" w:rsidP="0050415F">
      <w:r w:rsidRPr="003E7EC7">
        <w:t xml:space="preserve">Ministerial policy statements, by contrast, </w:t>
      </w:r>
      <w:r w:rsidR="00746E6E">
        <w:t xml:space="preserve">will be </w:t>
      </w:r>
      <w:r w:rsidR="00F01E3D" w:rsidRPr="00F751E7">
        <w:t>specific to the ACMA’s spectrum management functions and powers, rather than to the ACMA more generally.</w:t>
      </w:r>
      <w:r w:rsidR="008E3F67">
        <w:t xml:space="preserve"> T</w:t>
      </w:r>
      <w:r w:rsidRPr="003E7EC7">
        <w:t>h</w:t>
      </w:r>
      <w:r w:rsidR="00F01E3D" w:rsidRPr="00F751E7">
        <w:t xml:space="preserve">e Statement of Expectations and </w:t>
      </w:r>
      <w:r w:rsidRPr="003E7EC7">
        <w:t xml:space="preserve">Ministerial policy statements will be </w:t>
      </w:r>
      <w:r w:rsidR="008E3F67">
        <w:t>prepared so as to be consistent with each other</w:t>
      </w:r>
      <w:r w:rsidRPr="003E7EC7">
        <w:t>.</w:t>
      </w:r>
    </w:p>
    <w:p w14:paraId="2D3E3D96" w14:textId="5B2D929B" w:rsidR="00296124" w:rsidRPr="00F42BD7" w:rsidRDefault="00296124" w:rsidP="00693300">
      <w:pPr>
        <w:pStyle w:val="Heading3"/>
      </w:pPr>
      <w:bookmarkStart w:id="19" w:name="_Toc480810840"/>
      <w:r w:rsidRPr="00F42BD7">
        <w:t xml:space="preserve">ACMA’s </w:t>
      </w:r>
      <w:r w:rsidR="00A30526" w:rsidRPr="00F42BD7">
        <w:t>w</w:t>
      </w:r>
      <w:r w:rsidRPr="00F42BD7">
        <w:t xml:space="preserve">ork </w:t>
      </w:r>
      <w:r w:rsidR="00A30526" w:rsidRPr="00F42BD7">
        <w:t>p</w:t>
      </w:r>
      <w:r w:rsidRPr="00F42BD7">
        <w:t xml:space="preserve">rogram (Part </w:t>
      </w:r>
      <w:r w:rsidR="00923FAD">
        <w:t>3</w:t>
      </w:r>
      <w:r w:rsidRPr="00F42BD7">
        <w:t>)</w:t>
      </w:r>
      <w:bookmarkEnd w:id="19"/>
    </w:p>
    <w:p w14:paraId="53079BAB" w14:textId="7E5E3AEB" w:rsidR="00E940B6" w:rsidRDefault="0012206C" w:rsidP="00693300">
      <w:r>
        <w:t xml:space="preserve">Part </w:t>
      </w:r>
      <w:r w:rsidR="00923FAD">
        <w:t>3</w:t>
      </w:r>
      <w:r>
        <w:t xml:space="preserve"> of the Bill introduces a legislative requirement for the ACMA to prepare and publish an annual </w:t>
      </w:r>
      <w:r w:rsidR="001F7857">
        <w:t>work program</w:t>
      </w:r>
      <w:r>
        <w:t xml:space="preserve"> in relation to its spectrum management </w:t>
      </w:r>
      <w:r w:rsidR="00354207">
        <w:t>activities</w:t>
      </w:r>
      <w:r>
        <w:t>.</w:t>
      </w:r>
      <w:r w:rsidR="00FE44EE">
        <w:t xml:space="preserve"> </w:t>
      </w:r>
      <w:r w:rsidR="00E940B6">
        <w:t xml:space="preserve">The </w:t>
      </w:r>
      <w:r w:rsidR="00FE44EE">
        <w:t xml:space="preserve">work program will have a five year planning horizon, </w:t>
      </w:r>
      <w:r w:rsidR="00E940B6">
        <w:t>with a detailed annual work program for the immediate</w:t>
      </w:r>
      <w:r w:rsidR="00FE44EE">
        <w:t xml:space="preserve">ly forthcoming </w:t>
      </w:r>
      <w:r w:rsidR="00E940B6">
        <w:t>financial year.</w:t>
      </w:r>
      <w:r w:rsidR="00EE4C02">
        <w:t xml:space="preserve"> </w:t>
      </w:r>
      <w:r w:rsidR="00FE44EE">
        <w:t>Mandatory consultation provisions are included in the Bill, which require the ACMA to consult the Minister, and invite and consider submission</w:t>
      </w:r>
      <w:r w:rsidR="00746E6E">
        <w:t>s</w:t>
      </w:r>
      <w:r w:rsidR="00FE44EE">
        <w:t xml:space="preserve"> prior to the preparation of the work program.</w:t>
      </w:r>
    </w:p>
    <w:p w14:paraId="336EF471" w14:textId="2805B3A1" w:rsidR="0083457A" w:rsidRPr="00443F4D" w:rsidRDefault="00EB3017" w:rsidP="00693300">
      <w:pPr>
        <w:rPr>
          <w:rFonts w:cs="Arial"/>
        </w:rPr>
      </w:pPr>
      <w:r>
        <w:t xml:space="preserve">Building on the ACMA’s current process for developing the </w:t>
      </w:r>
      <w:r w:rsidR="00FE44EE">
        <w:t>five year spectrum outlook (FYSO) document</w:t>
      </w:r>
      <w:r>
        <w:t xml:space="preserve">, the </w:t>
      </w:r>
      <w:r w:rsidR="00296124">
        <w:t xml:space="preserve">work program </w:t>
      </w:r>
      <w:r>
        <w:t xml:space="preserve">will </w:t>
      </w:r>
      <w:r w:rsidR="00296124">
        <w:t>provide</w:t>
      </w:r>
      <w:r w:rsidR="00FE44EE">
        <w:t xml:space="preserve"> the Minister and stakeholders with </w:t>
      </w:r>
      <w:r w:rsidR="00296124">
        <w:t xml:space="preserve">an </w:t>
      </w:r>
      <w:r w:rsidR="00296124" w:rsidRPr="00D5463D">
        <w:t xml:space="preserve">early indication of </w:t>
      </w:r>
      <w:r>
        <w:t xml:space="preserve">new and changing </w:t>
      </w:r>
      <w:r w:rsidR="00FE44EE">
        <w:t xml:space="preserve">priorities, </w:t>
      </w:r>
      <w:r w:rsidR="00296124" w:rsidRPr="00D5463D">
        <w:t xml:space="preserve">significant </w:t>
      </w:r>
      <w:r w:rsidR="00FE44EE">
        <w:t xml:space="preserve">spectrum planning and other </w:t>
      </w:r>
      <w:r>
        <w:t xml:space="preserve">proposed </w:t>
      </w:r>
      <w:r w:rsidR="00296124" w:rsidRPr="00D5463D">
        <w:t>decisions</w:t>
      </w:r>
      <w:r>
        <w:t xml:space="preserve"> </w:t>
      </w:r>
      <w:r w:rsidR="00FE44EE">
        <w:t xml:space="preserve">and </w:t>
      </w:r>
      <w:r w:rsidR="00296124" w:rsidRPr="00D5463D">
        <w:t>emerg</w:t>
      </w:r>
      <w:r w:rsidR="00FE44EE">
        <w:t>ing issues.</w:t>
      </w:r>
      <w:r w:rsidR="00EE4C02">
        <w:t xml:space="preserve"> </w:t>
      </w:r>
      <w:r w:rsidR="00296124" w:rsidRPr="00D5463D">
        <w:t>This will improve transparency, enabling improved forward planning for industry and the ACMA.</w:t>
      </w:r>
      <w:r w:rsidR="00EE4C02">
        <w:t xml:space="preserve"> </w:t>
      </w:r>
      <w:r w:rsidR="0083457A">
        <w:rPr>
          <w:rFonts w:cs="Arial"/>
        </w:rPr>
        <w:t>T</w:t>
      </w:r>
      <w:r w:rsidR="0083457A" w:rsidRPr="00566D02">
        <w:rPr>
          <w:rFonts w:cs="Arial"/>
        </w:rPr>
        <w:t xml:space="preserve">he ACMA will be able to </w:t>
      </w:r>
      <w:r w:rsidR="0083457A">
        <w:rPr>
          <w:rFonts w:cs="Arial"/>
        </w:rPr>
        <w:t xml:space="preserve">prepare new </w:t>
      </w:r>
      <w:r w:rsidR="001F7857">
        <w:rPr>
          <w:rFonts w:cs="Arial"/>
        </w:rPr>
        <w:t>work program</w:t>
      </w:r>
      <w:r w:rsidR="0083457A">
        <w:rPr>
          <w:rFonts w:cs="Arial"/>
        </w:rPr>
        <w:t>s as priorities or circumstances change</w:t>
      </w:r>
      <w:r w:rsidR="0083457A" w:rsidRPr="00566D02">
        <w:rPr>
          <w:rFonts w:cs="Arial"/>
        </w:rPr>
        <w:t>.</w:t>
      </w:r>
    </w:p>
    <w:p w14:paraId="3485AB75" w14:textId="50D659E2" w:rsidR="00296124" w:rsidRDefault="007B2FD4" w:rsidP="00693300">
      <w:pPr>
        <w:rPr>
          <w:rFonts w:cs="Arial"/>
        </w:rPr>
      </w:pPr>
      <w:r>
        <w:rPr>
          <w:rFonts w:cs="Arial"/>
        </w:rPr>
        <w:t xml:space="preserve">It is proposed that the ACMA </w:t>
      </w:r>
      <w:r w:rsidR="00F26532">
        <w:rPr>
          <w:rFonts w:cs="Arial"/>
        </w:rPr>
        <w:t xml:space="preserve">will </w:t>
      </w:r>
      <w:r w:rsidR="00F26532" w:rsidRPr="00F42BD7">
        <w:rPr>
          <w:rFonts w:cs="Arial"/>
        </w:rPr>
        <w:t xml:space="preserve">provide a report on its progress against its current work program </w:t>
      </w:r>
      <w:r w:rsidRPr="00F42BD7">
        <w:rPr>
          <w:rFonts w:cs="Arial"/>
        </w:rPr>
        <w:t>in</w:t>
      </w:r>
      <w:r>
        <w:rPr>
          <w:rFonts w:cs="Arial"/>
        </w:rPr>
        <w:t xml:space="preserve"> its Annual Report</w:t>
      </w:r>
      <w:r w:rsidR="00283E66">
        <w:rPr>
          <w:rFonts w:cs="Arial"/>
        </w:rPr>
        <w:t xml:space="preserve">. </w:t>
      </w:r>
      <w:r w:rsidR="00296124" w:rsidRPr="0083457A">
        <w:rPr>
          <w:rFonts w:cs="Arial"/>
        </w:rPr>
        <w:t xml:space="preserve">The ACMA has </w:t>
      </w:r>
      <w:r w:rsidR="00F26532">
        <w:rPr>
          <w:rFonts w:cs="Arial"/>
        </w:rPr>
        <w:t xml:space="preserve">also </w:t>
      </w:r>
      <w:r w:rsidR="00296124" w:rsidRPr="0083457A">
        <w:rPr>
          <w:rFonts w:cs="Arial"/>
        </w:rPr>
        <w:t xml:space="preserve">prepared a paper </w:t>
      </w:r>
      <w:r w:rsidR="00283E66">
        <w:rPr>
          <w:rFonts w:cs="Arial"/>
        </w:rPr>
        <w:t xml:space="preserve">with </w:t>
      </w:r>
      <w:r w:rsidR="00F26532">
        <w:rPr>
          <w:rFonts w:cs="Arial"/>
        </w:rPr>
        <w:t>information on</w:t>
      </w:r>
      <w:r w:rsidR="00F26532" w:rsidRPr="00F42BD7">
        <w:rPr>
          <w:rFonts w:cs="Arial"/>
        </w:rPr>
        <w:t xml:space="preserve"> </w:t>
      </w:r>
      <w:r w:rsidR="00567928">
        <w:rPr>
          <w:rFonts w:cs="Arial"/>
        </w:rPr>
        <w:t xml:space="preserve">how it may </w:t>
      </w:r>
      <w:r w:rsidR="00F26532" w:rsidRPr="00F42BD7">
        <w:rPr>
          <w:rFonts w:cs="Arial"/>
        </w:rPr>
        <w:t>develop the</w:t>
      </w:r>
      <w:r w:rsidR="00296124" w:rsidRPr="0083457A">
        <w:rPr>
          <w:rFonts w:cs="Arial"/>
        </w:rPr>
        <w:t xml:space="preserve"> annual </w:t>
      </w:r>
      <w:r w:rsidR="00296124" w:rsidRPr="008F299C">
        <w:t>work</w:t>
      </w:r>
      <w:r w:rsidR="00B4559A">
        <w:rPr>
          <w:rFonts w:cs="Arial"/>
        </w:rPr>
        <w:t xml:space="preserve"> program. It can be found on the ACMA website. </w:t>
      </w:r>
    </w:p>
    <w:p w14:paraId="7DF88F60" w14:textId="46FF34C8" w:rsidR="00FE44EE" w:rsidRDefault="00FE44EE" w:rsidP="00693300">
      <w:r>
        <w:t>It is intended that a</w:t>
      </w:r>
      <w:r w:rsidR="00EE4C02">
        <w:t xml:space="preserve"> Ministerial policy statement </w:t>
      </w:r>
      <w:r>
        <w:t xml:space="preserve">will provide guidance on the </w:t>
      </w:r>
      <w:r w:rsidR="00011D21">
        <w:t xml:space="preserve">development of the ACMA’s </w:t>
      </w:r>
      <w:r>
        <w:t>work program.</w:t>
      </w:r>
    </w:p>
    <w:p w14:paraId="070F66F9" w14:textId="3B96E05B" w:rsidR="00296124" w:rsidRPr="00F42BD7" w:rsidRDefault="00296124" w:rsidP="00693300">
      <w:pPr>
        <w:pStyle w:val="Heading3"/>
      </w:pPr>
      <w:bookmarkStart w:id="20" w:name="_Toc480810841"/>
      <w:r w:rsidRPr="00F42BD7">
        <w:t xml:space="preserve">Radiofrequency </w:t>
      </w:r>
      <w:r w:rsidR="00A30526" w:rsidRPr="00F42BD7">
        <w:t>p</w:t>
      </w:r>
      <w:r w:rsidRPr="00F42BD7">
        <w:t xml:space="preserve">lans (Part </w:t>
      </w:r>
      <w:r w:rsidR="00923FAD">
        <w:t>4</w:t>
      </w:r>
      <w:r w:rsidRPr="00F42BD7">
        <w:t>)</w:t>
      </w:r>
      <w:bookmarkEnd w:id="20"/>
    </w:p>
    <w:p w14:paraId="74EE0C29" w14:textId="2629D9D4" w:rsidR="00D2011D" w:rsidRDefault="002C1657" w:rsidP="00693300">
      <w:pPr>
        <w:rPr>
          <w:rFonts w:eastAsia="Times New Roman" w:cs="Arial"/>
          <w:lang w:eastAsia="en-AU"/>
        </w:rPr>
      </w:pPr>
      <w:r>
        <w:rPr>
          <w:rFonts w:eastAsia="Times New Roman" w:cs="Arial"/>
          <w:lang w:eastAsia="en-AU"/>
        </w:rPr>
        <w:t xml:space="preserve">Part </w:t>
      </w:r>
      <w:r w:rsidR="00923FAD">
        <w:rPr>
          <w:rFonts w:eastAsia="Times New Roman" w:cs="Arial"/>
          <w:lang w:eastAsia="en-AU"/>
        </w:rPr>
        <w:t>4</w:t>
      </w:r>
      <w:r>
        <w:rPr>
          <w:rFonts w:eastAsia="Times New Roman" w:cs="Arial"/>
          <w:lang w:eastAsia="en-AU"/>
        </w:rPr>
        <w:t xml:space="preserve"> of t</w:t>
      </w:r>
      <w:r w:rsidR="00296124">
        <w:rPr>
          <w:rFonts w:eastAsia="Times New Roman" w:cs="Arial"/>
          <w:lang w:eastAsia="en-AU"/>
        </w:rPr>
        <w:t xml:space="preserve">he Bill simplifies the </w:t>
      </w:r>
      <w:r w:rsidR="00296124" w:rsidRPr="00040A5D">
        <w:rPr>
          <w:rFonts w:eastAsia="Times New Roman" w:cs="Arial"/>
          <w:lang w:eastAsia="en-AU"/>
        </w:rPr>
        <w:t>radiocommunications planning framework</w:t>
      </w:r>
      <w:r w:rsidR="00D2011D">
        <w:rPr>
          <w:rFonts w:eastAsia="Times New Roman" w:cs="Arial"/>
          <w:lang w:eastAsia="en-AU"/>
        </w:rPr>
        <w:t xml:space="preserve"> (</w:t>
      </w:r>
      <w:r w:rsidR="00830537">
        <w:rPr>
          <w:rFonts w:eastAsia="Times New Roman" w:cs="Arial"/>
          <w:lang w:eastAsia="en-AU"/>
        </w:rPr>
        <w:t>Part 2.1</w:t>
      </w:r>
      <w:r w:rsidR="00D2011D">
        <w:rPr>
          <w:rFonts w:eastAsia="Times New Roman" w:cs="Arial"/>
          <w:lang w:eastAsia="en-AU"/>
        </w:rPr>
        <w:t xml:space="preserve"> of the </w:t>
      </w:r>
      <w:r>
        <w:rPr>
          <w:rFonts w:eastAsia="Times New Roman" w:cs="Arial"/>
          <w:lang w:eastAsia="en-AU"/>
        </w:rPr>
        <w:t xml:space="preserve">1992 </w:t>
      </w:r>
      <w:r w:rsidR="00D2011D">
        <w:rPr>
          <w:rFonts w:eastAsia="Times New Roman" w:cs="Arial"/>
          <w:lang w:eastAsia="en-AU"/>
        </w:rPr>
        <w:t>Act)</w:t>
      </w:r>
      <w:r w:rsidR="00296124" w:rsidRPr="00040A5D">
        <w:rPr>
          <w:rFonts w:eastAsia="Times New Roman" w:cs="Arial"/>
          <w:lang w:eastAsia="en-AU"/>
        </w:rPr>
        <w:t xml:space="preserve"> by consolidating the separate planning powers for spectrum plans</w:t>
      </w:r>
      <w:r w:rsidR="00D2011D">
        <w:rPr>
          <w:rFonts w:eastAsia="Times New Roman" w:cs="Arial"/>
          <w:lang w:eastAsia="en-AU"/>
        </w:rPr>
        <w:t xml:space="preserve">, </w:t>
      </w:r>
      <w:r w:rsidR="00296124" w:rsidRPr="00040A5D">
        <w:rPr>
          <w:rFonts w:eastAsia="Times New Roman" w:cs="Arial"/>
          <w:lang w:eastAsia="en-AU"/>
        </w:rPr>
        <w:t xml:space="preserve">radiofrequency band plans and </w:t>
      </w:r>
      <w:r w:rsidR="00296124" w:rsidRPr="00693300">
        <w:t>broadcasting</w:t>
      </w:r>
      <w:r w:rsidR="00296124" w:rsidRPr="00CA64D4">
        <w:rPr>
          <w:rFonts w:eastAsia="Times New Roman" w:cs="Arial"/>
          <w:lang w:eastAsia="en-AU"/>
        </w:rPr>
        <w:t xml:space="preserve"> services band plans</w:t>
      </w:r>
      <w:r w:rsidR="00D2011D">
        <w:rPr>
          <w:rFonts w:eastAsia="Times New Roman" w:cs="Arial"/>
          <w:lang w:eastAsia="en-AU"/>
        </w:rPr>
        <w:t xml:space="preserve"> into a single power to make radiofrequency plans.</w:t>
      </w:r>
    </w:p>
    <w:p w14:paraId="6B557974" w14:textId="2E965A88" w:rsidR="00D2011D" w:rsidRPr="00A2031D" w:rsidRDefault="00D2011D" w:rsidP="00693300">
      <w:pPr>
        <w:rPr>
          <w:rFonts w:eastAsia="Times New Roman" w:cs="Arial"/>
          <w:lang w:eastAsia="en-AU"/>
        </w:rPr>
      </w:pPr>
      <w:r w:rsidRPr="00A2031D">
        <w:rPr>
          <w:rFonts w:eastAsia="Times New Roman" w:cs="Arial"/>
          <w:lang w:eastAsia="en-AU"/>
        </w:rPr>
        <w:t>This approach removes the duplication that exists across these separate planning powers, while providing the ACMA with the</w:t>
      </w:r>
      <w:r w:rsidR="00591408" w:rsidRPr="00A2031D">
        <w:rPr>
          <w:rFonts w:eastAsia="Times New Roman" w:cs="Arial"/>
          <w:lang w:eastAsia="en-AU"/>
        </w:rPr>
        <w:t xml:space="preserve"> </w:t>
      </w:r>
      <w:r w:rsidRPr="00A2031D">
        <w:rPr>
          <w:rFonts w:eastAsia="Times New Roman" w:cs="Arial"/>
          <w:lang w:eastAsia="en-AU"/>
        </w:rPr>
        <w:t xml:space="preserve">flexibility to continue to make separate plans </w:t>
      </w:r>
      <w:r w:rsidR="00830537" w:rsidRPr="00A2031D">
        <w:rPr>
          <w:rFonts w:eastAsia="Times New Roman" w:cs="Arial"/>
          <w:lang w:eastAsia="en-AU"/>
        </w:rPr>
        <w:t xml:space="preserve">with different levels of detail </w:t>
      </w:r>
      <w:r w:rsidRPr="00A2031D">
        <w:rPr>
          <w:rFonts w:eastAsia="Times New Roman" w:cs="Arial"/>
          <w:lang w:eastAsia="en-AU"/>
        </w:rPr>
        <w:t>(</w:t>
      </w:r>
      <w:r w:rsidR="00830537" w:rsidRPr="00A2031D">
        <w:rPr>
          <w:rFonts w:eastAsia="Times New Roman" w:cs="Arial"/>
          <w:lang w:eastAsia="en-AU"/>
        </w:rPr>
        <w:t>currently done through</w:t>
      </w:r>
      <w:r w:rsidRPr="00A2031D">
        <w:rPr>
          <w:rFonts w:eastAsia="Times New Roman" w:cs="Arial"/>
          <w:lang w:eastAsia="en-AU"/>
        </w:rPr>
        <w:t xml:space="preserve"> spectrum and frequency band plans) as it considers necessary. It is anticipated that the ACMA will continue to use </w:t>
      </w:r>
      <w:r w:rsidR="002C4011" w:rsidRPr="00A2031D">
        <w:rPr>
          <w:rFonts w:eastAsia="Times New Roman" w:cs="Arial"/>
          <w:lang w:eastAsia="en-AU"/>
        </w:rPr>
        <w:t xml:space="preserve">some form of </w:t>
      </w:r>
      <w:r w:rsidRPr="00A2031D">
        <w:rPr>
          <w:rFonts w:eastAsia="Times New Roman" w:cs="Arial"/>
          <w:lang w:eastAsia="en-AU"/>
        </w:rPr>
        <w:t>administrative tools</w:t>
      </w:r>
      <w:r w:rsidR="00877BA4" w:rsidRPr="00A2031D">
        <w:rPr>
          <w:rFonts w:eastAsia="Times New Roman" w:cs="Arial"/>
          <w:lang w:eastAsia="en-AU"/>
        </w:rPr>
        <w:t xml:space="preserve"> to assist the planning process,</w:t>
      </w:r>
      <w:r w:rsidRPr="00A2031D">
        <w:rPr>
          <w:rFonts w:eastAsia="Times New Roman" w:cs="Arial"/>
          <w:lang w:eastAsia="en-AU"/>
        </w:rPr>
        <w:t xml:space="preserve"> </w:t>
      </w:r>
      <w:r w:rsidR="00877BA4" w:rsidRPr="00A2031D">
        <w:rPr>
          <w:rFonts w:eastAsia="Times New Roman" w:cs="Arial"/>
          <w:lang w:eastAsia="en-AU"/>
        </w:rPr>
        <w:t xml:space="preserve">for example </w:t>
      </w:r>
      <w:r w:rsidR="00082AFA" w:rsidRPr="00A2031D">
        <w:rPr>
          <w:rFonts w:eastAsia="Times New Roman" w:cs="Arial"/>
          <w:lang w:eastAsia="en-AU"/>
        </w:rPr>
        <w:t>Radiocommunications Assignment and Licensing Instructions (</w:t>
      </w:r>
      <w:r w:rsidRPr="00A2031D">
        <w:rPr>
          <w:rFonts w:eastAsia="Times New Roman" w:cs="Arial"/>
          <w:lang w:eastAsia="en-AU"/>
        </w:rPr>
        <w:t>RALIs</w:t>
      </w:r>
      <w:r w:rsidR="00082AFA" w:rsidRPr="00A2031D">
        <w:rPr>
          <w:rFonts w:eastAsia="Times New Roman" w:cs="Arial"/>
          <w:lang w:eastAsia="en-AU"/>
        </w:rPr>
        <w:t>)</w:t>
      </w:r>
      <w:r w:rsidR="00877BA4" w:rsidRPr="00A2031D">
        <w:rPr>
          <w:rFonts w:eastAsia="Times New Roman" w:cs="Arial"/>
          <w:lang w:eastAsia="en-AU"/>
        </w:rPr>
        <w:t xml:space="preserve">, </w:t>
      </w:r>
      <w:r w:rsidRPr="00A2031D">
        <w:rPr>
          <w:rFonts w:eastAsia="Times New Roman" w:cs="Arial"/>
          <w:lang w:eastAsia="en-AU"/>
        </w:rPr>
        <w:t>embargoes and the work program.</w:t>
      </w:r>
    </w:p>
    <w:p w14:paraId="49213B05" w14:textId="699C8631" w:rsidR="00296124" w:rsidRDefault="00651711" w:rsidP="00693300">
      <w:pPr>
        <w:rPr>
          <w:rFonts w:eastAsia="Times New Roman" w:cs="Arial"/>
          <w:lang w:eastAsia="en-AU"/>
        </w:rPr>
      </w:pPr>
      <w:r>
        <w:rPr>
          <w:rFonts w:eastAsia="Times New Roman" w:cs="Arial"/>
          <w:lang w:eastAsia="en-AU"/>
        </w:rPr>
        <w:t xml:space="preserve">Radiofrequency plans </w:t>
      </w:r>
      <w:r w:rsidR="00296124" w:rsidRPr="00BD6009">
        <w:rPr>
          <w:rFonts w:eastAsia="Times New Roman" w:cs="Arial"/>
          <w:lang w:eastAsia="en-AU"/>
        </w:rPr>
        <w:t xml:space="preserve">are legislative instruments, but </w:t>
      </w:r>
      <w:r w:rsidR="00D2011D" w:rsidRPr="00BD6009">
        <w:rPr>
          <w:rFonts w:eastAsia="Times New Roman" w:cs="Arial"/>
          <w:lang w:eastAsia="en-AU"/>
        </w:rPr>
        <w:t xml:space="preserve">cannot be </w:t>
      </w:r>
      <w:r w:rsidR="00296124" w:rsidRPr="00BD6009">
        <w:rPr>
          <w:rFonts w:eastAsia="Times New Roman" w:cs="Arial"/>
          <w:lang w:eastAsia="en-AU"/>
        </w:rPr>
        <w:t xml:space="preserve">disallowed by the Parliament. </w:t>
      </w:r>
      <w:r>
        <w:rPr>
          <w:rFonts w:eastAsia="Times New Roman" w:cs="Arial"/>
          <w:lang w:eastAsia="en-AU"/>
        </w:rPr>
        <w:t>The plans must be</w:t>
      </w:r>
      <w:r w:rsidR="00296124" w:rsidRPr="00BD6009">
        <w:rPr>
          <w:rFonts w:eastAsia="Times New Roman" w:cs="Arial"/>
          <w:lang w:eastAsia="en-AU"/>
        </w:rPr>
        <w:t xml:space="preserve"> published and </w:t>
      </w:r>
      <w:r>
        <w:rPr>
          <w:rFonts w:eastAsia="Times New Roman" w:cs="Arial"/>
          <w:lang w:eastAsia="en-AU"/>
        </w:rPr>
        <w:t xml:space="preserve">are </w:t>
      </w:r>
      <w:r w:rsidR="00296124" w:rsidRPr="00BD6009">
        <w:rPr>
          <w:rFonts w:eastAsia="Times New Roman" w:cs="Arial"/>
          <w:lang w:eastAsia="en-AU"/>
        </w:rPr>
        <w:t xml:space="preserve">subject to consultation in accordance with the </w:t>
      </w:r>
      <w:r w:rsidR="00296124" w:rsidRPr="00BD6009">
        <w:rPr>
          <w:rFonts w:eastAsia="Times New Roman" w:cs="Arial"/>
          <w:i/>
          <w:lang w:eastAsia="en-AU"/>
        </w:rPr>
        <w:t>Legislation Act 2003</w:t>
      </w:r>
      <w:r w:rsidR="00296124" w:rsidRPr="00BD6009">
        <w:rPr>
          <w:rFonts w:eastAsia="Times New Roman" w:cs="Arial"/>
          <w:lang w:eastAsia="en-AU"/>
        </w:rPr>
        <w:t>.</w:t>
      </w:r>
      <w:r w:rsidR="00D2011D" w:rsidRPr="00BD6009">
        <w:rPr>
          <w:rFonts w:eastAsia="Times New Roman" w:cs="Arial"/>
          <w:lang w:eastAsia="en-AU"/>
        </w:rPr>
        <w:t xml:space="preserve"> This </w:t>
      </w:r>
      <w:r w:rsidR="00D2011D" w:rsidRPr="00693300">
        <w:t>approach</w:t>
      </w:r>
      <w:r w:rsidR="00D9089A" w:rsidRPr="00BD6009">
        <w:t xml:space="preserve"> </w:t>
      </w:r>
      <w:r w:rsidR="00AE07EE" w:rsidRPr="00F42BD7">
        <w:t xml:space="preserve">maintains transparency of spectrum </w:t>
      </w:r>
      <w:r w:rsidR="00B41F6C" w:rsidRPr="001D3056">
        <w:t>planning</w:t>
      </w:r>
      <w:r w:rsidR="00B41F6C" w:rsidRPr="00BD6009">
        <w:t xml:space="preserve"> </w:t>
      </w:r>
      <w:r w:rsidR="00AE07EE" w:rsidRPr="00F42BD7">
        <w:t xml:space="preserve">and </w:t>
      </w:r>
      <w:r w:rsidR="00050D36" w:rsidRPr="00F42BD7">
        <w:t xml:space="preserve">allows existing and prospective spectrum users to maintain confidence in </w:t>
      </w:r>
      <w:r w:rsidR="00AE07EE" w:rsidRPr="00F42BD7">
        <w:t>that planning</w:t>
      </w:r>
      <w:r w:rsidR="00050D36" w:rsidRPr="00F42BD7">
        <w:t>.</w:t>
      </w:r>
    </w:p>
    <w:p w14:paraId="1AE20D9A" w14:textId="20AA2205" w:rsidR="00D2011D" w:rsidRPr="00040A5D" w:rsidRDefault="00EB3017" w:rsidP="00693300">
      <w:pPr>
        <w:rPr>
          <w:rFonts w:eastAsia="Times New Roman" w:cs="Arial"/>
          <w:lang w:eastAsia="en-AU"/>
        </w:rPr>
      </w:pPr>
      <w:r>
        <w:rPr>
          <w:rFonts w:eastAsia="Times New Roman" w:cs="Arial"/>
          <w:lang w:eastAsia="en-AU"/>
        </w:rPr>
        <w:t xml:space="preserve">The </w:t>
      </w:r>
      <w:r w:rsidR="00D2011D" w:rsidRPr="00040A5D">
        <w:rPr>
          <w:rFonts w:eastAsia="Times New Roman" w:cs="Arial"/>
          <w:lang w:eastAsia="en-AU"/>
        </w:rPr>
        <w:t xml:space="preserve">Bill continues to specify that plans may provide for parts of the spectrum to be reserved for the </w:t>
      </w:r>
      <w:r w:rsidR="00D2011D" w:rsidRPr="00693300">
        <w:t>provision</w:t>
      </w:r>
      <w:r w:rsidR="00D2011D" w:rsidRPr="00040A5D">
        <w:rPr>
          <w:rFonts w:eastAsia="Times New Roman" w:cs="Arial"/>
          <w:lang w:eastAsia="en-AU"/>
        </w:rPr>
        <w:t xml:space="preserve"> </w:t>
      </w:r>
      <w:r w:rsidR="001A2F1C">
        <w:rPr>
          <w:rFonts w:eastAsia="Times New Roman" w:cs="Arial"/>
          <w:lang w:eastAsia="en-AU"/>
        </w:rPr>
        <w:t xml:space="preserve">of </w:t>
      </w:r>
      <w:r w:rsidR="00971C22">
        <w:rPr>
          <w:rFonts w:eastAsia="Times New Roman" w:cs="Arial"/>
          <w:lang w:eastAsia="en-AU"/>
        </w:rPr>
        <w:t>defence and public and community services</w:t>
      </w:r>
      <w:r w:rsidR="00D2011D" w:rsidRPr="00040A5D">
        <w:rPr>
          <w:rFonts w:eastAsia="Times New Roman" w:cs="Arial"/>
          <w:lang w:eastAsia="en-AU"/>
        </w:rPr>
        <w:t>.</w:t>
      </w:r>
    </w:p>
    <w:p w14:paraId="16186C87" w14:textId="3DA0D7BD" w:rsidR="00591408" w:rsidRPr="006B37D4" w:rsidRDefault="00591408" w:rsidP="00693300">
      <w:r>
        <w:t>The Bill requires that the ACMA must not perform its spectrum management functions or exercise i</w:t>
      </w:r>
      <w:r w:rsidR="00107585">
        <w:t>t</w:t>
      </w:r>
      <w:r>
        <w:t>s spectrum management powers in a manner that is inconsistent with a radiofrequency plan</w:t>
      </w:r>
      <w:r w:rsidR="001D3B46">
        <w:t xml:space="preserve">. However, the Bill allows the ACMA </w:t>
      </w:r>
      <w:r w:rsidR="00EE4C02">
        <w:t xml:space="preserve">in special circumstances, such as </w:t>
      </w:r>
      <w:r w:rsidR="002165C8">
        <w:t xml:space="preserve">for </w:t>
      </w:r>
      <w:r w:rsidR="002165C8" w:rsidRPr="009A5EAD">
        <w:rPr>
          <w:rFonts w:cs="Arial"/>
        </w:rPr>
        <w:t>defence</w:t>
      </w:r>
      <w:r w:rsidR="002165C8">
        <w:rPr>
          <w:rFonts w:cs="Arial"/>
        </w:rPr>
        <w:t xml:space="preserve"> or</w:t>
      </w:r>
      <w:r w:rsidR="002165C8" w:rsidRPr="009A5EAD">
        <w:rPr>
          <w:rFonts w:cs="Arial"/>
        </w:rPr>
        <w:t xml:space="preserve"> security</w:t>
      </w:r>
      <w:r w:rsidR="001F7F31">
        <w:rPr>
          <w:rFonts w:cs="Arial"/>
        </w:rPr>
        <w:t xml:space="preserve">, </w:t>
      </w:r>
      <w:r w:rsidR="001F7F31">
        <w:t>to issue short-term licences which are inconsistent with a radiofrequency plan</w:t>
      </w:r>
      <w:r w:rsidR="00E72FF5">
        <w:t>.</w:t>
      </w:r>
    </w:p>
    <w:p w14:paraId="7D30AD8F" w14:textId="5DC144A5" w:rsidR="00D2011D" w:rsidRDefault="00D2011D" w:rsidP="00693300">
      <w:r>
        <w:rPr>
          <w:rFonts w:eastAsia="Times New Roman" w:cs="Arial"/>
          <w:lang w:eastAsia="en-AU"/>
        </w:rPr>
        <w:t xml:space="preserve">Further </w:t>
      </w:r>
      <w:r w:rsidR="00885E45">
        <w:rPr>
          <w:rFonts w:eastAsia="Times New Roman" w:cs="Arial"/>
          <w:lang w:eastAsia="en-AU"/>
        </w:rPr>
        <w:t xml:space="preserve">information on the </w:t>
      </w:r>
      <w:r w:rsidR="00971C22">
        <w:rPr>
          <w:rFonts w:eastAsia="Times New Roman" w:cs="Arial"/>
          <w:lang w:eastAsia="en-AU"/>
        </w:rPr>
        <w:t xml:space="preserve">proposed </w:t>
      </w:r>
      <w:r w:rsidR="00885E45">
        <w:rPr>
          <w:rFonts w:eastAsia="Times New Roman" w:cs="Arial"/>
          <w:lang w:eastAsia="en-AU"/>
        </w:rPr>
        <w:t>approach to planning of</w:t>
      </w:r>
      <w:r>
        <w:rPr>
          <w:rFonts w:eastAsia="Times New Roman" w:cs="Arial"/>
          <w:lang w:eastAsia="en-AU"/>
        </w:rPr>
        <w:t xml:space="preserve"> broadcasting services bands is provided </w:t>
      </w:r>
      <w:r w:rsidR="005A04B8">
        <w:rPr>
          <w:rFonts w:eastAsia="Times New Roman" w:cs="Arial"/>
          <w:lang w:eastAsia="en-AU"/>
        </w:rPr>
        <w:t xml:space="preserve">in the </w:t>
      </w:r>
      <w:r w:rsidR="005A04B8" w:rsidRPr="00693300">
        <w:t>accompanying</w:t>
      </w:r>
      <w:r w:rsidR="005A04B8">
        <w:rPr>
          <w:rFonts w:eastAsia="Times New Roman" w:cs="Arial"/>
          <w:lang w:eastAsia="en-AU"/>
        </w:rPr>
        <w:t xml:space="preserve"> </w:t>
      </w:r>
      <w:r w:rsidR="005A04B8" w:rsidRPr="000F16AD">
        <w:rPr>
          <w:rFonts w:eastAsia="Times New Roman" w:cs="Arial"/>
          <w:i/>
          <w:lang w:eastAsia="en-AU"/>
        </w:rPr>
        <w:t>Broadcasting Spectrum</w:t>
      </w:r>
      <w:r w:rsidR="00B4559A">
        <w:rPr>
          <w:rFonts w:eastAsia="Times New Roman" w:cs="Arial"/>
          <w:i/>
          <w:lang w:eastAsia="en-AU"/>
        </w:rPr>
        <w:t xml:space="preserve"> </w:t>
      </w:r>
      <w:r w:rsidR="00B4559A" w:rsidRPr="00B4559A">
        <w:rPr>
          <w:rFonts w:eastAsia="Times New Roman" w:cs="Arial"/>
          <w:lang w:eastAsia="en-AU"/>
        </w:rPr>
        <w:t>consultation paper</w:t>
      </w:r>
      <w:r w:rsidR="005A04B8" w:rsidRPr="00B4559A">
        <w:rPr>
          <w:rFonts w:eastAsia="Times New Roman" w:cs="Arial"/>
          <w:lang w:eastAsia="en-AU"/>
        </w:rPr>
        <w:t>.</w:t>
      </w:r>
    </w:p>
    <w:p w14:paraId="4F7F5457" w14:textId="050EC57C" w:rsidR="00D2011D" w:rsidRPr="00F42BD7" w:rsidRDefault="00D2011D" w:rsidP="00693300">
      <w:pPr>
        <w:pStyle w:val="Heading3"/>
      </w:pPr>
      <w:bookmarkStart w:id="21" w:name="_Toc480810842"/>
      <w:r w:rsidRPr="00F42BD7">
        <w:t xml:space="preserve">Operation of radiocommunications </w:t>
      </w:r>
      <w:r w:rsidR="00971C22">
        <w:t>devices</w:t>
      </w:r>
      <w:r w:rsidRPr="00F42BD7">
        <w:t xml:space="preserve"> (Part </w:t>
      </w:r>
      <w:r w:rsidR="00923FAD">
        <w:t>5</w:t>
      </w:r>
      <w:r w:rsidRPr="00F42BD7">
        <w:t>)</w:t>
      </w:r>
      <w:bookmarkEnd w:id="21"/>
    </w:p>
    <w:p w14:paraId="5710EB56" w14:textId="77777777" w:rsidR="001751BB" w:rsidRPr="00041DDE" w:rsidRDefault="00CB3861" w:rsidP="00693300">
      <w:r w:rsidRPr="00041DDE">
        <w:t>One of the primary reasons spectrum is regulated is to prevent interference between users</w:t>
      </w:r>
      <w:r w:rsidR="00E72FF5" w:rsidRPr="00041DDE">
        <w:t xml:space="preserve"> of radiocommunications devices</w:t>
      </w:r>
      <w:r w:rsidRPr="00041DDE">
        <w:t xml:space="preserve">. As such, Part </w:t>
      </w:r>
      <w:r w:rsidR="00923FAD" w:rsidRPr="00041DDE">
        <w:t>5</w:t>
      </w:r>
      <w:r w:rsidRPr="00041DDE">
        <w:t xml:space="preserve"> of the Bill </w:t>
      </w:r>
      <w:r w:rsidR="000D0833" w:rsidRPr="00041DDE">
        <w:t xml:space="preserve">forms </w:t>
      </w:r>
      <w:r w:rsidRPr="00041DDE">
        <w:t xml:space="preserve">the cornerstone of the spectrum management framework. </w:t>
      </w:r>
      <w:r w:rsidR="00E72FF5" w:rsidRPr="00041DDE">
        <w:t xml:space="preserve">Given the safety critical nature of some radio operations (for example air navigation, police and emergency services communications and maritime safety), the </w:t>
      </w:r>
      <w:r w:rsidRPr="00041DDE">
        <w:t>Bill</w:t>
      </w:r>
      <w:r w:rsidR="00E72FF5" w:rsidRPr="00041DDE">
        <w:t xml:space="preserve"> </w:t>
      </w:r>
      <w:r w:rsidRPr="00041DDE">
        <w:t>provides both civil and criminal penalties for unauthorised operation</w:t>
      </w:r>
      <w:r w:rsidR="00D62385" w:rsidRPr="00041DDE">
        <w:t xml:space="preserve"> and unlawful possession</w:t>
      </w:r>
      <w:r w:rsidRPr="00041DDE">
        <w:t xml:space="preserve"> of </w:t>
      </w:r>
      <w:r w:rsidR="000C5B51" w:rsidRPr="00041DDE">
        <w:t xml:space="preserve">radiocommunications </w:t>
      </w:r>
      <w:r w:rsidRPr="00041DDE">
        <w:t>transmitters.</w:t>
      </w:r>
      <w:r w:rsidR="00166585" w:rsidRPr="00041DDE">
        <w:t xml:space="preserve"> </w:t>
      </w:r>
      <w:r w:rsidRPr="00041DDE">
        <w:t>This enables the regulator to use enforcement tools appropriate to the harm</w:t>
      </w:r>
      <w:r w:rsidR="00E72FF5" w:rsidRPr="00041DDE">
        <w:t xml:space="preserve"> that is caused.</w:t>
      </w:r>
    </w:p>
    <w:p w14:paraId="6C79815A" w14:textId="57C26105" w:rsidR="008F5011" w:rsidRPr="00F42BD7" w:rsidRDefault="008F5011" w:rsidP="00B07678">
      <w:pPr>
        <w:pStyle w:val="Heading4"/>
        <w:spacing w:after="120"/>
        <w:rPr>
          <w:lang w:eastAsia="en-AU"/>
        </w:rPr>
      </w:pPr>
      <w:bookmarkStart w:id="22" w:name="_Toc480810843"/>
      <w:r w:rsidRPr="00F42BD7">
        <w:rPr>
          <w:lang w:eastAsia="en-AU"/>
        </w:rPr>
        <w:t>Unauthorised operation and unlawful possession</w:t>
      </w:r>
      <w:bookmarkEnd w:id="22"/>
    </w:p>
    <w:p w14:paraId="42A841D1" w14:textId="44DE53BC" w:rsidR="004A2560" w:rsidRDefault="00D62385" w:rsidP="00693300">
      <w:pPr>
        <w:rPr>
          <w:rFonts w:eastAsia="Times New Roman" w:cs="Arial"/>
          <w:lang w:eastAsia="en-AU"/>
        </w:rPr>
      </w:pPr>
      <w:r>
        <w:rPr>
          <w:rFonts w:eastAsia="Times New Roman" w:cs="Arial"/>
          <w:lang w:eastAsia="en-AU"/>
        </w:rPr>
        <w:t>Under the new framework, a</w:t>
      </w:r>
      <w:r w:rsidR="004A2560">
        <w:rPr>
          <w:rFonts w:eastAsia="Times New Roman" w:cs="Arial"/>
          <w:lang w:eastAsia="en-AU"/>
        </w:rPr>
        <w:t xml:space="preserve"> person </w:t>
      </w:r>
      <w:r>
        <w:rPr>
          <w:rFonts w:eastAsia="Times New Roman" w:cs="Arial"/>
          <w:lang w:eastAsia="en-AU"/>
        </w:rPr>
        <w:t>would</w:t>
      </w:r>
      <w:r w:rsidR="004A2560">
        <w:rPr>
          <w:rFonts w:eastAsia="Times New Roman" w:cs="Arial"/>
          <w:lang w:eastAsia="en-AU"/>
        </w:rPr>
        <w:t xml:space="preserve"> only require a licence to operate, </w:t>
      </w:r>
      <w:r>
        <w:rPr>
          <w:rFonts w:eastAsia="Times New Roman" w:cs="Arial"/>
          <w:lang w:eastAsia="en-AU"/>
        </w:rPr>
        <w:t xml:space="preserve">or </w:t>
      </w:r>
      <w:r w:rsidR="004A2560">
        <w:rPr>
          <w:rFonts w:eastAsia="Times New Roman" w:cs="Arial"/>
          <w:lang w:eastAsia="en-AU"/>
        </w:rPr>
        <w:t xml:space="preserve">possess for the purposes of operation, a radiocommunications transmitter. Radiocommunications receivers </w:t>
      </w:r>
      <w:r w:rsidR="00CE54C5">
        <w:rPr>
          <w:rFonts w:eastAsia="Times New Roman" w:cs="Arial"/>
          <w:lang w:eastAsia="en-AU"/>
        </w:rPr>
        <w:t xml:space="preserve">would </w:t>
      </w:r>
      <w:r w:rsidR="004A2560">
        <w:rPr>
          <w:rFonts w:eastAsia="Times New Roman" w:cs="Arial"/>
          <w:lang w:eastAsia="en-AU"/>
        </w:rPr>
        <w:t xml:space="preserve">no longer </w:t>
      </w:r>
      <w:r w:rsidR="004A2560" w:rsidRPr="00693300">
        <w:t>require</w:t>
      </w:r>
      <w:r w:rsidR="004A2560">
        <w:rPr>
          <w:rFonts w:eastAsia="Times New Roman" w:cs="Arial"/>
          <w:lang w:eastAsia="en-AU"/>
        </w:rPr>
        <w:t xml:space="preserve"> a licence as they have no potential to cause interference.</w:t>
      </w:r>
    </w:p>
    <w:p w14:paraId="7287A947" w14:textId="77777777" w:rsidR="001751BB" w:rsidRDefault="00D31254" w:rsidP="00693300">
      <w:pPr>
        <w:rPr>
          <w:rFonts w:eastAsia="Times New Roman" w:cs="Arial"/>
          <w:lang w:eastAsia="en-AU"/>
        </w:rPr>
      </w:pPr>
      <w:r>
        <w:rPr>
          <w:rFonts w:eastAsia="Times New Roman" w:cs="Arial"/>
          <w:lang w:eastAsia="en-AU"/>
        </w:rPr>
        <w:t xml:space="preserve">The Bill continues to provide penalties for the unlawful possession of radiocommunications </w:t>
      </w:r>
      <w:r w:rsidRPr="00693300">
        <w:t>transmitters</w:t>
      </w:r>
      <w:r w:rsidR="00381E2E">
        <w:rPr>
          <w:rFonts w:eastAsia="Times New Roman" w:cs="Arial"/>
          <w:lang w:eastAsia="en-AU"/>
        </w:rPr>
        <w:t>.</w:t>
      </w:r>
    </w:p>
    <w:p w14:paraId="3EB3AE2C" w14:textId="720630B6" w:rsidR="00277DC5" w:rsidRDefault="008E69D1" w:rsidP="00693300">
      <w:pPr>
        <w:rPr>
          <w:rFonts w:eastAsia="Times New Roman" w:cs="Arial"/>
          <w:lang w:eastAsia="en-AU"/>
        </w:rPr>
      </w:pPr>
      <w:r>
        <w:rPr>
          <w:rFonts w:eastAsia="Times New Roman" w:cs="Arial"/>
          <w:lang w:eastAsia="en-AU"/>
        </w:rPr>
        <w:t xml:space="preserve">Consistent with the graduated approach to enforcement, a contravention of the Part </w:t>
      </w:r>
      <w:r w:rsidR="00923FAD">
        <w:rPr>
          <w:rFonts w:eastAsia="Times New Roman" w:cs="Arial"/>
          <w:lang w:eastAsia="en-AU"/>
        </w:rPr>
        <w:t>5</w:t>
      </w:r>
      <w:r>
        <w:rPr>
          <w:rFonts w:eastAsia="Times New Roman" w:cs="Arial"/>
          <w:lang w:eastAsia="en-AU"/>
        </w:rPr>
        <w:t xml:space="preserve"> provisions </w:t>
      </w:r>
      <w:r w:rsidR="00CE54C5">
        <w:rPr>
          <w:rFonts w:eastAsia="Times New Roman" w:cs="Arial"/>
          <w:lang w:eastAsia="en-AU"/>
        </w:rPr>
        <w:t xml:space="preserve">(with the exception of uncertified operation as described below) </w:t>
      </w:r>
      <w:r w:rsidR="0021411A">
        <w:rPr>
          <w:rFonts w:eastAsia="Times New Roman" w:cs="Arial"/>
          <w:lang w:eastAsia="en-AU"/>
        </w:rPr>
        <w:t xml:space="preserve">may </w:t>
      </w:r>
      <w:r w:rsidR="00D648FD">
        <w:rPr>
          <w:rFonts w:eastAsia="Times New Roman" w:cs="Arial"/>
          <w:lang w:eastAsia="en-AU"/>
        </w:rPr>
        <w:t xml:space="preserve">either </w:t>
      </w:r>
      <w:r w:rsidR="00D145CD">
        <w:rPr>
          <w:rFonts w:eastAsia="Times New Roman" w:cs="Arial"/>
          <w:lang w:eastAsia="en-AU"/>
        </w:rPr>
        <w:t xml:space="preserve">attract </w:t>
      </w:r>
      <w:r w:rsidR="00D648FD">
        <w:rPr>
          <w:rFonts w:eastAsia="Times New Roman" w:cs="Arial"/>
          <w:lang w:eastAsia="en-AU"/>
        </w:rPr>
        <w:t xml:space="preserve">a </w:t>
      </w:r>
      <w:r w:rsidRPr="008E69D1">
        <w:rPr>
          <w:rFonts w:eastAsia="Times New Roman" w:cs="Arial"/>
          <w:lang w:eastAsia="en-AU"/>
        </w:rPr>
        <w:t xml:space="preserve">civil penalty </w:t>
      </w:r>
      <w:r w:rsidR="00D648FD">
        <w:rPr>
          <w:rFonts w:eastAsia="Times New Roman" w:cs="Arial"/>
          <w:lang w:eastAsia="en-AU"/>
        </w:rPr>
        <w:t xml:space="preserve">or </w:t>
      </w:r>
      <w:r w:rsidR="00D145CD">
        <w:rPr>
          <w:rFonts w:eastAsia="Times New Roman" w:cs="Arial"/>
          <w:lang w:eastAsia="en-AU"/>
        </w:rPr>
        <w:t xml:space="preserve">constitute </w:t>
      </w:r>
      <w:r w:rsidR="00D648FD">
        <w:rPr>
          <w:rFonts w:eastAsia="Times New Roman" w:cs="Arial"/>
          <w:lang w:eastAsia="en-AU"/>
        </w:rPr>
        <w:t>a criminal offence</w:t>
      </w:r>
      <w:r w:rsidRPr="008E69D1">
        <w:rPr>
          <w:rFonts w:eastAsia="Times New Roman" w:cs="Arial"/>
          <w:lang w:eastAsia="en-AU"/>
        </w:rPr>
        <w:t xml:space="preserve">. </w:t>
      </w:r>
      <w:r w:rsidR="00D648FD">
        <w:rPr>
          <w:rFonts w:eastAsia="Times New Roman" w:cs="Arial"/>
          <w:lang w:eastAsia="en-AU"/>
        </w:rPr>
        <w:t xml:space="preserve">This is consistent with stakeholder feedback, which strongly supported inclusion of both civil </w:t>
      </w:r>
      <w:r w:rsidR="00D648FD" w:rsidRPr="00693300">
        <w:t>and</w:t>
      </w:r>
      <w:r w:rsidR="00D648FD">
        <w:rPr>
          <w:rFonts w:eastAsia="Times New Roman" w:cs="Arial"/>
          <w:lang w:eastAsia="en-AU"/>
        </w:rPr>
        <w:t xml:space="preserve"> criminal </w:t>
      </w:r>
      <w:r w:rsidR="00C5667C">
        <w:rPr>
          <w:rFonts w:eastAsia="Times New Roman" w:cs="Arial"/>
          <w:lang w:eastAsia="en-AU"/>
        </w:rPr>
        <w:t>penalties</w:t>
      </w:r>
      <w:r w:rsidR="00D648FD">
        <w:rPr>
          <w:rFonts w:eastAsia="Times New Roman" w:cs="Arial"/>
          <w:lang w:eastAsia="en-AU"/>
        </w:rPr>
        <w:t>.</w:t>
      </w:r>
    </w:p>
    <w:p w14:paraId="6025D228" w14:textId="1C3732BF" w:rsidR="008F5011" w:rsidRPr="00F42BD7" w:rsidRDefault="008F5011" w:rsidP="00B07678">
      <w:pPr>
        <w:pStyle w:val="Heading4"/>
        <w:spacing w:after="120"/>
        <w:rPr>
          <w:lang w:eastAsia="en-AU"/>
        </w:rPr>
      </w:pPr>
      <w:bookmarkStart w:id="23" w:name="_Toc480810844"/>
      <w:r w:rsidRPr="00F42BD7">
        <w:rPr>
          <w:lang w:eastAsia="en-AU"/>
        </w:rPr>
        <w:t>Uncertified operation</w:t>
      </w:r>
      <w:bookmarkEnd w:id="23"/>
    </w:p>
    <w:p w14:paraId="2152243B" w14:textId="77777777" w:rsidR="001751BB" w:rsidRDefault="00D76910" w:rsidP="00693300">
      <w:pPr>
        <w:rPr>
          <w:rFonts w:eastAsia="Times New Roman" w:cs="Arial"/>
          <w:lang w:eastAsia="en-AU"/>
        </w:rPr>
      </w:pPr>
      <w:r>
        <w:rPr>
          <w:rFonts w:eastAsia="Times New Roman" w:cs="Arial"/>
          <w:lang w:eastAsia="en-AU"/>
        </w:rPr>
        <w:t xml:space="preserve">The Bill </w:t>
      </w:r>
      <w:r w:rsidR="00223C00">
        <w:rPr>
          <w:rFonts w:eastAsia="Times New Roman" w:cs="Arial"/>
          <w:lang w:eastAsia="en-AU"/>
        </w:rPr>
        <w:t>simplifies the operation of certified operator requirements (</w:t>
      </w:r>
      <w:r w:rsidR="00614B51">
        <w:rPr>
          <w:rFonts w:eastAsia="Times New Roman" w:cs="Arial"/>
          <w:lang w:eastAsia="en-AU"/>
        </w:rPr>
        <w:t>‘</w:t>
      </w:r>
      <w:r w:rsidR="00223C00">
        <w:rPr>
          <w:rFonts w:eastAsia="Times New Roman" w:cs="Arial"/>
          <w:lang w:eastAsia="en-AU"/>
        </w:rPr>
        <w:t>qualified operator</w:t>
      </w:r>
      <w:r w:rsidR="00614B51">
        <w:rPr>
          <w:rFonts w:eastAsia="Times New Roman" w:cs="Arial"/>
          <w:lang w:eastAsia="en-AU"/>
        </w:rPr>
        <w:t>’</w:t>
      </w:r>
      <w:r w:rsidR="00223C00">
        <w:rPr>
          <w:rFonts w:eastAsia="Times New Roman" w:cs="Arial"/>
          <w:lang w:eastAsia="en-AU"/>
        </w:rPr>
        <w:t xml:space="preserve"> rules under the 1992 Act) </w:t>
      </w:r>
      <w:r>
        <w:rPr>
          <w:rFonts w:eastAsia="Times New Roman" w:cs="Arial"/>
          <w:lang w:eastAsia="en-AU"/>
        </w:rPr>
        <w:t xml:space="preserve">by providing a separate civil penalty provision prohibiting operation of prescribed types of </w:t>
      </w:r>
      <w:r w:rsidRPr="00693300">
        <w:t>radiocommunications</w:t>
      </w:r>
      <w:r>
        <w:rPr>
          <w:rFonts w:eastAsia="Times New Roman" w:cs="Arial"/>
          <w:lang w:eastAsia="en-AU"/>
        </w:rPr>
        <w:t xml:space="preserve"> device without a certificate of proficiency</w:t>
      </w:r>
      <w:r w:rsidR="00AF6E88">
        <w:rPr>
          <w:rFonts w:eastAsia="Times New Roman" w:cs="Arial"/>
          <w:lang w:eastAsia="en-AU"/>
        </w:rPr>
        <w:t>.</w:t>
      </w:r>
    </w:p>
    <w:p w14:paraId="02BB0816" w14:textId="5976100A" w:rsidR="00A63B7C" w:rsidRPr="00F42BD7" w:rsidRDefault="008F5011" w:rsidP="00B07678">
      <w:pPr>
        <w:pStyle w:val="Heading4"/>
        <w:spacing w:after="120"/>
        <w:rPr>
          <w:lang w:eastAsia="en-AU"/>
        </w:rPr>
      </w:pPr>
      <w:bookmarkStart w:id="24" w:name="_Toc480810845"/>
      <w:r w:rsidRPr="00F42BD7">
        <w:rPr>
          <w:lang w:eastAsia="en-AU"/>
        </w:rPr>
        <w:t>Civil proceedings</w:t>
      </w:r>
      <w:bookmarkEnd w:id="24"/>
    </w:p>
    <w:p w14:paraId="7EE24F02" w14:textId="6DCDE21E" w:rsidR="00D2011D" w:rsidRDefault="00EB6A17" w:rsidP="00693300">
      <w:pPr>
        <w:rPr>
          <w:rFonts w:eastAsia="Times New Roman" w:cs="Arial"/>
          <w:lang w:eastAsia="en-AU"/>
        </w:rPr>
      </w:pPr>
      <w:r>
        <w:rPr>
          <w:rFonts w:eastAsia="Times New Roman" w:cs="Arial"/>
          <w:lang w:eastAsia="en-AU"/>
        </w:rPr>
        <w:t>Consistent</w:t>
      </w:r>
      <w:r w:rsidR="00F727B9">
        <w:rPr>
          <w:rFonts w:eastAsia="Times New Roman" w:cs="Arial"/>
          <w:lang w:eastAsia="en-AU"/>
        </w:rPr>
        <w:t xml:space="preserve"> with the uniform treatment of licences under the single licensing </w:t>
      </w:r>
      <w:r w:rsidR="00196B5F">
        <w:rPr>
          <w:rFonts w:eastAsia="Times New Roman" w:cs="Arial"/>
          <w:lang w:eastAsia="en-AU"/>
        </w:rPr>
        <w:t>system</w:t>
      </w:r>
      <w:r w:rsidR="00F727B9">
        <w:rPr>
          <w:rFonts w:eastAsia="Times New Roman" w:cs="Arial"/>
          <w:lang w:eastAsia="en-AU"/>
        </w:rPr>
        <w:t xml:space="preserve">, the Bill broadens the </w:t>
      </w:r>
      <w:r w:rsidR="00B74149">
        <w:rPr>
          <w:rFonts w:eastAsia="Times New Roman" w:cs="Arial"/>
          <w:lang w:eastAsia="en-AU"/>
        </w:rPr>
        <w:t xml:space="preserve">existing </w:t>
      </w:r>
      <w:r w:rsidR="00F727B9">
        <w:rPr>
          <w:rFonts w:eastAsia="Times New Roman" w:cs="Arial"/>
          <w:lang w:eastAsia="en-AU"/>
        </w:rPr>
        <w:t xml:space="preserve">provision (currently available only for spectrum licences) </w:t>
      </w:r>
      <w:r w:rsidR="00B74149">
        <w:rPr>
          <w:rFonts w:eastAsia="Times New Roman" w:cs="Arial"/>
          <w:lang w:eastAsia="en-AU"/>
        </w:rPr>
        <w:t xml:space="preserve">allowing </w:t>
      </w:r>
      <w:r w:rsidR="00F727B9">
        <w:rPr>
          <w:rFonts w:eastAsia="Times New Roman" w:cs="Arial"/>
          <w:lang w:eastAsia="en-AU"/>
        </w:rPr>
        <w:t xml:space="preserve">civil proceedings to be instituted where unauthorised operation of a transmitter causes interference to radiocommunications carried on by </w:t>
      </w:r>
      <w:r w:rsidR="005F7569">
        <w:rPr>
          <w:rFonts w:eastAsia="Times New Roman" w:cs="Arial"/>
          <w:lang w:eastAsia="en-AU"/>
        </w:rPr>
        <w:t>another person under a licence.</w:t>
      </w:r>
      <w:r w:rsidR="00AE58BA">
        <w:rPr>
          <w:rFonts w:eastAsia="Times New Roman" w:cs="Arial"/>
          <w:lang w:eastAsia="en-AU"/>
        </w:rPr>
        <w:t xml:space="preserve"> This right to institute civil proceedings extends to third parties authorised under a licence, but not to spectrum users operating under a spectrum authorisation (see Part 6 below).</w:t>
      </w:r>
    </w:p>
    <w:p w14:paraId="7EBBDA3F" w14:textId="77777777" w:rsidR="001751BB" w:rsidRDefault="00296124" w:rsidP="00693300">
      <w:pPr>
        <w:pStyle w:val="Heading3"/>
      </w:pPr>
      <w:bookmarkStart w:id="25" w:name="_Toc480810846"/>
      <w:r w:rsidRPr="00F42BD7">
        <w:t>Licen</w:t>
      </w:r>
      <w:r w:rsidR="004D5115" w:rsidRPr="00F42BD7">
        <w:t>ces</w:t>
      </w:r>
      <w:r w:rsidRPr="00F42BD7">
        <w:t xml:space="preserve"> (Part </w:t>
      </w:r>
      <w:r w:rsidR="00923FAD">
        <w:t>6</w:t>
      </w:r>
      <w:r w:rsidRPr="00F42BD7">
        <w:t>)</w:t>
      </w:r>
      <w:bookmarkEnd w:id="25"/>
    </w:p>
    <w:p w14:paraId="35CBE3BA" w14:textId="2A28EA93" w:rsidR="009D44D0" w:rsidRDefault="00AE6EA5" w:rsidP="00693300">
      <w:pPr>
        <w:rPr>
          <w:rFonts w:eastAsia="Times New Roman"/>
          <w:lang w:eastAsia="en-AU"/>
        </w:rPr>
      </w:pPr>
      <w:r w:rsidDel="0020047C">
        <w:rPr>
          <w:rFonts w:eastAsia="Times New Roman"/>
          <w:lang w:eastAsia="en-AU"/>
        </w:rPr>
        <w:t xml:space="preserve">The move to a single licensing system is one of the most significant changes </w:t>
      </w:r>
      <w:r w:rsidR="001E073E" w:rsidDel="0020047C">
        <w:rPr>
          <w:rFonts w:eastAsia="Times New Roman"/>
          <w:lang w:eastAsia="en-AU"/>
        </w:rPr>
        <w:t xml:space="preserve">from the 1992 Act to the </w:t>
      </w:r>
      <w:r w:rsidR="00C623D5" w:rsidDel="0020047C">
        <w:rPr>
          <w:rFonts w:eastAsia="Times New Roman"/>
          <w:lang w:eastAsia="en-AU"/>
        </w:rPr>
        <w:t>Bill</w:t>
      </w:r>
      <w:r w:rsidDel="0020047C">
        <w:rPr>
          <w:rFonts w:eastAsia="Times New Roman"/>
          <w:lang w:eastAsia="en-AU"/>
        </w:rPr>
        <w:t xml:space="preserve">. </w:t>
      </w:r>
      <w:r w:rsidR="009D44D0" w:rsidRPr="00040A5D" w:rsidDel="0020047C">
        <w:rPr>
          <w:rFonts w:eastAsia="Times New Roman"/>
          <w:lang w:eastAsia="en-AU"/>
        </w:rPr>
        <w:t xml:space="preserve">The </w:t>
      </w:r>
      <w:r w:rsidR="009D44D0" w:rsidDel="0020047C">
        <w:rPr>
          <w:rFonts w:eastAsia="Times New Roman"/>
          <w:lang w:eastAsia="en-AU"/>
        </w:rPr>
        <w:t xml:space="preserve">key </w:t>
      </w:r>
      <w:r w:rsidR="009D44D0" w:rsidRPr="00040A5D" w:rsidDel="0020047C">
        <w:rPr>
          <w:rFonts w:eastAsia="Times New Roman"/>
          <w:lang w:eastAsia="en-AU"/>
        </w:rPr>
        <w:t xml:space="preserve">aim of the reformed licensing </w:t>
      </w:r>
      <w:r w:rsidR="009D44D0" w:rsidDel="0020047C">
        <w:rPr>
          <w:rFonts w:eastAsia="Times New Roman"/>
          <w:lang w:eastAsia="en-AU"/>
        </w:rPr>
        <w:t>framework</w:t>
      </w:r>
      <w:r w:rsidR="009D44D0" w:rsidRPr="00040A5D" w:rsidDel="0020047C">
        <w:rPr>
          <w:rFonts w:eastAsia="Times New Roman"/>
          <w:lang w:eastAsia="en-AU"/>
        </w:rPr>
        <w:t xml:space="preserve"> is to simplify processes and improve timeliness and </w:t>
      </w:r>
      <w:r w:rsidR="009D44D0" w:rsidRPr="00693300" w:rsidDel="0020047C">
        <w:t>efficiency</w:t>
      </w:r>
      <w:r w:rsidR="00CB3861" w:rsidDel="0020047C">
        <w:rPr>
          <w:rFonts w:eastAsia="Times New Roman"/>
          <w:lang w:eastAsia="en-AU"/>
        </w:rPr>
        <w:t xml:space="preserve"> by</w:t>
      </w:r>
      <w:r w:rsidR="009D44D0" w:rsidRPr="00040A5D" w:rsidDel="0020047C">
        <w:rPr>
          <w:rFonts w:eastAsia="Times New Roman"/>
          <w:lang w:eastAsia="en-AU"/>
        </w:rPr>
        <w:t xml:space="preserve"> </w:t>
      </w:r>
      <w:r w:rsidR="00E84F41" w:rsidDel="0020047C">
        <w:rPr>
          <w:rFonts w:eastAsia="Times New Roman"/>
          <w:lang w:eastAsia="en-AU"/>
        </w:rPr>
        <w:t>remov</w:t>
      </w:r>
      <w:r w:rsidR="00CB3861" w:rsidDel="0020047C">
        <w:rPr>
          <w:rFonts w:eastAsia="Times New Roman"/>
          <w:lang w:eastAsia="en-AU"/>
        </w:rPr>
        <w:t>ing</w:t>
      </w:r>
      <w:r w:rsidR="009D44D0" w:rsidRPr="00040A5D" w:rsidDel="0020047C">
        <w:rPr>
          <w:rFonts w:eastAsia="Times New Roman"/>
          <w:lang w:eastAsia="en-AU"/>
        </w:rPr>
        <w:t xml:space="preserve"> unnecessary regulatory </w:t>
      </w:r>
      <w:r w:rsidR="009D44D0" w:rsidDel="0020047C">
        <w:rPr>
          <w:rFonts w:eastAsia="Times New Roman"/>
          <w:lang w:eastAsia="en-AU"/>
        </w:rPr>
        <w:t>barriers.</w:t>
      </w:r>
    </w:p>
    <w:p w14:paraId="241B688D" w14:textId="3A53B2DA" w:rsidR="009D44D0" w:rsidRDefault="00E86F19" w:rsidP="00693300">
      <w:pPr>
        <w:rPr>
          <w:rFonts w:eastAsia="Times New Roman" w:cs="Arial"/>
          <w:lang w:eastAsia="en-AU"/>
        </w:rPr>
      </w:pPr>
      <w:r>
        <w:rPr>
          <w:rFonts w:eastAsia="Times New Roman" w:cs="Arial"/>
          <w:lang w:eastAsia="en-AU"/>
        </w:rPr>
        <w:t xml:space="preserve">Part </w:t>
      </w:r>
      <w:r w:rsidR="00923FAD">
        <w:rPr>
          <w:rFonts w:eastAsia="Times New Roman" w:cs="Arial"/>
          <w:lang w:eastAsia="en-AU"/>
        </w:rPr>
        <w:t>6</w:t>
      </w:r>
      <w:r>
        <w:rPr>
          <w:rFonts w:eastAsia="Times New Roman" w:cs="Arial"/>
          <w:lang w:eastAsia="en-AU"/>
        </w:rPr>
        <w:t xml:space="preserve"> of the Bill introduces a single licensing system for radiocommunications to replace the current system (Chapter 3 of the 1992 Act) which prescribes detailed requirements for the separate licence categories of spectrum</w:t>
      </w:r>
      <w:r w:rsidR="00C623D5">
        <w:rPr>
          <w:rFonts w:eastAsia="Times New Roman" w:cs="Arial"/>
          <w:lang w:eastAsia="en-AU"/>
        </w:rPr>
        <w:t>, apparatus and class licences.</w:t>
      </w:r>
      <w:r w:rsidR="00CB3861">
        <w:rPr>
          <w:rFonts w:eastAsia="Times New Roman" w:cs="Arial"/>
          <w:lang w:eastAsia="en-AU"/>
        </w:rPr>
        <w:t xml:space="preserve"> </w:t>
      </w:r>
      <w:r w:rsidR="0020047C">
        <w:rPr>
          <w:rFonts w:eastAsia="Times New Roman" w:cs="Arial"/>
          <w:lang w:eastAsia="en-AU"/>
        </w:rPr>
        <w:t>L</w:t>
      </w:r>
      <w:r w:rsidR="009D44D0" w:rsidRPr="00040A5D">
        <w:rPr>
          <w:rFonts w:eastAsia="Times New Roman" w:cs="Arial"/>
          <w:lang w:eastAsia="en-AU"/>
        </w:rPr>
        <w:t>icence</w:t>
      </w:r>
      <w:r w:rsidR="0020047C">
        <w:rPr>
          <w:rFonts w:eastAsia="Times New Roman" w:cs="Arial"/>
          <w:lang w:eastAsia="en-AU"/>
        </w:rPr>
        <w:t>s</w:t>
      </w:r>
      <w:r w:rsidR="009D44D0" w:rsidRPr="00040A5D">
        <w:rPr>
          <w:rFonts w:eastAsia="Times New Roman" w:cs="Arial"/>
          <w:lang w:eastAsia="en-AU"/>
        </w:rPr>
        <w:t xml:space="preserve"> </w:t>
      </w:r>
      <w:r w:rsidR="0020047C">
        <w:rPr>
          <w:rFonts w:eastAsia="Times New Roman" w:cs="Arial"/>
          <w:lang w:eastAsia="en-AU"/>
        </w:rPr>
        <w:t xml:space="preserve">will </w:t>
      </w:r>
      <w:r w:rsidR="009D44D0" w:rsidRPr="00040A5D">
        <w:rPr>
          <w:rFonts w:eastAsia="Times New Roman" w:cs="Arial"/>
          <w:lang w:eastAsia="en-AU"/>
        </w:rPr>
        <w:t>specif</w:t>
      </w:r>
      <w:r w:rsidR="0020047C">
        <w:rPr>
          <w:rFonts w:eastAsia="Times New Roman" w:cs="Arial"/>
          <w:lang w:eastAsia="en-AU"/>
        </w:rPr>
        <w:t>y</w:t>
      </w:r>
      <w:r w:rsidR="009D44D0" w:rsidRPr="00040A5D">
        <w:rPr>
          <w:rFonts w:eastAsia="Times New Roman" w:cs="Arial"/>
          <w:lang w:eastAsia="en-AU"/>
        </w:rPr>
        <w:t xml:space="preserve"> </w:t>
      </w:r>
      <w:r w:rsidR="009D44D0">
        <w:rPr>
          <w:rFonts w:eastAsia="Times New Roman" w:cs="Arial"/>
          <w:lang w:eastAsia="en-AU"/>
        </w:rPr>
        <w:t>the details of key</w:t>
      </w:r>
      <w:r w:rsidR="009D44D0" w:rsidRPr="00040A5D">
        <w:rPr>
          <w:rFonts w:eastAsia="Times New Roman" w:cs="Arial"/>
          <w:lang w:eastAsia="en-AU"/>
        </w:rPr>
        <w:t xml:space="preserve"> characteristics</w:t>
      </w:r>
      <w:r w:rsidR="007464E3">
        <w:rPr>
          <w:rFonts w:eastAsia="Times New Roman" w:cs="Arial"/>
          <w:lang w:eastAsia="en-AU"/>
        </w:rPr>
        <w:t>,</w:t>
      </w:r>
      <w:r w:rsidR="009D44D0" w:rsidRPr="00040A5D">
        <w:rPr>
          <w:rFonts w:eastAsia="Times New Roman" w:cs="Arial"/>
          <w:lang w:eastAsia="en-AU"/>
        </w:rPr>
        <w:t xml:space="preserve"> </w:t>
      </w:r>
      <w:r w:rsidR="007464E3">
        <w:rPr>
          <w:rFonts w:eastAsia="Times New Roman" w:cs="Arial"/>
          <w:lang w:eastAsia="en-AU"/>
        </w:rPr>
        <w:t>providing</w:t>
      </w:r>
      <w:r w:rsidR="009D44D0">
        <w:rPr>
          <w:rFonts w:eastAsia="Times New Roman" w:cs="Arial"/>
          <w:lang w:eastAsia="en-AU"/>
        </w:rPr>
        <w:t xml:space="preserve"> </w:t>
      </w:r>
      <w:r w:rsidR="009D44D0" w:rsidRPr="00040A5D">
        <w:rPr>
          <w:rFonts w:eastAsia="Times New Roman" w:cs="Arial"/>
          <w:lang w:eastAsia="en-AU"/>
        </w:rPr>
        <w:t>licensee</w:t>
      </w:r>
      <w:r w:rsidR="0020047C">
        <w:rPr>
          <w:rFonts w:eastAsia="Times New Roman" w:cs="Arial"/>
          <w:lang w:eastAsia="en-AU"/>
        </w:rPr>
        <w:t>s</w:t>
      </w:r>
      <w:r w:rsidR="009D44D0" w:rsidRPr="00040A5D">
        <w:rPr>
          <w:rFonts w:eastAsia="Times New Roman" w:cs="Arial"/>
          <w:lang w:eastAsia="en-AU"/>
        </w:rPr>
        <w:t xml:space="preserve"> greater </w:t>
      </w:r>
      <w:r w:rsidR="009D44D0">
        <w:rPr>
          <w:rFonts w:eastAsia="Times New Roman" w:cs="Arial"/>
          <w:lang w:eastAsia="en-AU"/>
        </w:rPr>
        <w:t xml:space="preserve">clarity on </w:t>
      </w:r>
      <w:r w:rsidR="009D44D0" w:rsidRPr="00040A5D">
        <w:rPr>
          <w:rFonts w:eastAsia="Times New Roman" w:cs="Arial"/>
          <w:lang w:eastAsia="en-AU"/>
        </w:rPr>
        <w:t xml:space="preserve">the use </w:t>
      </w:r>
      <w:r w:rsidR="007723ED">
        <w:rPr>
          <w:rFonts w:eastAsia="Times New Roman" w:cs="Arial"/>
          <w:lang w:eastAsia="en-AU"/>
        </w:rPr>
        <w:t xml:space="preserve">and terms </w:t>
      </w:r>
      <w:r w:rsidR="009D44D0" w:rsidRPr="00040A5D">
        <w:rPr>
          <w:rFonts w:eastAsia="Times New Roman" w:cs="Arial"/>
          <w:lang w:eastAsia="en-AU"/>
        </w:rPr>
        <w:t>of their licence</w:t>
      </w:r>
      <w:r w:rsidR="009D44D0">
        <w:rPr>
          <w:rFonts w:eastAsia="Times New Roman" w:cs="Arial"/>
          <w:lang w:eastAsia="en-AU"/>
        </w:rPr>
        <w:t>.</w:t>
      </w:r>
      <w:r w:rsidR="00AB5968">
        <w:rPr>
          <w:rFonts w:eastAsia="Times New Roman" w:cs="Arial"/>
          <w:lang w:eastAsia="en-AU"/>
        </w:rPr>
        <w:t xml:space="preserve"> </w:t>
      </w:r>
      <w:r w:rsidR="009D44D0" w:rsidRPr="00040A5D">
        <w:rPr>
          <w:rFonts w:eastAsia="Times New Roman" w:cs="Arial"/>
          <w:lang w:eastAsia="en-AU"/>
        </w:rPr>
        <w:t xml:space="preserve">This </w:t>
      </w:r>
      <w:r w:rsidR="009D44D0">
        <w:rPr>
          <w:rFonts w:eastAsia="Times New Roman" w:cs="Arial"/>
          <w:lang w:eastAsia="en-AU"/>
        </w:rPr>
        <w:t>approach</w:t>
      </w:r>
      <w:r w:rsidR="009D44D0" w:rsidRPr="00040A5D">
        <w:rPr>
          <w:rFonts w:eastAsia="Times New Roman" w:cs="Arial"/>
          <w:lang w:eastAsia="en-AU"/>
        </w:rPr>
        <w:t xml:space="preserve"> </w:t>
      </w:r>
      <w:r w:rsidR="003936A0">
        <w:rPr>
          <w:rFonts w:eastAsia="Times New Roman" w:cs="Arial"/>
          <w:lang w:eastAsia="en-AU"/>
        </w:rPr>
        <w:t xml:space="preserve">enables licences to be configured administratively and therefore are able to adapt to </w:t>
      </w:r>
      <w:r w:rsidR="0020047C">
        <w:rPr>
          <w:rFonts w:eastAsia="Times New Roman" w:cs="Arial"/>
          <w:lang w:eastAsia="en-AU"/>
        </w:rPr>
        <w:t>technological change</w:t>
      </w:r>
      <w:r w:rsidR="009D44D0">
        <w:rPr>
          <w:rFonts w:eastAsia="Times New Roman" w:cs="Arial"/>
          <w:lang w:eastAsia="en-AU"/>
        </w:rPr>
        <w:t xml:space="preserve">. It is also intended to </w:t>
      </w:r>
      <w:r w:rsidR="009D44D0" w:rsidRPr="00040A5D">
        <w:rPr>
          <w:rFonts w:eastAsia="Times New Roman" w:cs="Arial"/>
          <w:lang w:eastAsia="en-AU"/>
        </w:rPr>
        <w:t xml:space="preserve">improve </w:t>
      </w:r>
      <w:r w:rsidR="009D44D0">
        <w:rPr>
          <w:rFonts w:eastAsia="Times New Roman" w:cs="Arial"/>
          <w:lang w:eastAsia="en-AU"/>
        </w:rPr>
        <w:t>users’</w:t>
      </w:r>
      <w:r w:rsidR="009D44D0" w:rsidRPr="00040A5D">
        <w:rPr>
          <w:rFonts w:eastAsia="Times New Roman" w:cs="Arial"/>
          <w:lang w:eastAsia="en-AU"/>
        </w:rPr>
        <w:t xml:space="preserve"> capacity to engage in </w:t>
      </w:r>
      <w:r w:rsidR="009D44D0">
        <w:rPr>
          <w:rFonts w:eastAsia="Times New Roman" w:cs="Arial"/>
          <w:lang w:eastAsia="en-AU"/>
        </w:rPr>
        <w:t xml:space="preserve">spectrum sharing and </w:t>
      </w:r>
      <w:r w:rsidR="00E37F67">
        <w:rPr>
          <w:rFonts w:eastAsia="Times New Roman" w:cs="Arial"/>
          <w:lang w:eastAsia="en-AU"/>
        </w:rPr>
        <w:t xml:space="preserve">other </w:t>
      </w:r>
      <w:r w:rsidR="009D44D0" w:rsidRPr="00040A5D">
        <w:rPr>
          <w:rFonts w:eastAsia="Times New Roman" w:cs="Arial"/>
          <w:lang w:eastAsia="en-AU"/>
        </w:rPr>
        <w:t>uses</w:t>
      </w:r>
      <w:r w:rsidR="009D44D0">
        <w:rPr>
          <w:rFonts w:eastAsia="Times New Roman" w:cs="Arial"/>
          <w:lang w:eastAsia="en-AU"/>
        </w:rPr>
        <w:t>, if desired</w:t>
      </w:r>
      <w:r w:rsidR="009D44D0" w:rsidRPr="00040A5D">
        <w:rPr>
          <w:rFonts w:eastAsia="Times New Roman" w:cs="Arial"/>
          <w:lang w:eastAsia="en-AU"/>
        </w:rPr>
        <w:t>.</w:t>
      </w:r>
    </w:p>
    <w:p w14:paraId="1E5F1BD4" w14:textId="77777777" w:rsidR="001751BB" w:rsidRDefault="003936A0" w:rsidP="00693300">
      <w:pPr>
        <w:rPr>
          <w:rFonts w:eastAsia="Times New Roman" w:cs="Arial"/>
          <w:lang w:eastAsia="en-AU"/>
        </w:rPr>
      </w:pPr>
      <w:r>
        <w:rPr>
          <w:rFonts w:eastAsia="Times New Roman" w:cs="Arial"/>
          <w:lang w:eastAsia="en-AU"/>
        </w:rPr>
        <w:t>Licences will be issued with conditions of use attached to that licence.</w:t>
      </w:r>
      <w:r w:rsidR="00166585">
        <w:rPr>
          <w:rFonts w:eastAsia="Times New Roman" w:cs="Arial"/>
          <w:lang w:eastAsia="en-AU"/>
        </w:rPr>
        <w:t xml:space="preserve"> </w:t>
      </w:r>
      <w:r>
        <w:rPr>
          <w:rFonts w:eastAsia="Times New Roman" w:cs="Arial"/>
          <w:lang w:eastAsia="en-AU"/>
        </w:rPr>
        <w:t>The Bill introduces two new concepts into the licensing arrangements:</w:t>
      </w:r>
    </w:p>
    <w:p w14:paraId="480EA5D1" w14:textId="77777777" w:rsidR="001751BB" w:rsidRPr="00284D52" w:rsidRDefault="004A2560" w:rsidP="004130AA">
      <w:pPr>
        <w:pStyle w:val="Bulletlevel1"/>
        <w:ind w:left="567" w:hanging="567"/>
      </w:pPr>
      <w:r w:rsidRPr="00284D52">
        <w:t>designated statement</w:t>
      </w:r>
      <w:r w:rsidR="003936A0" w:rsidRPr="00284D52">
        <w:t xml:space="preserve">s, which </w:t>
      </w:r>
      <w:r w:rsidRPr="00284D52">
        <w:t>either bind the ACMA in how it makes decision</w:t>
      </w:r>
      <w:r w:rsidR="003936A0" w:rsidRPr="00284D52">
        <w:t>s</w:t>
      </w:r>
      <w:r w:rsidRPr="00284D52">
        <w:t xml:space="preserve"> relating to the licence, or limits the licensee in how its deals with (rather than uses, as per a condition) the licence</w:t>
      </w:r>
    </w:p>
    <w:p w14:paraId="1BE24F80" w14:textId="41BB4338" w:rsidR="004A2560" w:rsidRPr="003936A0" w:rsidRDefault="004A2560" w:rsidP="004130AA">
      <w:pPr>
        <w:pStyle w:val="Bulletlevel1"/>
        <w:ind w:left="567" w:hanging="567"/>
        <w:rPr>
          <w:rFonts w:eastAsia="Times New Roman" w:cs="Arial"/>
          <w:lang w:eastAsia="en-AU"/>
        </w:rPr>
      </w:pPr>
      <w:proofErr w:type="gramStart"/>
      <w:r w:rsidRPr="00284D52">
        <w:t>regulatory</w:t>
      </w:r>
      <w:proofErr w:type="gramEnd"/>
      <w:r w:rsidRPr="00284D52">
        <w:t xml:space="preserve"> undertaking</w:t>
      </w:r>
      <w:r w:rsidR="003936A0" w:rsidRPr="00284D52">
        <w:t>s</w:t>
      </w:r>
      <w:r w:rsidRPr="00284D52">
        <w:t xml:space="preserve">, which bind the ACMA in how it issues future licences </w:t>
      </w:r>
      <w:r w:rsidR="00921CB1" w:rsidRPr="00284D52">
        <w:t>or makes</w:t>
      </w:r>
      <w:r w:rsidR="00921CB1">
        <w:t xml:space="preserve"> spectrum authorisations </w:t>
      </w:r>
      <w:r>
        <w:t>in similar parts of the spectru</w:t>
      </w:r>
      <w:r w:rsidR="001B02BE">
        <w:t>m.</w:t>
      </w:r>
    </w:p>
    <w:p w14:paraId="078C3582" w14:textId="77777777" w:rsidR="001751BB" w:rsidRDefault="003936A0" w:rsidP="00693300">
      <w:r>
        <w:t>These concepts and relevant provisions are discussed later in this paper.</w:t>
      </w:r>
    </w:p>
    <w:p w14:paraId="6C6481D7" w14:textId="5CD00380" w:rsidR="009D44D0" w:rsidRDefault="00885E45" w:rsidP="00693300">
      <w:pPr>
        <w:rPr>
          <w:rFonts w:eastAsia="Times New Roman" w:cs="Arial"/>
          <w:lang w:eastAsia="en-AU"/>
        </w:rPr>
      </w:pPr>
      <w:r w:rsidRPr="00F42BD7">
        <w:t>T</w:t>
      </w:r>
      <w:r w:rsidR="009D44D0" w:rsidRPr="00885E45">
        <w:t xml:space="preserve">he design and implementation of the single </w:t>
      </w:r>
      <w:r w:rsidR="00BB2EF9">
        <w:t>licensing</w:t>
      </w:r>
      <w:r w:rsidR="009D44D0" w:rsidRPr="00885E45">
        <w:t xml:space="preserve"> system is the remit of the ACMA</w:t>
      </w:r>
      <w:r w:rsidR="009D44D0">
        <w:t xml:space="preserve">. The ACMA has developed a paper </w:t>
      </w:r>
      <w:r>
        <w:t xml:space="preserve">with further information on the </w:t>
      </w:r>
      <w:r w:rsidR="00BB2EF9">
        <w:t xml:space="preserve">possible operation of the </w:t>
      </w:r>
      <w:r>
        <w:t xml:space="preserve">single </w:t>
      </w:r>
      <w:r w:rsidR="009D44D0" w:rsidRPr="006244E6">
        <w:t>licensing system</w:t>
      </w:r>
      <w:r w:rsidR="009D44D0">
        <w:t xml:space="preserve">. </w:t>
      </w:r>
      <w:r w:rsidR="00B4559A">
        <w:t>It can be found on the ACMA website.</w:t>
      </w:r>
    </w:p>
    <w:p w14:paraId="371FA6DC" w14:textId="77777777" w:rsidR="001751BB" w:rsidRDefault="00325413" w:rsidP="00296124">
      <w:pPr>
        <w:pStyle w:val="Heading4"/>
        <w:rPr>
          <w:szCs w:val="24"/>
        </w:rPr>
      </w:pPr>
      <w:bookmarkStart w:id="26" w:name="_Toc480810847"/>
      <w:r w:rsidRPr="00693300">
        <w:rPr>
          <w:szCs w:val="24"/>
        </w:rPr>
        <w:t xml:space="preserve">General provisions </w:t>
      </w:r>
      <w:r w:rsidR="00296124" w:rsidRPr="00693300">
        <w:rPr>
          <w:szCs w:val="24"/>
        </w:rPr>
        <w:t xml:space="preserve">(Part </w:t>
      </w:r>
      <w:r w:rsidR="00923FAD" w:rsidRPr="00693300">
        <w:rPr>
          <w:szCs w:val="24"/>
        </w:rPr>
        <w:t>6</w:t>
      </w:r>
      <w:r w:rsidR="00296124" w:rsidRPr="00693300">
        <w:rPr>
          <w:szCs w:val="24"/>
        </w:rPr>
        <w:t>, Division 1)</w:t>
      </w:r>
      <w:bookmarkEnd w:id="26"/>
    </w:p>
    <w:p w14:paraId="432BBC54" w14:textId="77777777" w:rsidR="001751BB" w:rsidRDefault="00921CB1">
      <w:r>
        <w:t>Division 1 specifies that a licence provides rights to access the spectrum, i.e. to operate a radiocommunications device, but that these rights are subject to obligations, i.e. conditions of the licence.</w:t>
      </w:r>
    </w:p>
    <w:p w14:paraId="5AB69784" w14:textId="545104A3" w:rsidR="007723ED" w:rsidRDefault="00921CB1" w:rsidP="007723ED">
      <w:r>
        <w:t>While a licence is not required to operate a radiocommunications receiver, a person may choose to operate a receiver in accordance with a licence in order to receive interference protection.</w:t>
      </w:r>
    </w:p>
    <w:p w14:paraId="0462C903" w14:textId="77777777" w:rsidR="001751BB" w:rsidRDefault="00296124" w:rsidP="00296124">
      <w:pPr>
        <w:pStyle w:val="Heading4"/>
        <w:rPr>
          <w:szCs w:val="24"/>
        </w:rPr>
      </w:pPr>
      <w:bookmarkStart w:id="27" w:name="_Toc480810848"/>
      <w:r w:rsidRPr="00693300">
        <w:rPr>
          <w:szCs w:val="24"/>
        </w:rPr>
        <w:t xml:space="preserve">Issue of </w:t>
      </w:r>
      <w:r w:rsidR="00CD6F78" w:rsidRPr="00693300">
        <w:rPr>
          <w:szCs w:val="24"/>
        </w:rPr>
        <w:t>l</w:t>
      </w:r>
      <w:r w:rsidRPr="00693300">
        <w:rPr>
          <w:szCs w:val="24"/>
        </w:rPr>
        <w:t xml:space="preserve">icences (Part </w:t>
      </w:r>
      <w:r w:rsidR="00923FAD" w:rsidRPr="00693300">
        <w:rPr>
          <w:szCs w:val="24"/>
        </w:rPr>
        <w:t>6</w:t>
      </w:r>
      <w:r w:rsidRPr="00693300">
        <w:rPr>
          <w:szCs w:val="24"/>
        </w:rPr>
        <w:t>, Division 2)</w:t>
      </w:r>
      <w:bookmarkEnd w:id="27"/>
    </w:p>
    <w:p w14:paraId="6CB00A99" w14:textId="7FE4B78E" w:rsidR="00EE0C9B" w:rsidRDefault="00EE0C9B">
      <w:r>
        <w:t>Division 2 sets out a framework for the issue of radiocommunications licences under the single licensing system. This enables the ACMA to issue licences on written application or through a licence issue scheme. In addition, the Minister may direct that a licence be issued</w:t>
      </w:r>
      <w:r w:rsidR="00A05C4B">
        <w:t xml:space="preserve"> to a particular person</w:t>
      </w:r>
      <w:r>
        <w:t>.</w:t>
      </w:r>
    </w:p>
    <w:p w14:paraId="29D54EC1" w14:textId="32782CF1" w:rsidR="00113B85" w:rsidRPr="00F42BD7" w:rsidRDefault="001E073E" w:rsidP="00693300">
      <w:pPr>
        <w:rPr>
          <w:rFonts w:eastAsia="Times New Roman" w:cs="Arial"/>
          <w:lang w:eastAsia="en-AU"/>
        </w:rPr>
      </w:pPr>
      <w:r>
        <w:t xml:space="preserve">The 1992 Act </w:t>
      </w:r>
      <w:r w:rsidR="004B5D19">
        <w:t>separated</w:t>
      </w:r>
      <w:r>
        <w:t xml:space="preserve"> </w:t>
      </w:r>
      <w:r w:rsidR="004B5D19">
        <w:t>licence issue</w:t>
      </w:r>
      <w:r>
        <w:t xml:space="preserve"> according to type.</w:t>
      </w:r>
      <w:r w:rsidR="004B5D19">
        <w:t xml:space="preserve"> This included the complex </w:t>
      </w:r>
      <w:r w:rsidR="00E37F67">
        <w:t xml:space="preserve">regulatory </w:t>
      </w:r>
      <w:r w:rsidR="004B5D19">
        <w:t xml:space="preserve">process </w:t>
      </w:r>
      <w:r w:rsidR="00E37F67">
        <w:t>related to i</w:t>
      </w:r>
      <w:r w:rsidR="004B5D19">
        <w:t>ssuing</w:t>
      </w:r>
      <w:r w:rsidR="00E37F67">
        <w:t xml:space="preserve"> </w:t>
      </w:r>
      <w:r w:rsidR="004B5D19">
        <w:t xml:space="preserve">spectrum licences. The Bill enables </w:t>
      </w:r>
      <w:r w:rsidR="00113B85">
        <w:rPr>
          <w:rFonts w:eastAsia="Times New Roman" w:cs="Arial"/>
          <w:lang w:eastAsia="en-AU"/>
        </w:rPr>
        <w:t xml:space="preserve">a more streamlined approach to </w:t>
      </w:r>
      <w:r w:rsidR="00C236D4">
        <w:rPr>
          <w:rFonts w:eastAsia="Times New Roman" w:cs="Arial"/>
          <w:lang w:eastAsia="en-AU"/>
        </w:rPr>
        <w:t xml:space="preserve">the </w:t>
      </w:r>
      <w:r w:rsidR="00113B85">
        <w:rPr>
          <w:rFonts w:eastAsia="Times New Roman" w:cs="Arial"/>
          <w:lang w:eastAsia="en-AU"/>
        </w:rPr>
        <w:t xml:space="preserve">issue </w:t>
      </w:r>
      <w:r w:rsidR="00D4196A">
        <w:rPr>
          <w:rFonts w:eastAsia="Times New Roman" w:cs="Arial"/>
          <w:lang w:eastAsia="en-AU"/>
        </w:rPr>
        <w:t>(</w:t>
      </w:r>
      <w:r w:rsidR="00113B85">
        <w:rPr>
          <w:rFonts w:eastAsia="Times New Roman" w:cs="Arial"/>
          <w:lang w:eastAsia="en-AU"/>
        </w:rPr>
        <w:t>and allocation</w:t>
      </w:r>
      <w:r w:rsidR="00D4196A">
        <w:rPr>
          <w:rFonts w:eastAsia="Times New Roman" w:cs="Arial"/>
          <w:lang w:eastAsia="en-AU"/>
        </w:rPr>
        <w:t>)</w:t>
      </w:r>
      <w:r w:rsidR="00113B85">
        <w:rPr>
          <w:rFonts w:eastAsia="Times New Roman" w:cs="Arial"/>
          <w:lang w:eastAsia="en-AU"/>
        </w:rPr>
        <w:t xml:space="preserve"> of licences</w:t>
      </w:r>
      <w:r w:rsidR="00127045">
        <w:rPr>
          <w:rFonts w:eastAsia="Times New Roman" w:cs="Arial"/>
          <w:lang w:eastAsia="en-AU"/>
        </w:rPr>
        <w:t>.</w:t>
      </w:r>
      <w:r w:rsidR="00EE4C02">
        <w:rPr>
          <w:rFonts w:eastAsia="Times New Roman" w:cs="Arial"/>
          <w:lang w:eastAsia="en-AU"/>
        </w:rPr>
        <w:t xml:space="preserve"> </w:t>
      </w:r>
      <w:r w:rsidR="00127045">
        <w:rPr>
          <w:rFonts w:eastAsia="Times New Roman" w:cs="Arial"/>
          <w:lang w:eastAsia="en-AU"/>
        </w:rPr>
        <w:t xml:space="preserve">This </w:t>
      </w:r>
      <w:r w:rsidR="00113B85">
        <w:rPr>
          <w:rFonts w:eastAsia="Times New Roman" w:cs="Arial"/>
          <w:lang w:eastAsia="en-AU"/>
        </w:rPr>
        <w:t>allows</w:t>
      </w:r>
      <w:r w:rsidR="00113B85" w:rsidRPr="00040A5D">
        <w:rPr>
          <w:rFonts w:eastAsia="Times New Roman" w:cs="Arial"/>
          <w:lang w:eastAsia="en-AU"/>
        </w:rPr>
        <w:t xml:space="preserve"> greater flexibility for both existing and future spectrum users and encourage</w:t>
      </w:r>
      <w:r w:rsidR="00113B85">
        <w:rPr>
          <w:rFonts w:eastAsia="Times New Roman" w:cs="Arial"/>
          <w:lang w:eastAsia="en-AU"/>
        </w:rPr>
        <w:t>s</w:t>
      </w:r>
      <w:r w:rsidR="00113B85" w:rsidRPr="00040A5D">
        <w:rPr>
          <w:rFonts w:eastAsia="Times New Roman" w:cs="Arial"/>
          <w:lang w:eastAsia="en-AU"/>
        </w:rPr>
        <w:t xml:space="preserve"> more efficient spectrum use.</w:t>
      </w:r>
      <w:r w:rsidR="00D4196A">
        <w:rPr>
          <w:rFonts w:eastAsia="Times New Roman" w:cs="Arial"/>
          <w:lang w:eastAsia="en-AU"/>
        </w:rPr>
        <w:t xml:space="preserve"> For example, </w:t>
      </w:r>
      <w:r w:rsidR="00D4196A">
        <w:t>marketing plans are no longer required by the Bill</w:t>
      </w:r>
      <w:r w:rsidR="00127045">
        <w:t>.</w:t>
      </w:r>
      <w:r w:rsidR="00EE4C02">
        <w:t xml:space="preserve"> </w:t>
      </w:r>
      <w:r w:rsidR="00127045">
        <w:t>A</w:t>
      </w:r>
      <w:r w:rsidR="00D4196A">
        <w:t xml:space="preserve">ny need for such a plan (also known as a prospectus) would be detailed in </w:t>
      </w:r>
      <w:r w:rsidR="00CB592A">
        <w:t>administrative documents prepared by the ACMA as part of the licence issue process</w:t>
      </w:r>
      <w:r w:rsidR="00D4196A">
        <w:t>.</w:t>
      </w:r>
    </w:p>
    <w:p w14:paraId="60B39122" w14:textId="4136C73B" w:rsidR="00EC06D6" w:rsidRPr="003E7EC7" w:rsidRDefault="00572C0D">
      <w:pPr>
        <w:pStyle w:val="Heading5"/>
      </w:pPr>
      <w:r>
        <w:t>Licence i</w:t>
      </w:r>
      <w:r w:rsidR="00AE58BA" w:rsidRPr="003E7EC7">
        <w:t xml:space="preserve">ssue </w:t>
      </w:r>
      <w:r>
        <w:t>s</w:t>
      </w:r>
      <w:r w:rsidR="00AE58BA" w:rsidRPr="003E7EC7">
        <w:t>chemes</w:t>
      </w:r>
    </w:p>
    <w:p w14:paraId="08AD458C" w14:textId="6A1935EE" w:rsidR="00DE1D1A" w:rsidRPr="00F42BD7" w:rsidRDefault="00DE1D1A" w:rsidP="00693300">
      <w:pPr>
        <w:rPr>
          <w:rFonts w:eastAsia="Times New Roman" w:cs="Arial"/>
          <w:lang w:eastAsia="en-AU"/>
        </w:rPr>
      </w:pPr>
      <w:r>
        <w:rPr>
          <w:rFonts w:eastAsia="Times New Roman" w:cs="Arial"/>
          <w:lang w:eastAsia="en-AU"/>
        </w:rPr>
        <w:t xml:space="preserve">The </w:t>
      </w:r>
      <w:r w:rsidRPr="00040A5D">
        <w:rPr>
          <w:rFonts w:eastAsia="Times New Roman" w:cs="Arial"/>
          <w:lang w:eastAsia="en-AU"/>
        </w:rPr>
        <w:t xml:space="preserve">single licensing </w:t>
      </w:r>
      <w:r w:rsidR="00127045">
        <w:rPr>
          <w:rFonts w:eastAsia="Times New Roman" w:cs="Arial"/>
          <w:lang w:eastAsia="en-AU"/>
        </w:rPr>
        <w:t>system</w:t>
      </w:r>
      <w:r w:rsidRPr="00040A5D">
        <w:rPr>
          <w:rFonts w:eastAsia="Times New Roman" w:cs="Arial"/>
          <w:lang w:eastAsia="en-AU"/>
        </w:rPr>
        <w:t xml:space="preserve"> </w:t>
      </w:r>
      <w:r>
        <w:rPr>
          <w:rFonts w:eastAsia="Times New Roman" w:cs="Arial"/>
          <w:lang w:eastAsia="en-AU"/>
        </w:rPr>
        <w:t xml:space="preserve">is intended to </w:t>
      </w:r>
      <w:r w:rsidRPr="00040A5D">
        <w:rPr>
          <w:rFonts w:eastAsia="Times New Roman" w:cs="Arial"/>
          <w:lang w:eastAsia="en-AU"/>
        </w:rPr>
        <w:t>substantially streamline allocation processes</w:t>
      </w:r>
      <w:r>
        <w:rPr>
          <w:rFonts w:eastAsia="Times New Roman" w:cs="Arial"/>
          <w:lang w:eastAsia="en-AU"/>
        </w:rPr>
        <w:t xml:space="preserve"> by re</w:t>
      </w:r>
      <w:r w:rsidR="00EE0C9B">
        <w:rPr>
          <w:rFonts w:eastAsia="Times New Roman" w:cs="Arial"/>
          <w:lang w:eastAsia="en-AU"/>
        </w:rPr>
        <w:t xml:space="preserve">moving legislative barriers to </w:t>
      </w:r>
      <w:r>
        <w:rPr>
          <w:rFonts w:eastAsia="Times New Roman" w:cs="Arial"/>
          <w:lang w:eastAsia="en-AU"/>
        </w:rPr>
        <w:t>replanning</w:t>
      </w:r>
      <w:r w:rsidR="00EE0C9B">
        <w:rPr>
          <w:rFonts w:eastAsia="Times New Roman" w:cs="Arial"/>
          <w:lang w:eastAsia="en-AU"/>
        </w:rPr>
        <w:t xml:space="preserve">. </w:t>
      </w:r>
      <w:r>
        <w:rPr>
          <w:rFonts w:eastAsia="Times New Roman" w:cs="Arial"/>
          <w:lang w:eastAsia="en-AU"/>
        </w:rPr>
        <w:t>This will address stakeholder concerns</w:t>
      </w:r>
      <w:r w:rsidRPr="00040A5D">
        <w:rPr>
          <w:rFonts w:eastAsia="Times New Roman" w:cs="Arial"/>
          <w:lang w:eastAsia="en-AU"/>
        </w:rPr>
        <w:t xml:space="preserve"> that </w:t>
      </w:r>
      <w:r>
        <w:rPr>
          <w:rFonts w:eastAsia="Times New Roman" w:cs="Arial"/>
          <w:lang w:eastAsia="en-AU"/>
        </w:rPr>
        <w:t xml:space="preserve">the current process to </w:t>
      </w:r>
      <w:r w:rsidRPr="00040A5D">
        <w:rPr>
          <w:rFonts w:eastAsia="Times New Roman" w:cs="Arial"/>
          <w:lang w:eastAsia="en-AU"/>
        </w:rPr>
        <w:t>convert and reallocat</w:t>
      </w:r>
      <w:r>
        <w:rPr>
          <w:rFonts w:eastAsia="Times New Roman" w:cs="Arial"/>
          <w:lang w:eastAsia="en-AU"/>
        </w:rPr>
        <w:t>e</w:t>
      </w:r>
      <w:r w:rsidRPr="00040A5D">
        <w:rPr>
          <w:rFonts w:eastAsia="Times New Roman" w:cs="Arial"/>
          <w:lang w:eastAsia="en-AU"/>
        </w:rPr>
        <w:t xml:space="preserve"> spectrum between licence types is unnecessarily lengthy</w:t>
      </w:r>
      <w:r>
        <w:rPr>
          <w:rFonts w:eastAsia="Times New Roman" w:cs="Arial"/>
          <w:lang w:eastAsia="en-AU"/>
        </w:rPr>
        <w:t xml:space="preserve"> and creates uncertainty.</w:t>
      </w:r>
      <w:r w:rsidR="00EE4C02">
        <w:rPr>
          <w:rFonts w:eastAsia="Times New Roman" w:cs="Arial"/>
          <w:lang w:eastAsia="en-AU"/>
        </w:rPr>
        <w:t xml:space="preserve"> </w:t>
      </w:r>
      <w:r w:rsidR="00EE0C9B" w:rsidRPr="00693300">
        <w:t>The</w:t>
      </w:r>
      <w:r w:rsidR="00EE0C9B">
        <w:rPr>
          <w:rFonts w:eastAsia="Times New Roman" w:cs="Arial"/>
          <w:lang w:eastAsia="en-AU"/>
        </w:rPr>
        <w:t xml:space="preserve"> Bill removes the requirement for</w:t>
      </w:r>
      <w:r w:rsidR="00EE0C9B" w:rsidRPr="00040A5D">
        <w:rPr>
          <w:rFonts w:eastAsia="Times New Roman" w:cs="Arial"/>
          <w:lang w:eastAsia="en-AU"/>
        </w:rPr>
        <w:t xml:space="preserve"> Ministerial involvement in the routine processes associated with allocation </w:t>
      </w:r>
      <w:r w:rsidR="00EE0C9B">
        <w:rPr>
          <w:rFonts w:eastAsia="Times New Roman" w:cs="Arial"/>
          <w:lang w:eastAsia="en-AU"/>
        </w:rPr>
        <w:t>(</w:t>
      </w:r>
      <w:r w:rsidR="00EE0C9B" w:rsidRPr="00040A5D">
        <w:rPr>
          <w:rFonts w:eastAsia="Times New Roman" w:cs="Arial"/>
          <w:lang w:eastAsia="en-AU"/>
        </w:rPr>
        <w:t>and reallocation</w:t>
      </w:r>
      <w:r w:rsidR="00EE0C9B">
        <w:rPr>
          <w:rFonts w:eastAsia="Times New Roman" w:cs="Arial"/>
          <w:lang w:eastAsia="en-AU"/>
        </w:rPr>
        <w:t>).</w:t>
      </w:r>
    </w:p>
    <w:p w14:paraId="53BD15CF" w14:textId="6E60ACF1" w:rsidR="00B603BD" w:rsidRPr="00127045" w:rsidRDefault="00043C03" w:rsidP="00693300">
      <w:pPr>
        <w:rPr>
          <w:rFonts w:eastAsia="Times New Roman" w:cs="Arial"/>
          <w:lang w:eastAsia="en-AU"/>
        </w:rPr>
      </w:pPr>
      <w:r w:rsidRPr="00127045">
        <w:rPr>
          <w:rFonts w:eastAsia="Times New Roman" w:cs="Arial"/>
          <w:lang w:eastAsia="en-AU"/>
        </w:rPr>
        <w:t xml:space="preserve">The Bill enables the ACMA to issue licences on written application by a prospective </w:t>
      </w:r>
      <w:r w:rsidR="00D14697">
        <w:rPr>
          <w:rFonts w:eastAsia="Times New Roman" w:cs="Arial"/>
          <w:lang w:eastAsia="en-AU"/>
        </w:rPr>
        <w:t xml:space="preserve">licensee, </w:t>
      </w:r>
      <w:r w:rsidRPr="00127045">
        <w:rPr>
          <w:rFonts w:eastAsia="Times New Roman" w:cs="Arial"/>
          <w:lang w:eastAsia="en-AU"/>
        </w:rPr>
        <w:t xml:space="preserve">in accordance with a </w:t>
      </w:r>
      <w:r w:rsidR="00B259C1" w:rsidRPr="00127045">
        <w:rPr>
          <w:rFonts w:eastAsia="Times New Roman" w:cs="Arial"/>
          <w:lang w:eastAsia="en-AU"/>
        </w:rPr>
        <w:t>licence issue scheme</w:t>
      </w:r>
      <w:r w:rsidR="00D14697">
        <w:rPr>
          <w:rFonts w:eastAsia="Times New Roman" w:cs="Arial"/>
          <w:lang w:eastAsia="en-AU"/>
        </w:rPr>
        <w:t xml:space="preserve"> or as directed by the Minister</w:t>
      </w:r>
      <w:r w:rsidRPr="00127045">
        <w:rPr>
          <w:rFonts w:eastAsia="Times New Roman" w:cs="Arial"/>
          <w:lang w:eastAsia="en-AU"/>
        </w:rPr>
        <w:t xml:space="preserve">. The Bill gives the ACMA flexibility to determine </w:t>
      </w:r>
      <w:r w:rsidR="00D14697">
        <w:rPr>
          <w:rFonts w:eastAsia="Times New Roman" w:cs="Arial"/>
          <w:lang w:eastAsia="en-AU"/>
        </w:rPr>
        <w:t xml:space="preserve">licence issue schemes, which can provide for the issue of a licence by conducting market processes (such as auctions or pre-determining prices), or for the issue of a licence in response to an application, or the issue of a licence using any combination of such systems. </w:t>
      </w:r>
      <w:r w:rsidR="00EE0C9B">
        <w:rPr>
          <w:rFonts w:eastAsia="Times New Roman" w:cs="Arial"/>
          <w:lang w:eastAsia="en-AU"/>
        </w:rPr>
        <w:t xml:space="preserve">The </w:t>
      </w:r>
      <w:r w:rsidR="00B603BD" w:rsidRPr="00127045">
        <w:rPr>
          <w:rFonts w:eastAsia="Times New Roman" w:cs="Arial"/>
          <w:lang w:eastAsia="en-AU"/>
        </w:rPr>
        <w:t xml:space="preserve">Bill </w:t>
      </w:r>
      <w:r w:rsidR="00EE0C9B">
        <w:rPr>
          <w:rFonts w:eastAsia="Times New Roman" w:cs="Arial"/>
          <w:lang w:eastAsia="en-AU"/>
        </w:rPr>
        <w:t xml:space="preserve">includes an </w:t>
      </w:r>
      <w:r w:rsidR="00B603BD" w:rsidRPr="00127045">
        <w:rPr>
          <w:rFonts w:eastAsia="Times New Roman" w:cs="Arial"/>
          <w:lang w:eastAsia="en-AU"/>
        </w:rPr>
        <w:t>illustrative ‘list of matters’</w:t>
      </w:r>
      <w:r w:rsidR="00D14697">
        <w:rPr>
          <w:rFonts w:eastAsia="Times New Roman" w:cs="Arial"/>
          <w:lang w:eastAsia="en-AU"/>
        </w:rPr>
        <w:t xml:space="preserve"> that may be dealt with by the scheme,</w:t>
      </w:r>
      <w:r w:rsidR="00CB3861">
        <w:rPr>
          <w:rFonts w:eastAsia="Times New Roman" w:cs="Arial"/>
          <w:lang w:eastAsia="en-AU"/>
        </w:rPr>
        <w:t xml:space="preserve"> </w:t>
      </w:r>
      <w:r w:rsidR="00EE0C9B">
        <w:rPr>
          <w:rFonts w:eastAsia="Times New Roman" w:cs="Arial"/>
          <w:lang w:eastAsia="en-AU"/>
        </w:rPr>
        <w:t xml:space="preserve">for example </w:t>
      </w:r>
      <w:r w:rsidR="00B259C1">
        <w:rPr>
          <w:rFonts w:eastAsia="Times New Roman" w:cs="Arial"/>
          <w:lang w:eastAsia="en-AU"/>
        </w:rPr>
        <w:t>eligibility requirements and when a process may be terminated, among others.</w:t>
      </w:r>
      <w:r w:rsidR="00B603BD" w:rsidRPr="00127045">
        <w:rPr>
          <w:rFonts w:eastAsia="Times New Roman" w:cs="Arial"/>
          <w:lang w:eastAsia="en-AU"/>
        </w:rPr>
        <w:t xml:space="preserve"> L</w:t>
      </w:r>
      <w:r w:rsidR="00B259C1">
        <w:rPr>
          <w:rFonts w:eastAsia="Times New Roman" w:cs="Arial"/>
          <w:lang w:eastAsia="en-AU"/>
        </w:rPr>
        <w:t>icence issue scheme</w:t>
      </w:r>
      <w:r w:rsidR="00B603BD" w:rsidRPr="00127045">
        <w:rPr>
          <w:rFonts w:eastAsia="Times New Roman" w:cs="Arial"/>
          <w:lang w:eastAsia="en-AU"/>
        </w:rPr>
        <w:t xml:space="preserve"> determinations are non-disallowable legislative instruments. </w:t>
      </w:r>
      <w:r w:rsidR="00416297">
        <w:rPr>
          <w:rFonts w:eastAsia="Times New Roman" w:cs="Arial"/>
          <w:lang w:eastAsia="en-AU"/>
        </w:rPr>
        <w:t xml:space="preserve">When making the licence issue scheme, the ACMA would be required to have regard to </w:t>
      </w:r>
      <w:r w:rsidR="00EE0C9B">
        <w:rPr>
          <w:rFonts w:eastAsia="Times New Roman" w:cs="Arial"/>
          <w:lang w:eastAsia="en-AU"/>
        </w:rPr>
        <w:t xml:space="preserve">any relevant </w:t>
      </w:r>
      <w:r w:rsidR="00B259C1">
        <w:rPr>
          <w:rFonts w:eastAsia="Times New Roman" w:cs="Arial"/>
          <w:lang w:eastAsia="en-AU"/>
        </w:rPr>
        <w:t>Ministerial policy statements</w:t>
      </w:r>
      <w:r w:rsidR="00127045">
        <w:rPr>
          <w:rFonts w:eastAsia="Times New Roman" w:cs="Arial"/>
          <w:lang w:eastAsia="en-AU"/>
        </w:rPr>
        <w:t>.</w:t>
      </w:r>
    </w:p>
    <w:p w14:paraId="5D2A16E9" w14:textId="76880481" w:rsidR="00032787" w:rsidRPr="00127045" w:rsidRDefault="00B603BD" w:rsidP="00693300">
      <w:pPr>
        <w:rPr>
          <w:rFonts w:eastAsia="Times New Roman" w:cs="Arial"/>
          <w:lang w:eastAsia="en-AU"/>
        </w:rPr>
      </w:pPr>
      <w:r w:rsidRPr="00127045">
        <w:rPr>
          <w:rFonts w:eastAsia="Times New Roman" w:cs="Arial"/>
          <w:lang w:eastAsia="en-AU"/>
        </w:rPr>
        <w:t xml:space="preserve">Developing and implementing a range of </w:t>
      </w:r>
      <w:r w:rsidR="00B259C1">
        <w:rPr>
          <w:rFonts w:eastAsia="Times New Roman" w:cs="Arial"/>
          <w:lang w:eastAsia="en-AU"/>
        </w:rPr>
        <w:t>licence issue schemes</w:t>
      </w:r>
      <w:r w:rsidR="00B259C1" w:rsidRPr="00127045">
        <w:rPr>
          <w:rFonts w:eastAsia="Times New Roman" w:cs="Arial"/>
          <w:lang w:eastAsia="en-AU"/>
        </w:rPr>
        <w:t xml:space="preserve"> </w:t>
      </w:r>
      <w:r w:rsidRPr="00127045">
        <w:rPr>
          <w:rFonts w:eastAsia="Times New Roman" w:cs="Arial"/>
          <w:lang w:eastAsia="en-AU"/>
        </w:rPr>
        <w:t xml:space="preserve">is a matter for the ACMA. It is </w:t>
      </w:r>
      <w:r w:rsidR="00C85533">
        <w:rPr>
          <w:rFonts w:eastAsia="Times New Roman" w:cs="Arial"/>
          <w:lang w:eastAsia="en-AU"/>
        </w:rPr>
        <w:t xml:space="preserve">expected </w:t>
      </w:r>
      <w:r w:rsidRPr="00127045">
        <w:rPr>
          <w:rFonts w:eastAsia="Times New Roman" w:cs="Arial"/>
          <w:lang w:eastAsia="en-AU"/>
        </w:rPr>
        <w:t xml:space="preserve">that the </w:t>
      </w:r>
      <w:r w:rsidRPr="00693300">
        <w:t>number</w:t>
      </w:r>
      <w:r w:rsidRPr="00127045">
        <w:rPr>
          <w:rFonts w:eastAsia="Times New Roman" w:cs="Arial"/>
          <w:lang w:eastAsia="en-AU"/>
        </w:rPr>
        <w:t xml:space="preserve"> of </w:t>
      </w:r>
      <w:r w:rsidR="00B259C1">
        <w:rPr>
          <w:rFonts w:eastAsia="Times New Roman" w:cs="Arial"/>
          <w:lang w:eastAsia="en-AU"/>
        </w:rPr>
        <w:t>licence issue schemes</w:t>
      </w:r>
      <w:r w:rsidR="00B259C1" w:rsidRPr="00127045">
        <w:rPr>
          <w:rFonts w:eastAsia="Times New Roman" w:cs="Arial"/>
          <w:lang w:eastAsia="en-AU"/>
        </w:rPr>
        <w:t xml:space="preserve"> </w:t>
      </w:r>
      <w:r w:rsidRPr="00127045">
        <w:rPr>
          <w:rFonts w:eastAsia="Times New Roman" w:cs="Arial"/>
          <w:lang w:eastAsia="en-AU"/>
        </w:rPr>
        <w:t xml:space="preserve">employed would be limited. For example, a single ‘administrative’ </w:t>
      </w:r>
      <w:r w:rsidR="00B259C1">
        <w:rPr>
          <w:rFonts w:eastAsia="Times New Roman" w:cs="Arial"/>
          <w:lang w:eastAsia="en-AU"/>
        </w:rPr>
        <w:t>licence issue scheme</w:t>
      </w:r>
      <w:r w:rsidR="00B259C1" w:rsidRPr="00127045">
        <w:rPr>
          <w:rFonts w:eastAsia="Times New Roman" w:cs="Arial"/>
          <w:lang w:eastAsia="en-AU"/>
        </w:rPr>
        <w:t xml:space="preserve"> </w:t>
      </w:r>
      <w:r w:rsidRPr="00127045">
        <w:rPr>
          <w:rFonts w:eastAsia="Times New Roman" w:cs="Arial"/>
          <w:lang w:eastAsia="en-AU"/>
        </w:rPr>
        <w:t xml:space="preserve">could form the basis of a number of different administrative allocation </w:t>
      </w:r>
      <w:r w:rsidRPr="00693300">
        <w:t>processes</w:t>
      </w:r>
      <w:r w:rsidRPr="00127045">
        <w:rPr>
          <w:rFonts w:eastAsia="Times New Roman" w:cs="Arial"/>
          <w:lang w:eastAsia="en-AU"/>
        </w:rPr>
        <w:t>.</w:t>
      </w:r>
    </w:p>
    <w:p w14:paraId="2F8E99EF" w14:textId="0A9540CD" w:rsidR="00D4196A" w:rsidRPr="00127045" w:rsidRDefault="00032787" w:rsidP="00693300">
      <w:pPr>
        <w:rPr>
          <w:rFonts w:eastAsia="Times New Roman" w:cs="Arial"/>
          <w:lang w:eastAsia="en-AU"/>
        </w:rPr>
      </w:pPr>
      <w:r w:rsidRPr="00127045">
        <w:rPr>
          <w:rFonts w:eastAsia="Times New Roman" w:cs="Arial"/>
          <w:lang w:eastAsia="en-AU"/>
        </w:rPr>
        <w:t xml:space="preserve">It is anticipated that the ACMA would make </w:t>
      </w:r>
      <w:r w:rsidR="00B259C1">
        <w:rPr>
          <w:rFonts w:eastAsia="Times New Roman" w:cs="Arial"/>
          <w:lang w:eastAsia="en-AU"/>
        </w:rPr>
        <w:t>licence issue scheme</w:t>
      </w:r>
      <w:r w:rsidR="00B259C1" w:rsidRPr="00127045">
        <w:rPr>
          <w:rFonts w:eastAsia="Times New Roman" w:cs="Arial"/>
          <w:lang w:eastAsia="en-AU"/>
        </w:rPr>
        <w:t xml:space="preserve"> </w:t>
      </w:r>
      <w:r w:rsidRPr="00127045">
        <w:rPr>
          <w:rFonts w:eastAsia="Times New Roman" w:cs="Arial"/>
          <w:lang w:eastAsia="en-AU"/>
        </w:rPr>
        <w:t xml:space="preserve">determinations to cover the </w:t>
      </w:r>
      <w:r w:rsidR="006A6B85" w:rsidDel="00C85533">
        <w:rPr>
          <w:rFonts w:eastAsia="Times New Roman" w:cs="Arial"/>
          <w:lang w:eastAsia="en-AU"/>
        </w:rPr>
        <w:t xml:space="preserve">primary </w:t>
      </w:r>
      <w:r w:rsidR="00C85533" w:rsidRPr="00127045">
        <w:rPr>
          <w:rFonts w:eastAsia="Times New Roman" w:cs="Arial"/>
          <w:lang w:eastAsia="en-AU"/>
        </w:rPr>
        <w:t>methods</w:t>
      </w:r>
      <w:r w:rsidRPr="00127045">
        <w:rPr>
          <w:rFonts w:eastAsia="Times New Roman" w:cs="Arial"/>
          <w:lang w:eastAsia="en-AU"/>
        </w:rPr>
        <w:t xml:space="preserve"> of allocation. </w:t>
      </w:r>
      <w:r w:rsidR="00D4196A" w:rsidRPr="00127045">
        <w:rPr>
          <w:rFonts w:eastAsia="Times New Roman" w:cs="Arial"/>
          <w:lang w:eastAsia="en-AU"/>
        </w:rPr>
        <w:t>T</w:t>
      </w:r>
      <w:r w:rsidR="00D4196A">
        <w:rPr>
          <w:rFonts w:eastAsia="Times New Roman" w:cs="Arial"/>
          <w:lang w:eastAsia="en-AU"/>
        </w:rPr>
        <w:t xml:space="preserve">he Bill does not prescribe particular allocation methods, allowing the </w:t>
      </w:r>
      <w:r w:rsidR="00D4196A" w:rsidRPr="00040A5D">
        <w:rPr>
          <w:rFonts w:eastAsia="Times New Roman" w:cs="Arial"/>
          <w:lang w:eastAsia="en-AU"/>
        </w:rPr>
        <w:t xml:space="preserve">ACMA </w:t>
      </w:r>
      <w:r w:rsidR="00D4196A">
        <w:rPr>
          <w:rFonts w:eastAsia="Times New Roman" w:cs="Arial"/>
          <w:lang w:eastAsia="en-AU"/>
        </w:rPr>
        <w:t xml:space="preserve">to use </w:t>
      </w:r>
      <w:r w:rsidR="00D4196A" w:rsidRPr="00693300">
        <w:t>alternative</w:t>
      </w:r>
      <w:r w:rsidR="00D4196A">
        <w:rPr>
          <w:rFonts w:eastAsia="Times New Roman" w:cs="Arial"/>
          <w:lang w:eastAsia="en-AU"/>
        </w:rPr>
        <w:t xml:space="preserve"> processes that may emerge over time, such as incentive auctions or spectrum exchanges.</w:t>
      </w:r>
    </w:p>
    <w:p w14:paraId="64B5A769" w14:textId="7E162717" w:rsidR="003B4639" w:rsidRPr="00040A5D" w:rsidRDefault="0079358F" w:rsidP="00693300">
      <w:pPr>
        <w:rPr>
          <w:rFonts w:eastAsia="Times New Roman" w:cs="Arial"/>
          <w:lang w:eastAsia="en-AU"/>
        </w:rPr>
      </w:pPr>
      <w:r>
        <w:rPr>
          <w:rFonts w:eastAsia="Times New Roman" w:cs="Arial"/>
          <w:lang w:eastAsia="en-AU"/>
        </w:rPr>
        <w:t>T</w:t>
      </w:r>
      <w:r w:rsidR="003B4639" w:rsidRPr="00F42BD7">
        <w:rPr>
          <w:rFonts w:eastAsia="Times New Roman" w:cs="Arial"/>
          <w:lang w:eastAsia="en-AU"/>
        </w:rPr>
        <w:t xml:space="preserve">he ACMA </w:t>
      </w:r>
      <w:r w:rsidR="00112E1A">
        <w:rPr>
          <w:rFonts w:eastAsia="Times New Roman" w:cs="Arial"/>
          <w:lang w:eastAsia="en-AU"/>
        </w:rPr>
        <w:t>is able to</w:t>
      </w:r>
      <w:r w:rsidR="003B4639" w:rsidRPr="00F42BD7">
        <w:rPr>
          <w:rFonts w:eastAsia="Times New Roman" w:cs="Arial"/>
          <w:lang w:eastAsia="en-AU"/>
        </w:rPr>
        <w:t xml:space="preserve"> specify allocation timing in the procedures it develops for particular allocations. </w:t>
      </w:r>
      <w:r w:rsidR="006A6B85">
        <w:rPr>
          <w:rFonts w:eastAsia="Times New Roman" w:cs="Arial"/>
          <w:lang w:eastAsia="en-AU"/>
        </w:rPr>
        <w:t xml:space="preserve">It is </w:t>
      </w:r>
      <w:r w:rsidR="00112E1A">
        <w:rPr>
          <w:rFonts w:eastAsia="Times New Roman" w:cs="Arial"/>
          <w:lang w:eastAsia="en-AU"/>
        </w:rPr>
        <w:t>intended</w:t>
      </w:r>
      <w:r w:rsidR="003B4639" w:rsidRPr="00F42BD7">
        <w:rPr>
          <w:rFonts w:eastAsia="Times New Roman" w:cs="Arial"/>
          <w:lang w:eastAsia="en-AU"/>
        </w:rPr>
        <w:t xml:space="preserve"> </w:t>
      </w:r>
      <w:r w:rsidR="00112E1A">
        <w:rPr>
          <w:rFonts w:eastAsia="Times New Roman" w:cs="Arial"/>
          <w:lang w:eastAsia="en-AU"/>
        </w:rPr>
        <w:t xml:space="preserve">the ACMA </w:t>
      </w:r>
      <w:r w:rsidR="00A32319">
        <w:rPr>
          <w:rFonts w:eastAsia="Times New Roman" w:cs="Arial"/>
          <w:lang w:eastAsia="en-AU"/>
        </w:rPr>
        <w:t>would</w:t>
      </w:r>
      <w:r w:rsidR="00112E1A">
        <w:rPr>
          <w:rFonts w:eastAsia="Times New Roman" w:cs="Arial"/>
          <w:lang w:eastAsia="en-AU"/>
        </w:rPr>
        <w:t xml:space="preserve"> </w:t>
      </w:r>
      <w:r w:rsidR="003B4639" w:rsidRPr="00F42BD7">
        <w:rPr>
          <w:rFonts w:eastAsia="Times New Roman" w:cs="Arial"/>
          <w:lang w:eastAsia="en-AU"/>
        </w:rPr>
        <w:t>set and repor</w:t>
      </w:r>
      <w:r w:rsidR="00113B85">
        <w:rPr>
          <w:rFonts w:eastAsia="Times New Roman" w:cs="Arial"/>
          <w:lang w:eastAsia="en-AU"/>
        </w:rPr>
        <w:t>t</w:t>
      </w:r>
      <w:r w:rsidR="003B4639" w:rsidRPr="00F42BD7">
        <w:rPr>
          <w:rFonts w:eastAsia="Times New Roman" w:cs="Arial"/>
          <w:lang w:eastAsia="en-AU"/>
        </w:rPr>
        <w:t xml:space="preserve"> against a target for the timing of proposed allocations in its annual work program. This provides transpar</w:t>
      </w:r>
      <w:r w:rsidR="00EB6A17">
        <w:rPr>
          <w:rFonts w:eastAsia="Times New Roman" w:cs="Arial"/>
          <w:lang w:eastAsia="en-AU"/>
        </w:rPr>
        <w:t>ency to spectrum users and the G</w:t>
      </w:r>
      <w:r w:rsidR="003B4639" w:rsidRPr="00F42BD7">
        <w:rPr>
          <w:rFonts w:eastAsia="Times New Roman" w:cs="Arial"/>
          <w:lang w:eastAsia="en-AU"/>
        </w:rPr>
        <w:t xml:space="preserve">overnment on how long these </w:t>
      </w:r>
      <w:r w:rsidR="003B4639" w:rsidRPr="00693300">
        <w:t>processes</w:t>
      </w:r>
      <w:r w:rsidR="003B4639" w:rsidRPr="00F42BD7">
        <w:rPr>
          <w:rFonts w:eastAsia="Times New Roman" w:cs="Arial"/>
          <w:lang w:eastAsia="en-AU"/>
        </w:rPr>
        <w:t xml:space="preserve"> are expected to take and accountability if timing diverges from estimates.</w:t>
      </w:r>
    </w:p>
    <w:p w14:paraId="0411D973" w14:textId="757C9AA9" w:rsidR="00B01763" w:rsidRPr="00127045" w:rsidRDefault="00B33A66" w:rsidP="00693300">
      <w:pPr>
        <w:rPr>
          <w:rFonts w:eastAsia="Times New Roman" w:cs="Arial"/>
          <w:lang w:eastAsia="en-AU"/>
        </w:rPr>
      </w:pPr>
      <w:r w:rsidRPr="00127045">
        <w:rPr>
          <w:rFonts w:eastAsia="Times New Roman" w:cs="Arial"/>
          <w:lang w:eastAsia="en-AU"/>
        </w:rPr>
        <w:t xml:space="preserve">In deciding whether to issue a licence, the ACMA would be able to have regard to all matters it considers relevant, </w:t>
      </w:r>
      <w:r w:rsidR="00951A2B">
        <w:rPr>
          <w:rFonts w:eastAsia="Times New Roman" w:cs="Arial"/>
          <w:lang w:eastAsia="en-AU"/>
        </w:rPr>
        <w:t xml:space="preserve">which could include </w:t>
      </w:r>
      <w:r w:rsidRPr="00127045">
        <w:rPr>
          <w:rFonts w:eastAsia="Times New Roman" w:cs="Arial"/>
          <w:lang w:eastAsia="en-AU"/>
        </w:rPr>
        <w:t>the effect on radiocommunications of the proposed operation of the devices that would be authorised under the licence.</w:t>
      </w:r>
      <w:r w:rsidR="00951A2B">
        <w:rPr>
          <w:rFonts w:eastAsia="Times New Roman" w:cs="Arial"/>
          <w:lang w:eastAsia="en-AU"/>
        </w:rPr>
        <w:t xml:space="preserve"> The ACMA would also have to have regard to any </w:t>
      </w:r>
      <w:r w:rsidR="00951A2B" w:rsidRPr="00693300">
        <w:t>applicable</w:t>
      </w:r>
      <w:r w:rsidR="00951A2B">
        <w:rPr>
          <w:rFonts w:eastAsia="Times New Roman" w:cs="Arial"/>
          <w:lang w:eastAsia="en-AU"/>
        </w:rPr>
        <w:t xml:space="preserve"> Ministerial policy statements.</w:t>
      </w:r>
    </w:p>
    <w:p w14:paraId="5EC2B66E" w14:textId="70567BC5" w:rsidR="00B01763" w:rsidRDefault="00B33A66" w:rsidP="00693300">
      <w:pPr>
        <w:rPr>
          <w:rFonts w:eastAsia="Times New Roman" w:cs="Arial"/>
          <w:lang w:eastAsia="en-AU"/>
        </w:rPr>
      </w:pPr>
      <w:r w:rsidRPr="00127045">
        <w:rPr>
          <w:rFonts w:eastAsia="Times New Roman" w:cs="Arial"/>
          <w:lang w:eastAsia="en-AU"/>
        </w:rPr>
        <w:t xml:space="preserve">If the ACMA were to refuse to issue a person a licence, </w:t>
      </w:r>
      <w:r w:rsidR="002B2B0F" w:rsidRPr="00127045">
        <w:rPr>
          <w:rFonts w:eastAsia="Times New Roman" w:cs="Arial"/>
          <w:lang w:eastAsia="en-AU"/>
        </w:rPr>
        <w:t xml:space="preserve">the ACMA </w:t>
      </w:r>
      <w:r w:rsidRPr="00127045">
        <w:rPr>
          <w:rFonts w:eastAsia="Times New Roman" w:cs="Arial"/>
          <w:lang w:eastAsia="en-AU"/>
        </w:rPr>
        <w:t xml:space="preserve">would be required to provide the person with written notice of the refusal and the reasons for </w:t>
      </w:r>
      <w:r w:rsidR="0027349C" w:rsidRPr="00127045">
        <w:rPr>
          <w:rFonts w:eastAsia="Times New Roman" w:cs="Arial"/>
          <w:lang w:eastAsia="en-AU"/>
        </w:rPr>
        <w:t>its decision</w:t>
      </w:r>
      <w:r w:rsidRPr="00127045">
        <w:rPr>
          <w:rFonts w:eastAsia="Times New Roman" w:cs="Arial"/>
          <w:lang w:eastAsia="en-AU"/>
        </w:rPr>
        <w:t xml:space="preserve">. </w:t>
      </w:r>
      <w:r w:rsidR="00861DEB" w:rsidRPr="00127045">
        <w:rPr>
          <w:rFonts w:eastAsia="Times New Roman" w:cs="Arial"/>
          <w:lang w:eastAsia="en-AU"/>
        </w:rPr>
        <w:t>Similar to existing arrangements, s</w:t>
      </w:r>
      <w:r w:rsidRPr="00127045">
        <w:rPr>
          <w:rFonts w:eastAsia="Times New Roman" w:cs="Arial"/>
          <w:lang w:eastAsia="en-AU"/>
        </w:rPr>
        <w:t xml:space="preserve">uch a decision would be reviewable both internally and subsequently by the </w:t>
      </w:r>
      <w:r w:rsidR="00861DEB" w:rsidRPr="00693300">
        <w:t>Administrative</w:t>
      </w:r>
      <w:r w:rsidR="00861DEB" w:rsidRPr="00127045">
        <w:rPr>
          <w:rFonts w:eastAsia="Times New Roman" w:cs="Arial"/>
          <w:lang w:eastAsia="en-AU"/>
        </w:rPr>
        <w:t xml:space="preserve"> </w:t>
      </w:r>
      <w:r w:rsidR="00032787" w:rsidRPr="00127045">
        <w:rPr>
          <w:rFonts w:eastAsia="Times New Roman" w:cs="Arial"/>
          <w:lang w:eastAsia="en-AU"/>
        </w:rPr>
        <w:t>A</w:t>
      </w:r>
      <w:r w:rsidR="00861DEB" w:rsidRPr="00127045">
        <w:rPr>
          <w:rFonts w:eastAsia="Times New Roman" w:cs="Arial"/>
          <w:lang w:eastAsia="en-AU"/>
        </w:rPr>
        <w:t xml:space="preserve">ppeal </w:t>
      </w:r>
      <w:r w:rsidR="00032787" w:rsidRPr="00127045">
        <w:rPr>
          <w:rFonts w:eastAsia="Times New Roman" w:cs="Arial"/>
          <w:lang w:eastAsia="en-AU"/>
        </w:rPr>
        <w:t>T</w:t>
      </w:r>
      <w:r w:rsidR="00861DEB" w:rsidRPr="00127045">
        <w:rPr>
          <w:rFonts w:eastAsia="Times New Roman" w:cs="Arial"/>
          <w:lang w:eastAsia="en-AU"/>
        </w:rPr>
        <w:t>ribunal.</w:t>
      </w:r>
    </w:p>
    <w:p w14:paraId="7544DAF3" w14:textId="4830F422" w:rsidR="006B3EE1" w:rsidRPr="00681BF9" w:rsidRDefault="006B3EE1">
      <w:pPr>
        <w:pStyle w:val="Heading5"/>
      </w:pPr>
      <w:r w:rsidRPr="00681BF9">
        <w:t>Ministerial direction to issue licence</w:t>
      </w:r>
    </w:p>
    <w:p w14:paraId="7D3B876D" w14:textId="27C69D95" w:rsidR="005D3E00" w:rsidRPr="00127045" w:rsidRDefault="005D3E00" w:rsidP="00693300">
      <w:pPr>
        <w:rPr>
          <w:rFonts w:eastAsia="Times New Roman" w:cs="Arial"/>
          <w:lang w:eastAsia="en-AU"/>
        </w:rPr>
      </w:pPr>
      <w:r w:rsidRPr="00127045">
        <w:rPr>
          <w:rFonts w:eastAsia="Times New Roman" w:cs="Arial"/>
          <w:lang w:eastAsia="en-AU"/>
        </w:rPr>
        <w:t xml:space="preserve">The Bill provides the Minister with a specific power to direct the ACMA </w:t>
      </w:r>
      <w:r>
        <w:rPr>
          <w:rFonts w:eastAsia="Times New Roman" w:cs="Arial"/>
          <w:lang w:eastAsia="en-AU"/>
        </w:rPr>
        <w:t xml:space="preserve">to offer to issue a licence with specified </w:t>
      </w:r>
      <w:r w:rsidRPr="00693300">
        <w:t>characteristics</w:t>
      </w:r>
      <w:r>
        <w:rPr>
          <w:rFonts w:eastAsia="Times New Roman" w:cs="Arial"/>
          <w:lang w:eastAsia="en-AU"/>
        </w:rPr>
        <w:t xml:space="preserve"> to a specified person. </w:t>
      </w:r>
      <w:r w:rsidRPr="00127045">
        <w:rPr>
          <w:rFonts w:eastAsia="Times New Roman" w:cs="Arial"/>
          <w:lang w:eastAsia="en-AU"/>
        </w:rPr>
        <w:t>The direction would be a legislative instrument.</w:t>
      </w:r>
    </w:p>
    <w:p w14:paraId="4B093B3A" w14:textId="32DB4188" w:rsidR="005E0AA1" w:rsidRPr="00F42BD7" w:rsidRDefault="005E0AA1">
      <w:pPr>
        <w:pStyle w:val="Heading5"/>
      </w:pPr>
      <w:r w:rsidRPr="005E0AA1">
        <w:t>Licence</w:t>
      </w:r>
      <w:r w:rsidRPr="00F42BD7">
        <w:t xml:space="preserve"> duration</w:t>
      </w:r>
    </w:p>
    <w:p w14:paraId="5593F2B4" w14:textId="6AF02811" w:rsidR="005E0AA1" w:rsidRPr="00F42BD7" w:rsidRDefault="00B97923" w:rsidP="00693300">
      <w:pPr>
        <w:rPr>
          <w:rFonts w:eastAsia="Times New Roman" w:cs="Arial"/>
          <w:lang w:eastAsia="en-AU"/>
        </w:rPr>
      </w:pPr>
      <w:r>
        <w:rPr>
          <w:rFonts w:eastAsia="Times New Roman" w:cs="Arial"/>
          <w:lang w:eastAsia="en-AU"/>
        </w:rPr>
        <w:t xml:space="preserve">Under the 1992 Act, maximum licence duration ranges from </w:t>
      </w:r>
      <w:r w:rsidR="002C4011">
        <w:rPr>
          <w:rFonts w:eastAsia="Times New Roman" w:cs="Arial"/>
          <w:lang w:eastAsia="en-AU"/>
        </w:rPr>
        <w:t>5</w:t>
      </w:r>
      <w:r>
        <w:rPr>
          <w:rFonts w:eastAsia="Times New Roman" w:cs="Arial"/>
          <w:lang w:eastAsia="en-AU"/>
        </w:rPr>
        <w:t xml:space="preserve"> – 15 years depending on the licence category. </w:t>
      </w:r>
      <w:r w:rsidR="005E0AA1" w:rsidRPr="008F299C">
        <w:t>Internationally</w:t>
      </w:r>
      <w:r w:rsidR="005E0AA1" w:rsidRPr="00F42BD7">
        <w:rPr>
          <w:rFonts w:cs="Arial"/>
        </w:rPr>
        <w:t xml:space="preserve">, maximum licence terms </w:t>
      </w:r>
      <w:r w:rsidR="002C4011">
        <w:rPr>
          <w:rFonts w:cs="Arial"/>
        </w:rPr>
        <w:t xml:space="preserve">vary and can extended up to </w:t>
      </w:r>
      <w:r w:rsidR="005E0AA1" w:rsidRPr="00F42BD7">
        <w:rPr>
          <w:rFonts w:cs="Arial"/>
        </w:rPr>
        <w:t>25 years.</w:t>
      </w:r>
    </w:p>
    <w:p w14:paraId="27D2BCEF" w14:textId="1233CDF2" w:rsidR="005E0AA1" w:rsidRPr="00F42BD7" w:rsidRDefault="00B97923" w:rsidP="00693300">
      <w:pPr>
        <w:rPr>
          <w:rFonts w:eastAsia="Times New Roman" w:cs="Arial"/>
          <w:lang w:eastAsia="en-AU"/>
        </w:rPr>
      </w:pPr>
      <w:r>
        <w:rPr>
          <w:rFonts w:eastAsia="Times New Roman" w:cs="Arial"/>
          <w:lang w:eastAsia="en-AU"/>
        </w:rPr>
        <w:t>The</w:t>
      </w:r>
      <w:r w:rsidR="00B073B6">
        <w:rPr>
          <w:rFonts w:eastAsia="Times New Roman" w:cs="Arial"/>
          <w:lang w:eastAsia="en-AU"/>
        </w:rPr>
        <w:t xml:space="preserve"> current policy of no perpetual licences will continue, </w:t>
      </w:r>
      <w:r>
        <w:rPr>
          <w:rFonts w:eastAsia="Times New Roman" w:cs="Arial"/>
          <w:lang w:eastAsia="en-AU"/>
        </w:rPr>
        <w:t>however the Bill provides for licences to be issued for up to 20 years.</w:t>
      </w:r>
      <w:r w:rsidR="00166585">
        <w:rPr>
          <w:rFonts w:eastAsia="Times New Roman" w:cs="Arial"/>
          <w:lang w:eastAsia="en-AU"/>
        </w:rPr>
        <w:t xml:space="preserve"> </w:t>
      </w:r>
      <w:r>
        <w:rPr>
          <w:rFonts w:eastAsia="Times New Roman" w:cs="Arial"/>
          <w:lang w:eastAsia="en-AU"/>
        </w:rPr>
        <w:t xml:space="preserve">This approach balances the benefits of longer licence terms (such as </w:t>
      </w:r>
      <w:r w:rsidRPr="00F42BD7">
        <w:rPr>
          <w:rFonts w:eastAsia="Times New Roman" w:cs="Arial"/>
          <w:lang w:eastAsia="en-AU"/>
        </w:rPr>
        <w:t>providing users of spectrum with greater confidence to innovate and invest</w:t>
      </w:r>
      <w:r>
        <w:rPr>
          <w:rFonts w:eastAsia="Times New Roman" w:cs="Arial"/>
          <w:lang w:eastAsia="en-AU"/>
        </w:rPr>
        <w:t xml:space="preserve">) with the need to retain the flexibility for </w:t>
      </w:r>
      <w:r w:rsidRPr="00693300">
        <w:t>Government</w:t>
      </w:r>
      <w:r>
        <w:rPr>
          <w:rFonts w:eastAsia="Times New Roman" w:cs="Arial"/>
          <w:lang w:eastAsia="en-AU"/>
        </w:rPr>
        <w:t xml:space="preserve"> to </w:t>
      </w:r>
      <w:r w:rsidR="005E0AA1" w:rsidRPr="00F42BD7">
        <w:rPr>
          <w:rFonts w:eastAsia="Times New Roman" w:cs="Arial"/>
          <w:lang w:eastAsia="en-AU"/>
        </w:rPr>
        <w:t>repurpos</w:t>
      </w:r>
      <w:r>
        <w:rPr>
          <w:rFonts w:eastAsia="Times New Roman" w:cs="Arial"/>
          <w:lang w:eastAsia="en-AU"/>
        </w:rPr>
        <w:t xml:space="preserve">e </w:t>
      </w:r>
      <w:r w:rsidR="005E0AA1" w:rsidRPr="00F42BD7">
        <w:rPr>
          <w:rFonts w:eastAsia="Times New Roman" w:cs="Arial"/>
          <w:lang w:eastAsia="en-AU"/>
        </w:rPr>
        <w:t>spectrum as circumstances change.</w:t>
      </w:r>
    </w:p>
    <w:p w14:paraId="38BEB424" w14:textId="77777777" w:rsidR="001751BB" w:rsidRDefault="00B97923" w:rsidP="00693300">
      <w:pPr>
        <w:rPr>
          <w:rFonts w:cs="Arial"/>
        </w:rPr>
      </w:pPr>
      <w:r>
        <w:rPr>
          <w:rFonts w:cs="Arial"/>
        </w:rPr>
        <w:t xml:space="preserve">The </w:t>
      </w:r>
      <w:r w:rsidR="005E0AA1" w:rsidRPr="00F42BD7">
        <w:rPr>
          <w:rFonts w:cs="Arial"/>
        </w:rPr>
        <w:t xml:space="preserve">ACMA </w:t>
      </w:r>
      <w:r>
        <w:rPr>
          <w:rFonts w:cs="Arial"/>
        </w:rPr>
        <w:t xml:space="preserve">will have the </w:t>
      </w:r>
      <w:r w:rsidR="005E0AA1" w:rsidRPr="00F42BD7">
        <w:rPr>
          <w:rFonts w:cs="Arial"/>
        </w:rPr>
        <w:t xml:space="preserve">discretion to </w:t>
      </w:r>
      <w:r w:rsidR="005E0AA1" w:rsidRPr="00F42BD7">
        <w:t xml:space="preserve">design and implement </w:t>
      </w:r>
      <w:r w:rsidR="005E0AA1" w:rsidRPr="00F42BD7">
        <w:rPr>
          <w:rFonts w:cs="Arial"/>
        </w:rPr>
        <w:t>licence terms, up to the maximum</w:t>
      </w:r>
      <w:r>
        <w:rPr>
          <w:rFonts w:cs="Arial"/>
        </w:rPr>
        <w:t xml:space="preserve"> 20 years. The length of particular licences</w:t>
      </w:r>
      <w:r w:rsidR="00653BCD">
        <w:rPr>
          <w:rFonts w:cs="Arial"/>
        </w:rPr>
        <w:t xml:space="preserve"> will be informed by factors such as the </w:t>
      </w:r>
      <w:r w:rsidR="005E0AA1" w:rsidRPr="00F42BD7">
        <w:rPr>
          <w:rFonts w:cs="Arial"/>
        </w:rPr>
        <w:t xml:space="preserve">licence purpose, technology and investment </w:t>
      </w:r>
      <w:r w:rsidR="005E0AA1" w:rsidRPr="008F299C">
        <w:t>cycles</w:t>
      </w:r>
      <w:r w:rsidR="005E0AA1" w:rsidRPr="00F42BD7">
        <w:rPr>
          <w:rFonts w:cs="Arial"/>
        </w:rPr>
        <w:t xml:space="preserve"> and </w:t>
      </w:r>
      <w:r w:rsidR="00653BCD">
        <w:rPr>
          <w:rFonts w:cs="Arial"/>
        </w:rPr>
        <w:t>long term spectrum planning requirements.</w:t>
      </w:r>
    </w:p>
    <w:p w14:paraId="5787F317" w14:textId="5CC62678" w:rsidR="003B4639" w:rsidRPr="00F42BD7" w:rsidRDefault="00653BCD">
      <w:pPr>
        <w:pStyle w:val="Heading5"/>
      </w:pPr>
      <w:r>
        <w:t>Licence issue limits</w:t>
      </w:r>
    </w:p>
    <w:p w14:paraId="1925A0DF" w14:textId="048293A6" w:rsidR="00B259C1" w:rsidRDefault="00B259C1" w:rsidP="00693300">
      <w:r>
        <w:t xml:space="preserve">The </w:t>
      </w:r>
      <w:r w:rsidR="00653BCD">
        <w:t xml:space="preserve">Bill provides for the </w:t>
      </w:r>
      <w:r>
        <w:t xml:space="preserve">ACMA </w:t>
      </w:r>
      <w:r w:rsidR="00653BCD">
        <w:t>to impose licence issue limits (also referred to as allocation limits or competition limits). H</w:t>
      </w:r>
      <w:r>
        <w:t xml:space="preserve">owever, the Minister retains the ability to issue the ACMA with directions on </w:t>
      </w:r>
      <w:r w:rsidR="00653BCD">
        <w:t xml:space="preserve">licence issue </w:t>
      </w:r>
      <w:r>
        <w:t>limits under s14 of the ACMA Act.</w:t>
      </w:r>
    </w:p>
    <w:p w14:paraId="4C530FA5" w14:textId="77777777" w:rsidR="001751BB" w:rsidRDefault="00AF7D3B" w:rsidP="00693300">
      <w:pPr>
        <w:rPr>
          <w:rFonts w:eastAsia="Times New Roman" w:cs="Arial"/>
          <w:lang w:eastAsia="en-AU"/>
        </w:rPr>
      </w:pPr>
      <w:r>
        <w:t xml:space="preserve">Consistent with the 1992 Act, the </w:t>
      </w:r>
      <w:r w:rsidR="00396330">
        <w:t>Bill empower</w:t>
      </w:r>
      <w:r w:rsidR="00386250">
        <w:t>s</w:t>
      </w:r>
      <w:r w:rsidR="003B4639">
        <w:t xml:space="preserve"> </w:t>
      </w:r>
      <w:r w:rsidR="00396330">
        <w:t>the</w:t>
      </w:r>
      <w:r w:rsidR="00B01763">
        <w:t xml:space="preserve"> ACMA to impose limits on </w:t>
      </w:r>
      <w:r>
        <w:t xml:space="preserve">a </w:t>
      </w:r>
      <w:r w:rsidR="00653BCD">
        <w:t>specified part of the spectrum</w:t>
      </w:r>
      <w:r>
        <w:t xml:space="preserve">, a specified area, or a specified population reach. </w:t>
      </w:r>
      <w:r>
        <w:rPr>
          <w:rFonts w:eastAsia="Times New Roman" w:cs="Arial"/>
          <w:lang w:eastAsia="en-AU"/>
        </w:rPr>
        <w:t xml:space="preserve">Limits may also apply for a specified period, or to a specified </w:t>
      </w:r>
      <w:r w:rsidRPr="00693300">
        <w:t>person</w:t>
      </w:r>
      <w:r>
        <w:rPr>
          <w:rFonts w:eastAsia="Times New Roman" w:cs="Arial"/>
          <w:lang w:eastAsia="en-AU"/>
        </w:rPr>
        <w:t xml:space="preserve"> or to members of a specified group of persons.</w:t>
      </w:r>
    </w:p>
    <w:p w14:paraId="7FCC9D86" w14:textId="0711AE29" w:rsidR="00B01763" w:rsidRDefault="006A4FF6" w:rsidP="00693300">
      <w:r>
        <w:rPr>
          <w:rFonts w:eastAsia="Times New Roman" w:cs="Arial"/>
          <w:lang w:eastAsia="en-AU"/>
        </w:rPr>
        <w:t xml:space="preserve">The Bill provides that before determining a licence issue limit, the ACMA must </w:t>
      </w:r>
      <w:r>
        <w:t xml:space="preserve">be </w:t>
      </w:r>
      <w:r w:rsidR="00466B54" w:rsidRPr="00F42BD7">
        <w:t xml:space="preserve">satisfied that it has undertaken any consultation with the </w:t>
      </w:r>
      <w:r w:rsidR="006D5B22">
        <w:t>Australian Competition and Consumer Commission (</w:t>
      </w:r>
      <w:r w:rsidR="00466B54" w:rsidRPr="00F42BD7">
        <w:t>ACCC</w:t>
      </w:r>
      <w:r w:rsidR="006D5B22">
        <w:t>)</w:t>
      </w:r>
      <w:r w:rsidR="00466B54" w:rsidRPr="00F42BD7">
        <w:t xml:space="preserve"> which</w:t>
      </w:r>
      <w:r>
        <w:t xml:space="preserve"> it considers </w:t>
      </w:r>
      <w:r w:rsidR="00466B54" w:rsidRPr="00F42BD7">
        <w:t>appropriate and reasonably practical.</w:t>
      </w:r>
    </w:p>
    <w:p w14:paraId="159ABE85" w14:textId="31195705" w:rsidR="00B33A66" w:rsidRPr="00693300" w:rsidRDefault="00B33A66" w:rsidP="00B33A66">
      <w:pPr>
        <w:pStyle w:val="Heading4"/>
        <w:rPr>
          <w:szCs w:val="24"/>
        </w:rPr>
      </w:pPr>
      <w:bookmarkStart w:id="28" w:name="_Toc480810849"/>
      <w:r w:rsidRPr="00693300">
        <w:rPr>
          <w:szCs w:val="24"/>
        </w:rPr>
        <w:t xml:space="preserve">Third </w:t>
      </w:r>
      <w:r w:rsidR="00CD6F78" w:rsidRPr="00693300">
        <w:rPr>
          <w:szCs w:val="24"/>
        </w:rPr>
        <w:t>p</w:t>
      </w:r>
      <w:r w:rsidRPr="00693300">
        <w:rPr>
          <w:szCs w:val="24"/>
        </w:rPr>
        <w:t xml:space="preserve">arty </w:t>
      </w:r>
      <w:r w:rsidR="00CD6F78" w:rsidRPr="00693300">
        <w:rPr>
          <w:szCs w:val="24"/>
        </w:rPr>
        <w:t>u</w:t>
      </w:r>
      <w:r w:rsidRPr="00693300">
        <w:rPr>
          <w:szCs w:val="24"/>
        </w:rPr>
        <w:t xml:space="preserve">se (Part </w:t>
      </w:r>
      <w:r w:rsidR="00923FAD" w:rsidRPr="00693300">
        <w:rPr>
          <w:szCs w:val="24"/>
        </w:rPr>
        <w:t>6</w:t>
      </w:r>
      <w:r w:rsidRPr="00693300">
        <w:rPr>
          <w:szCs w:val="24"/>
        </w:rPr>
        <w:t xml:space="preserve">, Division </w:t>
      </w:r>
      <w:r w:rsidR="00923FAD" w:rsidRPr="00693300">
        <w:rPr>
          <w:szCs w:val="24"/>
        </w:rPr>
        <w:t>3</w:t>
      </w:r>
      <w:r w:rsidRPr="00693300">
        <w:rPr>
          <w:szCs w:val="24"/>
        </w:rPr>
        <w:t>)</w:t>
      </w:r>
      <w:bookmarkEnd w:id="28"/>
    </w:p>
    <w:p w14:paraId="30FAD31B" w14:textId="32DCCAF3" w:rsidR="0071281E" w:rsidRDefault="0071281E" w:rsidP="00693300">
      <w:pPr>
        <w:rPr>
          <w:rFonts w:eastAsia="Times New Roman" w:cs="Arial"/>
          <w:lang w:eastAsia="en-AU"/>
        </w:rPr>
      </w:pPr>
      <w:r>
        <w:rPr>
          <w:rFonts w:eastAsia="Times New Roman" w:cs="Arial"/>
          <w:lang w:eastAsia="en-AU"/>
        </w:rPr>
        <w:t xml:space="preserve">Division </w:t>
      </w:r>
      <w:r w:rsidR="00864093">
        <w:rPr>
          <w:rFonts w:eastAsia="Times New Roman" w:cs="Arial"/>
          <w:lang w:eastAsia="en-AU"/>
        </w:rPr>
        <w:t>3</w:t>
      </w:r>
      <w:r w:rsidR="006D6111">
        <w:rPr>
          <w:rFonts w:eastAsia="Times New Roman" w:cs="Arial"/>
          <w:lang w:eastAsia="en-AU"/>
        </w:rPr>
        <w:t xml:space="preserve"> </w:t>
      </w:r>
      <w:r>
        <w:rPr>
          <w:rFonts w:eastAsia="Times New Roman" w:cs="Arial"/>
          <w:lang w:eastAsia="en-AU"/>
        </w:rPr>
        <w:t>sets out rules for third-party authorisations applicable to all licences under the single licensing system.</w:t>
      </w:r>
    </w:p>
    <w:p w14:paraId="785155D8" w14:textId="1A6FE81C" w:rsidR="005B04E3" w:rsidRDefault="006A4FF6" w:rsidP="00693300">
      <w:pPr>
        <w:rPr>
          <w:rFonts w:eastAsia="Times New Roman" w:cs="Arial"/>
          <w:lang w:eastAsia="en-AU"/>
        </w:rPr>
      </w:pPr>
      <w:r>
        <w:rPr>
          <w:rFonts w:eastAsia="Times New Roman" w:cs="Arial"/>
          <w:lang w:eastAsia="en-AU"/>
        </w:rPr>
        <w:t xml:space="preserve">The Bill continues the existing arrangement which enables </w:t>
      </w:r>
      <w:r w:rsidR="005B04E3" w:rsidRPr="005B04E3">
        <w:rPr>
          <w:rFonts w:eastAsia="Times New Roman" w:cs="Arial"/>
          <w:lang w:eastAsia="en-AU"/>
        </w:rPr>
        <w:t xml:space="preserve">licence holders </w:t>
      </w:r>
      <w:r w:rsidR="005901E7" w:rsidRPr="005B04E3">
        <w:rPr>
          <w:rFonts w:eastAsia="Times New Roman" w:cs="Arial"/>
          <w:lang w:eastAsia="en-AU"/>
        </w:rPr>
        <w:t xml:space="preserve">to </w:t>
      </w:r>
      <w:r w:rsidR="005B04E3">
        <w:rPr>
          <w:rFonts w:eastAsia="Times New Roman" w:cs="Arial"/>
          <w:lang w:eastAsia="en-AU"/>
        </w:rPr>
        <w:t>authorise</w:t>
      </w:r>
      <w:r w:rsidR="005901E7" w:rsidRPr="005B04E3">
        <w:rPr>
          <w:rFonts w:eastAsia="Times New Roman" w:cs="Arial"/>
          <w:lang w:eastAsia="en-AU"/>
        </w:rPr>
        <w:t xml:space="preserve"> third parties</w:t>
      </w:r>
      <w:r w:rsidR="005B04E3" w:rsidRPr="005B04E3">
        <w:rPr>
          <w:rFonts w:eastAsia="Times New Roman" w:cs="Arial"/>
          <w:lang w:eastAsia="en-AU"/>
        </w:rPr>
        <w:t xml:space="preserve"> to operate radiocommunications devices under </w:t>
      </w:r>
      <w:r w:rsidR="006D6111">
        <w:rPr>
          <w:rFonts w:eastAsia="Times New Roman" w:cs="Arial"/>
          <w:lang w:eastAsia="en-AU"/>
        </w:rPr>
        <w:t>th</w:t>
      </w:r>
      <w:r>
        <w:rPr>
          <w:rFonts w:eastAsia="Times New Roman" w:cs="Arial"/>
          <w:lang w:eastAsia="en-AU"/>
        </w:rPr>
        <w:t xml:space="preserve">at </w:t>
      </w:r>
      <w:r w:rsidR="006D6111">
        <w:rPr>
          <w:rFonts w:eastAsia="Times New Roman" w:cs="Arial"/>
          <w:lang w:eastAsia="en-AU"/>
        </w:rPr>
        <w:t>licence, s</w:t>
      </w:r>
      <w:r w:rsidR="006D6111" w:rsidRPr="005B04E3">
        <w:rPr>
          <w:rFonts w:eastAsia="Times New Roman" w:cs="Arial"/>
          <w:lang w:eastAsia="en-AU"/>
        </w:rPr>
        <w:t xml:space="preserve">ubject to </w:t>
      </w:r>
      <w:r w:rsidR="006D6111">
        <w:rPr>
          <w:rFonts w:eastAsia="Times New Roman" w:cs="Arial"/>
          <w:lang w:eastAsia="en-AU"/>
        </w:rPr>
        <w:t xml:space="preserve">any </w:t>
      </w:r>
      <w:r w:rsidR="00456107">
        <w:rPr>
          <w:rFonts w:eastAsia="Times New Roman" w:cs="Arial"/>
          <w:lang w:eastAsia="en-AU"/>
        </w:rPr>
        <w:t>restrictions contained in the</w:t>
      </w:r>
      <w:r w:rsidR="006D6111" w:rsidRPr="005B04E3">
        <w:rPr>
          <w:rFonts w:eastAsia="Times New Roman" w:cs="Arial"/>
          <w:lang w:eastAsia="en-AU"/>
        </w:rPr>
        <w:t xml:space="preserve"> licence</w:t>
      </w:r>
      <w:r w:rsidR="00345B49">
        <w:rPr>
          <w:rFonts w:eastAsia="Times New Roman" w:cs="Arial"/>
          <w:lang w:eastAsia="en-AU"/>
        </w:rPr>
        <w:t>.</w:t>
      </w:r>
      <w:r w:rsidR="00544847">
        <w:rPr>
          <w:rFonts w:eastAsia="Times New Roman" w:cs="Arial"/>
          <w:lang w:eastAsia="en-AU"/>
        </w:rPr>
        <w:t xml:space="preserve"> Such authorisations permit flexibility of the user of the spectrum independent of the id</w:t>
      </w:r>
      <w:r w:rsidR="00E62543">
        <w:rPr>
          <w:rFonts w:eastAsia="Times New Roman" w:cs="Arial"/>
          <w:lang w:eastAsia="en-AU"/>
        </w:rPr>
        <w:t xml:space="preserve">entity of the </w:t>
      </w:r>
      <w:r w:rsidR="00E62543" w:rsidRPr="00693300">
        <w:t>licensee</w:t>
      </w:r>
      <w:r w:rsidR="00E62543">
        <w:rPr>
          <w:rFonts w:eastAsia="Times New Roman" w:cs="Arial"/>
          <w:lang w:eastAsia="en-AU"/>
        </w:rPr>
        <w:t>.</w:t>
      </w:r>
    </w:p>
    <w:p w14:paraId="3F17B028" w14:textId="16C4C45E" w:rsidR="00B33A66" w:rsidRDefault="001166B6" w:rsidP="00693300">
      <w:r>
        <w:rPr>
          <w:rFonts w:eastAsia="Times New Roman" w:cs="Arial"/>
          <w:lang w:eastAsia="en-AU"/>
        </w:rPr>
        <w:t>The Bill requires licensees to</w:t>
      </w:r>
      <w:r w:rsidR="005B04E3">
        <w:rPr>
          <w:rFonts w:eastAsia="Times New Roman" w:cs="Arial"/>
          <w:lang w:eastAsia="en-AU"/>
        </w:rPr>
        <w:t xml:space="preserve"> make and retain records of authorisations until at least six months after the end of the authorisation, and notify persons authorised as soon as practicable of </w:t>
      </w:r>
      <w:r w:rsidR="008522E7">
        <w:rPr>
          <w:rFonts w:eastAsia="Times New Roman" w:cs="Arial"/>
          <w:lang w:eastAsia="en-AU"/>
        </w:rPr>
        <w:t>matters affecting the licence</w:t>
      </w:r>
      <w:r w:rsidR="00E62543">
        <w:rPr>
          <w:rFonts w:eastAsia="Times New Roman" w:cs="Arial"/>
          <w:lang w:eastAsia="en-AU"/>
        </w:rPr>
        <w:t>,</w:t>
      </w:r>
      <w:r w:rsidR="008522E7">
        <w:rPr>
          <w:rFonts w:eastAsia="Times New Roman" w:cs="Arial"/>
          <w:lang w:eastAsia="en-AU"/>
        </w:rPr>
        <w:t xml:space="preserve"> including </w:t>
      </w:r>
      <w:r w:rsidR="005B04E3">
        <w:rPr>
          <w:rFonts w:eastAsia="Times New Roman" w:cs="Arial"/>
          <w:lang w:eastAsia="en-AU"/>
        </w:rPr>
        <w:t>variation, suspension, cancellation, surrender, subdivision or assignment.</w:t>
      </w:r>
    </w:p>
    <w:p w14:paraId="3A8EB50A" w14:textId="17EF6293" w:rsidR="00296124" w:rsidRPr="00693300" w:rsidRDefault="00572C0D" w:rsidP="00296124">
      <w:pPr>
        <w:pStyle w:val="Heading4"/>
        <w:rPr>
          <w:szCs w:val="24"/>
        </w:rPr>
      </w:pPr>
      <w:bookmarkStart w:id="29" w:name="_Toc480810850"/>
      <w:r>
        <w:rPr>
          <w:szCs w:val="24"/>
        </w:rPr>
        <w:t>Conditions of l</w:t>
      </w:r>
      <w:r w:rsidR="00296124" w:rsidRPr="00693300">
        <w:rPr>
          <w:szCs w:val="24"/>
        </w:rPr>
        <w:t xml:space="preserve">icences (Part </w:t>
      </w:r>
      <w:r w:rsidR="00923FAD" w:rsidRPr="00693300">
        <w:rPr>
          <w:szCs w:val="24"/>
        </w:rPr>
        <w:t>6</w:t>
      </w:r>
      <w:r w:rsidR="00296124" w:rsidRPr="00693300">
        <w:rPr>
          <w:szCs w:val="24"/>
        </w:rPr>
        <w:t xml:space="preserve">, Division </w:t>
      </w:r>
      <w:r w:rsidR="00923FAD" w:rsidRPr="00693300">
        <w:rPr>
          <w:szCs w:val="24"/>
        </w:rPr>
        <w:t>4</w:t>
      </w:r>
      <w:r w:rsidR="00296124" w:rsidRPr="00693300">
        <w:rPr>
          <w:szCs w:val="24"/>
        </w:rPr>
        <w:t>)</w:t>
      </w:r>
      <w:bookmarkEnd w:id="29"/>
    </w:p>
    <w:p w14:paraId="703B7102" w14:textId="71C5572E" w:rsidR="00296124" w:rsidRPr="00040A5D" w:rsidRDefault="00296124" w:rsidP="00693300">
      <w:pPr>
        <w:rPr>
          <w:rFonts w:eastAsia="Times New Roman" w:cs="Arial"/>
          <w:lang w:eastAsia="en-AU"/>
        </w:rPr>
      </w:pPr>
      <w:r>
        <w:rPr>
          <w:rFonts w:eastAsia="Times New Roman" w:cs="Arial"/>
          <w:lang w:eastAsia="en-AU"/>
        </w:rPr>
        <w:t xml:space="preserve">The Bill </w:t>
      </w:r>
      <w:r w:rsidR="00CF2161">
        <w:rPr>
          <w:rFonts w:eastAsia="Times New Roman" w:cs="Arial"/>
          <w:lang w:eastAsia="en-AU"/>
        </w:rPr>
        <w:t>sets out the broad parameters which will frame the development of licences under the new licensing system</w:t>
      </w:r>
      <w:r>
        <w:rPr>
          <w:rFonts w:eastAsia="Times New Roman" w:cs="Arial"/>
          <w:lang w:eastAsia="en-AU"/>
        </w:rPr>
        <w:t>. It</w:t>
      </w:r>
      <w:r w:rsidRPr="00040A5D">
        <w:rPr>
          <w:rFonts w:eastAsia="Times New Roman" w:cs="Arial"/>
          <w:lang w:eastAsia="en-AU"/>
        </w:rPr>
        <w:t xml:space="preserve"> </w:t>
      </w:r>
      <w:r>
        <w:rPr>
          <w:rFonts w:eastAsia="Times New Roman" w:cs="Arial"/>
          <w:lang w:eastAsia="en-AU"/>
        </w:rPr>
        <w:t>prescribes a set of ‘</w:t>
      </w:r>
      <w:r w:rsidRPr="00040A5D">
        <w:rPr>
          <w:rFonts w:eastAsia="Times New Roman" w:cs="Arial"/>
          <w:lang w:eastAsia="en-AU"/>
        </w:rPr>
        <w:t>core</w:t>
      </w:r>
      <w:r>
        <w:rPr>
          <w:rFonts w:eastAsia="Times New Roman" w:cs="Arial"/>
          <w:lang w:eastAsia="en-AU"/>
        </w:rPr>
        <w:t>’</w:t>
      </w:r>
      <w:r w:rsidRPr="00040A5D">
        <w:rPr>
          <w:rFonts w:eastAsia="Times New Roman" w:cs="Arial"/>
          <w:lang w:eastAsia="en-AU"/>
        </w:rPr>
        <w:t xml:space="preserve"> </w:t>
      </w:r>
      <w:r>
        <w:rPr>
          <w:rFonts w:eastAsia="Times New Roman" w:cs="Arial"/>
          <w:lang w:eastAsia="en-AU"/>
        </w:rPr>
        <w:t>characteristics</w:t>
      </w:r>
      <w:r w:rsidRPr="00040A5D">
        <w:rPr>
          <w:rFonts w:eastAsia="Times New Roman" w:cs="Arial"/>
          <w:lang w:eastAsia="en-AU"/>
        </w:rPr>
        <w:t xml:space="preserve"> which must be </w:t>
      </w:r>
      <w:r w:rsidR="00135A64">
        <w:rPr>
          <w:rFonts w:eastAsia="Times New Roman" w:cs="Arial"/>
          <w:lang w:eastAsia="en-AU"/>
        </w:rPr>
        <w:t>contained with</w:t>
      </w:r>
      <w:r w:rsidRPr="00040A5D">
        <w:rPr>
          <w:rFonts w:eastAsia="Times New Roman" w:cs="Arial"/>
          <w:lang w:eastAsia="en-AU"/>
        </w:rPr>
        <w:t xml:space="preserve">in a licence, </w:t>
      </w:r>
      <w:r w:rsidRPr="00693300">
        <w:t>including</w:t>
      </w:r>
      <w:r w:rsidRPr="00040A5D">
        <w:rPr>
          <w:rFonts w:eastAsia="Times New Roman" w:cs="Arial"/>
          <w:lang w:eastAsia="en-AU"/>
        </w:rPr>
        <w:t>:</w:t>
      </w:r>
    </w:p>
    <w:p w14:paraId="336B4480" w14:textId="7E8EB2DE" w:rsidR="00296124" w:rsidRPr="00284D52" w:rsidRDefault="00296124" w:rsidP="004130AA">
      <w:pPr>
        <w:pStyle w:val="Bulletlevel1"/>
        <w:ind w:left="567" w:hanging="567"/>
      </w:pPr>
      <w:r w:rsidRPr="00284D52">
        <w:t>parts of the spectrum</w:t>
      </w:r>
      <w:r w:rsidR="00F54B66" w:rsidRPr="00284D52">
        <w:t xml:space="preserve"> in which operation is authorised</w:t>
      </w:r>
    </w:p>
    <w:p w14:paraId="352FB632" w14:textId="269F0C8E" w:rsidR="00296124" w:rsidRPr="00284D52" w:rsidRDefault="00296124" w:rsidP="004130AA">
      <w:pPr>
        <w:pStyle w:val="Bulletlevel1"/>
        <w:ind w:left="567" w:hanging="567"/>
      </w:pPr>
      <w:r w:rsidRPr="00284D52">
        <w:t>geographic information (area</w:t>
      </w:r>
      <w:r w:rsidR="00F54B66" w:rsidRPr="00284D52">
        <w:t xml:space="preserve"> or </w:t>
      </w:r>
      <w:r w:rsidRPr="00284D52">
        <w:t>site</w:t>
      </w:r>
      <w:r w:rsidR="00F54B66" w:rsidRPr="00284D52">
        <w:t xml:space="preserve"> at which operation is authorised</w:t>
      </w:r>
      <w:r w:rsidRPr="00284D52">
        <w:t>)</w:t>
      </w:r>
    </w:p>
    <w:p w14:paraId="026D71E3" w14:textId="4FFB8D62" w:rsidR="00296124" w:rsidRPr="00284D52" w:rsidRDefault="00F54B66" w:rsidP="004130AA">
      <w:pPr>
        <w:pStyle w:val="Bulletlevel1"/>
        <w:ind w:left="567" w:hanging="567"/>
      </w:pPr>
      <w:r w:rsidRPr="00284D52">
        <w:t xml:space="preserve">a </w:t>
      </w:r>
      <w:r w:rsidR="0060490A" w:rsidRPr="00284D52">
        <w:t>condition regarding</w:t>
      </w:r>
      <w:r w:rsidRPr="00284D52">
        <w:t xml:space="preserve"> the operation of registrable devices </w:t>
      </w:r>
      <w:r w:rsidR="00456107" w:rsidRPr="00284D52">
        <w:t xml:space="preserve">(see Part </w:t>
      </w:r>
      <w:r w:rsidR="006367D8" w:rsidRPr="00284D52">
        <w:t>6</w:t>
      </w:r>
      <w:r w:rsidR="00456107" w:rsidRPr="00284D52">
        <w:t>, Division 1</w:t>
      </w:r>
      <w:r w:rsidR="006367D8" w:rsidRPr="00284D52">
        <w:t>5</w:t>
      </w:r>
      <w:r w:rsidR="00456107" w:rsidRPr="00284D52">
        <w:t xml:space="preserve"> below)</w:t>
      </w:r>
    </w:p>
    <w:p w14:paraId="1AE2381B" w14:textId="006BC12C" w:rsidR="00EC293F" w:rsidRPr="004F099A" w:rsidRDefault="00F54B66" w:rsidP="004130AA">
      <w:pPr>
        <w:pStyle w:val="Bulletlevel1"/>
        <w:ind w:left="567" w:hanging="567"/>
      </w:pPr>
      <w:proofErr w:type="gramStart"/>
      <w:r w:rsidRPr="00284D52">
        <w:t>a</w:t>
      </w:r>
      <w:proofErr w:type="gramEnd"/>
      <w:r w:rsidRPr="00284D52">
        <w:t xml:space="preserve"> condition</w:t>
      </w:r>
      <w:r>
        <w:t xml:space="preserve"> requiring </w:t>
      </w:r>
      <w:r w:rsidR="00296124" w:rsidRPr="006B3C6E">
        <w:t>payment of applicable charges</w:t>
      </w:r>
      <w:r w:rsidRPr="00E7455E">
        <w:t>.</w:t>
      </w:r>
    </w:p>
    <w:p w14:paraId="08B33F6E" w14:textId="40DE5CEC" w:rsidR="001D1B7C" w:rsidRDefault="004A0AA3" w:rsidP="00693300">
      <w:pPr>
        <w:rPr>
          <w:rFonts w:eastAsia="Times New Roman" w:cs="Arial"/>
          <w:lang w:eastAsia="en-AU"/>
        </w:rPr>
      </w:pPr>
      <w:r>
        <w:rPr>
          <w:rFonts w:eastAsia="Times New Roman" w:cs="Arial"/>
          <w:lang w:eastAsia="en-AU"/>
        </w:rPr>
        <w:t>In addition to the conditions required by the Bill, t</w:t>
      </w:r>
      <w:r w:rsidR="001D1B7C">
        <w:rPr>
          <w:rFonts w:eastAsia="Times New Roman" w:cs="Arial"/>
          <w:lang w:eastAsia="en-AU"/>
        </w:rPr>
        <w:t xml:space="preserve">he ACMA is empowered </w:t>
      </w:r>
      <w:r>
        <w:rPr>
          <w:rFonts w:eastAsia="Times New Roman" w:cs="Arial"/>
          <w:lang w:eastAsia="en-AU"/>
        </w:rPr>
        <w:t xml:space="preserve">to include other conditions as it </w:t>
      </w:r>
      <w:r w:rsidR="006A4FF6">
        <w:rPr>
          <w:rFonts w:eastAsia="Times New Roman" w:cs="Arial"/>
          <w:lang w:eastAsia="en-AU"/>
        </w:rPr>
        <w:t xml:space="preserve">considers </w:t>
      </w:r>
      <w:r w:rsidR="006A4FF6" w:rsidRPr="00693300">
        <w:t>appropriate</w:t>
      </w:r>
      <w:r w:rsidR="006A4FF6">
        <w:rPr>
          <w:rFonts w:eastAsia="Times New Roman" w:cs="Arial"/>
          <w:lang w:eastAsia="en-AU"/>
        </w:rPr>
        <w:t>.</w:t>
      </w:r>
      <w:r w:rsidR="00166585">
        <w:rPr>
          <w:rFonts w:eastAsia="Times New Roman" w:cs="Arial"/>
          <w:lang w:eastAsia="en-AU"/>
        </w:rPr>
        <w:t xml:space="preserve"> </w:t>
      </w:r>
      <w:r w:rsidR="00B76B6F">
        <w:rPr>
          <w:rFonts w:eastAsia="Times New Roman" w:cs="Arial"/>
          <w:lang w:eastAsia="en-AU"/>
        </w:rPr>
        <w:t>This is similar in nature to the existing arrangements.</w:t>
      </w:r>
    </w:p>
    <w:p w14:paraId="7B35009A" w14:textId="77777777" w:rsidR="001751BB" w:rsidRDefault="00296124" w:rsidP="00693300">
      <w:r>
        <w:rPr>
          <w:rFonts w:eastAsia="Times New Roman" w:cs="Arial"/>
          <w:lang w:eastAsia="en-AU"/>
        </w:rPr>
        <w:t xml:space="preserve">Additional constraints on the licence </w:t>
      </w:r>
      <w:r w:rsidR="00606A52">
        <w:rPr>
          <w:rFonts w:eastAsia="Times New Roman" w:cs="Arial"/>
          <w:lang w:eastAsia="en-AU"/>
        </w:rPr>
        <w:t xml:space="preserve">are able to </w:t>
      </w:r>
      <w:r w:rsidRPr="00D90F4A">
        <w:rPr>
          <w:rFonts w:eastAsia="Times New Roman" w:cs="Arial"/>
          <w:lang w:eastAsia="en-AU"/>
        </w:rPr>
        <w:t xml:space="preserve">be expressed through </w:t>
      </w:r>
      <w:r w:rsidR="001F061B">
        <w:rPr>
          <w:rFonts w:eastAsia="Times New Roman" w:cs="Arial"/>
          <w:lang w:eastAsia="en-AU"/>
        </w:rPr>
        <w:t xml:space="preserve">designated statements in </w:t>
      </w:r>
      <w:r w:rsidRPr="00D90F4A">
        <w:rPr>
          <w:rFonts w:eastAsia="Times New Roman" w:cs="Arial"/>
          <w:lang w:eastAsia="en-AU"/>
        </w:rPr>
        <w:t>the licence</w:t>
      </w:r>
      <w:r>
        <w:rPr>
          <w:rFonts w:eastAsia="Times New Roman" w:cs="Arial"/>
          <w:lang w:eastAsia="en-AU"/>
        </w:rPr>
        <w:t xml:space="preserve">. </w:t>
      </w:r>
      <w:r w:rsidR="00B76B6F">
        <w:rPr>
          <w:rFonts w:eastAsia="Times New Roman" w:cs="Arial"/>
          <w:lang w:eastAsia="en-AU"/>
        </w:rPr>
        <w:t>Designated statements set out restrictions and limitation</w:t>
      </w:r>
      <w:r w:rsidR="004D4174">
        <w:rPr>
          <w:rFonts w:eastAsia="Times New Roman" w:cs="Arial"/>
          <w:lang w:eastAsia="en-AU"/>
        </w:rPr>
        <w:t>s</w:t>
      </w:r>
      <w:r w:rsidR="00B76B6F">
        <w:rPr>
          <w:rFonts w:eastAsia="Times New Roman" w:cs="Arial"/>
          <w:lang w:eastAsia="en-AU"/>
        </w:rPr>
        <w:t xml:space="preserve"> </w:t>
      </w:r>
      <w:r w:rsidR="00FD649A">
        <w:rPr>
          <w:rFonts w:eastAsia="Times New Roman" w:cs="Arial"/>
          <w:lang w:eastAsia="en-AU"/>
        </w:rPr>
        <w:t>for both the licensee and the ACMA</w:t>
      </w:r>
      <w:r w:rsidR="006A4FF6">
        <w:rPr>
          <w:rFonts w:eastAsia="Times New Roman" w:cs="Arial"/>
          <w:lang w:eastAsia="en-AU"/>
        </w:rPr>
        <w:t xml:space="preserve"> and may </w:t>
      </w:r>
      <w:r w:rsidR="006A4FF6" w:rsidRPr="00693300">
        <w:t>include</w:t>
      </w:r>
      <w:r w:rsidR="006A4FF6">
        <w:rPr>
          <w:rFonts w:eastAsia="Times New Roman" w:cs="Arial"/>
          <w:lang w:eastAsia="en-AU"/>
        </w:rPr>
        <w:t xml:space="preserve"> any </w:t>
      </w:r>
      <w:r w:rsidR="00FD649A">
        <w:t xml:space="preserve">restrictions or limitations </w:t>
      </w:r>
      <w:r w:rsidR="006A4FF6">
        <w:t>relating to:</w:t>
      </w:r>
    </w:p>
    <w:p w14:paraId="31FC2FB2" w14:textId="298C01FD" w:rsidR="00FD649A" w:rsidRPr="00284D52" w:rsidRDefault="004D4174" w:rsidP="004130AA">
      <w:pPr>
        <w:pStyle w:val="Bulletlevel1"/>
        <w:ind w:left="567" w:hanging="567"/>
      </w:pPr>
      <w:r w:rsidRPr="00284D52">
        <w:t>third party use</w:t>
      </w:r>
    </w:p>
    <w:p w14:paraId="32BE93CF" w14:textId="617548BD" w:rsidR="00FD649A" w:rsidRPr="00284D52" w:rsidRDefault="004D4174" w:rsidP="004130AA">
      <w:pPr>
        <w:pStyle w:val="Bulletlevel1"/>
        <w:ind w:left="567" w:hanging="567"/>
      </w:pPr>
      <w:r w:rsidRPr="00284D52">
        <w:t>variations</w:t>
      </w:r>
    </w:p>
    <w:p w14:paraId="5439455D" w14:textId="0B87245B" w:rsidR="00FD649A" w:rsidRPr="00284D52" w:rsidRDefault="004E3BDA" w:rsidP="004130AA">
      <w:pPr>
        <w:pStyle w:val="Bulletlevel1"/>
        <w:ind w:left="567" w:hanging="567"/>
      </w:pPr>
      <w:r w:rsidRPr="00284D52">
        <w:t>assign</w:t>
      </w:r>
      <w:r w:rsidR="004D4174" w:rsidRPr="00284D52">
        <w:t>ment</w:t>
      </w:r>
      <w:r w:rsidRPr="00284D52">
        <w:t xml:space="preserve"> (</w:t>
      </w:r>
      <w:r w:rsidR="00FD649A" w:rsidRPr="00284D52">
        <w:t>trading/subdivision</w:t>
      </w:r>
      <w:r w:rsidRPr="00284D52">
        <w:t>)</w:t>
      </w:r>
    </w:p>
    <w:p w14:paraId="04EEC549" w14:textId="0B4BC804" w:rsidR="004E3BDA" w:rsidRPr="00284D52" w:rsidRDefault="004E3BDA" w:rsidP="004130AA">
      <w:pPr>
        <w:pStyle w:val="Bulletlevel1"/>
        <w:ind w:left="567" w:hanging="567"/>
      </w:pPr>
      <w:r w:rsidRPr="00284D52">
        <w:t>renewal</w:t>
      </w:r>
    </w:p>
    <w:p w14:paraId="57132688" w14:textId="2D9F9C75" w:rsidR="004E3BDA" w:rsidRPr="00284D52" w:rsidRDefault="004D4174" w:rsidP="004130AA">
      <w:pPr>
        <w:pStyle w:val="Bulletlevel1"/>
        <w:ind w:left="567" w:hanging="567"/>
      </w:pPr>
      <w:r w:rsidRPr="00284D52">
        <w:t>s</w:t>
      </w:r>
      <w:r w:rsidR="004E3BDA" w:rsidRPr="00284D52">
        <w:t xml:space="preserve">upplementary circumstances in relation </w:t>
      </w:r>
      <w:r w:rsidR="00EB6A17" w:rsidRPr="00284D52">
        <w:t xml:space="preserve">to </w:t>
      </w:r>
      <w:r w:rsidR="004E3BDA" w:rsidRPr="00284D52">
        <w:t>suspending the licence</w:t>
      </w:r>
    </w:p>
    <w:p w14:paraId="14BA2545" w14:textId="0E007135" w:rsidR="004E3BDA" w:rsidRPr="000A03C1" w:rsidRDefault="004D4174" w:rsidP="004130AA">
      <w:pPr>
        <w:pStyle w:val="Bulletlevel1"/>
        <w:ind w:left="567" w:hanging="567"/>
      </w:pPr>
      <w:proofErr w:type="gramStart"/>
      <w:r w:rsidRPr="00284D52">
        <w:t>s</w:t>
      </w:r>
      <w:r w:rsidR="004E3BDA" w:rsidRPr="00284D52">
        <w:t>upplementary</w:t>
      </w:r>
      <w:proofErr w:type="gramEnd"/>
      <w:r w:rsidR="004E3BDA" w:rsidRPr="000A03C1">
        <w:t xml:space="preserve"> circumstances in relation</w:t>
      </w:r>
      <w:r w:rsidR="00EB6A17" w:rsidRPr="000A03C1">
        <w:t xml:space="preserve"> to</w:t>
      </w:r>
      <w:r w:rsidR="004E3BDA" w:rsidRPr="000A03C1">
        <w:t xml:space="preserve"> cancelling the licence</w:t>
      </w:r>
      <w:r>
        <w:t>.</w:t>
      </w:r>
    </w:p>
    <w:p w14:paraId="1510D215" w14:textId="5DF95F34" w:rsidR="009E435E" w:rsidRDefault="00B76B6F" w:rsidP="00693300">
      <w:pPr>
        <w:rPr>
          <w:rFonts w:eastAsia="Times New Roman" w:cs="Arial"/>
          <w:lang w:eastAsia="en-AU"/>
        </w:rPr>
      </w:pPr>
      <w:r>
        <w:rPr>
          <w:rFonts w:eastAsia="Times New Roman" w:cs="Arial"/>
          <w:lang w:eastAsia="en-AU"/>
        </w:rPr>
        <w:t xml:space="preserve">For example, a licence may have a designated statement limiting the ability for the ACMA to </w:t>
      </w:r>
      <w:r w:rsidR="004E3BDA">
        <w:rPr>
          <w:rFonts w:eastAsia="Times New Roman" w:cs="Arial"/>
          <w:lang w:eastAsia="en-AU"/>
        </w:rPr>
        <w:t xml:space="preserve">allow third party use </w:t>
      </w:r>
      <w:r w:rsidR="004E3BDA" w:rsidRPr="00693300">
        <w:t>to</w:t>
      </w:r>
      <w:r w:rsidR="004E3BDA">
        <w:rPr>
          <w:rFonts w:eastAsia="Times New Roman" w:cs="Arial"/>
          <w:lang w:eastAsia="en-AU"/>
        </w:rPr>
        <w:t xml:space="preserve"> </w:t>
      </w:r>
      <w:r w:rsidR="004D4174">
        <w:rPr>
          <w:rFonts w:eastAsia="Times New Roman" w:cs="Arial"/>
          <w:lang w:eastAsia="en-AU"/>
        </w:rPr>
        <w:t xml:space="preserve">only </w:t>
      </w:r>
      <w:r w:rsidR="004E3BDA">
        <w:rPr>
          <w:rFonts w:eastAsia="Times New Roman" w:cs="Arial"/>
          <w:lang w:eastAsia="en-AU"/>
        </w:rPr>
        <w:t>a specific user group</w:t>
      </w:r>
      <w:r w:rsidR="004D4174">
        <w:rPr>
          <w:rFonts w:eastAsia="Times New Roman" w:cs="Arial"/>
          <w:lang w:eastAsia="en-AU"/>
        </w:rPr>
        <w:t>,</w:t>
      </w:r>
      <w:r w:rsidR="004E3BDA">
        <w:rPr>
          <w:rFonts w:eastAsia="Times New Roman" w:cs="Arial"/>
          <w:lang w:eastAsia="en-AU"/>
        </w:rPr>
        <w:t xml:space="preserve"> such as public safety users.</w:t>
      </w:r>
    </w:p>
    <w:p w14:paraId="7FEF2D78" w14:textId="33233D89" w:rsidR="00296124" w:rsidRPr="003E7EC7" w:rsidRDefault="00296124" w:rsidP="00693300">
      <w:pPr>
        <w:rPr>
          <w:rFonts w:eastAsia="Times New Roman" w:cs="Arial"/>
          <w:lang w:eastAsia="en-AU"/>
        </w:rPr>
      </w:pPr>
      <w:r w:rsidRPr="00040A5D">
        <w:rPr>
          <w:rFonts w:eastAsia="Times New Roman" w:cs="Arial"/>
          <w:lang w:eastAsia="en-AU"/>
        </w:rPr>
        <w:t xml:space="preserve">It is anticipated that the ACMA </w:t>
      </w:r>
      <w:r w:rsidR="004D4174">
        <w:rPr>
          <w:rFonts w:eastAsia="Times New Roman" w:cs="Arial"/>
          <w:lang w:eastAsia="en-AU"/>
        </w:rPr>
        <w:t>would</w:t>
      </w:r>
      <w:r>
        <w:rPr>
          <w:rFonts w:eastAsia="Times New Roman" w:cs="Arial"/>
          <w:lang w:eastAsia="en-AU"/>
        </w:rPr>
        <w:t xml:space="preserve"> </w:t>
      </w:r>
      <w:r w:rsidRPr="00040A5D">
        <w:rPr>
          <w:rFonts w:eastAsia="Times New Roman" w:cs="Arial"/>
          <w:lang w:eastAsia="en-AU"/>
        </w:rPr>
        <w:t xml:space="preserve">develop a number of standard licence options with standard </w:t>
      </w:r>
      <w:r>
        <w:rPr>
          <w:rFonts w:eastAsia="Times New Roman" w:cs="Arial"/>
          <w:lang w:eastAsia="en-AU"/>
        </w:rPr>
        <w:t>characteristics</w:t>
      </w:r>
      <w:r w:rsidRPr="00040A5D">
        <w:rPr>
          <w:rFonts w:eastAsia="Times New Roman" w:cs="Arial"/>
          <w:lang w:eastAsia="en-AU"/>
        </w:rPr>
        <w:t xml:space="preserve"> to provide guidance to spectrum user</w:t>
      </w:r>
      <w:r>
        <w:rPr>
          <w:rFonts w:eastAsia="Times New Roman" w:cs="Arial"/>
          <w:lang w:eastAsia="en-AU"/>
        </w:rPr>
        <w:t xml:space="preserve">s and consistency of treatment. The ACMA has developed some illustrative ‘sample licences’ to provide an indication of what licences may look like under the </w:t>
      </w:r>
      <w:r w:rsidR="004D4174">
        <w:rPr>
          <w:rFonts w:eastAsia="Times New Roman" w:cs="Arial"/>
          <w:lang w:eastAsia="en-AU"/>
        </w:rPr>
        <w:t>Bill</w:t>
      </w:r>
      <w:r>
        <w:rPr>
          <w:rFonts w:eastAsia="Times New Roman" w:cs="Arial"/>
          <w:lang w:eastAsia="en-AU"/>
        </w:rPr>
        <w:t>.</w:t>
      </w:r>
      <w:r w:rsidRPr="003E7EC7">
        <w:rPr>
          <w:rFonts w:eastAsia="Times New Roman" w:cs="Arial"/>
          <w:lang w:eastAsia="en-AU"/>
        </w:rPr>
        <w:t xml:space="preserve"> The ACMA, as the responsible agency, will consult on the design and </w:t>
      </w:r>
      <w:r w:rsidRPr="00693300">
        <w:t>implementation</w:t>
      </w:r>
      <w:r w:rsidRPr="003E7EC7">
        <w:rPr>
          <w:rFonts w:eastAsia="Times New Roman" w:cs="Arial"/>
          <w:lang w:eastAsia="en-AU"/>
        </w:rPr>
        <w:t xml:space="preserve"> of the new licensing system.</w:t>
      </w:r>
    </w:p>
    <w:p w14:paraId="2EF9909B" w14:textId="77777777" w:rsidR="001751BB" w:rsidRDefault="006A4FF6" w:rsidP="00693300">
      <w:pPr>
        <w:rPr>
          <w:rFonts w:eastAsia="Times New Roman" w:cs="Arial"/>
          <w:lang w:eastAsia="en-AU"/>
        </w:rPr>
      </w:pPr>
      <w:r>
        <w:rPr>
          <w:rFonts w:eastAsia="Times New Roman" w:cs="Arial"/>
          <w:lang w:eastAsia="en-AU"/>
        </w:rPr>
        <w:t xml:space="preserve">To facilitate sharing and leasing of spectrum, </w:t>
      </w:r>
      <w:r w:rsidR="008725A0" w:rsidRPr="003E7EC7">
        <w:rPr>
          <w:rFonts w:eastAsia="Times New Roman" w:cs="Arial"/>
          <w:lang w:eastAsia="en-AU"/>
        </w:rPr>
        <w:t xml:space="preserve">the Bill authorises the ACMA to issue a licence (or make a </w:t>
      </w:r>
      <w:r w:rsidR="00A93236" w:rsidRPr="003E7EC7">
        <w:rPr>
          <w:rFonts w:eastAsia="Times New Roman" w:cs="Arial"/>
          <w:lang w:eastAsia="en-AU"/>
        </w:rPr>
        <w:t xml:space="preserve">spectrum </w:t>
      </w:r>
      <w:r w:rsidR="008725A0" w:rsidRPr="003E7EC7">
        <w:rPr>
          <w:rFonts w:eastAsia="Times New Roman" w:cs="Arial"/>
          <w:lang w:eastAsia="en-AU"/>
        </w:rPr>
        <w:t xml:space="preserve">authorisation) within the parts of the spectrum for which the ACMA has already issued a licence or provided an authorisation. </w:t>
      </w:r>
      <w:r w:rsidR="00365106">
        <w:rPr>
          <w:rFonts w:eastAsia="Times New Roman" w:cs="Arial"/>
          <w:lang w:eastAsia="en-AU"/>
        </w:rPr>
        <w:t xml:space="preserve">Recognising </w:t>
      </w:r>
      <w:r>
        <w:rPr>
          <w:rFonts w:eastAsia="Times New Roman" w:cs="Arial"/>
          <w:lang w:eastAsia="en-AU"/>
        </w:rPr>
        <w:t>the need to protect against interference and respect the right</w:t>
      </w:r>
      <w:r w:rsidR="00AE5133">
        <w:rPr>
          <w:rFonts w:eastAsia="Times New Roman" w:cs="Arial"/>
          <w:lang w:eastAsia="en-AU"/>
        </w:rPr>
        <w:t>s</w:t>
      </w:r>
      <w:r>
        <w:rPr>
          <w:rFonts w:eastAsia="Times New Roman" w:cs="Arial"/>
          <w:lang w:eastAsia="en-AU"/>
        </w:rPr>
        <w:t xml:space="preserve"> of incumbents, </w:t>
      </w:r>
      <w:r w:rsidR="008725A0" w:rsidRPr="003E7EC7">
        <w:rPr>
          <w:rFonts w:eastAsia="Times New Roman" w:cs="Arial"/>
          <w:lang w:eastAsia="en-AU"/>
        </w:rPr>
        <w:t xml:space="preserve">the Bill allows the ACMA to include </w:t>
      </w:r>
      <w:r w:rsidR="00326B37">
        <w:rPr>
          <w:rFonts w:eastAsia="Times New Roman" w:cs="Arial"/>
          <w:lang w:eastAsia="en-AU"/>
        </w:rPr>
        <w:t>‘</w:t>
      </w:r>
      <w:r w:rsidR="008725A0" w:rsidRPr="003E7EC7">
        <w:rPr>
          <w:rFonts w:eastAsia="Times New Roman" w:cs="Arial"/>
          <w:lang w:eastAsia="en-AU"/>
        </w:rPr>
        <w:t>regulatory undertakings</w:t>
      </w:r>
      <w:r w:rsidR="00326B37">
        <w:rPr>
          <w:rFonts w:eastAsia="Times New Roman" w:cs="Arial"/>
          <w:lang w:eastAsia="en-AU"/>
        </w:rPr>
        <w:t>’</w:t>
      </w:r>
      <w:r w:rsidR="008725A0" w:rsidRPr="003E7EC7">
        <w:rPr>
          <w:rFonts w:eastAsia="Times New Roman" w:cs="Arial"/>
          <w:lang w:eastAsia="en-AU"/>
        </w:rPr>
        <w:t xml:space="preserve"> (see Part </w:t>
      </w:r>
      <w:r w:rsidR="00923FAD">
        <w:rPr>
          <w:rFonts w:eastAsia="Times New Roman" w:cs="Arial"/>
          <w:lang w:eastAsia="en-AU"/>
        </w:rPr>
        <w:t>6</w:t>
      </w:r>
      <w:r w:rsidR="008725A0" w:rsidRPr="003E7EC7">
        <w:rPr>
          <w:rFonts w:eastAsia="Times New Roman" w:cs="Arial"/>
          <w:lang w:eastAsia="en-AU"/>
        </w:rPr>
        <w:t xml:space="preserve">, Division </w:t>
      </w:r>
      <w:r w:rsidR="00923FAD">
        <w:rPr>
          <w:rFonts w:eastAsia="Times New Roman" w:cs="Arial"/>
          <w:lang w:eastAsia="en-AU"/>
        </w:rPr>
        <w:t>5</w:t>
      </w:r>
      <w:r w:rsidR="00AE5133">
        <w:rPr>
          <w:rFonts w:eastAsia="Times New Roman" w:cs="Arial"/>
          <w:lang w:eastAsia="en-AU"/>
        </w:rPr>
        <w:t xml:space="preserve">) </w:t>
      </w:r>
      <w:r w:rsidR="008725A0" w:rsidRPr="003E7EC7">
        <w:rPr>
          <w:rFonts w:eastAsia="Times New Roman" w:cs="Arial"/>
          <w:lang w:eastAsia="en-AU"/>
        </w:rPr>
        <w:t>in licences</w:t>
      </w:r>
      <w:r w:rsidR="00A859E5">
        <w:rPr>
          <w:rFonts w:eastAsia="Times New Roman" w:cs="Arial"/>
          <w:lang w:eastAsia="en-AU"/>
        </w:rPr>
        <w:t>. This</w:t>
      </w:r>
      <w:r w:rsidR="00AE5133">
        <w:rPr>
          <w:rFonts w:eastAsia="Times New Roman" w:cs="Arial"/>
          <w:lang w:eastAsia="en-AU"/>
        </w:rPr>
        <w:t xml:space="preserve"> require</w:t>
      </w:r>
      <w:r w:rsidR="00025FA9">
        <w:rPr>
          <w:rFonts w:eastAsia="Times New Roman" w:cs="Arial"/>
          <w:lang w:eastAsia="en-AU"/>
        </w:rPr>
        <w:t>s</w:t>
      </w:r>
      <w:r w:rsidR="00AE5133">
        <w:rPr>
          <w:rFonts w:eastAsia="Times New Roman" w:cs="Arial"/>
          <w:lang w:eastAsia="en-AU"/>
        </w:rPr>
        <w:t xml:space="preserve"> the ACMA to </w:t>
      </w:r>
      <w:r w:rsidR="00025FA9">
        <w:rPr>
          <w:rFonts w:eastAsia="Times New Roman" w:cs="Arial"/>
          <w:lang w:eastAsia="en-AU"/>
        </w:rPr>
        <w:t>ensure</w:t>
      </w:r>
      <w:r w:rsidR="00AE5133">
        <w:rPr>
          <w:rFonts w:eastAsia="Times New Roman" w:cs="Arial"/>
          <w:lang w:eastAsia="en-AU"/>
        </w:rPr>
        <w:t xml:space="preserve"> specific steps </w:t>
      </w:r>
      <w:r w:rsidR="00CE025B">
        <w:rPr>
          <w:rFonts w:eastAsia="Times New Roman" w:cs="Arial"/>
          <w:lang w:eastAsia="en-AU"/>
        </w:rPr>
        <w:t xml:space="preserve">are undertaken </w:t>
      </w:r>
      <w:r w:rsidR="00AE5133">
        <w:rPr>
          <w:rFonts w:eastAsia="Times New Roman" w:cs="Arial"/>
          <w:lang w:eastAsia="en-AU"/>
        </w:rPr>
        <w:t xml:space="preserve">before </w:t>
      </w:r>
      <w:r w:rsidR="008725A0" w:rsidRPr="003E7EC7">
        <w:rPr>
          <w:rFonts w:eastAsia="Times New Roman" w:cs="Arial"/>
          <w:lang w:eastAsia="en-AU"/>
        </w:rPr>
        <w:t>exercis</w:t>
      </w:r>
      <w:r w:rsidR="00AE5133">
        <w:rPr>
          <w:rFonts w:eastAsia="Times New Roman" w:cs="Arial"/>
          <w:lang w:eastAsia="en-AU"/>
        </w:rPr>
        <w:t>ing its ability to</w:t>
      </w:r>
      <w:r w:rsidR="00166585">
        <w:rPr>
          <w:rFonts w:eastAsia="Times New Roman" w:cs="Arial"/>
          <w:lang w:eastAsia="en-AU"/>
        </w:rPr>
        <w:t xml:space="preserve"> </w:t>
      </w:r>
      <w:r w:rsidR="008725A0" w:rsidRPr="003E7EC7">
        <w:rPr>
          <w:rFonts w:eastAsia="Times New Roman" w:cs="Arial"/>
          <w:lang w:eastAsia="en-AU"/>
        </w:rPr>
        <w:t>issue further licences or authorisations over the same spectrum</w:t>
      </w:r>
      <w:r w:rsidR="00AE5133">
        <w:rPr>
          <w:rFonts w:eastAsia="Times New Roman" w:cs="Arial"/>
          <w:lang w:eastAsia="en-AU"/>
        </w:rPr>
        <w:t>.</w:t>
      </w:r>
      <w:r w:rsidR="00166585">
        <w:rPr>
          <w:rFonts w:eastAsia="Times New Roman" w:cs="Arial"/>
          <w:lang w:eastAsia="en-AU"/>
        </w:rPr>
        <w:t xml:space="preserve"> </w:t>
      </w:r>
      <w:r w:rsidR="00AE5133">
        <w:rPr>
          <w:rFonts w:eastAsia="Times New Roman" w:cs="Arial"/>
          <w:lang w:eastAsia="en-AU"/>
        </w:rPr>
        <w:t xml:space="preserve">Regulatory undertakings are </w:t>
      </w:r>
      <w:r w:rsidR="00AE5133" w:rsidRPr="00693300">
        <w:t>discussed</w:t>
      </w:r>
      <w:r w:rsidR="00AE5133">
        <w:rPr>
          <w:rFonts w:eastAsia="Times New Roman" w:cs="Arial"/>
          <w:lang w:eastAsia="en-AU"/>
        </w:rPr>
        <w:t xml:space="preserve"> further below.</w:t>
      </w:r>
    </w:p>
    <w:p w14:paraId="3E9FB3E4" w14:textId="3B650EE7" w:rsidR="00296124" w:rsidRDefault="00EC293F" w:rsidP="00693300">
      <w:pPr>
        <w:rPr>
          <w:rFonts w:eastAsia="Times New Roman" w:cs="Arial"/>
          <w:lang w:eastAsia="en-AU"/>
        </w:rPr>
      </w:pPr>
      <w:r w:rsidRPr="00F42BD7">
        <w:rPr>
          <w:rFonts w:eastAsia="Times New Roman" w:cs="Arial"/>
          <w:lang w:eastAsia="en-AU"/>
        </w:rPr>
        <w:t xml:space="preserve">In order to facilitate enforcement of licence conditions, the Bill provides a civil penalty for breach of licence </w:t>
      </w:r>
      <w:r w:rsidRPr="00693300">
        <w:t>conditions</w:t>
      </w:r>
      <w:r w:rsidRPr="00F42BD7">
        <w:rPr>
          <w:rFonts w:eastAsia="Times New Roman" w:cs="Arial"/>
          <w:lang w:eastAsia="en-AU"/>
        </w:rPr>
        <w:t xml:space="preserve"> by licensees and authorised third parties.</w:t>
      </w:r>
    </w:p>
    <w:p w14:paraId="0FC500BB" w14:textId="711ACB5A" w:rsidR="00296124" w:rsidRPr="00693300" w:rsidRDefault="004D5115" w:rsidP="00F42BD7">
      <w:pPr>
        <w:pStyle w:val="Heading4"/>
        <w:rPr>
          <w:szCs w:val="24"/>
        </w:rPr>
      </w:pPr>
      <w:bookmarkStart w:id="30" w:name="_Toc480810851"/>
      <w:r w:rsidRPr="00693300">
        <w:rPr>
          <w:szCs w:val="24"/>
        </w:rPr>
        <w:t xml:space="preserve">Regulatory undertakings (Part </w:t>
      </w:r>
      <w:r w:rsidR="00923FAD" w:rsidRPr="00693300">
        <w:rPr>
          <w:szCs w:val="24"/>
        </w:rPr>
        <w:t>6</w:t>
      </w:r>
      <w:r w:rsidRPr="00693300">
        <w:rPr>
          <w:szCs w:val="24"/>
        </w:rPr>
        <w:t xml:space="preserve">, Division </w:t>
      </w:r>
      <w:r w:rsidR="00923FAD" w:rsidRPr="00693300">
        <w:rPr>
          <w:szCs w:val="24"/>
        </w:rPr>
        <w:t>5)</w:t>
      </w:r>
      <w:bookmarkEnd w:id="30"/>
    </w:p>
    <w:p w14:paraId="101A92AD" w14:textId="77777777" w:rsidR="001751BB" w:rsidRDefault="00AE5133">
      <w:r>
        <w:t xml:space="preserve">As noted, the </w:t>
      </w:r>
      <w:r w:rsidR="00CC248F">
        <w:t>Bill</w:t>
      </w:r>
      <w:r>
        <w:t xml:space="preserve"> provides for more than one licence </w:t>
      </w:r>
      <w:r w:rsidR="00CC248F">
        <w:t xml:space="preserve">to be issued over the same spectrum frequency or </w:t>
      </w:r>
      <w:r>
        <w:t xml:space="preserve">in the same </w:t>
      </w:r>
      <w:r w:rsidR="00CC248F">
        <w:t xml:space="preserve">geographic area. </w:t>
      </w:r>
      <w:r w:rsidR="00B57E60">
        <w:t xml:space="preserve">For example, </w:t>
      </w:r>
      <w:r w:rsidR="00365106">
        <w:t xml:space="preserve">this may be useful where </w:t>
      </w:r>
      <w:r w:rsidR="00B57E60">
        <w:t xml:space="preserve">users </w:t>
      </w:r>
      <w:r w:rsidR="00365106">
        <w:t xml:space="preserve">wish to </w:t>
      </w:r>
      <w:r w:rsidR="00B57E60">
        <w:t>share the same spectrum under specified arrangements.</w:t>
      </w:r>
      <w:r w:rsidR="00B57E60">
        <w:rPr>
          <w:rStyle w:val="FootnoteReference"/>
        </w:rPr>
        <w:footnoteReference w:id="4"/>
      </w:r>
    </w:p>
    <w:p w14:paraId="0076F094" w14:textId="33B3B459" w:rsidR="00EB0D63" w:rsidRDefault="003477C5" w:rsidP="00FB40FD">
      <w:r>
        <w:t xml:space="preserve">To </w:t>
      </w:r>
      <w:r w:rsidR="00C822E3">
        <w:t xml:space="preserve">provide </w:t>
      </w:r>
      <w:r w:rsidR="00AE5133">
        <w:t xml:space="preserve">incumbent </w:t>
      </w:r>
      <w:r w:rsidR="00C822E3">
        <w:t>licensees</w:t>
      </w:r>
      <w:r w:rsidR="00EB0D63">
        <w:t xml:space="preserve"> </w:t>
      </w:r>
      <w:r w:rsidR="00AE5133">
        <w:t xml:space="preserve">with </w:t>
      </w:r>
      <w:r w:rsidR="00C822E3">
        <w:t xml:space="preserve">certainty </w:t>
      </w:r>
      <w:r w:rsidR="00AE5133">
        <w:t>regarding who i</w:t>
      </w:r>
      <w:r w:rsidR="00C822E3">
        <w:t>s able to access their spectrum</w:t>
      </w:r>
      <w:r w:rsidR="00B76B6F">
        <w:t>,</w:t>
      </w:r>
      <w:r>
        <w:t xml:space="preserve"> </w:t>
      </w:r>
      <w:r w:rsidR="00AE5133">
        <w:t xml:space="preserve">there is scope to include </w:t>
      </w:r>
      <w:r w:rsidR="00326B37">
        <w:t>‘</w:t>
      </w:r>
      <w:r>
        <w:t>regulatory undertakings</w:t>
      </w:r>
      <w:r w:rsidR="00326B37">
        <w:t>’</w:t>
      </w:r>
      <w:r>
        <w:t xml:space="preserve"> in </w:t>
      </w:r>
      <w:r w:rsidR="00CC248F">
        <w:t>licences</w:t>
      </w:r>
      <w:r>
        <w:t xml:space="preserve">. </w:t>
      </w:r>
      <w:r w:rsidR="003A5DD8">
        <w:t xml:space="preserve">Regulatory undertakings would set out </w:t>
      </w:r>
      <w:r w:rsidR="00061AE3">
        <w:t xml:space="preserve">on </w:t>
      </w:r>
      <w:r w:rsidR="00061AE3">
        <w:rPr>
          <w:u w:val="single"/>
        </w:rPr>
        <w:t>a licence-by-licence basis</w:t>
      </w:r>
      <w:r w:rsidR="00061AE3">
        <w:t xml:space="preserve"> </w:t>
      </w:r>
      <w:r w:rsidR="003A5DD8">
        <w:t xml:space="preserve">the limitations or restrictions included </w:t>
      </w:r>
      <w:r w:rsidR="00061AE3">
        <w:t>in the licence.</w:t>
      </w:r>
      <w:r w:rsidR="00166585">
        <w:t xml:space="preserve"> </w:t>
      </w:r>
      <w:r w:rsidR="00C822E3">
        <w:t>A</w:t>
      </w:r>
      <w:r>
        <w:t xml:space="preserve"> regulatory undertaking </w:t>
      </w:r>
      <w:r w:rsidR="00EB0D63">
        <w:t xml:space="preserve">imposes requirements on the ACMA to </w:t>
      </w:r>
      <w:r w:rsidR="00A3690E">
        <w:t xml:space="preserve">ensure </w:t>
      </w:r>
      <w:r w:rsidR="00EB0D63">
        <w:t xml:space="preserve">specified steps </w:t>
      </w:r>
      <w:r w:rsidR="00A3690E">
        <w:t xml:space="preserve">are undertaken </w:t>
      </w:r>
      <w:r w:rsidR="00EB0D63">
        <w:t xml:space="preserve">before issuing </w:t>
      </w:r>
      <w:r>
        <w:t xml:space="preserve">further licences </w:t>
      </w:r>
      <w:r w:rsidR="00FB40FD">
        <w:t>(</w:t>
      </w:r>
      <w:r>
        <w:t xml:space="preserve">or </w:t>
      </w:r>
      <w:r w:rsidR="00C822E3">
        <w:t>the making of</w:t>
      </w:r>
      <w:r>
        <w:t xml:space="preserve"> spectrum authorisations</w:t>
      </w:r>
      <w:r w:rsidR="00FB40FD">
        <w:t xml:space="preserve">) within the spectrum space of the </w:t>
      </w:r>
      <w:r w:rsidR="00EB0D63">
        <w:t xml:space="preserve">first </w:t>
      </w:r>
      <w:r w:rsidR="00FB40FD">
        <w:t>licence</w:t>
      </w:r>
      <w:r w:rsidR="00CC248F">
        <w:t>.</w:t>
      </w:r>
      <w:r w:rsidR="00166585">
        <w:t xml:space="preserve"> </w:t>
      </w:r>
      <w:r w:rsidR="00EB0D63">
        <w:t>Specified steps may include:</w:t>
      </w:r>
    </w:p>
    <w:p w14:paraId="24DF4C62" w14:textId="1166EE3D" w:rsidR="00EB0D63" w:rsidRPr="00284D52" w:rsidRDefault="00EB0D63" w:rsidP="004130AA">
      <w:pPr>
        <w:pStyle w:val="Bulletlevel1"/>
        <w:ind w:left="567" w:hanging="567"/>
      </w:pPr>
      <w:r w:rsidRPr="00284D52">
        <w:t>consultation with the first licence holder</w:t>
      </w:r>
    </w:p>
    <w:p w14:paraId="656B199B" w14:textId="77777777" w:rsidR="001751BB" w:rsidRDefault="00FB40FD" w:rsidP="004130AA">
      <w:pPr>
        <w:pStyle w:val="Bulletlevel1"/>
        <w:ind w:left="567" w:hanging="567"/>
      </w:pPr>
      <w:proofErr w:type="gramStart"/>
      <w:r w:rsidRPr="00284D52">
        <w:t>assessment</w:t>
      </w:r>
      <w:proofErr w:type="gramEnd"/>
      <w:r>
        <w:t xml:space="preserve"> of whether the </w:t>
      </w:r>
      <w:r w:rsidR="000A03C1">
        <w:t>additional</w:t>
      </w:r>
      <w:r>
        <w:t xml:space="preserve"> licence or authorisation would </w:t>
      </w:r>
      <w:r w:rsidR="000A03C1">
        <w:t>create excessive</w:t>
      </w:r>
      <w:r>
        <w:t xml:space="preserve"> interference</w:t>
      </w:r>
      <w:r w:rsidR="00B76B6F">
        <w:t xml:space="preserve"> to the other licence</w:t>
      </w:r>
      <w:r>
        <w:t>.</w:t>
      </w:r>
    </w:p>
    <w:p w14:paraId="7D86F7EA" w14:textId="6679B03E" w:rsidR="009E435E" w:rsidRDefault="00B80696">
      <w:r>
        <w:t>This w</w:t>
      </w:r>
      <w:r w:rsidR="00EB0D63">
        <w:t xml:space="preserve">ill provide certainty to first licence holders </w:t>
      </w:r>
      <w:r>
        <w:t xml:space="preserve">on </w:t>
      </w:r>
      <w:r w:rsidR="00EB0D63">
        <w:t>their rights to exclusive use of the spectrum</w:t>
      </w:r>
      <w:r w:rsidR="00061AE3">
        <w:t xml:space="preserve"> and gives assurance that the rights attached to certain licences, will not be diminished</w:t>
      </w:r>
      <w:r w:rsidR="003B030A">
        <w:t>.</w:t>
      </w:r>
      <w:r w:rsidR="003A5DD8">
        <w:t xml:space="preserve"> </w:t>
      </w:r>
      <w:r w:rsidR="00770D14">
        <w:t xml:space="preserve">This enables prospective licensees to assess the relative value of the licence. For example, high value licences may include a specified step that the ACMA would be required to obtain the approval of the incumbent before issuing any other licence or spectrum authorisation. </w:t>
      </w:r>
      <w:r w:rsidR="0062529C">
        <w:t xml:space="preserve">Regulatory undertakings </w:t>
      </w:r>
      <w:r>
        <w:t xml:space="preserve">would </w:t>
      </w:r>
      <w:r w:rsidR="0062529C">
        <w:t xml:space="preserve">also </w:t>
      </w:r>
      <w:r>
        <w:t>allow for the creation of better sharing arrangements. A regulatory undertaking could be used to ensure that licenses are able to have the same access rights and conditions within the same spectrum space</w:t>
      </w:r>
      <w:r w:rsidRPr="009E435E">
        <w:t xml:space="preserve">. </w:t>
      </w:r>
      <w:r w:rsidR="009E435E" w:rsidRPr="009E435E">
        <w:t>Factors to be considered regarding spectrum sharing include defining the spectrum space to be c</w:t>
      </w:r>
      <w:r w:rsidR="0062529C">
        <w:t>overed by a sharing arrangement and</w:t>
      </w:r>
      <w:r w:rsidR="009E435E" w:rsidRPr="009E435E">
        <w:t xml:space="preserve"> identifying the users of the spectrum space</w:t>
      </w:r>
      <w:r w:rsidR="009E435E">
        <w:t>. Regulatory undertakings would be able to help define these details so that licensees know what they are</w:t>
      </w:r>
      <w:r w:rsidR="00DA0DB6">
        <w:t xml:space="preserve"> able to access, where and when.</w:t>
      </w:r>
    </w:p>
    <w:p w14:paraId="2E94273E" w14:textId="77777777" w:rsidR="001751BB" w:rsidRDefault="00FB40FD">
      <w:r>
        <w:t xml:space="preserve">Once regulatory undertakings are contained in a licence, the Bill requires the ACMA to comply with </w:t>
      </w:r>
      <w:r w:rsidR="00B80696">
        <w:t>the</w:t>
      </w:r>
      <w:r>
        <w:t xml:space="preserve"> terms </w:t>
      </w:r>
      <w:r w:rsidR="00B80696">
        <w:t>set out in the undertaking</w:t>
      </w:r>
      <w:r>
        <w:t>.</w:t>
      </w:r>
    </w:p>
    <w:p w14:paraId="440C3D74" w14:textId="77777777" w:rsidR="001751BB" w:rsidRDefault="005C50BE" w:rsidP="00296124">
      <w:r>
        <w:t xml:space="preserve">Regulatory undertakings are a new </w:t>
      </w:r>
      <w:r w:rsidR="00B073B6">
        <w:t xml:space="preserve">concept in the radiocommunications legislative framework and </w:t>
      </w:r>
      <w:r w:rsidR="0034148D">
        <w:t xml:space="preserve">are </w:t>
      </w:r>
      <w:r w:rsidR="00B073B6">
        <w:t xml:space="preserve">being introduced with the aim of facilitating sharing of spectrum. </w:t>
      </w:r>
      <w:r w:rsidR="0034148D">
        <w:t xml:space="preserve">The Department </w:t>
      </w:r>
      <w:r w:rsidR="0064105E">
        <w:t>welcome</w:t>
      </w:r>
      <w:r w:rsidR="0034148D">
        <w:t>s</w:t>
      </w:r>
      <w:r w:rsidR="0064105E">
        <w:t xml:space="preserve"> </w:t>
      </w:r>
      <w:r w:rsidR="00FB40FD">
        <w:t xml:space="preserve">views from </w:t>
      </w:r>
      <w:r w:rsidR="00B073B6">
        <w:t>stakeholders on these provisions</w:t>
      </w:r>
      <w:r w:rsidR="0034148D">
        <w:t xml:space="preserve">, including as to </w:t>
      </w:r>
      <w:r w:rsidR="00B073B6">
        <w:t xml:space="preserve">whether they impose any unintended consequences or if there are other matters that have not been addressed through </w:t>
      </w:r>
      <w:r w:rsidR="0034148D">
        <w:t xml:space="preserve">current </w:t>
      </w:r>
      <w:r w:rsidR="00B073B6">
        <w:t>drafting.</w:t>
      </w:r>
    </w:p>
    <w:p w14:paraId="13B9C3AD" w14:textId="04B2379D" w:rsidR="00296124" w:rsidRPr="00693300" w:rsidRDefault="003420E7" w:rsidP="00296124">
      <w:pPr>
        <w:pStyle w:val="Heading4"/>
        <w:rPr>
          <w:szCs w:val="24"/>
        </w:rPr>
      </w:pPr>
      <w:bookmarkStart w:id="31" w:name="_Toc480810852"/>
      <w:r w:rsidRPr="00693300">
        <w:rPr>
          <w:szCs w:val="24"/>
        </w:rPr>
        <w:t xml:space="preserve">Varying licences (Part </w:t>
      </w:r>
      <w:r w:rsidR="00923FAD" w:rsidRPr="00693300">
        <w:rPr>
          <w:szCs w:val="24"/>
        </w:rPr>
        <w:t>6</w:t>
      </w:r>
      <w:r w:rsidRPr="00693300">
        <w:rPr>
          <w:szCs w:val="24"/>
        </w:rPr>
        <w:t xml:space="preserve">, Division </w:t>
      </w:r>
      <w:r w:rsidR="00923FAD" w:rsidRPr="00693300">
        <w:rPr>
          <w:szCs w:val="24"/>
        </w:rPr>
        <w:t>6</w:t>
      </w:r>
      <w:r w:rsidRPr="00693300">
        <w:rPr>
          <w:szCs w:val="24"/>
        </w:rPr>
        <w:t>)</w:t>
      </w:r>
      <w:bookmarkEnd w:id="31"/>
    </w:p>
    <w:p w14:paraId="1DFF3FE0" w14:textId="47694085" w:rsidR="003420E7" w:rsidRDefault="003420E7" w:rsidP="00F42BD7">
      <w:r>
        <w:t xml:space="preserve">The Bill </w:t>
      </w:r>
      <w:r w:rsidR="00B36856">
        <w:t>continues to enable</w:t>
      </w:r>
      <w:r>
        <w:t xml:space="preserve"> the ACMA to vary </w:t>
      </w:r>
      <w:r w:rsidR="001F7D77">
        <w:t xml:space="preserve">the conditions, </w:t>
      </w:r>
      <w:r w:rsidR="000852D4">
        <w:t>designated</w:t>
      </w:r>
      <w:r w:rsidR="001F7D77">
        <w:t xml:space="preserve"> statements and regulatory undertakings of a licence</w:t>
      </w:r>
      <w:r>
        <w:t xml:space="preserve"> by written notice to the licensee, subject to any restrictions on variation contained within the licence</w:t>
      </w:r>
      <w:r w:rsidR="00CE6A0A">
        <w:t>.</w:t>
      </w:r>
    </w:p>
    <w:p w14:paraId="58949119" w14:textId="67526A67" w:rsidR="00296124" w:rsidRPr="00693300" w:rsidRDefault="00296124" w:rsidP="00296124">
      <w:pPr>
        <w:pStyle w:val="Heading4"/>
        <w:rPr>
          <w:szCs w:val="24"/>
        </w:rPr>
      </w:pPr>
      <w:bookmarkStart w:id="32" w:name="_Toc480810853"/>
      <w:r w:rsidRPr="00693300">
        <w:rPr>
          <w:szCs w:val="24"/>
        </w:rPr>
        <w:t xml:space="preserve">Renewing </w:t>
      </w:r>
      <w:r w:rsidR="00CD6F78" w:rsidRPr="00693300">
        <w:rPr>
          <w:szCs w:val="24"/>
        </w:rPr>
        <w:t>l</w:t>
      </w:r>
      <w:r w:rsidRPr="00693300">
        <w:rPr>
          <w:szCs w:val="24"/>
        </w:rPr>
        <w:t xml:space="preserve">icences (Part </w:t>
      </w:r>
      <w:r w:rsidR="00923FAD" w:rsidRPr="00693300">
        <w:rPr>
          <w:szCs w:val="24"/>
        </w:rPr>
        <w:t>6</w:t>
      </w:r>
      <w:r w:rsidRPr="00693300">
        <w:rPr>
          <w:szCs w:val="24"/>
        </w:rPr>
        <w:t xml:space="preserve">, Division </w:t>
      </w:r>
      <w:r w:rsidR="00923FAD" w:rsidRPr="00693300">
        <w:rPr>
          <w:szCs w:val="24"/>
        </w:rPr>
        <w:t>7</w:t>
      </w:r>
      <w:r w:rsidRPr="00693300">
        <w:rPr>
          <w:szCs w:val="24"/>
        </w:rPr>
        <w:t>)</w:t>
      </w:r>
      <w:bookmarkEnd w:id="32"/>
    </w:p>
    <w:p w14:paraId="75FAC23B" w14:textId="2E6A5B65" w:rsidR="00EA4C3D" w:rsidRDefault="0075313C">
      <w:r w:rsidRPr="003E7EC7">
        <w:t xml:space="preserve">Under the current arrangements, licensees do not have automatic renewal rights. </w:t>
      </w:r>
      <w:r w:rsidR="00E8495E">
        <w:t>While the process for renewal of apparatus licences is relati</w:t>
      </w:r>
      <w:r w:rsidR="009E343E">
        <w:t>vely straightforward,</w:t>
      </w:r>
      <w:r w:rsidR="00E8495E">
        <w:t xml:space="preserve"> the process for spectrum licences is</w:t>
      </w:r>
      <w:r w:rsidR="00160A34">
        <w:t xml:space="preserve"> uncertain and time consuming.</w:t>
      </w:r>
    </w:p>
    <w:p w14:paraId="25F8BBB0" w14:textId="77777777" w:rsidR="001751BB" w:rsidRDefault="00E8495E" w:rsidP="003E7EC7">
      <w:r>
        <w:t xml:space="preserve">Specifically, the </w:t>
      </w:r>
      <w:r w:rsidR="007359E4">
        <w:t xml:space="preserve">1992 </w:t>
      </w:r>
      <w:r w:rsidR="00051CE8">
        <w:t xml:space="preserve">Act </w:t>
      </w:r>
      <w:r w:rsidR="00815AD9">
        <w:t xml:space="preserve">creates a default presumption that </w:t>
      </w:r>
      <w:r w:rsidR="00051CE8">
        <w:t>all spectrum licences will be returned to the market on expiry</w:t>
      </w:r>
      <w:r w:rsidR="00815AD9">
        <w:t>.</w:t>
      </w:r>
      <w:r>
        <w:t xml:space="preserve"> </w:t>
      </w:r>
      <w:r w:rsidR="00815AD9">
        <w:t>H</w:t>
      </w:r>
      <w:r>
        <w:t>owever</w:t>
      </w:r>
      <w:r w:rsidR="00815AD9">
        <w:t>,</w:t>
      </w:r>
      <w:r>
        <w:t xml:space="preserve"> </w:t>
      </w:r>
      <w:r w:rsidR="00CE64B8">
        <w:t xml:space="preserve">the </w:t>
      </w:r>
      <w:r w:rsidR="00051CE8">
        <w:t xml:space="preserve">Minister can determine </w:t>
      </w:r>
      <w:r>
        <w:t>(</w:t>
      </w:r>
      <w:r w:rsidR="00051CE8">
        <w:t>by legislative instrument</w:t>
      </w:r>
      <w:r>
        <w:t>),</w:t>
      </w:r>
      <w:r w:rsidR="00051CE8">
        <w:t xml:space="preserve"> a class of service where re-issue to the same licensee would be in the public interest</w:t>
      </w:r>
      <w:r w:rsidR="00815AD9">
        <w:t>; t</w:t>
      </w:r>
      <w:r w:rsidR="00051CE8">
        <w:t xml:space="preserve">he ACMA can then re-issue the licence if it is satisfied the licence has been used in the provision of a service included in the class of services. The ACMA is also able to re-issue </w:t>
      </w:r>
      <w:r>
        <w:t xml:space="preserve">the licence to the incumbent holder </w:t>
      </w:r>
      <w:r w:rsidR="00051CE8">
        <w:t xml:space="preserve">if it is satisfied </w:t>
      </w:r>
      <w:r>
        <w:t xml:space="preserve">that </w:t>
      </w:r>
      <w:r w:rsidR="00051CE8">
        <w:t>special circumstances exist that make it in the public interest for the same person to hold the licence</w:t>
      </w:r>
      <w:r w:rsidR="00B52C11">
        <w:t>.</w:t>
      </w:r>
      <w:r w:rsidR="00B22348">
        <w:t xml:space="preserve"> </w:t>
      </w:r>
      <w:r w:rsidR="00051CE8">
        <w:t xml:space="preserve">The criteria for ‘use’ in the provision of a service </w:t>
      </w:r>
      <w:r w:rsidR="00E86A81">
        <w:t xml:space="preserve">and </w:t>
      </w:r>
      <w:r w:rsidR="00051CE8">
        <w:t xml:space="preserve">‘special circumstances’ are not defined in the </w:t>
      </w:r>
      <w:r w:rsidR="007359E4">
        <w:t xml:space="preserve">1992 </w:t>
      </w:r>
      <w:r w:rsidR="00051CE8">
        <w:t>Act.</w:t>
      </w:r>
      <w:r w:rsidR="00166585">
        <w:t xml:space="preserve"> </w:t>
      </w:r>
      <w:r w:rsidR="00B22348">
        <w:t xml:space="preserve">In practice, </w:t>
      </w:r>
      <w:r w:rsidR="00B52C11">
        <w:t>the</w:t>
      </w:r>
      <w:r w:rsidR="00E86A81">
        <w:t xml:space="preserve"> lack of clarity around these </w:t>
      </w:r>
      <w:r w:rsidR="00B52C11">
        <w:t>provisions created delays</w:t>
      </w:r>
      <w:r w:rsidR="00CA79E5">
        <w:t>,</w:t>
      </w:r>
      <w:r w:rsidR="00B22348">
        <w:t xml:space="preserve"> with</w:t>
      </w:r>
      <w:r w:rsidR="00160A34">
        <w:t xml:space="preserve"> a two year period just to establish a process to assess</w:t>
      </w:r>
      <w:r>
        <w:t xml:space="preserve"> expiring </w:t>
      </w:r>
      <w:r w:rsidR="00160A34">
        <w:t xml:space="preserve">15 year </w:t>
      </w:r>
      <w:r w:rsidR="00B52C11">
        <w:t>spectrum licences</w:t>
      </w:r>
      <w:r w:rsidR="00B22348">
        <w:t xml:space="preserve">. </w:t>
      </w:r>
      <w:r w:rsidR="00815AD9">
        <w:t>In that re-issue process t</w:t>
      </w:r>
      <w:r w:rsidR="00B52C11">
        <w:t>he Minister was required to make a determination and pricing direction and the ACMA subsequently had to assess whether the relevant licences had been ‘used’ in accordance with a service specified in the determination.</w:t>
      </w:r>
      <w:r w:rsidR="00160A34">
        <w:t xml:space="preserve"> This determination related to re</w:t>
      </w:r>
      <w:r w:rsidR="00047B8F">
        <w:t>-</w:t>
      </w:r>
      <w:r w:rsidR="00160A34">
        <w:t>issuing to incumbent licensees providing services in the following bands:</w:t>
      </w:r>
    </w:p>
    <w:p w14:paraId="3146C436" w14:textId="0157F258" w:rsidR="00160A34" w:rsidRPr="00394C6B" w:rsidRDefault="00160A34" w:rsidP="004130AA">
      <w:pPr>
        <w:pStyle w:val="Bulletlevel1"/>
        <w:ind w:left="567" w:hanging="567"/>
      </w:pPr>
      <w:r w:rsidRPr="00394C6B">
        <w:t>mobile voice and data communications services in the 800 MHz, 1800 MHz and 2 GHz bands</w:t>
      </w:r>
    </w:p>
    <w:p w14:paraId="02E21AD2" w14:textId="5436B0EF" w:rsidR="00160A34" w:rsidRPr="00394C6B" w:rsidRDefault="00160A34" w:rsidP="004130AA">
      <w:pPr>
        <w:pStyle w:val="Bulletlevel1"/>
        <w:ind w:left="567" w:hanging="567"/>
      </w:pPr>
      <w:r w:rsidRPr="00394C6B">
        <w:t>wireless broadband services in the 2.3 GHz, 3.4 GHz bands</w:t>
      </w:r>
    </w:p>
    <w:p w14:paraId="372B9D8A" w14:textId="77777777" w:rsidR="00160A34" w:rsidRPr="00160A34" w:rsidRDefault="00160A34" w:rsidP="004130AA">
      <w:pPr>
        <w:pStyle w:val="Bulletlevel1"/>
        <w:ind w:left="567" w:hanging="567"/>
        <w:rPr>
          <w:lang w:eastAsia="en-AU"/>
        </w:rPr>
      </w:pPr>
      <w:proofErr w:type="gramStart"/>
      <w:r w:rsidRPr="00394C6B">
        <w:t>satellite</w:t>
      </w:r>
      <w:proofErr w:type="gramEnd"/>
      <w:r w:rsidRPr="00160A34">
        <w:rPr>
          <w:lang w:eastAsia="en-AU"/>
        </w:rPr>
        <w:t xml:space="preserve"> services in the 27 GHz band.</w:t>
      </w:r>
    </w:p>
    <w:p w14:paraId="55D8EB76" w14:textId="512E9F4F" w:rsidR="00C660EE" w:rsidRDefault="00B52C11" w:rsidP="00693300">
      <w:pPr>
        <w:rPr>
          <w:rFonts w:eastAsia="Times New Roman" w:cs="Arial"/>
          <w:lang w:eastAsia="en-AU"/>
        </w:rPr>
      </w:pPr>
      <w:r w:rsidRPr="009B0DC3">
        <w:t>The Bill seeks to provide licensees with greater predictability about the arrangements that will apply at the end of the term of a licence, including renewal</w:t>
      </w:r>
      <w:r w:rsidR="00EA4C3D">
        <w:t>.</w:t>
      </w:r>
      <w:r w:rsidR="00166585">
        <w:t xml:space="preserve"> </w:t>
      </w:r>
      <w:r w:rsidR="00EA4C3D">
        <w:t xml:space="preserve">To this end, the </w:t>
      </w:r>
      <w:r w:rsidR="00EA4C3D">
        <w:rPr>
          <w:rFonts w:eastAsia="Times New Roman" w:cs="Arial"/>
          <w:lang w:eastAsia="en-AU"/>
        </w:rPr>
        <w:t xml:space="preserve">Bill requires that </w:t>
      </w:r>
      <w:r w:rsidR="009E343E">
        <w:rPr>
          <w:rFonts w:eastAsia="Times New Roman" w:cs="Arial"/>
          <w:lang w:eastAsia="en-AU"/>
        </w:rPr>
        <w:t xml:space="preserve">a licence must include a </w:t>
      </w:r>
      <w:r w:rsidR="009E343E" w:rsidRPr="00693300">
        <w:t>statement</w:t>
      </w:r>
      <w:r w:rsidR="009E343E">
        <w:rPr>
          <w:rFonts w:eastAsia="Times New Roman" w:cs="Arial"/>
          <w:lang w:eastAsia="en-AU"/>
        </w:rPr>
        <w:t xml:space="preserve"> to the </w:t>
      </w:r>
      <w:r w:rsidR="00C660EE">
        <w:rPr>
          <w:rFonts w:eastAsia="Times New Roman" w:cs="Arial"/>
          <w:lang w:eastAsia="en-AU"/>
        </w:rPr>
        <w:t>effect that:</w:t>
      </w:r>
    </w:p>
    <w:p w14:paraId="4DDE23E2" w14:textId="04A2756A" w:rsidR="00C660EE" w:rsidRPr="00394C6B" w:rsidRDefault="00D975A9" w:rsidP="004130AA">
      <w:pPr>
        <w:pStyle w:val="Bulletlevel1"/>
        <w:ind w:left="567" w:hanging="567"/>
      </w:pPr>
      <w:r w:rsidRPr="00394C6B">
        <w:t>t</w:t>
      </w:r>
      <w:r w:rsidR="00C660EE" w:rsidRPr="00394C6B">
        <w:t>here is a right to renew the licence in specified circumstances</w:t>
      </w:r>
    </w:p>
    <w:p w14:paraId="69AB164C" w14:textId="3FF001D6" w:rsidR="00C660EE" w:rsidRPr="00394C6B" w:rsidRDefault="00D975A9" w:rsidP="004130AA">
      <w:pPr>
        <w:pStyle w:val="Bulletlevel1"/>
        <w:ind w:left="567" w:hanging="567"/>
      </w:pPr>
      <w:r w:rsidRPr="00394C6B">
        <w:t>t</w:t>
      </w:r>
      <w:r w:rsidR="00C660EE" w:rsidRPr="00394C6B">
        <w:t>he licence may be renewed at the discretion of the ACMA, or</w:t>
      </w:r>
    </w:p>
    <w:p w14:paraId="1A602393" w14:textId="43628B3B" w:rsidR="00C660EE" w:rsidRDefault="00D975A9" w:rsidP="004130AA">
      <w:pPr>
        <w:pStyle w:val="Bulletlevel1"/>
        <w:ind w:left="567" w:hanging="567"/>
        <w:rPr>
          <w:lang w:eastAsia="en-AU"/>
        </w:rPr>
      </w:pPr>
      <w:proofErr w:type="gramStart"/>
      <w:r w:rsidRPr="00394C6B">
        <w:t>t</w:t>
      </w:r>
      <w:r w:rsidR="0062529C" w:rsidRPr="00394C6B">
        <w:t>he</w:t>
      </w:r>
      <w:proofErr w:type="gramEnd"/>
      <w:r w:rsidR="0062529C">
        <w:rPr>
          <w:lang w:eastAsia="en-AU"/>
        </w:rPr>
        <w:t xml:space="preserve"> l</w:t>
      </w:r>
      <w:r w:rsidR="00C660EE">
        <w:rPr>
          <w:lang w:eastAsia="en-AU"/>
        </w:rPr>
        <w:t>icence cannot be renewed.</w:t>
      </w:r>
    </w:p>
    <w:p w14:paraId="2E658EE4" w14:textId="43A22512" w:rsidR="002D4F29" w:rsidRDefault="00EA04B4" w:rsidP="00693300">
      <w:pPr>
        <w:rPr>
          <w:rFonts w:eastAsia="Times New Roman" w:cs="Arial"/>
          <w:lang w:eastAsia="en-AU"/>
        </w:rPr>
      </w:pPr>
      <w:r>
        <w:rPr>
          <w:lang w:eastAsia="en-AU"/>
        </w:rPr>
        <w:t>The Bill further requires licences to specify the period during which licensees may apply for renewal</w:t>
      </w:r>
      <w:r w:rsidR="00E66FFD">
        <w:rPr>
          <w:lang w:eastAsia="en-AU"/>
        </w:rPr>
        <w:t>,</w:t>
      </w:r>
      <w:r w:rsidR="00D43CF5">
        <w:rPr>
          <w:lang w:eastAsia="en-AU"/>
        </w:rPr>
        <w:t xml:space="preserve"> </w:t>
      </w:r>
      <w:r w:rsidR="00E66FFD">
        <w:rPr>
          <w:lang w:eastAsia="en-AU"/>
        </w:rPr>
        <w:t xml:space="preserve">as well as allowing </w:t>
      </w:r>
      <w:r w:rsidR="00D43CF5">
        <w:rPr>
          <w:lang w:eastAsia="en-AU"/>
        </w:rPr>
        <w:t>the original licence to include a statement regarding the characteristics of the renewed licence</w:t>
      </w:r>
      <w:r>
        <w:rPr>
          <w:lang w:eastAsia="en-AU"/>
        </w:rPr>
        <w:t>.</w:t>
      </w:r>
      <w:r w:rsidR="005F3921">
        <w:rPr>
          <w:rFonts w:eastAsia="Times New Roman" w:cs="Arial"/>
          <w:lang w:eastAsia="en-AU"/>
        </w:rPr>
        <w:t xml:space="preserve"> </w:t>
      </w:r>
      <w:r w:rsidR="00296124">
        <w:rPr>
          <w:rFonts w:eastAsia="Times New Roman" w:cs="Arial"/>
          <w:lang w:eastAsia="en-AU"/>
        </w:rPr>
        <w:t>L</w:t>
      </w:r>
      <w:r w:rsidR="00296124" w:rsidRPr="00040A5D">
        <w:rPr>
          <w:rFonts w:eastAsia="Times New Roman" w:cs="Arial"/>
          <w:lang w:eastAsia="en-AU"/>
        </w:rPr>
        <w:t xml:space="preserve">icensees </w:t>
      </w:r>
      <w:r w:rsidR="00296124">
        <w:rPr>
          <w:rFonts w:eastAsia="Times New Roman" w:cs="Arial"/>
          <w:lang w:eastAsia="en-AU"/>
        </w:rPr>
        <w:t xml:space="preserve">will </w:t>
      </w:r>
      <w:r w:rsidR="005F3921">
        <w:rPr>
          <w:rFonts w:eastAsia="Times New Roman" w:cs="Arial"/>
          <w:lang w:eastAsia="en-AU"/>
        </w:rPr>
        <w:t xml:space="preserve">therefore </w:t>
      </w:r>
      <w:r w:rsidR="00296124">
        <w:rPr>
          <w:rFonts w:eastAsia="Times New Roman" w:cs="Arial"/>
          <w:lang w:eastAsia="en-AU"/>
        </w:rPr>
        <w:t xml:space="preserve">have a clear understanding of </w:t>
      </w:r>
      <w:r w:rsidR="0062529C">
        <w:rPr>
          <w:rFonts w:eastAsia="Times New Roman" w:cs="Arial"/>
          <w:lang w:eastAsia="en-AU"/>
        </w:rPr>
        <w:t xml:space="preserve">the </w:t>
      </w:r>
      <w:r w:rsidR="00296124" w:rsidRPr="00040A5D">
        <w:rPr>
          <w:rFonts w:eastAsia="Times New Roman" w:cs="Arial"/>
          <w:lang w:eastAsia="en-AU"/>
        </w:rPr>
        <w:t xml:space="preserve">key conditions of the licence, including </w:t>
      </w:r>
      <w:r w:rsidR="00296124" w:rsidRPr="00693300">
        <w:t>duration</w:t>
      </w:r>
      <w:r w:rsidR="00296124" w:rsidRPr="00040A5D">
        <w:rPr>
          <w:rFonts w:eastAsia="Times New Roman" w:cs="Arial"/>
          <w:lang w:eastAsia="en-AU"/>
        </w:rPr>
        <w:t xml:space="preserve">, technical parameters and </w:t>
      </w:r>
      <w:r w:rsidR="00296124">
        <w:rPr>
          <w:rFonts w:eastAsia="Times New Roman" w:cs="Arial"/>
          <w:lang w:eastAsia="en-AU"/>
        </w:rPr>
        <w:t>the process for the end of the licence term</w:t>
      </w:r>
      <w:r w:rsidR="00296124" w:rsidRPr="00040A5D">
        <w:rPr>
          <w:rFonts w:eastAsia="Times New Roman" w:cs="Arial"/>
          <w:lang w:eastAsia="en-AU"/>
        </w:rPr>
        <w:t>.</w:t>
      </w:r>
    </w:p>
    <w:p w14:paraId="5D4348A9" w14:textId="75F10B0D" w:rsidR="00D2011D" w:rsidRPr="006244E6" w:rsidRDefault="00296124" w:rsidP="00693300">
      <w:r>
        <w:rPr>
          <w:rFonts w:eastAsia="Times New Roman" w:cs="Arial"/>
          <w:lang w:eastAsia="en-AU"/>
        </w:rPr>
        <w:t xml:space="preserve">To </w:t>
      </w:r>
      <w:r w:rsidR="009E343E">
        <w:rPr>
          <w:rFonts w:eastAsia="Times New Roman" w:cs="Arial"/>
          <w:lang w:eastAsia="en-AU"/>
        </w:rPr>
        <w:t xml:space="preserve">provide additional guidance, </w:t>
      </w:r>
      <w:r w:rsidRPr="00040A5D">
        <w:rPr>
          <w:rFonts w:eastAsia="Times New Roman" w:cs="Arial"/>
          <w:lang w:eastAsia="en-AU"/>
        </w:rPr>
        <w:t xml:space="preserve">a </w:t>
      </w:r>
      <w:r w:rsidR="00DF6979">
        <w:rPr>
          <w:rFonts w:eastAsia="Times New Roman" w:cs="Arial"/>
          <w:lang w:eastAsia="en-AU"/>
        </w:rPr>
        <w:t>Ministerial policy statement</w:t>
      </w:r>
      <w:r w:rsidR="00D975A9">
        <w:rPr>
          <w:rFonts w:eastAsia="Times New Roman" w:cs="Arial"/>
          <w:lang w:eastAsia="en-AU"/>
        </w:rPr>
        <w:t xml:space="preserve"> </w:t>
      </w:r>
      <w:r>
        <w:rPr>
          <w:rFonts w:eastAsia="Times New Roman" w:cs="Arial"/>
          <w:lang w:eastAsia="en-AU"/>
        </w:rPr>
        <w:t xml:space="preserve">on </w:t>
      </w:r>
      <w:r w:rsidR="00DF6979">
        <w:rPr>
          <w:rFonts w:eastAsia="Times New Roman" w:cs="Arial"/>
          <w:lang w:eastAsia="en-AU"/>
        </w:rPr>
        <w:t xml:space="preserve">end of term </w:t>
      </w:r>
      <w:r w:rsidR="009E343E">
        <w:rPr>
          <w:rFonts w:eastAsia="Times New Roman" w:cs="Arial"/>
          <w:lang w:eastAsia="en-AU"/>
        </w:rPr>
        <w:t xml:space="preserve">arrangements could be issued. </w:t>
      </w:r>
      <w:r>
        <w:rPr>
          <w:rFonts w:eastAsia="Times New Roman" w:cs="Arial"/>
          <w:lang w:eastAsia="en-AU"/>
        </w:rPr>
        <w:t>It is expected that t</w:t>
      </w:r>
      <w:r w:rsidRPr="00040A5D">
        <w:rPr>
          <w:rFonts w:eastAsia="Times New Roman" w:cs="Arial"/>
          <w:lang w:eastAsia="en-AU"/>
        </w:rPr>
        <w:t>he ACMA would</w:t>
      </w:r>
      <w:r>
        <w:rPr>
          <w:rFonts w:eastAsia="Times New Roman" w:cs="Arial"/>
          <w:lang w:eastAsia="en-AU"/>
        </w:rPr>
        <w:t xml:space="preserve"> </w:t>
      </w:r>
      <w:r w:rsidRPr="00040A5D">
        <w:rPr>
          <w:rFonts w:eastAsia="Times New Roman" w:cs="Arial"/>
          <w:lang w:eastAsia="en-AU"/>
        </w:rPr>
        <w:t>develop a number of options</w:t>
      </w:r>
      <w:r>
        <w:rPr>
          <w:rFonts w:eastAsia="Times New Roman" w:cs="Arial"/>
          <w:lang w:eastAsia="en-AU"/>
        </w:rPr>
        <w:t xml:space="preserve"> which set out </w:t>
      </w:r>
      <w:r w:rsidRPr="00040A5D">
        <w:rPr>
          <w:rFonts w:eastAsia="Times New Roman" w:cs="Arial"/>
          <w:lang w:eastAsia="en-AU"/>
        </w:rPr>
        <w:t xml:space="preserve">processes </w:t>
      </w:r>
      <w:r>
        <w:rPr>
          <w:rFonts w:eastAsia="Times New Roman" w:cs="Arial"/>
          <w:lang w:eastAsia="en-AU"/>
        </w:rPr>
        <w:t xml:space="preserve">for end of </w:t>
      </w:r>
      <w:r w:rsidRPr="00693300">
        <w:t>licence</w:t>
      </w:r>
      <w:r>
        <w:rPr>
          <w:rFonts w:eastAsia="Times New Roman" w:cs="Arial"/>
          <w:lang w:eastAsia="en-AU"/>
        </w:rPr>
        <w:t xml:space="preserve"> terms </w:t>
      </w:r>
      <w:r w:rsidRPr="00040A5D">
        <w:rPr>
          <w:rFonts w:eastAsia="Times New Roman" w:cs="Arial"/>
          <w:lang w:eastAsia="en-AU"/>
        </w:rPr>
        <w:t>and</w:t>
      </w:r>
      <w:r>
        <w:t xml:space="preserve"> how they would be implemented</w:t>
      </w:r>
      <w:r>
        <w:rPr>
          <w:rFonts w:eastAsia="Times New Roman" w:cs="Arial"/>
          <w:lang w:eastAsia="en-AU"/>
        </w:rPr>
        <w:t>.</w:t>
      </w:r>
    </w:p>
    <w:p w14:paraId="794754A2" w14:textId="5CCF225D" w:rsidR="00D2011D" w:rsidRPr="00693300" w:rsidRDefault="00A3166B" w:rsidP="00296124">
      <w:pPr>
        <w:pStyle w:val="Heading4"/>
        <w:rPr>
          <w:szCs w:val="24"/>
        </w:rPr>
      </w:pPr>
      <w:bookmarkStart w:id="33" w:name="_Toc480810854"/>
      <w:r w:rsidRPr="00693300">
        <w:rPr>
          <w:szCs w:val="24"/>
        </w:rPr>
        <w:t xml:space="preserve">Suspension and cancellation of licences (Part </w:t>
      </w:r>
      <w:r w:rsidR="00923FAD" w:rsidRPr="00693300">
        <w:rPr>
          <w:szCs w:val="24"/>
        </w:rPr>
        <w:t>6</w:t>
      </w:r>
      <w:r w:rsidRPr="00693300">
        <w:rPr>
          <w:szCs w:val="24"/>
        </w:rPr>
        <w:t xml:space="preserve">, Divisions </w:t>
      </w:r>
      <w:r w:rsidR="00923FAD" w:rsidRPr="00693300">
        <w:rPr>
          <w:szCs w:val="24"/>
        </w:rPr>
        <w:t>8</w:t>
      </w:r>
      <w:r w:rsidRPr="00693300">
        <w:rPr>
          <w:szCs w:val="24"/>
        </w:rPr>
        <w:t xml:space="preserve"> and </w:t>
      </w:r>
      <w:r w:rsidR="00923FAD" w:rsidRPr="00693300">
        <w:rPr>
          <w:szCs w:val="24"/>
        </w:rPr>
        <w:t>9A &amp; B</w:t>
      </w:r>
      <w:r w:rsidRPr="00693300">
        <w:rPr>
          <w:szCs w:val="24"/>
        </w:rPr>
        <w:t>)</w:t>
      </w:r>
      <w:bookmarkEnd w:id="33"/>
    </w:p>
    <w:p w14:paraId="4FBD3231" w14:textId="339AF8FF" w:rsidR="00B34448" w:rsidRDefault="009E343E" w:rsidP="00693300">
      <w:r>
        <w:t xml:space="preserve">The </w:t>
      </w:r>
      <w:r w:rsidR="003613FC">
        <w:t>Bill</w:t>
      </w:r>
      <w:r>
        <w:t xml:space="preserve"> provides that a licence may be suspe</w:t>
      </w:r>
      <w:r w:rsidR="00775448">
        <w:t>nd</w:t>
      </w:r>
      <w:r>
        <w:t>ed or cancelled for breach of licence conditions.</w:t>
      </w:r>
      <w:r w:rsidR="00166585">
        <w:t xml:space="preserve"> </w:t>
      </w:r>
      <w:r w:rsidR="00B34448">
        <w:t>The Bill also allows licences to be suspended or cancelled in s</w:t>
      </w:r>
      <w:r>
        <w:t>u</w:t>
      </w:r>
      <w:r w:rsidR="00B34448">
        <w:t>pplementary circumstances specified in the licence</w:t>
      </w:r>
      <w:r w:rsidR="007709B4">
        <w:t>, which need not involve wrongdoing by the licensee</w:t>
      </w:r>
      <w:r w:rsidR="00335621">
        <w:t xml:space="preserve">. For example, </w:t>
      </w:r>
      <w:r w:rsidR="000A08E1">
        <w:t xml:space="preserve">a licence may specify that it can be suspended or cancelled </w:t>
      </w:r>
      <w:r w:rsidR="00AE6EA5">
        <w:t xml:space="preserve">due to national security issues or if there is a temporary need to restrict access to </w:t>
      </w:r>
      <w:r>
        <w:t xml:space="preserve">facilitate a spectrum </w:t>
      </w:r>
      <w:r w:rsidR="000A08E1">
        <w:t>‘re-farming’ process.</w:t>
      </w:r>
    </w:p>
    <w:p w14:paraId="6901A393" w14:textId="5B4F2421" w:rsidR="0065167F" w:rsidRDefault="00DF6979">
      <w:r>
        <w:t xml:space="preserve">The Bill </w:t>
      </w:r>
      <w:r w:rsidR="009E343E">
        <w:t xml:space="preserve">includes relevant </w:t>
      </w:r>
      <w:r w:rsidR="00775448">
        <w:t xml:space="preserve">consultation </w:t>
      </w:r>
      <w:r w:rsidR="009E343E">
        <w:t xml:space="preserve">provisions to afford licence holders </w:t>
      </w:r>
      <w:r>
        <w:t>procedural fairness prior to any suspension or cancellation</w:t>
      </w:r>
      <w:r w:rsidR="009E343E">
        <w:t>.</w:t>
      </w:r>
      <w:r w:rsidR="00166585">
        <w:t xml:space="preserve"> </w:t>
      </w:r>
      <w:r w:rsidR="001E4656">
        <w:t xml:space="preserve">Further, the </w:t>
      </w:r>
      <w:r w:rsidR="009A72CE">
        <w:t>ACMA must provide the licensee with its reasons for a decision to suspend or cancel a licence.</w:t>
      </w:r>
    </w:p>
    <w:p w14:paraId="0D8F4E89" w14:textId="10EF6902" w:rsidR="001B41D5" w:rsidRDefault="001B41D5">
      <w:r>
        <w:t xml:space="preserve">Where the ACMA cancels a licence, it may disqualify the holder of the licence from holding spectrum licences for a period of up to two years. Where the licensee is a corporation, a disqualification may be made in respect of its executive officers if the ACMA is satisfied that </w:t>
      </w:r>
      <w:r w:rsidR="0087585B">
        <w:t>they knew, or were reckless or negligent as to whether, the contravention would occur, were in a position to influence the company’s conduct in relation to the contravention, and failed to take reasonable steps to prevent it.</w:t>
      </w:r>
      <w:r w:rsidR="00166585">
        <w:t xml:space="preserve"> </w:t>
      </w:r>
      <w:r w:rsidR="001E4656">
        <w:t>Provisions affording procedural fairness are included in the Bill.</w:t>
      </w:r>
    </w:p>
    <w:p w14:paraId="75A07638" w14:textId="4B9C2A39" w:rsidR="001E4656" w:rsidRDefault="001E4656">
      <w:r>
        <w:t>Decisions to suspe</w:t>
      </w:r>
      <w:r w:rsidR="000D4DA1">
        <w:t>nd</w:t>
      </w:r>
      <w:r>
        <w:t xml:space="preserve"> or cancel a licence, or disqualify a person are all reviewable.</w:t>
      </w:r>
    </w:p>
    <w:p w14:paraId="4BBD98DE" w14:textId="1D1EDD61" w:rsidR="00C97F4B" w:rsidRPr="00693300" w:rsidRDefault="00C97F4B" w:rsidP="00C97F4B">
      <w:pPr>
        <w:pStyle w:val="Heading4"/>
        <w:rPr>
          <w:szCs w:val="24"/>
        </w:rPr>
      </w:pPr>
      <w:bookmarkStart w:id="34" w:name="_Toc480810855"/>
      <w:r w:rsidRPr="00693300">
        <w:rPr>
          <w:szCs w:val="24"/>
        </w:rPr>
        <w:t xml:space="preserve">Surrender of licences (Part </w:t>
      </w:r>
      <w:r w:rsidR="00923FAD" w:rsidRPr="00693300">
        <w:rPr>
          <w:szCs w:val="24"/>
        </w:rPr>
        <w:t>6</w:t>
      </w:r>
      <w:r w:rsidRPr="00693300">
        <w:rPr>
          <w:szCs w:val="24"/>
        </w:rPr>
        <w:t xml:space="preserve">, Division </w:t>
      </w:r>
      <w:r w:rsidR="00923FAD" w:rsidRPr="00693300">
        <w:rPr>
          <w:szCs w:val="24"/>
        </w:rPr>
        <w:t>10</w:t>
      </w:r>
      <w:r w:rsidRPr="00693300">
        <w:rPr>
          <w:szCs w:val="24"/>
        </w:rPr>
        <w:t>)</w:t>
      </w:r>
      <w:bookmarkEnd w:id="34"/>
    </w:p>
    <w:p w14:paraId="439E488D" w14:textId="13BE5BD9" w:rsidR="00C97F4B" w:rsidRDefault="001E4656">
      <w:r>
        <w:t xml:space="preserve">The </w:t>
      </w:r>
      <w:r w:rsidR="00C97F4B">
        <w:t>Bill enables licensees to sur</w:t>
      </w:r>
      <w:r w:rsidR="006E32E7">
        <w:t xml:space="preserve">render </w:t>
      </w:r>
      <w:r w:rsidR="000B47C8">
        <w:t xml:space="preserve">the </w:t>
      </w:r>
      <w:r w:rsidR="006E32E7">
        <w:t>licence</w:t>
      </w:r>
      <w:r w:rsidR="00C97F4B">
        <w:t xml:space="preserve"> by written notice to the ACMA.</w:t>
      </w:r>
      <w:r w:rsidR="000B47C8">
        <w:t xml:space="preserve"> A licensee may also surrender a part of a licence with the </w:t>
      </w:r>
      <w:r w:rsidR="00DA58CF">
        <w:t xml:space="preserve">written </w:t>
      </w:r>
      <w:r w:rsidR="000B47C8">
        <w:t>consent of the ACMA.</w:t>
      </w:r>
    </w:p>
    <w:p w14:paraId="40B908CC" w14:textId="77777777" w:rsidR="001751BB" w:rsidRDefault="00B156C5">
      <w:r>
        <w:t>To assist with re-farming of spectrum, the ACMA is enabled to enter into contracts for the making of payment</w:t>
      </w:r>
      <w:r w:rsidR="001E4656">
        <w:t>s</w:t>
      </w:r>
      <w:r>
        <w:t xml:space="preserve"> as </w:t>
      </w:r>
      <w:r w:rsidR="001E4656">
        <w:t xml:space="preserve">an </w:t>
      </w:r>
      <w:r>
        <w:t>incentive for</w:t>
      </w:r>
      <w:r w:rsidR="001E4656">
        <w:t xml:space="preserve"> licences to be surrendered.</w:t>
      </w:r>
    </w:p>
    <w:p w14:paraId="2A522323" w14:textId="52451EBD" w:rsidR="00C97F4B" w:rsidRPr="00693300" w:rsidRDefault="00C97F4B" w:rsidP="00C97F4B">
      <w:pPr>
        <w:pStyle w:val="Heading4"/>
        <w:rPr>
          <w:szCs w:val="24"/>
        </w:rPr>
      </w:pPr>
      <w:bookmarkStart w:id="35" w:name="_Toc480810856"/>
      <w:r w:rsidRPr="00693300">
        <w:rPr>
          <w:szCs w:val="24"/>
        </w:rPr>
        <w:t xml:space="preserve">Subdivision of licences (Part </w:t>
      </w:r>
      <w:r w:rsidR="00923FAD" w:rsidRPr="00693300">
        <w:rPr>
          <w:szCs w:val="24"/>
        </w:rPr>
        <w:t>6</w:t>
      </w:r>
      <w:r w:rsidRPr="00693300">
        <w:rPr>
          <w:szCs w:val="24"/>
        </w:rPr>
        <w:t xml:space="preserve">, Division </w:t>
      </w:r>
      <w:r w:rsidR="00923FAD" w:rsidRPr="00693300">
        <w:rPr>
          <w:szCs w:val="24"/>
        </w:rPr>
        <w:t>11</w:t>
      </w:r>
      <w:r w:rsidRPr="00693300">
        <w:rPr>
          <w:szCs w:val="24"/>
        </w:rPr>
        <w:t>)</w:t>
      </w:r>
      <w:bookmarkEnd w:id="35"/>
    </w:p>
    <w:p w14:paraId="18454FB2" w14:textId="7EF36DC9" w:rsidR="00A43648" w:rsidRDefault="00C97F4B">
      <w:r>
        <w:t xml:space="preserve">The Bill </w:t>
      </w:r>
      <w:r w:rsidR="00D3215F">
        <w:t>introduces the concept of licence subdivision in order to consolidate rules a</w:t>
      </w:r>
      <w:r w:rsidR="00AD086C">
        <w:t>bout the splitting of licences.</w:t>
      </w:r>
    </w:p>
    <w:p w14:paraId="2C1ACE5B" w14:textId="7EAE1798" w:rsidR="00C97F4B" w:rsidRDefault="00D3215F">
      <w:r>
        <w:t xml:space="preserve">The Bill </w:t>
      </w:r>
      <w:r w:rsidR="00C97F4B">
        <w:t xml:space="preserve">enables licensees to request that the ACMA subdivide a licence into two or more parts, subject to restrictions contained </w:t>
      </w:r>
      <w:r>
        <w:t xml:space="preserve">in designated statements in </w:t>
      </w:r>
      <w:r w:rsidR="00C97F4B">
        <w:t xml:space="preserve">the licence. The ACMA must subdivide the licence as specified in a </w:t>
      </w:r>
      <w:r>
        <w:t xml:space="preserve">valid </w:t>
      </w:r>
      <w:r w:rsidR="00C97F4B">
        <w:t>request.</w:t>
      </w:r>
    </w:p>
    <w:p w14:paraId="1B6B4E54" w14:textId="07546156" w:rsidR="00C97F4B" w:rsidRPr="00693300" w:rsidRDefault="00C97F4B" w:rsidP="00C97F4B">
      <w:pPr>
        <w:pStyle w:val="Heading4"/>
        <w:rPr>
          <w:szCs w:val="24"/>
        </w:rPr>
      </w:pPr>
      <w:bookmarkStart w:id="36" w:name="_Toc480810857"/>
      <w:r w:rsidRPr="00693300">
        <w:rPr>
          <w:szCs w:val="24"/>
        </w:rPr>
        <w:t xml:space="preserve">Assigning and dealing with licences (Part </w:t>
      </w:r>
      <w:r w:rsidR="00923FAD" w:rsidRPr="00693300">
        <w:rPr>
          <w:szCs w:val="24"/>
        </w:rPr>
        <w:t>6</w:t>
      </w:r>
      <w:r w:rsidRPr="00693300">
        <w:rPr>
          <w:szCs w:val="24"/>
        </w:rPr>
        <w:t>, Divisions 1</w:t>
      </w:r>
      <w:r w:rsidR="00923FAD" w:rsidRPr="00693300">
        <w:rPr>
          <w:szCs w:val="24"/>
        </w:rPr>
        <w:t>2</w:t>
      </w:r>
      <w:r w:rsidRPr="00693300">
        <w:rPr>
          <w:szCs w:val="24"/>
        </w:rPr>
        <w:t xml:space="preserve"> and </w:t>
      </w:r>
      <w:r w:rsidR="00923FAD" w:rsidRPr="00693300">
        <w:rPr>
          <w:szCs w:val="24"/>
        </w:rPr>
        <w:t>13</w:t>
      </w:r>
      <w:r w:rsidRPr="00693300">
        <w:rPr>
          <w:szCs w:val="24"/>
        </w:rPr>
        <w:t>)</w:t>
      </w:r>
      <w:bookmarkEnd w:id="36"/>
    </w:p>
    <w:p w14:paraId="7EA8BB1D" w14:textId="54EE4224" w:rsidR="00C97F4B" w:rsidRDefault="00F547B8">
      <w:r>
        <w:t xml:space="preserve">Consistent with enabling </w:t>
      </w:r>
      <w:r w:rsidR="002B055A">
        <w:t>great</w:t>
      </w:r>
      <w:r w:rsidR="00AD086C">
        <w:t>er</w:t>
      </w:r>
      <w:r w:rsidR="002B055A">
        <w:t xml:space="preserve"> </w:t>
      </w:r>
      <w:r>
        <w:t>market</w:t>
      </w:r>
      <w:r w:rsidR="002B055A">
        <w:t>-based</w:t>
      </w:r>
      <w:r>
        <w:t xml:space="preserve"> activity, t</w:t>
      </w:r>
      <w:r w:rsidR="00C97F4B">
        <w:t xml:space="preserve">he Bill enables licensees to assign and otherwise deal with licences, subject to restrictions contained in </w:t>
      </w:r>
      <w:r w:rsidR="007D71B6">
        <w:t xml:space="preserve">designated statements in </w:t>
      </w:r>
      <w:r w:rsidR="00C97F4B">
        <w:t>the licence</w:t>
      </w:r>
      <w:r w:rsidR="00687A6B">
        <w:t xml:space="preserve"> or any disqualification of the assignee under Part </w:t>
      </w:r>
      <w:r w:rsidR="00923FAD">
        <w:t>6</w:t>
      </w:r>
      <w:r w:rsidR="00687A6B">
        <w:t xml:space="preserve">, Division </w:t>
      </w:r>
      <w:r w:rsidR="00923FAD">
        <w:t>9B</w:t>
      </w:r>
      <w:r w:rsidR="00C97F4B">
        <w:t>.</w:t>
      </w:r>
    </w:p>
    <w:p w14:paraId="55835774" w14:textId="07D11D6F" w:rsidR="002B055A" w:rsidRDefault="002B055A">
      <w:r>
        <w:t>The Bill streamlines assignment by removing the legislative requirement for approval by the ACMA currently applicable to transfer of apparatus licences. Parties to a transfer of a licence under the single licensing system need only notify the ACMA of the transfer and request that the ACMA amend the Register of Radiocommunications Licences</w:t>
      </w:r>
      <w:r w:rsidR="003F7E34">
        <w:t>.</w:t>
      </w:r>
    </w:p>
    <w:p w14:paraId="115CDDBF" w14:textId="216782C5" w:rsidR="003F7E34" w:rsidRDefault="003F7E34">
      <w:r>
        <w:t xml:space="preserve">In order </w:t>
      </w:r>
      <w:r w:rsidR="00F83C7E">
        <w:t>to ensure public confidence in the Register of Radiocommunications Licences, assignments will not be effective until they are reflected on the Register.</w:t>
      </w:r>
    </w:p>
    <w:p w14:paraId="0A6C6DBA" w14:textId="7BDB8981" w:rsidR="00C97F4B" w:rsidRPr="00693300" w:rsidRDefault="00C97F4B" w:rsidP="00C97F4B">
      <w:pPr>
        <w:pStyle w:val="Heading4"/>
        <w:rPr>
          <w:szCs w:val="24"/>
        </w:rPr>
      </w:pPr>
      <w:bookmarkStart w:id="37" w:name="_Toc480810858"/>
      <w:r w:rsidRPr="00693300">
        <w:rPr>
          <w:szCs w:val="24"/>
        </w:rPr>
        <w:t xml:space="preserve">Resumption of licences (Part </w:t>
      </w:r>
      <w:r w:rsidR="00923FAD" w:rsidRPr="00693300">
        <w:rPr>
          <w:szCs w:val="24"/>
        </w:rPr>
        <w:t>6</w:t>
      </w:r>
      <w:r w:rsidRPr="00693300">
        <w:rPr>
          <w:szCs w:val="24"/>
        </w:rPr>
        <w:t>, Division 1</w:t>
      </w:r>
      <w:r w:rsidR="00923FAD" w:rsidRPr="00693300">
        <w:rPr>
          <w:szCs w:val="24"/>
        </w:rPr>
        <w:t>4</w:t>
      </w:r>
      <w:r w:rsidRPr="00693300">
        <w:rPr>
          <w:szCs w:val="24"/>
        </w:rPr>
        <w:t>)</w:t>
      </w:r>
      <w:bookmarkEnd w:id="37"/>
    </w:p>
    <w:p w14:paraId="7CBA34F6" w14:textId="683B70B2" w:rsidR="00C97F4B" w:rsidRDefault="00976F4D">
      <w:r>
        <w:t xml:space="preserve">The </w:t>
      </w:r>
      <w:r w:rsidR="00E96224">
        <w:t>Bill enables the ACMA</w:t>
      </w:r>
      <w:r w:rsidR="00C97F4B">
        <w:t xml:space="preserve"> to compulsorily resume licences</w:t>
      </w:r>
      <w:r>
        <w:t>, but only on written approval of the Minister</w:t>
      </w:r>
      <w:r w:rsidR="00C97F4B">
        <w:t>.</w:t>
      </w:r>
    </w:p>
    <w:p w14:paraId="0E8EAAA5" w14:textId="7A761F17" w:rsidR="00C97F4B" w:rsidRDefault="00976F4D">
      <w:r>
        <w:t xml:space="preserve">The </w:t>
      </w:r>
      <w:r w:rsidR="00F83C7E">
        <w:t xml:space="preserve">Bill allows the </w:t>
      </w:r>
      <w:r w:rsidR="00C97F4B">
        <w:t xml:space="preserve">ACMA </w:t>
      </w:r>
      <w:r w:rsidR="00F83C7E">
        <w:t xml:space="preserve">to </w:t>
      </w:r>
      <w:r w:rsidR="00E96224">
        <w:t xml:space="preserve">make legislative instruments determining the </w:t>
      </w:r>
      <w:r w:rsidR="00C97F4B">
        <w:t>procedures for determining compensation payable in res</w:t>
      </w:r>
      <w:r w:rsidR="00F547B8">
        <w:t>pect of the licence resumption</w:t>
      </w:r>
      <w:r w:rsidR="00E96224">
        <w:t xml:space="preserve"> and </w:t>
      </w:r>
      <w:r w:rsidR="00F83C7E">
        <w:t xml:space="preserve">requires </w:t>
      </w:r>
      <w:r w:rsidR="00F547B8">
        <w:t>t</w:t>
      </w:r>
      <w:r w:rsidR="00C97F4B">
        <w:t xml:space="preserve">he Commonwealth </w:t>
      </w:r>
      <w:r w:rsidR="00F83C7E">
        <w:t xml:space="preserve">to </w:t>
      </w:r>
      <w:r w:rsidR="00C97F4B">
        <w:t>pay the compensation determined under those procedures, together with interest.</w:t>
      </w:r>
      <w:r w:rsidR="00E96224">
        <w:t xml:space="preserve"> These provisions replace the prescriptive requirements and processes currently contained in Part Two of the Schedule to the 1992</w:t>
      </w:r>
      <w:r w:rsidR="00326B37">
        <w:t> </w:t>
      </w:r>
      <w:r w:rsidR="00E96224">
        <w:t>Act.</w:t>
      </w:r>
    </w:p>
    <w:p w14:paraId="1235375D" w14:textId="2C6AC73E" w:rsidR="00C97F4B" w:rsidRPr="00693300" w:rsidRDefault="00C97F4B" w:rsidP="00C97F4B">
      <w:pPr>
        <w:pStyle w:val="Heading4"/>
        <w:rPr>
          <w:szCs w:val="24"/>
        </w:rPr>
      </w:pPr>
      <w:bookmarkStart w:id="38" w:name="_Toc480810859"/>
      <w:r w:rsidRPr="00693300">
        <w:rPr>
          <w:szCs w:val="24"/>
        </w:rPr>
        <w:t xml:space="preserve">Register of licences and </w:t>
      </w:r>
      <w:r w:rsidR="00384286" w:rsidRPr="00693300">
        <w:rPr>
          <w:szCs w:val="24"/>
        </w:rPr>
        <w:t xml:space="preserve">miscellaneous (Part </w:t>
      </w:r>
      <w:r w:rsidR="00923FAD" w:rsidRPr="00693300">
        <w:rPr>
          <w:szCs w:val="24"/>
        </w:rPr>
        <w:t>6</w:t>
      </w:r>
      <w:r w:rsidR="00384286" w:rsidRPr="00693300">
        <w:rPr>
          <w:szCs w:val="24"/>
        </w:rPr>
        <w:t>, Division</w:t>
      </w:r>
      <w:r w:rsidRPr="00693300">
        <w:rPr>
          <w:szCs w:val="24"/>
        </w:rPr>
        <w:t xml:space="preserve"> 1</w:t>
      </w:r>
      <w:r w:rsidR="00923FAD" w:rsidRPr="00693300">
        <w:rPr>
          <w:szCs w:val="24"/>
        </w:rPr>
        <w:t>5</w:t>
      </w:r>
      <w:r w:rsidR="00AD086C" w:rsidRPr="00693300">
        <w:rPr>
          <w:szCs w:val="24"/>
        </w:rPr>
        <w:t xml:space="preserve"> and 1</w:t>
      </w:r>
      <w:r w:rsidR="00923FAD" w:rsidRPr="00693300">
        <w:rPr>
          <w:szCs w:val="24"/>
        </w:rPr>
        <w:t>6</w:t>
      </w:r>
      <w:r w:rsidRPr="00693300">
        <w:rPr>
          <w:szCs w:val="24"/>
        </w:rPr>
        <w:t>)</w:t>
      </w:r>
      <w:bookmarkEnd w:id="38"/>
    </w:p>
    <w:p w14:paraId="6A0008CD" w14:textId="547A9D3D" w:rsidR="00515321" w:rsidRDefault="00C97F4B">
      <w:r>
        <w:t xml:space="preserve">As under the </w:t>
      </w:r>
      <w:r w:rsidR="0062529C">
        <w:t xml:space="preserve">1992 </w:t>
      </w:r>
      <w:r>
        <w:t xml:space="preserve">Act, the Bill requires the ACMA to maintain a </w:t>
      </w:r>
      <w:r w:rsidR="002B055A">
        <w:t>R</w:t>
      </w:r>
      <w:r>
        <w:t xml:space="preserve">egister of </w:t>
      </w:r>
      <w:r w:rsidR="002B055A">
        <w:t>R</w:t>
      </w:r>
      <w:r>
        <w:t xml:space="preserve">adiocommunications </w:t>
      </w:r>
      <w:r w:rsidR="002B055A">
        <w:t>L</w:t>
      </w:r>
      <w:r>
        <w:t xml:space="preserve">icences. The </w:t>
      </w:r>
      <w:r w:rsidR="00AD086C">
        <w:t>R</w:t>
      </w:r>
      <w:r>
        <w:t>egister must be kept electronically and be publicly a</w:t>
      </w:r>
      <w:r w:rsidR="00AD086C">
        <w:t>vailable on the ACMA’s website.</w:t>
      </w:r>
    </w:p>
    <w:p w14:paraId="0AC26A8A" w14:textId="6612DBF5" w:rsidR="00515321" w:rsidRDefault="00A65146">
      <w:r>
        <w:t>The ACMA is enabled to make</w:t>
      </w:r>
      <w:r w:rsidR="00515321">
        <w:t xml:space="preserve"> </w:t>
      </w:r>
      <w:r w:rsidR="00515321" w:rsidRPr="00A65146">
        <w:t>Register rules</w:t>
      </w:r>
      <w:r w:rsidR="00515321">
        <w:t xml:space="preserve">, setting out </w:t>
      </w:r>
      <w:r>
        <w:t xml:space="preserve">by legislative instrument </w:t>
      </w:r>
      <w:r w:rsidR="00515321">
        <w:t>wh</w:t>
      </w:r>
      <w:r w:rsidR="00BD3A28">
        <w:t>at</w:t>
      </w:r>
      <w:r w:rsidR="00515321">
        <w:t xml:space="preserve"> information must be included in the Register in relation to each licence. </w:t>
      </w:r>
      <w:r w:rsidR="00F91D1F">
        <w:rPr>
          <w:rFonts w:cs="Arial"/>
        </w:rPr>
        <w:t>It is anticipated that t</w:t>
      </w:r>
      <w:r w:rsidR="00F91D1F" w:rsidRPr="005113E8">
        <w:rPr>
          <w:rFonts w:cs="Arial"/>
        </w:rPr>
        <w:t xml:space="preserve">he Register will continue to include information </w:t>
      </w:r>
      <w:r w:rsidR="00F91D1F">
        <w:rPr>
          <w:rFonts w:cs="Arial"/>
        </w:rPr>
        <w:t xml:space="preserve">in regard to licence </w:t>
      </w:r>
      <w:r w:rsidR="00F91D1F" w:rsidRPr="005113E8">
        <w:rPr>
          <w:rFonts w:cs="Arial"/>
        </w:rPr>
        <w:t xml:space="preserve">conditions, technical specifics and authorisations placed </w:t>
      </w:r>
      <w:r w:rsidR="00F91D1F" w:rsidRPr="008F299C">
        <w:t>upon</w:t>
      </w:r>
      <w:r w:rsidR="00F91D1F" w:rsidRPr="005113E8">
        <w:rPr>
          <w:rFonts w:cs="Arial"/>
        </w:rPr>
        <w:t xml:space="preserve"> a licence.</w:t>
      </w:r>
    </w:p>
    <w:p w14:paraId="46230139" w14:textId="1FBD51AA" w:rsidR="00C97F4B" w:rsidRDefault="00515321">
      <w:r>
        <w:t xml:space="preserve">Under Part </w:t>
      </w:r>
      <w:r w:rsidR="00B61073">
        <w:t>6</w:t>
      </w:r>
      <w:r>
        <w:t>, Division</w:t>
      </w:r>
      <w:r w:rsidR="002D47F1">
        <w:t>s</w:t>
      </w:r>
      <w:r>
        <w:t xml:space="preserve"> </w:t>
      </w:r>
      <w:r w:rsidR="002D618C">
        <w:t>4</w:t>
      </w:r>
      <w:r w:rsidR="002D47F1">
        <w:t xml:space="preserve"> and 15</w:t>
      </w:r>
      <w:r>
        <w:t>, transmitters will also be required to be registered in accordance with the Register rules, unless stated otherwise in the licence or in a legislative instru</w:t>
      </w:r>
      <w:r w:rsidR="00AD086C">
        <w:t>ment determination by the ACMA.</w:t>
      </w:r>
    </w:p>
    <w:p w14:paraId="4832581C" w14:textId="402EB06D" w:rsidR="00384286" w:rsidRPr="004F099A" w:rsidRDefault="00384286">
      <w:r>
        <w:t xml:space="preserve">In order to prevent duplication of regulatory provisions, the Bill provides that s 50 of the </w:t>
      </w:r>
      <w:r w:rsidRPr="003E7EC7">
        <w:rPr>
          <w:i/>
        </w:rPr>
        <w:t xml:space="preserve">Competition and Consumer Act </w:t>
      </w:r>
      <w:r w:rsidR="00BD3A28" w:rsidRPr="003E7EC7">
        <w:rPr>
          <w:i/>
        </w:rPr>
        <w:t xml:space="preserve">2010 </w:t>
      </w:r>
      <w:r>
        <w:t>(prohibiting acquisitions which would result in a substantial lessening of competition) applies to licence issue only in parts of the spectrum which are not covered by a c</w:t>
      </w:r>
      <w:r w:rsidR="00AD086C">
        <w:t>ompetition limit determination</w:t>
      </w:r>
      <w:r w:rsidR="007B2B75">
        <w:t>, as well as to licence renewal, third-party authorisation and assignment</w:t>
      </w:r>
      <w:r w:rsidR="00AD086C">
        <w:t>.</w:t>
      </w:r>
    </w:p>
    <w:p w14:paraId="0A547603" w14:textId="5A332A60" w:rsidR="00296124" w:rsidRPr="00F42BD7" w:rsidRDefault="00296124" w:rsidP="00693300">
      <w:pPr>
        <w:pStyle w:val="Heading3"/>
      </w:pPr>
      <w:bookmarkStart w:id="39" w:name="_Toc480810860"/>
      <w:r w:rsidRPr="00F42BD7">
        <w:t xml:space="preserve">Spectrum authorisations (Part </w:t>
      </w:r>
      <w:r w:rsidR="00B61073">
        <w:t>7</w:t>
      </w:r>
      <w:r w:rsidRPr="00F42BD7">
        <w:t>)</w:t>
      </w:r>
      <w:bookmarkEnd w:id="39"/>
    </w:p>
    <w:p w14:paraId="0B293C1B" w14:textId="14921678" w:rsidR="004E3BDA" w:rsidRPr="001673EE" w:rsidRDefault="004E3BDA" w:rsidP="004E3BDA">
      <w:pPr>
        <w:spacing w:after="120"/>
        <w:ind w:right="-341"/>
      </w:pPr>
      <w:r w:rsidRPr="001673EE">
        <w:t>Current</w:t>
      </w:r>
      <w:r>
        <w:t>ly</w:t>
      </w:r>
      <w:r w:rsidRPr="001673EE">
        <w:t xml:space="preserve"> c</w:t>
      </w:r>
      <w:r w:rsidR="00823654">
        <w:t>lass licences regulate ‘commons-</w:t>
      </w:r>
      <w:r>
        <w:t>like’</w:t>
      </w:r>
      <w:r w:rsidRPr="001673EE">
        <w:t xml:space="preserve"> use of spectrum. These licences authorise users of designated segments of spectrum to operate on a</w:t>
      </w:r>
      <w:r>
        <w:t xml:space="preserve"> purely </w:t>
      </w:r>
      <w:r w:rsidRPr="001673EE">
        <w:t>shared basis</w:t>
      </w:r>
      <w:r>
        <w:t xml:space="preserve"> without a </w:t>
      </w:r>
      <w:r w:rsidRPr="001673EE">
        <w:t>require</w:t>
      </w:r>
      <w:r>
        <w:t>ment</w:t>
      </w:r>
      <w:r w:rsidRPr="001673EE">
        <w:t xml:space="preserve"> to be registered with the ACMA</w:t>
      </w:r>
      <w:r>
        <w:t xml:space="preserve">. Class licences cover a wide and diverse range of services, primarily under ‘no interference/no protection’ arrangements. They </w:t>
      </w:r>
      <w:r w:rsidRPr="001673EE">
        <w:t xml:space="preserve">generally apply to ubiquitously deployed devices, such as </w:t>
      </w:r>
      <w:r w:rsidR="002C4011">
        <w:t>Wi-Fi routers</w:t>
      </w:r>
      <w:r w:rsidRPr="001673EE">
        <w:t xml:space="preserve"> and garage door openers.</w:t>
      </w:r>
    </w:p>
    <w:p w14:paraId="5FDBDB63" w14:textId="4EEE5D6A" w:rsidR="009E435E" w:rsidRDefault="004E3BDA">
      <w:r>
        <w:t>The</w:t>
      </w:r>
      <w:r w:rsidRPr="001673EE">
        <w:t xml:space="preserve"> </w:t>
      </w:r>
      <w:r>
        <w:t xml:space="preserve">commons use of spectrum </w:t>
      </w:r>
      <w:r w:rsidRPr="001673EE">
        <w:t>wi</w:t>
      </w:r>
      <w:r>
        <w:t>ll now be authorised through a ‘licence-exempt’ mechanism, to be known as a spectrum authorisation</w:t>
      </w:r>
      <w:r w:rsidRPr="001673EE">
        <w:t>. Th</w:t>
      </w:r>
      <w:r>
        <w:t xml:space="preserve">e use of a distinct authorisation rather than </w:t>
      </w:r>
      <w:r w:rsidR="00BF2D56">
        <w:t xml:space="preserve">a </w:t>
      </w:r>
      <w:r>
        <w:t xml:space="preserve">licence type will more </w:t>
      </w:r>
      <w:r w:rsidRPr="001673EE">
        <w:t>clearly demarcate the</w:t>
      </w:r>
      <w:r w:rsidR="00976F4D">
        <w:t xml:space="preserve"> limited</w:t>
      </w:r>
      <w:r w:rsidRPr="001673EE">
        <w:t xml:space="preserve"> rights and protections provided to licence-exempt devices compared to the rights and interference protection provided to licensees.</w:t>
      </w:r>
    </w:p>
    <w:p w14:paraId="16EDD41D" w14:textId="4374BCF4" w:rsidR="00CB2127" w:rsidRDefault="00CB2127">
      <w:r>
        <w:t xml:space="preserve">Part </w:t>
      </w:r>
      <w:r w:rsidR="008B5312">
        <w:t>7</w:t>
      </w:r>
      <w:r>
        <w:t xml:space="preserve"> of the Bill introduces spectrum authorisations to regulate commons-like spectrum currently regulated by class licences under the 1992 Act.</w:t>
      </w:r>
    </w:p>
    <w:p w14:paraId="135110E8" w14:textId="3148E46D" w:rsidR="00BE22C1" w:rsidRDefault="00CB2127" w:rsidP="00EF7B4B">
      <w:r>
        <w:t xml:space="preserve">The ACMA is empowered to determine spectrum authorisations by legislative instrument. </w:t>
      </w:r>
      <w:r w:rsidR="00362563">
        <w:t xml:space="preserve">Spectrum </w:t>
      </w:r>
      <w:r w:rsidR="00CA3600">
        <w:t>authorisation</w:t>
      </w:r>
      <w:r w:rsidR="00A53395">
        <w:t>s permit the operation of transmitters of specified kinds or for specified purposes,</w:t>
      </w:r>
      <w:r w:rsidR="00CA3600">
        <w:t xml:space="preserve"> subject to specified conditions including (but not limited to):</w:t>
      </w:r>
    </w:p>
    <w:p w14:paraId="5250D7DD" w14:textId="56F78979" w:rsidR="00CA3600" w:rsidRPr="00394C6B" w:rsidRDefault="00CA3600" w:rsidP="004130AA">
      <w:pPr>
        <w:pStyle w:val="Bulletlevel1"/>
        <w:ind w:left="567" w:hanging="567"/>
      </w:pPr>
      <w:r w:rsidRPr="00394C6B">
        <w:t>conditions specifying the frequencies at which operation of a radiocomm</w:t>
      </w:r>
      <w:r w:rsidR="00BF2D56" w:rsidRPr="00394C6B">
        <w:t>unications device is authorised</w:t>
      </w:r>
    </w:p>
    <w:p w14:paraId="02760B43" w14:textId="742E97CE" w:rsidR="00CA3600" w:rsidRPr="00394C6B" w:rsidRDefault="00CA3600" w:rsidP="004130AA">
      <w:pPr>
        <w:pStyle w:val="Bulletlevel1"/>
        <w:ind w:left="567" w:hanging="567"/>
      </w:pPr>
      <w:r w:rsidRPr="00394C6B">
        <w:t>technical requirements about the operation of the</w:t>
      </w:r>
      <w:r w:rsidR="00BF2D56" w:rsidRPr="00394C6B">
        <w:t xml:space="preserve"> device under the authorisation</w:t>
      </w:r>
    </w:p>
    <w:p w14:paraId="090D577A" w14:textId="3CF46AD4" w:rsidR="00A53395" w:rsidRPr="00394C6B" w:rsidRDefault="00CA3600" w:rsidP="004130AA">
      <w:pPr>
        <w:pStyle w:val="Bulletlevel1"/>
        <w:ind w:left="567" w:hanging="567"/>
      </w:pPr>
      <w:r w:rsidRPr="00394C6B">
        <w:t>area of operation</w:t>
      </w:r>
    </w:p>
    <w:p w14:paraId="059AB1E1" w14:textId="5FE19D63" w:rsidR="00CA3600" w:rsidRDefault="00CA3600" w:rsidP="004130AA">
      <w:pPr>
        <w:pStyle w:val="Bulletlevel1"/>
        <w:ind w:left="567" w:hanging="567"/>
      </w:pPr>
      <w:proofErr w:type="gramStart"/>
      <w:r w:rsidRPr="00394C6B">
        <w:t>periods</w:t>
      </w:r>
      <w:proofErr w:type="gramEnd"/>
      <w:r>
        <w:t xml:space="preserve"> of operation.</w:t>
      </w:r>
    </w:p>
    <w:p w14:paraId="6FC41F80" w14:textId="21D17964" w:rsidR="00A53395" w:rsidRDefault="004E3BDA">
      <w:r>
        <w:t>U</w:t>
      </w:r>
      <w:r w:rsidR="00A53395">
        <w:t>nder the single licensing system, spectrum authorisations may be granted over parts of the spectrum covered by other authorisations or by lic</w:t>
      </w:r>
      <w:r w:rsidR="002F3C78">
        <w:t xml:space="preserve">ences. </w:t>
      </w:r>
      <w:r w:rsidR="00BF2D56">
        <w:t>A</w:t>
      </w:r>
      <w:r w:rsidR="002F3C78">
        <w:t>s outlined above, this is subject to restrictions contained in regulatory undertakings contained within any pre-existing licences.</w:t>
      </w:r>
    </w:p>
    <w:p w14:paraId="68E8A4C5" w14:textId="7CAD127D" w:rsidR="00CB2127" w:rsidRDefault="00BF2D56" w:rsidP="00F42BD7">
      <w:r>
        <w:t>S</w:t>
      </w:r>
      <w:r w:rsidR="00CB2127">
        <w:t xml:space="preserve">pectrum authorisations are not licences under the single licensing system. </w:t>
      </w:r>
      <w:r w:rsidR="00A53395">
        <w:t xml:space="preserve">Users operating under a spectrum authorisation therefore are not able to bring civil proceedings under Part </w:t>
      </w:r>
      <w:r w:rsidR="00B61073">
        <w:t>5</w:t>
      </w:r>
      <w:r w:rsidR="00A53395">
        <w:t xml:space="preserve"> against unauthorised operation</w:t>
      </w:r>
      <w:r w:rsidR="005454D1">
        <w:t xml:space="preserve"> or make complaints under the dispute r</w:t>
      </w:r>
      <w:r>
        <w:t xml:space="preserve">esolution guidelines in Part </w:t>
      </w:r>
      <w:r w:rsidR="00B61073">
        <w:t>9</w:t>
      </w:r>
      <w:r>
        <w:t>.</w:t>
      </w:r>
    </w:p>
    <w:p w14:paraId="118D692A" w14:textId="77777777" w:rsidR="000F16AD" w:rsidRDefault="000F16AD" w:rsidP="00F42BD7">
      <w:pPr>
        <w:sectPr w:rsidR="000F16AD" w:rsidSect="000F16AD">
          <w:pgSz w:w="11906" w:h="16838"/>
          <w:pgMar w:top="1702" w:right="1133" w:bottom="1276" w:left="1440" w:header="0" w:footer="567" w:gutter="0"/>
          <w:cols w:space="708"/>
          <w:docGrid w:linePitch="360"/>
        </w:sectPr>
      </w:pPr>
    </w:p>
    <w:p w14:paraId="2F940AA8" w14:textId="7D18EB34" w:rsidR="007955AD" w:rsidRPr="007955AD" w:rsidRDefault="00296124" w:rsidP="00693300">
      <w:pPr>
        <w:pStyle w:val="Heading4"/>
      </w:pPr>
      <w:bookmarkStart w:id="40" w:name="_Toc480810861"/>
      <w:r w:rsidRPr="00AC595C">
        <w:t>Table</w:t>
      </w:r>
      <w:r w:rsidR="00D23327" w:rsidRPr="00AC595C">
        <w:t xml:space="preserve"> 3</w:t>
      </w:r>
      <w:r w:rsidRPr="00AC595C">
        <w:t>: Differences between spectrum authorisations</w:t>
      </w:r>
      <w:r w:rsidR="00416258">
        <w:t xml:space="preserve"> and licences under </w:t>
      </w:r>
      <w:r w:rsidR="00416258" w:rsidRPr="00AC595C">
        <w:t>the single licence system</w:t>
      </w:r>
      <w:bookmarkEnd w:id="40"/>
    </w:p>
    <w:tbl>
      <w:tblPr>
        <w:tblStyle w:val="TableGrid"/>
        <w:tblW w:w="0" w:type="auto"/>
        <w:jc w:val="center"/>
        <w:tblLayout w:type="fixed"/>
        <w:tblCellMar>
          <w:top w:w="28" w:type="dxa"/>
          <w:bottom w:w="28" w:type="dxa"/>
        </w:tblCellMar>
        <w:tblLook w:val="04A0" w:firstRow="1" w:lastRow="0" w:firstColumn="1" w:lastColumn="0" w:noHBand="0" w:noVBand="1"/>
        <w:tblCaption w:val="The table outlines the differences between spectrum authorisations and licences under the single licence system"/>
        <w:tblDescription w:val="Rights: Under a spectrum authorisation, a user has right to possession of a device and use of a device, but not trade, interference protection, or to civil proceedings. &#10;Predictability: spectrum authorisations do not include regulatory undertakings, a right to review decisions, or predictability relating to end-of-term processes. Licences do include regulatory undertakings, right to review, and end-of-term processes. &#10;Obligations: spectrum authorisations, unlike licences, do not include obligations to make payment, pay taxes, to register or certify devices, have a maximum duration, or designated statements. Both spectrum authorisations and licences are subject to conditions imposed by the ACMA.&#10;"/>
      </w:tblPr>
      <w:tblGrid>
        <w:gridCol w:w="2263"/>
        <w:gridCol w:w="2552"/>
        <w:gridCol w:w="1701"/>
        <w:gridCol w:w="2410"/>
      </w:tblGrid>
      <w:tr w:rsidR="000D602E" w:rsidRPr="00916A44" w14:paraId="07365613" w14:textId="77777777" w:rsidTr="00394C6B">
        <w:trPr>
          <w:trHeight w:val="638"/>
          <w:tblHeader/>
          <w:jc w:val="center"/>
        </w:trPr>
        <w:tc>
          <w:tcPr>
            <w:tcW w:w="2263" w:type="dxa"/>
            <w:tcBorders>
              <w:right w:val="nil"/>
            </w:tcBorders>
            <w:shd w:val="clear" w:color="auto" w:fill="E4E4E4"/>
          </w:tcPr>
          <w:p w14:paraId="6C7B25A5" w14:textId="77777777" w:rsidR="000D602E" w:rsidRDefault="000D602E" w:rsidP="000D602E">
            <w:pPr>
              <w:spacing w:after="0"/>
              <w:jc w:val="center"/>
            </w:pPr>
          </w:p>
        </w:tc>
        <w:tc>
          <w:tcPr>
            <w:tcW w:w="2552" w:type="dxa"/>
            <w:tcBorders>
              <w:left w:val="nil"/>
            </w:tcBorders>
            <w:shd w:val="clear" w:color="auto" w:fill="E4E4E4"/>
          </w:tcPr>
          <w:p w14:paraId="56EDECA0" w14:textId="5F983020" w:rsidR="000D602E" w:rsidRDefault="000D602E" w:rsidP="000D602E">
            <w:pPr>
              <w:spacing w:after="0"/>
              <w:jc w:val="center"/>
            </w:pPr>
          </w:p>
        </w:tc>
        <w:tc>
          <w:tcPr>
            <w:tcW w:w="1701" w:type="dxa"/>
            <w:shd w:val="clear" w:color="auto" w:fill="E4E4E4"/>
          </w:tcPr>
          <w:p w14:paraId="009B8840" w14:textId="77777777" w:rsidR="000D602E" w:rsidRPr="00916A44" w:rsidRDefault="000D602E" w:rsidP="000D602E">
            <w:pPr>
              <w:spacing w:after="0"/>
              <w:jc w:val="center"/>
              <w:rPr>
                <w:b/>
              </w:rPr>
            </w:pPr>
            <w:r w:rsidRPr="00916A44">
              <w:rPr>
                <w:b/>
              </w:rPr>
              <w:t>Spectrum authorisations</w:t>
            </w:r>
          </w:p>
        </w:tc>
        <w:tc>
          <w:tcPr>
            <w:tcW w:w="2410" w:type="dxa"/>
            <w:shd w:val="clear" w:color="auto" w:fill="E4E4E4"/>
          </w:tcPr>
          <w:p w14:paraId="69C6B5B8" w14:textId="77777777" w:rsidR="000D602E" w:rsidRPr="00916A44" w:rsidRDefault="000D602E" w:rsidP="000D602E">
            <w:pPr>
              <w:spacing w:after="0"/>
              <w:jc w:val="center"/>
              <w:rPr>
                <w:b/>
              </w:rPr>
            </w:pPr>
            <w:r w:rsidRPr="00916A44">
              <w:rPr>
                <w:b/>
              </w:rPr>
              <w:t>Licences</w:t>
            </w:r>
            <w:r>
              <w:rPr>
                <w:b/>
              </w:rPr>
              <w:t xml:space="preserve"> (receivers &amp; transmitters)</w:t>
            </w:r>
          </w:p>
        </w:tc>
      </w:tr>
      <w:tr w:rsidR="00D511A8" w14:paraId="24D5533F" w14:textId="77777777" w:rsidTr="00394C6B">
        <w:trPr>
          <w:jc w:val="center"/>
        </w:trPr>
        <w:tc>
          <w:tcPr>
            <w:tcW w:w="2263" w:type="dxa"/>
            <w:shd w:val="clear" w:color="auto" w:fill="E4E4E4"/>
          </w:tcPr>
          <w:p w14:paraId="02EBFE96" w14:textId="77777777" w:rsidR="00D511A8" w:rsidRPr="00916A44" w:rsidRDefault="00D511A8" w:rsidP="000D602E">
            <w:pPr>
              <w:spacing w:after="0"/>
              <w:jc w:val="center"/>
              <w:rPr>
                <w:b/>
              </w:rPr>
            </w:pPr>
            <w:r>
              <w:rPr>
                <w:b/>
              </w:rPr>
              <w:t>What rights d</w:t>
            </w:r>
            <w:r w:rsidRPr="00916A44">
              <w:rPr>
                <w:b/>
              </w:rPr>
              <w:t>o users have?</w:t>
            </w:r>
          </w:p>
        </w:tc>
        <w:tc>
          <w:tcPr>
            <w:tcW w:w="2552" w:type="dxa"/>
            <w:shd w:val="clear" w:color="auto" w:fill="FFFFFF" w:themeFill="background1"/>
          </w:tcPr>
          <w:p w14:paraId="3292667B" w14:textId="77777777" w:rsidR="00D511A8" w:rsidRDefault="00D511A8" w:rsidP="000D602E">
            <w:pPr>
              <w:spacing w:after="0"/>
            </w:pPr>
            <w:r>
              <w:t>Possession of a device</w:t>
            </w:r>
          </w:p>
        </w:tc>
        <w:tc>
          <w:tcPr>
            <w:tcW w:w="1701" w:type="dxa"/>
            <w:shd w:val="clear" w:color="auto" w:fill="FFFFFF" w:themeFill="background1"/>
          </w:tcPr>
          <w:p w14:paraId="35725A0C"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c>
          <w:tcPr>
            <w:tcW w:w="2410" w:type="dxa"/>
            <w:shd w:val="clear" w:color="auto" w:fill="FFFFFF" w:themeFill="background1"/>
          </w:tcPr>
          <w:p w14:paraId="7EF55546"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2668A693" w14:textId="77777777" w:rsidTr="00394C6B">
        <w:trPr>
          <w:jc w:val="center"/>
        </w:trPr>
        <w:tc>
          <w:tcPr>
            <w:tcW w:w="2263" w:type="dxa"/>
            <w:shd w:val="clear" w:color="auto" w:fill="E4E4E4"/>
          </w:tcPr>
          <w:p w14:paraId="26E75242" w14:textId="50BD9045" w:rsidR="00D511A8" w:rsidRPr="00916A44" w:rsidRDefault="000D602E" w:rsidP="000D602E">
            <w:pPr>
              <w:spacing w:after="0"/>
              <w:jc w:val="center"/>
              <w:rPr>
                <w:b/>
              </w:rPr>
            </w:pPr>
            <w:r>
              <w:rPr>
                <w:b/>
              </w:rPr>
              <w:t>What rights d</w:t>
            </w:r>
            <w:r w:rsidRPr="00916A44">
              <w:rPr>
                <w:b/>
              </w:rPr>
              <w:t>o users have?</w:t>
            </w:r>
          </w:p>
        </w:tc>
        <w:tc>
          <w:tcPr>
            <w:tcW w:w="2552" w:type="dxa"/>
            <w:shd w:val="clear" w:color="auto" w:fill="FFFFFF" w:themeFill="background1"/>
          </w:tcPr>
          <w:p w14:paraId="134B7490" w14:textId="77777777" w:rsidR="00D511A8" w:rsidRDefault="00D511A8" w:rsidP="000D602E">
            <w:pPr>
              <w:spacing w:after="0"/>
            </w:pPr>
            <w:r>
              <w:t>Use of a device</w:t>
            </w:r>
          </w:p>
        </w:tc>
        <w:tc>
          <w:tcPr>
            <w:tcW w:w="1701" w:type="dxa"/>
            <w:shd w:val="clear" w:color="auto" w:fill="FFFFFF" w:themeFill="background1"/>
          </w:tcPr>
          <w:p w14:paraId="50C36FD5"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c>
          <w:tcPr>
            <w:tcW w:w="2410" w:type="dxa"/>
            <w:shd w:val="clear" w:color="auto" w:fill="FFFFFF" w:themeFill="background1"/>
          </w:tcPr>
          <w:p w14:paraId="74A62F11"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632AAC31" w14:textId="77777777" w:rsidTr="00394C6B">
        <w:trPr>
          <w:jc w:val="center"/>
        </w:trPr>
        <w:tc>
          <w:tcPr>
            <w:tcW w:w="2263" w:type="dxa"/>
            <w:shd w:val="clear" w:color="auto" w:fill="E4E4E4"/>
          </w:tcPr>
          <w:p w14:paraId="17CB1193" w14:textId="1354955D" w:rsidR="00D511A8" w:rsidRPr="00916A44" w:rsidRDefault="000D602E" w:rsidP="000D602E">
            <w:pPr>
              <w:spacing w:after="0"/>
              <w:jc w:val="center"/>
              <w:rPr>
                <w:b/>
              </w:rPr>
            </w:pPr>
            <w:r>
              <w:rPr>
                <w:b/>
              </w:rPr>
              <w:t>What rights d</w:t>
            </w:r>
            <w:r w:rsidRPr="00916A44">
              <w:rPr>
                <w:b/>
              </w:rPr>
              <w:t>o users have?</w:t>
            </w:r>
          </w:p>
        </w:tc>
        <w:tc>
          <w:tcPr>
            <w:tcW w:w="2552" w:type="dxa"/>
            <w:shd w:val="clear" w:color="auto" w:fill="FFFFFF" w:themeFill="background1"/>
          </w:tcPr>
          <w:p w14:paraId="646DE268" w14:textId="77777777" w:rsidR="00D511A8" w:rsidRDefault="00D511A8" w:rsidP="000D602E">
            <w:pPr>
              <w:spacing w:after="0"/>
            </w:pPr>
            <w:r>
              <w:t>Tradable</w:t>
            </w:r>
          </w:p>
        </w:tc>
        <w:tc>
          <w:tcPr>
            <w:tcW w:w="1701" w:type="dxa"/>
            <w:shd w:val="clear" w:color="auto" w:fill="FFFFFF" w:themeFill="background1"/>
          </w:tcPr>
          <w:p w14:paraId="66939DD9" w14:textId="77777777" w:rsidR="00D511A8" w:rsidRDefault="00D511A8" w:rsidP="000D602E">
            <w:pPr>
              <w:spacing w:after="0"/>
              <w:jc w:val="center"/>
            </w:pPr>
          </w:p>
        </w:tc>
        <w:tc>
          <w:tcPr>
            <w:tcW w:w="2410" w:type="dxa"/>
            <w:shd w:val="clear" w:color="auto" w:fill="FFFFFF" w:themeFill="background1"/>
          </w:tcPr>
          <w:p w14:paraId="481B8784"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2AD15394" w14:textId="77777777" w:rsidTr="00394C6B">
        <w:trPr>
          <w:jc w:val="center"/>
        </w:trPr>
        <w:tc>
          <w:tcPr>
            <w:tcW w:w="2263" w:type="dxa"/>
            <w:shd w:val="clear" w:color="auto" w:fill="E4E4E4"/>
          </w:tcPr>
          <w:p w14:paraId="771CBA73" w14:textId="2EF2D2A6" w:rsidR="00D511A8" w:rsidRPr="00916A44" w:rsidRDefault="000D602E" w:rsidP="000D602E">
            <w:pPr>
              <w:spacing w:after="0"/>
              <w:jc w:val="center"/>
              <w:rPr>
                <w:b/>
              </w:rPr>
            </w:pPr>
            <w:r>
              <w:rPr>
                <w:b/>
              </w:rPr>
              <w:t>What rights d</w:t>
            </w:r>
            <w:r w:rsidRPr="00916A44">
              <w:rPr>
                <w:b/>
              </w:rPr>
              <w:t>o users have?</w:t>
            </w:r>
          </w:p>
        </w:tc>
        <w:tc>
          <w:tcPr>
            <w:tcW w:w="2552" w:type="dxa"/>
            <w:shd w:val="clear" w:color="auto" w:fill="FFFFFF" w:themeFill="background1"/>
          </w:tcPr>
          <w:p w14:paraId="2429C823" w14:textId="77777777" w:rsidR="00D511A8" w:rsidRDefault="00D511A8" w:rsidP="000D602E">
            <w:pPr>
              <w:spacing w:after="0"/>
            </w:pPr>
            <w:r>
              <w:t>Interference protection</w:t>
            </w:r>
          </w:p>
        </w:tc>
        <w:tc>
          <w:tcPr>
            <w:tcW w:w="1701" w:type="dxa"/>
            <w:shd w:val="clear" w:color="auto" w:fill="FFFFFF" w:themeFill="background1"/>
          </w:tcPr>
          <w:p w14:paraId="71EFB204" w14:textId="77777777" w:rsidR="00D511A8" w:rsidRDefault="00D511A8" w:rsidP="000D602E">
            <w:pPr>
              <w:spacing w:after="0"/>
              <w:jc w:val="center"/>
            </w:pPr>
          </w:p>
        </w:tc>
        <w:tc>
          <w:tcPr>
            <w:tcW w:w="2410" w:type="dxa"/>
            <w:shd w:val="clear" w:color="auto" w:fill="FFFFFF" w:themeFill="background1"/>
          </w:tcPr>
          <w:p w14:paraId="138D325A"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5225C00C" w14:textId="77777777" w:rsidTr="00394C6B">
        <w:trPr>
          <w:jc w:val="center"/>
        </w:trPr>
        <w:tc>
          <w:tcPr>
            <w:tcW w:w="2263" w:type="dxa"/>
            <w:shd w:val="clear" w:color="auto" w:fill="E4E4E4"/>
          </w:tcPr>
          <w:p w14:paraId="3B80270A" w14:textId="3487F72F" w:rsidR="00D511A8" w:rsidRPr="00916A44" w:rsidRDefault="000D602E" w:rsidP="000D602E">
            <w:pPr>
              <w:spacing w:after="0"/>
              <w:jc w:val="center"/>
              <w:rPr>
                <w:b/>
              </w:rPr>
            </w:pPr>
            <w:r>
              <w:rPr>
                <w:b/>
              </w:rPr>
              <w:t>What rights d</w:t>
            </w:r>
            <w:r w:rsidRPr="00916A44">
              <w:rPr>
                <w:b/>
              </w:rPr>
              <w:t>o users have?</w:t>
            </w:r>
          </w:p>
        </w:tc>
        <w:tc>
          <w:tcPr>
            <w:tcW w:w="2552" w:type="dxa"/>
            <w:shd w:val="clear" w:color="auto" w:fill="FFFFFF" w:themeFill="background1"/>
          </w:tcPr>
          <w:p w14:paraId="3E666F0B" w14:textId="77777777" w:rsidR="00D511A8" w:rsidRDefault="00D511A8" w:rsidP="000D602E">
            <w:pPr>
              <w:spacing w:after="0"/>
            </w:pPr>
            <w:r>
              <w:t>Civil proceedings</w:t>
            </w:r>
          </w:p>
        </w:tc>
        <w:tc>
          <w:tcPr>
            <w:tcW w:w="1701" w:type="dxa"/>
            <w:shd w:val="clear" w:color="auto" w:fill="FFFFFF" w:themeFill="background1"/>
          </w:tcPr>
          <w:p w14:paraId="7ABECC9D" w14:textId="77777777" w:rsidR="00D511A8" w:rsidRDefault="00D511A8" w:rsidP="000D602E">
            <w:pPr>
              <w:spacing w:after="0"/>
              <w:jc w:val="center"/>
            </w:pPr>
          </w:p>
        </w:tc>
        <w:tc>
          <w:tcPr>
            <w:tcW w:w="2410" w:type="dxa"/>
            <w:shd w:val="clear" w:color="auto" w:fill="FFFFFF" w:themeFill="background1"/>
          </w:tcPr>
          <w:p w14:paraId="04BC9827"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6D4E2BF1" w14:textId="77777777" w:rsidTr="00394C6B">
        <w:trPr>
          <w:jc w:val="center"/>
        </w:trPr>
        <w:tc>
          <w:tcPr>
            <w:tcW w:w="2263" w:type="dxa"/>
            <w:shd w:val="clear" w:color="auto" w:fill="E4E4E4"/>
          </w:tcPr>
          <w:p w14:paraId="3AD31FAC" w14:textId="77777777" w:rsidR="00D511A8" w:rsidRPr="00916A44" w:rsidRDefault="00D511A8" w:rsidP="000D602E">
            <w:pPr>
              <w:spacing w:after="0"/>
              <w:jc w:val="center"/>
              <w:rPr>
                <w:b/>
              </w:rPr>
            </w:pPr>
            <w:r w:rsidRPr="00916A44">
              <w:rPr>
                <w:b/>
              </w:rPr>
              <w:t>What predictability do users have?</w:t>
            </w:r>
          </w:p>
        </w:tc>
        <w:tc>
          <w:tcPr>
            <w:tcW w:w="2552" w:type="dxa"/>
            <w:shd w:val="clear" w:color="auto" w:fill="FFFFFF" w:themeFill="background1"/>
          </w:tcPr>
          <w:p w14:paraId="5072EC17" w14:textId="77777777" w:rsidR="00D511A8" w:rsidRDefault="00D511A8" w:rsidP="000D602E">
            <w:pPr>
              <w:spacing w:after="0"/>
            </w:pPr>
            <w:r>
              <w:t>Regulatory undertakings</w:t>
            </w:r>
          </w:p>
        </w:tc>
        <w:tc>
          <w:tcPr>
            <w:tcW w:w="1701" w:type="dxa"/>
            <w:shd w:val="clear" w:color="auto" w:fill="FFFFFF" w:themeFill="background1"/>
          </w:tcPr>
          <w:p w14:paraId="63D809B1" w14:textId="77777777" w:rsidR="00D511A8" w:rsidRDefault="00D511A8" w:rsidP="000D602E">
            <w:pPr>
              <w:spacing w:after="0"/>
              <w:jc w:val="center"/>
            </w:pPr>
          </w:p>
        </w:tc>
        <w:tc>
          <w:tcPr>
            <w:tcW w:w="2410" w:type="dxa"/>
            <w:shd w:val="clear" w:color="auto" w:fill="FFFFFF" w:themeFill="background1"/>
          </w:tcPr>
          <w:p w14:paraId="71F8B53F"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259D5B6F" w14:textId="77777777" w:rsidTr="00394C6B">
        <w:trPr>
          <w:jc w:val="center"/>
        </w:trPr>
        <w:tc>
          <w:tcPr>
            <w:tcW w:w="2263" w:type="dxa"/>
            <w:shd w:val="clear" w:color="auto" w:fill="E4E4E4"/>
          </w:tcPr>
          <w:p w14:paraId="6AF8B8B4" w14:textId="684813BE" w:rsidR="00D511A8" w:rsidRPr="00916A44" w:rsidRDefault="000D602E" w:rsidP="000D602E">
            <w:pPr>
              <w:spacing w:after="0"/>
              <w:jc w:val="center"/>
              <w:rPr>
                <w:b/>
              </w:rPr>
            </w:pPr>
            <w:r w:rsidRPr="00916A44">
              <w:rPr>
                <w:b/>
              </w:rPr>
              <w:t>What predictability do users have?</w:t>
            </w:r>
          </w:p>
        </w:tc>
        <w:tc>
          <w:tcPr>
            <w:tcW w:w="2552" w:type="dxa"/>
            <w:shd w:val="clear" w:color="auto" w:fill="FFFFFF" w:themeFill="background1"/>
          </w:tcPr>
          <w:p w14:paraId="62D2D0D8" w14:textId="77777777" w:rsidR="00D511A8" w:rsidRDefault="00D511A8" w:rsidP="000D602E">
            <w:pPr>
              <w:spacing w:after="0"/>
            </w:pPr>
            <w:r>
              <w:t xml:space="preserve">Right to review decisions </w:t>
            </w:r>
          </w:p>
        </w:tc>
        <w:tc>
          <w:tcPr>
            <w:tcW w:w="1701" w:type="dxa"/>
            <w:shd w:val="clear" w:color="auto" w:fill="FFFFFF" w:themeFill="background1"/>
          </w:tcPr>
          <w:p w14:paraId="4CA2C742" w14:textId="77777777" w:rsidR="00D511A8" w:rsidRDefault="00D511A8" w:rsidP="000D602E">
            <w:pPr>
              <w:spacing w:after="0"/>
              <w:jc w:val="center"/>
            </w:pPr>
          </w:p>
        </w:tc>
        <w:tc>
          <w:tcPr>
            <w:tcW w:w="2410" w:type="dxa"/>
            <w:shd w:val="clear" w:color="auto" w:fill="FFFFFF" w:themeFill="background1"/>
          </w:tcPr>
          <w:p w14:paraId="1BC3122F"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12BF87F7" w14:textId="77777777" w:rsidTr="00394C6B">
        <w:trPr>
          <w:jc w:val="center"/>
        </w:trPr>
        <w:tc>
          <w:tcPr>
            <w:tcW w:w="2263" w:type="dxa"/>
            <w:shd w:val="clear" w:color="auto" w:fill="E4E4E4"/>
          </w:tcPr>
          <w:p w14:paraId="20C97A4E" w14:textId="302A4CAC" w:rsidR="00D511A8" w:rsidRPr="00916A44" w:rsidRDefault="000D602E" w:rsidP="000D602E">
            <w:pPr>
              <w:spacing w:after="0"/>
              <w:jc w:val="center"/>
              <w:rPr>
                <w:b/>
              </w:rPr>
            </w:pPr>
            <w:r w:rsidRPr="00916A44">
              <w:rPr>
                <w:b/>
              </w:rPr>
              <w:t>What predictability do users have?</w:t>
            </w:r>
          </w:p>
        </w:tc>
        <w:tc>
          <w:tcPr>
            <w:tcW w:w="2552" w:type="dxa"/>
            <w:shd w:val="clear" w:color="auto" w:fill="FFFFFF" w:themeFill="background1"/>
          </w:tcPr>
          <w:p w14:paraId="6C65D907" w14:textId="77777777" w:rsidR="00D511A8" w:rsidRDefault="00D511A8" w:rsidP="000D602E">
            <w:pPr>
              <w:spacing w:after="0"/>
            </w:pPr>
            <w:r>
              <w:t xml:space="preserve">End of term processes </w:t>
            </w:r>
          </w:p>
        </w:tc>
        <w:tc>
          <w:tcPr>
            <w:tcW w:w="1701" w:type="dxa"/>
            <w:shd w:val="clear" w:color="auto" w:fill="FFFFFF" w:themeFill="background1"/>
          </w:tcPr>
          <w:p w14:paraId="1A43C174" w14:textId="77777777" w:rsidR="00D511A8" w:rsidRDefault="00D511A8" w:rsidP="000D602E">
            <w:pPr>
              <w:spacing w:after="0"/>
              <w:jc w:val="center"/>
            </w:pPr>
          </w:p>
        </w:tc>
        <w:tc>
          <w:tcPr>
            <w:tcW w:w="2410" w:type="dxa"/>
            <w:shd w:val="clear" w:color="auto" w:fill="FFFFFF" w:themeFill="background1"/>
          </w:tcPr>
          <w:p w14:paraId="346145CD"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565C00E4" w14:textId="77777777" w:rsidTr="00394C6B">
        <w:trPr>
          <w:jc w:val="center"/>
        </w:trPr>
        <w:tc>
          <w:tcPr>
            <w:tcW w:w="2263" w:type="dxa"/>
            <w:shd w:val="clear" w:color="auto" w:fill="E4E4E4"/>
          </w:tcPr>
          <w:p w14:paraId="79B4B608" w14:textId="77777777" w:rsidR="00D511A8" w:rsidRPr="00916A44" w:rsidRDefault="00D511A8" w:rsidP="000D602E">
            <w:pPr>
              <w:spacing w:after="0"/>
              <w:jc w:val="center"/>
              <w:rPr>
                <w:b/>
              </w:rPr>
            </w:pPr>
            <w:r>
              <w:rPr>
                <w:b/>
              </w:rPr>
              <w:t>What obligations d</w:t>
            </w:r>
            <w:r w:rsidRPr="00916A44">
              <w:rPr>
                <w:b/>
              </w:rPr>
              <w:t>o users have?</w:t>
            </w:r>
          </w:p>
        </w:tc>
        <w:tc>
          <w:tcPr>
            <w:tcW w:w="2552" w:type="dxa"/>
            <w:shd w:val="clear" w:color="auto" w:fill="FFFFFF" w:themeFill="background1"/>
          </w:tcPr>
          <w:p w14:paraId="24B85588" w14:textId="77777777" w:rsidR="00D511A8" w:rsidRDefault="00D511A8" w:rsidP="000D602E">
            <w:pPr>
              <w:spacing w:after="0"/>
            </w:pPr>
            <w:r>
              <w:t>Payment required</w:t>
            </w:r>
          </w:p>
        </w:tc>
        <w:tc>
          <w:tcPr>
            <w:tcW w:w="1701" w:type="dxa"/>
            <w:shd w:val="clear" w:color="auto" w:fill="FFFFFF" w:themeFill="background1"/>
          </w:tcPr>
          <w:p w14:paraId="4EB6095D" w14:textId="77777777" w:rsidR="00D511A8" w:rsidRDefault="00D511A8" w:rsidP="000D602E">
            <w:pPr>
              <w:spacing w:after="0"/>
              <w:jc w:val="center"/>
            </w:pPr>
          </w:p>
        </w:tc>
        <w:tc>
          <w:tcPr>
            <w:tcW w:w="2410" w:type="dxa"/>
            <w:shd w:val="clear" w:color="auto" w:fill="FFFFFF" w:themeFill="background1"/>
          </w:tcPr>
          <w:p w14:paraId="38920F26"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54A9B6F3" w14:textId="77777777" w:rsidTr="00394C6B">
        <w:trPr>
          <w:jc w:val="center"/>
        </w:trPr>
        <w:tc>
          <w:tcPr>
            <w:tcW w:w="2263" w:type="dxa"/>
            <w:shd w:val="clear" w:color="auto" w:fill="E4E4E4"/>
          </w:tcPr>
          <w:p w14:paraId="229B0DBC" w14:textId="4DC5753F" w:rsidR="00D511A8" w:rsidRDefault="000D602E" w:rsidP="000D602E">
            <w:pPr>
              <w:spacing w:after="0"/>
              <w:jc w:val="center"/>
            </w:pPr>
            <w:r>
              <w:rPr>
                <w:b/>
              </w:rPr>
              <w:t>What obligations d</w:t>
            </w:r>
            <w:r w:rsidRPr="00916A44">
              <w:rPr>
                <w:b/>
              </w:rPr>
              <w:t>o users have?</w:t>
            </w:r>
          </w:p>
        </w:tc>
        <w:tc>
          <w:tcPr>
            <w:tcW w:w="2552" w:type="dxa"/>
            <w:shd w:val="clear" w:color="auto" w:fill="FFFFFF" w:themeFill="background1"/>
          </w:tcPr>
          <w:p w14:paraId="316AB625" w14:textId="77777777" w:rsidR="00D511A8" w:rsidRDefault="00D511A8" w:rsidP="000D602E">
            <w:pPr>
              <w:spacing w:after="0"/>
            </w:pPr>
            <w:r>
              <w:t xml:space="preserve">Taxable </w:t>
            </w:r>
          </w:p>
        </w:tc>
        <w:tc>
          <w:tcPr>
            <w:tcW w:w="1701" w:type="dxa"/>
            <w:shd w:val="clear" w:color="auto" w:fill="FFFFFF" w:themeFill="background1"/>
          </w:tcPr>
          <w:p w14:paraId="65DA82E7" w14:textId="77777777" w:rsidR="00D511A8" w:rsidRDefault="00D511A8" w:rsidP="000D602E">
            <w:pPr>
              <w:spacing w:after="0"/>
              <w:jc w:val="center"/>
            </w:pPr>
          </w:p>
        </w:tc>
        <w:tc>
          <w:tcPr>
            <w:tcW w:w="2410" w:type="dxa"/>
            <w:shd w:val="clear" w:color="auto" w:fill="FFFFFF" w:themeFill="background1"/>
          </w:tcPr>
          <w:p w14:paraId="0ADCD37A"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5811C9B2" w14:textId="77777777" w:rsidTr="00394C6B">
        <w:trPr>
          <w:jc w:val="center"/>
        </w:trPr>
        <w:tc>
          <w:tcPr>
            <w:tcW w:w="2263" w:type="dxa"/>
            <w:shd w:val="clear" w:color="auto" w:fill="E4E4E4"/>
          </w:tcPr>
          <w:p w14:paraId="0DDC7AFF" w14:textId="2B2FC6A2" w:rsidR="00D511A8" w:rsidRDefault="000D602E" w:rsidP="000D602E">
            <w:pPr>
              <w:spacing w:after="0"/>
              <w:jc w:val="center"/>
            </w:pPr>
            <w:r>
              <w:rPr>
                <w:b/>
              </w:rPr>
              <w:t>What obligations d</w:t>
            </w:r>
            <w:r w:rsidRPr="00916A44">
              <w:rPr>
                <w:b/>
              </w:rPr>
              <w:t>o users have?</w:t>
            </w:r>
          </w:p>
        </w:tc>
        <w:tc>
          <w:tcPr>
            <w:tcW w:w="2552" w:type="dxa"/>
            <w:shd w:val="clear" w:color="auto" w:fill="FFFFFF" w:themeFill="background1"/>
          </w:tcPr>
          <w:p w14:paraId="5E673FA2" w14:textId="77777777" w:rsidR="00D511A8" w:rsidRDefault="00D511A8" w:rsidP="000D602E">
            <w:pPr>
              <w:spacing w:after="0"/>
            </w:pPr>
            <w:r>
              <w:t>Requirement to register device</w:t>
            </w:r>
          </w:p>
        </w:tc>
        <w:tc>
          <w:tcPr>
            <w:tcW w:w="1701" w:type="dxa"/>
            <w:shd w:val="clear" w:color="auto" w:fill="FFFFFF" w:themeFill="background1"/>
          </w:tcPr>
          <w:p w14:paraId="3A011021" w14:textId="77777777" w:rsidR="00D511A8" w:rsidRDefault="00D511A8" w:rsidP="000D602E">
            <w:pPr>
              <w:spacing w:after="0"/>
              <w:jc w:val="center"/>
            </w:pPr>
          </w:p>
        </w:tc>
        <w:tc>
          <w:tcPr>
            <w:tcW w:w="2410" w:type="dxa"/>
            <w:shd w:val="clear" w:color="auto" w:fill="FFFFFF" w:themeFill="background1"/>
          </w:tcPr>
          <w:p w14:paraId="55D49981"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49D33B29" w14:textId="77777777" w:rsidTr="00394C6B">
        <w:trPr>
          <w:jc w:val="center"/>
        </w:trPr>
        <w:tc>
          <w:tcPr>
            <w:tcW w:w="2263" w:type="dxa"/>
            <w:shd w:val="clear" w:color="auto" w:fill="E4E4E4"/>
          </w:tcPr>
          <w:p w14:paraId="3D7397B8" w14:textId="62E3F909" w:rsidR="00D511A8" w:rsidRDefault="000D602E" w:rsidP="000D602E">
            <w:pPr>
              <w:spacing w:after="0"/>
              <w:jc w:val="center"/>
            </w:pPr>
            <w:r>
              <w:rPr>
                <w:b/>
              </w:rPr>
              <w:t>What obligations d</w:t>
            </w:r>
            <w:r w:rsidRPr="00916A44">
              <w:rPr>
                <w:b/>
              </w:rPr>
              <w:t>o users have?</w:t>
            </w:r>
          </w:p>
        </w:tc>
        <w:tc>
          <w:tcPr>
            <w:tcW w:w="2552" w:type="dxa"/>
            <w:shd w:val="clear" w:color="auto" w:fill="FFFFFF" w:themeFill="background1"/>
          </w:tcPr>
          <w:p w14:paraId="16903075" w14:textId="77777777" w:rsidR="00D511A8" w:rsidRDefault="00D511A8" w:rsidP="000D602E">
            <w:pPr>
              <w:spacing w:after="0"/>
            </w:pPr>
            <w:r>
              <w:t>Device certification</w:t>
            </w:r>
          </w:p>
        </w:tc>
        <w:tc>
          <w:tcPr>
            <w:tcW w:w="1701" w:type="dxa"/>
            <w:shd w:val="clear" w:color="auto" w:fill="FFFFFF" w:themeFill="background1"/>
          </w:tcPr>
          <w:p w14:paraId="349FBE57" w14:textId="77777777" w:rsidR="00D511A8" w:rsidRDefault="00D511A8" w:rsidP="000D602E">
            <w:pPr>
              <w:spacing w:after="0"/>
              <w:jc w:val="center"/>
            </w:pPr>
          </w:p>
        </w:tc>
        <w:tc>
          <w:tcPr>
            <w:tcW w:w="2410" w:type="dxa"/>
            <w:shd w:val="clear" w:color="auto" w:fill="FFFFFF" w:themeFill="background1"/>
          </w:tcPr>
          <w:p w14:paraId="6F55CE2B"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04DDEAE6" w14:textId="77777777" w:rsidTr="00394C6B">
        <w:trPr>
          <w:jc w:val="center"/>
        </w:trPr>
        <w:tc>
          <w:tcPr>
            <w:tcW w:w="2263" w:type="dxa"/>
            <w:shd w:val="clear" w:color="auto" w:fill="E4E4E4"/>
          </w:tcPr>
          <w:p w14:paraId="47917154" w14:textId="5ED5B359" w:rsidR="00D511A8" w:rsidRDefault="000D602E" w:rsidP="000D602E">
            <w:pPr>
              <w:spacing w:after="0"/>
              <w:jc w:val="center"/>
            </w:pPr>
            <w:r>
              <w:rPr>
                <w:b/>
              </w:rPr>
              <w:t>What obligations d</w:t>
            </w:r>
            <w:r w:rsidRPr="00916A44">
              <w:rPr>
                <w:b/>
              </w:rPr>
              <w:t>o users have?</w:t>
            </w:r>
          </w:p>
        </w:tc>
        <w:tc>
          <w:tcPr>
            <w:tcW w:w="2552" w:type="dxa"/>
            <w:shd w:val="clear" w:color="auto" w:fill="FFFFFF" w:themeFill="background1"/>
          </w:tcPr>
          <w:p w14:paraId="31B590C3" w14:textId="77777777" w:rsidR="00D511A8" w:rsidRDefault="00D511A8" w:rsidP="000D602E">
            <w:pPr>
              <w:spacing w:after="0"/>
            </w:pPr>
            <w:r>
              <w:t xml:space="preserve">Maximum duration </w:t>
            </w:r>
          </w:p>
        </w:tc>
        <w:tc>
          <w:tcPr>
            <w:tcW w:w="1701" w:type="dxa"/>
            <w:shd w:val="clear" w:color="auto" w:fill="FFFFFF" w:themeFill="background1"/>
          </w:tcPr>
          <w:p w14:paraId="1D7F5C3D" w14:textId="77777777" w:rsidR="00D511A8" w:rsidRDefault="00D511A8" w:rsidP="000D602E">
            <w:pPr>
              <w:spacing w:after="0"/>
              <w:jc w:val="center"/>
            </w:pPr>
          </w:p>
        </w:tc>
        <w:tc>
          <w:tcPr>
            <w:tcW w:w="2410" w:type="dxa"/>
            <w:shd w:val="clear" w:color="auto" w:fill="FFFFFF" w:themeFill="background1"/>
          </w:tcPr>
          <w:p w14:paraId="3A024A01"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1292E04C" w14:textId="77777777" w:rsidTr="00394C6B">
        <w:trPr>
          <w:jc w:val="center"/>
        </w:trPr>
        <w:tc>
          <w:tcPr>
            <w:tcW w:w="2263" w:type="dxa"/>
            <w:shd w:val="clear" w:color="auto" w:fill="E4E4E4"/>
          </w:tcPr>
          <w:p w14:paraId="5089278F" w14:textId="474E3872" w:rsidR="00D511A8" w:rsidRDefault="000D602E" w:rsidP="000D602E">
            <w:pPr>
              <w:spacing w:after="0"/>
              <w:jc w:val="center"/>
            </w:pPr>
            <w:r>
              <w:rPr>
                <w:b/>
              </w:rPr>
              <w:t>What obligations d</w:t>
            </w:r>
            <w:r w:rsidRPr="00916A44">
              <w:rPr>
                <w:b/>
              </w:rPr>
              <w:t>o users have?</w:t>
            </w:r>
          </w:p>
        </w:tc>
        <w:tc>
          <w:tcPr>
            <w:tcW w:w="2552" w:type="dxa"/>
            <w:shd w:val="clear" w:color="auto" w:fill="FFFFFF" w:themeFill="background1"/>
          </w:tcPr>
          <w:p w14:paraId="38BF8705" w14:textId="77777777" w:rsidR="00D511A8" w:rsidRDefault="00D511A8" w:rsidP="000D602E">
            <w:pPr>
              <w:spacing w:after="0"/>
            </w:pPr>
            <w:r>
              <w:t>Designated statements</w:t>
            </w:r>
          </w:p>
        </w:tc>
        <w:tc>
          <w:tcPr>
            <w:tcW w:w="1701" w:type="dxa"/>
            <w:shd w:val="clear" w:color="auto" w:fill="FFFFFF" w:themeFill="background1"/>
          </w:tcPr>
          <w:p w14:paraId="26AB9E23" w14:textId="77777777" w:rsidR="00D511A8" w:rsidRDefault="00D511A8" w:rsidP="000D602E">
            <w:pPr>
              <w:spacing w:after="0"/>
              <w:jc w:val="center"/>
            </w:pPr>
          </w:p>
        </w:tc>
        <w:tc>
          <w:tcPr>
            <w:tcW w:w="2410" w:type="dxa"/>
            <w:shd w:val="clear" w:color="auto" w:fill="FFFFFF" w:themeFill="background1"/>
          </w:tcPr>
          <w:p w14:paraId="20DE7DF5"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r w:rsidR="00D511A8" w14:paraId="3780C2E1" w14:textId="77777777" w:rsidTr="00394C6B">
        <w:trPr>
          <w:jc w:val="center"/>
        </w:trPr>
        <w:tc>
          <w:tcPr>
            <w:tcW w:w="2263" w:type="dxa"/>
            <w:shd w:val="clear" w:color="auto" w:fill="E4E4E4"/>
          </w:tcPr>
          <w:p w14:paraId="27B3713E" w14:textId="1ED84276" w:rsidR="00D511A8" w:rsidRDefault="000D602E" w:rsidP="000D602E">
            <w:pPr>
              <w:spacing w:after="0"/>
              <w:jc w:val="center"/>
            </w:pPr>
            <w:r>
              <w:rPr>
                <w:b/>
              </w:rPr>
              <w:t>What obligations d</w:t>
            </w:r>
            <w:r w:rsidRPr="00916A44">
              <w:rPr>
                <w:b/>
              </w:rPr>
              <w:t>o users have?</w:t>
            </w:r>
          </w:p>
        </w:tc>
        <w:tc>
          <w:tcPr>
            <w:tcW w:w="2552" w:type="dxa"/>
            <w:shd w:val="clear" w:color="auto" w:fill="FFFFFF" w:themeFill="background1"/>
          </w:tcPr>
          <w:p w14:paraId="2A0C22C1" w14:textId="77777777" w:rsidR="00D511A8" w:rsidRDefault="00D511A8" w:rsidP="000D602E">
            <w:pPr>
              <w:spacing w:after="0"/>
            </w:pPr>
            <w:r>
              <w:t>Conditions imposed by the ACMA</w:t>
            </w:r>
          </w:p>
        </w:tc>
        <w:tc>
          <w:tcPr>
            <w:tcW w:w="1701" w:type="dxa"/>
            <w:shd w:val="clear" w:color="auto" w:fill="FFFFFF" w:themeFill="background1"/>
          </w:tcPr>
          <w:p w14:paraId="2E9E07AD"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c>
          <w:tcPr>
            <w:tcW w:w="2410" w:type="dxa"/>
            <w:shd w:val="clear" w:color="auto" w:fill="FFFFFF" w:themeFill="background1"/>
          </w:tcPr>
          <w:p w14:paraId="7F994F36" w14:textId="77777777" w:rsidR="00D511A8" w:rsidRDefault="00D511A8" w:rsidP="000D602E">
            <w:pPr>
              <w:spacing w:after="0"/>
              <w:jc w:val="center"/>
            </w:pPr>
            <w:r w:rsidRPr="00532F86">
              <w:rPr>
                <w:rFonts w:ascii="Wingdings" w:eastAsia="Times New Roman" w:hAnsi="Wingdings" w:cs="Times New Roman"/>
                <w:color w:val="000000" w:themeColor="text1"/>
                <w:sz w:val="28"/>
                <w:szCs w:val="28"/>
                <w:lang w:eastAsia="en-AU"/>
              </w:rPr>
              <w:t></w:t>
            </w:r>
          </w:p>
        </w:tc>
      </w:tr>
    </w:tbl>
    <w:p w14:paraId="67F77EF6" w14:textId="77777777" w:rsidR="000D602E" w:rsidRPr="00D511A8" w:rsidRDefault="000D602E" w:rsidP="00693300"/>
    <w:p w14:paraId="7E652A74" w14:textId="50B77416" w:rsidR="00A10AAF" w:rsidRPr="00F42BD7" w:rsidRDefault="00A10AAF" w:rsidP="00783F2E">
      <w:pPr>
        <w:pStyle w:val="Heading3"/>
        <w:keepLines/>
      </w:pPr>
      <w:bookmarkStart w:id="41" w:name="_Toc480810862"/>
      <w:r w:rsidRPr="00F42BD7">
        <w:t xml:space="preserve">Certified operators (Part </w:t>
      </w:r>
      <w:r w:rsidR="00B61073">
        <w:t>8</w:t>
      </w:r>
      <w:r w:rsidRPr="00F42BD7">
        <w:t>)</w:t>
      </w:r>
      <w:bookmarkEnd w:id="41"/>
    </w:p>
    <w:p w14:paraId="62C65E05" w14:textId="516E2FDE" w:rsidR="003072B5" w:rsidRDefault="003072B5" w:rsidP="00783F2E">
      <w:pPr>
        <w:keepNext/>
        <w:keepLines/>
      </w:pPr>
      <w:r>
        <w:t>The complexity or potential for interference involved in the operation of certain classes of radiocommunications devices makes it necessary to certify their operators.</w:t>
      </w:r>
    </w:p>
    <w:p w14:paraId="3DA29B85" w14:textId="28ED53F3" w:rsidR="00564E03" w:rsidRDefault="003072B5" w:rsidP="00783F2E">
      <w:pPr>
        <w:keepLines/>
      </w:pPr>
      <w:r>
        <w:t xml:space="preserve">Part </w:t>
      </w:r>
      <w:r w:rsidR="00B61073">
        <w:t>8</w:t>
      </w:r>
      <w:r>
        <w:t xml:space="preserve"> of t</w:t>
      </w:r>
      <w:r w:rsidR="00564E03">
        <w:t xml:space="preserve">he Bill provides for </w:t>
      </w:r>
      <w:r w:rsidR="00147849">
        <w:t xml:space="preserve">the ACMA to establish </w:t>
      </w:r>
      <w:r w:rsidR="00092124">
        <w:t>certification rules</w:t>
      </w:r>
      <w:r w:rsidR="00564E03">
        <w:t xml:space="preserve">, </w:t>
      </w:r>
      <w:r w:rsidR="00BF261D">
        <w:t xml:space="preserve">setting out the certification requirements to be satisfied by persons </w:t>
      </w:r>
      <w:r w:rsidR="00564E03">
        <w:t xml:space="preserve">before </w:t>
      </w:r>
      <w:r w:rsidR="00BF261D">
        <w:t>they may operate</w:t>
      </w:r>
      <w:r w:rsidR="00564E03">
        <w:t xml:space="preserve"> prescribed classes of </w:t>
      </w:r>
      <w:r w:rsidR="00BF261D">
        <w:t>radiocommunications devices</w:t>
      </w:r>
      <w:r w:rsidR="00564E03">
        <w:t>.</w:t>
      </w:r>
      <w:r w:rsidR="00474F90">
        <w:t xml:space="preserve"> This Part satisfies requirements of the </w:t>
      </w:r>
      <w:r w:rsidR="00D23327">
        <w:t xml:space="preserve">International Telecommunications Union (ITU) </w:t>
      </w:r>
      <w:r w:rsidR="00474F90">
        <w:t xml:space="preserve">Radio Regulations, replacing the Qualified Operator provisions under the </w:t>
      </w:r>
      <w:r>
        <w:t xml:space="preserve">1992 </w:t>
      </w:r>
      <w:r w:rsidR="00474F90">
        <w:t>Act.</w:t>
      </w:r>
    </w:p>
    <w:p w14:paraId="32FB7570" w14:textId="71B2DDB7" w:rsidR="00A10AAF" w:rsidRDefault="00564E03" w:rsidP="00F42BD7">
      <w:r>
        <w:t xml:space="preserve">Consistent with </w:t>
      </w:r>
      <w:r w:rsidR="00147849">
        <w:t xml:space="preserve">the Government’s objective to </w:t>
      </w:r>
      <w:r>
        <w:t>facilitat</w:t>
      </w:r>
      <w:r w:rsidR="00147849">
        <w:t>e</w:t>
      </w:r>
      <w:r>
        <w:t xml:space="preserve"> user involvement in spectrum management, the Bill continues to enable the ACMA to delegate </w:t>
      </w:r>
      <w:r w:rsidR="003C3DC7">
        <w:t>the issuing of certificates to other bodies, including private entities and authorities of the Commonwealth.</w:t>
      </w:r>
    </w:p>
    <w:p w14:paraId="03FDF7A5" w14:textId="37B95D81" w:rsidR="00822DD5" w:rsidRPr="00F42BD7" w:rsidRDefault="00B07678" w:rsidP="00693300">
      <w:pPr>
        <w:pStyle w:val="Heading3"/>
      </w:pPr>
      <w:bookmarkStart w:id="42" w:name="_Toc480810863"/>
      <w:r>
        <w:t>Interference m</w:t>
      </w:r>
      <w:r w:rsidR="00822DD5" w:rsidRPr="00F42BD7">
        <w:t xml:space="preserve">anagement (Part </w:t>
      </w:r>
      <w:r w:rsidR="00B61073">
        <w:t>9</w:t>
      </w:r>
      <w:r w:rsidR="00822DD5" w:rsidRPr="00F42BD7">
        <w:t>)</w:t>
      </w:r>
      <w:bookmarkEnd w:id="42"/>
    </w:p>
    <w:p w14:paraId="5CAA5487" w14:textId="37C17CF9" w:rsidR="00A24339" w:rsidRPr="00F42BD7" w:rsidRDefault="00A24339" w:rsidP="00693300">
      <w:pPr>
        <w:pStyle w:val="Heading4"/>
      </w:pPr>
      <w:bookmarkStart w:id="43" w:name="_Toc480810864"/>
      <w:r w:rsidRPr="00F42BD7">
        <w:t>Dispute resolution</w:t>
      </w:r>
      <w:bookmarkEnd w:id="43"/>
    </w:p>
    <w:p w14:paraId="2C63F22A" w14:textId="4761170C" w:rsidR="00A24339" w:rsidRDefault="00F00FF2" w:rsidP="00693300">
      <w:r>
        <w:t xml:space="preserve">Part </w:t>
      </w:r>
      <w:r w:rsidR="00B61073">
        <w:t>9</w:t>
      </w:r>
      <w:r>
        <w:t xml:space="preserve"> of the Bill</w:t>
      </w:r>
      <w:r w:rsidR="0040143C">
        <w:t xml:space="preserve"> </w:t>
      </w:r>
      <w:r w:rsidR="00A24339">
        <w:t>introduces more flexible procedures to allow the resolution of interference disputes.</w:t>
      </w:r>
    </w:p>
    <w:p w14:paraId="5B03A6B9" w14:textId="72BE089D" w:rsidR="00D973A2" w:rsidRDefault="007F0C72" w:rsidP="00693300">
      <w:r w:rsidRPr="005113E8">
        <w:rPr>
          <w:rFonts w:cs="Arial"/>
        </w:rPr>
        <w:t xml:space="preserve">Many disputes may be able to be settled between licensees without the direct involvement of the ACMA. There are, however, </w:t>
      </w:r>
      <w:r>
        <w:rPr>
          <w:rFonts w:cs="Arial"/>
        </w:rPr>
        <w:t xml:space="preserve">currently </w:t>
      </w:r>
      <w:r w:rsidRPr="005113E8">
        <w:rPr>
          <w:rFonts w:cs="Arial"/>
        </w:rPr>
        <w:t>no established guidelines for licensees to take their own remedial actions</w:t>
      </w:r>
      <w:r>
        <w:rPr>
          <w:rFonts w:cs="Arial"/>
        </w:rPr>
        <w:t xml:space="preserve">. If the interference is not unlawful, the ACMA currently needs to direct parties to conciliation before being able to issue directions. </w:t>
      </w:r>
      <w:r w:rsidRPr="005113E8">
        <w:rPr>
          <w:rFonts w:cs="Arial"/>
        </w:rPr>
        <w:t xml:space="preserve">This can result in a lengthy, administratively redundant process. </w:t>
      </w:r>
      <w:r>
        <w:rPr>
          <w:rFonts w:cs="Arial"/>
        </w:rPr>
        <w:t>T</w:t>
      </w:r>
      <w:r w:rsidRPr="005113E8">
        <w:rPr>
          <w:rFonts w:cs="Arial"/>
        </w:rPr>
        <w:t>he new arrangements introduc</w:t>
      </w:r>
      <w:r>
        <w:rPr>
          <w:rFonts w:cs="Arial"/>
        </w:rPr>
        <w:t>e</w:t>
      </w:r>
      <w:r w:rsidRPr="005113E8">
        <w:rPr>
          <w:rFonts w:cs="Arial"/>
        </w:rPr>
        <w:t xml:space="preserve"> alternative dispute resolution guidelines </w:t>
      </w:r>
      <w:r>
        <w:rPr>
          <w:rFonts w:cs="Arial"/>
        </w:rPr>
        <w:t xml:space="preserve">for disputes between </w:t>
      </w:r>
      <w:r w:rsidRPr="008F299C">
        <w:t>licensees</w:t>
      </w:r>
      <w:r>
        <w:rPr>
          <w:rFonts w:cs="Arial"/>
        </w:rPr>
        <w:t>.</w:t>
      </w:r>
    </w:p>
    <w:p w14:paraId="51E065A3" w14:textId="7FD123A5" w:rsidR="00D973A2" w:rsidRDefault="00D973A2" w:rsidP="00693300">
      <w:pPr>
        <w:rPr>
          <w:rFonts w:cs="Arial"/>
        </w:rPr>
      </w:pPr>
      <w:r w:rsidRPr="005113E8">
        <w:rPr>
          <w:rFonts w:cs="Arial"/>
        </w:rPr>
        <w:t xml:space="preserve">The compliance framework set out in the Bill simplifies and streamlines the dispute resolution process so that licensees are </w:t>
      </w:r>
      <w:r>
        <w:rPr>
          <w:rFonts w:cs="Arial"/>
        </w:rPr>
        <w:t>encouraged</w:t>
      </w:r>
      <w:r w:rsidRPr="005113E8">
        <w:rPr>
          <w:rFonts w:cs="Arial"/>
        </w:rPr>
        <w:t xml:space="preserve">, where possible, to </w:t>
      </w:r>
      <w:r w:rsidR="003B030A">
        <w:rPr>
          <w:rFonts w:cs="Arial"/>
        </w:rPr>
        <w:t>establish</w:t>
      </w:r>
      <w:r w:rsidRPr="005113E8">
        <w:rPr>
          <w:rFonts w:cs="Arial"/>
        </w:rPr>
        <w:t xml:space="preserve"> dispute </w:t>
      </w:r>
      <w:r>
        <w:rPr>
          <w:rFonts w:cs="Arial"/>
        </w:rPr>
        <w:t xml:space="preserve">resolution </w:t>
      </w:r>
      <w:r w:rsidRPr="005113E8">
        <w:rPr>
          <w:rFonts w:cs="Arial"/>
        </w:rPr>
        <w:t>mechanism</w:t>
      </w:r>
      <w:r>
        <w:rPr>
          <w:rFonts w:cs="Arial"/>
        </w:rPr>
        <w:t>s</w:t>
      </w:r>
      <w:r w:rsidRPr="005113E8">
        <w:rPr>
          <w:rFonts w:cs="Arial"/>
        </w:rPr>
        <w:t xml:space="preserve"> between themselves.</w:t>
      </w:r>
      <w:r>
        <w:rPr>
          <w:rFonts w:cs="Arial"/>
        </w:rPr>
        <w:t xml:space="preserve"> </w:t>
      </w:r>
      <w:r w:rsidRPr="005113E8">
        <w:rPr>
          <w:rFonts w:cs="Arial"/>
        </w:rPr>
        <w:t>This allows licensees to remedy dispute</w:t>
      </w:r>
      <w:r>
        <w:rPr>
          <w:rFonts w:cs="Arial"/>
        </w:rPr>
        <w:t>s</w:t>
      </w:r>
      <w:r w:rsidRPr="005113E8">
        <w:rPr>
          <w:rFonts w:cs="Arial"/>
        </w:rPr>
        <w:t xml:space="preserve"> directly without the need </w:t>
      </w:r>
      <w:r>
        <w:rPr>
          <w:rFonts w:cs="Arial"/>
        </w:rPr>
        <w:t xml:space="preserve">to first complain to the </w:t>
      </w:r>
      <w:r w:rsidRPr="008F299C">
        <w:t>ACMA</w:t>
      </w:r>
      <w:r>
        <w:rPr>
          <w:rFonts w:cs="Arial"/>
        </w:rPr>
        <w:t>.</w:t>
      </w:r>
    </w:p>
    <w:p w14:paraId="5F8F5361" w14:textId="2C61FD9E" w:rsidR="00A62ED5" w:rsidRDefault="007F0C72" w:rsidP="00693300">
      <w:r>
        <w:t xml:space="preserve">The Bill </w:t>
      </w:r>
      <w:r w:rsidR="003B030A">
        <w:t>provides that</w:t>
      </w:r>
      <w:r w:rsidR="00A62ED5" w:rsidRPr="00E12556">
        <w:t xml:space="preserve"> interference management guidelines are a non-binding administrative document </w:t>
      </w:r>
      <w:r w:rsidR="003E7BFD">
        <w:t>giving</w:t>
      </w:r>
      <w:r w:rsidR="00A62ED5" w:rsidRPr="00E12556">
        <w:t xml:space="preserve"> guidance on the </w:t>
      </w:r>
      <w:r w:rsidR="0066473F">
        <w:t xml:space="preserve">procedures the ACMA expects licensees to follow </w:t>
      </w:r>
      <w:r w:rsidR="00A62ED5" w:rsidRPr="00E12556">
        <w:t xml:space="preserve">before seeking the ACMA’s assistance. These guidelines </w:t>
      </w:r>
      <w:r w:rsidR="00A62ED5">
        <w:t xml:space="preserve">do not </w:t>
      </w:r>
      <w:r w:rsidR="00A62ED5" w:rsidRPr="00E12556">
        <w:t>diminish the ACMA’s role in managing interference</w:t>
      </w:r>
      <w:r w:rsidR="0066473F">
        <w:t xml:space="preserve"> nor its role in enforcing unlawful conduct under the Bill</w:t>
      </w:r>
      <w:r w:rsidR="003B030A">
        <w:t>.</w:t>
      </w:r>
    </w:p>
    <w:p w14:paraId="0E2101F6" w14:textId="3B683217" w:rsidR="00822DD5" w:rsidRPr="00D973A2" w:rsidRDefault="00E214C3" w:rsidP="00693300">
      <w:pPr>
        <w:rPr>
          <w:rFonts w:cs="Arial"/>
        </w:rPr>
      </w:pPr>
      <w:r>
        <w:t xml:space="preserve">To maximise the ACMA’s ability to match a dispute with a suitable form of alternative dispute resolution, </w:t>
      </w:r>
      <w:r w:rsidR="00E1173B">
        <w:t xml:space="preserve">the Bill expressly allows the ACMA to either conduct </w:t>
      </w:r>
      <w:r>
        <w:t xml:space="preserve">its own </w:t>
      </w:r>
      <w:r w:rsidR="00B274BA">
        <w:t xml:space="preserve">dispute resolution </w:t>
      </w:r>
      <w:r w:rsidR="00E1173B">
        <w:t>process</w:t>
      </w:r>
      <w:r>
        <w:t xml:space="preserve"> </w:t>
      </w:r>
      <w:r w:rsidR="00E1173B">
        <w:t xml:space="preserve">or to refer the dispute to external providers of </w:t>
      </w:r>
      <w:r w:rsidR="00B274BA">
        <w:t xml:space="preserve">alternative dispute resolution </w:t>
      </w:r>
      <w:r w:rsidR="00E1173B">
        <w:t>services.</w:t>
      </w:r>
      <w:r w:rsidR="00D973A2">
        <w:t xml:space="preserve"> </w:t>
      </w:r>
      <w:r w:rsidR="00D973A2" w:rsidRPr="005113E8">
        <w:rPr>
          <w:rFonts w:cs="Arial"/>
        </w:rPr>
        <w:t xml:space="preserve">The ACMA </w:t>
      </w:r>
      <w:r w:rsidR="006B026C">
        <w:rPr>
          <w:rFonts w:cs="Arial"/>
        </w:rPr>
        <w:t xml:space="preserve">may </w:t>
      </w:r>
      <w:r w:rsidR="00D973A2" w:rsidRPr="005113E8">
        <w:rPr>
          <w:rFonts w:cs="Arial"/>
        </w:rPr>
        <w:t xml:space="preserve">become involved in the dispute if the mediator believes no resolution is possible, or if the offence is considered especially serious, such as if the interference threatens public safety or causes harm to </w:t>
      </w:r>
      <w:r w:rsidR="00D973A2" w:rsidRPr="008F299C">
        <w:t>persons</w:t>
      </w:r>
      <w:r w:rsidR="00D973A2" w:rsidRPr="005113E8">
        <w:rPr>
          <w:rFonts w:cs="Arial"/>
        </w:rPr>
        <w:t xml:space="preserve"> or property.</w:t>
      </w:r>
    </w:p>
    <w:p w14:paraId="1AD55C26" w14:textId="7338A568" w:rsidR="00A24339" w:rsidRPr="00F42BD7" w:rsidRDefault="00A24339" w:rsidP="00693300">
      <w:pPr>
        <w:pStyle w:val="Heading4"/>
      </w:pPr>
      <w:bookmarkStart w:id="44" w:name="_Toc480810865"/>
      <w:r w:rsidRPr="00F42BD7">
        <w:t>Causing interference</w:t>
      </w:r>
      <w:bookmarkEnd w:id="44"/>
    </w:p>
    <w:p w14:paraId="2AB37F33" w14:textId="77777777" w:rsidR="001751BB" w:rsidRDefault="009A103B">
      <w:r>
        <w:t>The Bill provides the option of criminal and civil penalties (depending on the situation) for conduct causing substantial interference, disturbance or disruption to radiocommunications, and for transmitting radio or television programs into Australia from outside Australia without the ACMA’s permission.</w:t>
      </w:r>
    </w:p>
    <w:p w14:paraId="7E06D2D9" w14:textId="5557F735" w:rsidR="006137EF" w:rsidRPr="00F42BD7" w:rsidRDefault="006137EF" w:rsidP="00693300">
      <w:pPr>
        <w:pStyle w:val="Heading4"/>
      </w:pPr>
      <w:bookmarkStart w:id="45" w:name="_Toc480810866"/>
      <w:r w:rsidRPr="00F42BD7">
        <w:t>Directions to licensees</w:t>
      </w:r>
      <w:r>
        <w:t xml:space="preserve"> and powers of inspectors</w:t>
      </w:r>
      <w:bookmarkEnd w:id="45"/>
    </w:p>
    <w:p w14:paraId="5ADADDD1" w14:textId="75C730EA" w:rsidR="006137EF" w:rsidRDefault="006137EF">
      <w:r>
        <w:t>To further assist the management of interference, the ACMA is enabled to give written directions to licensees in regard to the installation, maintenance or operation of transmitters</w:t>
      </w:r>
      <w:r w:rsidR="00B274BA">
        <w:t>. F</w:t>
      </w:r>
      <w:r w:rsidR="00EF1445">
        <w:t xml:space="preserve">ailure to comply with the direction </w:t>
      </w:r>
      <w:r w:rsidR="00B274BA">
        <w:t>is an offence of strict liability.</w:t>
      </w:r>
    </w:p>
    <w:p w14:paraId="102BB9F3" w14:textId="27B0016D" w:rsidR="00157DE2" w:rsidRPr="00F72695" w:rsidRDefault="005F4A24" w:rsidP="00F42BD7">
      <w:r>
        <w:t>In the most serious circumstances, interference to radiocommunications may endanger safety or human life</w:t>
      </w:r>
      <w:r w:rsidR="00934DA3">
        <w:t>, or cause substantial damage</w:t>
      </w:r>
      <w:r>
        <w:t xml:space="preserve">. In </w:t>
      </w:r>
      <w:r w:rsidR="00CB0FB9">
        <w:t xml:space="preserve">those </w:t>
      </w:r>
      <w:r>
        <w:t>circumstances, the Bill provides inspectors with the power to enter premises and vehicles and take action necessary to address the interference.</w:t>
      </w:r>
    </w:p>
    <w:p w14:paraId="72581E6F" w14:textId="7C6DCB6D" w:rsidR="00B33A66" w:rsidRPr="00F42BD7" w:rsidRDefault="00B33A66" w:rsidP="00693300">
      <w:pPr>
        <w:pStyle w:val="Heading3"/>
      </w:pPr>
      <w:bookmarkStart w:id="46" w:name="_Toc480810867"/>
      <w:r w:rsidRPr="00F42BD7">
        <w:t xml:space="preserve">Equipment (Part </w:t>
      </w:r>
      <w:r w:rsidR="00B61073">
        <w:t>10</w:t>
      </w:r>
      <w:r w:rsidRPr="00F42BD7">
        <w:t>)</w:t>
      </w:r>
      <w:bookmarkEnd w:id="46"/>
    </w:p>
    <w:p w14:paraId="39948E26" w14:textId="0A4C140C" w:rsidR="00B33A66" w:rsidRPr="00CC7744" w:rsidRDefault="00B33A66" w:rsidP="00693300">
      <w:pPr>
        <w:rPr>
          <w:rFonts w:cs="Arial"/>
        </w:rPr>
      </w:pPr>
      <w:r w:rsidRPr="00CC7744">
        <w:rPr>
          <w:rFonts w:cs="Arial"/>
        </w:rPr>
        <w:t>The 1992 Act recognised that setting technical standards for equipment was an important tool for achieving efficiency in spectrum use and in minimising interference. Equipment regulation also manages health and safety risks associated with the supply and operation of equipment. Technical standards applied to devices at the point of supply promote market certainty</w:t>
      </w:r>
      <w:r w:rsidR="00AE109D">
        <w:rPr>
          <w:rFonts w:cs="Arial"/>
        </w:rPr>
        <w:t>,</w:t>
      </w:r>
      <w:r w:rsidRPr="00CC7744">
        <w:rPr>
          <w:rFonts w:cs="Arial"/>
        </w:rPr>
        <w:t xml:space="preserve"> </w:t>
      </w:r>
      <w:r w:rsidR="00AE109D">
        <w:rPr>
          <w:rFonts w:cs="Arial"/>
        </w:rPr>
        <w:t xml:space="preserve">while </w:t>
      </w:r>
      <w:r w:rsidRPr="00CC7744">
        <w:rPr>
          <w:rFonts w:cs="Arial"/>
        </w:rPr>
        <w:t xml:space="preserve">record-keeping and labelling </w:t>
      </w:r>
      <w:r w:rsidRPr="008F299C">
        <w:t>obligations</w:t>
      </w:r>
      <w:r w:rsidRPr="00CC7744">
        <w:rPr>
          <w:rFonts w:cs="Arial"/>
        </w:rPr>
        <w:t xml:space="preserve"> promote user confidence that equipment is compliant with </w:t>
      </w:r>
      <w:r w:rsidR="00983B9D">
        <w:rPr>
          <w:rFonts w:cs="Arial"/>
        </w:rPr>
        <w:t>regulations</w:t>
      </w:r>
      <w:r w:rsidRPr="00CC7744">
        <w:rPr>
          <w:rFonts w:cs="Arial"/>
        </w:rPr>
        <w:t>.</w:t>
      </w:r>
    </w:p>
    <w:p w14:paraId="131E0B2B" w14:textId="2F47D800" w:rsidR="00B33A66" w:rsidRPr="00851BA4" w:rsidRDefault="00B33A66" w:rsidP="00693300">
      <w:pPr>
        <w:rPr>
          <w:rFonts w:eastAsia="Times New Roman" w:cs="Arial"/>
          <w:lang w:eastAsia="en-AU"/>
        </w:rPr>
      </w:pPr>
      <w:r w:rsidRPr="00CC7744">
        <w:rPr>
          <w:rFonts w:cs="Arial"/>
        </w:rPr>
        <w:t xml:space="preserve">The approach to equipment regulation under the 1992 Act, however, has not kept pace with the changes in supply models. As the ACMA’s paper on Equipment Rules argues, modern supply chains are more complex and diffuse than </w:t>
      </w:r>
      <w:r w:rsidR="007A0E8E">
        <w:rPr>
          <w:rFonts w:cs="Arial"/>
        </w:rPr>
        <w:t xml:space="preserve">they were </w:t>
      </w:r>
      <w:r w:rsidRPr="00CC7744">
        <w:rPr>
          <w:rFonts w:cs="Arial"/>
        </w:rPr>
        <w:t>25 years ago</w:t>
      </w:r>
      <w:r w:rsidR="002F2F2F">
        <w:rPr>
          <w:rFonts w:cs="Arial"/>
        </w:rPr>
        <w:t xml:space="preserve">. </w:t>
      </w:r>
      <w:r w:rsidRPr="00CC7744">
        <w:rPr>
          <w:rFonts w:cs="Arial"/>
        </w:rPr>
        <w:t xml:space="preserve">As a result, the </w:t>
      </w:r>
      <w:r w:rsidR="00ED60B9">
        <w:rPr>
          <w:rFonts w:cs="Arial"/>
        </w:rPr>
        <w:t xml:space="preserve">1992 </w:t>
      </w:r>
      <w:r w:rsidRPr="00CC7744">
        <w:rPr>
          <w:rFonts w:cs="Arial"/>
        </w:rPr>
        <w:t xml:space="preserve">Act does not enable the ACMA to target persons </w:t>
      </w:r>
      <w:r w:rsidR="00AD4A51">
        <w:rPr>
          <w:rFonts w:cs="Arial"/>
        </w:rPr>
        <w:t xml:space="preserve">responsible for device compliance </w:t>
      </w:r>
      <w:r w:rsidRPr="00CC7744">
        <w:rPr>
          <w:rFonts w:cs="Arial"/>
        </w:rPr>
        <w:t xml:space="preserve">in a supply chain. In addition, </w:t>
      </w:r>
      <w:r w:rsidR="003E7BFD">
        <w:rPr>
          <w:rFonts w:cs="Arial"/>
        </w:rPr>
        <w:t>rules regarding</w:t>
      </w:r>
      <w:r w:rsidRPr="00CC7744">
        <w:rPr>
          <w:rFonts w:cs="Arial"/>
        </w:rPr>
        <w:t xml:space="preserve"> </w:t>
      </w:r>
      <w:r>
        <w:rPr>
          <w:rFonts w:cs="Arial"/>
        </w:rPr>
        <w:t>standards and labelling</w:t>
      </w:r>
      <w:r w:rsidRPr="00CC7744">
        <w:rPr>
          <w:rFonts w:cs="Arial"/>
        </w:rPr>
        <w:t xml:space="preserve"> are </w:t>
      </w:r>
      <w:r w:rsidR="001B7476">
        <w:rPr>
          <w:rFonts w:cs="Arial"/>
        </w:rPr>
        <w:t xml:space="preserve">currently </w:t>
      </w:r>
      <w:r w:rsidRPr="00CC7744">
        <w:rPr>
          <w:rFonts w:cs="Arial"/>
        </w:rPr>
        <w:t xml:space="preserve">enforceable only through criminal sanctions. </w:t>
      </w:r>
      <w:r w:rsidR="00ED60B9">
        <w:rPr>
          <w:rFonts w:cs="Arial"/>
        </w:rPr>
        <w:t xml:space="preserve">Consultation to date has reinforced </w:t>
      </w:r>
      <w:r w:rsidRPr="00851BA4">
        <w:rPr>
          <w:rFonts w:eastAsia="Times New Roman" w:cs="Arial"/>
          <w:lang w:eastAsia="en-AU"/>
        </w:rPr>
        <w:t xml:space="preserve">the importance of the ACMA </w:t>
      </w:r>
      <w:r w:rsidR="00523D23">
        <w:rPr>
          <w:rFonts w:eastAsia="Times New Roman" w:cs="Arial"/>
          <w:lang w:eastAsia="en-AU"/>
        </w:rPr>
        <w:t xml:space="preserve">being </w:t>
      </w:r>
      <w:r w:rsidRPr="00851BA4">
        <w:rPr>
          <w:rFonts w:eastAsia="Times New Roman" w:cs="Arial"/>
          <w:lang w:eastAsia="en-AU"/>
        </w:rPr>
        <w:t>able to regulate both radiocommunications transmitters and non-radiocommunications transmitters and to monitor</w:t>
      </w:r>
      <w:r w:rsidR="00AD4A51">
        <w:rPr>
          <w:rFonts w:eastAsia="Times New Roman" w:cs="Arial"/>
          <w:lang w:eastAsia="en-AU"/>
        </w:rPr>
        <w:t xml:space="preserve"> </w:t>
      </w:r>
      <w:r w:rsidR="00AD4A51" w:rsidRPr="00693300">
        <w:t>electromagnetic</w:t>
      </w:r>
      <w:r w:rsidR="00AD4A51">
        <w:rPr>
          <w:rFonts w:eastAsia="Times New Roman" w:cs="Arial"/>
          <w:lang w:eastAsia="en-AU"/>
        </w:rPr>
        <w:t xml:space="preserve"> emissions</w:t>
      </w:r>
      <w:r w:rsidRPr="00851BA4">
        <w:rPr>
          <w:rFonts w:eastAsia="Times New Roman" w:cs="Arial"/>
          <w:lang w:eastAsia="en-AU"/>
        </w:rPr>
        <w:t>.</w:t>
      </w:r>
    </w:p>
    <w:p w14:paraId="029F2F6A" w14:textId="3877FFD5" w:rsidR="00B33A66" w:rsidRPr="00F42BD7" w:rsidRDefault="00B33A66" w:rsidP="00693300">
      <w:pPr>
        <w:rPr>
          <w:rFonts w:cs="Arial"/>
        </w:rPr>
      </w:pPr>
      <w:r w:rsidRPr="00CC7744">
        <w:rPr>
          <w:rFonts w:cs="Arial"/>
        </w:rPr>
        <w:t xml:space="preserve">The Bill consolidates a </w:t>
      </w:r>
      <w:r w:rsidR="00767F94">
        <w:rPr>
          <w:rFonts w:cs="Arial"/>
        </w:rPr>
        <w:t>number</w:t>
      </w:r>
      <w:r w:rsidRPr="00CC7744">
        <w:rPr>
          <w:rFonts w:cs="Arial"/>
        </w:rPr>
        <w:t xml:space="preserve"> of provisions </w:t>
      </w:r>
      <w:r w:rsidR="00767F94">
        <w:rPr>
          <w:rFonts w:cs="Arial"/>
        </w:rPr>
        <w:t xml:space="preserve">contained </w:t>
      </w:r>
      <w:r w:rsidR="00ED60B9">
        <w:rPr>
          <w:rFonts w:cs="Arial"/>
        </w:rPr>
        <w:t xml:space="preserve">in the 1992 Act </w:t>
      </w:r>
      <w:r w:rsidRPr="00CC7744">
        <w:rPr>
          <w:rFonts w:cs="Arial"/>
        </w:rPr>
        <w:t>into what will be termed ‘equipment rules’.</w:t>
      </w:r>
      <w:r w:rsidR="00A508F4">
        <w:rPr>
          <w:rFonts w:cs="Arial"/>
        </w:rPr>
        <w:t xml:space="preserve"> The Bill gives the ACMA a broad power to make equipment rules, directed towards the achievement of specified objectives including containing interference from transmitters, ensuring electromagnetic compatibility of equipment, protecting health and safety from adverse effects attributable to radio emissions and the provision of information to equipme</w:t>
      </w:r>
      <w:r w:rsidR="0062529C">
        <w:rPr>
          <w:rFonts w:cs="Arial"/>
        </w:rPr>
        <w:t>nt operators</w:t>
      </w:r>
      <w:r w:rsidRPr="00CC7744">
        <w:rPr>
          <w:rFonts w:cs="Arial"/>
        </w:rPr>
        <w:t>.</w:t>
      </w:r>
      <w:r w:rsidR="00A508F4">
        <w:rPr>
          <w:rFonts w:cs="Arial"/>
        </w:rPr>
        <w:t xml:space="preserve"> </w:t>
      </w:r>
      <w:r w:rsidR="00ED60B9">
        <w:rPr>
          <w:rFonts w:cs="Arial"/>
        </w:rPr>
        <w:t>T</w:t>
      </w:r>
      <w:r w:rsidR="00A508F4">
        <w:rPr>
          <w:rFonts w:cs="Arial"/>
        </w:rPr>
        <w:t xml:space="preserve">he Bill gives the </w:t>
      </w:r>
      <w:r w:rsidRPr="00CC7744">
        <w:rPr>
          <w:rFonts w:cs="Arial"/>
        </w:rPr>
        <w:t>ACMA greater flexibility in identifying who is responsible for device compliance.</w:t>
      </w:r>
      <w:r w:rsidR="00106320">
        <w:rPr>
          <w:rFonts w:cs="Arial"/>
        </w:rPr>
        <w:t xml:space="preserve"> </w:t>
      </w:r>
      <w:r w:rsidRPr="00CC7744">
        <w:rPr>
          <w:rFonts w:cs="Arial"/>
        </w:rPr>
        <w:t xml:space="preserve">The Bill </w:t>
      </w:r>
      <w:r w:rsidR="00523D23">
        <w:rPr>
          <w:rFonts w:cs="Arial"/>
        </w:rPr>
        <w:t xml:space="preserve">continues to make provision for </w:t>
      </w:r>
      <w:r w:rsidRPr="00CC7744">
        <w:rPr>
          <w:rFonts w:cs="Arial"/>
        </w:rPr>
        <w:t xml:space="preserve">fundamental elements of the </w:t>
      </w:r>
      <w:r>
        <w:rPr>
          <w:rFonts w:cs="Arial"/>
        </w:rPr>
        <w:t>technical</w:t>
      </w:r>
      <w:r w:rsidRPr="00CC7744">
        <w:rPr>
          <w:rFonts w:cs="Arial"/>
        </w:rPr>
        <w:t xml:space="preserve"> regulation arrangements under the 1992 Act, </w:t>
      </w:r>
      <w:r w:rsidRPr="008F299C">
        <w:t>including</w:t>
      </w:r>
      <w:r w:rsidRPr="00CC7744">
        <w:rPr>
          <w:rFonts w:cs="Arial"/>
        </w:rPr>
        <w:t xml:space="preserve"> standards, testing requirements</w:t>
      </w:r>
      <w:r>
        <w:rPr>
          <w:rFonts w:cs="Arial"/>
        </w:rPr>
        <w:t>, labelling and record-keeping.</w:t>
      </w:r>
    </w:p>
    <w:p w14:paraId="2FEAB13A" w14:textId="064D1614" w:rsidR="00B33A66" w:rsidRPr="0012154B" w:rsidRDefault="00B33A66" w:rsidP="00693300">
      <w:pPr>
        <w:rPr>
          <w:rFonts w:cs="Arial"/>
        </w:rPr>
      </w:pPr>
      <w:r>
        <w:rPr>
          <w:rFonts w:cs="Arial"/>
        </w:rPr>
        <w:t>The Bill</w:t>
      </w:r>
      <w:r w:rsidRPr="00CC7744">
        <w:rPr>
          <w:rFonts w:cs="Arial"/>
        </w:rPr>
        <w:t xml:space="preserve"> </w:t>
      </w:r>
      <w:r w:rsidR="00A508F4">
        <w:rPr>
          <w:rFonts w:cs="Arial"/>
        </w:rPr>
        <w:t>provides</w:t>
      </w:r>
      <w:r w:rsidR="00A508F4" w:rsidRPr="00CC7744">
        <w:rPr>
          <w:rFonts w:cs="Arial"/>
        </w:rPr>
        <w:t xml:space="preserve"> </w:t>
      </w:r>
      <w:r w:rsidR="00934DA3">
        <w:rPr>
          <w:rFonts w:cs="Arial"/>
        </w:rPr>
        <w:t xml:space="preserve">criminal and </w:t>
      </w:r>
      <w:r w:rsidRPr="00CC7744">
        <w:rPr>
          <w:rFonts w:cs="Arial"/>
        </w:rPr>
        <w:t>civil remedies for breaches</w:t>
      </w:r>
      <w:r w:rsidR="00A508F4">
        <w:rPr>
          <w:rFonts w:cs="Arial"/>
        </w:rPr>
        <w:t xml:space="preserve"> of the equipment rules</w:t>
      </w:r>
      <w:r w:rsidRPr="00CC7744">
        <w:rPr>
          <w:rFonts w:cs="Arial"/>
        </w:rPr>
        <w:t xml:space="preserve">, reducing the evidentiary burden on the ACMA. </w:t>
      </w:r>
      <w:r>
        <w:rPr>
          <w:rFonts w:cs="Arial"/>
        </w:rPr>
        <w:t>Other</w:t>
      </w:r>
      <w:r w:rsidRPr="00CC7744">
        <w:rPr>
          <w:rFonts w:cs="Arial"/>
        </w:rPr>
        <w:t xml:space="preserve"> remedies include the ability to issue interim</w:t>
      </w:r>
      <w:r w:rsidR="00934DA3">
        <w:rPr>
          <w:rFonts w:cs="Arial"/>
        </w:rPr>
        <w:t xml:space="preserve"> or permanent</w:t>
      </w:r>
      <w:r w:rsidRPr="00CC7744">
        <w:rPr>
          <w:rFonts w:cs="Arial"/>
        </w:rPr>
        <w:t xml:space="preserve"> bans, recall non-compliant devices and issue infringement notices to non-compliant users. These </w:t>
      </w:r>
      <w:r>
        <w:rPr>
          <w:rFonts w:cs="Arial"/>
        </w:rPr>
        <w:t xml:space="preserve">remedies </w:t>
      </w:r>
      <w:r w:rsidRPr="00CC7744">
        <w:rPr>
          <w:rFonts w:cs="Arial"/>
        </w:rPr>
        <w:t xml:space="preserve">will act as a deterrent to </w:t>
      </w:r>
      <w:r w:rsidRPr="0012154B">
        <w:rPr>
          <w:rFonts w:cs="Arial"/>
        </w:rPr>
        <w:t xml:space="preserve">non-compliance, and bring </w:t>
      </w:r>
      <w:r w:rsidR="004426AC">
        <w:rPr>
          <w:rFonts w:cs="Arial"/>
        </w:rPr>
        <w:t xml:space="preserve">the </w:t>
      </w:r>
      <w:r w:rsidRPr="0012154B">
        <w:rPr>
          <w:rFonts w:cs="Arial"/>
        </w:rPr>
        <w:t xml:space="preserve">ACMA into line with other Australian and </w:t>
      </w:r>
      <w:r w:rsidR="00523D23" w:rsidRPr="008F299C">
        <w:t>i</w:t>
      </w:r>
      <w:r w:rsidRPr="00693300">
        <w:t>nternational</w:t>
      </w:r>
      <w:r w:rsidRPr="0012154B">
        <w:rPr>
          <w:rFonts w:cs="Arial"/>
        </w:rPr>
        <w:t xml:space="preserve"> regulators.</w:t>
      </w:r>
    </w:p>
    <w:p w14:paraId="599DCEFE" w14:textId="4B387195" w:rsidR="00B33A66" w:rsidRPr="00851BA4" w:rsidRDefault="0012154B" w:rsidP="00693300">
      <w:pPr>
        <w:rPr>
          <w:rFonts w:eastAsia="Times New Roman" w:cs="Arial"/>
          <w:lang w:eastAsia="en-AU"/>
        </w:rPr>
      </w:pPr>
      <w:r>
        <w:rPr>
          <w:rFonts w:eastAsia="Times New Roman" w:cs="Arial"/>
          <w:lang w:eastAsia="en-AU"/>
        </w:rPr>
        <w:t>In addition, e</w:t>
      </w:r>
      <w:r w:rsidR="00B33A66" w:rsidRPr="0012154B">
        <w:rPr>
          <w:rFonts w:cs="Arial"/>
        </w:rPr>
        <w:t>nabling</w:t>
      </w:r>
      <w:r w:rsidR="00B33A66" w:rsidRPr="0012154B">
        <w:rPr>
          <w:rFonts w:eastAsia="Times New Roman" w:cs="Arial"/>
          <w:lang w:eastAsia="en-AU"/>
        </w:rPr>
        <w:t xml:space="preserve"> the ACMA to make rules and standards specific to the device or across a class of devices</w:t>
      </w:r>
      <w:r w:rsidRPr="0012154B">
        <w:rPr>
          <w:rFonts w:eastAsia="Times New Roman" w:cs="Arial"/>
          <w:lang w:eastAsia="en-AU"/>
        </w:rPr>
        <w:t xml:space="preserve"> increases regulatory flexibility</w:t>
      </w:r>
      <w:r w:rsidR="00ED60B9">
        <w:rPr>
          <w:rFonts w:eastAsia="Times New Roman" w:cs="Arial"/>
          <w:lang w:eastAsia="en-AU"/>
        </w:rPr>
        <w:t>.</w:t>
      </w:r>
    </w:p>
    <w:p w14:paraId="5A0CE71F" w14:textId="75938EF2" w:rsidR="00CA3600" w:rsidRPr="00F42BD7" w:rsidRDefault="00B07678" w:rsidP="00693300">
      <w:pPr>
        <w:pStyle w:val="Heading3"/>
      </w:pPr>
      <w:bookmarkStart w:id="47" w:name="_Toc480810868"/>
      <w:r>
        <w:t>Emergency o</w:t>
      </w:r>
      <w:r w:rsidR="00B33A66" w:rsidRPr="00F42BD7">
        <w:t>rders (Part 1</w:t>
      </w:r>
      <w:r w:rsidR="00B61073">
        <w:t>1</w:t>
      </w:r>
      <w:r w:rsidR="00B33A66" w:rsidRPr="00F42BD7">
        <w:t>)</w:t>
      </w:r>
      <w:bookmarkEnd w:id="47"/>
    </w:p>
    <w:p w14:paraId="6DE1194B" w14:textId="1A4E79F8" w:rsidR="00585000" w:rsidRDefault="005B59C8">
      <w:r>
        <w:t xml:space="preserve">Radiocommunications are of critical importance to response </w:t>
      </w:r>
      <w:r w:rsidR="00ED60B9">
        <w:t>services in times of emergency.</w:t>
      </w:r>
    </w:p>
    <w:p w14:paraId="50E80B42" w14:textId="5E83BE1A" w:rsidR="00377FD3" w:rsidRDefault="005B59C8">
      <w:r>
        <w:t xml:space="preserve">In order to ensure public and environmental safety, </w:t>
      </w:r>
      <w:r w:rsidR="00873135">
        <w:t>Part 1</w:t>
      </w:r>
      <w:r w:rsidR="00B61073">
        <w:t>1</w:t>
      </w:r>
      <w:r w:rsidR="00873135">
        <w:t xml:space="preserve"> of </w:t>
      </w:r>
      <w:r>
        <w:t xml:space="preserve">the </w:t>
      </w:r>
      <w:r w:rsidR="00585000">
        <w:t>Bill continues to enable the Minister</w:t>
      </w:r>
      <w:r>
        <w:t xml:space="preserve">, during times of emergency proclaimed by the Governor General, </w:t>
      </w:r>
      <w:r w:rsidR="00585000">
        <w:t xml:space="preserve">to </w:t>
      </w:r>
      <w:r>
        <w:t>make orders prohibiting operation of radiocommunications transmitters in specified areas.</w:t>
      </w:r>
    </w:p>
    <w:p w14:paraId="3C0B80A8" w14:textId="53B33744" w:rsidR="00CA3600" w:rsidRDefault="002E6E3E" w:rsidP="00F42BD7">
      <w:r>
        <w:t xml:space="preserve">In order to streamline responses, the Bill removes the need (s 222(2) of the 1992 Act) for the Minister to have previously issued guidelines </w:t>
      </w:r>
      <w:r w:rsidR="00ED60B9">
        <w:t>before making emergency orders.</w:t>
      </w:r>
    </w:p>
    <w:p w14:paraId="30DA6304" w14:textId="7F20C249" w:rsidR="00B33A66" w:rsidRPr="00F42BD7" w:rsidRDefault="00B33A66" w:rsidP="00693300">
      <w:pPr>
        <w:pStyle w:val="Heading3"/>
      </w:pPr>
      <w:bookmarkStart w:id="48" w:name="_Toc480810869"/>
      <w:r w:rsidRPr="00F42BD7">
        <w:t>Accreditation (Part 1</w:t>
      </w:r>
      <w:r w:rsidR="00B61073">
        <w:t>2</w:t>
      </w:r>
      <w:r w:rsidRPr="00F42BD7">
        <w:t>)</w:t>
      </w:r>
      <w:bookmarkEnd w:id="48"/>
    </w:p>
    <w:p w14:paraId="6D4E476B" w14:textId="674076D1" w:rsidR="005C4478" w:rsidRDefault="005C4478">
      <w:r>
        <w:t xml:space="preserve">Accreditation schemes such as those for Frequency Assignment Certificates and Interference Impact Certificates currently play an important role in assisting the ACMA to perform its </w:t>
      </w:r>
      <w:r w:rsidR="00ED60B9">
        <w:t>spectrum management activities.</w:t>
      </w:r>
    </w:p>
    <w:p w14:paraId="77C3EBAB" w14:textId="26CA585E" w:rsidR="00B33A66" w:rsidRDefault="00BA291C">
      <w:r>
        <w:t>Part 1</w:t>
      </w:r>
      <w:r w:rsidR="00B61073">
        <w:t>2</w:t>
      </w:r>
      <w:r>
        <w:t xml:space="preserve"> of t</w:t>
      </w:r>
      <w:r w:rsidR="003E525D">
        <w:t xml:space="preserve">he </w:t>
      </w:r>
      <w:r w:rsidR="001D1574">
        <w:t xml:space="preserve">Bill </w:t>
      </w:r>
      <w:r w:rsidR="003E525D">
        <w:t>continues to provide</w:t>
      </w:r>
      <w:r w:rsidR="001D1574">
        <w:t xml:space="preserve"> for the ACMA to establish </w:t>
      </w:r>
      <w:r w:rsidR="003E525D">
        <w:t xml:space="preserve">such </w:t>
      </w:r>
      <w:r w:rsidR="001D1574">
        <w:t>schemes. The Bill allows the ACMA the flexibility to determine suitable conditions of accreditation</w:t>
      </w:r>
      <w:r w:rsidR="00C6757E">
        <w:t xml:space="preserve">, process rules and necessary qualifications </w:t>
      </w:r>
      <w:r w:rsidR="001D1574">
        <w:t xml:space="preserve">to be applied in the granting of </w:t>
      </w:r>
      <w:r w:rsidR="00C6757E">
        <w:t xml:space="preserve">different categories </w:t>
      </w:r>
      <w:r w:rsidR="001D1574">
        <w:t>of accreditation</w:t>
      </w:r>
      <w:r w:rsidR="00380EFC">
        <w:t>, and sets out due process requirements f</w:t>
      </w:r>
      <w:r w:rsidR="00ED60B9">
        <w:t>or withdrawal of accreditation.</w:t>
      </w:r>
    </w:p>
    <w:p w14:paraId="25C1D4EF" w14:textId="3BACCCB7" w:rsidR="00654C01" w:rsidRDefault="00654C01" w:rsidP="00B33A66">
      <w:r>
        <w:t>Further provision for the involvement of external persons in the ACMA’s spectrum management activities is provided in Part 1</w:t>
      </w:r>
      <w:r w:rsidR="00B61073">
        <w:t>7</w:t>
      </w:r>
      <w:r>
        <w:t xml:space="preserve"> (Delegation).</w:t>
      </w:r>
    </w:p>
    <w:p w14:paraId="3234E5ED" w14:textId="5CBECE61" w:rsidR="00B33A66" w:rsidRPr="00F42BD7" w:rsidRDefault="00B33A66" w:rsidP="00693300">
      <w:pPr>
        <w:pStyle w:val="Heading3"/>
      </w:pPr>
      <w:bookmarkStart w:id="49" w:name="_Toc480810870"/>
      <w:r w:rsidRPr="00F42BD7">
        <w:t xml:space="preserve">Industry </w:t>
      </w:r>
      <w:r w:rsidR="00B07678">
        <w:t>c</w:t>
      </w:r>
      <w:r w:rsidRPr="00F42BD7">
        <w:t xml:space="preserve">odes (Part </w:t>
      </w:r>
      <w:r w:rsidR="00B61073">
        <w:t>13</w:t>
      </w:r>
      <w:r w:rsidRPr="00F42BD7">
        <w:t>)</w:t>
      </w:r>
      <w:bookmarkEnd w:id="49"/>
    </w:p>
    <w:p w14:paraId="326570AB" w14:textId="6E2F595A" w:rsidR="00B33A66" w:rsidRDefault="0007369D">
      <w:r w:rsidRPr="0007369D">
        <w:t xml:space="preserve">Submissions to the </w:t>
      </w:r>
      <w:r w:rsidR="00767F94">
        <w:t>r</w:t>
      </w:r>
      <w:r w:rsidRPr="0007369D">
        <w:t>eview suggested industry codes would be useful in spectrum management as a cost effective and flexible alternative to black-letter law.</w:t>
      </w:r>
      <w:r>
        <w:t xml:space="preserve"> The </w:t>
      </w:r>
      <w:r w:rsidR="0062529C">
        <w:t>1992</w:t>
      </w:r>
      <w:r>
        <w:t xml:space="preserve"> Act makes no provision for </w:t>
      </w:r>
      <w:r w:rsidR="00585000">
        <w:t>such</w:t>
      </w:r>
      <w:r>
        <w:t xml:space="preserve"> codes.</w:t>
      </w:r>
    </w:p>
    <w:p w14:paraId="55F40027" w14:textId="1ACAF8B9" w:rsidR="00B33A66" w:rsidRDefault="0007369D" w:rsidP="00B33A66">
      <w:r>
        <w:t xml:space="preserve">The Bill enables the ACMA to approve codes submitted to it relating to the activities of participants in the radiocommunications industry. </w:t>
      </w:r>
      <w:r w:rsidR="00A271FE">
        <w:t>Before registering a code, the ACMA must be satisfied that the person submitting it is able to ensure compliance</w:t>
      </w:r>
      <w:r w:rsidR="000D24F3">
        <w:t xml:space="preserve"> with the code</w:t>
      </w:r>
      <w:r w:rsidR="00A271FE">
        <w:t>.</w:t>
      </w:r>
    </w:p>
    <w:p w14:paraId="0CB6B9F4" w14:textId="174F0673" w:rsidR="00B33A66" w:rsidRPr="00F42BD7" w:rsidRDefault="00B33A66" w:rsidP="00693300">
      <w:pPr>
        <w:pStyle w:val="Heading3"/>
      </w:pPr>
      <w:bookmarkStart w:id="50" w:name="_Toc480810871"/>
      <w:r w:rsidRPr="00F42BD7">
        <w:t xml:space="preserve">Information </w:t>
      </w:r>
      <w:r w:rsidR="00B07678">
        <w:t>gathering p</w:t>
      </w:r>
      <w:r w:rsidRPr="00F42BD7">
        <w:t>owers (Part 1</w:t>
      </w:r>
      <w:r w:rsidR="00B61073">
        <w:t>4</w:t>
      </w:r>
      <w:r w:rsidRPr="00F42BD7">
        <w:t>)</w:t>
      </w:r>
      <w:bookmarkEnd w:id="50"/>
    </w:p>
    <w:p w14:paraId="40A1D915" w14:textId="42219264" w:rsidR="00B33A66" w:rsidRDefault="00C57301">
      <w:r>
        <w:t xml:space="preserve">The ACMA is currently constrained in its </w:t>
      </w:r>
      <w:r w:rsidR="004C0BA7">
        <w:t xml:space="preserve">spectrum management activities </w:t>
      </w:r>
      <w:r>
        <w:t>by the limited information available to it</w:t>
      </w:r>
      <w:r w:rsidR="00D825EE">
        <w:t>.</w:t>
      </w:r>
    </w:p>
    <w:p w14:paraId="1C11BE71" w14:textId="2D140690" w:rsidR="00B33A66" w:rsidRDefault="00062987" w:rsidP="00B33A66">
      <w:r>
        <w:t>T</w:t>
      </w:r>
      <w:r w:rsidR="00D825EE">
        <w:t xml:space="preserve">he Bill </w:t>
      </w:r>
      <w:r w:rsidR="00421973">
        <w:t>gives the AMCA target</w:t>
      </w:r>
      <w:r w:rsidR="00BF3C83">
        <w:t>ed</w:t>
      </w:r>
      <w:r w:rsidR="00421973">
        <w:t xml:space="preserve"> powers </w:t>
      </w:r>
      <w:r w:rsidR="00D825EE">
        <w:t>to require the production of information</w:t>
      </w:r>
      <w:r w:rsidR="00087197">
        <w:t xml:space="preserve"> or documents</w:t>
      </w:r>
      <w:r w:rsidR="00D825EE">
        <w:t xml:space="preserve"> </w:t>
      </w:r>
      <w:r w:rsidR="00421973">
        <w:t xml:space="preserve">about the supply of radiocommunications devices in Australia, specifically </w:t>
      </w:r>
      <w:r w:rsidR="00D825EE">
        <w:t>in relation to</w:t>
      </w:r>
      <w:r w:rsidR="00ED60B9">
        <w:t xml:space="preserve"> the supply of</w:t>
      </w:r>
      <w:r w:rsidR="00D825EE">
        <w:t>:</w:t>
      </w:r>
    </w:p>
    <w:p w14:paraId="133A3BD6" w14:textId="2030D9A1" w:rsidR="00D825EE" w:rsidRDefault="00D825EE" w:rsidP="004130AA">
      <w:pPr>
        <w:pStyle w:val="Bulletlevel1"/>
        <w:ind w:left="567" w:hanging="567"/>
      </w:pPr>
      <w:r>
        <w:t>radiocommunications devices, if the information is relevant to the operation of the Bill or the equipment rules as they relate to interference with radiocommunications</w:t>
      </w:r>
    </w:p>
    <w:p w14:paraId="31D90CEB" w14:textId="76D061CE" w:rsidR="00D825EE" w:rsidRDefault="00D825EE" w:rsidP="004130AA">
      <w:pPr>
        <w:pStyle w:val="Bulletlevel1"/>
        <w:ind w:left="567" w:hanging="567"/>
      </w:pPr>
      <w:r>
        <w:t xml:space="preserve">radiocommunications transmitters, if the information is relevant to the operation of the Bill in relation to radio emissions which would be likely to adversely affect the </w:t>
      </w:r>
      <w:r w:rsidR="00ED60B9">
        <w:t>health or safety of individuals</w:t>
      </w:r>
    </w:p>
    <w:p w14:paraId="4FA31B91" w14:textId="78781410" w:rsidR="00D825EE" w:rsidRPr="00B33A66" w:rsidRDefault="00D825EE" w:rsidP="004130AA">
      <w:pPr>
        <w:pStyle w:val="Bulletlevel1"/>
        <w:ind w:left="567" w:hanging="567"/>
      </w:pPr>
      <w:proofErr w:type="gramStart"/>
      <w:r>
        <w:t>radiocommunications</w:t>
      </w:r>
      <w:proofErr w:type="gramEnd"/>
      <w:r>
        <w:t xml:space="preserve"> transmitters, if the information is relevant to the operation of the equipment rules to the extent they are directed towards protecting health a</w:t>
      </w:r>
      <w:r w:rsidR="00ED60B9">
        <w:t>nd safety from radio emissions.</w:t>
      </w:r>
    </w:p>
    <w:p w14:paraId="68D7B834" w14:textId="334524CE" w:rsidR="00296124" w:rsidRPr="00F42BD7" w:rsidRDefault="000469F3" w:rsidP="00693300">
      <w:pPr>
        <w:pStyle w:val="Heading3"/>
      </w:pPr>
      <w:bookmarkStart w:id="51" w:name="_Toc480810872"/>
      <w:r w:rsidRPr="00F42BD7">
        <w:t>E</w:t>
      </w:r>
      <w:r w:rsidR="00296124" w:rsidRPr="00F42BD7">
        <w:t>nforcement</w:t>
      </w:r>
      <w:r w:rsidR="00B33A66" w:rsidRPr="00F42BD7">
        <w:t xml:space="preserve"> (Part 1</w:t>
      </w:r>
      <w:r w:rsidR="00B61073">
        <w:t>5</w:t>
      </w:r>
      <w:r w:rsidR="00B33A66" w:rsidRPr="00F42BD7">
        <w:t>)</w:t>
      </w:r>
      <w:bookmarkEnd w:id="51"/>
    </w:p>
    <w:p w14:paraId="36C29917" w14:textId="7C1A4533" w:rsidR="00296124" w:rsidRPr="005113E8" w:rsidRDefault="00296124" w:rsidP="00693300">
      <w:pPr>
        <w:rPr>
          <w:rFonts w:cs="Arial"/>
        </w:rPr>
      </w:pPr>
      <w:r w:rsidRPr="005113E8">
        <w:rPr>
          <w:rFonts w:cs="Arial"/>
        </w:rPr>
        <w:t xml:space="preserve">The ACMA investigates and acts on regulatory non-compliance and sector specific issues such as interference, non-standard devices and breaches of licences. The </w:t>
      </w:r>
      <w:r w:rsidR="00767F94">
        <w:rPr>
          <w:rFonts w:cs="Arial"/>
        </w:rPr>
        <w:t>r</w:t>
      </w:r>
      <w:r w:rsidRPr="005113E8">
        <w:rPr>
          <w:rFonts w:cs="Arial"/>
        </w:rPr>
        <w:t xml:space="preserve">eview highlighted the need for the ACMA to have an improved and more agile range of tools and powers for compliance and enforcement. Not only would this allow for a more </w:t>
      </w:r>
      <w:r w:rsidR="00767F94">
        <w:rPr>
          <w:rFonts w:cs="Arial"/>
        </w:rPr>
        <w:t>targeted and proportionate</w:t>
      </w:r>
      <w:r w:rsidRPr="005113E8">
        <w:rPr>
          <w:rFonts w:cs="Arial"/>
        </w:rPr>
        <w:t xml:space="preserve"> enforcement response, it would also </w:t>
      </w:r>
      <w:r w:rsidRPr="008F299C">
        <w:t>better</w:t>
      </w:r>
      <w:r w:rsidRPr="005113E8">
        <w:rPr>
          <w:rFonts w:cs="Arial"/>
        </w:rPr>
        <w:t xml:space="preserve"> align the ACMA’s enforcement capabilities with those of other Australian regulators.</w:t>
      </w:r>
    </w:p>
    <w:p w14:paraId="6277E29E" w14:textId="5C3A0976" w:rsidR="00296124" w:rsidRPr="005113E8" w:rsidRDefault="00296124" w:rsidP="00693300">
      <w:pPr>
        <w:rPr>
          <w:rFonts w:cs="Arial"/>
        </w:rPr>
      </w:pPr>
      <w:r w:rsidRPr="005113E8">
        <w:rPr>
          <w:rFonts w:cs="Arial"/>
        </w:rPr>
        <w:t xml:space="preserve">The Bill </w:t>
      </w:r>
      <w:r w:rsidR="00246C7E">
        <w:rPr>
          <w:rFonts w:cs="Arial"/>
        </w:rPr>
        <w:t>incorporates</w:t>
      </w:r>
      <w:r w:rsidRPr="005113E8">
        <w:rPr>
          <w:rFonts w:cs="Arial"/>
        </w:rPr>
        <w:t xml:space="preserve"> the standard investigatory provisions and powers of inspectors found under the </w:t>
      </w:r>
      <w:r w:rsidRPr="00CB23FF">
        <w:rPr>
          <w:rFonts w:cs="Arial"/>
          <w:i/>
        </w:rPr>
        <w:t>Regulatory Powers (Standard Provisions) Act 2014</w:t>
      </w:r>
      <w:r w:rsidRPr="005113E8">
        <w:rPr>
          <w:rFonts w:cs="Arial"/>
        </w:rPr>
        <w:t xml:space="preserve"> along with powers and provisions specific to radiocommunications. This will streamline </w:t>
      </w:r>
      <w:r w:rsidR="00246C7E">
        <w:rPr>
          <w:rFonts w:cs="Arial"/>
        </w:rPr>
        <w:t xml:space="preserve">enforcement of </w:t>
      </w:r>
      <w:r w:rsidRPr="005113E8">
        <w:rPr>
          <w:rFonts w:cs="Arial"/>
        </w:rPr>
        <w:t>the Bill</w:t>
      </w:r>
      <w:r w:rsidR="00F92479">
        <w:rPr>
          <w:rFonts w:cs="Arial"/>
        </w:rPr>
        <w:t>,</w:t>
      </w:r>
      <w:r w:rsidRPr="005113E8">
        <w:rPr>
          <w:rFonts w:cs="Arial"/>
        </w:rPr>
        <w:t xml:space="preserve"> clarify the powers granted to the </w:t>
      </w:r>
      <w:r w:rsidRPr="008F299C">
        <w:t>inspectors</w:t>
      </w:r>
      <w:r w:rsidRPr="005113E8">
        <w:rPr>
          <w:rFonts w:cs="Arial"/>
        </w:rPr>
        <w:t xml:space="preserve">, </w:t>
      </w:r>
      <w:r w:rsidR="00F92479">
        <w:rPr>
          <w:rFonts w:cs="Arial"/>
        </w:rPr>
        <w:t xml:space="preserve">and </w:t>
      </w:r>
      <w:r w:rsidR="00087197">
        <w:rPr>
          <w:rFonts w:cs="Arial"/>
        </w:rPr>
        <w:t>improve consistency</w:t>
      </w:r>
      <w:r w:rsidR="00ED60B9">
        <w:rPr>
          <w:rFonts w:cs="Arial"/>
        </w:rPr>
        <w:t xml:space="preserve"> with other legislation.</w:t>
      </w:r>
    </w:p>
    <w:p w14:paraId="2C3DAA61" w14:textId="4A0CBC8F" w:rsidR="00296124" w:rsidRDefault="00296124" w:rsidP="00693300">
      <w:pPr>
        <w:rPr>
          <w:rFonts w:eastAsia="Times New Roman" w:cs="Arial"/>
          <w:lang w:eastAsia="en-AU"/>
        </w:rPr>
      </w:pPr>
      <w:r w:rsidRPr="005113E8">
        <w:rPr>
          <w:rFonts w:cs="Arial"/>
        </w:rPr>
        <w:t xml:space="preserve">The </w:t>
      </w:r>
      <w:r w:rsidR="0062529C">
        <w:rPr>
          <w:rFonts w:cs="Arial"/>
        </w:rPr>
        <w:t>1992</w:t>
      </w:r>
      <w:r w:rsidRPr="005113E8">
        <w:rPr>
          <w:rFonts w:cs="Arial"/>
        </w:rPr>
        <w:t xml:space="preserve"> Act is reliant on criminal, rather than civil</w:t>
      </w:r>
      <w:r w:rsidR="00D23327">
        <w:rPr>
          <w:rFonts w:cs="Arial"/>
        </w:rPr>
        <w:t>,</w:t>
      </w:r>
      <w:r w:rsidRPr="005113E8">
        <w:rPr>
          <w:rFonts w:cs="Arial"/>
        </w:rPr>
        <w:t xml:space="preserve"> sanctions</w:t>
      </w:r>
      <w:r w:rsidR="00F92479">
        <w:rPr>
          <w:rFonts w:cs="Arial"/>
        </w:rPr>
        <w:t>.</w:t>
      </w:r>
      <w:r w:rsidR="00EE4C02">
        <w:rPr>
          <w:rFonts w:cs="Arial"/>
        </w:rPr>
        <w:t xml:space="preserve"> </w:t>
      </w:r>
      <w:r w:rsidR="00F92479">
        <w:rPr>
          <w:rFonts w:cs="Arial"/>
        </w:rPr>
        <w:t xml:space="preserve">This </w:t>
      </w:r>
      <w:r w:rsidR="00F4714C">
        <w:rPr>
          <w:rFonts w:cs="Arial"/>
        </w:rPr>
        <w:t>plac</w:t>
      </w:r>
      <w:r w:rsidR="00F92479">
        <w:rPr>
          <w:rFonts w:cs="Arial"/>
        </w:rPr>
        <w:t>es</w:t>
      </w:r>
      <w:r w:rsidR="00F4714C">
        <w:rPr>
          <w:rFonts w:cs="Arial"/>
        </w:rPr>
        <w:t xml:space="preserve"> </w:t>
      </w:r>
      <w:r w:rsidRPr="00CC7744">
        <w:rPr>
          <w:rFonts w:cs="Arial"/>
        </w:rPr>
        <w:t xml:space="preserve">a high evidentiary burden of proof on the ACMA in order to investigate and </w:t>
      </w:r>
      <w:r w:rsidR="00087197">
        <w:rPr>
          <w:rFonts w:cs="Arial"/>
        </w:rPr>
        <w:t>address</w:t>
      </w:r>
      <w:r w:rsidRPr="00CC7744">
        <w:rPr>
          <w:rFonts w:cs="Arial"/>
        </w:rPr>
        <w:t xml:space="preserve"> non-compliance.</w:t>
      </w:r>
      <w:r w:rsidR="00106320">
        <w:rPr>
          <w:rFonts w:cs="Arial"/>
        </w:rPr>
        <w:t xml:space="preserve"> </w:t>
      </w:r>
      <w:r w:rsidR="00F4714C">
        <w:rPr>
          <w:rFonts w:cs="Arial"/>
        </w:rPr>
        <w:t xml:space="preserve">In the event of breach of licence </w:t>
      </w:r>
      <w:r w:rsidR="00F4714C" w:rsidRPr="008F299C">
        <w:t>terms</w:t>
      </w:r>
      <w:r w:rsidR="00F4714C">
        <w:rPr>
          <w:rFonts w:cs="Arial"/>
        </w:rPr>
        <w:t xml:space="preserve">, the ACMA is </w:t>
      </w:r>
      <w:r w:rsidR="0021112E">
        <w:rPr>
          <w:rFonts w:cs="Arial"/>
        </w:rPr>
        <w:t xml:space="preserve">further </w:t>
      </w:r>
      <w:r w:rsidR="00F4714C">
        <w:rPr>
          <w:rFonts w:cs="Arial"/>
        </w:rPr>
        <w:t xml:space="preserve">limited to </w:t>
      </w:r>
      <w:r w:rsidR="0021112E">
        <w:rPr>
          <w:rFonts w:cs="Arial"/>
        </w:rPr>
        <w:t>the serious sanctions of licence suspension or cancellation</w:t>
      </w:r>
      <w:r w:rsidR="00F4714C">
        <w:rPr>
          <w:rFonts w:cs="Arial"/>
        </w:rPr>
        <w:t>.</w:t>
      </w:r>
    </w:p>
    <w:p w14:paraId="54BE230E" w14:textId="03F6C928" w:rsidR="00296124" w:rsidRPr="005113E8" w:rsidRDefault="00296124" w:rsidP="00693300">
      <w:pPr>
        <w:rPr>
          <w:rFonts w:cs="Arial"/>
        </w:rPr>
      </w:pPr>
      <w:r w:rsidRPr="005113E8">
        <w:rPr>
          <w:rFonts w:cs="Arial"/>
        </w:rPr>
        <w:t xml:space="preserve">Stakeholders </w:t>
      </w:r>
      <w:r w:rsidRPr="008F299C">
        <w:t>largely</w:t>
      </w:r>
      <w:r w:rsidRPr="005113E8">
        <w:rPr>
          <w:rFonts w:cs="Arial"/>
        </w:rPr>
        <w:t xml:space="preserve"> support </w:t>
      </w:r>
      <w:r>
        <w:rPr>
          <w:rFonts w:cs="Arial"/>
        </w:rPr>
        <w:t>improved enforcement</w:t>
      </w:r>
      <w:r w:rsidR="00D23327">
        <w:rPr>
          <w:rFonts w:cs="Arial"/>
        </w:rPr>
        <w:t>.</w:t>
      </w:r>
    </w:p>
    <w:p w14:paraId="1D53A56F" w14:textId="65AA85C6" w:rsidR="00296124" w:rsidRPr="005113E8" w:rsidRDefault="00AA39A3" w:rsidP="00693300">
      <w:pPr>
        <w:rPr>
          <w:rFonts w:cs="Arial"/>
        </w:rPr>
      </w:pPr>
      <w:r>
        <w:rPr>
          <w:rFonts w:cs="Arial"/>
        </w:rPr>
        <w:t xml:space="preserve">Under the Bill, </w:t>
      </w:r>
      <w:r w:rsidRPr="008F299C">
        <w:t>t</w:t>
      </w:r>
      <w:r w:rsidR="00296124" w:rsidRPr="00693300">
        <w:t>he</w:t>
      </w:r>
      <w:r w:rsidR="00296124" w:rsidRPr="005113E8">
        <w:rPr>
          <w:rFonts w:cs="Arial"/>
        </w:rPr>
        <w:t xml:space="preserve"> ACMA </w:t>
      </w:r>
      <w:r w:rsidR="00F44035">
        <w:rPr>
          <w:rFonts w:cs="Arial"/>
        </w:rPr>
        <w:t xml:space="preserve">will be able to </w:t>
      </w:r>
      <w:r w:rsidR="00296124">
        <w:rPr>
          <w:rFonts w:cs="Arial"/>
        </w:rPr>
        <w:t xml:space="preserve">choose from a range of </w:t>
      </w:r>
      <w:r w:rsidR="00296124" w:rsidRPr="005113E8">
        <w:rPr>
          <w:rFonts w:cs="Arial"/>
        </w:rPr>
        <w:t>formal action</w:t>
      </w:r>
      <w:r w:rsidR="00296124">
        <w:rPr>
          <w:rFonts w:cs="Arial"/>
        </w:rPr>
        <w:t>s</w:t>
      </w:r>
      <w:r w:rsidR="00296124" w:rsidRPr="005113E8">
        <w:rPr>
          <w:rFonts w:cs="Arial"/>
        </w:rPr>
        <w:t>. This may include:</w:t>
      </w:r>
    </w:p>
    <w:p w14:paraId="2CFE4288" w14:textId="3A349C9A" w:rsidR="00296124" w:rsidRPr="00394C6B" w:rsidRDefault="0062529C" w:rsidP="000F3D08">
      <w:pPr>
        <w:pStyle w:val="Bulletlevel1"/>
        <w:ind w:left="567" w:hanging="567"/>
      </w:pPr>
      <w:r w:rsidRPr="00394C6B">
        <w:t>i</w:t>
      </w:r>
      <w:r w:rsidR="00F92479" w:rsidRPr="00394C6B">
        <w:t>ssuing public warnings</w:t>
      </w:r>
    </w:p>
    <w:p w14:paraId="314B1F84" w14:textId="77777777" w:rsidR="00296124" w:rsidRPr="00394C6B" w:rsidRDefault="00296124" w:rsidP="000F3D08">
      <w:pPr>
        <w:pStyle w:val="Bulletlevel1"/>
        <w:ind w:left="567" w:hanging="567"/>
      </w:pPr>
      <w:r w:rsidRPr="00394C6B">
        <w:t>issuing an infringement notice</w:t>
      </w:r>
    </w:p>
    <w:p w14:paraId="2A04E911" w14:textId="77777777" w:rsidR="00296124" w:rsidRPr="00394C6B" w:rsidRDefault="00296124" w:rsidP="000F3D08">
      <w:pPr>
        <w:pStyle w:val="Bulletlevel1"/>
        <w:ind w:left="567" w:hanging="567"/>
      </w:pPr>
      <w:r w:rsidRPr="00394C6B">
        <w:t>accepting an enforceable undertaking</w:t>
      </w:r>
    </w:p>
    <w:p w14:paraId="196DEA0D" w14:textId="77777777" w:rsidR="00296124" w:rsidRPr="00394C6B" w:rsidRDefault="00296124" w:rsidP="000F3D08">
      <w:pPr>
        <w:pStyle w:val="Bulletlevel1"/>
        <w:ind w:left="567" w:hanging="567"/>
      </w:pPr>
      <w:r w:rsidRPr="00394C6B">
        <w:t>giving a remedial direction (which may include requiring rectification strategies)</w:t>
      </w:r>
    </w:p>
    <w:p w14:paraId="19F330FB" w14:textId="0D939E22" w:rsidR="00087197" w:rsidRPr="00394C6B" w:rsidRDefault="00087197" w:rsidP="000F3D08">
      <w:pPr>
        <w:pStyle w:val="Bulletlevel1"/>
        <w:ind w:left="567" w:hanging="567"/>
      </w:pPr>
      <w:r w:rsidRPr="00394C6B">
        <w:t>seeking an injunction</w:t>
      </w:r>
      <w:r w:rsidR="00AD4A51" w:rsidRPr="00394C6B">
        <w:t xml:space="preserve"> or other civil penalties</w:t>
      </w:r>
    </w:p>
    <w:p w14:paraId="05C22B12" w14:textId="77777777" w:rsidR="00AD4A51" w:rsidRPr="00394C6B" w:rsidRDefault="00296124" w:rsidP="000F3D08">
      <w:pPr>
        <w:pStyle w:val="Bulletlevel1"/>
        <w:ind w:left="567" w:hanging="567"/>
      </w:pPr>
      <w:r w:rsidRPr="00394C6B">
        <w:t>imposing or varying licence conditions</w:t>
      </w:r>
    </w:p>
    <w:p w14:paraId="4E183725" w14:textId="77777777" w:rsidR="001751BB" w:rsidRPr="00394C6B" w:rsidRDefault="00AD4A51" w:rsidP="000F3D08">
      <w:pPr>
        <w:pStyle w:val="Bulletlevel1"/>
        <w:ind w:left="567" w:hanging="567"/>
      </w:pPr>
      <w:r w:rsidRPr="00394C6B">
        <w:t>referring the matter for prosecution to seek conviction and criminal penalties</w:t>
      </w:r>
    </w:p>
    <w:p w14:paraId="4E53271F" w14:textId="2D05AF06" w:rsidR="00296124" w:rsidRPr="00394C6B" w:rsidRDefault="00296124" w:rsidP="000F3D08">
      <w:pPr>
        <w:pStyle w:val="Bulletlevel1"/>
        <w:ind w:left="567" w:hanging="567"/>
      </w:pPr>
      <w:r w:rsidRPr="00394C6B">
        <w:t>suspending and</w:t>
      </w:r>
      <w:r w:rsidR="00F92479" w:rsidRPr="00394C6B">
        <w:t>/or cancelling licences</w:t>
      </w:r>
    </w:p>
    <w:p w14:paraId="6710B975" w14:textId="77777777" w:rsidR="00296124" w:rsidRPr="005113E8" w:rsidRDefault="00296124" w:rsidP="000F3D08">
      <w:pPr>
        <w:pStyle w:val="Bulletlevel1"/>
        <w:ind w:left="567" w:hanging="567"/>
      </w:pPr>
      <w:proofErr w:type="gramStart"/>
      <w:r w:rsidRPr="00394C6B">
        <w:t>withdrawing</w:t>
      </w:r>
      <w:proofErr w:type="gramEnd"/>
      <w:r w:rsidRPr="005113E8">
        <w:t xml:space="preserve"> accreditation and authorisations.</w:t>
      </w:r>
    </w:p>
    <w:p w14:paraId="07A7BE9C" w14:textId="5EB66C7C" w:rsidR="00296124" w:rsidRPr="005113E8" w:rsidRDefault="00296124" w:rsidP="00693300">
      <w:pPr>
        <w:rPr>
          <w:rFonts w:cs="Arial"/>
        </w:rPr>
      </w:pPr>
      <w:r w:rsidRPr="005113E8">
        <w:rPr>
          <w:rFonts w:cs="Arial"/>
        </w:rPr>
        <w:t xml:space="preserve">Other tools, such as written warnings, educational activities and voluntary industry self-regulation will also be available to the ACMA. These </w:t>
      </w:r>
      <w:r w:rsidR="003D6182">
        <w:rPr>
          <w:rFonts w:cs="Arial"/>
        </w:rPr>
        <w:t xml:space="preserve">are not </w:t>
      </w:r>
      <w:r w:rsidR="00E54B98">
        <w:rPr>
          <w:rFonts w:cs="Arial"/>
        </w:rPr>
        <w:t xml:space="preserve">prescribed </w:t>
      </w:r>
      <w:r w:rsidRPr="005113E8">
        <w:rPr>
          <w:rFonts w:cs="Arial"/>
        </w:rPr>
        <w:t xml:space="preserve">in the legislation but </w:t>
      </w:r>
      <w:r w:rsidR="00F92479">
        <w:rPr>
          <w:rFonts w:cs="Arial"/>
        </w:rPr>
        <w:t>would</w:t>
      </w:r>
      <w:r w:rsidRPr="005113E8">
        <w:rPr>
          <w:rFonts w:cs="Arial"/>
        </w:rPr>
        <w:t xml:space="preserve"> form part of </w:t>
      </w:r>
      <w:r>
        <w:rPr>
          <w:rFonts w:cs="Arial"/>
        </w:rPr>
        <w:t xml:space="preserve">the </w:t>
      </w:r>
      <w:r w:rsidRPr="005113E8">
        <w:rPr>
          <w:rFonts w:cs="Arial"/>
        </w:rPr>
        <w:t xml:space="preserve">ACMA’s </w:t>
      </w:r>
      <w:r w:rsidRPr="008F299C">
        <w:t>administrative</w:t>
      </w:r>
      <w:r w:rsidRPr="005113E8">
        <w:rPr>
          <w:rFonts w:cs="Arial"/>
        </w:rPr>
        <w:t xml:space="preserve"> practices.</w:t>
      </w:r>
    </w:p>
    <w:p w14:paraId="494818E0" w14:textId="7F1A2ABD" w:rsidR="00296124" w:rsidRPr="005113E8" w:rsidRDefault="00296124" w:rsidP="00693300">
      <w:pPr>
        <w:rPr>
          <w:rFonts w:cs="Arial"/>
        </w:rPr>
      </w:pPr>
      <w:r>
        <w:rPr>
          <w:rFonts w:cs="Arial"/>
        </w:rPr>
        <w:t xml:space="preserve">The Bill reduces </w:t>
      </w:r>
      <w:r w:rsidR="00E54B98">
        <w:rPr>
          <w:rFonts w:cs="Arial"/>
        </w:rPr>
        <w:t>reliance on criminal sanctions, introducing civil sanctions for breach of most provisions</w:t>
      </w:r>
      <w:r>
        <w:rPr>
          <w:rFonts w:cs="Arial"/>
        </w:rPr>
        <w:t>.</w:t>
      </w:r>
      <w:r w:rsidR="00106320">
        <w:rPr>
          <w:rFonts w:cs="Arial"/>
        </w:rPr>
        <w:t xml:space="preserve"> </w:t>
      </w:r>
      <w:r w:rsidRPr="005113E8">
        <w:rPr>
          <w:rFonts w:cs="Arial"/>
        </w:rPr>
        <w:t xml:space="preserve">Criminal sanctions </w:t>
      </w:r>
      <w:r>
        <w:rPr>
          <w:rFonts w:cs="Arial"/>
        </w:rPr>
        <w:t>remain</w:t>
      </w:r>
      <w:r w:rsidRPr="005113E8">
        <w:rPr>
          <w:rFonts w:cs="Arial"/>
        </w:rPr>
        <w:t xml:space="preserve"> in a limited number of cases where </w:t>
      </w:r>
      <w:r w:rsidR="00E54B98">
        <w:rPr>
          <w:rFonts w:cs="Arial"/>
        </w:rPr>
        <w:t xml:space="preserve">justified by </w:t>
      </w:r>
      <w:r>
        <w:rPr>
          <w:rFonts w:cs="Arial"/>
        </w:rPr>
        <w:t xml:space="preserve">the potential harms </w:t>
      </w:r>
      <w:r w:rsidRPr="005113E8">
        <w:rPr>
          <w:rFonts w:cs="Arial"/>
        </w:rPr>
        <w:t>and not addressed by other legislation</w:t>
      </w:r>
      <w:r w:rsidRPr="00A66F46">
        <w:rPr>
          <w:rFonts w:cs="Arial"/>
        </w:rPr>
        <w:t xml:space="preserve">. </w:t>
      </w:r>
      <w:r w:rsidR="00467888" w:rsidRPr="00F42BD7">
        <w:rPr>
          <w:rFonts w:cs="Arial"/>
        </w:rPr>
        <w:t xml:space="preserve">The </w:t>
      </w:r>
      <w:r w:rsidRPr="00A66F46">
        <w:rPr>
          <w:rFonts w:cs="Arial"/>
        </w:rPr>
        <w:t xml:space="preserve">ACMA has the power to commence civil proceedings </w:t>
      </w:r>
      <w:r w:rsidR="00467888" w:rsidRPr="00F42BD7">
        <w:rPr>
          <w:rFonts w:cs="Arial"/>
        </w:rPr>
        <w:t>in relation to breach of civil penalty provisions seeking</w:t>
      </w:r>
      <w:r w:rsidRPr="00A66F46">
        <w:rPr>
          <w:rFonts w:cs="Arial"/>
        </w:rPr>
        <w:t xml:space="preserve">, among other remedies, civil penalty orders, injunctive relief and orders to </w:t>
      </w:r>
      <w:r w:rsidRPr="008F299C">
        <w:t>enforce</w:t>
      </w:r>
      <w:r w:rsidRPr="00A66F46">
        <w:rPr>
          <w:rFonts w:cs="Arial"/>
        </w:rPr>
        <w:t xml:space="preserve"> an enforceable undertaking.</w:t>
      </w:r>
    </w:p>
    <w:p w14:paraId="36441AE5" w14:textId="6FF40848" w:rsidR="00296124" w:rsidRPr="005113E8" w:rsidRDefault="00296124" w:rsidP="00693300">
      <w:pPr>
        <w:rPr>
          <w:rFonts w:cs="Arial"/>
        </w:rPr>
      </w:pPr>
      <w:r w:rsidRPr="005113E8">
        <w:rPr>
          <w:rFonts w:cs="Arial"/>
        </w:rPr>
        <w:t>This new set of regulatory tools enables the ACMA to foster industry compliance without imposing undue financial or administrative burden</w:t>
      </w:r>
      <w:r w:rsidR="00F92479">
        <w:rPr>
          <w:rFonts w:cs="Arial"/>
        </w:rPr>
        <w:t>.</w:t>
      </w:r>
      <w:r w:rsidR="00EE4C02">
        <w:rPr>
          <w:rFonts w:cs="Arial"/>
        </w:rPr>
        <w:t xml:space="preserve"> </w:t>
      </w:r>
      <w:r w:rsidRPr="005113E8">
        <w:rPr>
          <w:rFonts w:cs="Arial"/>
        </w:rPr>
        <w:t xml:space="preserve">To further assist stakeholders, the ACMA has developed a paper that provides more detail on </w:t>
      </w:r>
      <w:r w:rsidR="00F92479">
        <w:rPr>
          <w:rFonts w:cs="Arial"/>
        </w:rPr>
        <w:t>possible c</w:t>
      </w:r>
      <w:r w:rsidRPr="005113E8">
        <w:rPr>
          <w:rFonts w:cs="Arial"/>
        </w:rPr>
        <w:t>ompliance and enforcement arrangements</w:t>
      </w:r>
      <w:r w:rsidR="00F92479">
        <w:rPr>
          <w:rFonts w:cs="Arial"/>
        </w:rPr>
        <w:t xml:space="preserve"> </w:t>
      </w:r>
      <w:r w:rsidR="00767F94">
        <w:rPr>
          <w:rFonts w:cs="Arial"/>
        </w:rPr>
        <w:t>that could be implemented under</w:t>
      </w:r>
      <w:r w:rsidR="00F92479">
        <w:rPr>
          <w:rFonts w:cs="Arial"/>
        </w:rPr>
        <w:t xml:space="preserve"> the Bill</w:t>
      </w:r>
      <w:r w:rsidRPr="005113E8">
        <w:rPr>
          <w:rFonts w:cs="Arial"/>
        </w:rPr>
        <w:t xml:space="preserve">. </w:t>
      </w:r>
      <w:r w:rsidR="002F2F2F">
        <w:rPr>
          <w:rFonts w:cs="Arial"/>
        </w:rPr>
        <w:t>This paper can be found on the ACMA website.</w:t>
      </w:r>
    </w:p>
    <w:p w14:paraId="0A2553E2" w14:textId="320B82BF" w:rsidR="009A18E7" w:rsidRPr="00F42BD7" w:rsidRDefault="009A18E7" w:rsidP="00693300">
      <w:pPr>
        <w:pStyle w:val="Heading3"/>
      </w:pPr>
      <w:bookmarkStart w:id="52" w:name="_Toc480810873"/>
      <w:r w:rsidRPr="00F42BD7">
        <w:t>Sp</w:t>
      </w:r>
      <w:r w:rsidR="00F92479">
        <w:t>ectrum access charges (Part 1</w:t>
      </w:r>
      <w:r w:rsidR="00B61073">
        <w:t>6</w:t>
      </w:r>
      <w:r w:rsidR="00F92479">
        <w:t>)</w:t>
      </w:r>
      <w:bookmarkEnd w:id="52"/>
    </w:p>
    <w:p w14:paraId="242C850B" w14:textId="7EA39673" w:rsidR="00497D6A" w:rsidRPr="00497D6A" w:rsidRDefault="00497D6A" w:rsidP="00693300">
      <w:pPr>
        <w:rPr>
          <w:rFonts w:cs="Arial"/>
        </w:rPr>
      </w:pPr>
      <w:r w:rsidRPr="00497D6A">
        <w:rPr>
          <w:rFonts w:cs="Arial"/>
        </w:rPr>
        <w:t>Part 1</w:t>
      </w:r>
      <w:r w:rsidR="00B61073">
        <w:rPr>
          <w:rFonts w:cs="Arial"/>
        </w:rPr>
        <w:t>6</w:t>
      </w:r>
      <w:r w:rsidRPr="00497D6A">
        <w:rPr>
          <w:rFonts w:cs="Arial"/>
        </w:rPr>
        <w:t xml:space="preserve"> of the Bill authorises the ACMA to </w:t>
      </w:r>
      <w:r w:rsidR="004E1798">
        <w:rPr>
          <w:rFonts w:cs="Arial"/>
        </w:rPr>
        <w:t>determine</w:t>
      </w:r>
      <w:r w:rsidRPr="00497D6A">
        <w:rPr>
          <w:rFonts w:cs="Arial"/>
        </w:rPr>
        <w:t xml:space="preserve"> spectrum access charges.</w:t>
      </w:r>
      <w:r w:rsidR="00AE4C12">
        <w:rPr>
          <w:rFonts w:cs="Arial"/>
        </w:rPr>
        <w:t xml:space="preserve"> </w:t>
      </w:r>
      <w:r w:rsidR="00F524C4">
        <w:rPr>
          <w:rFonts w:cs="Arial"/>
        </w:rPr>
        <w:t>S</w:t>
      </w:r>
      <w:r w:rsidR="00F524C4" w:rsidRPr="00497D6A">
        <w:rPr>
          <w:rFonts w:cs="Arial"/>
        </w:rPr>
        <w:t xml:space="preserve">imilar to </w:t>
      </w:r>
      <w:r w:rsidR="00F524C4">
        <w:rPr>
          <w:rFonts w:cs="Arial"/>
        </w:rPr>
        <w:t xml:space="preserve">the </w:t>
      </w:r>
      <w:r w:rsidR="00F524C4" w:rsidRPr="00497D6A">
        <w:rPr>
          <w:rFonts w:cs="Arial"/>
        </w:rPr>
        <w:t>existing arrangements</w:t>
      </w:r>
      <w:r w:rsidR="00F524C4">
        <w:rPr>
          <w:rFonts w:cs="Arial"/>
        </w:rPr>
        <w:t>, spectrum access charges a</w:t>
      </w:r>
      <w:r w:rsidR="00AE4C12">
        <w:rPr>
          <w:rFonts w:cs="Arial"/>
        </w:rPr>
        <w:t xml:space="preserve">llow the ACMA to </w:t>
      </w:r>
      <w:r w:rsidR="00A346AE">
        <w:rPr>
          <w:rFonts w:cs="Arial"/>
        </w:rPr>
        <w:t>specify an amount payable for the issue of a licence and the ti</w:t>
      </w:r>
      <w:r w:rsidR="00D43544">
        <w:rPr>
          <w:rFonts w:cs="Arial"/>
        </w:rPr>
        <w:t>me when such charge is payable.</w:t>
      </w:r>
    </w:p>
    <w:p w14:paraId="3397E1D0" w14:textId="64CFBB67" w:rsidR="008B2ABE" w:rsidRDefault="00497D6A" w:rsidP="00693300">
      <w:pPr>
        <w:rPr>
          <w:rFonts w:cs="Arial"/>
        </w:rPr>
      </w:pPr>
      <w:r w:rsidRPr="00497D6A">
        <w:rPr>
          <w:rFonts w:cs="Arial"/>
        </w:rPr>
        <w:t>The ACMA</w:t>
      </w:r>
      <w:r w:rsidR="00A346AE">
        <w:rPr>
          <w:rFonts w:cs="Arial"/>
        </w:rPr>
        <w:t xml:space="preserve"> may issue spectrum access charges by making </w:t>
      </w:r>
      <w:r w:rsidRPr="00497D6A">
        <w:rPr>
          <w:rFonts w:cs="Arial"/>
        </w:rPr>
        <w:t>determination</w:t>
      </w:r>
      <w:r w:rsidR="00A346AE">
        <w:rPr>
          <w:rFonts w:cs="Arial"/>
        </w:rPr>
        <w:t xml:space="preserve">s. </w:t>
      </w:r>
      <w:r w:rsidR="00D43544">
        <w:rPr>
          <w:rFonts w:cs="Arial"/>
        </w:rPr>
        <w:t>While</w:t>
      </w:r>
      <w:r w:rsidRPr="00497D6A">
        <w:rPr>
          <w:rFonts w:cs="Arial"/>
        </w:rPr>
        <w:t xml:space="preserve"> determinations will not be legislative instruments, for transparency they will be p</w:t>
      </w:r>
      <w:r w:rsidR="00D43544">
        <w:rPr>
          <w:rFonts w:cs="Arial"/>
        </w:rPr>
        <w:t>ublished on the ACMA’s website.</w:t>
      </w:r>
    </w:p>
    <w:p w14:paraId="10A25647" w14:textId="64BEBC08" w:rsidR="00497D6A" w:rsidRPr="00497D6A" w:rsidRDefault="00497D6A" w:rsidP="00693300">
      <w:pPr>
        <w:rPr>
          <w:rFonts w:cs="Arial"/>
        </w:rPr>
      </w:pPr>
      <w:r w:rsidRPr="00497D6A">
        <w:rPr>
          <w:rFonts w:cs="Arial"/>
        </w:rPr>
        <w:t xml:space="preserve">The Minister </w:t>
      </w:r>
      <w:r w:rsidR="00E84222">
        <w:rPr>
          <w:rFonts w:cs="Arial"/>
        </w:rPr>
        <w:t xml:space="preserve">will continue to have the ability to </w:t>
      </w:r>
      <w:r w:rsidRPr="00497D6A">
        <w:rPr>
          <w:rFonts w:cs="Arial"/>
        </w:rPr>
        <w:t>direct the ACMA about the matters dealt with in a determination, such as:</w:t>
      </w:r>
    </w:p>
    <w:p w14:paraId="3ED4A96D" w14:textId="1055418D" w:rsidR="00497D6A" w:rsidRPr="00394C6B" w:rsidRDefault="00497D6A" w:rsidP="000F3D08">
      <w:pPr>
        <w:pStyle w:val="Bulletlevel1"/>
        <w:ind w:left="567" w:hanging="567"/>
      </w:pPr>
      <w:r w:rsidRPr="00394C6B">
        <w:t>the level of a charge payable (or exemption) in respect of a specified class</w:t>
      </w:r>
      <w:r w:rsidR="00D43544" w:rsidRPr="00394C6B">
        <w:t xml:space="preserve"> of public or community service</w:t>
      </w:r>
    </w:p>
    <w:p w14:paraId="7F7486F2" w14:textId="2E8EF866" w:rsidR="00497D6A" w:rsidRPr="00394C6B" w:rsidRDefault="00497D6A" w:rsidP="000F3D08">
      <w:pPr>
        <w:pStyle w:val="Bulletlevel1"/>
        <w:ind w:left="567" w:hanging="567"/>
      </w:pPr>
      <w:r w:rsidRPr="00394C6B">
        <w:t>when persons are permitted to pay a spectr</w:t>
      </w:r>
      <w:r w:rsidR="00D43544" w:rsidRPr="00394C6B">
        <w:t>um access charge in instalments</w:t>
      </w:r>
      <w:r w:rsidR="001B02BE" w:rsidRPr="00394C6B">
        <w:t>,</w:t>
      </w:r>
      <w:r w:rsidRPr="00394C6B">
        <w:t xml:space="preserve"> or</w:t>
      </w:r>
    </w:p>
    <w:p w14:paraId="3469F5A4" w14:textId="155C39AE" w:rsidR="00497D6A" w:rsidRPr="001751BB" w:rsidRDefault="00E332AA" w:rsidP="000F3D08">
      <w:pPr>
        <w:pStyle w:val="Bulletlevel1"/>
        <w:ind w:left="567" w:hanging="567"/>
      </w:pPr>
      <w:proofErr w:type="gramStart"/>
      <w:r w:rsidRPr="00394C6B">
        <w:t>whether</w:t>
      </w:r>
      <w:proofErr w:type="gramEnd"/>
      <w:r w:rsidRPr="00394C6B">
        <w:t xml:space="preserve"> </w:t>
      </w:r>
      <w:r w:rsidR="00497D6A" w:rsidRPr="00394C6B">
        <w:t>the spectrum access charge reflects the amount the Minister considers as</w:t>
      </w:r>
      <w:r w:rsidR="00106320" w:rsidRPr="00394C6B">
        <w:t xml:space="preserve"> </w:t>
      </w:r>
      <w:r w:rsidR="00D43544" w:rsidRPr="00394C6B">
        <w:t>the value of the</w:t>
      </w:r>
      <w:r w:rsidR="00D43544" w:rsidRPr="001751BB">
        <w:t xml:space="preserve"> spectrum.</w:t>
      </w:r>
    </w:p>
    <w:p w14:paraId="67A18D79" w14:textId="77777777" w:rsidR="001751BB" w:rsidRDefault="00497D6A" w:rsidP="00693300">
      <w:pPr>
        <w:rPr>
          <w:rFonts w:cs="Arial"/>
        </w:rPr>
      </w:pPr>
      <w:r w:rsidRPr="00497D6A">
        <w:rPr>
          <w:rFonts w:cs="Arial"/>
        </w:rPr>
        <w:t xml:space="preserve">The ACMA may enter into arrangements with third parties to receive payments </w:t>
      </w:r>
      <w:r w:rsidR="008B2ABE">
        <w:rPr>
          <w:rFonts w:cs="Arial"/>
        </w:rPr>
        <w:t>of</w:t>
      </w:r>
      <w:r w:rsidRPr="00497D6A">
        <w:rPr>
          <w:rFonts w:cs="Arial"/>
        </w:rPr>
        <w:t xml:space="preserve"> spectrum access charges on behalf of the Commonwealth</w:t>
      </w:r>
      <w:r w:rsidR="00E82798">
        <w:rPr>
          <w:rFonts w:cs="Arial"/>
        </w:rPr>
        <w:t>, including delegates under Part 17</w:t>
      </w:r>
      <w:r w:rsidRPr="00497D6A">
        <w:rPr>
          <w:rFonts w:cs="Arial"/>
        </w:rPr>
        <w:t>.</w:t>
      </w:r>
    </w:p>
    <w:p w14:paraId="25383355" w14:textId="1208689A" w:rsidR="00D20D98" w:rsidRPr="00F42BD7" w:rsidRDefault="00654C01" w:rsidP="00693300">
      <w:pPr>
        <w:pStyle w:val="Heading3"/>
      </w:pPr>
      <w:bookmarkStart w:id="53" w:name="_Toc480810874"/>
      <w:r>
        <w:t>Delegation</w:t>
      </w:r>
      <w:r w:rsidR="00D43544">
        <w:t xml:space="preserve"> (Part 1</w:t>
      </w:r>
      <w:r w:rsidR="00B61073">
        <w:t>7</w:t>
      </w:r>
      <w:r w:rsidR="00D43544">
        <w:t>)</w:t>
      </w:r>
      <w:bookmarkEnd w:id="53"/>
    </w:p>
    <w:p w14:paraId="2A9A5B73" w14:textId="18C89C07" w:rsidR="00D20D98" w:rsidRDefault="00D20D98" w:rsidP="00693300">
      <w:pPr>
        <w:rPr>
          <w:rFonts w:cs="Arial"/>
        </w:rPr>
      </w:pPr>
      <w:r>
        <w:rPr>
          <w:rFonts w:cs="Arial"/>
        </w:rPr>
        <w:t xml:space="preserve">The 1992 Act provided for the introduction of a market system of spectrum </w:t>
      </w:r>
      <w:r w:rsidR="00767F94">
        <w:rPr>
          <w:rFonts w:cs="Arial"/>
        </w:rPr>
        <w:t>allocation</w:t>
      </w:r>
      <w:r>
        <w:rPr>
          <w:rFonts w:cs="Arial"/>
        </w:rPr>
        <w:t>, aimed at achieving greater efficiency in spectrum allocation and use.</w:t>
      </w:r>
      <w:r w:rsidR="00106320">
        <w:rPr>
          <w:rFonts w:cs="Arial"/>
        </w:rPr>
        <w:t xml:space="preserve"> </w:t>
      </w:r>
      <w:r>
        <w:rPr>
          <w:rFonts w:cs="Arial"/>
        </w:rPr>
        <w:t>This included the introduction of a scheme for the accreditation of persons to perform specified functions.</w:t>
      </w:r>
      <w:r w:rsidR="00106320">
        <w:rPr>
          <w:rFonts w:cs="Arial"/>
        </w:rPr>
        <w:t xml:space="preserve"> </w:t>
      </w:r>
      <w:r>
        <w:rPr>
          <w:rFonts w:cs="Arial"/>
        </w:rPr>
        <w:t>Accredited Persons were expected to meet the needs of spectrum users in a responsive and flexible manner.</w:t>
      </w:r>
    </w:p>
    <w:p w14:paraId="7EB30BBD" w14:textId="4F5863E4" w:rsidR="00D20D98" w:rsidRPr="005113E8" w:rsidRDefault="00D43544" w:rsidP="00693300">
      <w:pPr>
        <w:rPr>
          <w:rFonts w:cs="Arial"/>
        </w:rPr>
      </w:pPr>
      <w:r>
        <w:rPr>
          <w:rFonts w:cs="Arial"/>
        </w:rPr>
        <w:t>T</w:t>
      </w:r>
      <w:r w:rsidR="004E3BDA">
        <w:rPr>
          <w:rFonts w:cs="Arial"/>
        </w:rPr>
        <w:t xml:space="preserve">he </w:t>
      </w:r>
      <w:r w:rsidR="00D20D98" w:rsidRPr="005113E8">
        <w:rPr>
          <w:rFonts w:cs="Arial"/>
        </w:rPr>
        <w:t xml:space="preserve">1992 </w:t>
      </w:r>
      <w:r w:rsidR="004E3BDA">
        <w:rPr>
          <w:rFonts w:cs="Arial"/>
        </w:rPr>
        <w:t xml:space="preserve">Act </w:t>
      </w:r>
      <w:r w:rsidR="00D20D98" w:rsidRPr="005113E8">
        <w:rPr>
          <w:rFonts w:cs="Arial"/>
        </w:rPr>
        <w:t>require</w:t>
      </w:r>
      <w:r w:rsidR="00D20D98">
        <w:rPr>
          <w:rFonts w:cs="Arial"/>
        </w:rPr>
        <w:t>s</w:t>
      </w:r>
      <w:r w:rsidR="00D20D98" w:rsidRPr="005113E8">
        <w:rPr>
          <w:rFonts w:cs="Arial"/>
        </w:rPr>
        <w:t xml:space="preserve"> the ACMA to undertake most spectrum management activities with little opportunity to devolve functions, powers and duties to industry or third parties. Where the ACMA can devolve responsibilities, the </w:t>
      </w:r>
      <w:r w:rsidR="00B97B09">
        <w:rPr>
          <w:rFonts w:cs="Arial"/>
        </w:rPr>
        <w:t xml:space="preserve">1992 </w:t>
      </w:r>
      <w:r w:rsidR="00D20D98" w:rsidRPr="005113E8">
        <w:rPr>
          <w:rFonts w:cs="Arial"/>
        </w:rPr>
        <w:t xml:space="preserve">Act contains limited provisions for the delegation to bodies that are not a Commonwealth authority. The </w:t>
      </w:r>
      <w:r w:rsidR="00B97B09">
        <w:rPr>
          <w:rFonts w:cs="Arial"/>
        </w:rPr>
        <w:t xml:space="preserve">1992 </w:t>
      </w:r>
      <w:r w:rsidR="00D20D98">
        <w:rPr>
          <w:rFonts w:cs="Arial"/>
        </w:rPr>
        <w:t xml:space="preserve">Act limits the types of work </w:t>
      </w:r>
      <w:r w:rsidRPr="005113E8">
        <w:rPr>
          <w:rFonts w:cs="Arial"/>
        </w:rPr>
        <w:t>Accredit</w:t>
      </w:r>
      <w:r>
        <w:rPr>
          <w:rFonts w:cs="Arial"/>
        </w:rPr>
        <w:t>ed</w:t>
      </w:r>
      <w:r w:rsidRPr="005113E8">
        <w:rPr>
          <w:rFonts w:cs="Arial"/>
        </w:rPr>
        <w:t xml:space="preserve"> Persons </w:t>
      </w:r>
      <w:r w:rsidR="00D20D98" w:rsidRPr="005113E8">
        <w:rPr>
          <w:rFonts w:cs="Arial"/>
        </w:rPr>
        <w:t xml:space="preserve">or bodies </w:t>
      </w:r>
      <w:r w:rsidR="00D20D98">
        <w:rPr>
          <w:rFonts w:cs="Arial"/>
        </w:rPr>
        <w:t>can</w:t>
      </w:r>
      <w:r w:rsidR="00D20D98" w:rsidRPr="005113E8">
        <w:rPr>
          <w:rFonts w:cs="Arial"/>
        </w:rPr>
        <w:t xml:space="preserve"> undertake in support of the exercise of specific functions and powers by the ACMA. This leads to an overreliance on the regulator</w:t>
      </w:r>
      <w:r w:rsidR="00D20D98">
        <w:rPr>
          <w:rFonts w:cs="Arial"/>
        </w:rPr>
        <w:t xml:space="preserve"> in many areas of spectrum management</w:t>
      </w:r>
      <w:r w:rsidR="00D20D98" w:rsidRPr="005113E8">
        <w:rPr>
          <w:rFonts w:cs="Arial"/>
        </w:rPr>
        <w:t>, inflexible arrangements and a lack of agency for users.</w:t>
      </w:r>
    </w:p>
    <w:p w14:paraId="35D63E02" w14:textId="77777777" w:rsidR="00D20D98" w:rsidRPr="005113E8" w:rsidRDefault="00D20D98" w:rsidP="00693300">
      <w:pPr>
        <w:rPr>
          <w:rFonts w:cs="Arial"/>
        </w:rPr>
      </w:pPr>
      <w:r w:rsidRPr="005113E8">
        <w:rPr>
          <w:rFonts w:cs="Arial"/>
        </w:rPr>
        <w:t>Stakeholders have indicated a preference for greater third party involvement in spectrum management functions but acknowledge the critical role of the ACMA as the regulator, especially in the areas of accreditation</w:t>
      </w:r>
      <w:r>
        <w:rPr>
          <w:rFonts w:cs="Arial"/>
        </w:rPr>
        <w:t>, enforcement</w:t>
      </w:r>
      <w:r w:rsidRPr="005113E8">
        <w:rPr>
          <w:rFonts w:cs="Arial"/>
        </w:rPr>
        <w:t xml:space="preserve"> and interference management.</w:t>
      </w:r>
    </w:p>
    <w:p w14:paraId="77159F60" w14:textId="6FD1D5CF" w:rsidR="00D20D98" w:rsidRPr="005113E8" w:rsidRDefault="00D20D98" w:rsidP="00693300">
      <w:pPr>
        <w:rPr>
          <w:rFonts w:cs="Arial"/>
        </w:rPr>
      </w:pPr>
      <w:r>
        <w:rPr>
          <w:rFonts w:cs="Arial"/>
        </w:rPr>
        <w:t xml:space="preserve">Existing accreditation arrangements have contributed to an efficient, market-based solution for frequency coordination of apparatus licences and the management of devices registered under spectrum licences. </w:t>
      </w:r>
      <w:r w:rsidRPr="005113E8">
        <w:rPr>
          <w:rFonts w:cs="Arial"/>
        </w:rPr>
        <w:t xml:space="preserve">The Bill proposes to increase the delegation ability of the ACMA to allow </w:t>
      </w:r>
      <w:r w:rsidR="000102B6">
        <w:rPr>
          <w:rFonts w:cs="Arial"/>
        </w:rPr>
        <w:t xml:space="preserve">it </w:t>
      </w:r>
      <w:r w:rsidRPr="005113E8">
        <w:rPr>
          <w:rFonts w:cs="Arial"/>
        </w:rPr>
        <w:t>to enter into arrangements with other bodies or persons to exercise, administer or contribute to the spectrum management functions, powers and duties of the ACMA. It is also propose</w:t>
      </w:r>
      <w:r w:rsidR="000102B6">
        <w:rPr>
          <w:rFonts w:cs="Arial"/>
        </w:rPr>
        <w:t>s</w:t>
      </w:r>
      <w:r w:rsidRPr="005113E8">
        <w:rPr>
          <w:rFonts w:cs="Arial"/>
        </w:rPr>
        <w:t xml:space="preserve"> to extend the ability of the ACMA to accredit persons or bodies, and increase the scope of work accredited persons or bodies may undertake.</w:t>
      </w:r>
      <w:r w:rsidR="00106320">
        <w:rPr>
          <w:rFonts w:cs="Arial"/>
        </w:rPr>
        <w:t xml:space="preserve"> </w:t>
      </w:r>
      <w:r>
        <w:rPr>
          <w:rFonts w:cs="Arial"/>
        </w:rPr>
        <w:t>This is designed to facilitate more flexible and efficient use of spectrum and allow for more innovative management arrangements.</w:t>
      </w:r>
      <w:r w:rsidR="00106320">
        <w:rPr>
          <w:rFonts w:cs="Arial"/>
        </w:rPr>
        <w:t xml:space="preserve"> </w:t>
      </w:r>
      <w:r w:rsidR="00861DEB">
        <w:rPr>
          <w:rFonts w:cs="Arial"/>
        </w:rPr>
        <w:t xml:space="preserve">The ACMA has provided a paper outlining </w:t>
      </w:r>
      <w:r w:rsidR="00D43544">
        <w:rPr>
          <w:rFonts w:cs="Arial"/>
        </w:rPr>
        <w:t>potential approaches to</w:t>
      </w:r>
      <w:r w:rsidR="00861DEB">
        <w:rPr>
          <w:rFonts w:cs="Arial"/>
        </w:rPr>
        <w:t xml:space="preserve"> accreditation arrangements</w:t>
      </w:r>
      <w:r w:rsidR="00D43544">
        <w:rPr>
          <w:rFonts w:cs="Arial"/>
        </w:rPr>
        <w:t xml:space="preserve"> enabled by the Bill</w:t>
      </w:r>
      <w:r w:rsidRPr="00861DEB">
        <w:rPr>
          <w:rFonts w:cs="Arial"/>
        </w:rPr>
        <w:t xml:space="preserve">. </w:t>
      </w:r>
      <w:r w:rsidR="002F2F2F">
        <w:rPr>
          <w:rFonts w:cs="Arial"/>
        </w:rPr>
        <w:t>This paper can be found on the ACMA website.</w:t>
      </w:r>
    </w:p>
    <w:p w14:paraId="13901F1D" w14:textId="75F2D56E" w:rsidR="00D20D98" w:rsidRPr="005113E8" w:rsidRDefault="00D20D98" w:rsidP="00693300">
      <w:pPr>
        <w:rPr>
          <w:rFonts w:cs="Arial"/>
        </w:rPr>
      </w:pPr>
      <w:r w:rsidRPr="005113E8">
        <w:rPr>
          <w:rFonts w:cs="Arial"/>
        </w:rPr>
        <w:t xml:space="preserve">The ACMA will retain full discretion and control over what roles and functions would be undertaken by third parties and the conditions that would apply. ACMA will be able to revoke any arrangement (subject to any contractual limitations) if it is satisfied the party is not exercising the functions in accordance with the </w:t>
      </w:r>
      <w:r>
        <w:rPr>
          <w:rFonts w:cs="Arial"/>
        </w:rPr>
        <w:t>Bill</w:t>
      </w:r>
      <w:r w:rsidRPr="005113E8">
        <w:rPr>
          <w:rFonts w:cs="Arial"/>
        </w:rPr>
        <w:t>, the conditions of the arrangements or if it is not in the best interests of the general community or the radiocommunications industry.</w:t>
      </w:r>
    </w:p>
    <w:p w14:paraId="78C8F581" w14:textId="663E38FA" w:rsidR="00440449" w:rsidRDefault="00D20D98" w:rsidP="00693300">
      <w:pPr>
        <w:rPr>
          <w:rFonts w:cs="Arial"/>
        </w:rPr>
      </w:pPr>
      <w:r w:rsidRPr="005113E8">
        <w:rPr>
          <w:rFonts w:cs="Arial"/>
        </w:rPr>
        <w:t xml:space="preserve">The ACMA will </w:t>
      </w:r>
      <w:r>
        <w:rPr>
          <w:rFonts w:cs="Arial"/>
        </w:rPr>
        <w:t>have some</w:t>
      </w:r>
      <w:r w:rsidRPr="005113E8">
        <w:rPr>
          <w:rFonts w:cs="Arial"/>
        </w:rPr>
        <w:t xml:space="preserve"> limit</w:t>
      </w:r>
      <w:r>
        <w:rPr>
          <w:rFonts w:cs="Arial"/>
        </w:rPr>
        <w:t>s on</w:t>
      </w:r>
      <w:r w:rsidRPr="005113E8">
        <w:rPr>
          <w:rFonts w:cs="Arial"/>
        </w:rPr>
        <w:t xml:space="preserve"> the functions and powers that are able to be delegated to ensure appropriate levels of certainty for </w:t>
      </w:r>
      <w:r>
        <w:rPr>
          <w:rFonts w:cs="Arial"/>
        </w:rPr>
        <w:t>g</w:t>
      </w:r>
      <w:r w:rsidRPr="005113E8">
        <w:rPr>
          <w:rFonts w:cs="Arial"/>
        </w:rPr>
        <w:t xml:space="preserve">overnment, industry and users. Certain spectrum management functions and powers must be performed by the </w:t>
      </w:r>
      <w:r w:rsidR="00157E3C">
        <w:rPr>
          <w:rFonts w:cs="Arial"/>
        </w:rPr>
        <w:t>ACMA</w:t>
      </w:r>
      <w:r w:rsidR="00157E3C" w:rsidRPr="005113E8">
        <w:rPr>
          <w:rFonts w:cs="Arial"/>
        </w:rPr>
        <w:t xml:space="preserve"> </w:t>
      </w:r>
      <w:r w:rsidRPr="005113E8">
        <w:rPr>
          <w:rFonts w:cs="Arial"/>
        </w:rPr>
        <w:t xml:space="preserve">in its own standing, including those that determine the </w:t>
      </w:r>
      <w:r w:rsidR="00157E3C">
        <w:rPr>
          <w:rFonts w:cs="Arial"/>
        </w:rPr>
        <w:t xml:space="preserve">application </w:t>
      </w:r>
      <w:r w:rsidRPr="005113E8">
        <w:rPr>
          <w:rFonts w:cs="Arial"/>
        </w:rPr>
        <w:t>of legislation</w:t>
      </w:r>
      <w:r w:rsidR="0071502A">
        <w:rPr>
          <w:rFonts w:cs="Arial"/>
        </w:rPr>
        <w:t>,</w:t>
      </w:r>
      <w:r w:rsidR="00157E3C">
        <w:rPr>
          <w:rFonts w:cs="Arial"/>
        </w:rPr>
        <w:t xml:space="preserve"> and those relating to spectrum planning and enforcement of Bill provisions</w:t>
      </w:r>
      <w:r w:rsidRPr="005113E8">
        <w:rPr>
          <w:rFonts w:cs="Arial"/>
        </w:rPr>
        <w:t>. Other powers that are excluded from potential delegation are those that must be exercised by the Minister.</w:t>
      </w:r>
      <w:r w:rsidR="00F51A20">
        <w:rPr>
          <w:rFonts w:cs="Arial"/>
        </w:rPr>
        <w:t xml:space="preserve"> All delegations will be published on the ACMA website.</w:t>
      </w:r>
    </w:p>
    <w:p w14:paraId="0DE996E4" w14:textId="5A6219B4" w:rsidR="008E46B6" w:rsidRPr="00F42BD7" w:rsidRDefault="00D43544" w:rsidP="00693300">
      <w:pPr>
        <w:pStyle w:val="Heading3"/>
      </w:pPr>
      <w:bookmarkStart w:id="54" w:name="_Toc480810875"/>
      <w:r>
        <w:t>Review of decisions (Part 1</w:t>
      </w:r>
      <w:r w:rsidR="00B61073">
        <w:t>8</w:t>
      </w:r>
      <w:r>
        <w:t>)</w:t>
      </w:r>
      <w:bookmarkEnd w:id="54"/>
    </w:p>
    <w:p w14:paraId="6DE73D98" w14:textId="14DB624D" w:rsidR="00894E95" w:rsidRDefault="00631B6E" w:rsidP="00783F2E">
      <w:pPr>
        <w:keepNext/>
        <w:rPr>
          <w:rFonts w:cs="Arial"/>
        </w:rPr>
      </w:pPr>
      <w:r>
        <w:rPr>
          <w:rFonts w:cs="Arial"/>
        </w:rPr>
        <w:t>Allowing</w:t>
      </w:r>
      <w:r w:rsidR="00894E95">
        <w:rPr>
          <w:rFonts w:cs="Arial"/>
        </w:rPr>
        <w:t xml:space="preserve"> for the review of administrative decisions is cen</w:t>
      </w:r>
      <w:r w:rsidR="00D43544">
        <w:rPr>
          <w:rFonts w:cs="Arial"/>
        </w:rPr>
        <w:t>tral to procedural fairness.</w:t>
      </w:r>
    </w:p>
    <w:p w14:paraId="2173E4A8" w14:textId="0080EBD5" w:rsidR="008E46B6" w:rsidRDefault="008E46B6" w:rsidP="00693300">
      <w:pPr>
        <w:rPr>
          <w:rFonts w:cs="Arial"/>
        </w:rPr>
      </w:pPr>
      <w:r>
        <w:rPr>
          <w:rFonts w:cs="Arial"/>
        </w:rPr>
        <w:t>The Bill allows for the review of certain decisions made by the ACMA. In the first instance</w:t>
      </w:r>
      <w:r w:rsidR="00D43544">
        <w:rPr>
          <w:rFonts w:cs="Arial"/>
        </w:rPr>
        <w:t>,</w:t>
      </w:r>
      <w:r w:rsidR="00631B6E">
        <w:rPr>
          <w:rFonts w:cs="Arial"/>
        </w:rPr>
        <w:t xml:space="preserve"> an applicant can </w:t>
      </w:r>
      <w:r>
        <w:rPr>
          <w:rFonts w:cs="Arial"/>
        </w:rPr>
        <w:t xml:space="preserve">request </w:t>
      </w:r>
      <w:r w:rsidR="00631B6E">
        <w:rPr>
          <w:rFonts w:cs="Arial"/>
        </w:rPr>
        <w:t xml:space="preserve">that the ACMA review a decision by submitting this request to the ACMA in </w:t>
      </w:r>
      <w:r w:rsidR="00037188">
        <w:rPr>
          <w:rFonts w:cs="Arial"/>
        </w:rPr>
        <w:t xml:space="preserve">an approved form </w:t>
      </w:r>
      <w:r>
        <w:rPr>
          <w:rFonts w:cs="Arial"/>
        </w:rPr>
        <w:t xml:space="preserve">within 28 days after the applicant is informed of </w:t>
      </w:r>
      <w:r w:rsidR="00631B6E">
        <w:rPr>
          <w:rFonts w:cs="Arial"/>
        </w:rPr>
        <w:t>a</w:t>
      </w:r>
      <w:r w:rsidR="00D43544">
        <w:rPr>
          <w:rFonts w:cs="Arial"/>
        </w:rPr>
        <w:t xml:space="preserve"> decision.</w:t>
      </w:r>
    </w:p>
    <w:p w14:paraId="44246402" w14:textId="03787101" w:rsidR="00037188" w:rsidRDefault="00037188" w:rsidP="00693300">
      <w:pPr>
        <w:rPr>
          <w:rFonts w:cs="Arial"/>
        </w:rPr>
      </w:pPr>
      <w:r>
        <w:rPr>
          <w:rFonts w:cs="Arial"/>
        </w:rPr>
        <w:t>On receipt</w:t>
      </w:r>
      <w:r w:rsidR="00D63A54">
        <w:rPr>
          <w:rFonts w:cs="Arial"/>
        </w:rPr>
        <w:t xml:space="preserve"> of a request for review</w:t>
      </w:r>
      <w:r w:rsidR="00D43544">
        <w:rPr>
          <w:rFonts w:cs="Arial"/>
        </w:rPr>
        <w:t>,</w:t>
      </w:r>
      <w:r w:rsidR="00D63A54">
        <w:rPr>
          <w:rFonts w:cs="Arial"/>
        </w:rPr>
        <w:t xml:space="preserve"> </w:t>
      </w:r>
      <w:r>
        <w:rPr>
          <w:rFonts w:cs="Arial"/>
        </w:rPr>
        <w:t>the ACMA must review the decision within 90 days. Upon completion of the review the ACMA has 28 days to provide a written notice outlining their decision on the recon</w:t>
      </w:r>
      <w:r w:rsidR="00D43544">
        <w:rPr>
          <w:rFonts w:cs="Arial"/>
        </w:rPr>
        <w:t>sideration.</w:t>
      </w:r>
    </w:p>
    <w:p w14:paraId="2D8E248A" w14:textId="41EEAE04" w:rsidR="00037188" w:rsidRPr="005113E8" w:rsidRDefault="00037188" w:rsidP="00693300">
      <w:pPr>
        <w:rPr>
          <w:rFonts w:cs="Arial"/>
        </w:rPr>
      </w:pPr>
      <w:r>
        <w:rPr>
          <w:rFonts w:cs="Arial"/>
        </w:rPr>
        <w:t>In cases where</w:t>
      </w:r>
      <w:r w:rsidR="00D43544">
        <w:rPr>
          <w:rFonts w:cs="Arial"/>
        </w:rPr>
        <w:t>,</w:t>
      </w:r>
      <w:r>
        <w:rPr>
          <w:rFonts w:cs="Arial"/>
        </w:rPr>
        <w:t xml:space="preserve"> </w:t>
      </w:r>
      <w:r w:rsidR="00FD2516">
        <w:rPr>
          <w:rFonts w:cs="Arial"/>
        </w:rPr>
        <w:t>after assessing the application for review</w:t>
      </w:r>
      <w:r w:rsidR="00D43544">
        <w:rPr>
          <w:rFonts w:cs="Arial"/>
        </w:rPr>
        <w:t>,</w:t>
      </w:r>
      <w:r w:rsidR="00FD2516">
        <w:rPr>
          <w:rFonts w:cs="Arial"/>
        </w:rPr>
        <w:t xml:space="preserve"> </w:t>
      </w:r>
      <w:r>
        <w:rPr>
          <w:rFonts w:cs="Arial"/>
        </w:rPr>
        <w:t xml:space="preserve">the ACMA has </w:t>
      </w:r>
      <w:r w:rsidR="00307E9B">
        <w:rPr>
          <w:rFonts w:cs="Arial"/>
        </w:rPr>
        <w:t xml:space="preserve">affirmed or varied </w:t>
      </w:r>
      <w:r>
        <w:rPr>
          <w:rFonts w:cs="Arial"/>
        </w:rPr>
        <w:t>the original decision</w:t>
      </w:r>
      <w:r w:rsidR="00D43544">
        <w:rPr>
          <w:rFonts w:cs="Arial"/>
        </w:rPr>
        <w:t>,</w:t>
      </w:r>
      <w:r>
        <w:rPr>
          <w:rFonts w:cs="Arial"/>
        </w:rPr>
        <w:t xml:space="preserve"> </w:t>
      </w:r>
      <w:r w:rsidR="00FD2516">
        <w:rPr>
          <w:rFonts w:cs="Arial"/>
        </w:rPr>
        <w:t xml:space="preserve">the applicant can ask the </w:t>
      </w:r>
      <w:r w:rsidR="0062529C">
        <w:t>Administrative Appeal Tribunal</w:t>
      </w:r>
      <w:r w:rsidR="00FD2516">
        <w:rPr>
          <w:rFonts w:cs="Arial"/>
        </w:rPr>
        <w:t xml:space="preserve"> to review that</w:t>
      </w:r>
      <w:r w:rsidR="00D43544">
        <w:rPr>
          <w:rFonts w:cs="Arial"/>
        </w:rPr>
        <w:t xml:space="preserve"> decision.</w:t>
      </w:r>
    </w:p>
    <w:p w14:paraId="53353748" w14:textId="77777777" w:rsidR="001751BB" w:rsidRDefault="00787446" w:rsidP="00693300">
      <w:pPr>
        <w:pStyle w:val="Heading3"/>
      </w:pPr>
      <w:bookmarkStart w:id="55" w:name="_Toc480810876"/>
      <w:r w:rsidRPr="00F42BD7">
        <w:t>Provisions extending the concept of radiocommunications (Part 1</w:t>
      </w:r>
      <w:r w:rsidR="00B61073">
        <w:t>9</w:t>
      </w:r>
      <w:r w:rsidRPr="00F42BD7">
        <w:t>)</w:t>
      </w:r>
      <w:bookmarkEnd w:id="55"/>
    </w:p>
    <w:p w14:paraId="736047D8" w14:textId="2E963327" w:rsidR="00787446" w:rsidRPr="005113E8" w:rsidRDefault="00CE45B2" w:rsidP="00693300">
      <w:pPr>
        <w:rPr>
          <w:rFonts w:cs="Arial"/>
        </w:rPr>
      </w:pPr>
      <w:r>
        <w:rPr>
          <w:rFonts w:cs="Arial"/>
        </w:rPr>
        <w:t xml:space="preserve">This </w:t>
      </w:r>
      <w:r w:rsidR="00D43544">
        <w:rPr>
          <w:rFonts w:cs="Arial"/>
        </w:rPr>
        <w:t>P</w:t>
      </w:r>
      <w:r>
        <w:rPr>
          <w:rFonts w:cs="Arial"/>
        </w:rPr>
        <w:t xml:space="preserve">art specifically </w:t>
      </w:r>
      <w:r w:rsidR="00BB15BD">
        <w:rPr>
          <w:rFonts w:cs="Arial"/>
        </w:rPr>
        <w:t>extends</w:t>
      </w:r>
      <w:r>
        <w:rPr>
          <w:rFonts w:cs="Arial"/>
        </w:rPr>
        <w:t xml:space="preserve"> the</w:t>
      </w:r>
      <w:r w:rsidR="00F82588">
        <w:rPr>
          <w:rFonts w:cs="Arial"/>
        </w:rPr>
        <w:t xml:space="preserve"> operation of</w:t>
      </w:r>
      <w:r>
        <w:rPr>
          <w:rFonts w:cs="Arial"/>
        </w:rPr>
        <w:t xml:space="preserve"> </w:t>
      </w:r>
      <w:r w:rsidR="00D43544">
        <w:rPr>
          <w:rFonts w:cs="Arial"/>
        </w:rPr>
        <w:t>the Bill</w:t>
      </w:r>
      <w:r>
        <w:rPr>
          <w:rFonts w:cs="Arial"/>
        </w:rPr>
        <w:t xml:space="preserve"> to </w:t>
      </w:r>
      <w:r w:rsidR="00F82588">
        <w:rPr>
          <w:rFonts w:cs="Arial"/>
        </w:rPr>
        <w:t xml:space="preserve">include </w:t>
      </w:r>
      <w:r>
        <w:rPr>
          <w:rFonts w:cs="Arial"/>
        </w:rPr>
        <w:t>certain processes</w:t>
      </w:r>
      <w:r w:rsidR="00D43544">
        <w:rPr>
          <w:rFonts w:cs="Arial"/>
        </w:rPr>
        <w:t>,</w:t>
      </w:r>
      <w:r>
        <w:rPr>
          <w:rFonts w:cs="Arial"/>
        </w:rPr>
        <w:t xml:space="preserve"> </w:t>
      </w:r>
      <w:r w:rsidR="00F82588">
        <w:rPr>
          <w:rFonts w:cs="Arial"/>
        </w:rPr>
        <w:t>such as</w:t>
      </w:r>
      <w:r w:rsidR="00E44AE2">
        <w:rPr>
          <w:rFonts w:cs="Arial"/>
        </w:rPr>
        <w:t xml:space="preserve"> those </w:t>
      </w:r>
      <w:r w:rsidR="00F82588">
        <w:rPr>
          <w:rFonts w:cs="Arial"/>
        </w:rPr>
        <w:t>where</w:t>
      </w:r>
      <w:r w:rsidR="00BB15BD">
        <w:rPr>
          <w:rFonts w:cs="Arial"/>
        </w:rPr>
        <w:t xml:space="preserve"> radio transmissions </w:t>
      </w:r>
      <w:r w:rsidR="00F82588">
        <w:rPr>
          <w:rFonts w:cs="Arial"/>
        </w:rPr>
        <w:t xml:space="preserve">are used </w:t>
      </w:r>
      <w:r w:rsidR="00BB15BD">
        <w:rPr>
          <w:rFonts w:cs="Arial"/>
        </w:rPr>
        <w:t>for the purposes of measurement, the operation of astronomical and meteorological</w:t>
      </w:r>
      <w:r w:rsidR="00E44AE2">
        <w:rPr>
          <w:rFonts w:cs="Arial"/>
        </w:rPr>
        <w:t xml:space="preserve"> observations</w:t>
      </w:r>
      <w:r w:rsidR="00BB15BD">
        <w:rPr>
          <w:rFonts w:cs="Arial"/>
        </w:rPr>
        <w:t xml:space="preserve"> and the use of radio emissions in connection with the operation of lighthouses</w:t>
      </w:r>
      <w:r w:rsidR="00D43544">
        <w:rPr>
          <w:rFonts w:cs="Arial"/>
        </w:rPr>
        <w:t>.</w:t>
      </w:r>
    </w:p>
    <w:p w14:paraId="021C9744" w14:textId="1360AC8F" w:rsidR="00D20D98" w:rsidRPr="00F42BD7" w:rsidRDefault="00D20D98" w:rsidP="00693300">
      <w:pPr>
        <w:pStyle w:val="Heading3"/>
      </w:pPr>
      <w:bookmarkStart w:id="56" w:name="_Toc480810877"/>
      <w:r w:rsidRPr="00F42BD7">
        <w:t>Exemptions</w:t>
      </w:r>
      <w:r w:rsidR="002477E4" w:rsidRPr="00F42BD7">
        <w:t xml:space="preserve"> (Part </w:t>
      </w:r>
      <w:r w:rsidR="00B61073">
        <w:t>20</w:t>
      </w:r>
      <w:r w:rsidR="002477E4" w:rsidRPr="00F42BD7">
        <w:t>)</w:t>
      </w:r>
      <w:bookmarkEnd w:id="56"/>
    </w:p>
    <w:p w14:paraId="23CDD5DC" w14:textId="7EC8A165" w:rsidR="00D20D98" w:rsidRDefault="00D20D98" w:rsidP="001751BB">
      <w:pPr>
        <w:keepNext/>
      </w:pPr>
      <w:r>
        <w:t>With the exception of specific interference provisions and Part 1</w:t>
      </w:r>
      <w:r w:rsidR="00B61073">
        <w:t>5</w:t>
      </w:r>
      <w:r>
        <w:t xml:space="preserve"> (Enforcement), </w:t>
      </w:r>
      <w:r w:rsidR="00887232">
        <w:t xml:space="preserve">and subject to any relevant agreement, treaty or convention relating to radio emissions, </w:t>
      </w:r>
      <w:r>
        <w:t>the Bill does not apply to:</w:t>
      </w:r>
    </w:p>
    <w:p w14:paraId="5E4C9AA4" w14:textId="0B85310E" w:rsidR="00D20D98" w:rsidRPr="00394C6B" w:rsidRDefault="00D20D98" w:rsidP="000F3D08">
      <w:pPr>
        <w:pStyle w:val="Bulletlevel1"/>
        <w:ind w:left="567" w:hanging="567"/>
      </w:pPr>
      <w:r w:rsidRPr="00394C6B">
        <w:t>space objects, except as determined by the ACMA</w:t>
      </w:r>
    </w:p>
    <w:p w14:paraId="58FB861C" w14:textId="547ED056" w:rsidR="00D20D98" w:rsidRDefault="00E31E83" w:rsidP="000F3D08">
      <w:pPr>
        <w:pStyle w:val="Bulletlevel1"/>
        <w:ind w:left="567" w:hanging="567"/>
      </w:pPr>
      <w:proofErr w:type="gramStart"/>
      <w:r w:rsidRPr="00394C6B">
        <w:t>radiocommunications</w:t>
      </w:r>
      <w:proofErr w:type="gramEnd"/>
      <w:r w:rsidRPr="00394C6B">
        <w:t xml:space="preserve"> transmitters or receivers</w:t>
      </w:r>
      <w:r w:rsidR="00106320" w:rsidRPr="00394C6B">
        <w:t xml:space="preserve"> </w:t>
      </w:r>
      <w:r w:rsidRPr="00394C6B">
        <w:t xml:space="preserve">on board </w:t>
      </w:r>
      <w:r w:rsidR="00D20D98" w:rsidRPr="00394C6B">
        <w:t>foreign vessels or aircraft travelling to or</w:t>
      </w:r>
      <w:r w:rsidR="00D20D98">
        <w:t xml:space="preserve"> from </w:t>
      </w:r>
      <w:r w:rsidR="00887232">
        <w:t xml:space="preserve">Australia or between </w:t>
      </w:r>
      <w:r w:rsidR="00D20D98">
        <w:t>point</w:t>
      </w:r>
      <w:r w:rsidR="00887232">
        <w:t>s</w:t>
      </w:r>
      <w:r w:rsidR="00D20D98">
        <w:t xml:space="preserve"> outside of Australia.</w:t>
      </w:r>
    </w:p>
    <w:p w14:paraId="27D7AC65" w14:textId="3C2F487E" w:rsidR="00D20D98" w:rsidRDefault="00E31E83">
      <w:r>
        <w:t>In order to facilitate the operations of Australia’s defence forces</w:t>
      </w:r>
      <w:r w:rsidR="00D43544">
        <w:t>,</w:t>
      </w:r>
      <w:r>
        <w:t xml:space="preserve"> the Bill also does not apply to actions of a member of the defence force, or an </w:t>
      </w:r>
      <w:r w:rsidR="00D43544">
        <w:t xml:space="preserve">Australian Public Service </w:t>
      </w:r>
      <w:r>
        <w:t>employee in the Department</w:t>
      </w:r>
      <w:r w:rsidR="005F51B6">
        <w:t xml:space="preserve"> of Defence</w:t>
      </w:r>
      <w:r>
        <w:t xml:space="preserve">, in the performance of </w:t>
      </w:r>
      <w:r w:rsidR="00D43544">
        <w:t>their</w:t>
      </w:r>
      <w:r>
        <w:t xml:space="preserve"> dutie</w:t>
      </w:r>
      <w:r w:rsidR="00BE4C50">
        <w:t xml:space="preserve">s, or to anything done by or on behalf of specified intelligence </w:t>
      </w:r>
      <w:r w:rsidR="00BE4C50" w:rsidRPr="008F299C">
        <w:rPr>
          <w:rFonts w:cs="Arial"/>
        </w:rPr>
        <w:t>agenc</w:t>
      </w:r>
      <w:r w:rsidR="00BE4C50" w:rsidRPr="00693300">
        <w:rPr>
          <w:rFonts w:cs="Arial"/>
        </w:rPr>
        <w:t>ies</w:t>
      </w:r>
      <w:r w:rsidR="00BE4C50">
        <w:t>.</w:t>
      </w:r>
    </w:p>
    <w:p w14:paraId="77AFD526" w14:textId="42CCD8AF" w:rsidR="00BE4C50" w:rsidRDefault="00BE4C50">
      <w:r>
        <w:t xml:space="preserve">The Bill provides further exemptions for the purposes of defence and the ACMA, as well as for defence, law </w:t>
      </w:r>
      <w:r w:rsidRPr="008F299C">
        <w:rPr>
          <w:rFonts w:cs="Arial"/>
        </w:rPr>
        <w:t>enforcement</w:t>
      </w:r>
      <w:r>
        <w:t xml:space="preserve"> and emergency personnel.</w:t>
      </w:r>
    </w:p>
    <w:p w14:paraId="77E8A6D6" w14:textId="71E4896A" w:rsidR="00D20D98" w:rsidRPr="00F42BD7" w:rsidRDefault="00D20D98" w:rsidP="00693300">
      <w:pPr>
        <w:pStyle w:val="Heading3"/>
      </w:pPr>
      <w:bookmarkStart w:id="57" w:name="_Toc480810878"/>
      <w:r w:rsidRPr="00F42BD7">
        <w:t>Miscellaneous</w:t>
      </w:r>
      <w:r w:rsidR="002477E4" w:rsidRPr="00F42BD7">
        <w:t xml:space="preserve"> (Part </w:t>
      </w:r>
      <w:r w:rsidR="00B61073">
        <w:t>21</w:t>
      </w:r>
      <w:r w:rsidR="002477E4" w:rsidRPr="00F42BD7">
        <w:t>)</w:t>
      </w:r>
      <w:bookmarkEnd w:id="57"/>
    </w:p>
    <w:p w14:paraId="6E026094" w14:textId="65E1A6B1" w:rsidR="00EE6FA9" w:rsidRDefault="001E6F15" w:rsidP="00D43544">
      <w:r>
        <w:t xml:space="preserve">Among other miscellaneous provisions, the </w:t>
      </w:r>
      <w:r w:rsidR="000B76A3">
        <w:t>Bill</w:t>
      </w:r>
      <w:r w:rsidR="00D43544">
        <w:t xml:space="preserve"> </w:t>
      </w:r>
      <w:r w:rsidR="008A32C4">
        <w:t xml:space="preserve">continues to </w:t>
      </w:r>
      <w:r w:rsidR="000B76A3">
        <w:t xml:space="preserve">enable the ACMA to conduct research and compile and publish information </w:t>
      </w:r>
      <w:r w:rsidR="00D43544">
        <w:t>on</w:t>
      </w:r>
      <w:r w:rsidR="000B76A3">
        <w:t xml:space="preserve"> various matters relating to radiocommunications including spectrum use and allocation, market demand for licences and supply, manufac</w:t>
      </w:r>
      <w:r w:rsidR="00D43544">
        <w:t>ture and operation of equipment.</w:t>
      </w:r>
      <w:r w:rsidR="00EE4C02">
        <w:t xml:space="preserve"> </w:t>
      </w:r>
      <w:r w:rsidR="00D43544">
        <w:t xml:space="preserve">It also </w:t>
      </w:r>
      <w:r w:rsidR="00EE6FA9">
        <w:t xml:space="preserve">provides for the payment of reasonable compensation by the Commonwealth for the </w:t>
      </w:r>
      <w:r w:rsidR="00EE6FA9" w:rsidRPr="008F299C">
        <w:rPr>
          <w:rFonts w:cs="Arial"/>
        </w:rPr>
        <w:t>acquisition</w:t>
      </w:r>
      <w:r w:rsidR="00EE6FA9">
        <w:t xml:space="preserve"> of property arising from its operation or the operation of an instrument under it.</w:t>
      </w:r>
    </w:p>
    <w:p w14:paraId="5FAD7FF5" w14:textId="24A96E72" w:rsidR="00296124" w:rsidRPr="00642B6F" w:rsidRDefault="00296124" w:rsidP="00B07678">
      <w:pPr>
        <w:pStyle w:val="Heading2"/>
        <w:spacing w:after="120"/>
      </w:pPr>
      <w:bookmarkStart w:id="58" w:name="_Toc480810879"/>
      <w:r w:rsidRPr="00A47F99">
        <w:t>Conclusion</w:t>
      </w:r>
      <w:bookmarkEnd w:id="58"/>
    </w:p>
    <w:p w14:paraId="57D84AD0" w14:textId="450895AD" w:rsidR="00296124" w:rsidRDefault="00296124" w:rsidP="00296124">
      <w:r w:rsidRPr="00B97B09">
        <w:t xml:space="preserve">The revised legislative framework enables the Government and industry to adapt rapidly to Australia’s ever changing communications landscape. </w:t>
      </w:r>
      <w:r w:rsidR="00B97B09" w:rsidRPr="00B97B09">
        <w:t xml:space="preserve">Establishing a streamlined, principles-based spectrum management framework encourages technological innovation to meet rising demand while providing certainty for existing users. </w:t>
      </w:r>
      <w:r w:rsidRPr="00B97B09">
        <w:t xml:space="preserve">Simplifying the complex, rigid legislation and </w:t>
      </w:r>
      <w:r w:rsidR="00D43544">
        <w:t xml:space="preserve">strengthening the strategic role of the Minister </w:t>
      </w:r>
      <w:r w:rsidRPr="00B97B09">
        <w:t>in the management of spectrum increases transparency, empowers licensees and minimises unnecessary Government intervention.</w:t>
      </w:r>
      <w:r w:rsidR="00B97B09">
        <w:t xml:space="preserve"> </w:t>
      </w:r>
      <w:r w:rsidRPr="00B97B09">
        <w:t xml:space="preserve">The new spectrum management framework will </w:t>
      </w:r>
      <w:r w:rsidR="00D43544">
        <w:t xml:space="preserve">help ensure </w:t>
      </w:r>
      <w:r w:rsidRPr="00B97B09">
        <w:t xml:space="preserve">Australia </w:t>
      </w:r>
      <w:r w:rsidR="00D43544">
        <w:t>is able</w:t>
      </w:r>
      <w:r w:rsidR="00B97B09">
        <w:t xml:space="preserve"> to adapt to the rapidly changing </w:t>
      </w:r>
      <w:r w:rsidR="00D43544">
        <w:t xml:space="preserve">communications </w:t>
      </w:r>
      <w:r w:rsidR="00B97B09">
        <w:t>environment.</w:t>
      </w:r>
    </w:p>
    <w:p w14:paraId="04927994" w14:textId="77777777" w:rsidR="00667F50" w:rsidRDefault="00667F50">
      <w:pPr>
        <w:spacing w:after="160" w:line="259" w:lineRule="auto"/>
        <w:rPr>
          <w:rFonts w:asciiTheme="majorHAnsi" w:eastAsiaTheme="majorEastAsia" w:hAnsiTheme="majorHAnsi" w:cstheme="majorBidi"/>
          <w:b/>
          <w:color w:val="07478C"/>
          <w:sz w:val="36"/>
          <w:szCs w:val="26"/>
        </w:rPr>
      </w:pPr>
      <w:r>
        <w:br w:type="page"/>
      </w:r>
    </w:p>
    <w:p w14:paraId="5D7B8623" w14:textId="4AC50D0D" w:rsidR="00016A7F" w:rsidRDefault="00016A7F" w:rsidP="00016A7F">
      <w:pPr>
        <w:pStyle w:val="Heading2"/>
      </w:pPr>
      <w:bookmarkStart w:id="59" w:name="_Toc480810880"/>
      <w:r>
        <w:t>Feedback options</w:t>
      </w:r>
      <w:bookmarkEnd w:id="59"/>
    </w:p>
    <w:p w14:paraId="1FDF45F6" w14:textId="5D865EC6" w:rsidR="001751BB" w:rsidRDefault="00016A7F" w:rsidP="00016A7F">
      <w:r>
        <w:t xml:space="preserve">The Government welcomes feedback on the ideas presented in this paper. The easiest way to provide feedback is to visit our website at </w:t>
      </w:r>
      <w:r w:rsidR="00585C77" w:rsidRPr="00585C77">
        <w:t>www.communications.gov.au/what-we-do/spectrum/spectrum-reform</w:t>
      </w:r>
      <w:r>
        <w:t>.</w:t>
      </w:r>
    </w:p>
    <w:p w14:paraId="31844DD8" w14:textId="77777777" w:rsidR="001751BB" w:rsidRDefault="00016A7F" w:rsidP="00016A7F">
      <w:r w:rsidRPr="008F299C">
        <w:rPr>
          <w:rFonts w:cs="Arial"/>
        </w:rPr>
        <w:t>Alternatively</w:t>
      </w:r>
      <w:r w:rsidRPr="003B3D57">
        <w:t>, you can provide written comments to:</w:t>
      </w:r>
    </w:p>
    <w:p w14:paraId="173F4BFA" w14:textId="77777777" w:rsidR="00F218BF" w:rsidRDefault="00016A7F" w:rsidP="004130AA">
      <w:pPr>
        <w:pStyle w:val="Bulletlevel1"/>
        <w:numPr>
          <w:ilvl w:val="0"/>
          <w:numId w:val="4"/>
        </w:numPr>
        <w:ind w:left="567" w:hanging="567"/>
      </w:pPr>
      <w:r w:rsidRPr="003B3D57">
        <w:t>Spectrum Reform</w:t>
      </w:r>
    </w:p>
    <w:p w14:paraId="7CF6E170" w14:textId="72527EA6" w:rsidR="00016A7F" w:rsidRDefault="00016A7F" w:rsidP="00F218BF">
      <w:pPr>
        <w:pStyle w:val="Bulletlevel1"/>
        <w:numPr>
          <w:ilvl w:val="0"/>
          <w:numId w:val="0"/>
        </w:numPr>
        <w:ind w:left="567"/>
      </w:pPr>
      <w:r w:rsidRPr="003B3D57">
        <w:t>Department of Communications and the Arts</w:t>
      </w:r>
      <w:r w:rsidRPr="003B3D57">
        <w:br/>
        <w:t>GPO Box 2154</w:t>
      </w:r>
      <w:r w:rsidRPr="00395A26">
        <w:br/>
        <w:t>Canberra ACT 2601</w:t>
      </w:r>
    </w:p>
    <w:p w14:paraId="0D97B599" w14:textId="77777777" w:rsidR="000F3D08" w:rsidRDefault="000F3D08" w:rsidP="00F218BF">
      <w:pPr>
        <w:pStyle w:val="Bulletlevel1"/>
        <w:numPr>
          <w:ilvl w:val="0"/>
          <w:numId w:val="0"/>
        </w:numPr>
        <w:ind w:left="567"/>
      </w:pPr>
    </w:p>
    <w:p w14:paraId="23959721" w14:textId="58DE74F3" w:rsidR="00016A7F" w:rsidRPr="00395A26" w:rsidRDefault="00016A7F" w:rsidP="000F3D08">
      <w:pPr>
        <w:pStyle w:val="Bulletlevel1"/>
        <w:ind w:left="567" w:hanging="567"/>
      </w:pPr>
      <w:r>
        <w:t xml:space="preserve">Or by email to </w:t>
      </w:r>
      <w:r w:rsidR="002F2F2F">
        <w:t>spectrumreform</w:t>
      </w:r>
      <w:r>
        <w:t>@communications.gov.au</w:t>
      </w:r>
    </w:p>
    <w:p w14:paraId="3183F5E4" w14:textId="02F61E55" w:rsidR="001751BB" w:rsidRDefault="00016A7F" w:rsidP="00016A7F">
      <w:r>
        <w:t xml:space="preserve">Submissions close on </w:t>
      </w:r>
      <w:r w:rsidR="00585C77" w:rsidRPr="000F3D08">
        <w:t>30 June 2017</w:t>
      </w:r>
      <w:r>
        <w:t>.</w:t>
      </w:r>
    </w:p>
    <w:p w14:paraId="1B472C22" w14:textId="3BAB3102" w:rsidR="00016A7F" w:rsidRDefault="00016A7F" w:rsidP="00693300">
      <w:pPr>
        <w:keepNext/>
      </w:pPr>
      <w:r>
        <w:t>Please include:</w:t>
      </w:r>
    </w:p>
    <w:p w14:paraId="1474E4AD" w14:textId="77777777" w:rsidR="00016A7F" w:rsidRPr="00394C6B" w:rsidRDefault="00016A7F" w:rsidP="00394C6B">
      <w:pPr>
        <w:pStyle w:val="Bulletlevel1"/>
      </w:pPr>
      <w:r w:rsidRPr="00394C6B">
        <w:t>contact name</w:t>
      </w:r>
    </w:p>
    <w:p w14:paraId="63758FE5" w14:textId="77777777" w:rsidR="00016A7F" w:rsidRPr="00394C6B" w:rsidRDefault="00016A7F" w:rsidP="00394C6B">
      <w:pPr>
        <w:pStyle w:val="Bulletlevel1"/>
      </w:pPr>
      <w:r w:rsidRPr="00394C6B">
        <w:t>organisation name, if applicable</w:t>
      </w:r>
    </w:p>
    <w:p w14:paraId="301E363C" w14:textId="77777777" w:rsidR="00016A7F" w:rsidRPr="00394C6B" w:rsidRDefault="00016A7F" w:rsidP="00394C6B">
      <w:pPr>
        <w:pStyle w:val="Bulletlevel1"/>
      </w:pPr>
      <w:r w:rsidRPr="00394C6B">
        <w:t>contact details, including telephone number, postal and email addresses</w:t>
      </w:r>
    </w:p>
    <w:p w14:paraId="121360CF" w14:textId="77777777" w:rsidR="00016A7F" w:rsidRPr="00794480" w:rsidRDefault="00016A7F" w:rsidP="00394C6B">
      <w:pPr>
        <w:pStyle w:val="Bulletlevel1"/>
      </w:pPr>
      <w:proofErr w:type="gramStart"/>
      <w:r w:rsidRPr="00394C6B">
        <w:t>confirmation</w:t>
      </w:r>
      <w:proofErr w:type="gramEnd"/>
      <w:r w:rsidRPr="00394C6B">
        <w:t xml:space="preserve"> whether or not your submission can be made public – published – or kept</w:t>
      </w:r>
      <w:r>
        <w:t xml:space="preserve"> confidential.</w:t>
      </w:r>
    </w:p>
    <w:p w14:paraId="0C75A3D8" w14:textId="77777777" w:rsidR="00016A7F" w:rsidRPr="003E7EC7" w:rsidRDefault="00016A7F">
      <w:r w:rsidRPr="003E7EC7">
        <w:t xml:space="preserve">All submissions to be made public need to meet the </w:t>
      </w:r>
      <w:hyperlink r:id="rId21" w:tgtFrame="_blank" w:history="1">
        <w:r w:rsidRPr="003E7EC7">
          <w:rPr>
            <w:color w:val="2E74B5" w:themeColor="accent1" w:themeShade="BF"/>
          </w:rPr>
          <w:t>Digital Service Standard</w:t>
        </w:r>
      </w:hyperlink>
      <w:r w:rsidRPr="003E7EC7">
        <w:rPr>
          <w:color w:val="2E74B5" w:themeColor="accent1" w:themeShade="BF"/>
        </w:rPr>
        <w:t xml:space="preserve"> </w:t>
      </w:r>
      <w:r w:rsidRPr="003E7EC7">
        <w:t xml:space="preserve">for accessibility. Any </w:t>
      </w:r>
      <w:r w:rsidRPr="008F299C">
        <w:rPr>
          <w:rFonts w:cs="Arial"/>
        </w:rPr>
        <w:t>submission</w:t>
      </w:r>
      <w:r w:rsidRPr="003E7EC7">
        <w:t xml:space="preserve"> that does not meet this standard may be modified before being made public.</w:t>
      </w:r>
    </w:p>
    <w:p w14:paraId="1FBAE90D" w14:textId="4A82B9B5" w:rsidR="00296124" w:rsidRDefault="00016A7F">
      <w:r w:rsidRPr="003E7EC7">
        <w:t xml:space="preserve">If your submission is to be made public, please ensure you do not include any personal information that you </w:t>
      </w:r>
      <w:r w:rsidRPr="008F299C">
        <w:rPr>
          <w:rFonts w:cs="Arial"/>
        </w:rPr>
        <w:t>don't</w:t>
      </w:r>
      <w:r w:rsidRPr="003E7EC7">
        <w:t xml:space="preserve"> want to be published.</w:t>
      </w:r>
    </w:p>
    <w:sectPr w:rsidR="00296124" w:rsidSect="000F16AD">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3AC3" w14:textId="77777777" w:rsidR="000A1729" w:rsidRDefault="000A1729" w:rsidP="00296124">
      <w:pPr>
        <w:spacing w:after="0"/>
      </w:pPr>
      <w:r>
        <w:separator/>
      </w:r>
    </w:p>
  </w:endnote>
  <w:endnote w:type="continuationSeparator" w:id="0">
    <w:p w14:paraId="12FDB27A" w14:textId="77777777" w:rsidR="000A1729" w:rsidRDefault="000A1729" w:rsidP="00296124">
      <w:pPr>
        <w:spacing w:after="0"/>
      </w:pPr>
      <w:r>
        <w:continuationSeparator/>
      </w:r>
    </w:p>
  </w:endnote>
  <w:endnote w:type="continuationNotice" w:id="1">
    <w:p w14:paraId="12C5063A" w14:textId="77777777" w:rsidR="000A1729" w:rsidRDefault="000A17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23444"/>
      <w:docPartObj>
        <w:docPartGallery w:val="Page Numbers (Bottom of Page)"/>
        <w:docPartUnique/>
      </w:docPartObj>
    </w:sdtPr>
    <w:sdtEndPr>
      <w:rPr>
        <w:noProof/>
      </w:rPr>
    </w:sdtEndPr>
    <w:sdtContent>
      <w:p w14:paraId="39266E5B" w14:textId="1ABC4CC0" w:rsidR="000A1729" w:rsidRDefault="000A1729" w:rsidP="00E76A24">
        <w:pPr>
          <w:pStyle w:val="Footer"/>
          <w:ind w:left="-1418"/>
        </w:pPr>
        <w:r>
          <w:rPr>
            <w:noProof/>
            <w:lang w:eastAsia="en-AU"/>
          </w:rPr>
          <w:drawing>
            <wp:inline distT="0" distB="0" distL="0" distR="0" wp14:anchorId="71FD409C" wp14:editId="7A3F2406">
              <wp:extent cx="7599600" cy="766800"/>
              <wp:effectExtent l="0" t="0" r="1905" b="0"/>
              <wp:docPr id="2" name="Picture 2"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600" cy="766800"/>
                      </a:xfrm>
                      <a:prstGeom prst="rect">
                        <a:avLst/>
                      </a:prstGeom>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A50FC" w14:textId="4650CD45" w:rsidR="000A1729" w:rsidRPr="007C1739" w:rsidRDefault="000A1729" w:rsidP="00693300">
    <w:pPr>
      <w:tabs>
        <w:tab w:val="center" w:pos="4513"/>
        <w:tab w:val="right" w:pos="9333"/>
      </w:tabs>
      <w:spacing w:after="0"/>
      <w:jc w:val="center"/>
      <w:rPr>
        <w:sz w:val="18"/>
        <w:szCs w:val="18"/>
      </w:rPr>
    </w:pPr>
    <w:hyperlink r:id="rId1" w:history="1">
      <w:r w:rsidRPr="007C1739">
        <w:rPr>
          <w:color w:val="095EBB"/>
          <w:sz w:val="18"/>
          <w:szCs w:val="18"/>
          <w:u w:val="single"/>
        </w:rPr>
        <w:t>www.communications.gov.au</w:t>
      </w:r>
    </w:hyperlink>
  </w:p>
  <w:p w14:paraId="3E41A0A6" w14:textId="65315DE4" w:rsidR="000A1729" w:rsidRPr="007C1739" w:rsidRDefault="000A1729" w:rsidP="007C1739">
    <w:pPr>
      <w:tabs>
        <w:tab w:val="center" w:pos="4513"/>
        <w:tab w:val="right" w:pos="9333"/>
      </w:tabs>
      <w:spacing w:after="0"/>
      <w:rPr>
        <w:color w:val="095EBB"/>
        <w:sz w:val="18"/>
        <w:szCs w:val="18"/>
        <w:u w:val="single"/>
      </w:rPr>
    </w:pPr>
    <w:r w:rsidRPr="007C1739">
      <w:rPr>
        <w:sz w:val="18"/>
        <w:szCs w:val="18"/>
      </w:rPr>
      <w:t>Radiocommunications Bill 2017</w:t>
    </w:r>
    <w:r>
      <w:rPr>
        <w:sz w:val="18"/>
        <w:szCs w:val="18"/>
      </w:rPr>
      <w:t>:</w:t>
    </w:r>
    <w:r>
      <w:rPr>
        <w:sz w:val="18"/>
        <w:szCs w:val="18"/>
      </w:rPr>
      <w:tab/>
    </w:r>
    <w:hyperlink r:id="rId2" w:history="1">
      <w:r w:rsidRPr="007C1739">
        <w:rPr>
          <w:color w:val="095EBB"/>
          <w:sz w:val="18"/>
          <w:szCs w:val="18"/>
          <w:u w:val="single"/>
        </w:rPr>
        <w:t>www.arts.gov.au</w:t>
      </w:r>
    </w:hyperlink>
    <w:r w:rsidRPr="00AC2896">
      <w:rPr>
        <w:sz w:val="18"/>
        <w:szCs w:val="18"/>
      </w:rPr>
      <w:t xml:space="preserve"> </w:t>
    </w:r>
    <w:r w:rsidRPr="007C1739">
      <w:rPr>
        <w:sz w:val="18"/>
        <w:szCs w:val="18"/>
      </w:rPr>
      <w:tab/>
    </w:r>
    <w:sdt>
      <w:sdtPr>
        <w:rPr>
          <w:sz w:val="18"/>
          <w:szCs w:val="18"/>
        </w:rPr>
        <w:id w:val="337735989"/>
        <w:docPartObj>
          <w:docPartGallery w:val="Page Numbers (Top of Page)"/>
          <w:docPartUnique/>
        </w:docPartObj>
      </w:sdtPr>
      <w:sdtContent>
        <w:r w:rsidRPr="007C1739">
          <w:rPr>
            <w:sz w:val="18"/>
            <w:szCs w:val="18"/>
          </w:rPr>
          <w:t xml:space="preserve">Page </w:t>
        </w:r>
        <w:r w:rsidRPr="007C1739">
          <w:rPr>
            <w:bCs/>
            <w:sz w:val="18"/>
            <w:szCs w:val="18"/>
          </w:rPr>
          <w:fldChar w:fldCharType="begin"/>
        </w:r>
        <w:r w:rsidRPr="007C1739">
          <w:rPr>
            <w:bCs/>
            <w:sz w:val="18"/>
            <w:szCs w:val="18"/>
          </w:rPr>
          <w:instrText xml:space="preserve"> PAGE </w:instrText>
        </w:r>
        <w:r w:rsidRPr="007C1739">
          <w:rPr>
            <w:bCs/>
            <w:sz w:val="18"/>
            <w:szCs w:val="18"/>
          </w:rPr>
          <w:fldChar w:fldCharType="separate"/>
        </w:r>
        <w:r w:rsidR="007828EB">
          <w:rPr>
            <w:bCs/>
            <w:noProof/>
            <w:sz w:val="18"/>
            <w:szCs w:val="18"/>
          </w:rPr>
          <w:t>21</w:t>
        </w:r>
        <w:r w:rsidRPr="007C1739">
          <w:rPr>
            <w:bCs/>
            <w:sz w:val="18"/>
            <w:szCs w:val="18"/>
          </w:rPr>
          <w:fldChar w:fldCharType="end"/>
        </w:r>
        <w:r w:rsidRPr="007C1739">
          <w:rPr>
            <w:sz w:val="18"/>
            <w:szCs w:val="18"/>
          </w:rPr>
          <w:t xml:space="preserve"> of </w:t>
        </w:r>
        <w:r w:rsidRPr="007C1739">
          <w:rPr>
            <w:bCs/>
            <w:sz w:val="18"/>
            <w:szCs w:val="18"/>
          </w:rPr>
          <w:fldChar w:fldCharType="begin"/>
        </w:r>
        <w:r w:rsidRPr="007C1739">
          <w:rPr>
            <w:bCs/>
            <w:sz w:val="18"/>
            <w:szCs w:val="18"/>
          </w:rPr>
          <w:instrText xml:space="preserve"> NUMPAGES  </w:instrText>
        </w:r>
        <w:r w:rsidRPr="007C1739">
          <w:rPr>
            <w:bCs/>
            <w:sz w:val="18"/>
            <w:szCs w:val="18"/>
          </w:rPr>
          <w:fldChar w:fldCharType="separate"/>
        </w:r>
        <w:r w:rsidR="007828EB">
          <w:rPr>
            <w:bCs/>
            <w:noProof/>
            <w:sz w:val="18"/>
            <w:szCs w:val="18"/>
          </w:rPr>
          <w:t>28</w:t>
        </w:r>
        <w:r w:rsidRPr="007C1739">
          <w:rPr>
            <w:bCs/>
            <w:sz w:val="18"/>
            <w:szCs w:val="18"/>
          </w:rPr>
          <w:fldChar w:fldCharType="end"/>
        </w:r>
      </w:sdtContent>
    </w:sdt>
  </w:p>
  <w:p w14:paraId="38F83C48" w14:textId="59123239" w:rsidR="000A1729" w:rsidRPr="000249BC" w:rsidRDefault="000A1729" w:rsidP="00693300">
    <w:pPr>
      <w:tabs>
        <w:tab w:val="center" w:pos="4513"/>
        <w:tab w:val="right" w:pos="9333"/>
      </w:tabs>
      <w:spacing w:after="0"/>
      <w:rPr>
        <w:sz w:val="18"/>
        <w:szCs w:val="18"/>
      </w:rPr>
    </w:pPr>
    <w:proofErr w:type="gramStart"/>
    <w:r w:rsidRPr="007C1739">
      <w:rPr>
        <w:sz w:val="18"/>
        <w:szCs w:val="18"/>
      </w:rPr>
      <w:t>a</w:t>
    </w:r>
    <w:proofErr w:type="gramEnd"/>
    <w:r w:rsidRPr="007C1739">
      <w:rPr>
        <w:sz w:val="18"/>
        <w:szCs w:val="18"/>
      </w:rPr>
      <w:t xml:space="preserve"> platform for the future</w:t>
    </w:r>
    <w:r>
      <w:rPr>
        <w:sz w:val="18"/>
        <w:szCs w:val="18"/>
      </w:rPr>
      <w:tab/>
    </w:r>
    <w:hyperlink r:id="rId3" w:history="1">
      <w:r w:rsidRPr="007C1739">
        <w:rPr>
          <w:color w:val="095EBB"/>
          <w:sz w:val="18"/>
          <w:szCs w:val="18"/>
          <w:u w:val="single"/>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09AF1" w14:textId="77777777" w:rsidR="000A1729" w:rsidRDefault="000A1729" w:rsidP="00296124">
      <w:pPr>
        <w:spacing w:after="0"/>
      </w:pPr>
      <w:r>
        <w:separator/>
      </w:r>
    </w:p>
  </w:footnote>
  <w:footnote w:type="continuationSeparator" w:id="0">
    <w:p w14:paraId="5C525E7F" w14:textId="77777777" w:rsidR="000A1729" w:rsidRDefault="000A1729" w:rsidP="00296124">
      <w:pPr>
        <w:spacing w:after="0"/>
      </w:pPr>
      <w:r>
        <w:continuationSeparator/>
      </w:r>
    </w:p>
  </w:footnote>
  <w:footnote w:type="continuationNotice" w:id="1">
    <w:p w14:paraId="1EC3390E" w14:textId="77777777" w:rsidR="000A1729" w:rsidRDefault="000A1729">
      <w:pPr>
        <w:spacing w:after="0"/>
      </w:pPr>
    </w:p>
  </w:footnote>
  <w:footnote w:id="2">
    <w:p w14:paraId="0042375A" w14:textId="0FA404C1" w:rsidR="000A1729" w:rsidRPr="00693300" w:rsidRDefault="000A1729" w:rsidP="00AC595C">
      <w:pPr>
        <w:pStyle w:val="FootnoteText"/>
        <w:rPr>
          <w:sz w:val="18"/>
          <w:szCs w:val="18"/>
        </w:rPr>
      </w:pPr>
      <w:r w:rsidRPr="00693300">
        <w:rPr>
          <w:rStyle w:val="FootnoteReference"/>
          <w:i/>
          <w:sz w:val="18"/>
          <w:szCs w:val="18"/>
        </w:rPr>
        <w:footnoteRef/>
      </w:r>
      <w:r w:rsidRPr="00693300">
        <w:rPr>
          <w:i/>
          <w:sz w:val="18"/>
          <w:szCs w:val="18"/>
        </w:rPr>
        <w:t xml:space="preserve"> Spectrum Review 2015</w:t>
      </w:r>
      <w:r w:rsidRPr="00693300">
        <w:rPr>
          <w:sz w:val="18"/>
          <w:szCs w:val="18"/>
        </w:rPr>
        <w:t xml:space="preserve">, </w:t>
      </w:r>
      <w:hyperlink r:id="rId1" w:history="1">
        <w:r w:rsidRPr="00693300">
          <w:rPr>
            <w:rStyle w:val="Hyperlink"/>
            <w:sz w:val="18"/>
            <w:szCs w:val="18"/>
          </w:rPr>
          <w:t>www.communications.gov.au/publications/spectrum-review-report</w:t>
        </w:r>
      </w:hyperlink>
      <w:r w:rsidRPr="00693300">
        <w:rPr>
          <w:sz w:val="18"/>
          <w:szCs w:val="18"/>
        </w:rPr>
        <w:t xml:space="preserve"> </w:t>
      </w:r>
    </w:p>
  </w:footnote>
  <w:footnote w:id="3">
    <w:p w14:paraId="0B759189" w14:textId="77777777" w:rsidR="000A1729" w:rsidRDefault="000A1729" w:rsidP="00AC595C">
      <w:pPr>
        <w:pStyle w:val="FootnoteText"/>
      </w:pPr>
      <w:r w:rsidRPr="00693300">
        <w:rPr>
          <w:rStyle w:val="FootnoteReference"/>
          <w:sz w:val="18"/>
          <w:szCs w:val="18"/>
        </w:rPr>
        <w:footnoteRef/>
      </w:r>
      <w:r w:rsidRPr="00693300">
        <w:rPr>
          <w:sz w:val="18"/>
          <w:szCs w:val="18"/>
        </w:rPr>
        <w:t xml:space="preserve"> ‘The economic value of spectrum’ – Research report prepared for the Department of Communications by the Centre for International Economics, January 2015.</w:t>
      </w:r>
    </w:p>
  </w:footnote>
  <w:footnote w:id="4">
    <w:p w14:paraId="45DA3FE3" w14:textId="1F975CBB" w:rsidR="000A1729" w:rsidRPr="00693300" w:rsidRDefault="000A1729" w:rsidP="00B57E60">
      <w:pPr>
        <w:pStyle w:val="FootnoteText"/>
        <w:rPr>
          <w:sz w:val="18"/>
          <w:szCs w:val="18"/>
        </w:rPr>
      </w:pPr>
      <w:r w:rsidRPr="00693300">
        <w:rPr>
          <w:rStyle w:val="FootnoteReference"/>
          <w:sz w:val="18"/>
          <w:szCs w:val="18"/>
        </w:rPr>
        <w:footnoteRef/>
      </w:r>
      <w:r w:rsidRPr="00693300">
        <w:rPr>
          <w:sz w:val="18"/>
          <w:szCs w:val="18"/>
        </w:rPr>
        <w:t xml:space="preserve"> Private parks allow access to a limited number of users in a common band of spectrum on a shared and, where possible, self-managed basis. Ideally, they encourage efficient use of spectrum, innovation and flexibility and provide for low-cost compliance and administration over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073B" w14:textId="1B4C0295" w:rsidR="000A1729" w:rsidRDefault="000A17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EDC9" w14:textId="4E0BDF33" w:rsidR="000A1729" w:rsidRDefault="000A1729" w:rsidP="00296124">
    <w:pPr>
      <w:pStyle w:val="Header"/>
      <w:ind w:left="-1418"/>
    </w:pPr>
    <w:r>
      <w:rPr>
        <w:noProof/>
        <w:lang w:eastAsia="en-AU"/>
      </w:rPr>
      <w:drawing>
        <wp:inline distT="0" distB="0" distL="0" distR="0" wp14:anchorId="46CE99A1" wp14:editId="7EE89A90">
          <wp:extent cx="7634630" cy="406359"/>
          <wp:effectExtent l="0" t="0" r="0" b="0"/>
          <wp:docPr id="7" name="Picture 7"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7F71215" w14:textId="6B7103B8" w:rsidR="000A1729" w:rsidRPr="009A56D0" w:rsidRDefault="000A1729" w:rsidP="00296124">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May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ED6A" w14:textId="124C7C5F" w:rsidR="000A1729" w:rsidRDefault="000A1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258E2"/>
    <w:multiLevelType w:val="hybridMultilevel"/>
    <w:tmpl w:val="1AF8F1CC"/>
    <w:lvl w:ilvl="0" w:tplc="D6D41C8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4F04C86"/>
    <w:multiLevelType w:val="hybridMultilevel"/>
    <w:tmpl w:val="FB26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7CB00F8"/>
    <w:multiLevelType w:val="hybridMultilevel"/>
    <w:tmpl w:val="85FE0A44"/>
    <w:lvl w:ilvl="0" w:tplc="2820C6CC">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24"/>
    <w:rsid w:val="00000971"/>
    <w:rsid w:val="00002395"/>
    <w:rsid w:val="00003B60"/>
    <w:rsid w:val="0000513E"/>
    <w:rsid w:val="00005237"/>
    <w:rsid w:val="000069F4"/>
    <w:rsid w:val="000102B6"/>
    <w:rsid w:val="00010746"/>
    <w:rsid w:val="00011D21"/>
    <w:rsid w:val="00016A7F"/>
    <w:rsid w:val="00017CB8"/>
    <w:rsid w:val="00021E6F"/>
    <w:rsid w:val="00025FA9"/>
    <w:rsid w:val="000319C0"/>
    <w:rsid w:val="00032787"/>
    <w:rsid w:val="0003473A"/>
    <w:rsid w:val="00037188"/>
    <w:rsid w:val="000377BA"/>
    <w:rsid w:val="00041DDE"/>
    <w:rsid w:val="000422A8"/>
    <w:rsid w:val="00043C03"/>
    <w:rsid w:val="000469F3"/>
    <w:rsid w:val="00047541"/>
    <w:rsid w:val="00047B8F"/>
    <w:rsid w:val="00050D36"/>
    <w:rsid w:val="00051CE8"/>
    <w:rsid w:val="000527F3"/>
    <w:rsid w:val="00061AE3"/>
    <w:rsid w:val="00062987"/>
    <w:rsid w:val="00066193"/>
    <w:rsid w:val="0007369D"/>
    <w:rsid w:val="000760F9"/>
    <w:rsid w:val="00076399"/>
    <w:rsid w:val="00077510"/>
    <w:rsid w:val="00082AFA"/>
    <w:rsid w:val="00082B4C"/>
    <w:rsid w:val="000840A6"/>
    <w:rsid w:val="00084530"/>
    <w:rsid w:val="000852D4"/>
    <w:rsid w:val="0008631E"/>
    <w:rsid w:val="00087197"/>
    <w:rsid w:val="00091839"/>
    <w:rsid w:val="00092124"/>
    <w:rsid w:val="000A03C1"/>
    <w:rsid w:val="000A08E1"/>
    <w:rsid w:val="000A1729"/>
    <w:rsid w:val="000A54DC"/>
    <w:rsid w:val="000B05CF"/>
    <w:rsid w:val="000B1B75"/>
    <w:rsid w:val="000B3D2D"/>
    <w:rsid w:val="000B47C8"/>
    <w:rsid w:val="000B57EF"/>
    <w:rsid w:val="000B669D"/>
    <w:rsid w:val="000B76A3"/>
    <w:rsid w:val="000B7907"/>
    <w:rsid w:val="000C3359"/>
    <w:rsid w:val="000C5B51"/>
    <w:rsid w:val="000C5C6D"/>
    <w:rsid w:val="000D0833"/>
    <w:rsid w:val="000D24F3"/>
    <w:rsid w:val="000D4DA1"/>
    <w:rsid w:val="000D602E"/>
    <w:rsid w:val="000F16AD"/>
    <w:rsid w:val="000F3349"/>
    <w:rsid w:val="000F3D08"/>
    <w:rsid w:val="000F7C7D"/>
    <w:rsid w:val="00103D64"/>
    <w:rsid w:val="00104C5A"/>
    <w:rsid w:val="00106320"/>
    <w:rsid w:val="00107585"/>
    <w:rsid w:val="0011263E"/>
    <w:rsid w:val="00112E1A"/>
    <w:rsid w:val="0011325D"/>
    <w:rsid w:val="00113B85"/>
    <w:rsid w:val="001166B6"/>
    <w:rsid w:val="001178DA"/>
    <w:rsid w:val="0012154B"/>
    <w:rsid w:val="0012206C"/>
    <w:rsid w:val="00124209"/>
    <w:rsid w:val="00126738"/>
    <w:rsid w:val="00127045"/>
    <w:rsid w:val="00131172"/>
    <w:rsid w:val="0013161C"/>
    <w:rsid w:val="00133A50"/>
    <w:rsid w:val="00133BC1"/>
    <w:rsid w:val="00134198"/>
    <w:rsid w:val="00135A64"/>
    <w:rsid w:val="00135DF7"/>
    <w:rsid w:val="00137662"/>
    <w:rsid w:val="00140266"/>
    <w:rsid w:val="00143E25"/>
    <w:rsid w:val="00147849"/>
    <w:rsid w:val="0015125B"/>
    <w:rsid w:val="00151E67"/>
    <w:rsid w:val="001557FC"/>
    <w:rsid w:val="00157B3C"/>
    <w:rsid w:val="00157DE2"/>
    <w:rsid w:val="00157E3C"/>
    <w:rsid w:val="00160A34"/>
    <w:rsid w:val="00161A7D"/>
    <w:rsid w:val="0016317F"/>
    <w:rsid w:val="001634D7"/>
    <w:rsid w:val="00164100"/>
    <w:rsid w:val="00166585"/>
    <w:rsid w:val="00170DA9"/>
    <w:rsid w:val="00171451"/>
    <w:rsid w:val="00173A28"/>
    <w:rsid w:val="00173C59"/>
    <w:rsid w:val="001751BB"/>
    <w:rsid w:val="00176C9E"/>
    <w:rsid w:val="00183438"/>
    <w:rsid w:val="00186B03"/>
    <w:rsid w:val="001909CE"/>
    <w:rsid w:val="00191367"/>
    <w:rsid w:val="00191DC0"/>
    <w:rsid w:val="001960B1"/>
    <w:rsid w:val="00196B5F"/>
    <w:rsid w:val="001A2F1C"/>
    <w:rsid w:val="001A67A9"/>
    <w:rsid w:val="001A7FD1"/>
    <w:rsid w:val="001B02BE"/>
    <w:rsid w:val="001B3A4C"/>
    <w:rsid w:val="001B41D5"/>
    <w:rsid w:val="001B6EE2"/>
    <w:rsid w:val="001B7476"/>
    <w:rsid w:val="001C2957"/>
    <w:rsid w:val="001C2BE9"/>
    <w:rsid w:val="001C388A"/>
    <w:rsid w:val="001C54C8"/>
    <w:rsid w:val="001D0A81"/>
    <w:rsid w:val="001D1574"/>
    <w:rsid w:val="001D1B7C"/>
    <w:rsid w:val="001D3460"/>
    <w:rsid w:val="001D3B46"/>
    <w:rsid w:val="001D5531"/>
    <w:rsid w:val="001D6CF0"/>
    <w:rsid w:val="001D70D7"/>
    <w:rsid w:val="001D7E47"/>
    <w:rsid w:val="001E073E"/>
    <w:rsid w:val="001E0B76"/>
    <w:rsid w:val="001E4656"/>
    <w:rsid w:val="001E46A1"/>
    <w:rsid w:val="001E6F15"/>
    <w:rsid w:val="001E7DE6"/>
    <w:rsid w:val="001F061B"/>
    <w:rsid w:val="001F1396"/>
    <w:rsid w:val="001F2E9E"/>
    <w:rsid w:val="001F7857"/>
    <w:rsid w:val="001F7D77"/>
    <w:rsid w:val="001F7F31"/>
    <w:rsid w:val="0020047C"/>
    <w:rsid w:val="00200702"/>
    <w:rsid w:val="00205EC1"/>
    <w:rsid w:val="0021112E"/>
    <w:rsid w:val="00211461"/>
    <w:rsid w:val="0021411A"/>
    <w:rsid w:val="002165C8"/>
    <w:rsid w:val="00223C00"/>
    <w:rsid w:val="00224F75"/>
    <w:rsid w:val="00225EBF"/>
    <w:rsid w:val="0023207C"/>
    <w:rsid w:val="002438A1"/>
    <w:rsid w:val="00243F92"/>
    <w:rsid w:val="00245B1C"/>
    <w:rsid w:val="00246C7E"/>
    <w:rsid w:val="002477E4"/>
    <w:rsid w:val="00253551"/>
    <w:rsid w:val="002572FC"/>
    <w:rsid w:val="0025789E"/>
    <w:rsid w:val="0026256A"/>
    <w:rsid w:val="00262F3F"/>
    <w:rsid w:val="00264F02"/>
    <w:rsid w:val="00267A46"/>
    <w:rsid w:val="00267B7D"/>
    <w:rsid w:val="002701A1"/>
    <w:rsid w:val="0027349C"/>
    <w:rsid w:val="00273FF4"/>
    <w:rsid w:val="00275554"/>
    <w:rsid w:val="00277DC5"/>
    <w:rsid w:val="00281939"/>
    <w:rsid w:val="00283BF7"/>
    <w:rsid w:val="00283E66"/>
    <w:rsid w:val="00284D52"/>
    <w:rsid w:val="0029364D"/>
    <w:rsid w:val="00296124"/>
    <w:rsid w:val="002A1C08"/>
    <w:rsid w:val="002A35CC"/>
    <w:rsid w:val="002A6015"/>
    <w:rsid w:val="002A7AE5"/>
    <w:rsid w:val="002B055A"/>
    <w:rsid w:val="002B0EEE"/>
    <w:rsid w:val="002B2B0F"/>
    <w:rsid w:val="002B2C62"/>
    <w:rsid w:val="002B3315"/>
    <w:rsid w:val="002B79F0"/>
    <w:rsid w:val="002C1657"/>
    <w:rsid w:val="002C1F66"/>
    <w:rsid w:val="002C29E1"/>
    <w:rsid w:val="002C4011"/>
    <w:rsid w:val="002C56B2"/>
    <w:rsid w:val="002C57BE"/>
    <w:rsid w:val="002D1968"/>
    <w:rsid w:val="002D2AAB"/>
    <w:rsid w:val="002D47F1"/>
    <w:rsid w:val="002D4918"/>
    <w:rsid w:val="002D4F29"/>
    <w:rsid w:val="002D618C"/>
    <w:rsid w:val="002E37C0"/>
    <w:rsid w:val="002E59B1"/>
    <w:rsid w:val="002E6E3E"/>
    <w:rsid w:val="002F21BB"/>
    <w:rsid w:val="002F2F2F"/>
    <w:rsid w:val="002F3C78"/>
    <w:rsid w:val="002F45B1"/>
    <w:rsid w:val="0030009A"/>
    <w:rsid w:val="00302F84"/>
    <w:rsid w:val="00306E1A"/>
    <w:rsid w:val="0030700B"/>
    <w:rsid w:val="003072B5"/>
    <w:rsid w:val="00307E9B"/>
    <w:rsid w:val="003143D6"/>
    <w:rsid w:val="003231ED"/>
    <w:rsid w:val="00324AA3"/>
    <w:rsid w:val="00325413"/>
    <w:rsid w:val="00326B37"/>
    <w:rsid w:val="0032717B"/>
    <w:rsid w:val="00327FF5"/>
    <w:rsid w:val="00331549"/>
    <w:rsid w:val="003315B4"/>
    <w:rsid w:val="00333D13"/>
    <w:rsid w:val="00335621"/>
    <w:rsid w:val="00336902"/>
    <w:rsid w:val="00340428"/>
    <w:rsid w:val="00340B7D"/>
    <w:rsid w:val="00340C9F"/>
    <w:rsid w:val="0034148D"/>
    <w:rsid w:val="00341A4F"/>
    <w:rsid w:val="003420E7"/>
    <w:rsid w:val="0034481A"/>
    <w:rsid w:val="00345B49"/>
    <w:rsid w:val="003477C5"/>
    <w:rsid w:val="00347ABD"/>
    <w:rsid w:val="00352EFE"/>
    <w:rsid w:val="00353505"/>
    <w:rsid w:val="00354207"/>
    <w:rsid w:val="00354DD3"/>
    <w:rsid w:val="003553A4"/>
    <w:rsid w:val="00356E64"/>
    <w:rsid w:val="0035797E"/>
    <w:rsid w:val="003613FC"/>
    <w:rsid w:val="00362563"/>
    <w:rsid w:val="003635A2"/>
    <w:rsid w:val="00364ADB"/>
    <w:rsid w:val="00364F74"/>
    <w:rsid w:val="00365106"/>
    <w:rsid w:val="003665C8"/>
    <w:rsid w:val="003731B3"/>
    <w:rsid w:val="003735CD"/>
    <w:rsid w:val="0037390A"/>
    <w:rsid w:val="00377FD3"/>
    <w:rsid w:val="00380EFC"/>
    <w:rsid w:val="00381E2E"/>
    <w:rsid w:val="00384286"/>
    <w:rsid w:val="0038452E"/>
    <w:rsid w:val="00384C87"/>
    <w:rsid w:val="00386250"/>
    <w:rsid w:val="003936A0"/>
    <w:rsid w:val="00393E4C"/>
    <w:rsid w:val="003949E5"/>
    <w:rsid w:val="00394C6B"/>
    <w:rsid w:val="00396330"/>
    <w:rsid w:val="003974B9"/>
    <w:rsid w:val="003A0585"/>
    <w:rsid w:val="003A0C3C"/>
    <w:rsid w:val="003A41E6"/>
    <w:rsid w:val="003A5DD8"/>
    <w:rsid w:val="003B030A"/>
    <w:rsid w:val="003B4639"/>
    <w:rsid w:val="003B58C3"/>
    <w:rsid w:val="003C21F6"/>
    <w:rsid w:val="003C2DE0"/>
    <w:rsid w:val="003C3DC7"/>
    <w:rsid w:val="003C5183"/>
    <w:rsid w:val="003C5F2B"/>
    <w:rsid w:val="003C6A72"/>
    <w:rsid w:val="003C792C"/>
    <w:rsid w:val="003D141A"/>
    <w:rsid w:val="003D17CC"/>
    <w:rsid w:val="003D6182"/>
    <w:rsid w:val="003E01F2"/>
    <w:rsid w:val="003E2993"/>
    <w:rsid w:val="003E525D"/>
    <w:rsid w:val="003E58DB"/>
    <w:rsid w:val="003E5EC8"/>
    <w:rsid w:val="003E7BFD"/>
    <w:rsid w:val="003E7EC7"/>
    <w:rsid w:val="003F5500"/>
    <w:rsid w:val="003F7E34"/>
    <w:rsid w:val="0040143C"/>
    <w:rsid w:val="00411078"/>
    <w:rsid w:val="00412D84"/>
    <w:rsid w:val="004130AA"/>
    <w:rsid w:val="00414917"/>
    <w:rsid w:val="00416258"/>
    <w:rsid w:val="00416297"/>
    <w:rsid w:val="00417FE6"/>
    <w:rsid w:val="00421973"/>
    <w:rsid w:val="00427871"/>
    <w:rsid w:val="00430187"/>
    <w:rsid w:val="00431EA6"/>
    <w:rsid w:val="004328AB"/>
    <w:rsid w:val="0043631B"/>
    <w:rsid w:val="00440449"/>
    <w:rsid w:val="004426AC"/>
    <w:rsid w:val="004433A7"/>
    <w:rsid w:val="00443F4D"/>
    <w:rsid w:val="00445264"/>
    <w:rsid w:val="00446F45"/>
    <w:rsid w:val="004471E9"/>
    <w:rsid w:val="00456107"/>
    <w:rsid w:val="00460143"/>
    <w:rsid w:val="004656F0"/>
    <w:rsid w:val="00466B54"/>
    <w:rsid w:val="00467888"/>
    <w:rsid w:val="004725B5"/>
    <w:rsid w:val="00474F90"/>
    <w:rsid w:val="004776DF"/>
    <w:rsid w:val="0048407A"/>
    <w:rsid w:val="004869D9"/>
    <w:rsid w:val="00486F50"/>
    <w:rsid w:val="00487539"/>
    <w:rsid w:val="00495B4A"/>
    <w:rsid w:val="00497D6A"/>
    <w:rsid w:val="004A0AA3"/>
    <w:rsid w:val="004A2560"/>
    <w:rsid w:val="004A59A1"/>
    <w:rsid w:val="004B1A1B"/>
    <w:rsid w:val="004B5D19"/>
    <w:rsid w:val="004B6819"/>
    <w:rsid w:val="004C0BA7"/>
    <w:rsid w:val="004C63EE"/>
    <w:rsid w:val="004C6E8B"/>
    <w:rsid w:val="004D09BA"/>
    <w:rsid w:val="004D15EE"/>
    <w:rsid w:val="004D37EC"/>
    <w:rsid w:val="004D3FE7"/>
    <w:rsid w:val="004D4174"/>
    <w:rsid w:val="004D5115"/>
    <w:rsid w:val="004D5391"/>
    <w:rsid w:val="004D74EB"/>
    <w:rsid w:val="004E1798"/>
    <w:rsid w:val="004E224F"/>
    <w:rsid w:val="004E3BDA"/>
    <w:rsid w:val="004E6C60"/>
    <w:rsid w:val="004F03E4"/>
    <w:rsid w:val="004F099A"/>
    <w:rsid w:val="004F212E"/>
    <w:rsid w:val="005035F6"/>
    <w:rsid w:val="0050415F"/>
    <w:rsid w:val="005043C7"/>
    <w:rsid w:val="00515205"/>
    <w:rsid w:val="00515321"/>
    <w:rsid w:val="005204A2"/>
    <w:rsid w:val="00523A64"/>
    <w:rsid w:val="00523D23"/>
    <w:rsid w:val="005242F7"/>
    <w:rsid w:val="00530A45"/>
    <w:rsid w:val="005320BD"/>
    <w:rsid w:val="00541FF1"/>
    <w:rsid w:val="00543F2B"/>
    <w:rsid w:val="00544847"/>
    <w:rsid w:val="005454D1"/>
    <w:rsid w:val="00555720"/>
    <w:rsid w:val="00556CC6"/>
    <w:rsid w:val="005617E1"/>
    <w:rsid w:val="00564E03"/>
    <w:rsid w:val="00567928"/>
    <w:rsid w:val="005710B3"/>
    <w:rsid w:val="00572C0D"/>
    <w:rsid w:val="00576950"/>
    <w:rsid w:val="005838AE"/>
    <w:rsid w:val="00583F37"/>
    <w:rsid w:val="00584376"/>
    <w:rsid w:val="00585000"/>
    <w:rsid w:val="00585C77"/>
    <w:rsid w:val="005901E7"/>
    <w:rsid w:val="00591408"/>
    <w:rsid w:val="005945CD"/>
    <w:rsid w:val="005A04B8"/>
    <w:rsid w:val="005A3E3E"/>
    <w:rsid w:val="005B04E3"/>
    <w:rsid w:val="005B4141"/>
    <w:rsid w:val="005B46DF"/>
    <w:rsid w:val="005B59C8"/>
    <w:rsid w:val="005C4478"/>
    <w:rsid w:val="005C50BE"/>
    <w:rsid w:val="005D1AE8"/>
    <w:rsid w:val="005D3E00"/>
    <w:rsid w:val="005D5727"/>
    <w:rsid w:val="005D68B1"/>
    <w:rsid w:val="005D7B5E"/>
    <w:rsid w:val="005E05A0"/>
    <w:rsid w:val="005E0AA1"/>
    <w:rsid w:val="005E3E15"/>
    <w:rsid w:val="005F1921"/>
    <w:rsid w:val="005F3921"/>
    <w:rsid w:val="005F4A24"/>
    <w:rsid w:val="005F51B6"/>
    <w:rsid w:val="005F5CB1"/>
    <w:rsid w:val="005F7569"/>
    <w:rsid w:val="0060490A"/>
    <w:rsid w:val="006059F1"/>
    <w:rsid w:val="00606A52"/>
    <w:rsid w:val="006102DF"/>
    <w:rsid w:val="00611024"/>
    <w:rsid w:val="006129A1"/>
    <w:rsid w:val="00612B86"/>
    <w:rsid w:val="006137EF"/>
    <w:rsid w:val="00614B51"/>
    <w:rsid w:val="00622A5D"/>
    <w:rsid w:val="00622EBC"/>
    <w:rsid w:val="00623D34"/>
    <w:rsid w:val="0062529C"/>
    <w:rsid w:val="00630915"/>
    <w:rsid w:val="00631611"/>
    <w:rsid w:val="00631B6E"/>
    <w:rsid w:val="006367D8"/>
    <w:rsid w:val="0063742A"/>
    <w:rsid w:val="006379E7"/>
    <w:rsid w:val="0064105E"/>
    <w:rsid w:val="006422AD"/>
    <w:rsid w:val="006433DE"/>
    <w:rsid w:val="006459B8"/>
    <w:rsid w:val="0065167F"/>
    <w:rsid w:val="00651711"/>
    <w:rsid w:val="006534A0"/>
    <w:rsid w:val="00653BCD"/>
    <w:rsid w:val="00654C01"/>
    <w:rsid w:val="00661F42"/>
    <w:rsid w:val="00662E14"/>
    <w:rsid w:val="006636B0"/>
    <w:rsid w:val="0066473F"/>
    <w:rsid w:val="006648D7"/>
    <w:rsid w:val="00667F50"/>
    <w:rsid w:val="00671ABE"/>
    <w:rsid w:val="00675995"/>
    <w:rsid w:val="00681BF9"/>
    <w:rsid w:val="00685A1D"/>
    <w:rsid w:val="00686B1A"/>
    <w:rsid w:val="00687A6B"/>
    <w:rsid w:val="00693300"/>
    <w:rsid w:val="00697D2F"/>
    <w:rsid w:val="006A3A4F"/>
    <w:rsid w:val="006A4FF6"/>
    <w:rsid w:val="006A668D"/>
    <w:rsid w:val="006A6B85"/>
    <w:rsid w:val="006B026C"/>
    <w:rsid w:val="006B0B23"/>
    <w:rsid w:val="006B37D4"/>
    <w:rsid w:val="006B3EE1"/>
    <w:rsid w:val="006B47F3"/>
    <w:rsid w:val="006C6285"/>
    <w:rsid w:val="006C7821"/>
    <w:rsid w:val="006D0F2E"/>
    <w:rsid w:val="006D5B22"/>
    <w:rsid w:val="006D6111"/>
    <w:rsid w:val="006E1ABB"/>
    <w:rsid w:val="006E32E7"/>
    <w:rsid w:val="006F6B75"/>
    <w:rsid w:val="00703C2D"/>
    <w:rsid w:val="00703FB2"/>
    <w:rsid w:val="0070441A"/>
    <w:rsid w:val="00704934"/>
    <w:rsid w:val="007104A7"/>
    <w:rsid w:val="0071281E"/>
    <w:rsid w:val="00714C42"/>
    <w:rsid w:val="0071502A"/>
    <w:rsid w:val="00716C46"/>
    <w:rsid w:val="00720AA5"/>
    <w:rsid w:val="00723DFF"/>
    <w:rsid w:val="00723FDC"/>
    <w:rsid w:val="00731233"/>
    <w:rsid w:val="00731662"/>
    <w:rsid w:val="00732CD2"/>
    <w:rsid w:val="00733E70"/>
    <w:rsid w:val="00734F49"/>
    <w:rsid w:val="007359E4"/>
    <w:rsid w:val="00736FEC"/>
    <w:rsid w:val="007418D7"/>
    <w:rsid w:val="00742A7C"/>
    <w:rsid w:val="00745DEB"/>
    <w:rsid w:val="007464E3"/>
    <w:rsid w:val="00746E6E"/>
    <w:rsid w:val="00750599"/>
    <w:rsid w:val="00752AFA"/>
    <w:rsid w:val="0075313C"/>
    <w:rsid w:val="0075343C"/>
    <w:rsid w:val="00755ACA"/>
    <w:rsid w:val="007562C7"/>
    <w:rsid w:val="00761280"/>
    <w:rsid w:val="00767F94"/>
    <w:rsid w:val="007709B4"/>
    <w:rsid w:val="00770D14"/>
    <w:rsid w:val="007723ED"/>
    <w:rsid w:val="007736D4"/>
    <w:rsid w:val="00775448"/>
    <w:rsid w:val="007774C9"/>
    <w:rsid w:val="007828EB"/>
    <w:rsid w:val="00783F2E"/>
    <w:rsid w:val="00787446"/>
    <w:rsid w:val="00790010"/>
    <w:rsid w:val="0079358F"/>
    <w:rsid w:val="00794FC7"/>
    <w:rsid w:val="007955AD"/>
    <w:rsid w:val="007A090E"/>
    <w:rsid w:val="007A0E8E"/>
    <w:rsid w:val="007A2586"/>
    <w:rsid w:val="007A47F1"/>
    <w:rsid w:val="007A6E4B"/>
    <w:rsid w:val="007A74A6"/>
    <w:rsid w:val="007A76A7"/>
    <w:rsid w:val="007B21AC"/>
    <w:rsid w:val="007B2B75"/>
    <w:rsid w:val="007B2FD4"/>
    <w:rsid w:val="007C1739"/>
    <w:rsid w:val="007C2AC3"/>
    <w:rsid w:val="007C3688"/>
    <w:rsid w:val="007C7F75"/>
    <w:rsid w:val="007D0FF2"/>
    <w:rsid w:val="007D71B6"/>
    <w:rsid w:val="007E48BB"/>
    <w:rsid w:val="007F0C72"/>
    <w:rsid w:val="007F5B27"/>
    <w:rsid w:val="008020F8"/>
    <w:rsid w:val="00802A75"/>
    <w:rsid w:val="00804D13"/>
    <w:rsid w:val="00815AD9"/>
    <w:rsid w:val="00816FBF"/>
    <w:rsid w:val="00822DD5"/>
    <w:rsid w:val="00823654"/>
    <w:rsid w:val="00830537"/>
    <w:rsid w:val="00830D9A"/>
    <w:rsid w:val="0083457A"/>
    <w:rsid w:val="008358EE"/>
    <w:rsid w:val="008400D7"/>
    <w:rsid w:val="00842BBF"/>
    <w:rsid w:val="00845ECB"/>
    <w:rsid w:val="00845FD2"/>
    <w:rsid w:val="008522E7"/>
    <w:rsid w:val="008610BE"/>
    <w:rsid w:val="00861DEB"/>
    <w:rsid w:val="00864093"/>
    <w:rsid w:val="00867475"/>
    <w:rsid w:val="008725A0"/>
    <w:rsid w:val="00873135"/>
    <w:rsid w:val="0087585B"/>
    <w:rsid w:val="00876260"/>
    <w:rsid w:val="00877BA4"/>
    <w:rsid w:val="00885E45"/>
    <w:rsid w:val="00887232"/>
    <w:rsid w:val="00894E95"/>
    <w:rsid w:val="0089638F"/>
    <w:rsid w:val="008973EE"/>
    <w:rsid w:val="008A32C4"/>
    <w:rsid w:val="008B2ABE"/>
    <w:rsid w:val="008B5312"/>
    <w:rsid w:val="008C076C"/>
    <w:rsid w:val="008C1116"/>
    <w:rsid w:val="008C3ABF"/>
    <w:rsid w:val="008C3F59"/>
    <w:rsid w:val="008C6BAC"/>
    <w:rsid w:val="008D4BE7"/>
    <w:rsid w:val="008D612F"/>
    <w:rsid w:val="008E0777"/>
    <w:rsid w:val="008E3F67"/>
    <w:rsid w:val="008E46B6"/>
    <w:rsid w:val="008E6360"/>
    <w:rsid w:val="008E69D1"/>
    <w:rsid w:val="008F299C"/>
    <w:rsid w:val="008F5011"/>
    <w:rsid w:val="009035C3"/>
    <w:rsid w:val="00903B80"/>
    <w:rsid w:val="00910C48"/>
    <w:rsid w:val="00912137"/>
    <w:rsid w:val="009139BC"/>
    <w:rsid w:val="00916E8F"/>
    <w:rsid w:val="009200B8"/>
    <w:rsid w:val="00921CB1"/>
    <w:rsid w:val="00923FAD"/>
    <w:rsid w:val="0092462C"/>
    <w:rsid w:val="00927B59"/>
    <w:rsid w:val="00934657"/>
    <w:rsid w:val="00934DA3"/>
    <w:rsid w:val="0094385A"/>
    <w:rsid w:val="009504D4"/>
    <w:rsid w:val="00950FC9"/>
    <w:rsid w:val="00951A2B"/>
    <w:rsid w:val="00962E0B"/>
    <w:rsid w:val="009640AF"/>
    <w:rsid w:val="00971C22"/>
    <w:rsid w:val="00972708"/>
    <w:rsid w:val="00976F4D"/>
    <w:rsid w:val="0097718F"/>
    <w:rsid w:val="009813AC"/>
    <w:rsid w:val="00983B9D"/>
    <w:rsid w:val="00984D6C"/>
    <w:rsid w:val="0098746A"/>
    <w:rsid w:val="00994AB1"/>
    <w:rsid w:val="009A103B"/>
    <w:rsid w:val="009A18E7"/>
    <w:rsid w:val="009A5AE4"/>
    <w:rsid w:val="009A5EAD"/>
    <w:rsid w:val="009A72CE"/>
    <w:rsid w:val="009A7F33"/>
    <w:rsid w:val="009B11DB"/>
    <w:rsid w:val="009B2016"/>
    <w:rsid w:val="009C1107"/>
    <w:rsid w:val="009C48C1"/>
    <w:rsid w:val="009D44D0"/>
    <w:rsid w:val="009D7153"/>
    <w:rsid w:val="009E161A"/>
    <w:rsid w:val="009E343E"/>
    <w:rsid w:val="009E435E"/>
    <w:rsid w:val="009F18D0"/>
    <w:rsid w:val="009F4BC7"/>
    <w:rsid w:val="00A00D97"/>
    <w:rsid w:val="00A05C4B"/>
    <w:rsid w:val="00A10AAF"/>
    <w:rsid w:val="00A1230A"/>
    <w:rsid w:val="00A2031D"/>
    <w:rsid w:val="00A24339"/>
    <w:rsid w:val="00A271FE"/>
    <w:rsid w:val="00A30526"/>
    <w:rsid w:val="00A3166B"/>
    <w:rsid w:val="00A32319"/>
    <w:rsid w:val="00A33B01"/>
    <w:rsid w:val="00A34431"/>
    <w:rsid w:val="00A346AE"/>
    <w:rsid w:val="00A3690E"/>
    <w:rsid w:val="00A4263E"/>
    <w:rsid w:val="00A43648"/>
    <w:rsid w:val="00A43E4B"/>
    <w:rsid w:val="00A508F4"/>
    <w:rsid w:val="00A52534"/>
    <w:rsid w:val="00A53395"/>
    <w:rsid w:val="00A55254"/>
    <w:rsid w:val="00A6008C"/>
    <w:rsid w:val="00A62ED5"/>
    <w:rsid w:val="00A63B7C"/>
    <w:rsid w:val="00A64F80"/>
    <w:rsid w:val="00A65146"/>
    <w:rsid w:val="00A66F46"/>
    <w:rsid w:val="00A67E71"/>
    <w:rsid w:val="00A71DF5"/>
    <w:rsid w:val="00A75052"/>
    <w:rsid w:val="00A80FE9"/>
    <w:rsid w:val="00A8152C"/>
    <w:rsid w:val="00A859E5"/>
    <w:rsid w:val="00A90105"/>
    <w:rsid w:val="00A90E74"/>
    <w:rsid w:val="00A93236"/>
    <w:rsid w:val="00A93C17"/>
    <w:rsid w:val="00A952FD"/>
    <w:rsid w:val="00A96F7B"/>
    <w:rsid w:val="00AA39A3"/>
    <w:rsid w:val="00AA677C"/>
    <w:rsid w:val="00AB25A1"/>
    <w:rsid w:val="00AB5968"/>
    <w:rsid w:val="00AB5E67"/>
    <w:rsid w:val="00AB63AD"/>
    <w:rsid w:val="00AB66D6"/>
    <w:rsid w:val="00AC2896"/>
    <w:rsid w:val="00AC34C2"/>
    <w:rsid w:val="00AC595C"/>
    <w:rsid w:val="00AD086C"/>
    <w:rsid w:val="00AD2D45"/>
    <w:rsid w:val="00AD4A51"/>
    <w:rsid w:val="00AD68D5"/>
    <w:rsid w:val="00AE07EE"/>
    <w:rsid w:val="00AE109D"/>
    <w:rsid w:val="00AE4C12"/>
    <w:rsid w:val="00AE5133"/>
    <w:rsid w:val="00AE545C"/>
    <w:rsid w:val="00AE58BA"/>
    <w:rsid w:val="00AE6EA5"/>
    <w:rsid w:val="00AE7C8F"/>
    <w:rsid w:val="00AF1059"/>
    <w:rsid w:val="00AF37C6"/>
    <w:rsid w:val="00AF6A44"/>
    <w:rsid w:val="00AF6E88"/>
    <w:rsid w:val="00AF7D3B"/>
    <w:rsid w:val="00B01763"/>
    <w:rsid w:val="00B073B6"/>
    <w:rsid w:val="00B07678"/>
    <w:rsid w:val="00B0796C"/>
    <w:rsid w:val="00B1383D"/>
    <w:rsid w:val="00B1483F"/>
    <w:rsid w:val="00B156C5"/>
    <w:rsid w:val="00B17AB2"/>
    <w:rsid w:val="00B21EFF"/>
    <w:rsid w:val="00B22348"/>
    <w:rsid w:val="00B25465"/>
    <w:rsid w:val="00B259C1"/>
    <w:rsid w:val="00B25EB5"/>
    <w:rsid w:val="00B274BA"/>
    <w:rsid w:val="00B33A66"/>
    <w:rsid w:val="00B34448"/>
    <w:rsid w:val="00B36856"/>
    <w:rsid w:val="00B41F6C"/>
    <w:rsid w:val="00B43DC8"/>
    <w:rsid w:val="00B44C69"/>
    <w:rsid w:val="00B4559A"/>
    <w:rsid w:val="00B51AE0"/>
    <w:rsid w:val="00B52C11"/>
    <w:rsid w:val="00B576C6"/>
    <w:rsid w:val="00B57E60"/>
    <w:rsid w:val="00B603BD"/>
    <w:rsid w:val="00B61073"/>
    <w:rsid w:val="00B613C2"/>
    <w:rsid w:val="00B64247"/>
    <w:rsid w:val="00B70E0B"/>
    <w:rsid w:val="00B74149"/>
    <w:rsid w:val="00B76B6F"/>
    <w:rsid w:val="00B77E99"/>
    <w:rsid w:val="00B80696"/>
    <w:rsid w:val="00B860B2"/>
    <w:rsid w:val="00B9460C"/>
    <w:rsid w:val="00B97923"/>
    <w:rsid w:val="00B97B09"/>
    <w:rsid w:val="00BA291C"/>
    <w:rsid w:val="00BA5A15"/>
    <w:rsid w:val="00BB0CE9"/>
    <w:rsid w:val="00BB15BD"/>
    <w:rsid w:val="00BB2EF9"/>
    <w:rsid w:val="00BB4BF3"/>
    <w:rsid w:val="00BC0D90"/>
    <w:rsid w:val="00BC47E2"/>
    <w:rsid w:val="00BC57D1"/>
    <w:rsid w:val="00BD3307"/>
    <w:rsid w:val="00BD3A28"/>
    <w:rsid w:val="00BD5987"/>
    <w:rsid w:val="00BD6009"/>
    <w:rsid w:val="00BE22C1"/>
    <w:rsid w:val="00BE4C50"/>
    <w:rsid w:val="00BE623F"/>
    <w:rsid w:val="00BE7423"/>
    <w:rsid w:val="00BF261D"/>
    <w:rsid w:val="00BF2C73"/>
    <w:rsid w:val="00BF2D56"/>
    <w:rsid w:val="00BF3C83"/>
    <w:rsid w:val="00C02B92"/>
    <w:rsid w:val="00C056F0"/>
    <w:rsid w:val="00C05E0A"/>
    <w:rsid w:val="00C11548"/>
    <w:rsid w:val="00C12AF2"/>
    <w:rsid w:val="00C20ED7"/>
    <w:rsid w:val="00C236D4"/>
    <w:rsid w:val="00C32A6C"/>
    <w:rsid w:val="00C36E85"/>
    <w:rsid w:val="00C43077"/>
    <w:rsid w:val="00C47293"/>
    <w:rsid w:val="00C472F1"/>
    <w:rsid w:val="00C47782"/>
    <w:rsid w:val="00C5034A"/>
    <w:rsid w:val="00C5452D"/>
    <w:rsid w:val="00C5667C"/>
    <w:rsid w:val="00C57301"/>
    <w:rsid w:val="00C61FA3"/>
    <w:rsid w:val="00C623D5"/>
    <w:rsid w:val="00C660EE"/>
    <w:rsid w:val="00C6757E"/>
    <w:rsid w:val="00C67B76"/>
    <w:rsid w:val="00C72378"/>
    <w:rsid w:val="00C73297"/>
    <w:rsid w:val="00C81772"/>
    <w:rsid w:val="00C822E3"/>
    <w:rsid w:val="00C83781"/>
    <w:rsid w:val="00C85533"/>
    <w:rsid w:val="00C85BCE"/>
    <w:rsid w:val="00C959B7"/>
    <w:rsid w:val="00C97F4B"/>
    <w:rsid w:val="00CA3600"/>
    <w:rsid w:val="00CA79E5"/>
    <w:rsid w:val="00CB0FB9"/>
    <w:rsid w:val="00CB2127"/>
    <w:rsid w:val="00CB2497"/>
    <w:rsid w:val="00CB3861"/>
    <w:rsid w:val="00CB3998"/>
    <w:rsid w:val="00CB592A"/>
    <w:rsid w:val="00CC208F"/>
    <w:rsid w:val="00CC248F"/>
    <w:rsid w:val="00CC24E7"/>
    <w:rsid w:val="00CC6853"/>
    <w:rsid w:val="00CC744D"/>
    <w:rsid w:val="00CD0EB1"/>
    <w:rsid w:val="00CD6F78"/>
    <w:rsid w:val="00CE025B"/>
    <w:rsid w:val="00CE21C9"/>
    <w:rsid w:val="00CE45B2"/>
    <w:rsid w:val="00CE54C5"/>
    <w:rsid w:val="00CE64B8"/>
    <w:rsid w:val="00CE6A0A"/>
    <w:rsid w:val="00CF2161"/>
    <w:rsid w:val="00D06CF0"/>
    <w:rsid w:val="00D073F0"/>
    <w:rsid w:val="00D07BA3"/>
    <w:rsid w:val="00D12EE1"/>
    <w:rsid w:val="00D145CD"/>
    <w:rsid w:val="00D14697"/>
    <w:rsid w:val="00D15F93"/>
    <w:rsid w:val="00D17B10"/>
    <w:rsid w:val="00D17C8D"/>
    <w:rsid w:val="00D2011D"/>
    <w:rsid w:val="00D20D98"/>
    <w:rsid w:val="00D23327"/>
    <w:rsid w:val="00D242F5"/>
    <w:rsid w:val="00D31254"/>
    <w:rsid w:val="00D3215F"/>
    <w:rsid w:val="00D325AF"/>
    <w:rsid w:val="00D3694D"/>
    <w:rsid w:val="00D379D0"/>
    <w:rsid w:val="00D4196A"/>
    <w:rsid w:val="00D43544"/>
    <w:rsid w:val="00D43CF5"/>
    <w:rsid w:val="00D462D7"/>
    <w:rsid w:val="00D46CC5"/>
    <w:rsid w:val="00D50771"/>
    <w:rsid w:val="00D511A8"/>
    <w:rsid w:val="00D5771E"/>
    <w:rsid w:val="00D62385"/>
    <w:rsid w:val="00D63A54"/>
    <w:rsid w:val="00D648FD"/>
    <w:rsid w:val="00D713F7"/>
    <w:rsid w:val="00D76910"/>
    <w:rsid w:val="00D820B0"/>
    <w:rsid w:val="00D825EE"/>
    <w:rsid w:val="00D90585"/>
    <w:rsid w:val="00D9089A"/>
    <w:rsid w:val="00D90B26"/>
    <w:rsid w:val="00D92A9A"/>
    <w:rsid w:val="00D94EA1"/>
    <w:rsid w:val="00D97242"/>
    <w:rsid w:val="00D973A2"/>
    <w:rsid w:val="00D975A9"/>
    <w:rsid w:val="00D975C0"/>
    <w:rsid w:val="00DA02BC"/>
    <w:rsid w:val="00DA0DB6"/>
    <w:rsid w:val="00DA1633"/>
    <w:rsid w:val="00DA2522"/>
    <w:rsid w:val="00DA3A66"/>
    <w:rsid w:val="00DA58CF"/>
    <w:rsid w:val="00DC5125"/>
    <w:rsid w:val="00DC53DC"/>
    <w:rsid w:val="00DD21CF"/>
    <w:rsid w:val="00DD260F"/>
    <w:rsid w:val="00DD7387"/>
    <w:rsid w:val="00DE1D1A"/>
    <w:rsid w:val="00DE3EB6"/>
    <w:rsid w:val="00DE624A"/>
    <w:rsid w:val="00DF34CD"/>
    <w:rsid w:val="00DF665F"/>
    <w:rsid w:val="00DF6979"/>
    <w:rsid w:val="00DF7C24"/>
    <w:rsid w:val="00E046AE"/>
    <w:rsid w:val="00E05980"/>
    <w:rsid w:val="00E1173B"/>
    <w:rsid w:val="00E130D0"/>
    <w:rsid w:val="00E136EF"/>
    <w:rsid w:val="00E20207"/>
    <w:rsid w:val="00E20CFE"/>
    <w:rsid w:val="00E214C3"/>
    <w:rsid w:val="00E22923"/>
    <w:rsid w:val="00E266D3"/>
    <w:rsid w:val="00E27565"/>
    <w:rsid w:val="00E31E83"/>
    <w:rsid w:val="00E332AA"/>
    <w:rsid w:val="00E3653A"/>
    <w:rsid w:val="00E3756F"/>
    <w:rsid w:val="00E37F67"/>
    <w:rsid w:val="00E415FE"/>
    <w:rsid w:val="00E44AE2"/>
    <w:rsid w:val="00E512ED"/>
    <w:rsid w:val="00E54B98"/>
    <w:rsid w:val="00E57DFA"/>
    <w:rsid w:val="00E62543"/>
    <w:rsid w:val="00E62D3B"/>
    <w:rsid w:val="00E637CA"/>
    <w:rsid w:val="00E66FFD"/>
    <w:rsid w:val="00E6775D"/>
    <w:rsid w:val="00E72FF5"/>
    <w:rsid w:val="00E7455E"/>
    <w:rsid w:val="00E74D9F"/>
    <w:rsid w:val="00E76A24"/>
    <w:rsid w:val="00E81DA7"/>
    <w:rsid w:val="00E82798"/>
    <w:rsid w:val="00E83576"/>
    <w:rsid w:val="00E84222"/>
    <w:rsid w:val="00E8495E"/>
    <w:rsid w:val="00E84F41"/>
    <w:rsid w:val="00E86A81"/>
    <w:rsid w:val="00E86F19"/>
    <w:rsid w:val="00E9052E"/>
    <w:rsid w:val="00E93EA0"/>
    <w:rsid w:val="00E940B6"/>
    <w:rsid w:val="00E96224"/>
    <w:rsid w:val="00E9767D"/>
    <w:rsid w:val="00E97A67"/>
    <w:rsid w:val="00E97CA4"/>
    <w:rsid w:val="00EA0420"/>
    <w:rsid w:val="00EA04B4"/>
    <w:rsid w:val="00EA4C3D"/>
    <w:rsid w:val="00EA5878"/>
    <w:rsid w:val="00EA72A7"/>
    <w:rsid w:val="00EB070A"/>
    <w:rsid w:val="00EB0D63"/>
    <w:rsid w:val="00EB3017"/>
    <w:rsid w:val="00EB331E"/>
    <w:rsid w:val="00EB373F"/>
    <w:rsid w:val="00EB67B7"/>
    <w:rsid w:val="00EB6A17"/>
    <w:rsid w:val="00EB6D0D"/>
    <w:rsid w:val="00EC06D6"/>
    <w:rsid w:val="00EC293F"/>
    <w:rsid w:val="00EC3D15"/>
    <w:rsid w:val="00EC41AD"/>
    <w:rsid w:val="00EC41C5"/>
    <w:rsid w:val="00ED60B9"/>
    <w:rsid w:val="00ED67AD"/>
    <w:rsid w:val="00EE0C9B"/>
    <w:rsid w:val="00EE0F76"/>
    <w:rsid w:val="00EE391D"/>
    <w:rsid w:val="00EE4C02"/>
    <w:rsid w:val="00EE6FA9"/>
    <w:rsid w:val="00EF1445"/>
    <w:rsid w:val="00EF2869"/>
    <w:rsid w:val="00EF60AD"/>
    <w:rsid w:val="00EF7B4B"/>
    <w:rsid w:val="00F00FF2"/>
    <w:rsid w:val="00F01CA1"/>
    <w:rsid w:val="00F01E3D"/>
    <w:rsid w:val="00F01F61"/>
    <w:rsid w:val="00F145EC"/>
    <w:rsid w:val="00F218BF"/>
    <w:rsid w:val="00F22C18"/>
    <w:rsid w:val="00F25E69"/>
    <w:rsid w:val="00F26532"/>
    <w:rsid w:val="00F37045"/>
    <w:rsid w:val="00F42BD7"/>
    <w:rsid w:val="00F44035"/>
    <w:rsid w:val="00F441EE"/>
    <w:rsid w:val="00F4714C"/>
    <w:rsid w:val="00F5029C"/>
    <w:rsid w:val="00F51852"/>
    <w:rsid w:val="00F51A20"/>
    <w:rsid w:val="00F524C4"/>
    <w:rsid w:val="00F547B8"/>
    <w:rsid w:val="00F54B66"/>
    <w:rsid w:val="00F57087"/>
    <w:rsid w:val="00F67DA9"/>
    <w:rsid w:val="00F67E38"/>
    <w:rsid w:val="00F72695"/>
    <w:rsid w:val="00F727B9"/>
    <w:rsid w:val="00F72DFD"/>
    <w:rsid w:val="00F751E7"/>
    <w:rsid w:val="00F764A5"/>
    <w:rsid w:val="00F82588"/>
    <w:rsid w:val="00F83C7E"/>
    <w:rsid w:val="00F850FA"/>
    <w:rsid w:val="00F8592F"/>
    <w:rsid w:val="00F90ADB"/>
    <w:rsid w:val="00F91D1F"/>
    <w:rsid w:val="00F92479"/>
    <w:rsid w:val="00F95C63"/>
    <w:rsid w:val="00FA41C3"/>
    <w:rsid w:val="00FA59E7"/>
    <w:rsid w:val="00FA6353"/>
    <w:rsid w:val="00FB2A2D"/>
    <w:rsid w:val="00FB2E90"/>
    <w:rsid w:val="00FB40FD"/>
    <w:rsid w:val="00FB5C8C"/>
    <w:rsid w:val="00FB645A"/>
    <w:rsid w:val="00FB71DD"/>
    <w:rsid w:val="00FC4C9F"/>
    <w:rsid w:val="00FD09A6"/>
    <w:rsid w:val="00FD1489"/>
    <w:rsid w:val="00FD2516"/>
    <w:rsid w:val="00FD4674"/>
    <w:rsid w:val="00FD580C"/>
    <w:rsid w:val="00FD649A"/>
    <w:rsid w:val="00FE44EE"/>
    <w:rsid w:val="00FE45CC"/>
    <w:rsid w:val="00FE4DC5"/>
    <w:rsid w:val="00FF06E3"/>
    <w:rsid w:val="00FF370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96E48"/>
  <w15:chartTrackingRefBased/>
  <w15:docId w15:val="{D40D3A2D-3B53-44AC-916D-48804706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24"/>
    <w:pPr>
      <w:spacing w:after="240" w:line="240" w:lineRule="auto"/>
    </w:pPr>
  </w:style>
  <w:style w:type="paragraph" w:styleId="Heading1">
    <w:name w:val="heading 1"/>
    <w:basedOn w:val="Normal"/>
    <w:next w:val="Normal"/>
    <w:link w:val="Heading1Char"/>
    <w:uiPriority w:val="9"/>
    <w:qFormat/>
    <w:rsid w:val="00296124"/>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296124"/>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296124"/>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296124"/>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296124"/>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124"/>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296124"/>
    <w:rPr>
      <w:rFonts w:asciiTheme="majorHAnsi" w:eastAsiaTheme="majorEastAsia" w:hAnsiTheme="majorHAnsi" w:cstheme="majorBidi"/>
      <w:b/>
      <w:color w:val="07478C"/>
      <w:sz w:val="36"/>
      <w:szCs w:val="26"/>
    </w:rPr>
  </w:style>
  <w:style w:type="character" w:customStyle="1" w:styleId="Heading3Char">
    <w:name w:val="Heading 3 Char"/>
    <w:basedOn w:val="DefaultParagraphFont"/>
    <w:link w:val="Heading3"/>
    <w:uiPriority w:val="9"/>
    <w:rsid w:val="00296124"/>
    <w:rPr>
      <w:rFonts w:asciiTheme="majorHAnsi" w:eastAsiaTheme="majorEastAsia" w:hAnsiTheme="majorHAnsi" w:cstheme="majorBidi"/>
      <w:b/>
      <w:color w:val="07478C"/>
      <w:sz w:val="28"/>
      <w:szCs w:val="24"/>
    </w:rPr>
  </w:style>
  <w:style w:type="character" w:customStyle="1" w:styleId="Heading4Char">
    <w:name w:val="Heading 4 Char"/>
    <w:basedOn w:val="DefaultParagraphFont"/>
    <w:link w:val="Heading4"/>
    <w:uiPriority w:val="9"/>
    <w:rsid w:val="00296124"/>
    <w:rPr>
      <w:rFonts w:asciiTheme="majorHAnsi" w:eastAsiaTheme="majorEastAsia" w:hAnsiTheme="majorHAnsi" w:cstheme="majorBidi"/>
      <w:b/>
      <w:iCs/>
      <w:color w:val="07478C"/>
      <w:sz w:val="24"/>
    </w:rPr>
  </w:style>
  <w:style w:type="character" w:customStyle="1" w:styleId="Heading5Char">
    <w:name w:val="Heading 5 Char"/>
    <w:basedOn w:val="DefaultParagraphFont"/>
    <w:link w:val="Heading5"/>
    <w:uiPriority w:val="9"/>
    <w:rsid w:val="00296124"/>
    <w:rPr>
      <w:rFonts w:asciiTheme="majorHAnsi" w:eastAsiaTheme="majorEastAsia" w:hAnsiTheme="majorHAnsi" w:cstheme="majorBidi"/>
      <w:color w:val="07478C"/>
    </w:rPr>
  </w:style>
  <w:style w:type="paragraph" w:styleId="Subtitle">
    <w:name w:val="Subtitle"/>
    <w:basedOn w:val="Normal"/>
    <w:next w:val="Normal"/>
    <w:link w:val="SubtitleChar"/>
    <w:uiPriority w:val="11"/>
    <w:qFormat/>
    <w:rsid w:val="00296124"/>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296124"/>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296124"/>
    <w:rPr>
      <w:color w:val="095EBB"/>
      <w:u w:val="single"/>
    </w:rPr>
  </w:style>
  <w:style w:type="paragraph" w:customStyle="1" w:styleId="Bulletlevel1">
    <w:name w:val="Bullet level 1"/>
    <w:basedOn w:val="Normal"/>
    <w:qFormat/>
    <w:rsid w:val="001E46A1"/>
    <w:pPr>
      <w:numPr>
        <w:numId w:val="5"/>
      </w:numPr>
      <w:contextualSpacing/>
    </w:pPr>
  </w:style>
  <w:style w:type="paragraph" w:styleId="Header">
    <w:name w:val="header"/>
    <w:basedOn w:val="Normal"/>
    <w:link w:val="HeaderChar"/>
    <w:uiPriority w:val="99"/>
    <w:unhideWhenUsed/>
    <w:rsid w:val="00296124"/>
    <w:pPr>
      <w:tabs>
        <w:tab w:val="center" w:pos="4513"/>
        <w:tab w:val="right" w:pos="9026"/>
      </w:tabs>
      <w:spacing w:after="0"/>
    </w:pPr>
  </w:style>
  <w:style w:type="character" w:customStyle="1" w:styleId="HeaderChar">
    <w:name w:val="Header Char"/>
    <w:basedOn w:val="DefaultParagraphFont"/>
    <w:link w:val="Header"/>
    <w:uiPriority w:val="99"/>
    <w:rsid w:val="00296124"/>
  </w:style>
  <w:style w:type="paragraph" w:styleId="Footer">
    <w:name w:val="footer"/>
    <w:basedOn w:val="Normal"/>
    <w:link w:val="FooterChar"/>
    <w:uiPriority w:val="99"/>
    <w:unhideWhenUsed/>
    <w:rsid w:val="00296124"/>
    <w:pPr>
      <w:tabs>
        <w:tab w:val="center" w:pos="4513"/>
        <w:tab w:val="right" w:pos="9026"/>
      </w:tabs>
      <w:spacing w:after="0"/>
    </w:pPr>
  </w:style>
  <w:style w:type="character" w:customStyle="1" w:styleId="FooterChar">
    <w:name w:val="Footer Char"/>
    <w:basedOn w:val="DefaultParagraphFont"/>
    <w:link w:val="Footer"/>
    <w:uiPriority w:val="99"/>
    <w:rsid w:val="00296124"/>
  </w:style>
  <w:style w:type="table" w:styleId="TableGrid">
    <w:name w:val="Table Grid"/>
    <w:basedOn w:val="TableNormal"/>
    <w:uiPriority w:val="39"/>
    <w:rsid w:val="0029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296124"/>
    <w:pPr>
      <w:keepNext/>
      <w:spacing w:before="40" w:after="0"/>
    </w:pPr>
    <w:rPr>
      <w:rFonts w:asciiTheme="majorHAnsi" w:hAnsiTheme="majorHAnsi"/>
      <w:b/>
      <w:color w:val="07478C"/>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ALTS FOOTNOTE,footnote text"/>
    <w:basedOn w:val="Normal"/>
    <w:link w:val="FootnoteTextChar"/>
    <w:uiPriority w:val="99"/>
    <w:unhideWhenUsed/>
    <w:rsid w:val="00296124"/>
    <w:pPr>
      <w:spacing w:after="0"/>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ALTS FOOTNOTE Char,footnote text Char"/>
    <w:basedOn w:val="DefaultParagraphFont"/>
    <w:link w:val="FootnoteText"/>
    <w:uiPriority w:val="99"/>
    <w:rsid w:val="00296124"/>
    <w:rPr>
      <w:sz w:val="20"/>
      <w:szCs w:val="20"/>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unhideWhenUsed/>
    <w:rsid w:val="00296124"/>
    <w:rPr>
      <w:vertAlign w:val="superscript"/>
    </w:rPr>
  </w:style>
  <w:style w:type="paragraph" w:styleId="ListParagraph">
    <w:name w:val="List Paragraph"/>
    <w:aliases w:val="List Paragraph1,Recommendation,bullet point list,List Paragraph11,L,CV text,Dot pt,F5 List Paragraph,No Spacing1,List Paragraph Char Char Char,Indicator Text,Numbered Para 1,Bullet 1,List Paragraph12,Bullet Points,MAIN CONTENT"/>
    <w:basedOn w:val="Normal"/>
    <w:link w:val="ListParagraphChar"/>
    <w:uiPriority w:val="34"/>
    <w:qFormat/>
    <w:rsid w:val="00296124"/>
    <w:pPr>
      <w:ind w:left="1134" w:hanging="567"/>
      <w:contextualSpacing/>
    </w:pPr>
  </w:style>
  <w:style w:type="character" w:customStyle="1" w:styleId="ListParagraphChar">
    <w:name w:val="List Paragraph Char"/>
    <w:aliases w:val="List Paragraph1 Char,Recommendation Char,bullet point list Char,List Paragraph11 Char,L Char,CV text Char,Dot pt Char,F5 List Paragraph Char,No Spacing1 Char,List Paragraph Char Char Char Char,Indicator Text Char,Numbered Para 1 Char"/>
    <w:basedOn w:val="DefaultParagraphFont"/>
    <w:link w:val="ListParagraph"/>
    <w:uiPriority w:val="34"/>
    <w:rsid w:val="00296124"/>
  </w:style>
  <w:style w:type="paragraph" w:styleId="TOC1">
    <w:name w:val="toc 1"/>
    <w:basedOn w:val="Normal"/>
    <w:next w:val="Normal"/>
    <w:autoRedefine/>
    <w:uiPriority w:val="39"/>
    <w:unhideWhenUsed/>
    <w:rsid w:val="00296124"/>
    <w:pPr>
      <w:spacing w:before="120" w:after="0"/>
    </w:pPr>
    <w:rPr>
      <w:b/>
      <w:color w:val="07478C"/>
      <w:sz w:val="24"/>
    </w:rPr>
  </w:style>
  <w:style w:type="paragraph" w:styleId="NoSpacing">
    <w:name w:val="No Spacing"/>
    <w:link w:val="NoSpacingChar"/>
    <w:uiPriority w:val="1"/>
    <w:qFormat/>
    <w:rsid w:val="00296124"/>
    <w:pPr>
      <w:spacing w:after="0" w:line="240" w:lineRule="auto"/>
    </w:pPr>
  </w:style>
  <w:style w:type="character" w:customStyle="1" w:styleId="NoSpacingChar">
    <w:name w:val="No Spacing Char"/>
    <w:link w:val="NoSpacing"/>
    <w:uiPriority w:val="1"/>
    <w:locked/>
    <w:rsid w:val="00296124"/>
  </w:style>
  <w:style w:type="character" w:styleId="IntenseEmphasis">
    <w:name w:val="Intense Emphasis"/>
    <w:basedOn w:val="DefaultParagraphFont"/>
    <w:uiPriority w:val="21"/>
    <w:qFormat/>
    <w:rsid w:val="00296124"/>
    <w:rPr>
      <w:rFonts w:asciiTheme="minorHAnsi" w:hAnsiTheme="minorHAnsi"/>
      <w:i/>
      <w:iCs/>
      <w:color w:val="07478C"/>
      <w:sz w:val="22"/>
    </w:rPr>
  </w:style>
  <w:style w:type="paragraph" w:styleId="IntenseQuote">
    <w:name w:val="Intense Quote"/>
    <w:basedOn w:val="Normal"/>
    <w:next w:val="Normal"/>
    <w:link w:val="IntenseQuoteChar"/>
    <w:uiPriority w:val="30"/>
    <w:qFormat/>
    <w:rsid w:val="00296124"/>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296124"/>
    <w:rPr>
      <w:i/>
      <w:iCs/>
      <w:color w:val="07478C"/>
    </w:rPr>
  </w:style>
  <w:style w:type="character" w:styleId="IntenseReference">
    <w:name w:val="Intense Reference"/>
    <w:basedOn w:val="DefaultParagraphFont"/>
    <w:uiPriority w:val="32"/>
    <w:qFormat/>
    <w:rsid w:val="00296124"/>
    <w:rPr>
      <w:rFonts w:asciiTheme="minorHAnsi" w:hAnsiTheme="minorHAnsi"/>
      <w:b/>
      <w:bCs/>
      <w:smallCaps/>
      <w:color w:val="07478C"/>
      <w:spacing w:val="5"/>
      <w:sz w:val="22"/>
    </w:rPr>
  </w:style>
  <w:style w:type="character" w:styleId="BookTitle">
    <w:name w:val="Book Title"/>
    <w:basedOn w:val="DefaultParagraphFont"/>
    <w:uiPriority w:val="33"/>
    <w:qFormat/>
    <w:rsid w:val="00296124"/>
    <w:rPr>
      <w:rFonts w:asciiTheme="minorHAnsi" w:hAnsiTheme="minorHAnsi"/>
      <w:b/>
      <w:bCs/>
      <w:i/>
      <w:iCs/>
      <w:spacing w:val="5"/>
      <w:sz w:val="22"/>
    </w:rPr>
  </w:style>
  <w:style w:type="character" w:styleId="SubtleReference">
    <w:name w:val="Subtle Reference"/>
    <w:basedOn w:val="DefaultParagraphFont"/>
    <w:uiPriority w:val="31"/>
    <w:qFormat/>
    <w:rsid w:val="00296124"/>
    <w:rPr>
      <w:rFonts w:asciiTheme="minorHAnsi" w:hAnsiTheme="minorHAnsi"/>
      <w:smallCaps/>
      <w:color w:val="5A5A5A" w:themeColor="text1" w:themeTint="A5"/>
      <w:sz w:val="22"/>
    </w:rPr>
  </w:style>
  <w:style w:type="paragraph" w:customStyle="1" w:styleId="Tickedboxbulletpoint">
    <w:name w:val="Ticked box bullet point"/>
    <w:basedOn w:val="Bulletlevel1"/>
    <w:qFormat/>
    <w:rsid w:val="00296124"/>
    <w:pPr>
      <w:numPr>
        <w:numId w:val="1"/>
      </w:numPr>
      <w:spacing w:before="240" w:after="0"/>
      <w:ind w:left="567" w:hanging="567"/>
    </w:pPr>
  </w:style>
  <w:style w:type="paragraph" w:customStyle="1" w:styleId="Checkboxemptybulletpoint">
    <w:name w:val="Check box empty bullet point"/>
    <w:basedOn w:val="Bulletlevel1"/>
    <w:qFormat/>
    <w:rsid w:val="00296124"/>
    <w:pPr>
      <w:numPr>
        <w:numId w:val="2"/>
      </w:numPr>
      <w:spacing w:after="0"/>
      <w:ind w:left="397" w:hanging="397"/>
    </w:pPr>
  </w:style>
  <w:style w:type="paragraph" w:styleId="BalloonText">
    <w:name w:val="Balloon Text"/>
    <w:basedOn w:val="Normal"/>
    <w:link w:val="BalloonTextChar"/>
    <w:uiPriority w:val="99"/>
    <w:semiHidden/>
    <w:unhideWhenUsed/>
    <w:rsid w:val="0029612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24"/>
    <w:rPr>
      <w:rFonts w:ascii="Segoe UI" w:hAnsi="Segoe UI" w:cs="Segoe UI"/>
      <w:sz w:val="18"/>
      <w:szCs w:val="18"/>
    </w:rPr>
  </w:style>
  <w:style w:type="paragraph" w:styleId="BodyText">
    <w:name w:val="Body Text"/>
    <w:basedOn w:val="Normal"/>
    <w:link w:val="BodyTextChar"/>
    <w:rsid w:val="00296124"/>
    <w:pPr>
      <w:spacing w:before="240"/>
    </w:pPr>
    <w:rPr>
      <w:rFonts w:ascii="Calibri" w:hAnsi="Calibri"/>
    </w:rPr>
  </w:style>
  <w:style w:type="character" w:customStyle="1" w:styleId="BodyTextChar">
    <w:name w:val="Body Text Char"/>
    <w:basedOn w:val="DefaultParagraphFont"/>
    <w:link w:val="BodyText"/>
    <w:rsid w:val="00296124"/>
    <w:rPr>
      <w:rFonts w:ascii="Calibri" w:hAnsi="Calibri"/>
    </w:rPr>
  </w:style>
  <w:style w:type="paragraph" w:styleId="NormalWeb">
    <w:name w:val="Normal (Web)"/>
    <w:basedOn w:val="Normal"/>
    <w:uiPriority w:val="99"/>
    <w:unhideWhenUsed/>
    <w:rsid w:val="00296124"/>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96124"/>
    <w:rPr>
      <w:sz w:val="16"/>
      <w:szCs w:val="16"/>
    </w:rPr>
  </w:style>
  <w:style w:type="paragraph" w:styleId="CommentText">
    <w:name w:val="annotation text"/>
    <w:basedOn w:val="Normal"/>
    <w:link w:val="CommentTextChar"/>
    <w:uiPriority w:val="99"/>
    <w:semiHidden/>
    <w:unhideWhenUsed/>
    <w:rsid w:val="00296124"/>
    <w:rPr>
      <w:sz w:val="20"/>
      <w:szCs w:val="20"/>
    </w:rPr>
  </w:style>
  <w:style w:type="character" w:customStyle="1" w:styleId="CommentTextChar">
    <w:name w:val="Comment Text Char"/>
    <w:basedOn w:val="DefaultParagraphFont"/>
    <w:link w:val="CommentText"/>
    <w:uiPriority w:val="99"/>
    <w:semiHidden/>
    <w:rsid w:val="00296124"/>
    <w:rPr>
      <w:sz w:val="20"/>
      <w:szCs w:val="20"/>
    </w:rPr>
  </w:style>
  <w:style w:type="character" w:customStyle="1" w:styleId="CommentSubjectChar">
    <w:name w:val="Comment Subject Char"/>
    <w:basedOn w:val="CommentTextChar"/>
    <w:link w:val="CommentSubject"/>
    <w:uiPriority w:val="99"/>
    <w:semiHidden/>
    <w:rsid w:val="00296124"/>
    <w:rPr>
      <w:b/>
      <w:bCs/>
      <w:sz w:val="20"/>
      <w:szCs w:val="20"/>
    </w:rPr>
  </w:style>
  <w:style w:type="paragraph" w:styleId="CommentSubject">
    <w:name w:val="annotation subject"/>
    <w:basedOn w:val="CommentText"/>
    <w:next w:val="CommentText"/>
    <w:link w:val="CommentSubjectChar"/>
    <w:uiPriority w:val="99"/>
    <w:semiHidden/>
    <w:unhideWhenUsed/>
    <w:rsid w:val="00296124"/>
    <w:rPr>
      <w:b/>
      <w:bCs/>
    </w:rPr>
  </w:style>
  <w:style w:type="paragraph" w:styleId="ListBullet">
    <w:name w:val="List Bullet"/>
    <w:basedOn w:val="Normal"/>
    <w:link w:val="ListBulletChar"/>
    <w:rsid w:val="00296124"/>
    <w:pPr>
      <w:tabs>
        <w:tab w:val="num" w:pos="295"/>
      </w:tabs>
      <w:spacing w:after="80" w:line="240" w:lineRule="atLeast"/>
      <w:ind w:left="295" w:hanging="295"/>
    </w:pPr>
    <w:rPr>
      <w:rFonts w:ascii="HelveticaNeueLT Std Lt" w:eastAsia="Times New Roman" w:hAnsi="HelveticaNeueLT Std Lt" w:cs="Times New Roman"/>
      <w:sz w:val="20"/>
      <w:szCs w:val="24"/>
      <w:lang w:eastAsia="en-AU"/>
    </w:rPr>
  </w:style>
  <w:style w:type="character" w:customStyle="1" w:styleId="ListBulletChar">
    <w:name w:val="List Bullet Char"/>
    <w:basedOn w:val="DefaultParagraphFont"/>
    <w:link w:val="ListBullet"/>
    <w:locked/>
    <w:rsid w:val="00296124"/>
    <w:rPr>
      <w:rFonts w:ascii="HelveticaNeueLT Std Lt" w:eastAsia="Times New Roman" w:hAnsi="HelveticaNeueLT Std Lt" w:cs="Times New Roman"/>
      <w:sz w:val="20"/>
      <w:szCs w:val="24"/>
      <w:lang w:eastAsia="en-AU"/>
    </w:rPr>
  </w:style>
  <w:style w:type="paragraph" w:customStyle="1" w:styleId="DeptBodytext">
    <w:name w:val="Dept Body text"/>
    <w:basedOn w:val="Normal"/>
    <w:autoRedefine/>
    <w:qFormat/>
    <w:rsid w:val="00296124"/>
    <w:pPr>
      <w:spacing w:after="120"/>
    </w:pPr>
    <w:rPr>
      <w:rFonts w:ascii="Arial" w:eastAsia="Cambria" w:hAnsi="Arial" w:cs="Arial"/>
      <w:iCs/>
      <w:sz w:val="20"/>
      <w:szCs w:val="20"/>
    </w:rPr>
  </w:style>
  <w:style w:type="paragraph" w:styleId="Revision">
    <w:name w:val="Revision"/>
    <w:hidden/>
    <w:uiPriority w:val="99"/>
    <w:semiHidden/>
    <w:rsid w:val="005838AE"/>
    <w:pPr>
      <w:spacing w:after="0" w:line="240" w:lineRule="auto"/>
    </w:pPr>
  </w:style>
  <w:style w:type="paragraph" w:customStyle="1" w:styleId="subtitleofdocument">
    <w:name w:val="subtitle of document"/>
    <w:basedOn w:val="Normal"/>
    <w:next w:val="Normal"/>
    <w:rsid w:val="003A0C3C"/>
    <w:pPr>
      <w:spacing w:before="1000" w:after="1000"/>
      <w:outlineLvl w:val="1"/>
    </w:pPr>
    <w:rPr>
      <w:rFonts w:asciiTheme="majorHAnsi" w:eastAsia="Times New Roman" w:hAnsiTheme="majorHAnsi" w:cs="Times New Roman"/>
      <w:b/>
      <w:bCs/>
      <w:color w:val="07478C"/>
      <w:sz w:val="36"/>
      <w:szCs w:val="20"/>
    </w:rPr>
  </w:style>
  <w:style w:type="paragraph" w:customStyle="1" w:styleId="Normal-monthyearforcoverpage">
    <w:name w:val="Normal - month/year for cover page"/>
    <w:basedOn w:val="Normal"/>
    <w:next w:val="Normal"/>
    <w:rsid w:val="003A0C3C"/>
    <w:rPr>
      <w:color w:val="07478C"/>
      <w:sz w:val="24"/>
      <w:szCs w:val="24"/>
    </w:rPr>
  </w:style>
  <w:style w:type="paragraph" w:customStyle="1" w:styleId="Heading2-notshowingincontentsindocument">
    <w:name w:val="Heading 2 - not showing in contents in document"/>
    <w:basedOn w:val="Normal"/>
    <w:next w:val="Normal"/>
    <w:rsid w:val="00745DEB"/>
    <w:pPr>
      <w:spacing w:before="120"/>
      <w:outlineLvl w:val="1"/>
    </w:pPr>
    <w:rPr>
      <w:rFonts w:asciiTheme="majorHAnsi" w:hAnsiTheme="majorHAnsi"/>
      <w:b/>
      <w:color w:val="07478C"/>
      <w:sz w:val="36"/>
      <w:szCs w:val="36"/>
    </w:rPr>
  </w:style>
  <w:style w:type="paragraph" w:customStyle="1" w:styleId="Heading3-notshowingincontentsindocument">
    <w:name w:val="Heading 3 - not showing in contents in document"/>
    <w:basedOn w:val="Normal"/>
    <w:next w:val="Normal"/>
    <w:rsid w:val="003A0C3C"/>
    <w:pPr>
      <w:spacing w:before="120" w:after="120"/>
      <w:outlineLvl w:val="2"/>
    </w:pPr>
    <w:rPr>
      <w:color w:val="07478C"/>
      <w:sz w:val="26"/>
      <w:szCs w:val="26"/>
    </w:rPr>
  </w:style>
  <w:style w:type="paragraph" w:styleId="TOC2">
    <w:name w:val="toc 2"/>
    <w:basedOn w:val="Normal"/>
    <w:next w:val="Normal"/>
    <w:autoRedefine/>
    <w:uiPriority w:val="39"/>
    <w:unhideWhenUsed/>
    <w:rsid w:val="003A0C3C"/>
    <w:pPr>
      <w:spacing w:after="100"/>
      <w:ind w:left="220"/>
    </w:pPr>
  </w:style>
  <w:style w:type="paragraph" w:styleId="TOC3">
    <w:name w:val="toc 3"/>
    <w:basedOn w:val="Normal"/>
    <w:next w:val="Normal"/>
    <w:autoRedefine/>
    <w:uiPriority w:val="39"/>
    <w:unhideWhenUsed/>
    <w:rsid w:val="00F5029C"/>
    <w:pPr>
      <w:spacing w:after="100"/>
      <w:ind w:left="440"/>
    </w:pPr>
  </w:style>
  <w:style w:type="character" w:styleId="FollowedHyperlink">
    <w:name w:val="FollowedHyperlink"/>
    <w:basedOn w:val="DefaultParagraphFont"/>
    <w:uiPriority w:val="99"/>
    <w:semiHidden/>
    <w:unhideWhenUsed/>
    <w:rsid w:val="001D0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73686">
      <w:bodyDiv w:val="1"/>
      <w:marLeft w:val="0"/>
      <w:marRight w:val="0"/>
      <w:marTop w:val="0"/>
      <w:marBottom w:val="0"/>
      <w:divBdr>
        <w:top w:val="none" w:sz="0" w:space="0" w:color="auto"/>
        <w:left w:val="none" w:sz="0" w:space="0" w:color="auto"/>
        <w:bottom w:val="none" w:sz="0" w:space="0" w:color="auto"/>
        <w:right w:val="none" w:sz="0" w:space="0" w:color="auto"/>
      </w:divBdr>
      <w:divsChild>
        <w:div w:id="2021154159">
          <w:marLeft w:val="0"/>
          <w:marRight w:val="0"/>
          <w:marTop w:val="0"/>
          <w:marBottom w:val="0"/>
          <w:divBdr>
            <w:top w:val="none" w:sz="0" w:space="0" w:color="auto"/>
            <w:left w:val="none" w:sz="0" w:space="0" w:color="auto"/>
            <w:bottom w:val="none" w:sz="0" w:space="0" w:color="auto"/>
            <w:right w:val="none" w:sz="0" w:space="0" w:color="auto"/>
          </w:divBdr>
          <w:divsChild>
            <w:div w:id="29427178">
              <w:marLeft w:val="0"/>
              <w:marRight w:val="0"/>
              <w:marTop w:val="0"/>
              <w:marBottom w:val="0"/>
              <w:divBdr>
                <w:top w:val="none" w:sz="0" w:space="0" w:color="auto"/>
                <w:left w:val="none" w:sz="0" w:space="0" w:color="auto"/>
                <w:bottom w:val="none" w:sz="0" w:space="0" w:color="auto"/>
                <w:right w:val="none" w:sz="0" w:space="0" w:color="auto"/>
              </w:divBdr>
              <w:divsChild>
                <w:div w:id="1402369035">
                  <w:marLeft w:val="0"/>
                  <w:marRight w:val="0"/>
                  <w:marTop w:val="0"/>
                  <w:marBottom w:val="0"/>
                  <w:divBdr>
                    <w:top w:val="none" w:sz="0" w:space="0" w:color="auto"/>
                    <w:left w:val="none" w:sz="0" w:space="0" w:color="auto"/>
                    <w:bottom w:val="none" w:sz="0" w:space="0" w:color="auto"/>
                    <w:right w:val="none" w:sz="0" w:space="0" w:color="auto"/>
                  </w:divBdr>
                  <w:divsChild>
                    <w:div w:id="1360089339">
                      <w:marLeft w:val="0"/>
                      <w:marRight w:val="0"/>
                      <w:marTop w:val="0"/>
                      <w:marBottom w:val="0"/>
                      <w:divBdr>
                        <w:top w:val="none" w:sz="0" w:space="0" w:color="auto"/>
                        <w:left w:val="none" w:sz="0" w:space="0" w:color="auto"/>
                        <w:bottom w:val="none" w:sz="0" w:space="0" w:color="auto"/>
                        <w:right w:val="none" w:sz="0" w:space="0" w:color="auto"/>
                      </w:divBdr>
                      <w:divsChild>
                        <w:div w:id="1169103863">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955281">
      <w:bodyDiv w:val="1"/>
      <w:marLeft w:val="0"/>
      <w:marRight w:val="0"/>
      <w:marTop w:val="0"/>
      <w:marBottom w:val="0"/>
      <w:divBdr>
        <w:top w:val="none" w:sz="0" w:space="0" w:color="auto"/>
        <w:left w:val="none" w:sz="0" w:space="0" w:color="auto"/>
        <w:bottom w:val="none" w:sz="0" w:space="0" w:color="auto"/>
        <w:right w:val="none" w:sz="0" w:space="0" w:color="auto"/>
      </w:divBdr>
    </w:div>
    <w:div w:id="1613392506">
      <w:bodyDiv w:val="1"/>
      <w:marLeft w:val="0"/>
      <w:marRight w:val="0"/>
      <w:marTop w:val="0"/>
      <w:marBottom w:val="0"/>
      <w:divBdr>
        <w:top w:val="none" w:sz="0" w:space="0" w:color="auto"/>
        <w:left w:val="none" w:sz="0" w:space="0" w:color="auto"/>
        <w:bottom w:val="none" w:sz="0" w:space="0" w:color="auto"/>
        <w:right w:val="none" w:sz="0" w:space="0" w:color="auto"/>
      </w:divBdr>
      <w:divsChild>
        <w:div w:id="80180348">
          <w:marLeft w:val="0"/>
          <w:marRight w:val="0"/>
          <w:marTop w:val="0"/>
          <w:marBottom w:val="0"/>
          <w:divBdr>
            <w:top w:val="none" w:sz="0" w:space="0" w:color="auto"/>
            <w:left w:val="none" w:sz="0" w:space="0" w:color="auto"/>
            <w:bottom w:val="none" w:sz="0" w:space="0" w:color="auto"/>
            <w:right w:val="none" w:sz="0" w:space="0" w:color="auto"/>
          </w:divBdr>
          <w:divsChild>
            <w:div w:id="528446459">
              <w:marLeft w:val="0"/>
              <w:marRight w:val="0"/>
              <w:marTop w:val="0"/>
              <w:marBottom w:val="0"/>
              <w:divBdr>
                <w:top w:val="none" w:sz="0" w:space="0" w:color="auto"/>
                <w:left w:val="none" w:sz="0" w:space="0" w:color="auto"/>
                <w:bottom w:val="none" w:sz="0" w:space="0" w:color="auto"/>
                <w:right w:val="none" w:sz="0" w:space="0" w:color="auto"/>
              </w:divBdr>
              <w:divsChild>
                <w:div w:id="890384014">
                  <w:marLeft w:val="0"/>
                  <w:marRight w:val="0"/>
                  <w:marTop w:val="0"/>
                  <w:marBottom w:val="0"/>
                  <w:divBdr>
                    <w:top w:val="none" w:sz="0" w:space="0" w:color="auto"/>
                    <w:left w:val="none" w:sz="0" w:space="0" w:color="auto"/>
                    <w:bottom w:val="none" w:sz="0" w:space="0" w:color="auto"/>
                    <w:right w:val="none" w:sz="0" w:space="0" w:color="auto"/>
                  </w:divBdr>
                  <w:divsChild>
                    <w:div w:id="50009244">
                      <w:marLeft w:val="0"/>
                      <w:marRight w:val="0"/>
                      <w:marTop w:val="0"/>
                      <w:marBottom w:val="0"/>
                      <w:divBdr>
                        <w:top w:val="none" w:sz="0" w:space="0" w:color="auto"/>
                        <w:left w:val="none" w:sz="0" w:space="0" w:color="auto"/>
                        <w:bottom w:val="none" w:sz="0" w:space="0" w:color="auto"/>
                        <w:right w:val="none" w:sz="0" w:space="0" w:color="auto"/>
                      </w:divBdr>
                      <w:divsChild>
                        <w:div w:id="82068605">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84904">
      <w:bodyDiv w:val="1"/>
      <w:marLeft w:val="0"/>
      <w:marRight w:val="0"/>
      <w:marTop w:val="0"/>
      <w:marBottom w:val="0"/>
      <w:divBdr>
        <w:top w:val="none" w:sz="0" w:space="0" w:color="auto"/>
        <w:left w:val="none" w:sz="0" w:space="0" w:color="auto"/>
        <w:bottom w:val="none" w:sz="0" w:space="0" w:color="auto"/>
        <w:right w:val="none" w:sz="0" w:space="0" w:color="auto"/>
      </w:divBdr>
    </w:div>
    <w:div w:id="1666012056">
      <w:bodyDiv w:val="1"/>
      <w:marLeft w:val="0"/>
      <w:marRight w:val="0"/>
      <w:marTop w:val="0"/>
      <w:marBottom w:val="0"/>
      <w:divBdr>
        <w:top w:val="none" w:sz="0" w:space="0" w:color="auto"/>
        <w:left w:val="none" w:sz="0" w:space="0" w:color="auto"/>
        <w:bottom w:val="none" w:sz="0" w:space="0" w:color="auto"/>
        <w:right w:val="none" w:sz="0" w:space="0" w:color="auto"/>
      </w:divBdr>
    </w:div>
    <w:div w:id="1730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to.gov.au/standard/design-guides/making-content-accessibl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mmunications.gov.au/publications/spectrum-review-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7a33c5cebeec0bf98200120c911b2d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47A9-FC8E-409B-8FA0-4A11FB5CEAF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42794222-FF73-43F2-B0CB-52A6370BE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E0CFB6-F621-4660-96AF-528CE4BEE671}">
  <ds:schemaRefs>
    <ds:schemaRef ds:uri="http://schemas.microsoft.com/sharepoint/v3/contenttype/forms"/>
  </ds:schemaRefs>
</ds:datastoreItem>
</file>

<file path=customXml/itemProps4.xml><?xml version="1.0" encoding="utf-8"?>
<ds:datastoreItem xmlns:ds="http://schemas.openxmlformats.org/officeDocument/2006/customXml" ds:itemID="{38025D0D-D17B-46D7-96BC-8602C13F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28</Pages>
  <Words>11587</Words>
  <Characters>66051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Radiocommunications Bill 2017: a platform for the future</vt:lpstr>
    </vt:vector>
  </TitlesOfParts>
  <Company>Department of Communications</Company>
  <LinksUpToDate>false</LinksUpToDate>
  <CharactersWithSpaces>77484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Bill 2017: a platform for the future</dc:title>
  <dc:subject/>
  <dc:creator>Sullivan, Pauline</dc:creator>
  <cp:keywords/>
  <dc:description/>
  <cp:lastModifiedBy>Poon, Elisa</cp:lastModifiedBy>
  <cp:revision>66</cp:revision>
  <cp:lastPrinted>2017-04-20T02:37:00Z</cp:lastPrinted>
  <dcterms:created xsi:type="dcterms:W3CDTF">2017-04-06T05:14:00Z</dcterms:created>
  <dcterms:modified xsi:type="dcterms:W3CDTF">2017-05-14T23:52:00Z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24</vt:i4>
  </property>
</Properties>
</file>