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2A47" w14:textId="70070DFE" w:rsidR="003768DA" w:rsidRDefault="003768DA" w:rsidP="009F4E43">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45E9C3A7" wp14:editId="11BA603B">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233" cy="1263650"/>
                    </a:xfrm>
                    <a:prstGeom prst="rect">
                      <a:avLst/>
                    </a:prstGeom>
                  </pic:spPr>
                </pic:pic>
              </a:graphicData>
            </a:graphic>
          </wp:inline>
        </w:drawing>
      </w:r>
    </w:p>
    <w:p w14:paraId="72CCE0E6" w14:textId="4BB227F7" w:rsidR="00772C27" w:rsidRPr="009F4E43" w:rsidRDefault="00BF78EB" w:rsidP="009F4E43">
      <w:pPr>
        <w:pStyle w:val="Heading1"/>
        <w:shd w:val="clear" w:color="auto" w:fill="auto"/>
        <w:rPr>
          <w:color w:val="002D72"/>
        </w:rPr>
      </w:pPr>
      <w:r w:rsidRPr="009F4E43">
        <w:rPr>
          <w:color w:val="002D72"/>
        </w:rPr>
        <w:t xml:space="preserve">Improving the telecommunications powers and immunities </w:t>
      </w:r>
      <w:bookmarkStart w:id="0" w:name="_GoBack"/>
      <w:bookmarkEnd w:id="0"/>
      <w:r w:rsidRPr="009F4E43">
        <w:rPr>
          <w:color w:val="002D72"/>
        </w:rPr>
        <w:t>framework</w:t>
      </w:r>
      <w:r w:rsidR="009F4E43" w:rsidRPr="009F4E43">
        <w:rPr>
          <w:color w:val="002D72"/>
        </w:rPr>
        <w:t>—</w:t>
      </w:r>
      <w:r w:rsidR="00F81659" w:rsidRPr="009F4E43">
        <w:rPr>
          <w:color w:val="002D72"/>
        </w:rPr>
        <w:t>consultation</w:t>
      </w:r>
      <w:r w:rsidR="000F202E">
        <w:rPr>
          <w:color w:val="002D72"/>
        </w:rPr>
        <w:t> </w:t>
      </w:r>
      <w:r w:rsidR="00F81659" w:rsidRPr="009F4E43">
        <w:rPr>
          <w:color w:val="002D72"/>
        </w:rPr>
        <w:t>outcomes paper</w:t>
      </w:r>
    </w:p>
    <w:p w14:paraId="38DCC22E" w14:textId="00EBF818" w:rsidR="00772C27" w:rsidRPr="009F4E43" w:rsidRDefault="00C2716A" w:rsidP="009F4E43">
      <w:pPr>
        <w:spacing w:after="120"/>
        <w:rPr>
          <w:rFonts w:ascii="Segoe UI Semibold" w:hAnsi="Segoe UI Semibold" w:cs="Segoe UI Semibold"/>
          <w:color w:val="002D72"/>
        </w:rPr>
      </w:pPr>
      <w:r>
        <w:rPr>
          <w:rFonts w:ascii="Segoe UI Semibold" w:hAnsi="Segoe UI Semibold" w:cs="Segoe UI Semibold"/>
          <w:color w:val="002D72"/>
        </w:rPr>
        <w:t>March</w:t>
      </w:r>
      <w:r w:rsidR="00967507" w:rsidRPr="009F4E43">
        <w:rPr>
          <w:rFonts w:ascii="Segoe UI Semibold" w:hAnsi="Segoe UI Semibold" w:cs="Segoe UI Semibold"/>
          <w:color w:val="002D72"/>
        </w:rPr>
        <w:t xml:space="preserve"> </w:t>
      </w:r>
      <w:r w:rsidR="00CC15EB" w:rsidRPr="009F4E43">
        <w:rPr>
          <w:rFonts w:ascii="Segoe UI Semibold" w:hAnsi="Segoe UI Semibold" w:cs="Segoe UI Semibold"/>
          <w:color w:val="002D72"/>
        </w:rPr>
        <w:t>2021</w:t>
      </w:r>
    </w:p>
    <w:p w14:paraId="7F098802" w14:textId="77777777" w:rsidR="00E7227D" w:rsidRDefault="00E7227D">
      <w:pPr>
        <w:spacing w:line="259" w:lineRule="auto"/>
      </w:pPr>
      <w:r>
        <w:br w:type="page"/>
      </w:r>
    </w:p>
    <w:p w14:paraId="2BB3BDEC" w14:textId="779966D0" w:rsidR="00E7227D" w:rsidRDefault="00E7227D" w:rsidP="002F1A23">
      <w:pPr>
        <w:spacing w:after="120" w:line="259" w:lineRule="auto"/>
      </w:pPr>
      <w:r>
        <w:lastRenderedPageBreak/>
        <w:t xml:space="preserve">© Commonwealth of Australia </w:t>
      </w:r>
      <w:r w:rsidR="00CC15EB">
        <w:t>2021</w:t>
      </w:r>
      <w:r>
        <w:br/>
      </w:r>
      <w:r w:rsidR="00C2716A">
        <w:t>March</w:t>
      </w:r>
      <w:r w:rsidR="00967507">
        <w:t xml:space="preserve"> </w:t>
      </w:r>
      <w:r w:rsidR="007E725A">
        <w:t>2021</w:t>
      </w:r>
      <w:r>
        <w:t xml:space="preserve"> / INFRASTRUCTURE</w:t>
      </w:r>
    </w:p>
    <w:p w14:paraId="2989D0B1" w14:textId="77777777" w:rsidR="00E7227D" w:rsidRDefault="00E7227D" w:rsidP="00E7227D">
      <w:pPr>
        <w:pStyle w:val="Heading2notshowing"/>
      </w:pPr>
      <w:r>
        <w:t>Ownership of intellectual property rights in this publication</w:t>
      </w:r>
    </w:p>
    <w:p w14:paraId="2717D47E"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583FB678" w14:textId="77777777" w:rsidR="00E7227D" w:rsidRDefault="00E7227D" w:rsidP="00E7227D">
      <w:pPr>
        <w:pStyle w:val="Heading2notshowing"/>
      </w:pPr>
      <w:r>
        <w:t>Disclaimer</w:t>
      </w:r>
    </w:p>
    <w:p w14:paraId="1F480B7D"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29ED717C"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152768EF" w14:textId="77777777" w:rsidR="00E7227D" w:rsidRDefault="00E7227D" w:rsidP="00E7227D">
      <w:pPr>
        <w:pStyle w:val="Heading2notshowing"/>
      </w:pPr>
      <w:r>
        <w:t>Creative Commons licence</w:t>
      </w:r>
    </w:p>
    <w:p w14:paraId="23F145DC" w14:textId="3D8B96A1" w:rsidR="00E7227D" w:rsidRDefault="00E7227D" w:rsidP="00E7227D">
      <w:pPr>
        <w:pStyle w:val="Normaldisclaimerpage"/>
      </w:pPr>
      <w:r>
        <w:t>With the exception of (a) the Coat of Arms; (b) the Department of Infrastructure, Transport, Regional Development and Communications photos and graphics; copyright in this publication is licensed under a Creative Commons Attribution 4.0 Australia Licence.</w:t>
      </w:r>
    </w:p>
    <w:p w14:paraId="7A11C2C3"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1669BBBD" w14:textId="116C8268"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w:t>
      </w:r>
      <w:r w:rsidR="007E725A">
        <w:t>1</w:t>
      </w:r>
      <w:r>
        <w:t>.</w:t>
      </w:r>
    </w:p>
    <w:p w14:paraId="7153EFBD" w14:textId="77777777" w:rsidR="00E7227D" w:rsidRDefault="00E7227D" w:rsidP="00E7227D">
      <w:pPr>
        <w:pStyle w:val="Heading2notshowing"/>
      </w:pPr>
      <w:r>
        <w:t>Use of the Coat of Arms</w:t>
      </w:r>
    </w:p>
    <w:p w14:paraId="3C211AB3" w14:textId="196CA418" w:rsidR="00E7227D" w:rsidRDefault="00E7227D" w:rsidP="00E7227D">
      <w:pPr>
        <w:pStyle w:val="Normaldisclaimerpage"/>
      </w:pPr>
      <w:r>
        <w:t>The Department of the Prime Minister and Cabinet sets the terms under which the Coat of Arms is used. Please refer to the Commonwealth Coat of Arms</w:t>
      </w:r>
      <w:r w:rsidR="00611A2C">
        <w:t>—</w:t>
      </w:r>
      <w:r>
        <w:t xml:space="preserve">Information and Guidelines publication available at </w:t>
      </w:r>
      <w:hyperlink r:id="rId14" w:history="1">
        <w:r w:rsidRPr="00AB127C">
          <w:rPr>
            <w:rStyle w:val="Hyperlink"/>
          </w:rPr>
          <w:t>www.pmc.gov.au</w:t>
        </w:r>
      </w:hyperlink>
      <w:r>
        <w:t>.</w:t>
      </w:r>
    </w:p>
    <w:p w14:paraId="5D0A1460" w14:textId="77777777" w:rsidR="00E7227D" w:rsidRDefault="00E7227D" w:rsidP="00E7227D">
      <w:pPr>
        <w:pStyle w:val="Heading2notshowing"/>
      </w:pPr>
      <w:r>
        <w:t>Contact us</w:t>
      </w:r>
    </w:p>
    <w:p w14:paraId="66BC8E6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6AB0C67C"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1ABB698D" w14:textId="562975E0"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22CD0C48"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1487681C" w14:textId="77777777" w:rsidR="00611A2C" w:rsidRPr="006903D3" w:rsidRDefault="00611A2C" w:rsidP="00611A2C">
      <w:pPr>
        <w:pStyle w:val="Heading2notshowing"/>
      </w:pPr>
      <w:r w:rsidRPr="006903D3">
        <w:lastRenderedPageBreak/>
        <w:t>Contents</w:t>
      </w:r>
    </w:p>
    <w:p w14:paraId="769F9D25" w14:textId="6F1B40E5" w:rsidR="0041310B" w:rsidRDefault="006C6C4A">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62475787" w:history="1">
        <w:r w:rsidR="0041310B" w:rsidRPr="003114A5">
          <w:rPr>
            <w:rStyle w:val="Hyperlink"/>
            <w:noProof/>
          </w:rPr>
          <w:t>Introduction</w:t>
        </w:r>
        <w:r w:rsidR="0041310B">
          <w:rPr>
            <w:noProof/>
            <w:webHidden/>
          </w:rPr>
          <w:tab/>
        </w:r>
        <w:r w:rsidR="0041310B">
          <w:rPr>
            <w:noProof/>
            <w:webHidden/>
          </w:rPr>
          <w:fldChar w:fldCharType="begin"/>
        </w:r>
        <w:r w:rsidR="0041310B">
          <w:rPr>
            <w:noProof/>
            <w:webHidden/>
          </w:rPr>
          <w:instrText xml:space="preserve"> PAGEREF _Toc62475787 \h </w:instrText>
        </w:r>
        <w:r w:rsidR="0041310B">
          <w:rPr>
            <w:noProof/>
            <w:webHidden/>
          </w:rPr>
        </w:r>
        <w:r w:rsidR="0041310B">
          <w:rPr>
            <w:noProof/>
            <w:webHidden/>
          </w:rPr>
          <w:fldChar w:fldCharType="separate"/>
        </w:r>
        <w:r w:rsidR="00B05746">
          <w:rPr>
            <w:noProof/>
            <w:webHidden/>
          </w:rPr>
          <w:t>4</w:t>
        </w:r>
        <w:r w:rsidR="0041310B">
          <w:rPr>
            <w:noProof/>
            <w:webHidden/>
          </w:rPr>
          <w:fldChar w:fldCharType="end"/>
        </w:r>
      </w:hyperlink>
    </w:p>
    <w:p w14:paraId="645C82BC" w14:textId="02A7D259" w:rsidR="0041310B" w:rsidRDefault="001E3CC8">
      <w:pPr>
        <w:pStyle w:val="TOC1"/>
        <w:rPr>
          <w:rFonts w:asciiTheme="minorHAnsi" w:eastAsiaTheme="minorEastAsia" w:hAnsiTheme="minorHAnsi"/>
          <w:b w:val="0"/>
          <w:noProof/>
          <w:color w:val="auto"/>
          <w:sz w:val="22"/>
          <w:lang w:eastAsia="en-AU"/>
        </w:rPr>
      </w:pPr>
      <w:hyperlink w:anchor="_Toc62475788" w:history="1">
        <w:r w:rsidR="0041310B" w:rsidRPr="003114A5">
          <w:rPr>
            <w:rStyle w:val="Hyperlink"/>
            <w:noProof/>
          </w:rPr>
          <w:t>1.</w:t>
        </w:r>
        <w:r w:rsidR="0041310B">
          <w:rPr>
            <w:rFonts w:asciiTheme="minorHAnsi" w:eastAsiaTheme="minorEastAsia" w:hAnsiTheme="minorHAnsi"/>
            <w:b w:val="0"/>
            <w:noProof/>
            <w:color w:val="auto"/>
            <w:sz w:val="22"/>
            <w:lang w:eastAsia="en-AU"/>
          </w:rPr>
          <w:tab/>
        </w:r>
        <w:r w:rsidR="0041310B" w:rsidRPr="003114A5">
          <w:rPr>
            <w:rStyle w:val="Hyperlink"/>
            <w:noProof/>
          </w:rPr>
          <w:t>Safety and notification</w:t>
        </w:r>
        <w:r w:rsidR="0041310B">
          <w:rPr>
            <w:noProof/>
            <w:webHidden/>
          </w:rPr>
          <w:tab/>
        </w:r>
        <w:r w:rsidR="0041310B">
          <w:rPr>
            <w:noProof/>
            <w:webHidden/>
          </w:rPr>
          <w:fldChar w:fldCharType="begin"/>
        </w:r>
        <w:r w:rsidR="0041310B">
          <w:rPr>
            <w:noProof/>
            <w:webHidden/>
          </w:rPr>
          <w:instrText xml:space="preserve"> PAGEREF _Toc62475788 \h </w:instrText>
        </w:r>
        <w:r w:rsidR="0041310B">
          <w:rPr>
            <w:noProof/>
            <w:webHidden/>
          </w:rPr>
        </w:r>
        <w:r w:rsidR="0041310B">
          <w:rPr>
            <w:noProof/>
            <w:webHidden/>
          </w:rPr>
          <w:fldChar w:fldCharType="separate"/>
        </w:r>
        <w:r w:rsidR="00B05746">
          <w:rPr>
            <w:noProof/>
            <w:webHidden/>
          </w:rPr>
          <w:t>5</w:t>
        </w:r>
        <w:r w:rsidR="0041310B">
          <w:rPr>
            <w:noProof/>
            <w:webHidden/>
          </w:rPr>
          <w:fldChar w:fldCharType="end"/>
        </w:r>
      </w:hyperlink>
    </w:p>
    <w:p w14:paraId="4C104E86" w14:textId="1F41E505" w:rsidR="0041310B" w:rsidRDefault="001E3CC8">
      <w:pPr>
        <w:pStyle w:val="TOC2"/>
        <w:tabs>
          <w:tab w:val="left" w:pos="1134"/>
        </w:tabs>
        <w:rPr>
          <w:rFonts w:asciiTheme="minorHAnsi" w:eastAsiaTheme="minorEastAsia" w:hAnsiTheme="minorHAnsi"/>
          <w:noProof/>
          <w:sz w:val="22"/>
          <w:lang w:eastAsia="en-AU"/>
        </w:rPr>
      </w:pPr>
      <w:hyperlink w:anchor="_Toc62475789" w:history="1">
        <w:r w:rsidR="0041310B" w:rsidRPr="003114A5">
          <w:rPr>
            <w:rStyle w:val="Hyperlink"/>
            <w:noProof/>
          </w:rPr>
          <w:t>A.</w:t>
        </w:r>
        <w:r w:rsidR="0041310B">
          <w:rPr>
            <w:rFonts w:asciiTheme="minorHAnsi" w:eastAsiaTheme="minorEastAsia" w:hAnsiTheme="minorHAnsi"/>
            <w:noProof/>
            <w:sz w:val="22"/>
            <w:lang w:eastAsia="en-AU"/>
          </w:rPr>
          <w:tab/>
        </w:r>
        <w:r w:rsidR="0041310B" w:rsidRPr="003114A5">
          <w:rPr>
            <w:rStyle w:val="Hyperlink"/>
            <w:noProof/>
          </w:rPr>
          <w:t>Creation of a primary safety condition</w:t>
        </w:r>
        <w:r w:rsidR="0041310B">
          <w:rPr>
            <w:noProof/>
            <w:webHidden/>
          </w:rPr>
          <w:tab/>
        </w:r>
        <w:r w:rsidR="0041310B">
          <w:rPr>
            <w:noProof/>
            <w:webHidden/>
          </w:rPr>
          <w:fldChar w:fldCharType="begin"/>
        </w:r>
        <w:r w:rsidR="0041310B">
          <w:rPr>
            <w:noProof/>
            <w:webHidden/>
          </w:rPr>
          <w:instrText xml:space="preserve"> PAGEREF _Toc62475789 \h </w:instrText>
        </w:r>
        <w:r w:rsidR="0041310B">
          <w:rPr>
            <w:noProof/>
            <w:webHidden/>
          </w:rPr>
        </w:r>
        <w:r w:rsidR="0041310B">
          <w:rPr>
            <w:noProof/>
            <w:webHidden/>
          </w:rPr>
          <w:fldChar w:fldCharType="separate"/>
        </w:r>
        <w:r w:rsidR="00B05746">
          <w:rPr>
            <w:noProof/>
            <w:webHidden/>
          </w:rPr>
          <w:t>5</w:t>
        </w:r>
        <w:r w:rsidR="0041310B">
          <w:rPr>
            <w:noProof/>
            <w:webHidden/>
          </w:rPr>
          <w:fldChar w:fldCharType="end"/>
        </w:r>
      </w:hyperlink>
    </w:p>
    <w:p w14:paraId="28A1378F" w14:textId="4191FD55" w:rsidR="0041310B" w:rsidRDefault="001E3CC8">
      <w:pPr>
        <w:pStyle w:val="TOC2"/>
        <w:tabs>
          <w:tab w:val="left" w:pos="1134"/>
        </w:tabs>
        <w:rPr>
          <w:rFonts w:asciiTheme="minorHAnsi" w:eastAsiaTheme="minorEastAsia" w:hAnsiTheme="minorHAnsi"/>
          <w:noProof/>
          <w:sz w:val="22"/>
          <w:lang w:eastAsia="en-AU"/>
        </w:rPr>
      </w:pPr>
      <w:hyperlink w:anchor="_Toc62475790" w:history="1">
        <w:r w:rsidR="0041310B" w:rsidRPr="003114A5">
          <w:rPr>
            <w:rStyle w:val="Hyperlink"/>
            <w:noProof/>
          </w:rPr>
          <w:t>B.</w:t>
        </w:r>
        <w:r w:rsidR="0041310B">
          <w:rPr>
            <w:rFonts w:asciiTheme="minorHAnsi" w:eastAsiaTheme="minorEastAsia" w:hAnsiTheme="minorHAnsi"/>
            <w:noProof/>
            <w:sz w:val="22"/>
            <w:lang w:eastAsia="en-AU"/>
          </w:rPr>
          <w:tab/>
        </w:r>
        <w:r w:rsidR="0041310B" w:rsidRPr="003114A5">
          <w:rPr>
            <w:rStyle w:val="Hyperlink"/>
            <w:noProof/>
          </w:rPr>
          <w:t>Standard notifications across industry</w:t>
        </w:r>
        <w:r w:rsidR="0041310B">
          <w:rPr>
            <w:noProof/>
            <w:webHidden/>
          </w:rPr>
          <w:tab/>
        </w:r>
        <w:r w:rsidR="0041310B">
          <w:rPr>
            <w:noProof/>
            <w:webHidden/>
          </w:rPr>
          <w:fldChar w:fldCharType="begin"/>
        </w:r>
        <w:r w:rsidR="0041310B">
          <w:rPr>
            <w:noProof/>
            <w:webHidden/>
          </w:rPr>
          <w:instrText xml:space="preserve"> PAGEREF _Toc62475790 \h </w:instrText>
        </w:r>
        <w:r w:rsidR="0041310B">
          <w:rPr>
            <w:noProof/>
            <w:webHidden/>
          </w:rPr>
        </w:r>
        <w:r w:rsidR="0041310B">
          <w:rPr>
            <w:noProof/>
            <w:webHidden/>
          </w:rPr>
          <w:fldChar w:fldCharType="separate"/>
        </w:r>
        <w:r w:rsidR="00B05746">
          <w:rPr>
            <w:noProof/>
            <w:webHidden/>
          </w:rPr>
          <w:t>6</w:t>
        </w:r>
        <w:r w:rsidR="0041310B">
          <w:rPr>
            <w:noProof/>
            <w:webHidden/>
          </w:rPr>
          <w:fldChar w:fldCharType="end"/>
        </w:r>
      </w:hyperlink>
    </w:p>
    <w:p w14:paraId="4BDD2A5C" w14:textId="1E85C5FE" w:rsidR="0041310B" w:rsidRDefault="001E3CC8">
      <w:pPr>
        <w:pStyle w:val="TOC2"/>
        <w:tabs>
          <w:tab w:val="left" w:pos="1134"/>
        </w:tabs>
        <w:rPr>
          <w:rFonts w:asciiTheme="minorHAnsi" w:eastAsiaTheme="minorEastAsia" w:hAnsiTheme="minorHAnsi"/>
          <w:noProof/>
          <w:sz w:val="22"/>
          <w:lang w:eastAsia="en-AU"/>
        </w:rPr>
      </w:pPr>
      <w:hyperlink w:anchor="_Toc62475791" w:history="1">
        <w:r w:rsidR="0041310B" w:rsidRPr="003114A5">
          <w:rPr>
            <w:rStyle w:val="Hyperlink"/>
            <w:noProof/>
          </w:rPr>
          <w:t>C.</w:t>
        </w:r>
        <w:r w:rsidR="0041310B">
          <w:rPr>
            <w:rFonts w:asciiTheme="minorHAnsi" w:eastAsiaTheme="minorEastAsia" w:hAnsiTheme="minorHAnsi"/>
            <w:noProof/>
            <w:sz w:val="22"/>
            <w:lang w:eastAsia="en-AU"/>
          </w:rPr>
          <w:tab/>
        </w:r>
        <w:r w:rsidR="0041310B" w:rsidRPr="003114A5">
          <w:rPr>
            <w:rStyle w:val="Hyperlink"/>
            <w:noProof/>
          </w:rPr>
          <w:t>Withdrawal of notifications</w:t>
        </w:r>
        <w:r w:rsidR="0041310B">
          <w:rPr>
            <w:noProof/>
            <w:webHidden/>
          </w:rPr>
          <w:tab/>
        </w:r>
        <w:r w:rsidR="0041310B">
          <w:rPr>
            <w:noProof/>
            <w:webHidden/>
          </w:rPr>
          <w:fldChar w:fldCharType="begin"/>
        </w:r>
        <w:r w:rsidR="0041310B">
          <w:rPr>
            <w:noProof/>
            <w:webHidden/>
          </w:rPr>
          <w:instrText xml:space="preserve"> PAGEREF _Toc62475791 \h </w:instrText>
        </w:r>
        <w:r w:rsidR="0041310B">
          <w:rPr>
            <w:noProof/>
            <w:webHidden/>
          </w:rPr>
        </w:r>
        <w:r w:rsidR="0041310B">
          <w:rPr>
            <w:noProof/>
            <w:webHidden/>
          </w:rPr>
          <w:fldChar w:fldCharType="separate"/>
        </w:r>
        <w:r w:rsidR="00B05746">
          <w:rPr>
            <w:noProof/>
            <w:webHidden/>
          </w:rPr>
          <w:t>7</w:t>
        </w:r>
        <w:r w:rsidR="0041310B">
          <w:rPr>
            <w:noProof/>
            <w:webHidden/>
          </w:rPr>
          <w:fldChar w:fldCharType="end"/>
        </w:r>
      </w:hyperlink>
    </w:p>
    <w:p w14:paraId="7EAEFB36" w14:textId="5E8592DF" w:rsidR="0041310B" w:rsidRDefault="001E3CC8">
      <w:pPr>
        <w:pStyle w:val="TOC2"/>
        <w:tabs>
          <w:tab w:val="left" w:pos="1134"/>
        </w:tabs>
        <w:rPr>
          <w:rFonts w:asciiTheme="minorHAnsi" w:eastAsiaTheme="minorEastAsia" w:hAnsiTheme="minorHAnsi"/>
          <w:noProof/>
          <w:sz w:val="22"/>
          <w:lang w:eastAsia="en-AU"/>
        </w:rPr>
      </w:pPr>
      <w:hyperlink w:anchor="_Toc62475792" w:history="1">
        <w:r w:rsidR="0041310B" w:rsidRPr="003114A5">
          <w:rPr>
            <w:rStyle w:val="Hyperlink"/>
            <w:noProof/>
          </w:rPr>
          <w:t>D.</w:t>
        </w:r>
        <w:r w:rsidR="0041310B">
          <w:rPr>
            <w:rFonts w:asciiTheme="minorHAnsi" w:eastAsiaTheme="minorEastAsia" w:hAnsiTheme="minorHAnsi"/>
            <w:noProof/>
            <w:sz w:val="22"/>
            <w:lang w:eastAsia="en-AU"/>
          </w:rPr>
          <w:tab/>
        </w:r>
        <w:r w:rsidR="0041310B" w:rsidRPr="003114A5">
          <w:rPr>
            <w:rStyle w:val="Hyperlink"/>
            <w:noProof/>
          </w:rPr>
          <w:t>Requirement to provide engineering certification</w:t>
        </w:r>
        <w:r w:rsidR="0041310B">
          <w:rPr>
            <w:noProof/>
            <w:webHidden/>
          </w:rPr>
          <w:tab/>
        </w:r>
        <w:r w:rsidR="0041310B">
          <w:rPr>
            <w:noProof/>
            <w:webHidden/>
          </w:rPr>
          <w:fldChar w:fldCharType="begin"/>
        </w:r>
        <w:r w:rsidR="0041310B">
          <w:rPr>
            <w:noProof/>
            <w:webHidden/>
          </w:rPr>
          <w:instrText xml:space="preserve"> PAGEREF _Toc62475792 \h </w:instrText>
        </w:r>
        <w:r w:rsidR="0041310B">
          <w:rPr>
            <w:noProof/>
            <w:webHidden/>
          </w:rPr>
        </w:r>
        <w:r w:rsidR="0041310B">
          <w:rPr>
            <w:noProof/>
            <w:webHidden/>
          </w:rPr>
          <w:fldChar w:fldCharType="separate"/>
        </w:r>
        <w:r w:rsidR="00B05746">
          <w:rPr>
            <w:noProof/>
            <w:webHidden/>
          </w:rPr>
          <w:t>8</w:t>
        </w:r>
        <w:r w:rsidR="0041310B">
          <w:rPr>
            <w:noProof/>
            <w:webHidden/>
          </w:rPr>
          <w:fldChar w:fldCharType="end"/>
        </w:r>
      </w:hyperlink>
    </w:p>
    <w:p w14:paraId="19E8471F" w14:textId="37EC9B2C" w:rsidR="0041310B" w:rsidRDefault="001E3CC8">
      <w:pPr>
        <w:pStyle w:val="TOC2"/>
        <w:tabs>
          <w:tab w:val="left" w:pos="1134"/>
        </w:tabs>
        <w:rPr>
          <w:rFonts w:asciiTheme="minorHAnsi" w:eastAsiaTheme="minorEastAsia" w:hAnsiTheme="minorHAnsi"/>
          <w:noProof/>
          <w:sz w:val="22"/>
          <w:lang w:eastAsia="en-AU"/>
        </w:rPr>
      </w:pPr>
      <w:hyperlink w:anchor="_Toc62475793" w:history="1">
        <w:r w:rsidR="0041310B" w:rsidRPr="003114A5">
          <w:rPr>
            <w:rStyle w:val="Hyperlink"/>
            <w:noProof/>
          </w:rPr>
          <w:t>E.</w:t>
        </w:r>
        <w:r w:rsidR="0041310B">
          <w:rPr>
            <w:rFonts w:asciiTheme="minorHAnsi" w:eastAsiaTheme="minorEastAsia" w:hAnsiTheme="minorHAnsi"/>
            <w:noProof/>
            <w:sz w:val="22"/>
            <w:lang w:eastAsia="en-AU"/>
          </w:rPr>
          <w:tab/>
        </w:r>
        <w:r w:rsidR="0041310B" w:rsidRPr="003114A5">
          <w:rPr>
            <w:rStyle w:val="Hyperlink"/>
            <w:noProof/>
          </w:rPr>
          <w:t>Extending notification timeframes</w:t>
        </w:r>
        <w:r w:rsidR="0041310B">
          <w:rPr>
            <w:noProof/>
            <w:webHidden/>
          </w:rPr>
          <w:tab/>
        </w:r>
        <w:r w:rsidR="0041310B">
          <w:rPr>
            <w:noProof/>
            <w:webHidden/>
          </w:rPr>
          <w:fldChar w:fldCharType="begin"/>
        </w:r>
        <w:r w:rsidR="0041310B">
          <w:rPr>
            <w:noProof/>
            <w:webHidden/>
          </w:rPr>
          <w:instrText xml:space="preserve"> PAGEREF _Toc62475793 \h </w:instrText>
        </w:r>
        <w:r w:rsidR="0041310B">
          <w:rPr>
            <w:noProof/>
            <w:webHidden/>
          </w:rPr>
        </w:r>
        <w:r w:rsidR="0041310B">
          <w:rPr>
            <w:noProof/>
            <w:webHidden/>
          </w:rPr>
          <w:fldChar w:fldCharType="separate"/>
        </w:r>
        <w:r w:rsidR="00B05746">
          <w:rPr>
            <w:noProof/>
            <w:webHidden/>
          </w:rPr>
          <w:t>9</w:t>
        </w:r>
        <w:r w:rsidR="0041310B">
          <w:rPr>
            <w:noProof/>
            <w:webHidden/>
          </w:rPr>
          <w:fldChar w:fldCharType="end"/>
        </w:r>
      </w:hyperlink>
    </w:p>
    <w:p w14:paraId="7EFD3784" w14:textId="6D0E0C1F" w:rsidR="0041310B" w:rsidRDefault="001E3CC8">
      <w:pPr>
        <w:pStyle w:val="TOC1"/>
        <w:rPr>
          <w:rFonts w:asciiTheme="minorHAnsi" w:eastAsiaTheme="minorEastAsia" w:hAnsiTheme="minorHAnsi"/>
          <w:b w:val="0"/>
          <w:noProof/>
          <w:color w:val="auto"/>
          <w:sz w:val="22"/>
          <w:lang w:eastAsia="en-AU"/>
        </w:rPr>
      </w:pPr>
      <w:hyperlink w:anchor="_Toc62475794" w:history="1">
        <w:r w:rsidR="0041310B" w:rsidRPr="003114A5">
          <w:rPr>
            <w:rStyle w:val="Hyperlink"/>
            <w:noProof/>
          </w:rPr>
          <w:t>2.</w:t>
        </w:r>
        <w:r w:rsidR="0041310B">
          <w:rPr>
            <w:rFonts w:asciiTheme="minorHAnsi" w:eastAsiaTheme="minorEastAsia" w:hAnsiTheme="minorHAnsi"/>
            <w:b w:val="0"/>
            <w:noProof/>
            <w:color w:val="auto"/>
            <w:sz w:val="22"/>
            <w:lang w:eastAsia="en-AU"/>
          </w:rPr>
          <w:tab/>
        </w:r>
        <w:r w:rsidR="0041310B" w:rsidRPr="003114A5">
          <w:rPr>
            <w:rStyle w:val="Hyperlink"/>
            <w:noProof/>
          </w:rPr>
          <w:t>Objections and protections</w:t>
        </w:r>
        <w:r w:rsidR="0041310B">
          <w:rPr>
            <w:noProof/>
            <w:webHidden/>
          </w:rPr>
          <w:tab/>
        </w:r>
        <w:r w:rsidR="0041310B">
          <w:rPr>
            <w:noProof/>
            <w:webHidden/>
          </w:rPr>
          <w:fldChar w:fldCharType="begin"/>
        </w:r>
        <w:r w:rsidR="0041310B">
          <w:rPr>
            <w:noProof/>
            <w:webHidden/>
          </w:rPr>
          <w:instrText xml:space="preserve"> PAGEREF _Toc62475794 \h </w:instrText>
        </w:r>
        <w:r w:rsidR="0041310B">
          <w:rPr>
            <w:noProof/>
            <w:webHidden/>
          </w:rPr>
        </w:r>
        <w:r w:rsidR="0041310B">
          <w:rPr>
            <w:noProof/>
            <w:webHidden/>
          </w:rPr>
          <w:fldChar w:fldCharType="separate"/>
        </w:r>
        <w:r w:rsidR="00B05746">
          <w:rPr>
            <w:noProof/>
            <w:webHidden/>
          </w:rPr>
          <w:t>10</w:t>
        </w:r>
        <w:r w:rsidR="0041310B">
          <w:rPr>
            <w:noProof/>
            <w:webHidden/>
          </w:rPr>
          <w:fldChar w:fldCharType="end"/>
        </w:r>
      </w:hyperlink>
    </w:p>
    <w:p w14:paraId="5347B930" w14:textId="41BE2606" w:rsidR="0041310B" w:rsidRDefault="001E3CC8">
      <w:pPr>
        <w:pStyle w:val="TOC2"/>
        <w:tabs>
          <w:tab w:val="left" w:pos="1134"/>
        </w:tabs>
        <w:rPr>
          <w:rFonts w:asciiTheme="minorHAnsi" w:eastAsiaTheme="minorEastAsia" w:hAnsiTheme="minorHAnsi"/>
          <w:noProof/>
          <w:sz w:val="22"/>
          <w:lang w:eastAsia="en-AU"/>
        </w:rPr>
      </w:pPr>
      <w:hyperlink w:anchor="_Toc62475795" w:history="1">
        <w:r w:rsidR="0041310B" w:rsidRPr="003114A5">
          <w:rPr>
            <w:rStyle w:val="Hyperlink"/>
            <w:noProof/>
          </w:rPr>
          <w:t>A.</w:t>
        </w:r>
        <w:r w:rsidR="0041310B">
          <w:rPr>
            <w:rFonts w:asciiTheme="minorHAnsi" w:eastAsiaTheme="minorEastAsia" w:hAnsiTheme="minorHAnsi"/>
            <w:noProof/>
            <w:sz w:val="22"/>
            <w:lang w:eastAsia="en-AU"/>
          </w:rPr>
          <w:tab/>
        </w:r>
        <w:r w:rsidR="0041310B" w:rsidRPr="003114A5">
          <w:rPr>
            <w:rStyle w:val="Hyperlink"/>
            <w:noProof/>
          </w:rPr>
          <w:t>Clarifying the objections process for landowners</w:t>
        </w:r>
        <w:r w:rsidR="0041310B">
          <w:rPr>
            <w:noProof/>
            <w:webHidden/>
          </w:rPr>
          <w:tab/>
        </w:r>
        <w:r w:rsidR="0041310B">
          <w:rPr>
            <w:noProof/>
            <w:webHidden/>
          </w:rPr>
          <w:fldChar w:fldCharType="begin"/>
        </w:r>
        <w:r w:rsidR="0041310B">
          <w:rPr>
            <w:noProof/>
            <w:webHidden/>
          </w:rPr>
          <w:instrText xml:space="preserve"> PAGEREF _Toc62475795 \h </w:instrText>
        </w:r>
        <w:r w:rsidR="0041310B">
          <w:rPr>
            <w:noProof/>
            <w:webHidden/>
          </w:rPr>
        </w:r>
        <w:r w:rsidR="0041310B">
          <w:rPr>
            <w:noProof/>
            <w:webHidden/>
          </w:rPr>
          <w:fldChar w:fldCharType="separate"/>
        </w:r>
        <w:r w:rsidR="00B05746">
          <w:rPr>
            <w:noProof/>
            <w:webHidden/>
          </w:rPr>
          <w:t>10</w:t>
        </w:r>
        <w:r w:rsidR="0041310B">
          <w:rPr>
            <w:noProof/>
            <w:webHidden/>
          </w:rPr>
          <w:fldChar w:fldCharType="end"/>
        </w:r>
      </w:hyperlink>
    </w:p>
    <w:p w14:paraId="0198588F" w14:textId="2577F249" w:rsidR="0041310B" w:rsidRDefault="001E3CC8">
      <w:pPr>
        <w:pStyle w:val="TOC2"/>
        <w:tabs>
          <w:tab w:val="left" w:pos="1134"/>
        </w:tabs>
        <w:rPr>
          <w:rFonts w:asciiTheme="minorHAnsi" w:eastAsiaTheme="minorEastAsia" w:hAnsiTheme="minorHAnsi"/>
          <w:noProof/>
          <w:sz w:val="22"/>
          <w:lang w:eastAsia="en-AU"/>
        </w:rPr>
      </w:pPr>
      <w:hyperlink w:anchor="_Toc62475796" w:history="1">
        <w:r w:rsidR="0041310B" w:rsidRPr="003114A5">
          <w:rPr>
            <w:rStyle w:val="Hyperlink"/>
            <w:noProof/>
          </w:rPr>
          <w:t>B.</w:t>
        </w:r>
        <w:r w:rsidR="0041310B">
          <w:rPr>
            <w:rFonts w:asciiTheme="minorHAnsi" w:eastAsiaTheme="minorEastAsia" w:hAnsiTheme="minorHAnsi"/>
            <w:noProof/>
            <w:sz w:val="22"/>
            <w:lang w:eastAsia="en-AU"/>
          </w:rPr>
          <w:tab/>
        </w:r>
        <w:r w:rsidR="0041310B" w:rsidRPr="003114A5">
          <w:rPr>
            <w:rStyle w:val="Hyperlink"/>
            <w:noProof/>
          </w:rPr>
          <w:t>Allowing carriers to refer objections to the TIO</w:t>
        </w:r>
        <w:r w:rsidR="0041310B">
          <w:rPr>
            <w:noProof/>
            <w:webHidden/>
          </w:rPr>
          <w:tab/>
        </w:r>
        <w:r w:rsidR="0041310B">
          <w:rPr>
            <w:noProof/>
            <w:webHidden/>
          </w:rPr>
          <w:fldChar w:fldCharType="begin"/>
        </w:r>
        <w:r w:rsidR="0041310B">
          <w:rPr>
            <w:noProof/>
            <w:webHidden/>
          </w:rPr>
          <w:instrText xml:space="preserve"> PAGEREF _Toc62475796 \h </w:instrText>
        </w:r>
        <w:r w:rsidR="0041310B">
          <w:rPr>
            <w:noProof/>
            <w:webHidden/>
          </w:rPr>
        </w:r>
        <w:r w:rsidR="0041310B">
          <w:rPr>
            <w:noProof/>
            <w:webHidden/>
          </w:rPr>
          <w:fldChar w:fldCharType="separate"/>
        </w:r>
        <w:r w:rsidR="00B05746">
          <w:rPr>
            <w:noProof/>
            <w:webHidden/>
          </w:rPr>
          <w:t>10</w:t>
        </w:r>
        <w:r w:rsidR="0041310B">
          <w:rPr>
            <w:noProof/>
            <w:webHidden/>
          </w:rPr>
          <w:fldChar w:fldCharType="end"/>
        </w:r>
      </w:hyperlink>
    </w:p>
    <w:p w14:paraId="4C8A0B90" w14:textId="3DD727C9" w:rsidR="0041310B" w:rsidRDefault="001E3CC8">
      <w:pPr>
        <w:pStyle w:val="TOC2"/>
        <w:tabs>
          <w:tab w:val="left" w:pos="1134"/>
        </w:tabs>
        <w:rPr>
          <w:rFonts w:asciiTheme="minorHAnsi" w:eastAsiaTheme="minorEastAsia" w:hAnsiTheme="minorHAnsi"/>
          <w:noProof/>
          <w:sz w:val="22"/>
          <w:lang w:eastAsia="en-AU"/>
        </w:rPr>
      </w:pPr>
      <w:hyperlink w:anchor="_Toc62475797" w:history="1">
        <w:r w:rsidR="0041310B" w:rsidRPr="003114A5">
          <w:rPr>
            <w:rStyle w:val="Hyperlink"/>
            <w:noProof/>
          </w:rPr>
          <w:t>C.</w:t>
        </w:r>
        <w:r w:rsidR="0041310B">
          <w:rPr>
            <w:rFonts w:asciiTheme="minorHAnsi" w:eastAsiaTheme="minorEastAsia" w:hAnsiTheme="minorHAnsi"/>
            <w:noProof/>
            <w:sz w:val="22"/>
            <w:lang w:eastAsia="en-AU"/>
          </w:rPr>
          <w:tab/>
        </w:r>
        <w:r w:rsidR="0041310B" w:rsidRPr="003114A5">
          <w:rPr>
            <w:rStyle w:val="Hyperlink"/>
            <w:noProof/>
          </w:rPr>
          <w:t>Removal of redundant equipment</w:t>
        </w:r>
        <w:r w:rsidR="0041310B">
          <w:rPr>
            <w:noProof/>
            <w:webHidden/>
          </w:rPr>
          <w:tab/>
        </w:r>
        <w:r w:rsidR="0041310B">
          <w:rPr>
            <w:noProof/>
            <w:webHidden/>
          </w:rPr>
          <w:fldChar w:fldCharType="begin"/>
        </w:r>
        <w:r w:rsidR="0041310B">
          <w:rPr>
            <w:noProof/>
            <w:webHidden/>
          </w:rPr>
          <w:instrText xml:space="preserve"> PAGEREF _Toc62475797 \h </w:instrText>
        </w:r>
        <w:r w:rsidR="0041310B">
          <w:rPr>
            <w:noProof/>
            <w:webHidden/>
          </w:rPr>
        </w:r>
        <w:r w:rsidR="0041310B">
          <w:rPr>
            <w:noProof/>
            <w:webHidden/>
          </w:rPr>
          <w:fldChar w:fldCharType="separate"/>
        </w:r>
        <w:r w:rsidR="00B05746">
          <w:rPr>
            <w:noProof/>
            <w:webHidden/>
          </w:rPr>
          <w:t>11</w:t>
        </w:r>
        <w:r w:rsidR="0041310B">
          <w:rPr>
            <w:noProof/>
            <w:webHidden/>
          </w:rPr>
          <w:fldChar w:fldCharType="end"/>
        </w:r>
      </w:hyperlink>
    </w:p>
    <w:p w14:paraId="66EA7432" w14:textId="15AB22E7" w:rsidR="0041310B" w:rsidRDefault="001E3CC8">
      <w:pPr>
        <w:pStyle w:val="TOC1"/>
        <w:rPr>
          <w:rFonts w:asciiTheme="minorHAnsi" w:eastAsiaTheme="minorEastAsia" w:hAnsiTheme="minorHAnsi"/>
          <w:b w:val="0"/>
          <w:noProof/>
          <w:color w:val="auto"/>
          <w:sz w:val="22"/>
          <w:lang w:eastAsia="en-AU"/>
        </w:rPr>
      </w:pPr>
      <w:hyperlink w:anchor="_Toc62475798" w:history="1">
        <w:r w:rsidR="0041310B" w:rsidRPr="003114A5">
          <w:rPr>
            <w:rStyle w:val="Hyperlink"/>
            <w:noProof/>
          </w:rPr>
          <w:t>3.</w:t>
        </w:r>
        <w:r w:rsidR="0041310B">
          <w:rPr>
            <w:rFonts w:asciiTheme="minorHAnsi" w:eastAsiaTheme="minorEastAsia" w:hAnsiTheme="minorHAnsi"/>
            <w:b w:val="0"/>
            <w:noProof/>
            <w:color w:val="auto"/>
            <w:sz w:val="22"/>
            <w:lang w:eastAsia="en-AU"/>
          </w:rPr>
          <w:tab/>
        </w:r>
        <w:r w:rsidR="0041310B" w:rsidRPr="003114A5">
          <w:rPr>
            <w:rStyle w:val="Hyperlink"/>
            <w:noProof/>
          </w:rPr>
          <w:t>Facilitating services in line with community expectations and to support economic growth</w:t>
        </w:r>
        <w:r w:rsidR="0041310B">
          <w:rPr>
            <w:noProof/>
            <w:webHidden/>
          </w:rPr>
          <w:tab/>
        </w:r>
        <w:r w:rsidR="0041310B">
          <w:rPr>
            <w:noProof/>
            <w:webHidden/>
          </w:rPr>
          <w:fldChar w:fldCharType="begin"/>
        </w:r>
        <w:r w:rsidR="0041310B">
          <w:rPr>
            <w:noProof/>
            <w:webHidden/>
          </w:rPr>
          <w:instrText xml:space="preserve"> PAGEREF _Toc62475798 \h </w:instrText>
        </w:r>
        <w:r w:rsidR="0041310B">
          <w:rPr>
            <w:noProof/>
            <w:webHidden/>
          </w:rPr>
        </w:r>
        <w:r w:rsidR="0041310B">
          <w:rPr>
            <w:noProof/>
            <w:webHidden/>
          </w:rPr>
          <w:fldChar w:fldCharType="separate"/>
        </w:r>
        <w:r w:rsidR="00B05746">
          <w:rPr>
            <w:noProof/>
            <w:webHidden/>
          </w:rPr>
          <w:t>12</w:t>
        </w:r>
        <w:r w:rsidR="0041310B">
          <w:rPr>
            <w:noProof/>
            <w:webHidden/>
          </w:rPr>
          <w:fldChar w:fldCharType="end"/>
        </w:r>
      </w:hyperlink>
    </w:p>
    <w:p w14:paraId="4B788226" w14:textId="40480AF4" w:rsidR="0041310B" w:rsidRDefault="001E3CC8">
      <w:pPr>
        <w:pStyle w:val="TOC2"/>
        <w:tabs>
          <w:tab w:val="left" w:pos="1134"/>
        </w:tabs>
        <w:rPr>
          <w:rFonts w:asciiTheme="minorHAnsi" w:eastAsiaTheme="minorEastAsia" w:hAnsiTheme="minorHAnsi"/>
          <w:noProof/>
          <w:sz w:val="22"/>
          <w:lang w:eastAsia="en-AU"/>
        </w:rPr>
      </w:pPr>
      <w:hyperlink w:anchor="_Toc62475799" w:history="1">
        <w:r w:rsidR="0041310B" w:rsidRPr="003114A5">
          <w:rPr>
            <w:rStyle w:val="Hyperlink"/>
            <w:noProof/>
          </w:rPr>
          <w:t>A.</w:t>
        </w:r>
        <w:r w:rsidR="0041310B">
          <w:rPr>
            <w:rFonts w:asciiTheme="minorHAnsi" w:eastAsiaTheme="minorEastAsia" w:hAnsiTheme="minorHAnsi"/>
            <w:noProof/>
            <w:sz w:val="22"/>
            <w:lang w:eastAsia="en-AU"/>
          </w:rPr>
          <w:tab/>
        </w:r>
        <w:r w:rsidR="0041310B" w:rsidRPr="003114A5">
          <w:rPr>
            <w:rStyle w:val="Hyperlink"/>
            <w:noProof/>
          </w:rPr>
          <w:t>Improve coverage outcomes through better infrastructure, where safe</w:t>
        </w:r>
        <w:r w:rsidR="0041310B">
          <w:rPr>
            <w:noProof/>
            <w:webHidden/>
          </w:rPr>
          <w:tab/>
        </w:r>
        <w:r w:rsidR="0041310B">
          <w:rPr>
            <w:noProof/>
            <w:webHidden/>
          </w:rPr>
          <w:fldChar w:fldCharType="begin"/>
        </w:r>
        <w:r w:rsidR="0041310B">
          <w:rPr>
            <w:noProof/>
            <w:webHidden/>
          </w:rPr>
          <w:instrText xml:space="preserve"> PAGEREF _Toc62475799 \h </w:instrText>
        </w:r>
        <w:r w:rsidR="0041310B">
          <w:rPr>
            <w:noProof/>
            <w:webHidden/>
          </w:rPr>
        </w:r>
        <w:r w:rsidR="0041310B">
          <w:rPr>
            <w:noProof/>
            <w:webHidden/>
          </w:rPr>
          <w:fldChar w:fldCharType="separate"/>
        </w:r>
        <w:r w:rsidR="00B05746">
          <w:rPr>
            <w:noProof/>
            <w:webHidden/>
          </w:rPr>
          <w:t>12</w:t>
        </w:r>
        <w:r w:rsidR="0041310B">
          <w:rPr>
            <w:noProof/>
            <w:webHidden/>
          </w:rPr>
          <w:fldChar w:fldCharType="end"/>
        </w:r>
      </w:hyperlink>
    </w:p>
    <w:p w14:paraId="6925B96E" w14:textId="0A289950" w:rsidR="0041310B" w:rsidRDefault="001E3CC8">
      <w:pPr>
        <w:pStyle w:val="TOC2"/>
        <w:tabs>
          <w:tab w:val="left" w:pos="1134"/>
        </w:tabs>
        <w:rPr>
          <w:rFonts w:asciiTheme="minorHAnsi" w:eastAsiaTheme="minorEastAsia" w:hAnsiTheme="minorHAnsi"/>
          <w:noProof/>
          <w:sz w:val="22"/>
          <w:lang w:eastAsia="en-AU"/>
        </w:rPr>
      </w:pPr>
      <w:hyperlink w:anchor="_Toc62475800" w:history="1">
        <w:r w:rsidR="0041310B" w:rsidRPr="003114A5">
          <w:rPr>
            <w:rStyle w:val="Hyperlink"/>
            <w:noProof/>
          </w:rPr>
          <w:t>B.</w:t>
        </w:r>
        <w:r w:rsidR="0041310B">
          <w:rPr>
            <w:rFonts w:asciiTheme="minorHAnsi" w:eastAsiaTheme="minorEastAsia" w:hAnsiTheme="minorHAnsi"/>
            <w:noProof/>
            <w:sz w:val="22"/>
            <w:lang w:eastAsia="en-AU"/>
          </w:rPr>
          <w:tab/>
        </w:r>
        <w:r w:rsidR="0041310B" w:rsidRPr="003114A5">
          <w:rPr>
            <w:rStyle w:val="Hyperlink"/>
            <w:noProof/>
          </w:rPr>
          <w:t>Improve coverage outcomes through tower extensions</w:t>
        </w:r>
        <w:r w:rsidR="0041310B">
          <w:rPr>
            <w:noProof/>
            <w:webHidden/>
          </w:rPr>
          <w:tab/>
        </w:r>
        <w:r w:rsidR="0041310B">
          <w:rPr>
            <w:noProof/>
            <w:webHidden/>
          </w:rPr>
          <w:fldChar w:fldCharType="begin"/>
        </w:r>
        <w:r w:rsidR="0041310B">
          <w:rPr>
            <w:noProof/>
            <w:webHidden/>
          </w:rPr>
          <w:instrText xml:space="preserve"> PAGEREF _Toc62475800 \h </w:instrText>
        </w:r>
        <w:r w:rsidR="0041310B">
          <w:rPr>
            <w:noProof/>
            <w:webHidden/>
          </w:rPr>
        </w:r>
        <w:r w:rsidR="0041310B">
          <w:rPr>
            <w:noProof/>
            <w:webHidden/>
          </w:rPr>
          <w:fldChar w:fldCharType="separate"/>
        </w:r>
        <w:r w:rsidR="00B05746">
          <w:rPr>
            <w:noProof/>
            <w:webHidden/>
          </w:rPr>
          <w:t>13</w:t>
        </w:r>
        <w:r w:rsidR="0041310B">
          <w:rPr>
            <w:noProof/>
            <w:webHidden/>
          </w:rPr>
          <w:fldChar w:fldCharType="end"/>
        </w:r>
      </w:hyperlink>
    </w:p>
    <w:p w14:paraId="674791B1" w14:textId="3AD71F7B" w:rsidR="0041310B" w:rsidRDefault="001E3CC8">
      <w:pPr>
        <w:pStyle w:val="TOC2"/>
        <w:tabs>
          <w:tab w:val="left" w:pos="1134"/>
        </w:tabs>
        <w:rPr>
          <w:rFonts w:asciiTheme="minorHAnsi" w:eastAsiaTheme="minorEastAsia" w:hAnsiTheme="minorHAnsi"/>
          <w:noProof/>
          <w:sz w:val="22"/>
          <w:lang w:eastAsia="en-AU"/>
        </w:rPr>
      </w:pPr>
      <w:hyperlink w:anchor="_Toc62475801" w:history="1">
        <w:r w:rsidR="0041310B" w:rsidRPr="003114A5">
          <w:rPr>
            <w:rStyle w:val="Hyperlink"/>
            <w:noProof/>
          </w:rPr>
          <w:t>C.</w:t>
        </w:r>
        <w:r w:rsidR="0041310B">
          <w:rPr>
            <w:rFonts w:asciiTheme="minorHAnsi" w:eastAsiaTheme="minorEastAsia" w:hAnsiTheme="minorHAnsi"/>
            <w:noProof/>
            <w:sz w:val="22"/>
            <w:lang w:eastAsia="en-AU"/>
          </w:rPr>
          <w:tab/>
        </w:r>
        <w:r w:rsidR="0041310B" w:rsidRPr="003114A5">
          <w:rPr>
            <w:rStyle w:val="Hyperlink"/>
            <w:noProof/>
          </w:rPr>
          <w:t>Allowing deployment on poles rather than on utilities</w:t>
        </w:r>
        <w:r w:rsidR="0041310B">
          <w:rPr>
            <w:noProof/>
            <w:webHidden/>
          </w:rPr>
          <w:tab/>
        </w:r>
        <w:r w:rsidR="0041310B">
          <w:rPr>
            <w:noProof/>
            <w:webHidden/>
          </w:rPr>
          <w:fldChar w:fldCharType="begin"/>
        </w:r>
        <w:r w:rsidR="0041310B">
          <w:rPr>
            <w:noProof/>
            <w:webHidden/>
          </w:rPr>
          <w:instrText xml:space="preserve"> PAGEREF _Toc62475801 \h </w:instrText>
        </w:r>
        <w:r w:rsidR="0041310B">
          <w:rPr>
            <w:noProof/>
            <w:webHidden/>
          </w:rPr>
        </w:r>
        <w:r w:rsidR="0041310B">
          <w:rPr>
            <w:noProof/>
            <w:webHidden/>
          </w:rPr>
          <w:fldChar w:fldCharType="separate"/>
        </w:r>
        <w:r w:rsidR="00B05746">
          <w:rPr>
            <w:noProof/>
            <w:webHidden/>
          </w:rPr>
          <w:t>14</w:t>
        </w:r>
        <w:r w:rsidR="0041310B">
          <w:rPr>
            <w:noProof/>
            <w:webHidden/>
          </w:rPr>
          <w:fldChar w:fldCharType="end"/>
        </w:r>
      </w:hyperlink>
    </w:p>
    <w:p w14:paraId="3FAD203F" w14:textId="33E49647" w:rsidR="0041310B" w:rsidRDefault="001E3CC8">
      <w:pPr>
        <w:pStyle w:val="TOC2"/>
        <w:tabs>
          <w:tab w:val="left" w:pos="1134"/>
        </w:tabs>
        <w:rPr>
          <w:rFonts w:asciiTheme="minorHAnsi" w:eastAsiaTheme="minorEastAsia" w:hAnsiTheme="minorHAnsi"/>
          <w:noProof/>
          <w:sz w:val="22"/>
          <w:lang w:eastAsia="en-AU"/>
        </w:rPr>
      </w:pPr>
      <w:hyperlink w:anchor="_Toc62475802" w:history="1">
        <w:r w:rsidR="0041310B" w:rsidRPr="003114A5">
          <w:rPr>
            <w:rStyle w:val="Hyperlink"/>
            <w:noProof/>
          </w:rPr>
          <w:t>D.</w:t>
        </w:r>
        <w:r w:rsidR="0041310B">
          <w:rPr>
            <w:rFonts w:asciiTheme="minorHAnsi" w:eastAsiaTheme="minorEastAsia" w:hAnsiTheme="minorHAnsi"/>
            <w:noProof/>
            <w:sz w:val="22"/>
            <w:lang w:eastAsia="en-AU"/>
          </w:rPr>
          <w:tab/>
        </w:r>
        <w:r w:rsidR="0041310B" w:rsidRPr="003114A5">
          <w:rPr>
            <w:rStyle w:val="Hyperlink"/>
            <w:noProof/>
          </w:rPr>
          <w:t>Encourage the co-location of facilities</w:t>
        </w:r>
        <w:r w:rsidR="0041310B">
          <w:rPr>
            <w:noProof/>
            <w:webHidden/>
          </w:rPr>
          <w:tab/>
        </w:r>
        <w:r w:rsidR="0041310B">
          <w:rPr>
            <w:noProof/>
            <w:webHidden/>
          </w:rPr>
          <w:fldChar w:fldCharType="begin"/>
        </w:r>
        <w:r w:rsidR="0041310B">
          <w:rPr>
            <w:noProof/>
            <w:webHidden/>
          </w:rPr>
          <w:instrText xml:space="preserve"> PAGEREF _Toc62475802 \h </w:instrText>
        </w:r>
        <w:r w:rsidR="0041310B">
          <w:rPr>
            <w:noProof/>
            <w:webHidden/>
          </w:rPr>
        </w:r>
        <w:r w:rsidR="0041310B">
          <w:rPr>
            <w:noProof/>
            <w:webHidden/>
          </w:rPr>
          <w:fldChar w:fldCharType="separate"/>
        </w:r>
        <w:r w:rsidR="00B05746">
          <w:rPr>
            <w:noProof/>
            <w:webHidden/>
          </w:rPr>
          <w:t>15</w:t>
        </w:r>
        <w:r w:rsidR="0041310B">
          <w:rPr>
            <w:noProof/>
            <w:webHidden/>
          </w:rPr>
          <w:fldChar w:fldCharType="end"/>
        </w:r>
      </w:hyperlink>
    </w:p>
    <w:p w14:paraId="6FBAEEC5" w14:textId="6432C00A" w:rsidR="0041310B" w:rsidRDefault="001E3CC8">
      <w:pPr>
        <w:pStyle w:val="TOC1"/>
        <w:rPr>
          <w:rFonts w:asciiTheme="minorHAnsi" w:eastAsiaTheme="minorEastAsia" w:hAnsiTheme="minorHAnsi"/>
          <w:b w:val="0"/>
          <w:noProof/>
          <w:color w:val="auto"/>
          <w:sz w:val="22"/>
          <w:lang w:eastAsia="en-AU"/>
        </w:rPr>
      </w:pPr>
      <w:hyperlink w:anchor="_Toc62475803" w:history="1">
        <w:r w:rsidR="0041310B" w:rsidRPr="003114A5">
          <w:rPr>
            <w:rStyle w:val="Hyperlink"/>
            <w:noProof/>
          </w:rPr>
          <w:t>Next steps and conclusion</w:t>
        </w:r>
        <w:r w:rsidR="0041310B">
          <w:rPr>
            <w:noProof/>
            <w:webHidden/>
          </w:rPr>
          <w:tab/>
        </w:r>
        <w:r w:rsidR="0041310B">
          <w:rPr>
            <w:noProof/>
            <w:webHidden/>
          </w:rPr>
          <w:fldChar w:fldCharType="begin"/>
        </w:r>
        <w:r w:rsidR="0041310B">
          <w:rPr>
            <w:noProof/>
            <w:webHidden/>
          </w:rPr>
          <w:instrText xml:space="preserve"> PAGEREF _Toc62475803 \h </w:instrText>
        </w:r>
        <w:r w:rsidR="0041310B">
          <w:rPr>
            <w:noProof/>
            <w:webHidden/>
          </w:rPr>
        </w:r>
        <w:r w:rsidR="0041310B">
          <w:rPr>
            <w:noProof/>
            <w:webHidden/>
          </w:rPr>
          <w:fldChar w:fldCharType="separate"/>
        </w:r>
        <w:r w:rsidR="00B05746">
          <w:rPr>
            <w:noProof/>
            <w:webHidden/>
          </w:rPr>
          <w:t>16</w:t>
        </w:r>
        <w:r w:rsidR="0041310B">
          <w:rPr>
            <w:noProof/>
            <w:webHidden/>
          </w:rPr>
          <w:fldChar w:fldCharType="end"/>
        </w:r>
      </w:hyperlink>
    </w:p>
    <w:p w14:paraId="7166EC42" w14:textId="740CE7AD" w:rsidR="0041310B" w:rsidRDefault="001E3CC8">
      <w:pPr>
        <w:pStyle w:val="TOC1"/>
        <w:rPr>
          <w:rFonts w:asciiTheme="minorHAnsi" w:eastAsiaTheme="minorEastAsia" w:hAnsiTheme="minorHAnsi"/>
          <w:b w:val="0"/>
          <w:noProof/>
          <w:color w:val="auto"/>
          <w:sz w:val="22"/>
          <w:lang w:eastAsia="en-AU"/>
        </w:rPr>
      </w:pPr>
      <w:hyperlink w:anchor="_Toc62475804" w:history="1">
        <w:r w:rsidR="0041310B" w:rsidRPr="003114A5">
          <w:rPr>
            <w:rStyle w:val="Hyperlink"/>
            <w:noProof/>
          </w:rPr>
          <w:t>Glossary</w:t>
        </w:r>
        <w:r w:rsidR="0041310B">
          <w:rPr>
            <w:noProof/>
            <w:webHidden/>
          </w:rPr>
          <w:tab/>
        </w:r>
        <w:r w:rsidR="0041310B">
          <w:rPr>
            <w:noProof/>
            <w:webHidden/>
          </w:rPr>
          <w:fldChar w:fldCharType="begin"/>
        </w:r>
        <w:r w:rsidR="0041310B">
          <w:rPr>
            <w:noProof/>
            <w:webHidden/>
          </w:rPr>
          <w:instrText xml:space="preserve"> PAGEREF _Toc62475804 \h </w:instrText>
        </w:r>
        <w:r w:rsidR="0041310B">
          <w:rPr>
            <w:noProof/>
            <w:webHidden/>
          </w:rPr>
        </w:r>
        <w:r w:rsidR="0041310B">
          <w:rPr>
            <w:noProof/>
            <w:webHidden/>
          </w:rPr>
          <w:fldChar w:fldCharType="separate"/>
        </w:r>
        <w:r w:rsidR="00B05746">
          <w:rPr>
            <w:noProof/>
            <w:webHidden/>
          </w:rPr>
          <w:t>18</w:t>
        </w:r>
        <w:r w:rsidR="0041310B">
          <w:rPr>
            <w:noProof/>
            <w:webHidden/>
          </w:rPr>
          <w:fldChar w:fldCharType="end"/>
        </w:r>
      </w:hyperlink>
    </w:p>
    <w:p w14:paraId="6B9AF669" w14:textId="027DF08F" w:rsidR="00A82DAF" w:rsidRDefault="006C6C4A" w:rsidP="00A82DAF">
      <w:pPr>
        <w:rPr>
          <w:rFonts w:ascii="Calibri" w:eastAsia="PMingLiU" w:hAnsi="Calibri" w:cs="Mangal"/>
          <w:b/>
          <w:color w:val="0F293A"/>
          <w:sz w:val="24"/>
        </w:rPr>
      </w:pPr>
      <w:r>
        <w:rPr>
          <w:rFonts w:ascii="Calibri" w:eastAsia="PMingLiU" w:hAnsi="Calibri" w:cs="Mangal"/>
          <w:b/>
          <w:color w:val="0F293A"/>
          <w:sz w:val="24"/>
        </w:rPr>
        <w:fldChar w:fldCharType="end"/>
      </w:r>
    </w:p>
    <w:p w14:paraId="5B5D3E14" w14:textId="415F2A38" w:rsidR="00B05746" w:rsidRPr="005113AA" w:rsidRDefault="00B05746" w:rsidP="00B05746">
      <w:pPr>
        <w:pStyle w:val="Heading2notshowing"/>
        <w:spacing w:before="240"/>
      </w:pPr>
      <w:r w:rsidRPr="005113AA">
        <w:t>Tables</w:t>
      </w:r>
    </w:p>
    <w:p w14:paraId="344995FF" w14:textId="587196B7" w:rsidR="00B05746" w:rsidRDefault="00B05746">
      <w:pPr>
        <w:pStyle w:val="TOC4"/>
        <w:rPr>
          <w:rFonts w:asciiTheme="minorHAnsi" w:eastAsiaTheme="minorEastAsia" w:hAnsiTheme="minorHAnsi"/>
          <w:noProof/>
          <w:sz w:val="22"/>
          <w:lang w:eastAsia="en-AU"/>
        </w:rPr>
      </w:pPr>
      <w:r w:rsidRPr="005113AA">
        <w:rPr>
          <w:rFonts w:eastAsia="PMingLiU" w:cs="Mangal"/>
        </w:rPr>
        <w:fldChar w:fldCharType="begin"/>
      </w:r>
      <w:r w:rsidRPr="005113AA">
        <w:rPr>
          <w:rFonts w:eastAsia="PMingLiU" w:cs="Mangal"/>
        </w:rPr>
        <w:instrText xml:space="preserve"> TOC \h \z \t "Table/figure heading,4,Table heading,4" </w:instrText>
      </w:r>
      <w:r w:rsidRPr="005113AA">
        <w:rPr>
          <w:rFonts w:eastAsia="PMingLiU" w:cs="Mangal"/>
        </w:rPr>
        <w:fldChar w:fldCharType="separate"/>
      </w:r>
      <w:hyperlink w:anchor="_Toc64987414" w:history="1">
        <w:r w:rsidRPr="004C39CC">
          <w:rPr>
            <w:rStyle w:val="Hyperlink"/>
            <w:noProof/>
          </w:rPr>
          <w:t>Tranche One—Outline of matters for consideration</w:t>
        </w:r>
        <w:r>
          <w:rPr>
            <w:noProof/>
            <w:webHidden/>
          </w:rPr>
          <w:tab/>
        </w:r>
        <w:r>
          <w:rPr>
            <w:noProof/>
            <w:webHidden/>
          </w:rPr>
          <w:fldChar w:fldCharType="begin"/>
        </w:r>
        <w:r>
          <w:rPr>
            <w:noProof/>
            <w:webHidden/>
          </w:rPr>
          <w:instrText xml:space="preserve"> PAGEREF _Toc64987414 \h </w:instrText>
        </w:r>
        <w:r>
          <w:rPr>
            <w:noProof/>
            <w:webHidden/>
          </w:rPr>
        </w:r>
        <w:r>
          <w:rPr>
            <w:noProof/>
            <w:webHidden/>
          </w:rPr>
          <w:fldChar w:fldCharType="separate"/>
        </w:r>
        <w:r>
          <w:rPr>
            <w:noProof/>
            <w:webHidden/>
          </w:rPr>
          <w:t>16</w:t>
        </w:r>
        <w:r>
          <w:rPr>
            <w:noProof/>
            <w:webHidden/>
          </w:rPr>
          <w:fldChar w:fldCharType="end"/>
        </w:r>
      </w:hyperlink>
    </w:p>
    <w:p w14:paraId="060C2844" w14:textId="4A2C6EC1" w:rsidR="00B05746" w:rsidRDefault="001E3CC8">
      <w:pPr>
        <w:pStyle w:val="TOC4"/>
        <w:rPr>
          <w:rFonts w:asciiTheme="minorHAnsi" w:eastAsiaTheme="minorEastAsia" w:hAnsiTheme="minorHAnsi"/>
          <w:noProof/>
          <w:sz w:val="22"/>
          <w:lang w:eastAsia="en-AU"/>
        </w:rPr>
      </w:pPr>
      <w:hyperlink w:anchor="_Toc64987415" w:history="1">
        <w:r w:rsidR="00B05746" w:rsidRPr="004C39CC">
          <w:rPr>
            <w:rStyle w:val="Hyperlink"/>
            <w:noProof/>
          </w:rPr>
          <w:t>Tranche Two—Outline of matters for consideration</w:t>
        </w:r>
        <w:r w:rsidR="00B05746">
          <w:rPr>
            <w:noProof/>
            <w:webHidden/>
          </w:rPr>
          <w:tab/>
        </w:r>
        <w:r w:rsidR="00B05746">
          <w:rPr>
            <w:noProof/>
            <w:webHidden/>
          </w:rPr>
          <w:fldChar w:fldCharType="begin"/>
        </w:r>
        <w:r w:rsidR="00B05746">
          <w:rPr>
            <w:noProof/>
            <w:webHidden/>
          </w:rPr>
          <w:instrText xml:space="preserve"> PAGEREF _Toc64987415 \h </w:instrText>
        </w:r>
        <w:r w:rsidR="00B05746">
          <w:rPr>
            <w:noProof/>
            <w:webHidden/>
          </w:rPr>
        </w:r>
        <w:r w:rsidR="00B05746">
          <w:rPr>
            <w:noProof/>
            <w:webHidden/>
          </w:rPr>
          <w:fldChar w:fldCharType="separate"/>
        </w:r>
        <w:r w:rsidR="00B05746">
          <w:rPr>
            <w:noProof/>
            <w:webHidden/>
          </w:rPr>
          <w:t>17</w:t>
        </w:r>
        <w:r w:rsidR="00B05746">
          <w:rPr>
            <w:noProof/>
            <w:webHidden/>
          </w:rPr>
          <w:fldChar w:fldCharType="end"/>
        </w:r>
      </w:hyperlink>
    </w:p>
    <w:p w14:paraId="1B716267" w14:textId="2EFC2E35" w:rsidR="00B05746" w:rsidRDefault="001E3CC8">
      <w:pPr>
        <w:pStyle w:val="TOC4"/>
        <w:rPr>
          <w:rFonts w:asciiTheme="minorHAnsi" w:eastAsiaTheme="minorEastAsia" w:hAnsiTheme="minorHAnsi"/>
          <w:noProof/>
          <w:sz w:val="22"/>
          <w:lang w:eastAsia="en-AU"/>
        </w:rPr>
      </w:pPr>
      <w:hyperlink w:anchor="_Toc64987416" w:history="1">
        <w:r w:rsidR="00B05746" w:rsidRPr="004C39CC">
          <w:rPr>
            <w:rStyle w:val="Hyperlink"/>
            <w:noProof/>
          </w:rPr>
          <w:t>Glossary of terms</w:t>
        </w:r>
        <w:r w:rsidR="00B05746">
          <w:rPr>
            <w:noProof/>
            <w:webHidden/>
          </w:rPr>
          <w:tab/>
        </w:r>
        <w:r w:rsidR="00B05746">
          <w:rPr>
            <w:noProof/>
            <w:webHidden/>
          </w:rPr>
          <w:fldChar w:fldCharType="begin"/>
        </w:r>
        <w:r w:rsidR="00B05746">
          <w:rPr>
            <w:noProof/>
            <w:webHidden/>
          </w:rPr>
          <w:instrText xml:space="preserve"> PAGEREF _Toc64987416 \h </w:instrText>
        </w:r>
        <w:r w:rsidR="00B05746">
          <w:rPr>
            <w:noProof/>
            <w:webHidden/>
          </w:rPr>
        </w:r>
        <w:r w:rsidR="00B05746">
          <w:rPr>
            <w:noProof/>
            <w:webHidden/>
          </w:rPr>
          <w:fldChar w:fldCharType="separate"/>
        </w:r>
        <w:r w:rsidR="00B05746">
          <w:rPr>
            <w:noProof/>
            <w:webHidden/>
          </w:rPr>
          <w:t>18</w:t>
        </w:r>
        <w:r w:rsidR="00B05746">
          <w:rPr>
            <w:noProof/>
            <w:webHidden/>
          </w:rPr>
          <w:fldChar w:fldCharType="end"/>
        </w:r>
      </w:hyperlink>
    </w:p>
    <w:p w14:paraId="4D7D200E" w14:textId="006B6D37" w:rsidR="00B05746" w:rsidRDefault="00B05746" w:rsidP="00B05746">
      <w:r w:rsidRPr="005113AA">
        <w:fldChar w:fldCharType="end"/>
      </w:r>
    </w:p>
    <w:p w14:paraId="5664FF7B" w14:textId="77777777" w:rsidR="002F1A23" w:rsidRDefault="002F1A23" w:rsidP="00E7227D">
      <w:pPr>
        <w:pStyle w:val="Normaldisclaimerpage"/>
        <w:ind w:left="567"/>
        <w:sectPr w:rsidR="002F1A23" w:rsidSect="002F1A23">
          <w:headerReference w:type="even" r:id="rId19"/>
          <w:headerReference w:type="default" r:id="rId20"/>
          <w:headerReference w:type="first" r:id="rId21"/>
          <w:type w:val="continuous"/>
          <w:pgSz w:w="11906" w:h="16838"/>
          <w:pgMar w:top="2268" w:right="991" w:bottom="1276" w:left="1440" w:header="0" w:footer="397" w:gutter="0"/>
          <w:cols w:space="708"/>
          <w:docGrid w:linePitch="360"/>
        </w:sectPr>
      </w:pPr>
    </w:p>
    <w:p w14:paraId="7BA9E3F4" w14:textId="77777777" w:rsidR="00BF78EB" w:rsidRDefault="00BF78EB" w:rsidP="00BF78EB">
      <w:pPr>
        <w:pStyle w:val="Heading2"/>
      </w:pPr>
      <w:bookmarkStart w:id="1" w:name="_Toc45545581"/>
      <w:bookmarkStart w:id="2" w:name="_Toc45642079"/>
      <w:bookmarkStart w:id="3" w:name="_Toc45649095"/>
      <w:bookmarkStart w:id="4" w:name="_Toc45713961"/>
      <w:bookmarkStart w:id="5" w:name="_Toc47090195"/>
      <w:bookmarkStart w:id="6" w:name="_Toc58424243"/>
      <w:bookmarkStart w:id="7" w:name="_Toc58492170"/>
      <w:bookmarkStart w:id="8" w:name="_Toc58505220"/>
      <w:bookmarkStart w:id="9" w:name="_Toc62475787"/>
      <w:r>
        <w:lastRenderedPageBreak/>
        <w:t>Introduction</w:t>
      </w:r>
      <w:bookmarkEnd w:id="1"/>
      <w:bookmarkEnd w:id="2"/>
      <w:bookmarkEnd w:id="3"/>
      <w:bookmarkEnd w:id="4"/>
      <w:bookmarkEnd w:id="5"/>
      <w:bookmarkEnd w:id="6"/>
      <w:bookmarkEnd w:id="7"/>
      <w:bookmarkEnd w:id="8"/>
      <w:bookmarkEnd w:id="9"/>
    </w:p>
    <w:p w14:paraId="51E87BB1" w14:textId="4B2BA7EB" w:rsidR="009F4E43" w:rsidRDefault="00B154EF" w:rsidP="00A05E58">
      <w:r>
        <w:t xml:space="preserve">On 16 September 2020, the Department released a consultation paper </w:t>
      </w:r>
      <w:r w:rsidR="00DF50BC">
        <w:t>outlining</w:t>
      </w:r>
      <w:r w:rsidR="001A0039">
        <w:t xml:space="preserve"> </w:t>
      </w:r>
      <w:r w:rsidR="008D557B">
        <w:t>12</w:t>
      </w:r>
      <w:r>
        <w:t xml:space="preserve"> </w:t>
      </w:r>
      <w:r w:rsidR="008466CA">
        <w:t xml:space="preserve">proposed </w:t>
      </w:r>
      <w:r w:rsidR="00FB6105">
        <w:t>changes</w:t>
      </w:r>
      <w:r>
        <w:t xml:space="preserve"> to the </w:t>
      </w:r>
      <w:r w:rsidR="00DF50BC">
        <w:t xml:space="preserve">carrier’ </w:t>
      </w:r>
      <w:r>
        <w:t xml:space="preserve">powers and immunities framework. These </w:t>
      </w:r>
      <w:r w:rsidR="00FB6105">
        <w:t>changes</w:t>
      </w:r>
      <w:r>
        <w:t xml:space="preserve"> were proposed as part of the </w:t>
      </w:r>
      <w:r w:rsidR="00147574">
        <w:t xml:space="preserve">Government’s </w:t>
      </w:r>
      <w:r>
        <w:t>commitment to im</w:t>
      </w:r>
      <w:r w:rsidR="00D74192">
        <w:t>proving the existing framework</w:t>
      </w:r>
      <w:r w:rsidR="008D557B">
        <w:t xml:space="preserve"> to </w:t>
      </w:r>
      <w:r w:rsidR="001A0039">
        <w:t xml:space="preserve">get the best out of new networks, including 5G, and to </w:t>
      </w:r>
      <w:r w:rsidR="008D557B">
        <w:t>better balance the interests of landowners and carriers.</w:t>
      </w:r>
      <w:r>
        <w:t xml:space="preserve"> </w:t>
      </w:r>
      <w:r w:rsidR="008D557B">
        <w:t>We also note that some proposals go part way to meeting</w:t>
      </w:r>
      <w:r>
        <w:t xml:space="preserve"> the recommendations made </w:t>
      </w:r>
      <w:r w:rsidR="00DB2E28">
        <w:t>in</w:t>
      </w:r>
      <w:r w:rsidR="008D557B">
        <w:t xml:space="preserve"> the </w:t>
      </w:r>
      <w:r w:rsidR="008466CA">
        <w:t xml:space="preserve">House of Representatives </w:t>
      </w:r>
      <w:r w:rsidR="008D557B">
        <w:t>Standing Committee on Communications and the Arts</w:t>
      </w:r>
      <w:r w:rsidR="008466CA">
        <w:t>’ The Next Gen Future</w:t>
      </w:r>
      <w:r w:rsidR="008D557B">
        <w:t xml:space="preserve"> inquiry into </w:t>
      </w:r>
      <w:r w:rsidR="008466CA">
        <w:t xml:space="preserve">the deployment, adoption and application of </w:t>
      </w:r>
      <w:r w:rsidR="008D557B">
        <w:t>5G in Australia</w:t>
      </w:r>
      <w:r w:rsidR="00DB2E28">
        <w:t>.</w:t>
      </w:r>
      <w:r w:rsidR="00DB2E28">
        <w:rPr>
          <w:rStyle w:val="FootnoteReference"/>
        </w:rPr>
        <w:footnoteReference w:id="2"/>
      </w:r>
    </w:p>
    <w:p w14:paraId="634014D4" w14:textId="61D5609E" w:rsidR="009F4E43" w:rsidRDefault="00163389" w:rsidP="00A05E58">
      <w:r>
        <w:t xml:space="preserve">This paper </w:t>
      </w:r>
      <w:r w:rsidR="00D0165F">
        <w:t xml:space="preserve">provides </w:t>
      </w:r>
      <w:r w:rsidR="008D557B">
        <w:t>an overview of</w:t>
      </w:r>
      <w:r w:rsidR="00D0165F">
        <w:t xml:space="preserve"> the </w:t>
      </w:r>
      <w:r w:rsidR="001A0039">
        <w:t xml:space="preserve">key themes raised in </w:t>
      </w:r>
      <w:r>
        <w:t>submissions from stakeholders in respon</w:t>
      </w:r>
      <w:r w:rsidR="008D557B">
        <w:t>se</w:t>
      </w:r>
      <w:r w:rsidR="00D0165F">
        <w:t xml:space="preserve"> to the consultation paper</w:t>
      </w:r>
      <w:r w:rsidR="008D557B">
        <w:t xml:space="preserve">, and an outline of the </w:t>
      </w:r>
      <w:r w:rsidR="00147574">
        <w:t xml:space="preserve">Government’s </w:t>
      </w:r>
      <w:r w:rsidR="008D557B">
        <w:t>intentions and next steps relating to each proposal</w:t>
      </w:r>
      <w:r w:rsidR="009F4E43">
        <w:t>.</w:t>
      </w:r>
    </w:p>
    <w:p w14:paraId="457CD41B" w14:textId="77777777" w:rsidR="009F4E43" w:rsidRDefault="00163389" w:rsidP="00F81659">
      <w:r>
        <w:t xml:space="preserve">The consultation </w:t>
      </w:r>
      <w:r w:rsidR="00DF50BC">
        <w:t xml:space="preserve">period </w:t>
      </w:r>
      <w:r>
        <w:t xml:space="preserve">was open for </w:t>
      </w:r>
      <w:r w:rsidR="00B40E00">
        <w:t>six</w:t>
      </w:r>
      <w:r>
        <w:t xml:space="preserve"> weeks, and closed on 30 October </w:t>
      </w:r>
      <w:r w:rsidR="00B40E00">
        <w:t>2020. The Department received 4</w:t>
      </w:r>
      <w:r w:rsidR="004B3FB0">
        <w:t>9</w:t>
      </w:r>
      <w:r w:rsidR="00D13E49">
        <w:t> </w:t>
      </w:r>
      <w:r>
        <w:t xml:space="preserve">submissions </w:t>
      </w:r>
      <w:r w:rsidR="004B3FB0">
        <w:t>from</w:t>
      </w:r>
      <w:r>
        <w:t xml:space="preserve"> a diverse range of stakeholders including</w:t>
      </w:r>
      <w:r w:rsidR="00D13E49">
        <w:t>:</w:t>
      </w:r>
      <w:r>
        <w:t xml:space="preserve"> carriers</w:t>
      </w:r>
      <w:r w:rsidR="004B3FB0">
        <w:t xml:space="preserve"> and their industry representatives</w:t>
      </w:r>
      <w:r>
        <w:t xml:space="preserve">, </w:t>
      </w:r>
      <w:r w:rsidR="004B3FB0">
        <w:t xml:space="preserve">telecommunications </w:t>
      </w:r>
      <w:r>
        <w:t>infrastructure</w:t>
      </w:r>
      <w:r w:rsidR="00EE4BC0">
        <w:t xml:space="preserve"> providers,</w:t>
      </w:r>
      <w:r>
        <w:t xml:space="preserve"> commercial property owners, councils and local governments, state government departments,</w:t>
      </w:r>
      <w:r w:rsidR="00B26D99">
        <w:t xml:space="preserve"> energy, water, and </w:t>
      </w:r>
      <w:r>
        <w:t>railway utilities, and road authorities.</w:t>
      </w:r>
      <w:r w:rsidR="009F4E43">
        <w:t xml:space="preserve"> </w:t>
      </w:r>
      <w:r w:rsidR="00B26D99">
        <w:t xml:space="preserve">The diversity of the responses is indicative of the many interests that must be </w:t>
      </w:r>
      <w:r w:rsidR="004B3FB0">
        <w:t>considered to ensure the powers and immunities framework is appropriately balanced</w:t>
      </w:r>
      <w:r w:rsidR="009F4E43">
        <w:t>.</w:t>
      </w:r>
    </w:p>
    <w:p w14:paraId="54D0625B" w14:textId="77777777" w:rsidR="009F4E43" w:rsidRDefault="00B26D99" w:rsidP="00F81659">
      <w:r w:rsidRPr="00B26D99">
        <w:t>Submissions from landowner</w:t>
      </w:r>
      <w:r>
        <w:t xml:space="preserve">s demonstrate a desire for the powers and immunities framework </w:t>
      </w:r>
      <w:r w:rsidRPr="00B26D99">
        <w:t xml:space="preserve">to be modernised and reflect a better balance between the commercial interests of landowners and carriers. </w:t>
      </w:r>
      <w:r>
        <w:t>L</w:t>
      </w:r>
      <w:r w:rsidRPr="00B26D99">
        <w:t xml:space="preserve">andowners </w:t>
      </w:r>
      <w:r w:rsidR="00D74192">
        <w:t>believe</w:t>
      </w:r>
      <w:r w:rsidRPr="00B26D99">
        <w:t xml:space="preserve"> the frame</w:t>
      </w:r>
      <w:r>
        <w:t xml:space="preserve">work is excessively burdensome </w:t>
      </w:r>
      <w:r w:rsidR="00B208C9" w:rsidRPr="007B355A">
        <w:t xml:space="preserve">given the short timeframes, insufficient technical detail in carrier notifications, and </w:t>
      </w:r>
      <w:r w:rsidR="00676D6C">
        <w:t>fails to address</w:t>
      </w:r>
      <w:r w:rsidR="00B208C9" w:rsidRPr="007B355A">
        <w:t xml:space="preserve"> transactional issues regarding payment of rent and power for the equipment.</w:t>
      </w:r>
      <w:r w:rsidR="00B208C9" w:rsidRPr="00232DD2">
        <w:t xml:space="preserve"> </w:t>
      </w:r>
      <w:r w:rsidR="00B208C9">
        <w:t xml:space="preserve">Landowners also argue the framework </w:t>
      </w:r>
      <w:r>
        <w:t xml:space="preserve">offers </w:t>
      </w:r>
      <w:r w:rsidRPr="00B26D99">
        <w:t xml:space="preserve">minimal means of objection or recourse for </w:t>
      </w:r>
      <w:r>
        <w:t>owners and occupiers</w:t>
      </w:r>
      <w:r w:rsidRPr="00B26D99">
        <w:t>.</w:t>
      </w:r>
      <w:r w:rsidR="003E4611">
        <w:t xml:space="preserve"> C</w:t>
      </w:r>
      <w:r w:rsidRPr="00B26D99">
        <w:t xml:space="preserve">arriers raised concerns </w:t>
      </w:r>
      <w:r w:rsidR="0000238B">
        <w:t>that</w:t>
      </w:r>
      <w:r w:rsidRPr="00B26D99">
        <w:t xml:space="preserve"> </w:t>
      </w:r>
      <w:r w:rsidR="003E4611">
        <w:t>some propos</w:t>
      </w:r>
      <w:r w:rsidR="004B3FB0">
        <w:t>als</w:t>
      </w:r>
      <w:r w:rsidR="003E4611">
        <w:t xml:space="preserve"> </w:t>
      </w:r>
      <w:r w:rsidR="0000238B">
        <w:t xml:space="preserve">will carry </w:t>
      </w:r>
      <w:r w:rsidRPr="00B26D99">
        <w:t xml:space="preserve">administrative and cost burdens, while </w:t>
      </w:r>
      <w:r w:rsidR="003E4611">
        <w:t xml:space="preserve">also </w:t>
      </w:r>
      <w:r w:rsidRPr="00B26D99">
        <w:t>s</w:t>
      </w:r>
      <w:r w:rsidR="003E4611">
        <w:t xml:space="preserve">upporting </w:t>
      </w:r>
      <w:r w:rsidR="0000238B">
        <w:t xml:space="preserve">proposals to expand </w:t>
      </w:r>
      <w:r w:rsidR="003E4611">
        <w:t>the</w:t>
      </w:r>
      <w:r w:rsidRPr="00B26D99">
        <w:t xml:space="preserve"> </w:t>
      </w:r>
      <w:r w:rsidR="004B3FB0" w:rsidRPr="009C0C12">
        <w:rPr>
          <w:i/>
        </w:rPr>
        <w:t>Telecommunications (Low-impact Facilities) Determination 2018</w:t>
      </w:r>
      <w:r w:rsidR="004B3FB0">
        <w:t xml:space="preserve"> (the LIFD) </w:t>
      </w:r>
      <w:r w:rsidRPr="00B26D99">
        <w:t xml:space="preserve">to </w:t>
      </w:r>
      <w:r w:rsidR="00DF50BC">
        <w:t xml:space="preserve">improve coverage of existing telecommunications services and </w:t>
      </w:r>
      <w:r w:rsidRPr="00B26D99">
        <w:t>further assist the roll</w:t>
      </w:r>
      <w:r w:rsidR="0000238B">
        <w:t xml:space="preserve"> </w:t>
      </w:r>
      <w:r w:rsidRPr="00B26D99">
        <w:t xml:space="preserve">out of </w:t>
      </w:r>
      <w:r w:rsidR="00DF50BC">
        <w:t xml:space="preserve">new </w:t>
      </w:r>
      <w:r w:rsidRPr="00B26D99">
        <w:t>5G services</w:t>
      </w:r>
      <w:r w:rsidR="009F4E43">
        <w:t>.</w:t>
      </w:r>
    </w:p>
    <w:p w14:paraId="4E934C3A" w14:textId="04F902B4" w:rsidR="009F4E43" w:rsidRDefault="00BD04A2" w:rsidP="00F81659">
      <w:r>
        <w:t>At this time, t</w:t>
      </w:r>
      <w:r w:rsidR="00163389">
        <w:t xml:space="preserve">he </w:t>
      </w:r>
      <w:r w:rsidR="00F44C01">
        <w:t xml:space="preserve">Government </w:t>
      </w:r>
      <w:r w:rsidR="00A33E4C">
        <w:t>will</w:t>
      </w:r>
      <w:r w:rsidR="0089643D">
        <w:t xml:space="preserve"> consult further on</w:t>
      </w:r>
      <w:r w:rsidR="00163389">
        <w:t xml:space="preserve"> all </w:t>
      </w:r>
      <w:r w:rsidR="00DF50BC">
        <w:t xml:space="preserve">12 </w:t>
      </w:r>
      <w:r w:rsidR="00163389">
        <w:t>of the proposals</w:t>
      </w:r>
      <w:r w:rsidR="004B3FB0">
        <w:t xml:space="preserve"> </w:t>
      </w:r>
      <w:r w:rsidR="001A0039">
        <w:t>included in the paper</w:t>
      </w:r>
      <w:r w:rsidR="00A33E4C">
        <w:t>.T</w:t>
      </w:r>
      <w:r w:rsidR="00676D6C">
        <w:t xml:space="preserve">he </w:t>
      </w:r>
      <w:r w:rsidR="003E4611">
        <w:t xml:space="preserve">responses </w:t>
      </w:r>
      <w:r w:rsidR="00DF50BC">
        <w:t xml:space="preserve">set out in the following sections </w:t>
      </w:r>
      <w:r w:rsidR="003E4611">
        <w:t xml:space="preserve">have been </w:t>
      </w:r>
      <w:r>
        <w:t>in</w:t>
      </w:r>
      <w:r w:rsidR="003E4611">
        <w:t xml:space="preserve">formed </w:t>
      </w:r>
      <w:r>
        <w:t>by</w:t>
      </w:r>
      <w:r w:rsidR="003E4611">
        <w:t xml:space="preserve"> the views </w:t>
      </w:r>
      <w:r>
        <w:t xml:space="preserve">of all </w:t>
      </w:r>
      <w:r w:rsidR="003E4611">
        <w:t>stakeholders. The proposed amendments are not intended to solely benefit or</w:t>
      </w:r>
      <w:r w:rsidR="00D0165F">
        <w:t xml:space="preserve"> burden</w:t>
      </w:r>
      <w:r w:rsidR="003E4611">
        <w:t xml:space="preserve"> a</w:t>
      </w:r>
      <w:r w:rsidR="00DF50BC">
        <w:t xml:space="preserve"> </w:t>
      </w:r>
      <w:r w:rsidR="003E4611">
        <w:t>single sector</w:t>
      </w:r>
      <w:r w:rsidR="009F4E43">
        <w:t>—</w:t>
      </w:r>
      <w:r w:rsidR="003E4611">
        <w:t xml:space="preserve">balancing the framework will require compromise </w:t>
      </w:r>
      <w:r w:rsidR="004B3FB0">
        <w:t>from everyone</w:t>
      </w:r>
      <w:r w:rsidR="009F4E43">
        <w:t>.</w:t>
      </w:r>
    </w:p>
    <w:p w14:paraId="4758E04D" w14:textId="77777777" w:rsidR="009F4E43" w:rsidRDefault="0097381D" w:rsidP="00F81659">
      <w:r>
        <w:t xml:space="preserve">It should also be noted that while the immediate focus is on the proposals that were consulted on, the </w:t>
      </w:r>
      <w:r w:rsidR="00676D6C">
        <w:t>consultation</w:t>
      </w:r>
      <w:r w:rsidR="001C6A44">
        <w:t xml:space="preserve"> </w:t>
      </w:r>
      <w:r>
        <w:t xml:space="preserve">identified a number of additional policy matters </w:t>
      </w:r>
      <w:r w:rsidR="00676D6C">
        <w:t xml:space="preserve">for </w:t>
      </w:r>
      <w:r w:rsidR="001C6A44">
        <w:t>Government</w:t>
      </w:r>
      <w:r w:rsidR="00366720">
        <w:t xml:space="preserve"> </w:t>
      </w:r>
      <w:r w:rsidR="00676D6C">
        <w:t>consideration</w:t>
      </w:r>
      <w:r w:rsidR="001C6A44">
        <w:t>.</w:t>
      </w:r>
      <w:r w:rsidR="00232DD2">
        <w:t xml:space="preserve"> </w:t>
      </w:r>
      <w:r>
        <w:t xml:space="preserve">In some cases, the Department has already met with industry peak bodies to discuss </w:t>
      </w:r>
      <w:r w:rsidR="001C6A44">
        <w:t>matters</w:t>
      </w:r>
      <w:r>
        <w:t xml:space="preserve"> raised in submissions, and expects to meet with other peak bodies over time</w:t>
      </w:r>
      <w:r w:rsidR="00676D6C">
        <w:t xml:space="preserve"> to inform the development of advice to Government</w:t>
      </w:r>
      <w:r w:rsidR="009F4E43">
        <w:t>.</w:t>
      </w:r>
    </w:p>
    <w:p w14:paraId="5551C3AE" w14:textId="77777777" w:rsidR="009F4E43" w:rsidRDefault="00BD04A2" w:rsidP="003E4611">
      <w:r w:rsidRPr="00BD04A2">
        <w:t xml:space="preserve">The majority of submissions preferred changes to the framework to be included in primary or subordinate legislation rather than in an industry code. </w:t>
      </w:r>
      <w:r w:rsidR="00264798">
        <w:t xml:space="preserve">While it is </w:t>
      </w:r>
      <w:r w:rsidRPr="00BD04A2">
        <w:t>propose</w:t>
      </w:r>
      <w:r w:rsidR="00264798">
        <w:t>d</w:t>
      </w:r>
      <w:r w:rsidRPr="00BD04A2">
        <w:t xml:space="preserve"> that amendments be considered to the LIFD, the </w:t>
      </w:r>
      <w:r w:rsidRPr="009C0C12">
        <w:rPr>
          <w:i/>
        </w:rPr>
        <w:t>Telecommunications Code of Practice 2018</w:t>
      </w:r>
      <w:r w:rsidRPr="00BD04A2">
        <w:t xml:space="preserve"> </w:t>
      </w:r>
      <w:r w:rsidR="00DF14BA">
        <w:t xml:space="preserve">(the Code of Practice) </w:t>
      </w:r>
      <w:r w:rsidRPr="00BD04A2">
        <w:t xml:space="preserve">and Schedule 3 </w:t>
      </w:r>
      <w:r w:rsidR="00D13E49">
        <w:t>to</w:t>
      </w:r>
      <w:r w:rsidRPr="00BD04A2">
        <w:t xml:space="preserve"> the </w:t>
      </w:r>
      <w:r w:rsidRPr="009C0C12">
        <w:rPr>
          <w:i/>
        </w:rPr>
        <w:t>Telecommunications Act 1997</w:t>
      </w:r>
      <w:r w:rsidR="00DF14BA">
        <w:rPr>
          <w:i/>
        </w:rPr>
        <w:t xml:space="preserve"> </w:t>
      </w:r>
      <w:r w:rsidR="00DF14BA">
        <w:t>(Schedule 3)</w:t>
      </w:r>
      <w:r w:rsidR="00264798">
        <w:t>,</w:t>
      </w:r>
      <w:r w:rsidRPr="00BD04A2">
        <w:t xml:space="preserve"> </w:t>
      </w:r>
      <w:r w:rsidR="00264798">
        <w:t>t</w:t>
      </w:r>
      <w:r w:rsidR="0097381D">
        <w:t xml:space="preserve">he Government </w:t>
      </w:r>
      <w:r w:rsidR="00676D6C">
        <w:t xml:space="preserve">also </w:t>
      </w:r>
      <w:r w:rsidR="00264798">
        <w:t>recognise</w:t>
      </w:r>
      <w:r w:rsidR="00676D6C">
        <w:t>s</w:t>
      </w:r>
      <w:r w:rsidR="0097381D">
        <w:t xml:space="preserve"> that </w:t>
      </w:r>
      <w:r w:rsidR="0097381D">
        <w:lastRenderedPageBreak/>
        <w:t xml:space="preserve">benefits associated with some amendments </w:t>
      </w:r>
      <w:r w:rsidR="00D14B94">
        <w:t>can be realised earlier if implemented outside of the regulatory framework</w:t>
      </w:r>
      <w:r w:rsidR="009F4E43">
        <w:t>.</w:t>
      </w:r>
    </w:p>
    <w:p w14:paraId="17E8A89F" w14:textId="77777777" w:rsidR="009F4E43" w:rsidRDefault="00D14B94" w:rsidP="003E4611">
      <w:r>
        <w:t>For example, implementing a standard notice for use across industry would require amendment to Schedule 3 which is a lengthy process. However, developing a standard notice and making the template available for use in the short term would demonstrate what the Government expects best practice to look like</w:t>
      </w:r>
      <w:r w:rsidR="009F4E43">
        <w:t>.</w:t>
      </w:r>
    </w:p>
    <w:p w14:paraId="078208F4" w14:textId="790C3381" w:rsidR="009F4E43" w:rsidRDefault="00F02A62" w:rsidP="003E4611">
      <w:r>
        <w:t>A</w:t>
      </w:r>
      <w:r w:rsidR="00BD04A2" w:rsidRPr="00BD04A2">
        <w:t xml:space="preserve">mendments </w:t>
      </w:r>
      <w:r w:rsidR="00264798">
        <w:t xml:space="preserve">relating to the proposals from the </w:t>
      </w:r>
      <w:r w:rsidR="0089643D">
        <w:t xml:space="preserve">September 2020 </w:t>
      </w:r>
      <w:r w:rsidR="00264798">
        <w:t xml:space="preserve">consultation paper </w:t>
      </w:r>
      <w:r w:rsidR="00BD04A2" w:rsidRPr="00BD04A2">
        <w:t>have been separated into two categories</w:t>
      </w:r>
      <w:r w:rsidR="00264798">
        <w:t xml:space="preserve"> and subsequent</w:t>
      </w:r>
      <w:r w:rsidR="000B7FA6">
        <w:t xml:space="preserve"> proposed</w:t>
      </w:r>
      <w:r w:rsidR="00264798">
        <w:t xml:space="preserve"> work plans</w:t>
      </w:r>
      <w:r w:rsidR="0089643D">
        <w:t>, for further consultation</w:t>
      </w:r>
      <w:r w:rsidR="00BD04A2" w:rsidRPr="00BD04A2">
        <w:t>:</w:t>
      </w:r>
    </w:p>
    <w:p w14:paraId="2779FECF" w14:textId="5FE9776D" w:rsidR="009F4E43" w:rsidRPr="009F4E43" w:rsidRDefault="00BD04A2" w:rsidP="009F4E43">
      <w:pPr>
        <w:pStyle w:val="Listparagraphbullets"/>
        <w:numPr>
          <w:ilvl w:val="0"/>
          <w:numId w:val="46"/>
        </w:numPr>
        <w:ind w:left="567" w:hanging="567"/>
      </w:pPr>
      <w:r w:rsidRPr="009F4E43">
        <w:t>amendments that can proceed quickly</w:t>
      </w:r>
      <w:r w:rsidR="009474BE">
        <w:t>, subject to the outcomes of consultation on exposure draft instruments,</w:t>
      </w:r>
      <w:r w:rsidRPr="009F4E43">
        <w:t xml:space="preserve"> </w:t>
      </w:r>
      <w:r w:rsidR="00F44C01" w:rsidRPr="009F4E43">
        <w:t xml:space="preserve">as they </w:t>
      </w:r>
      <w:r w:rsidR="00A33E4C">
        <w:t>would be</w:t>
      </w:r>
      <w:r w:rsidR="00A33E4C" w:rsidRPr="009F4E43">
        <w:t xml:space="preserve"> </w:t>
      </w:r>
      <w:r w:rsidR="00F44C01" w:rsidRPr="009F4E43">
        <w:t>simple to implement</w:t>
      </w:r>
      <w:r w:rsidRPr="009F4E43">
        <w:t xml:space="preserve"> (Tranche One), and</w:t>
      </w:r>
    </w:p>
    <w:p w14:paraId="446C7097" w14:textId="17F4EAC0" w:rsidR="009F4E43" w:rsidRPr="009F4E43" w:rsidRDefault="00BD04A2" w:rsidP="009F4E43">
      <w:pPr>
        <w:pStyle w:val="Listparagraphbullets"/>
        <w:numPr>
          <w:ilvl w:val="0"/>
          <w:numId w:val="46"/>
        </w:numPr>
        <w:ind w:left="567" w:hanging="567"/>
      </w:pPr>
      <w:r w:rsidRPr="009F4E43">
        <w:t xml:space="preserve">amendments </w:t>
      </w:r>
      <w:r w:rsidR="00A33E4C">
        <w:t xml:space="preserve">which would </w:t>
      </w:r>
      <w:r w:rsidR="007138DF" w:rsidRPr="009F4E43">
        <w:t>requir</w:t>
      </w:r>
      <w:r w:rsidR="007138DF">
        <w:t>e</w:t>
      </w:r>
      <w:r w:rsidR="007138DF" w:rsidRPr="009F4E43">
        <w:t xml:space="preserve"> further</w:t>
      </w:r>
      <w:r w:rsidRPr="009F4E43">
        <w:t xml:space="preserve"> policy consideration before implementation (Tranche Two)</w:t>
      </w:r>
      <w:r w:rsidR="009F4E43" w:rsidRPr="009F4E43">
        <w:t>.</w:t>
      </w:r>
    </w:p>
    <w:p w14:paraId="4DB736B7" w14:textId="29DE887D" w:rsidR="00404385" w:rsidRDefault="0089643D" w:rsidP="007B355A">
      <w:r>
        <w:t>Further consultation on b</w:t>
      </w:r>
      <w:r w:rsidR="00BD04A2">
        <w:t>oth tranches of work will commence in Quarter 1, 2021 and will have different completion milestones.</w:t>
      </w:r>
      <w:r w:rsidR="009F4E43">
        <w:t xml:space="preserve"> </w:t>
      </w:r>
      <w:r w:rsidR="00BD04A2">
        <w:t xml:space="preserve">A </w:t>
      </w:r>
      <w:r w:rsidR="00674519">
        <w:t xml:space="preserve">proposed </w:t>
      </w:r>
      <w:r w:rsidR="00BD04A2">
        <w:t xml:space="preserve">high-level work plan </w:t>
      </w:r>
      <w:r w:rsidR="00967507">
        <w:t xml:space="preserve">of Tranches One and Two </w:t>
      </w:r>
      <w:r w:rsidR="00BD04A2">
        <w:t>is provided in the section ‘Next steps and conclusion’.</w:t>
      </w:r>
      <w:bookmarkStart w:id="10" w:name="_Toc45706766"/>
      <w:bookmarkStart w:id="11" w:name="_Toc45707797"/>
      <w:bookmarkStart w:id="12" w:name="_Toc45709044"/>
      <w:bookmarkStart w:id="13" w:name="_Toc45709616"/>
      <w:bookmarkStart w:id="14" w:name="_Toc45712976"/>
      <w:bookmarkStart w:id="15" w:name="_Toc45712967"/>
      <w:bookmarkStart w:id="16" w:name="_Toc45713015"/>
      <w:bookmarkStart w:id="17" w:name="_Toc45713728"/>
      <w:bookmarkStart w:id="18" w:name="_Toc45713887"/>
      <w:bookmarkStart w:id="19" w:name="_Toc45713007"/>
      <w:bookmarkStart w:id="20" w:name="_Toc45713159"/>
      <w:bookmarkStart w:id="21" w:name="_Toc45713767"/>
      <w:bookmarkStart w:id="22" w:name="_Toc45713926"/>
      <w:bookmarkStart w:id="23" w:name="_Toc45713965"/>
      <w:bookmarkStart w:id="24" w:name="_Toc45714004"/>
      <w:bookmarkStart w:id="25" w:name="_Toc45706772"/>
      <w:bookmarkStart w:id="26" w:name="_Toc45707803"/>
      <w:bookmarkStart w:id="27" w:name="_Toc45709050"/>
      <w:bookmarkStart w:id="28" w:name="_Toc45709622"/>
      <w:bookmarkStart w:id="29" w:name="_Toc45713734"/>
      <w:bookmarkStart w:id="30" w:name="_Toc45713893"/>
      <w:bookmarkStart w:id="31" w:name="_Toc45713165"/>
      <w:bookmarkStart w:id="32" w:name="_Toc45713773"/>
      <w:bookmarkStart w:id="33" w:name="_Toc45713932"/>
      <w:bookmarkStart w:id="34" w:name="_Toc45713971"/>
      <w:bookmarkStart w:id="35" w:name="_Toc45714010"/>
      <w:bookmarkStart w:id="36" w:name="_Toc45545584"/>
      <w:bookmarkStart w:id="37" w:name="_Toc45642083"/>
      <w:bookmarkStart w:id="38" w:name="_Toc45649099"/>
      <w:bookmarkStart w:id="39" w:name="_Toc45713977"/>
      <w:bookmarkStart w:id="40" w:name="_Toc47090203"/>
      <w:bookmarkStart w:id="41" w:name="_Toc58424246"/>
      <w:bookmarkStart w:id="42" w:name="_Toc58492173"/>
      <w:bookmarkStart w:id="43" w:name="_Toc58505223"/>
      <w:bookmarkStart w:id="44" w:name="_Toc6247578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DBB2C3F" w14:textId="18201663" w:rsidR="00BF78EB" w:rsidRDefault="00BF78EB" w:rsidP="007B355A">
      <w:pPr>
        <w:pStyle w:val="Heading2"/>
        <w:numPr>
          <w:ilvl w:val="0"/>
          <w:numId w:val="43"/>
        </w:numPr>
      </w:pPr>
      <w:r>
        <w:t>Safety and notification</w:t>
      </w:r>
      <w:bookmarkEnd w:id="36"/>
      <w:bookmarkEnd w:id="37"/>
      <w:bookmarkEnd w:id="38"/>
      <w:bookmarkEnd w:id="39"/>
      <w:bookmarkEnd w:id="40"/>
      <w:bookmarkEnd w:id="41"/>
      <w:bookmarkEnd w:id="42"/>
      <w:bookmarkEnd w:id="43"/>
      <w:bookmarkEnd w:id="44"/>
    </w:p>
    <w:p w14:paraId="3C6A30BC" w14:textId="3AFFF15F" w:rsidR="00BF78EB" w:rsidRDefault="005F6830" w:rsidP="00204FAC">
      <w:pPr>
        <w:pStyle w:val="Heading3"/>
        <w:numPr>
          <w:ilvl w:val="0"/>
          <w:numId w:val="1"/>
        </w:numPr>
      </w:pPr>
      <w:bookmarkStart w:id="45" w:name="_Toc45545585"/>
      <w:bookmarkStart w:id="46" w:name="_Toc45642084"/>
      <w:bookmarkStart w:id="47" w:name="_Toc45649100"/>
      <w:bookmarkStart w:id="48" w:name="_Toc45713978"/>
      <w:bookmarkStart w:id="49" w:name="_Toc47090204"/>
      <w:bookmarkStart w:id="50" w:name="_Toc58424247"/>
      <w:bookmarkStart w:id="51" w:name="_Toc58492174"/>
      <w:bookmarkStart w:id="52" w:name="_Toc58505224"/>
      <w:bookmarkStart w:id="53" w:name="_Toc62475789"/>
      <w:r>
        <w:t>Creation of a primary safety condition</w:t>
      </w:r>
      <w:bookmarkEnd w:id="45"/>
      <w:bookmarkEnd w:id="46"/>
      <w:bookmarkEnd w:id="47"/>
      <w:bookmarkEnd w:id="48"/>
      <w:bookmarkEnd w:id="49"/>
      <w:bookmarkEnd w:id="50"/>
      <w:bookmarkEnd w:id="51"/>
      <w:bookmarkEnd w:id="52"/>
      <w:bookmarkEnd w:id="53"/>
    </w:p>
    <w:p w14:paraId="15439D96" w14:textId="77777777" w:rsidR="00971A21" w:rsidRDefault="00971A21" w:rsidP="00F23567">
      <w:pPr>
        <w:pStyle w:val="Heading4"/>
      </w:pPr>
      <w:bookmarkStart w:id="54" w:name="_Toc58424248"/>
      <w:bookmarkStart w:id="55" w:name="_Toc58492175"/>
      <w:r>
        <w:t>Aim of Proposal</w:t>
      </w:r>
      <w:bookmarkEnd w:id="54"/>
      <w:bookmarkEnd w:id="55"/>
    </w:p>
    <w:p w14:paraId="1578E3A1" w14:textId="77777777" w:rsidR="009F4E43" w:rsidRDefault="005F7914" w:rsidP="00971A21">
      <w:r>
        <w:t xml:space="preserve">Landowners have previously </w:t>
      </w:r>
      <w:r w:rsidR="00BC051F">
        <w:t>argued</w:t>
      </w:r>
      <w:r w:rsidR="00D74192">
        <w:t xml:space="preserve"> </w:t>
      </w:r>
      <w:r w:rsidR="00971A21">
        <w:t>conditions</w:t>
      </w:r>
      <w:r>
        <w:t xml:space="preserve"> that inform the way carriers are to safely undertake proposed activities</w:t>
      </w:r>
      <w:r w:rsidR="00971A21">
        <w:t xml:space="preserve"> are spread across </w:t>
      </w:r>
      <w:r w:rsidR="00264798">
        <w:t xml:space="preserve">three different pieces of legislation </w:t>
      </w:r>
      <w:r w:rsidR="00971A21">
        <w:t xml:space="preserve">in a </w:t>
      </w:r>
      <w:r w:rsidR="009704C1">
        <w:t>manner</w:t>
      </w:r>
      <w:r w:rsidR="00971A21">
        <w:t xml:space="preserve"> which is confusing for parties unfamiliar with the legislation</w:t>
      </w:r>
      <w:r w:rsidR="00DF14BA">
        <w:t xml:space="preserve"> supporting the framework</w:t>
      </w:r>
      <w:r w:rsidR="00971A21">
        <w:t xml:space="preserve">. </w:t>
      </w:r>
      <w:r w:rsidR="00BC051F">
        <w:t>The</w:t>
      </w:r>
      <w:r w:rsidR="005D4FF4">
        <w:t> </w:t>
      </w:r>
      <w:r w:rsidR="00BC051F">
        <w:t xml:space="preserve">consultation paper </w:t>
      </w:r>
      <w:r w:rsidR="00DF14BA">
        <w:t xml:space="preserve">proposed the inclusion of </w:t>
      </w:r>
      <w:r w:rsidR="00971A21">
        <w:t xml:space="preserve">a </w:t>
      </w:r>
      <w:r>
        <w:t>‘</w:t>
      </w:r>
      <w:r w:rsidR="00971A21">
        <w:t>primary safety condition</w:t>
      </w:r>
      <w:r>
        <w:t>’</w:t>
      </w:r>
      <w:r w:rsidR="00971A21">
        <w:t xml:space="preserve"> </w:t>
      </w:r>
      <w:r w:rsidR="00DF14BA">
        <w:t xml:space="preserve">that </w:t>
      </w:r>
      <w:r w:rsidR="00264798">
        <w:t xml:space="preserve">would have </w:t>
      </w:r>
      <w:r>
        <w:t xml:space="preserve">the effect of </w:t>
      </w:r>
      <w:r w:rsidR="00DF50BC">
        <w:t>draw</w:t>
      </w:r>
      <w:r>
        <w:t>ing</w:t>
      </w:r>
      <w:r w:rsidR="00DF50BC">
        <w:t xml:space="preserve"> together </w:t>
      </w:r>
      <w:r w:rsidR="00971A21">
        <w:t xml:space="preserve">all existing </w:t>
      </w:r>
      <w:r w:rsidR="00DF50BC">
        <w:t xml:space="preserve">conditions that carriers must comply with </w:t>
      </w:r>
      <w:r w:rsidR="00DF14BA">
        <w:t xml:space="preserve">when using their powers and immunities </w:t>
      </w:r>
      <w:r w:rsidR="00971A21">
        <w:t>into one central</w:t>
      </w:r>
      <w:r w:rsidR="00DF14BA">
        <w:t>ised</w:t>
      </w:r>
      <w:r w:rsidR="00971A21">
        <w:t xml:space="preserve"> </w:t>
      </w:r>
      <w:r w:rsidR="00DF14BA">
        <w:t>Part to the Code of Practice</w:t>
      </w:r>
      <w:r w:rsidR="00971A21">
        <w:t xml:space="preserve">. The proposal </w:t>
      </w:r>
      <w:r w:rsidR="00BC051F">
        <w:t>would</w:t>
      </w:r>
      <w:r w:rsidR="00971A21">
        <w:t xml:space="preserve"> not expand existing conditions</w:t>
      </w:r>
      <w:r w:rsidR="00330BA6">
        <w:t xml:space="preserve">, nor </w:t>
      </w:r>
      <w:r w:rsidR="00CD4DE2">
        <w:t>establish</w:t>
      </w:r>
      <w:r w:rsidR="00330BA6">
        <w:t xml:space="preserve"> new grounds of objection</w:t>
      </w:r>
      <w:r w:rsidR="00CD4DE2">
        <w:t xml:space="preserve"> relating to safety concerns</w:t>
      </w:r>
      <w:r w:rsidR="009F4E43">
        <w:t>.</w:t>
      </w:r>
    </w:p>
    <w:p w14:paraId="12FF8A72" w14:textId="0F283B55" w:rsidR="00971A21" w:rsidRDefault="00971A21" w:rsidP="00F23567">
      <w:pPr>
        <w:pStyle w:val="Heading4"/>
      </w:pPr>
      <w:bookmarkStart w:id="56" w:name="_Toc58424249"/>
      <w:bookmarkStart w:id="57" w:name="_Toc58492176"/>
      <w:r>
        <w:t>What you told us</w:t>
      </w:r>
      <w:bookmarkEnd w:id="56"/>
      <w:bookmarkEnd w:id="57"/>
    </w:p>
    <w:p w14:paraId="700090EF" w14:textId="77777777" w:rsidR="009F4E43" w:rsidRPr="009F4E43" w:rsidRDefault="002B66A0" w:rsidP="009F4E43">
      <w:pPr>
        <w:pStyle w:val="Listparagraphbullets"/>
      </w:pPr>
      <w:r w:rsidRPr="009F4E43">
        <w:t>L</w:t>
      </w:r>
      <w:r w:rsidR="00971A21" w:rsidRPr="009F4E43">
        <w:t xml:space="preserve">andowners </w:t>
      </w:r>
      <w:r w:rsidR="00330BA6" w:rsidRPr="009F4E43">
        <w:t>informed us that the existing safety obligations and requirements placed on carriers are not clearly described, and many are left frustrated when interpreting the current framework</w:t>
      </w:r>
      <w:r w:rsidR="009F4E43" w:rsidRPr="009F4E43">
        <w:t>.</w:t>
      </w:r>
    </w:p>
    <w:p w14:paraId="03D62F36" w14:textId="77777777" w:rsidR="009F4E43" w:rsidRPr="009F4E43" w:rsidRDefault="002B66A0" w:rsidP="009F4E43">
      <w:pPr>
        <w:pStyle w:val="Listparagraphbullets"/>
      </w:pPr>
      <w:r w:rsidRPr="009F4E43">
        <w:t>C</w:t>
      </w:r>
      <w:r w:rsidR="00330BA6" w:rsidRPr="009F4E43">
        <w:t>arriers believe</w:t>
      </w:r>
      <w:r w:rsidR="00D13E49" w:rsidRPr="009F4E43">
        <w:t>d</w:t>
      </w:r>
      <w:r w:rsidR="00330BA6" w:rsidRPr="009F4E43">
        <w:t xml:space="preserve"> that existing safety requirements are fit-for-purpose and do not require amendment</w:t>
      </w:r>
      <w:r w:rsidR="009F4E43" w:rsidRPr="009F4E43">
        <w:t>.</w:t>
      </w:r>
    </w:p>
    <w:p w14:paraId="3AF78367" w14:textId="77777777" w:rsidR="009F4E43" w:rsidRPr="009F4E43" w:rsidRDefault="00330BA6" w:rsidP="009F4E43">
      <w:pPr>
        <w:pStyle w:val="Listparagraphbullets"/>
      </w:pPr>
      <w:r w:rsidRPr="009F4E43">
        <w:t xml:space="preserve">Some specific </w:t>
      </w:r>
      <w:r w:rsidR="00BC051F" w:rsidRPr="009F4E43">
        <w:t xml:space="preserve">industry sectors </w:t>
      </w:r>
      <w:r w:rsidRPr="009F4E43">
        <w:t xml:space="preserve">also expressed a desire to expand the existing safety conditions to include reference to their own </w:t>
      </w:r>
      <w:r w:rsidR="004641CB" w:rsidRPr="009F4E43">
        <w:t>industry requirements and standards</w:t>
      </w:r>
      <w:r w:rsidR="009F4E43" w:rsidRPr="009F4E43">
        <w:t>.</w:t>
      </w:r>
    </w:p>
    <w:p w14:paraId="14EDC6FD" w14:textId="4ADDD314" w:rsidR="00971A21" w:rsidRDefault="00971A21" w:rsidP="00F23567">
      <w:pPr>
        <w:pStyle w:val="Heading4"/>
      </w:pPr>
      <w:bookmarkStart w:id="58" w:name="_Toc58424250"/>
      <w:bookmarkStart w:id="59" w:name="_Toc58492177"/>
      <w:r>
        <w:t xml:space="preserve">Addressing </w:t>
      </w:r>
      <w:r w:rsidR="00330BA6">
        <w:t>your responses</w:t>
      </w:r>
      <w:bookmarkEnd w:id="58"/>
      <w:bookmarkEnd w:id="59"/>
    </w:p>
    <w:p w14:paraId="3FAC81AE" w14:textId="77777777" w:rsidR="009F4E43" w:rsidRDefault="0061682A" w:rsidP="009F4E43">
      <w:pPr>
        <w:pStyle w:val="Listparagraphbullets"/>
      </w:pPr>
      <w:r>
        <w:t xml:space="preserve">The </w:t>
      </w:r>
      <w:r w:rsidR="00676D6C">
        <w:t>Government is proposing</w:t>
      </w:r>
      <w:r w:rsidR="00264798">
        <w:t xml:space="preserve"> changes to </w:t>
      </w:r>
      <w:r w:rsidR="00DF14BA">
        <w:t>the Code of Practice to more clearly represent and reinforce the requirements</w:t>
      </w:r>
      <w:r>
        <w:t xml:space="preserve"> carriers </w:t>
      </w:r>
      <w:r w:rsidR="005F7914">
        <w:t xml:space="preserve">must </w:t>
      </w:r>
      <w:r>
        <w:t>comply with when undertaking activities under Schedule 3</w:t>
      </w:r>
      <w:r w:rsidR="009F4E43">
        <w:t>.</w:t>
      </w:r>
    </w:p>
    <w:p w14:paraId="100A07CC" w14:textId="157EE1E3" w:rsidR="00971A21" w:rsidRPr="00971A21" w:rsidRDefault="00971A21" w:rsidP="00F23567">
      <w:pPr>
        <w:pStyle w:val="Heading4"/>
      </w:pPr>
      <w:bookmarkStart w:id="60" w:name="_Toc58492178"/>
      <w:r>
        <w:lastRenderedPageBreak/>
        <w:t>Next steps</w:t>
      </w:r>
      <w:bookmarkEnd w:id="60"/>
    </w:p>
    <w:p w14:paraId="26C76BAF" w14:textId="4772560F" w:rsidR="00D455E5" w:rsidRDefault="005D4FF4" w:rsidP="009F4E43">
      <w:pPr>
        <w:keepLines/>
      </w:pPr>
      <w:r>
        <w:t xml:space="preserve">The Government </w:t>
      </w:r>
      <w:r w:rsidR="00DF14BA">
        <w:t xml:space="preserve">will </w:t>
      </w:r>
      <w:r w:rsidR="00741226">
        <w:t xml:space="preserve">seek comments on a proposal to </w:t>
      </w:r>
      <w:r w:rsidR="007D5EA5">
        <w:t>amend</w:t>
      </w:r>
      <w:r w:rsidR="00DF14BA">
        <w:t xml:space="preserve"> the </w:t>
      </w:r>
      <w:r w:rsidR="007D5EA5">
        <w:t>Code of Practice</w:t>
      </w:r>
      <w:r w:rsidR="002D54FE">
        <w:t xml:space="preserve"> </w:t>
      </w:r>
      <w:r w:rsidR="00264798">
        <w:t xml:space="preserve">to </w:t>
      </w:r>
      <w:r w:rsidR="009474BE">
        <w:t xml:space="preserve">create a primary safety condition, as part of </w:t>
      </w:r>
      <w:r w:rsidR="002D54FE">
        <w:t xml:space="preserve"> Tranche One of the reforms. </w:t>
      </w:r>
      <w:r w:rsidR="00264798">
        <w:t xml:space="preserve">The exposure draft of the amended Code of Practice will be released for consultation. </w:t>
      </w:r>
      <w:r w:rsidR="002D54FE">
        <w:t>Further information about Tranche One is set out in the section ‘Next steps and conclusion’.</w:t>
      </w:r>
    </w:p>
    <w:p w14:paraId="6191BF56" w14:textId="05833E59" w:rsidR="005F6830" w:rsidRDefault="005F6830" w:rsidP="00204FAC">
      <w:pPr>
        <w:pStyle w:val="Heading3"/>
        <w:numPr>
          <w:ilvl w:val="0"/>
          <w:numId w:val="1"/>
        </w:numPr>
      </w:pPr>
      <w:bookmarkStart w:id="61" w:name="_Toc45545586"/>
      <w:bookmarkStart w:id="62" w:name="_Toc45642085"/>
      <w:bookmarkStart w:id="63" w:name="_Toc45649101"/>
      <w:bookmarkStart w:id="64" w:name="_Toc45713979"/>
      <w:bookmarkStart w:id="65" w:name="_Toc47090208"/>
      <w:bookmarkStart w:id="66" w:name="_Toc58424252"/>
      <w:bookmarkStart w:id="67" w:name="_Toc58492179"/>
      <w:bookmarkStart w:id="68" w:name="_Toc58505225"/>
      <w:bookmarkStart w:id="69" w:name="_Toc62475790"/>
      <w:r>
        <w:t>Standard notifications across industry</w:t>
      </w:r>
      <w:bookmarkEnd w:id="61"/>
      <w:bookmarkEnd w:id="62"/>
      <w:bookmarkEnd w:id="63"/>
      <w:bookmarkEnd w:id="64"/>
      <w:bookmarkEnd w:id="65"/>
      <w:bookmarkEnd w:id="66"/>
      <w:bookmarkEnd w:id="67"/>
      <w:bookmarkEnd w:id="68"/>
      <w:bookmarkEnd w:id="69"/>
    </w:p>
    <w:p w14:paraId="02454ECF" w14:textId="77777777" w:rsidR="00BD1DE5" w:rsidRDefault="00BD1DE5" w:rsidP="00F23567">
      <w:pPr>
        <w:pStyle w:val="Heading4"/>
      </w:pPr>
      <w:bookmarkStart w:id="70" w:name="_Toc58424253"/>
      <w:bookmarkStart w:id="71" w:name="_Toc58492180"/>
      <w:r>
        <w:t>Aim of Proposal</w:t>
      </w:r>
      <w:bookmarkEnd w:id="70"/>
      <w:bookmarkEnd w:id="71"/>
    </w:p>
    <w:p w14:paraId="0BAADE0B" w14:textId="77777777" w:rsidR="009F4E43" w:rsidRDefault="002D54FE" w:rsidP="00BD1DE5">
      <w:r>
        <w:t xml:space="preserve">Notices </w:t>
      </w:r>
      <w:r w:rsidR="00A25E58">
        <w:t xml:space="preserve">given by carriers seeking to undertake an activity authorised by Schedule 3 </w:t>
      </w:r>
      <w:r>
        <w:t xml:space="preserve">that are of </w:t>
      </w:r>
      <w:r w:rsidR="00BD1DE5">
        <w:t>high</w:t>
      </w:r>
      <w:r w:rsidR="00366720">
        <w:noBreakHyphen/>
      </w:r>
      <w:r w:rsidR="00BD1DE5">
        <w:t xml:space="preserve">quality and </w:t>
      </w:r>
      <w:r>
        <w:t xml:space="preserve">include </w:t>
      </w:r>
      <w:r w:rsidR="00BD1DE5">
        <w:t xml:space="preserve">timely </w:t>
      </w:r>
      <w:r>
        <w:t xml:space="preserve">and accurate </w:t>
      </w:r>
      <w:r w:rsidR="00BD1DE5">
        <w:t xml:space="preserve">information </w:t>
      </w:r>
      <w:r w:rsidR="00676D6C">
        <w:t xml:space="preserve">are </w:t>
      </w:r>
      <w:r w:rsidR="00BD1DE5">
        <w:t>a</w:t>
      </w:r>
      <w:r>
        <w:t>n integral</w:t>
      </w:r>
      <w:r w:rsidR="00BD1DE5">
        <w:t xml:space="preserve"> </w:t>
      </w:r>
      <w:r w:rsidR="00676D6C">
        <w:t>element</w:t>
      </w:r>
      <w:r w:rsidR="00BD1DE5">
        <w:t xml:space="preserve"> of the powers and immunities framework. </w:t>
      </w:r>
      <w:r w:rsidR="00BC051F">
        <w:t>It was proposed to introduce s</w:t>
      </w:r>
      <w:r w:rsidR="00BD1DE5">
        <w:t>tandard</w:t>
      </w:r>
      <w:r w:rsidR="009704C1">
        <w:t xml:space="preserve"> </w:t>
      </w:r>
      <w:r w:rsidR="00BD1DE5">
        <w:t xml:space="preserve">notices </w:t>
      </w:r>
      <w:r w:rsidR="00BC051F">
        <w:t>for carriers to use that would have the benefit of</w:t>
      </w:r>
      <w:r w:rsidR="00BD1DE5">
        <w:t xml:space="preserve"> help</w:t>
      </w:r>
      <w:r w:rsidR="00BC051F">
        <w:t>ing</w:t>
      </w:r>
      <w:r w:rsidR="00BD1DE5">
        <w:t xml:space="preserve"> landowners </w:t>
      </w:r>
      <w:r w:rsidR="00A25E58">
        <w:t xml:space="preserve">better </w:t>
      </w:r>
      <w:r w:rsidR="00BD1DE5">
        <w:t xml:space="preserve">understand what works are </w:t>
      </w:r>
      <w:r w:rsidR="00B02605">
        <w:t>being proposed by carriers</w:t>
      </w:r>
      <w:r w:rsidR="00A25E58">
        <w:t xml:space="preserve"> on their land</w:t>
      </w:r>
      <w:r w:rsidR="00BD1DE5">
        <w:t xml:space="preserve">, </w:t>
      </w:r>
      <w:r w:rsidR="00876BF8">
        <w:t>as well as</w:t>
      </w:r>
      <w:r w:rsidR="00A25E58">
        <w:t xml:space="preserve"> </w:t>
      </w:r>
      <w:r w:rsidR="00BD1DE5">
        <w:t xml:space="preserve">facilitate </w:t>
      </w:r>
      <w:r w:rsidR="00A25E58">
        <w:t>better engagement between carriers and landowners regarding</w:t>
      </w:r>
      <w:r w:rsidR="009704C1">
        <w:t xml:space="preserve"> proposed works</w:t>
      </w:r>
      <w:r w:rsidR="009F4E43">
        <w:t>.</w:t>
      </w:r>
    </w:p>
    <w:p w14:paraId="1C72B35C" w14:textId="369BA237" w:rsidR="00BD1DE5" w:rsidRDefault="00BD1DE5" w:rsidP="00F23567">
      <w:pPr>
        <w:pStyle w:val="Heading4"/>
      </w:pPr>
      <w:bookmarkStart w:id="72" w:name="_Toc58424254"/>
      <w:bookmarkStart w:id="73" w:name="_Toc58492181"/>
      <w:r>
        <w:t>What you told us</w:t>
      </w:r>
      <w:bookmarkEnd w:id="72"/>
      <w:bookmarkEnd w:id="73"/>
    </w:p>
    <w:p w14:paraId="201D9310" w14:textId="1E544599" w:rsidR="002B66A0" w:rsidRDefault="00BD1DE5" w:rsidP="009F4E43">
      <w:pPr>
        <w:pStyle w:val="Listparagraphbullets"/>
      </w:pPr>
      <w:r>
        <w:t xml:space="preserve">Landowners expressed a strong desire for notices to be standardised. Many landowners </w:t>
      </w:r>
      <w:r w:rsidR="00A25E58">
        <w:t>included</w:t>
      </w:r>
      <w:r>
        <w:t xml:space="preserve"> extensive examples of poor quality </w:t>
      </w:r>
      <w:r w:rsidR="002B66A0">
        <w:t>notices being received</w:t>
      </w:r>
      <w:r w:rsidR="00A25E58">
        <w:t xml:space="preserve"> in their submissions</w:t>
      </w:r>
      <w:r w:rsidR="002B66A0">
        <w:t>.</w:t>
      </w:r>
    </w:p>
    <w:p w14:paraId="7D6C0D2B" w14:textId="1886EE14" w:rsidR="00BD1DE5" w:rsidRDefault="008E3015" w:rsidP="009F4E43">
      <w:pPr>
        <w:pStyle w:val="Listparagraphbullets"/>
      </w:pPr>
      <w:r>
        <w:t xml:space="preserve">Some carriers raised concerns that </w:t>
      </w:r>
      <w:r w:rsidR="009704C1">
        <w:t>transferring</w:t>
      </w:r>
      <w:r>
        <w:t xml:space="preserve"> to a </w:t>
      </w:r>
      <w:r w:rsidR="00A25E58">
        <w:t xml:space="preserve">standardised </w:t>
      </w:r>
      <w:r>
        <w:t xml:space="preserve">notice will </w:t>
      </w:r>
      <w:r w:rsidR="00A25E58">
        <w:t xml:space="preserve">impose </w:t>
      </w:r>
      <w:r>
        <w:t>administrative and cost burdens</w:t>
      </w:r>
      <w:r w:rsidR="00A25E58">
        <w:t xml:space="preserve"> as they would need to reconfigure online systems to implement a new notice template.</w:t>
      </w:r>
    </w:p>
    <w:p w14:paraId="76FDF719" w14:textId="6F0DBF2D" w:rsidR="00BD1DE5" w:rsidRDefault="00BD1DE5" w:rsidP="00F23567">
      <w:pPr>
        <w:pStyle w:val="Heading4"/>
      </w:pPr>
      <w:bookmarkStart w:id="74" w:name="_Toc58424255"/>
      <w:bookmarkStart w:id="75" w:name="_Toc58492182"/>
      <w:r>
        <w:t>Addressing your responses</w:t>
      </w:r>
      <w:bookmarkEnd w:id="74"/>
      <w:bookmarkEnd w:id="75"/>
    </w:p>
    <w:p w14:paraId="11C592E2" w14:textId="4CA24843" w:rsidR="00F02A62" w:rsidRDefault="00D2654D" w:rsidP="009F4E43">
      <w:pPr>
        <w:pStyle w:val="Listparagraphbullets"/>
      </w:pPr>
      <w:r>
        <w:t>It is recognised</w:t>
      </w:r>
      <w:r w:rsidR="00876BF8">
        <w:t xml:space="preserve"> that,</w:t>
      </w:r>
      <w:r w:rsidR="00A25E58">
        <w:t xml:space="preserve"> in most cases, notices provided by carriers already include the majority of necessary information</w:t>
      </w:r>
      <w:r w:rsidR="00F02A62">
        <w:t xml:space="preserve"> prescribed in clause 17 of Schedule 3</w:t>
      </w:r>
      <w:r w:rsidR="00A25E58">
        <w:t xml:space="preserve">. </w:t>
      </w:r>
      <w:r w:rsidR="00F02A62">
        <w:t>To implement a standardised notice framework, Schedule 3 would need to be amended. This is a lengthy process and would mean that any immediate benefit from a standard notice could not be realised.</w:t>
      </w:r>
    </w:p>
    <w:p w14:paraId="426AE944" w14:textId="77777777" w:rsidR="009F4E43" w:rsidRDefault="00F02A62" w:rsidP="009F4E43">
      <w:pPr>
        <w:pStyle w:val="Listparagraphbullets"/>
      </w:pPr>
      <w:r>
        <w:t>T</w:t>
      </w:r>
      <w:r w:rsidR="00BC051F">
        <w:t xml:space="preserve">here </w:t>
      </w:r>
      <w:r w:rsidR="00676D6C">
        <w:t xml:space="preserve">would be </w:t>
      </w:r>
      <w:r w:rsidR="00BC051F">
        <w:t xml:space="preserve">benefit in </w:t>
      </w:r>
      <w:r w:rsidR="00876BF8">
        <w:t xml:space="preserve">implementing a standardised notice </w:t>
      </w:r>
      <w:r>
        <w:t xml:space="preserve">template outside of the regulatory framework </w:t>
      </w:r>
      <w:r w:rsidR="00876BF8">
        <w:t>to help improve operational relationships between carriers and landowners</w:t>
      </w:r>
      <w:r w:rsidR="009F4E43">
        <w:t>.</w:t>
      </w:r>
    </w:p>
    <w:p w14:paraId="47AD67C8" w14:textId="77777777" w:rsidR="009F4E43" w:rsidRDefault="00F02A62" w:rsidP="009F4E43">
      <w:pPr>
        <w:pStyle w:val="Listparagraphbullets"/>
      </w:pPr>
      <w:r>
        <w:t xml:space="preserve">Making a template notice available for use by carriers will clearly set out how the Government expects carriers to engage </w:t>
      </w:r>
      <w:r w:rsidR="00A20A17">
        <w:t>with</w:t>
      </w:r>
      <w:r>
        <w:t xml:space="preserve"> landowners</w:t>
      </w:r>
      <w:r w:rsidR="00A20A17">
        <w:t xml:space="preserve"> about the use of their powers and immunities</w:t>
      </w:r>
      <w:r>
        <w:t xml:space="preserve">. The template notice will be recognised as best practice </w:t>
      </w:r>
      <w:r w:rsidR="00A20A17">
        <w:t>in providing information about proposed activities to landowners and occupiers</w:t>
      </w:r>
      <w:r w:rsidR="009F4E43">
        <w:t>.</w:t>
      </w:r>
    </w:p>
    <w:p w14:paraId="214C1FA6" w14:textId="1A83A714" w:rsidR="00BD1DE5" w:rsidRPr="00971A21" w:rsidRDefault="00BD1DE5" w:rsidP="00F23567">
      <w:pPr>
        <w:pStyle w:val="Heading4"/>
      </w:pPr>
      <w:bookmarkStart w:id="76" w:name="_Toc58492183"/>
      <w:r>
        <w:t>Next steps</w:t>
      </w:r>
      <w:bookmarkEnd w:id="76"/>
    </w:p>
    <w:p w14:paraId="63CF0872" w14:textId="518EF512" w:rsidR="00E846EA" w:rsidRDefault="002A3EDC" w:rsidP="00BD04A2">
      <w:r>
        <w:t xml:space="preserve">The Government </w:t>
      </w:r>
      <w:r w:rsidR="00A20A17">
        <w:t xml:space="preserve">expects the standard notice template to be completed as part of the Tranche One reforms. The Department will work with </w:t>
      </w:r>
      <w:r w:rsidR="00366720">
        <w:t xml:space="preserve">the </w:t>
      </w:r>
      <w:r w:rsidR="00676D6C">
        <w:t xml:space="preserve">Australian Communications and Media Authority (ACMA) and the Telecommunications Industry Ombudsman (TIO) </w:t>
      </w:r>
      <w:r w:rsidR="00A20A17">
        <w:t xml:space="preserve">to develop a draft notice that will be consulted on with industry before being implemented. </w:t>
      </w:r>
      <w:r>
        <w:t>Further information about Tranche One is set out in the section ‘Next steps and conclusion’.</w:t>
      </w:r>
    </w:p>
    <w:p w14:paraId="791EF8D7" w14:textId="281DE336" w:rsidR="005F6830" w:rsidRDefault="005F6830" w:rsidP="00204FAC">
      <w:pPr>
        <w:pStyle w:val="Heading3"/>
        <w:numPr>
          <w:ilvl w:val="0"/>
          <w:numId w:val="1"/>
        </w:numPr>
      </w:pPr>
      <w:bookmarkStart w:id="77" w:name="_Toc45623682"/>
      <w:bookmarkStart w:id="78" w:name="_Toc45625670"/>
      <w:bookmarkStart w:id="79" w:name="_Toc45631016"/>
      <w:bookmarkStart w:id="80" w:name="_Toc45631384"/>
      <w:bookmarkStart w:id="81" w:name="_Toc45631412"/>
      <w:bookmarkStart w:id="82" w:name="_Toc45631833"/>
      <w:bookmarkStart w:id="83" w:name="_Toc45633578"/>
      <w:bookmarkStart w:id="84" w:name="_Toc45635246"/>
      <w:bookmarkStart w:id="85" w:name="_Toc45635446"/>
      <w:bookmarkStart w:id="86" w:name="_Toc45635474"/>
      <w:bookmarkStart w:id="87" w:name="_Toc45636774"/>
      <w:bookmarkStart w:id="88" w:name="_Toc45636853"/>
      <w:bookmarkStart w:id="89" w:name="_Toc45637234"/>
      <w:bookmarkStart w:id="90" w:name="_Toc45637338"/>
      <w:bookmarkStart w:id="91" w:name="_Toc45638659"/>
      <w:bookmarkStart w:id="92" w:name="_Toc45639087"/>
      <w:bookmarkStart w:id="93" w:name="_Toc45639118"/>
      <w:bookmarkStart w:id="94" w:name="_Toc45639622"/>
      <w:bookmarkStart w:id="95" w:name="_Toc45639931"/>
      <w:bookmarkStart w:id="96" w:name="_Toc45640039"/>
      <w:bookmarkStart w:id="97" w:name="_Toc45640075"/>
      <w:bookmarkStart w:id="98" w:name="_Toc45640554"/>
      <w:bookmarkStart w:id="99" w:name="_Toc45640671"/>
      <w:bookmarkStart w:id="100" w:name="_Toc45642086"/>
      <w:bookmarkStart w:id="101" w:name="_Toc45642449"/>
      <w:bookmarkStart w:id="102" w:name="_Toc45645772"/>
      <w:bookmarkStart w:id="103" w:name="_Toc45649102"/>
      <w:bookmarkStart w:id="104" w:name="_Toc45651230"/>
      <w:bookmarkStart w:id="105" w:name="_Toc45545587"/>
      <w:bookmarkStart w:id="106" w:name="_Toc45642087"/>
      <w:bookmarkStart w:id="107" w:name="_Toc45649103"/>
      <w:bookmarkStart w:id="108" w:name="_Toc45713980"/>
      <w:bookmarkStart w:id="109" w:name="_Toc47090212"/>
      <w:bookmarkStart w:id="110" w:name="_Toc58424257"/>
      <w:bookmarkStart w:id="111" w:name="_Toc58492184"/>
      <w:bookmarkStart w:id="112" w:name="_Toc58505226"/>
      <w:bookmarkStart w:id="113" w:name="_Toc6247579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lastRenderedPageBreak/>
        <w:t>Withdrawal of notifications</w:t>
      </w:r>
      <w:bookmarkEnd w:id="105"/>
      <w:bookmarkEnd w:id="106"/>
      <w:bookmarkEnd w:id="107"/>
      <w:bookmarkEnd w:id="108"/>
      <w:bookmarkEnd w:id="109"/>
      <w:bookmarkEnd w:id="110"/>
      <w:bookmarkEnd w:id="111"/>
      <w:bookmarkEnd w:id="112"/>
      <w:bookmarkEnd w:id="113"/>
    </w:p>
    <w:p w14:paraId="085D9284" w14:textId="77777777" w:rsidR="00776C40" w:rsidRDefault="00776C40" w:rsidP="00F23567">
      <w:pPr>
        <w:pStyle w:val="Heading4"/>
      </w:pPr>
      <w:bookmarkStart w:id="114" w:name="_Toc58424258"/>
      <w:bookmarkStart w:id="115" w:name="_Toc58492185"/>
      <w:r>
        <w:t>Aim of Proposal</w:t>
      </w:r>
      <w:bookmarkEnd w:id="114"/>
      <w:bookmarkEnd w:id="115"/>
    </w:p>
    <w:p w14:paraId="08CA7AB8" w14:textId="7254BC9D" w:rsidR="00776C40" w:rsidRDefault="00BA79F0" w:rsidP="00776C40">
      <w:r>
        <w:t>The consultation paper outlined a proposal that would require carriers</w:t>
      </w:r>
      <w:r w:rsidRPr="00776C40">
        <w:t xml:space="preserve"> to withdraw a notice when the proposed activity is cancelled or indefinitely delayed to provide certainty and transparency for landowners.</w:t>
      </w:r>
      <w:r>
        <w:t xml:space="preserve"> </w:t>
      </w:r>
      <w:r w:rsidR="00876BF8">
        <w:t>Currently, carriers are</w:t>
      </w:r>
      <w:r w:rsidR="00776C40">
        <w:t xml:space="preserve"> not require</w:t>
      </w:r>
      <w:r w:rsidR="00876BF8">
        <w:t>d</w:t>
      </w:r>
      <w:r w:rsidR="00776C40">
        <w:t xml:space="preserve"> </w:t>
      </w:r>
      <w:r w:rsidR="007E22E4">
        <w:t xml:space="preserve">to withdraw </w:t>
      </w:r>
      <w:r w:rsidR="00776C40">
        <w:t xml:space="preserve">notifications </w:t>
      </w:r>
      <w:r w:rsidR="007E22E4">
        <w:t xml:space="preserve">they give </w:t>
      </w:r>
      <w:r w:rsidR="00776C40">
        <w:t>to landowners</w:t>
      </w:r>
      <w:r>
        <w:t xml:space="preserve"> when proposed works do not proceed, and this can be a source of confusion and frustration with </w:t>
      </w:r>
      <w:r w:rsidR="00D2654D">
        <w:t xml:space="preserve">larger </w:t>
      </w:r>
      <w:r>
        <w:t>landowners</w:t>
      </w:r>
      <w:r w:rsidR="00D2654D">
        <w:t>, such as public utilities, local councils, road authorities or commercial property owners,</w:t>
      </w:r>
      <w:r>
        <w:t xml:space="preserve"> who may have undertaken their own preparation</w:t>
      </w:r>
      <w:r w:rsidR="00D2654D">
        <w:t>s</w:t>
      </w:r>
      <w:r>
        <w:t xml:space="preserve"> </w:t>
      </w:r>
      <w:r w:rsidR="00D2654D">
        <w:t>regarding the proposed works</w:t>
      </w:r>
      <w:r w:rsidR="00776C40">
        <w:t xml:space="preserve">. This proposal </w:t>
      </w:r>
      <w:r>
        <w:t>is intended to</w:t>
      </w:r>
      <w:r w:rsidR="00776C40">
        <w:t xml:space="preserve"> </w:t>
      </w:r>
      <w:r w:rsidRPr="00776C40">
        <w:t>encourag</w:t>
      </w:r>
      <w:r>
        <w:t>e</w:t>
      </w:r>
      <w:r w:rsidRPr="00776C40">
        <w:t xml:space="preserve"> </w:t>
      </w:r>
      <w:r w:rsidR="00776C40" w:rsidRPr="00776C40">
        <w:t xml:space="preserve">greater engagement </w:t>
      </w:r>
      <w:r w:rsidR="00A20A17">
        <w:t xml:space="preserve">from carriers </w:t>
      </w:r>
      <w:r w:rsidR="00776C40">
        <w:t>with</w:t>
      </w:r>
      <w:r w:rsidR="00776C40" w:rsidRPr="00776C40">
        <w:t xml:space="preserve"> </w:t>
      </w:r>
      <w:r>
        <w:t>land</w:t>
      </w:r>
      <w:r w:rsidR="00776C40" w:rsidRPr="00776C40">
        <w:t>owner</w:t>
      </w:r>
      <w:r w:rsidR="00776C40">
        <w:t>s</w:t>
      </w:r>
      <w:r w:rsidR="00776C40" w:rsidRPr="00776C40">
        <w:t>.</w:t>
      </w:r>
    </w:p>
    <w:p w14:paraId="5AD29120" w14:textId="77777777" w:rsidR="00776C40" w:rsidRDefault="00776C40" w:rsidP="00F23567">
      <w:pPr>
        <w:pStyle w:val="Heading4"/>
      </w:pPr>
      <w:bookmarkStart w:id="116" w:name="_Toc58424259"/>
      <w:bookmarkStart w:id="117" w:name="_Toc58492186"/>
      <w:r>
        <w:t>What you told us</w:t>
      </w:r>
      <w:bookmarkEnd w:id="116"/>
      <w:bookmarkEnd w:id="117"/>
    </w:p>
    <w:p w14:paraId="6D0AF847" w14:textId="77777777" w:rsidR="009F4E43" w:rsidRDefault="00BA79F0" w:rsidP="009F4E43">
      <w:pPr>
        <w:pStyle w:val="Listparagraphbullets"/>
      </w:pPr>
      <w:r>
        <w:t>In response to this proposal, l</w:t>
      </w:r>
      <w:r w:rsidR="00776C40">
        <w:t xml:space="preserve">andowners </w:t>
      </w:r>
      <w:r w:rsidR="00D35E2A">
        <w:t xml:space="preserve">provided examples of numerous </w:t>
      </w:r>
      <w:r w:rsidR="008C07F6">
        <w:t>problems</w:t>
      </w:r>
      <w:r w:rsidR="00D35E2A">
        <w:t xml:space="preserve"> </w:t>
      </w:r>
      <w:r w:rsidR="008C07F6">
        <w:t>arising</w:t>
      </w:r>
      <w:r w:rsidR="00D35E2A">
        <w:t xml:space="preserve"> due to the lack of a withdrawal requirement, including multiple notices </w:t>
      </w:r>
      <w:r w:rsidR="00A20A17">
        <w:t xml:space="preserve">being </w:t>
      </w:r>
      <w:r w:rsidR="00D35E2A">
        <w:t xml:space="preserve">issued for the same project with no </w:t>
      </w:r>
      <w:r w:rsidR="00A20A17">
        <w:t xml:space="preserve">clear </w:t>
      </w:r>
      <w:r w:rsidR="00D35E2A">
        <w:t>advice as to what had changed between notices</w:t>
      </w:r>
      <w:r w:rsidR="009F4E43">
        <w:t>.</w:t>
      </w:r>
    </w:p>
    <w:p w14:paraId="301B0091" w14:textId="77777777" w:rsidR="009F4E43" w:rsidRDefault="003E26BD" w:rsidP="009F4E43">
      <w:pPr>
        <w:pStyle w:val="Listparagraphbullets"/>
      </w:pPr>
      <w:r>
        <w:t xml:space="preserve">Carriers were receptive to </w:t>
      </w:r>
      <w:r w:rsidR="00852935">
        <w:t>introducing</w:t>
      </w:r>
      <w:r>
        <w:t xml:space="preserve"> a withdrawal requirement, </w:t>
      </w:r>
      <w:r w:rsidR="00BA79F0">
        <w:t>provided that</w:t>
      </w:r>
      <w:r>
        <w:t xml:space="preserve"> </w:t>
      </w:r>
      <w:r w:rsidR="00A20A17">
        <w:t>the requirement would be</w:t>
      </w:r>
      <w:r>
        <w:t xml:space="preserve"> limited to cancel</w:t>
      </w:r>
      <w:r w:rsidR="001770C2">
        <w:t>led</w:t>
      </w:r>
      <w:r>
        <w:t xml:space="preserve"> projects, and is implemented through an industry code</w:t>
      </w:r>
      <w:r w:rsidR="009F4E43">
        <w:t>.</w:t>
      </w:r>
    </w:p>
    <w:p w14:paraId="0468F9C2" w14:textId="58E3A418" w:rsidR="00776C40" w:rsidRDefault="00776C40" w:rsidP="00F23567">
      <w:pPr>
        <w:pStyle w:val="Heading4"/>
      </w:pPr>
      <w:bookmarkStart w:id="118" w:name="_Toc58424260"/>
      <w:bookmarkStart w:id="119" w:name="_Toc58492187"/>
      <w:r>
        <w:t>Addressing your responses</w:t>
      </w:r>
      <w:bookmarkEnd w:id="118"/>
      <w:bookmarkEnd w:id="119"/>
    </w:p>
    <w:p w14:paraId="399CAFBA" w14:textId="77777777" w:rsidR="009F4E43" w:rsidRDefault="00D2654D" w:rsidP="009F4E43">
      <w:pPr>
        <w:pStyle w:val="Listparagraphbullets"/>
      </w:pPr>
      <w:r>
        <w:t>It is recognised that</w:t>
      </w:r>
      <w:r w:rsidR="00E762AC">
        <w:t>,</w:t>
      </w:r>
      <w:r>
        <w:t xml:space="preserve"> in many cases, carriers use informal methods to advise landowners of potential </w:t>
      </w:r>
      <w:r w:rsidR="00E762AC">
        <w:t xml:space="preserve">changes, </w:t>
      </w:r>
      <w:r>
        <w:t xml:space="preserve">delays or cancellation of proposed work. </w:t>
      </w:r>
      <w:r w:rsidR="00E762AC">
        <w:t>Implementing a requirement for carriers to formally withdraw a notice in certain circumstances will help provide a necessary exchange of information between carriers and landowners, as well as clarity and certainty about proposed works</w:t>
      </w:r>
      <w:r w:rsidR="00A20A17">
        <w:t xml:space="preserve"> in all cases</w:t>
      </w:r>
      <w:r w:rsidR="009F4E43">
        <w:t>.</w:t>
      </w:r>
    </w:p>
    <w:p w14:paraId="72060888" w14:textId="636F22F3" w:rsidR="00A92B80" w:rsidRPr="00A92B80" w:rsidRDefault="003E26BD" w:rsidP="009F4E43">
      <w:pPr>
        <w:pStyle w:val="Listparagraphbullets"/>
        <w:rPr>
          <w:rFonts w:ascii="Calibri" w:hAnsi="Calibri"/>
          <w:sz w:val="22"/>
        </w:rPr>
      </w:pPr>
      <w:r>
        <w:t xml:space="preserve">The </w:t>
      </w:r>
      <w:r w:rsidR="00676D6C">
        <w:t>Government proposes to</w:t>
      </w:r>
      <w:r w:rsidR="00E762AC">
        <w:t xml:space="preserve"> develop</w:t>
      </w:r>
      <w:r>
        <w:t xml:space="preserve"> a requirement to withdraw notices where proposed works are cancelled</w:t>
      </w:r>
      <w:r w:rsidR="00A92B80">
        <w:t>.</w:t>
      </w:r>
    </w:p>
    <w:p w14:paraId="0E6C93A1" w14:textId="28578C2F" w:rsidR="00E60CB8" w:rsidRDefault="00A92B80" w:rsidP="009F4E43">
      <w:pPr>
        <w:pStyle w:val="Listparagraphbullets"/>
      </w:pPr>
      <w:r>
        <w:t xml:space="preserve">Although </w:t>
      </w:r>
      <w:r w:rsidR="00635DC2">
        <w:t>landowners</w:t>
      </w:r>
      <w:r>
        <w:t xml:space="preserve"> supported</w:t>
      </w:r>
      <w:r w:rsidR="00E762AC">
        <w:t xml:space="preserve"> apply</w:t>
      </w:r>
      <w:r>
        <w:t>ing</w:t>
      </w:r>
      <w:r w:rsidR="00E762AC">
        <w:t xml:space="preserve"> the requirement to changed circumstances, such as where proposed works are</w:t>
      </w:r>
      <w:r w:rsidR="003E26BD">
        <w:t xml:space="preserve"> substantially delayed</w:t>
      </w:r>
      <w:r>
        <w:t xml:space="preserve">, there was insufficient evidence </w:t>
      </w:r>
      <w:r w:rsidRPr="00A10F5F">
        <w:t>at this time of the extent of project delays</w:t>
      </w:r>
      <w:r w:rsidR="003E26BD">
        <w:t>.</w:t>
      </w:r>
    </w:p>
    <w:p w14:paraId="687AE438" w14:textId="0AF26E55" w:rsidR="00776C40" w:rsidRPr="00971A21" w:rsidRDefault="00776C40" w:rsidP="00F23567">
      <w:pPr>
        <w:pStyle w:val="Heading4"/>
      </w:pPr>
      <w:bookmarkStart w:id="120" w:name="_Toc58492188"/>
      <w:r>
        <w:t>Next steps</w:t>
      </w:r>
      <w:bookmarkEnd w:id="120"/>
    </w:p>
    <w:p w14:paraId="4198E249" w14:textId="085C67A0" w:rsidR="001770C2" w:rsidRDefault="000C1262" w:rsidP="009C0C12">
      <w:r>
        <w:t xml:space="preserve">The Government will </w:t>
      </w:r>
      <w:r w:rsidR="00741226">
        <w:t xml:space="preserve">seek comments on a proposal to </w:t>
      </w:r>
      <w:r>
        <w:t xml:space="preserve">implement the change </w:t>
      </w:r>
      <w:r w:rsidR="001449B5">
        <w:t>to the Code of Practice to require a carrier to withdraw a notice in certain circumstances in Tranche One of the reforms. The</w:t>
      </w:r>
      <w:r w:rsidR="00741226">
        <w:t> </w:t>
      </w:r>
      <w:r w:rsidR="001449B5">
        <w:t xml:space="preserve">exposure draft of the amended Code of Practice will be released </w:t>
      </w:r>
      <w:r>
        <w:t xml:space="preserve">for </w:t>
      </w:r>
      <w:r w:rsidR="00E954E3">
        <w:t xml:space="preserve">further </w:t>
      </w:r>
      <w:r>
        <w:t>consultation</w:t>
      </w:r>
      <w:r w:rsidR="00BA79F0">
        <w:t xml:space="preserve">. </w:t>
      </w:r>
      <w:r>
        <w:t>Further information about Tranche One is set out in the section ‘Next steps and conclusion’.</w:t>
      </w:r>
    </w:p>
    <w:p w14:paraId="78D3CD4C" w14:textId="4F3505A2" w:rsidR="005F6830" w:rsidRDefault="005F6830" w:rsidP="00204FAC">
      <w:pPr>
        <w:pStyle w:val="Heading3"/>
        <w:numPr>
          <w:ilvl w:val="0"/>
          <w:numId w:val="1"/>
        </w:numPr>
      </w:pPr>
      <w:bookmarkStart w:id="121" w:name="_Toc45545588"/>
      <w:bookmarkStart w:id="122" w:name="_Toc45642088"/>
      <w:bookmarkStart w:id="123" w:name="_Toc45649104"/>
      <w:bookmarkStart w:id="124" w:name="_Toc45713981"/>
      <w:bookmarkStart w:id="125" w:name="_Toc47090216"/>
      <w:bookmarkStart w:id="126" w:name="_Toc58424262"/>
      <w:bookmarkStart w:id="127" w:name="_Toc58492189"/>
      <w:bookmarkStart w:id="128" w:name="_Toc58505227"/>
      <w:bookmarkStart w:id="129" w:name="_Toc62475792"/>
      <w:r>
        <w:lastRenderedPageBreak/>
        <w:t>Requirement to provide engineering certification</w:t>
      </w:r>
      <w:bookmarkEnd w:id="121"/>
      <w:bookmarkEnd w:id="122"/>
      <w:bookmarkEnd w:id="123"/>
      <w:bookmarkEnd w:id="124"/>
      <w:bookmarkEnd w:id="125"/>
      <w:bookmarkEnd w:id="126"/>
      <w:bookmarkEnd w:id="127"/>
      <w:bookmarkEnd w:id="128"/>
      <w:bookmarkEnd w:id="129"/>
    </w:p>
    <w:p w14:paraId="0C7153C8" w14:textId="77777777" w:rsidR="001770C2" w:rsidRDefault="001770C2" w:rsidP="00F23567">
      <w:pPr>
        <w:pStyle w:val="Heading4"/>
      </w:pPr>
      <w:bookmarkStart w:id="130" w:name="_Toc58424263"/>
      <w:bookmarkStart w:id="131" w:name="_Toc58492190"/>
      <w:r>
        <w:t>Aim of Proposal</w:t>
      </w:r>
      <w:bookmarkEnd w:id="130"/>
      <w:bookmarkEnd w:id="131"/>
    </w:p>
    <w:p w14:paraId="79D24783" w14:textId="0C25F84E" w:rsidR="00EA27C4" w:rsidRDefault="00EA27C4" w:rsidP="00CD2ADD">
      <w:pPr>
        <w:keepLines/>
      </w:pPr>
      <w:bookmarkStart w:id="132" w:name="_Toc58424264"/>
      <w:bookmarkStart w:id="133" w:name="_Toc58492191"/>
      <w:r w:rsidRPr="00EA27C4">
        <w:t>The powers and immunities framework requires carriers, when undertaking an activity under Schedule</w:t>
      </w:r>
      <w:r w:rsidR="0000238B">
        <w:t> </w:t>
      </w:r>
      <w:r w:rsidRPr="00EA27C4">
        <w:t xml:space="preserve">3 of the Act, to do so in accordance with good engineering practice. </w:t>
      </w:r>
      <w:r w:rsidR="001449B5">
        <w:t xml:space="preserve">Stakeholders advised the Department in 2017 and in the Powers and Immunities Reference Group that landowners continue to bear the risk of the land, asset or infrastructure that telecommunications equipment may be affixed to. </w:t>
      </w:r>
      <w:r w:rsidR="00DA5654">
        <w:t xml:space="preserve">The </w:t>
      </w:r>
      <w:r>
        <w:t xml:space="preserve">proposal </w:t>
      </w:r>
      <w:r w:rsidR="00DA5654">
        <w:t xml:space="preserve">outlined in the consultation paper would require carriers to provide landowners with </w:t>
      </w:r>
      <w:r w:rsidR="001449B5">
        <w:t xml:space="preserve">an </w:t>
      </w:r>
      <w:r>
        <w:t xml:space="preserve">engineering </w:t>
      </w:r>
      <w:r w:rsidR="001449B5">
        <w:t xml:space="preserve">certificate </w:t>
      </w:r>
      <w:r w:rsidR="00DA5654">
        <w:t xml:space="preserve">about the </w:t>
      </w:r>
      <w:r>
        <w:t>instal</w:t>
      </w:r>
      <w:r w:rsidR="00DA5654">
        <w:t>lation of facilities on their land or infrastructure as a means of demonstrating “good engineering practice”.</w:t>
      </w:r>
      <w:r>
        <w:t xml:space="preserve"> </w:t>
      </w:r>
      <w:r w:rsidR="00DA5654">
        <w:t xml:space="preserve">This proposal </w:t>
      </w:r>
      <w:r w:rsidR="001449B5">
        <w:t xml:space="preserve">would </w:t>
      </w:r>
      <w:r w:rsidR="00DA5654">
        <w:t>provide</w:t>
      </w:r>
      <w:r>
        <w:t xml:space="preserve"> certainty </w:t>
      </w:r>
      <w:r w:rsidR="00DA5654">
        <w:t>to all parties that facilities are compliant with the conditions set out in Schedule 3</w:t>
      </w:r>
      <w:r>
        <w:t>.</w:t>
      </w:r>
      <w:bookmarkEnd w:id="132"/>
      <w:bookmarkEnd w:id="133"/>
    </w:p>
    <w:p w14:paraId="2B52F16A" w14:textId="5B0F6CEB" w:rsidR="001770C2" w:rsidRDefault="001770C2" w:rsidP="00F23567">
      <w:pPr>
        <w:pStyle w:val="Heading4"/>
      </w:pPr>
      <w:bookmarkStart w:id="134" w:name="_Toc58424265"/>
      <w:bookmarkStart w:id="135" w:name="_Toc58492192"/>
      <w:r>
        <w:t>What you told us</w:t>
      </w:r>
      <w:bookmarkEnd w:id="134"/>
      <w:bookmarkEnd w:id="135"/>
    </w:p>
    <w:p w14:paraId="7B8E0CBB" w14:textId="77777777" w:rsidR="009F4E43" w:rsidRDefault="00EA27C4" w:rsidP="009F4E43">
      <w:pPr>
        <w:pStyle w:val="Listparagraphbullets"/>
      </w:pPr>
      <w:r>
        <w:t xml:space="preserve">Landowners have strongly requested that </w:t>
      </w:r>
      <w:r w:rsidR="00F02FFB">
        <w:t>more information and documentation be provided by carriers</w:t>
      </w:r>
      <w:r w:rsidR="002E57A4">
        <w:t xml:space="preserve"> about proposed works to help address concerns about the safety and quality of facility installations</w:t>
      </w:r>
      <w:r w:rsidR="009F4E43">
        <w:t>.</w:t>
      </w:r>
    </w:p>
    <w:p w14:paraId="24490A9B" w14:textId="4B0E382E" w:rsidR="00EA27C4" w:rsidRDefault="008C07F6" w:rsidP="009F4E43">
      <w:pPr>
        <w:pStyle w:val="Listparagraphbullets"/>
      </w:pPr>
      <w:r>
        <w:t>Stakeholder r</w:t>
      </w:r>
      <w:r w:rsidR="00EA27C4">
        <w:t xml:space="preserve">esponses have </w:t>
      </w:r>
      <w:r>
        <w:t>indicated</w:t>
      </w:r>
      <w:r w:rsidR="00EA27C4">
        <w:t xml:space="preserve"> that any new requirement should clearly </w:t>
      </w:r>
      <w:r w:rsidR="002E57A4">
        <w:t xml:space="preserve">outline </w:t>
      </w:r>
      <w:r w:rsidR="00EA27C4">
        <w:t>the information that must be included</w:t>
      </w:r>
      <w:r w:rsidR="002E57A4">
        <w:t xml:space="preserve"> in a certification, and (where possible) reflect updated state or territory legislation about professional engineering requirements for signing off certificates</w:t>
      </w:r>
      <w:r w:rsidR="00EA27C4">
        <w:t>.</w:t>
      </w:r>
    </w:p>
    <w:p w14:paraId="65352AFA" w14:textId="77777777" w:rsidR="009F4E43" w:rsidRDefault="00EA27C4" w:rsidP="009F4E43">
      <w:pPr>
        <w:pStyle w:val="Listparagraphbullets"/>
      </w:pPr>
      <w:r>
        <w:t xml:space="preserve">Carriers have advised that such a requirement should not apply uniformly, as not all facilities present the same </w:t>
      </w:r>
      <w:r w:rsidR="001449B5">
        <w:t xml:space="preserve">risk and subsequent </w:t>
      </w:r>
      <w:r>
        <w:t>need for certification, due to differences in location, type, and size</w:t>
      </w:r>
      <w:r w:rsidR="009F4E43">
        <w:t>.</w:t>
      </w:r>
    </w:p>
    <w:p w14:paraId="047FA75E" w14:textId="77777777" w:rsidR="009F4E43" w:rsidRDefault="00EA27C4" w:rsidP="009F4E43">
      <w:pPr>
        <w:pStyle w:val="Listparagraphbullets"/>
      </w:pPr>
      <w:r>
        <w:t xml:space="preserve">Carriers have also advised that introducing such requirements will </w:t>
      </w:r>
      <w:r w:rsidR="002E57A4">
        <w:t xml:space="preserve">apply additional </w:t>
      </w:r>
      <w:r>
        <w:t xml:space="preserve">cost and administrative burdens, and </w:t>
      </w:r>
      <w:r w:rsidR="001449B5">
        <w:t xml:space="preserve">potentially </w:t>
      </w:r>
      <w:r>
        <w:t>delay</w:t>
      </w:r>
      <w:r w:rsidR="002E57A4">
        <w:t xml:space="preserve"> the</w:t>
      </w:r>
      <w:r>
        <w:t xml:space="preserve"> roll out of facilities</w:t>
      </w:r>
      <w:r w:rsidR="001449B5">
        <w:t xml:space="preserve"> and services</w:t>
      </w:r>
      <w:r w:rsidR="009F4E43">
        <w:t>.</w:t>
      </w:r>
    </w:p>
    <w:p w14:paraId="40EE3F3D" w14:textId="43BEA9AA" w:rsidR="001770C2" w:rsidRDefault="001770C2" w:rsidP="00F23567">
      <w:pPr>
        <w:pStyle w:val="Heading4"/>
      </w:pPr>
      <w:bookmarkStart w:id="136" w:name="_Toc58424266"/>
      <w:bookmarkStart w:id="137" w:name="_Toc58492193"/>
      <w:r>
        <w:t>Addressing your responses</w:t>
      </w:r>
      <w:bookmarkEnd w:id="136"/>
      <w:bookmarkEnd w:id="137"/>
    </w:p>
    <w:p w14:paraId="39E03A8B" w14:textId="706156CD" w:rsidR="00B52563" w:rsidRDefault="001449B5" w:rsidP="009F4E43">
      <w:pPr>
        <w:pStyle w:val="Listparagraphbullets"/>
      </w:pPr>
      <w:r>
        <w:t>Mutual b</w:t>
      </w:r>
      <w:r w:rsidR="00394E2D">
        <w:t xml:space="preserve">enefit can be realised from the introduction of an engineering certification requirement. The certification </w:t>
      </w:r>
      <w:r w:rsidR="00DF28D5">
        <w:t xml:space="preserve">from a suitably qualified engineer </w:t>
      </w:r>
      <w:r w:rsidR="00635DC2">
        <w:t xml:space="preserve">would </w:t>
      </w:r>
      <w:r w:rsidR="00394E2D">
        <w:t xml:space="preserve">provide certainty </w:t>
      </w:r>
      <w:r w:rsidR="002235CA">
        <w:t xml:space="preserve">and reassurance </w:t>
      </w:r>
      <w:r w:rsidR="00394E2D">
        <w:t xml:space="preserve">for both </w:t>
      </w:r>
      <w:r w:rsidR="002235CA">
        <w:t xml:space="preserve">landowners and carriers that work is completed in accordance with relevant industry standards and reflects good engineering practice. </w:t>
      </w:r>
      <w:r w:rsidR="00DF28D5">
        <w:t>The requirement could be introduced in the Code of Practice.</w:t>
      </w:r>
    </w:p>
    <w:p w14:paraId="24C62EB4" w14:textId="614BE66A" w:rsidR="00B52563" w:rsidRDefault="002E57A4" w:rsidP="009F4E43">
      <w:pPr>
        <w:pStyle w:val="Listparagraphbullets"/>
      </w:pPr>
      <w:r>
        <w:t xml:space="preserve">Further work will be undertaken to determine the </w:t>
      </w:r>
      <w:r w:rsidR="00EA27C4">
        <w:t>certain types of facilities</w:t>
      </w:r>
      <w:r w:rsidR="00F02FFB">
        <w:t>, and</w:t>
      </w:r>
      <w:r w:rsidR="00EA27C4">
        <w:t xml:space="preserve"> </w:t>
      </w:r>
      <w:r>
        <w:t xml:space="preserve">the </w:t>
      </w:r>
      <w:r w:rsidR="00EA27C4">
        <w:t>circumstances</w:t>
      </w:r>
      <w:r>
        <w:t xml:space="preserve"> </w:t>
      </w:r>
      <w:r w:rsidR="00635DC2">
        <w:t xml:space="preserve">to </w:t>
      </w:r>
      <w:r>
        <w:t>which engineering certification will apply</w:t>
      </w:r>
      <w:r w:rsidR="001770C2">
        <w:t xml:space="preserve">. </w:t>
      </w:r>
      <w:r w:rsidR="00DF28D5">
        <w:t>It is possible that the types of facilities that the engineering certification requirement would apply to could be listed in the LIFD.</w:t>
      </w:r>
    </w:p>
    <w:p w14:paraId="17CEDD79" w14:textId="4F762172" w:rsidR="001770C2" w:rsidRPr="00971A21" w:rsidRDefault="001770C2" w:rsidP="00F23567">
      <w:pPr>
        <w:pStyle w:val="Heading4"/>
      </w:pPr>
      <w:bookmarkStart w:id="138" w:name="_Toc58492194"/>
      <w:r>
        <w:t>Next steps</w:t>
      </w:r>
      <w:bookmarkEnd w:id="138"/>
    </w:p>
    <w:p w14:paraId="76133954" w14:textId="10F3927A" w:rsidR="001770C2" w:rsidRDefault="000C1262" w:rsidP="001770C2">
      <w:pPr>
        <w:spacing w:line="259" w:lineRule="auto"/>
      </w:pPr>
      <w:r>
        <w:t xml:space="preserve">The Government will </w:t>
      </w:r>
      <w:r w:rsidR="00741226">
        <w:t xml:space="preserve">seek comments on a proposal to </w:t>
      </w:r>
      <w:r w:rsidR="00635DC2">
        <w:t xml:space="preserve">amend the Code of Practice </w:t>
      </w:r>
      <w:r w:rsidR="00DF28D5">
        <w:t xml:space="preserve">to apply a new requirement for engineering certificates to be provided to a landowner for certain types of facilities. The implementation of the requirement will be subject to </w:t>
      </w:r>
      <w:r w:rsidR="00E954E3">
        <w:t xml:space="preserve">further </w:t>
      </w:r>
      <w:r>
        <w:t>consultation</w:t>
      </w:r>
      <w:r w:rsidR="002E57A4" w:rsidRPr="002E57A4">
        <w:t xml:space="preserve"> in Tranche One of the reforms. </w:t>
      </w:r>
      <w:r>
        <w:t>Further information about Tranche One is set out in the section ‘Next steps and conclusion’.</w:t>
      </w:r>
    </w:p>
    <w:p w14:paraId="61C78A6A" w14:textId="5D0645A2" w:rsidR="005F6830" w:rsidRDefault="005F6830" w:rsidP="00204FAC">
      <w:pPr>
        <w:pStyle w:val="Heading3"/>
        <w:numPr>
          <w:ilvl w:val="0"/>
          <w:numId w:val="1"/>
        </w:numPr>
      </w:pPr>
      <w:bookmarkStart w:id="139" w:name="_Toc45545589"/>
      <w:bookmarkStart w:id="140" w:name="_Toc45642089"/>
      <w:bookmarkStart w:id="141" w:name="_Toc45649105"/>
      <w:bookmarkStart w:id="142" w:name="_Toc45713982"/>
      <w:bookmarkStart w:id="143" w:name="_Toc47090220"/>
      <w:bookmarkStart w:id="144" w:name="_Toc58424268"/>
      <w:bookmarkStart w:id="145" w:name="_Toc58492195"/>
      <w:bookmarkStart w:id="146" w:name="_Toc58505228"/>
      <w:bookmarkStart w:id="147" w:name="_Toc62475793"/>
      <w:r>
        <w:lastRenderedPageBreak/>
        <w:t>Exten</w:t>
      </w:r>
      <w:r w:rsidR="00FD5FDF">
        <w:t xml:space="preserve">ding </w:t>
      </w:r>
      <w:r>
        <w:t>notification timeframes</w:t>
      </w:r>
      <w:bookmarkEnd w:id="139"/>
      <w:bookmarkEnd w:id="140"/>
      <w:bookmarkEnd w:id="141"/>
      <w:bookmarkEnd w:id="142"/>
      <w:bookmarkEnd w:id="143"/>
      <w:bookmarkEnd w:id="144"/>
      <w:bookmarkEnd w:id="145"/>
      <w:bookmarkEnd w:id="146"/>
      <w:bookmarkEnd w:id="147"/>
    </w:p>
    <w:p w14:paraId="1E8A5F40" w14:textId="77777777" w:rsidR="00852935" w:rsidRDefault="00852935" w:rsidP="00F23567">
      <w:pPr>
        <w:pStyle w:val="Heading4"/>
      </w:pPr>
      <w:bookmarkStart w:id="148" w:name="_Toc58424269"/>
      <w:bookmarkStart w:id="149" w:name="_Toc58492196"/>
      <w:r>
        <w:t>Aim of Proposal</w:t>
      </w:r>
      <w:bookmarkEnd w:id="148"/>
      <w:bookmarkEnd w:id="149"/>
    </w:p>
    <w:p w14:paraId="2120BBAA" w14:textId="77777777" w:rsidR="009F4E43" w:rsidRDefault="00DF28D5" w:rsidP="00B02605">
      <w:pPr>
        <w:spacing w:line="259" w:lineRule="auto"/>
      </w:pPr>
      <w:bookmarkStart w:id="150" w:name="_Toc58424270"/>
      <w:bookmarkStart w:id="151" w:name="_Toc58492197"/>
      <w:r>
        <w:t>E</w:t>
      </w:r>
      <w:r w:rsidR="00852935">
        <w:t>xtending the minimum notification timeframe from 10 business days to 20</w:t>
      </w:r>
      <w:r w:rsidR="00635DC2">
        <w:t> </w:t>
      </w:r>
      <w:r w:rsidR="00852935">
        <w:t xml:space="preserve">business days is intended to better afford </w:t>
      </w:r>
      <w:r w:rsidR="008C07F6">
        <w:t>landowners</w:t>
      </w:r>
      <w:r w:rsidR="00852935">
        <w:t xml:space="preserve"> </w:t>
      </w:r>
      <w:r w:rsidR="00554977">
        <w:t>adequate</w:t>
      </w:r>
      <w:r w:rsidR="00852935">
        <w:t xml:space="preserve"> time to assess </w:t>
      </w:r>
      <w:r w:rsidR="000E34A2">
        <w:t xml:space="preserve">proposed </w:t>
      </w:r>
      <w:r w:rsidR="00852935">
        <w:t>works, and request additional information where necessary.</w:t>
      </w:r>
      <w:bookmarkEnd w:id="150"/>
      <w:bookmarkEnd w:id="151"/>
      <w:r w:rsidR="000E34A2">
        <w:t xml:space="preserve"> It is intended to encourage greater interaction and collaboration between carriers and landowners about proposed works removing the need for landowners to immediately object to a notice</w:t>
      </w:r>
      <w:r w:rsidR="009F4E43">
        <w:t>.</w:t>
      </w:r>
    </w:p>
    <w:p w14:paraId="48131291" w14:textId="18481A2C" w:rsidR="00852935" w:rsidRDefault="00852935" w:rsidP="00F23567">
      <w:pPr>
        <w:pStyle w:val="Heading4"/>
      </w:pPr>
      <w:bookmarkStart w:id="152" w:name="_Toc58424271"/>
      <w:bookmarkStart w:id="153" w:name="_Toc58492198"/>
      <w:r>
        <w:t>What you told us</w:t>
      </w:r>
      <w:bookmarkEnd w:id="152"/>
      <w:bookmarkEnd w:id="153"/>
    </w:p>
    <w:p w14:paraId="719DB543" w14:textId="77777777" w:rsidR="009F4E43" w:rsidRDefault="00C37282" w:rsidP="009F4E43">
      <w:pPr>
        <w:pStyle w:val="Listparagraphbullets"/>
        <w:keepNext/>
      </w:pPr>
      <w:r>
        <w:t xml:space="preserve">Public utilities </w:t>
      </w:r>
      <w:r w:rsidR="00DF28D5">
        <w:t>strongly supported the proposed change to extend</w:t>
      </w:r>
      <w:r>
        <w:t xml:space="preserve"> notification timeframes to 20</w:t>
      </w:r>
      <w:r w:rsidR="00635DC2">
        <w:t> </w:t>
      </w:r>
      <w:r>
        <w:t>business days</w:t>
      </w:r>
      <w:r w:rsidR="009F4E43">
        <w:t>.</w:t>
      </w:r>
    </w:p>
    <w:p w14:paraId="0B39F337" w14:textId="77777777" w:rsidR="009F4E43" w:rsidRDefault="000E34A2" w:rsidP="009F4E43">
      <w:pPr>
        <w:pStyle w:val="Listparagraphbullets"/>
      </w:pPr>
      <w:r>
        <w:t>Other lando</w:t>
      </w:r>
      <w:r w:rsidR="00C37282">
        <w:t>wners and occupiers requested that this extension apply to all landowners, and not be limited to public utilities</w:t>
      </w:r>
      <w:r w:rsidR="009F4E43">
        <w:t>.</w:t>
      </w:r>
    </w:p>
    <w:p w14:paraId="7216614E" w14:textId="77777777" w:rsidR="009F4E43" w:rsidRDefault="00C37282" w:rsidP="009F4E43">
      <w:pPr>
        <w:pStyle w:val="Listparagraphbullets"/>
      </w:pPr>
      <w:r>
        <w:t>Stakeholders told us that the current notification timeframe is frustrated and reduced by postage delays, internal staffing co-ordination requirements, and delays in carriers providing further information</w:t>
      </w:r>
      <w:r w:rsidR="000E34A2">
        <w:t xml:space="preserve"> when requested</w:t>
      </w:r>
      <w:r w:rsidR="009F4E43">
        <w:t>.</w:t>
      </w:r>
    </w:p>
    <w:p w14:paraId="66BE2F35" w14:textId="49342FB0" w:rsidR="00C37282" w:rsidRDefault="00C37282" w:rsidP="009F4E43">
      <w:pPr>
        <w:pStyle w:val="Listparagraphbullets"/>
      </w:pPr>
      <w:r>
        <w:t xml:space="preserve">Carriers expressed a strong concern that increasing minimum notification timeframes will cause cost and administrative burdens, and </w:t>
      </w:r>
      <w:r w:rsidR="00DF28D5">
        <w:t xml:space="preserve">could </w:t>
      </w:r>
      <w:r>
        <w:t>delay roll out of facilities</w:t>
      </w:r>
      <w:r w:rsidR="00DF28D5">
        <w:t xml:space="preserve"> and services</w:t>
      </w:r>
      <w:r w:rsidR="000E34A2">
        <w:t>.</w:t>
      </w:r>
    </w:p>
    <w:p w14:paraId="102B4B8A" w14:textId="66F7213B" w:rsidR="000E34A2" w:rsidRDefault="000E34A2" w:rsidP="009F4E43">
      <w:pPr>
        <w:pStyle w:val="Listparagraphbullets"/>
      </w:pPr>
      <w:r>
        <w:t>Carriers also noted in their submissions they rely on the current 10 day timeframe for the majority of activities undertaken using the powers and immunities framework.</w:t>
      </w:r>
    </w:p>
    <w:p w14:paraId="5DB9D018" w14:textId="03AE4608" w:rsidR="00852935" w:rsidRDefault="00852935" w:rsidP="00F23567">
      <w:pPr>
        <w:pStyle w:val="Heading4"/>
      </w:pPr>
      <w:bookmarkStart w:id="154" w:name="_Toc58424272"/>
      <w:bookmarkStart w:id="155" w:name="_Toc58492199"/>
      <w:r>
        <w:t>Addressing your responses</w:t>
      </w:r>
      <w:bookmarkEnd w:id="154"/>
      <w:bookmarkEnd w:id="155"/>
    </w:p>
    <w:p w14:paraId="12DC162A" w14:textId="77777777" w:rsidR="009F4E43" w:rsidRDefault="000E34A2" w:rsidP="009F4E43">
      <w:pPr>
        <w:pStyle w:val="Listparagraphbullets"/>
      </w:pPr>
      <w:r>
        <w:t xml:space="preserve">Clause 6 of Schedule 3 provides that 10 business days is the “minimum” timeframe for carriers to provide a notice to a landowner about proposed activities. </w:t>
      </w:r>
      <w:r w:rsidR="00DF28D5">
        <w:t>While there are circumstances where the current timeframe is useful, t</w:t>
      </w:r>
      <w:r>
        <w:t xml:space="preserve">he lead time </w:t>
      </w:r>
      <w:r w:rsidR="005402DB">
        <w:t>for</w:t>
      </w:r>
      <w:r>
        <w:t xml:space="preserve"> many activities is likely to be known in advance </w:t>
      </w:r>
      <w:r w:rsidR="005402DB">
        <w:t xml:space="preserve">as </w:t>
      </w:r>
      <w:r w:rsidR="00DF28D5">
        <w:t>time is</w:t>
      </w:r>
      <w:r w:rsidR="005402DB">
        <w:t xml:space="preserve"> need</w:t>
      </w:r>
      <w:r w:rsidR="00DF28D5">
        <w:t>ed</w:t>
      </w:r>
      <w:r w:rsidR="005402DB">
        <w:t xml:space="preserve"> to plan for equipment availability and resource assignment. R</w:t>
      </w:r>
      <w:r>
        <w:t>el</w:t>
      </w:r>
      <w:r w:rsidR="005402DB">
        <w:t>ying</w:t>
      </w:r>
      <w:r>
        <w:t xml:space="preserve"> on </w:t>
      </w:r>
      <w:r w:rsidR="005402DB">
        <w:t>the minimum timeframe</w:t>
      </w:r>
      <w:r>
        <w:t xml:space="preserve"> in these circumstances does not afford sufficient time </w:t>
      </w:r>
      <w:r w:rsidR="005402DB">
        <w:t xml:space="preserve">for larger landowners </w:t>
      </w:r>
      <w:r>
        <w:t xml:space="preserve">to </w:t>
      </w:r>
      <w:r w:rsidR="005402DB">
        <w:t xml:space="preserve">appropriately </w:t>
      </w:r>
      <w:r>
        <w:t>consider proposals</w:t>
      </w:r>
      <w:r w:rsidR="005402DB">
        <w:t xml:space="preserve"> and leads to automatic objections to proposals as a means of “stopping the clock”</w:t>
      </w:r>
      <w:r w:rsidR="009F4E43">
        <w:t>.</w:t>
      </w:r>
    </w:p>
    <w:p w14:paraId="79F39144" w14:textId="77777777" w:rsidR="009F4E43" w:rsidRDefault="000E34A2" w:rsidP="009F4E43">
      <w:pPr>
        <w:pStyle w:val="Listparagraphbullets"/>
      </w:pPr>
      <w:r>
        <w:t xml:space="preserve">Submissions noted that notification timeframes that </w:t>
      </w:r>
      <w:r w:rsidR="00C20719">
        <w:t xml:space="preserve">some </w:t>
      </w:r>
      <w:r>
        <w:t xml:space="preserve">utility providers are required to adhere to </w:t>
      </w:r>
      <w:r w:rsidR="005402DB">
        <w:t xml:space="preserve">for their proposed activities </w:t>
      </w:r>
      <w:r>
        <w:t>can be as long as 30 days</w:t>
      </w:r>
      <w:r w:rsidR="009F4E43">
        <w:t>.</w:t>
      </w:r>
    </w:p>
    <w:p w14:paraId="21FAE201" w14:textId="77777777" w:rsidR="009F4E43" w:rsidRDefault="005402DB" w:rsidP="009F4E43">
      <w:pPr>
        <w:pStyle w:val="Listparagraphbullets"/>
      </w:pPr>
      <w:r>
        <w:t xml:space="preserve">It is proposed that notification timeframes are extended from 10 to 20 business days and that this extension will go some way to providing </w:t>
      </w:r>
      <w:r w:rsidR="00A26AB4">
        <w:t>balance in the operation of the powers and immunities framework</w:t>
      </w:r>
      <w:r w:rsidR="009F4E43">
        <w:t>.</w:t>
      </w:r>
    </w:p>
    <w:p w14:paraId="3C7113CB" w14:textId="1018C99A" w:rsidR="00852935" w:rsidRDefault="005402DB" w:rsidP="009F4E43">
      <w:pPr>
        <w:pStyle w:val="Listparagraphbullets"/>
      </w:pPr>
      <w:r>
        <w:t>It is expected that the amendment will apply to notices given to all landowners</w:t>
      </w:r>
      <w:r w:rsidR="0097318D">
        <w:t>.</w:t>
      </w:r>
    </w:p>
    <w:p w14:paraId="59111BE0" w14:textId="77777777" w:rsidR="00852935" w:rsidRPr="00971A21" w:rsidRDefault="00852935" w:rsidP="00F23567">
      <w:pPr>
        <w:pStyle w:val="Heading4"/>
      </w:pPr>
      <w:bookmarkStart w:id="156" w:name="_Toc58492200"/>
      <w:r>
        <w:t>Next steps</w:t>
      </w:r>
      <w:bookmarkEnd w:id="156"/>
    </w:p>
    <w:p w14:paraId="5C75EA2E" w14:textId="5D270C3F" w:rsidR="009F4E43" w:rsidRDefault="00E954E3">
      <w:pPr>
        <w:spacing w:line="259" w:lineRule="auto"/>
      </w:pPr>
      <w:r>
        <w:t xml:space="preserve">This </w:t>
      </w:r>
      <w:r w:rsidR="005402DB">
        <w:t xml:space="preserve">change </w:t>
      </w:r>
      <w:r w:rsidR="00A33E4C">
        <w:t xml:space="preserve">would require </w:t>
      </w:r>
      <w:r w:rsidR="005402DB">
        <w:t>an amendment to primary legislation in Schedule</w:t>
      </w:r>
      <w:r>
        <w:t> </w:t>
      </w:r>
      <w:r w:rsidR="005402DB">
        <w:t xml:space="preserve">3. </w:t>
      </w:r>
      <w:r>
        <w:t>As a</w:t>
      </w:r>
      <w:r w:rsidR="005B4DC1">
        <w:t>mendments to Schedule</w:t>
      </w:r>
      <w:r w:rsidR="007B355A">
        <w:t> </w:t>
      </w:r>
      <w:r w:rsidR="005B4DC1">
        <w:t>3 are not considered in Tranche One</w:t>
      </w:r>
      <w:r w:rsidR="00C20719">
        <w:t xml:space="preserve"> of the </w:t>
      </w:r>
      <w:r w:rsidR="000B7FA6">
        <w:t xml:space="preserve">proposed </w:t>
      </w:r>
      <w:r w:rsidR="00C20719">
        <w:t>work plan</w:t>
      </w:r>
      <w:r>
        <w:t xml:space="preserve">, the Government </w:t>
      </w:r>
      <w:r w:rsidR="00676D6C">
        <w:t xml:space="preserve">proposes to </w:t>
      </w:r>
      <w:r w:rsidR="00C20719">
        <w:t xml:space="preserve">take steps to </w:t>
      </w:r>
      <w:r>
        <w:t xml:space="preserve">implement this change </w:t>
      </w:r>
      <w:r w:rsidR="005B4DC1">
        <w:t xml:space="preserve">in Tranche Two. </w:t>
      </w:r>
      <w:r w:rsidR="00C20719">
        <w:t xml:space="preserve">The proposed changes in Tranche Two will be subject to further consultation. </w:t>
      </w:r>
      <w:r w:rsidR="005B4DC1" w:rsidRPr="005B4DC1">
        <w:t>Further information about Tranche</w:t>
      </w:r>
      <w:r w:rsidR="005B4DC1">
        <w:t>s</w:t>
      </w:r>
      <w:r w:rsidR="005B4DC1" w:rsidRPr="005B4DC1">
        <w:t xml:space="preserve"> One </w:t>
      </w:r>
      <w:r w:rsidR="005B4DC1">
        <w:t xml:space="preserve">and Two </w:t>
      </w:r>
      <w:r w:rsidR="00677CF7">
        <w:t>is</w:t>
      </w:r>
      <w:r w:rsidR="005B4DC1" w:rsidRPr="005B4DC1">
        <w:t xml:space="preserve"> set out in the section ‘Next steps and conclusion’</w:t>
      </w:r>
      <w:r w:rsidR="009F4E43">
        <w:t>.</w:t>
      </w:r>
    </w:p>
    <w:p w14:paraId="0D8ADAC7" w14:textId="30BCF7A9" w:rsidR="00BF78EB" w:rsidRDefault="00BF78EB" w:rsidP="00204FAC">
      <w:pPr>
        <w:pStyle w:val="Heading2"/>
        <w:numPr>
          <w:ilvl w:val="0"/>
          <w:numId w:val="2"/>
        </w:numPr>
      </w:pPr>
      <w:bookmarkStart w:id="157" w:name="_Toc45545590"/>
      <w:bookmarkStart w:id="158" w:name="_Toc45642090"/>
      <w:bookmarkStart w:id="159" w:name="_Toc45649106"/>
      <w:bookmarkStart w:id="160" w:name="_Toc45713983"/>
      <w:bookmarkStart w:id="161" w:name="_Toc47090224"/>
      <w:bookmarkStart w:id="162" w:name="_Toc58424274"/>
      <w:bookmarkStart w:id="163" w:name="_Toc58492201"/>
      <w:bookmarkStart w:id="164" w:name="_Toc58505229"/>
      <w:bookmarkStart w:id="165" w:name="_Toc62475794"/>
      <w:r>
        <w:lastRenderedPageBreak/>
        <w:t>Objections and protections</w:t>
      </w:r>
      <w:bookmarkEnd w:id="157"/>
      <w:bookmarkEnd w:id="158"/>
      <w:bookmarkEnd w:id="159"/>
      <w:bookmarkEnd w:id="160"/>
      <w:bookmarkEnd w:id="161"/>
      <w:bookmarkEnd w:id="162"/>
      <w:bookmarkEnd w:id="163"/>
      <w:bookmarkEnd w:id="164"/>
      <w:bookmarkEnd w:id="165"/>
    </w:p>
    <w:p w14:paraId="13188056" w14:textId="23F03ADC" w:rsidR="00BF78EB" w:rsidRDefault="005F6830" w:rsidP="00204FAC">
      <w:pPr>
        <w:pStyle w:val="Heading3"/>
        <w:numPr>
          <w:ilvl w:val="0"/>
          <w:numId w:val="3"/>
        </w:numPr>
      </w:pPr>
      <w:bookmarkStart w:id="166" w:name="_Toc45545591"/>
      <w:bookmarkStart w:id="167" w:name="_Toc45642091"/>
      <w:bookmarkStart w:id="168" w:name="_Toc45649107"/>
      <w:bookmarkStart w:id="169" w:name="_Toc45713984"/>
      <w:bookmarkStart w:id="170" w:name="_Toc47090225"/>
      <w:bookmarkStart w:id="171" w:name="_Toc58424275"/>
      <w:bookmarkStart w:id="172" w:name="_Toc58492202"/>
      <w:bookmarkStart w:id="173" w:name="_Toc58505230"/>
      <w:bookmarkStart w:id="174" w:name="_Toc62475795"/>
      <w:r>
        <w:t>Clarifying the objections process for landowners</w:t>
      </w:r>
      <w:bookmarkEnd w:id="166"/>
      <w:bookmarkEnd w:id="167"/>
      <w:bookmarkEnd w:id="168"/>
      <w:bookmarkEnd w:id="169"/>
      <w:bookmarkEnd w:id="170"/>
      <w:bookmarkEnd w:id="171"/>
      <w:bookmarkEnd w:id="172"/>
      <w:bookmarkEnd w:id="173"/>
      <w:bookmarkEnd w:id="174"/>
    </w:p>
    <w:p w14:paraId="751C7EBD" w14:textId="77777777" w:rsidR="00EC1789" w:rsidRDefault="00EC1789" w:rsidP="00F23567">
      <w:pPr>
        <w:pStyle w:val="Heading4"/>
      </w:pPr>
      <w:bookmarkStart w:id="175" w:name="_Toc58492203"/>
      <w:r>
        <w:t>Aim of Proposal</w:t>
      </w:r>
      <w:bookmarkEnd w:id="175"/>
    </w:p>
    <w:p w14:paraId="774EFA1E" w14:textId="77777777" w:rsidR="009F4E43" w:rsidRDefault="00146206" w:rsidP="009F4E43">
      <w:pPr>
        <w:keepNext/>
      </w:pPr>
      <w:r>
        <w:t>The consultation paper discussed the need for a factsheet to be provided to help landowners better understand their rights to object, the grounds available for an objection, and the process and timeframes to be followed for an objection to be made</w:t>
      </w:r>
      <w:r w:rsidR="009F4E43">
        <w:t>.</w:t>
      </w:r>
    </w:p>
    <w:p w14:paraId="096D5B9A" w14:textId="77777777" w:rsidR="009F4E43" w:rsidRDefault="00C438F5" w:rsidP="00F23567">
      <w:pPr>
        <w:pStyle w:val="Heading4"/>
      </w:pPr>
      <w:bookmarkStart w:id="176" w:name="_Toc58424276"/>
      <w:bookmarkStart w:id="177" w:name="_Toc58492204"/>
      <w:r>
        <w:t>What you told us</w:t>
      </w:r>
      <w:bookmarkEnd w:id="176"/>
      <w:bookmarkEnd w:id="177"/>
    </w:p>
    <w:p w14:paraId="4FAA70AF" w14:textId="7E1F0AD2" w:rsidR="009F4E43" w:rsidRDefault="00EC1789" w:rsidP="009F4E43">
      <w:pPr>
        <w:pStyle w:val="Listparagraphbullets"/>
      </w:pPr>
      <w:r>
        <w:t xml:space="preserve">Landowners </w:t>
      </w:r>
      <w:r w:rsidR="00146206">
        <w:t xml:space="preserve">agreed that </w:t>
      </w:r>
      <w:r>
        <w:t>the current framework is difficult to understand, and the development of a plain English factsheet outlining landowner rights and carrier obligations would be useful</w:t>
      </w:r>
      <w:r w:rsidR="009F4E43">
        <w:t>.</w:t>
      </w:r>
    </w:p>
    <w:p w14:paraId="602943D3" w14:textId="30FADC39" w:rsidR="00EC1789" w:rsidRPr="009F4E43" w:rsidRDefault="002A5D01" w:rsidP="009F4E43">
      <w:pPr>
        <w:pStyle w:val="Listparagraphbullets"/>
      </w:pPr>
      <w:r>
        <w:t xml:space="preserve">Carriers </w:t>
      </w:r>
      <w:r w:rsidR="00EC1789">
        <w:t xml:space="preserve">provided a mix of responses to the proposal, with most believing the framework and process are already clearly described within the </w:t>
      </w:r>
      <w:r w:rsidR="003A7B33">
        <w:t>existing legislation.</w:t>
      </w:r>
    </w:p>
    <w:p w14:paraId="427957A9" w14:textId="47190100" w:rsidR="00C438F5" w:rsidRPr="00E60CB8" w:rsidRDefault="00F657E3" w:rsidP="00F23567">
      <w:pPr>
        <w:pStyle w:val="Heading4"/>
      </w:pPr>
      <w:bookmarkStart w:id="178" w:name="_Toc58492205"/>
      <w:r w:rsidRPr="00E60CB8">
        <w:t>Addressing your responses</w:t>
      </w:r>
      <w:bookmarkEnd w:id="178"/>
    </w:p>
    <w:p w14:paraId="356099AA" w14:textId="658845E8" w:rsidR="009F4E43" w:rsidRDefault="003A7B33" w:rsidP="009F4E43">
      <w:pPr>
        <w:pStyle w:val="Listparagraphbullets"/>
      </w:pPr>
      <w:r>
        <w:t xml:space="preserve">The Department </w:t>
      </w:r>
      <w:r w:rsidR="00146206">
        <w:t>is</w:t>
      </w:r>
      <w:r>
        <w:t xml:space="preserve"> preparing a factsheet</w:t>
      </w:r>
      <w:r w:rsidR="00146206">
        <w:t xml:space="preserve"> that will be made available on its website</w:t>
      </w:r>
      <w:r>
        <w:t xml:space="preserve">. </w:t>
      </w:r>
      <w:r w:rsidR="00146206">
        <w:t>The</w:t>
      </w:r>
      <w:r>
        <w:t xml:space="preserve"> factsheet will be included </w:t>
      </w:r>
      <w:r w:rsidR="00146206">
        <w:t xml:space="preserve">as a link </w:t>
      </w:r>
      <w:r>
        <w:t>in notices provided by carrie</w:t>
      </w:r>
      <w:r w:rsidR="00F23567">
        <w:t>rs to landowners under Schedule </w:t>
      </w:r>
      <w:r>
        <w:t>3 of the Act</w:t>
      </w:r>
      <w:r w:rsidR="009F4E43">
        <w:t>.</w:t>
      </w:r>
    </w:p>
    <w:p w14:paraId="4C41FAF8" w14:textId="77777777" w:rsidR="009F4E43" w:rsidRDefault="00E60CB8" w:rsidP="00F23567">
      <w:pPr>
        <w:pStyle w:val="Heading4"/>
      </w:pPr>
      <w:bookmarkStart w:id="179" w:name="_Toc58492206"/>
      <w:r>
        <w:t>Next s</w:t>
      </w:r>
      <w:bookmarkEnd w:id="179"/>
      <w:r>
        <w:t>teps</w:t>
      </w:r>
    </w:p>
    <w:p w14:paraId="53F743B6" w14:textId="435FC629" w:rsidR="009F4E43" w:rsidRDefault="00C20719" w:rsidP="009C0C12">
      <w:pPr>
        <w:spacing w:line="259" w:lineRule="auto"/>
      </w:pPr>
      <w:r>
        <w:t>The Government expects the factsheet to be made available as part of the Tranche One reforms</w:t>
      </w:r>
      <w:r w:rsidR="000473E0">
        <w:t>.</w:t>
      </w:r>
      <w:r w:rsidR="00146206">
        <w:t xml:space="preserve"> </w:t>
      </w:r>
      <w:r w:rsidR="000473E0">
        <w:t>T</w:t>
      </w:r>
      <w:r w:rsidR="00146206">
        <w:t>he</w:t>
      </w:r>
      <w:r w:rsidR="007B355A">
        <w:t> </w:t>
      </w:r>
      <w:r w:rsidR="00146206">
        <w:t xml:space="preserve">Department </w:t>
      </w:r>
      <w:r w:rsidR="00146206" w:rsidRPr="002E57A4">
        <w:t xml:space="preserve">will </w:t>
      </w:r>
      <w:r w:rsidR="00146206">
        <w:t xml:space="preserve">work with the ACMA and the TIO </w:t>
      </w:r>
      <w:r w:rsidR="00677CF7">
        <w:t>to</w:t>
      </w:r>
      <w:r w:rsidR="00146206">
        <w:t xml:space="preserve"> develop </w:t>
      </w:r>
      <w:r w:rsidR="00677CF7">
        <w:t xml:space="preserve">a factsheet. </w:t>
      </w:r>
      <w:r w:rsidR="00677CF7" w:rsidRPr="005B4DC1">
        <w:t xml:space="preserve">Further information about Tranche One </w:t>
      </w:r>
      <w:r w:rsidR="00677CF7">
        <w:t>is</w:t>
      </w:r>
      <w:r w:rsidR="00677CF7" w:rsidRPr="005B4DC1">
        <w:t xml:space="preserve"> set out in the section ‘Next steps and conclusion’</w:t>
      </w:r>
      <w:r w:rsidR="009F4E43">
        <w:t>.</w:t>
      </w:r>
    </w:p>
    <w:p w14:paraId="23CB6AF3" w14:textId="68F32C4C" w:rsidR="005F6830" w:rsidRDefault="005F6830" w:rsidP="00204FAC">
      <w:pPr>
        <w:pStyle w:val="Heading3"/>
        <w:numPr>
          <w:ilvl w:val="0"/>
          <w:numId w:val="3"/>
        </w:numPr>
      </w:pPr>
      <w:bookmarkStart w:id="180" w:name="_Toc45545592"/>
      <w:bookmarkStart w:id="181" w:name="_Toc45642092"/>
      <w:bookmarkStart w:id="182" w:name="_Toc45649108"/>
      <w:bookmarkStart w:id="183" w:name="_Toc45713985"/>
      <w:bookmarkStart w:id="184" w:name="_Toc47090229"/>
      <w:bookmarkStart w:id="185" w:name="_Toc58424277"/>
      <w:bookmarkStart w:id="186" w:name="_Toc58492207"/>
      <w:bookmarkStart w:id="187" w:name="_Toc58505231"/>
      <w:bookmarkStart w:id="188" w:name="_Toc62475796"/>
      <w:r>
        <w:t>Allowing carriers to refer objections to the TIO</w:t>
      </w:r>
      <w:bookmarkEnd w:id="180"/>
      <w:bookmarkEnd w:id="181"/>
      <w:bookmarkEnd w:id="182"/>
      <w:bookmarkEnd w:id="183"/>
      <w:bookmarkEnd w:id="184"/>
      <w:bookmarkEnd w:id="185"/>
      <w:bookmarkEnd w:id="186"/>
      <w:bookmarkEnd w:id="187"/>
      <w:bookmarkEnd w:id="188"/>
    </w:p>
    <w:p w14:paraId="7B1DA054" w14:textId="77777777" w:rsidR="00EE6691" w:rsidRDefault="00EE6691" w:rsidP="00F23567">
      <w:pPr>
        <w:pStyle w:val="Heading4"/>
      </w:pPr>
      <w:bookmarkStart w:id="189" w:name="_Toc58492208"/>
      <w:r>
        <w:t>Aim of Proposal</w:t>
      </w:r>
      <w:bookmarkEnd w:id="189"/>
    </w:p>
    <w:p w14:paraId="187EE9A4" w14:textId="77777777" w:rsidR="009F4E43" w:rsidRDefault="00EE6691" w:rsidP="00C438F5">
      <w:r>
        <w:t xml:space="preserve">Currently, a carrier may only refer an objection to the TIO where requested </w:t>
      </w:r>
      <w:r w:rsidR="00F11B8E">
        <w:t xml:space="preserve">to do so </w:t>
      </w:r>
      <w:r>
        <w:t xml:space="preserve">by the landowner. This proposal </w:t>
      </w:r>
      <w:r w:rsidR="00C20719">
        <w:t>would</w:t>
      </w:r>
      <w:r>
        <w:t xml:space="preserve"> amend the existing provisions of the Code of Practice to allow carriers to refer landowner objections, without needing a request by a landowner</w:t>
      </w:r>
      <w:r w:rsidR="009F4E43">
        <w:t>.</w:t>
      </w:r>
    </w:p>
    <w:p w14:paraId="44B0E80D" w14:textId="77777777" w:rsidR="009F4E43" w:rsidRDefault="00EE6691" w:rsidP="00D80A1A">
      <w:r>
        <w:t xml:space="preserve">Further to the suggestions made by the TIO </w:t>
      </w:r>
      <w:r w:rsidR="00AF293B">
        <w:t>in</w:t>
      </w:r>
      <w:r>
        <w:t xml:space="preserve"> the 201</w:t>
      </w:r>
      <w:r w:rsidR="00374C35">
        <w:t>7</w:t>
      </w:r>
      <w:r>
        <w:t xml:space="preserve"> consultation process, </w:t>
      </w:r>
      <w:r w:rsidR="004D3889">
        <w:t>the consultation paper</w:t>
      </w:r>
      <w:r w:rsidR="00B1295A">
        <w:t xml:space="preserve"> </w:t>
      </w:r>
      <w:r w:rsidR="00C20719">
        <w:t xml:space="preserve">also sought comment on the introduction of </w:t>
      </w:r>
      <w:r>
        <w:t>a deadline for carriers to refer objections to the TIO, where requested by the landowner</w:t>
      </w:r>
      <w:r w:rsidR="009F4E43">
        <w:t>.</w:t>
      </w:r>
    </w:p>
    <w:p w14:paraId="05E4CFB7" w14:textId="77777777" w:rsidR="009F4E43" w:rsidRDefault="00C438F5" w:rsidP="00F23567">
      <w:pPr>
        <w:pStyle w:val="Heading4"/>
      </w:pPr>
      <w:bookmarkStart w:id="190" w:name="_Toc58424278"/>
      <w:bookmarkStart w:id="191" w:name="_Toc58492209"/>
      <w:r>
        <w:t>What you told us</w:t>
      </w:r>
      <w:bookmarkEnd w:id="190"/>
      <w:bookmarkEnd w:id="191"/>
    </w:p>
    <w:p w14:paraId="2C908084" w14:textId="1A45E166" w:rsidR="008C07F6" w:rsidRDefault="008C07F6" w:rsidP="00F23567">
      <w:pPr>
        <w:pStyle w:val="Heading5"/>
      </w:pPr>
      <w:r>
        <w:t>Carrier Referral Right</w:t>
      </w:r>
    </w:p>
    <w:p w14:paraId="68B81B65" w14:textId="77777777" w:rsidR="009F4E43" w:rsidRDefault="004D516D" w:rsidP="009F4E43">
      <w:pPr>
        <w:pStyle w:val="Listparagraphbullets"/>
      </w:pPr>
      <w:r w:rsidRPr="00C438F5">
        <w:t xml:space="preserve">Landowners are concerned </w:t>
      </w:r>
      <w:r w:rsidR="00C20719">
        <w:t xml:space="preserve">about the risk </w:t>
      </w:r>
      <w:r w:rsidRPr="00C438F5">
        <w:t>that</w:t>
      </w:r>
      <w:r w:rsidR="00EE6691">
        <w:t xml:space="preserve"> carriers </w:t>
      </w:r>
      <w:r w:rsidR="00C20719">
        <w:t xml:space="preserve">may game the provision </w:t>
      </w:r>
      <w:r w:rsidR="00EE6691">
        <w:t xml:space="preserve">to effectively “skip” negotiations, and instead immediately refer </w:t>
      </w:r>
      <w:r w:rsidR="00D90E54">
        <w:t xml:space="preserve">matters </w:t>
      </w:r>
      <w:r w:rsidRPr="00C438F5">
        <w:t xml:space="preserve">to </w:t>
      </w:r>
      <w:r w:rsidR="00D90E54">
        <w:t>the</w:t>
      </w:r>
      <w:r w:rsidRPr="00C438F5">
        <w:t xml:space="preserve"> TIO to expedite </w:t>
      </w:r>
      <w:r w:rsidR="00D90E54">
        <w:t>the process</w:t>
      </w:r>
      <w:r w:rsidR="009F4E43">
        <w:t>.</w:t>
      </w:r>
    </w:p>
    <w:p w14:paraId="701372C4" w14:textId="0BF8F412" w:rsidR="00326B2A" w:rsidRDefault="004D516D" w:rsidP="009F4E43">
      <w:pPr>
        <w:pStyle w:val="Listparagraphbullets"/>
      </w:pPr>
      <w:r w:rsidRPr="00C438F5">
        <w:t>Landowners request</w:t>
      </w:r>
      <w:r w:rsidR="00EE6691">
        <w:t>ed</w:t>
      </w:r>
      <w:r w:rsidRPr="00C438F5">
        <w:t xml:space="preserve"> this </w:t>
      </w:r>
      <w:r w:rsidR="00EE6691">
        <w:t>referral right</w:t>
      </w:r>
      <w:r w:rsidRPr="00C438F5">
        <w:t xml:space="preserve"> be </w:t>
      </w:r>
      <w:r w:rsidR="00C20719">
        <w:t>subject to a condition</w:t>
      </w:r>
      <w:r w:rsidRPr="00986306">
        <w:t xml:space="preserve"> on carriers</w:t>
      </w:r>
      <w:r w:rsidRPr="00C438F5">
        <w:t xml:space="preserve"> having engaged in good faith to reso</w:t>
      </w:r>
      <w:r w:rsidR="00326B2A">
        <w:t>lve objections with landowners.</w:t>
      </w:r>
    </w:p>
    <w:p w14:paraId="4F2B97CD" w14:textId="7860171C" w:rsidR="00C956B0" w:rsidRDefault="00C956B0" w:rsidP="009F4E43">
      <w:pPr>
        <w:pStyle w:val="Listparagraphbullets"/>
      </w:pPr>
      <w:r w:rsidRPr="00C438F5">
        <w:t xml:space="preserve">Carriers </w:t>
      </w:r>
      <w:r w:rsidR="00EE6691">
        <w:t>supported the implementation of the new referral right.</w:t>
      </w:r>
    </w:p>
    <w:p w14:paraId="313E0F79" w14:textId="3110B641" w:rsidR="008C07F6" w:rsidRDefault="001E2D0B" w:rsidP="00F23567">
      <w:pPr>
        <w:pStyle w:val="Heading5"/>
      </w:pPr>
      <w:r w:rsidRPr="001E2D0B">
        <w:lastRenderedPageBreak/>
        <w:t xml:space="preserve">Deadline </w:t>
      </w:r>
      <w:r w:rsidR="008C07F6">
        <w:t>for Referrals</w:t>
      </w:r>
    </w:p>
    <w:p w14:paraId="1D4571FB" w14:textId="48658E4C" w:rsidR="008C07F6" w:rsidRDefault="004D516D" w:rsidP="009F4E43">
      <w:pPr>
        <w:pStyle w:val="Listparagraphbullets"/>
      </w:pPr>
      <w:r w:rsidRPr="00C956B0">
        <w:t>Landowners support</w:t>
      </w:r>
      <w:r w:rsidR="004D3889">
        <w:t>ed</w:t>
      </w:r>
      <w:r w:rsidRPr="00C956B0">
        <w:t xml:space="preserve"> introducing a deadline for carriers to refer landowner-requested objections to </w:t>
      </w:r>
      <w:r w:rsidR="006E1E77">
        <w:t xml:space="preserve">the </w:t>
      </w:r>
      <w:r w:rsidRPr="00C956B0">
        <w:t>TIO.</w:t>
      </w:r>
    </w:p>
    <w:p w14:paraId="6495046D" w14:textId="0687B8C5" w:rsidR="004D516D" w:rsidRPr="00C956B0" w:rsidRDefault="004D516D" w:rsidP="009F4E43">
      <w:pPr>
        <w:pStyle w:val="Listparagraphbullets"/>
      </w:pPr>
      <w:r w:rsidRPr="00C956B0">
        <w:t xml:space="preserve">Carriers object </w:t>
      </w:r>
      <w:r w:rsidR="00EE6691">
        <w:t xml:space="preserve">to the proposal </w:t>
      </w:r>
      <w:r w:rsidRPr="00C956B0">
        <w:t>on grounds of administrative burden.</w:t>
      </w:r>
    </w:p>
    <w:p w14:paraId="6946104A" w14:textId="77777777" w:rsidR="009F4E43" w:rsidRDefault="00F657E3" w:rsidP="00F23567">
      <w:pPr>
        <w:pStyle w:val="Heading4"/>
      </w:pPr>
      <w:bookmarkStart w:id="192" w:name="_Toc58492210"/>
      <w:r w:rsidRPr="00F657E3">
        <w:t>Addressing your responses</w:t>
      </w:r>
      <w:bookmarkEnd w:id="192"/>
    </w:p>
    <w:p w14:paraId="1516D215" w14:textId="72CC6DB6" w:rsidR="00EE6691" w:rsidRDefault="00741226" w:rsidP="009F4E43">
      <w:pPr>
        <w:pStyle w:val="Listparagraphbullets"/>
      </w:pPr>
      <w:r>
        <w:t>The Government proposes to amend t</w:t>
      </w:r>
      <w:r w:rsidR="00EE6691">
        <w:t xml:space="preserve">he </w:t>
      </w:r>
      <w:r w:rsidR="000473E0">
        <w:t xml:space="preserve">Code of Practice </w:t>
      </w:r>
      <w:r w:rsidR="00EE6691">
        <w:t xml:space="preserve">to </w:t>
      </w:r>
      <w:r w:rsidR="000473E0">
        <w:t xml:space="preserve">include provisions </w:t>
      </w:r>
      <w:r w:rsidR="00C20719">
        <w:t xml:space="preserve">to </w:t>
      </w:r>
      <w:r w:rsidR="00EE6691">
        <w:t xml:space="preserve">allow carriers to </w:t>
      </w:r>
      <w:r w:rsidR="000473E0">
        <w:t xml:space="preserve">also </w:t>
      </w:r>
      <w:r w:rsidR="00EE6691">
        <w:t>refer objections</w:t>
      </w:r>
      <w:r w:rsidR="00C20719">
        <w:t xml:space="preserve"> to the TIO</w:t>
      </w:r>
      <w:r w:rsidR="00EE6691">
        <w:t xml:space="preserve">. </w:t>
      </w:r>
      <w:r w:rsidR="00C20719">
        <w:t>The</w:t>
      </w:r>
      <w:r w:rsidR="000473E0">
        <w:t xml:space="preserve"> provision</w:t>
      </w:r>
      <w:r w:rsidR="00C20719">
        <w:t xml:space="preserve">s </w:t>
      </w:r>
      <w:r w:rsidR="00A33E4C">
        <w:t xml:space="preserve">would </w:t>
      </w:r>
      <w:r w:rsidR="000473E0">
        <w:t>mak</w:t>
      </w:r>
      <w:r w:rsidR="00C20719">
        <w:t>e</w:t>
      </w:r>
      <w:r w:rsidR="000473E0">
        <w:t xml:space="preserve"> </w:t>
      </w:r>
      <w:r w:rsidR="00C20719">
        <w:t xml:space="preserve">it </w:t>
      </w:r>
      <w:r w:rsidR="000473E0">
        <w:t xml:space="preserve">clear that referral can occur only after </w:t>
      </w:r>
      <w:r w:rsidR="007427CD">
        <w:t>carriers having</w:t>
      </w:r>
      <w:r w:rsidR="00EE6691">
        <w:t xml:space="preserve"> first made genuine attempts to r</w:t>
      </w:r>
      <w:r w:rsidR="00F11B8E">
        <w:t xml:space="preserve">esolve </w:t>
      </w:r>
      <w:r w:rsidR="000473E0">
        <w:t xml:space="preserve">any issues </w:t>
      </w:r>
      <w:r w:rsidR="00F11B8E">
        <w:t>with landowners.</w:t>
      </w:r>
    </w:p>
    <w:p w14:paraId="6268EB80" w14:textId="51E30386" w:rsidR="006E1E77" w:rsidRDefault="00741226" w:rsidP="009F4E43">
      <w:pPr>
        <w:pStyle w:val="Listparagraphbullets"/>
      </w:pPr>
      <w:r>
        <w:t>The Government also proposes to amend t</w:t>
      </w:r>
      <w:r w:rsidR="00F11B8E">
        <w:t>he current TIO referral provisions to introduce a deadline for carriers to refer landowner-requested objections.</w:t>
      </w:r>
    </w:p>
    <w:p w14:paraId="55AE83F3" w14:textId="77777777" w:rsidR="009F4E43" w:rsidRDefault="00C438F5" w:rsidP="00F23567">
      <w:pPr>
        <w:pStyle w:val="Heading4"/>
      </w:pPr>
      <w:bookmarkStart w:id="193" w:name="_Toc58492211"/>
      <w:r>
        <w:t xml:space="preserve">Next </w:t>
      </w:r>
      <w:r w:rsidR="00E60CB8">
        <w:t>s</w:t>
      </w:r>
      <w:bookmarkEnd w:id="193"/>
      <w:r w:rsidR="00E60CB8">
        <w:t>teps</w:t>
      </w:r>
    </w:p>
    <w:p w14:paraId="6A8554A5" w14:textId="0A3F4F58" w:rsidR="009F4E43" w:rsidRDefault="00C20719" w:rsidP="009C0C12">
      <w:pPr>
        <w:spacing w:line="259" w:lineRule="auto"/>
      </w:pPr>
      <w:bookmarkStart w:id="194" w:name="_Toc45545593"/>
      <w:bookmarkStart w:id="195" w:name="_Toc45642093"/>
      <w:bookmarkStart w:id="196" w:name="_Toc45649109"/>
      <w:bookmarkStart w:id="197" w:name="_Toc45713986"/>
      <w:bookmarkStart w:id="198" w:name="_Toc47090233"/>
      <w:bookmarkStart w:id="199" w:name="_Toc58424279"/>
      <w:r w:rsidRPr="00C20719">
        <w:t xml:space="preserve">The Government will </w:t>
      </w:r>
      <w:r w:rsidR="00741226">
        <w:t xml:space="preserve">seek comments on proposals to </w:t>
      </w:r>
      <w:r w:rsidRPr="00C20719">
        <w:t>implement the change</w:t>
      </w:r>
      <w:r>
        <w:t>s</w:t>
      </w:r>
      <w:r w:rsidR="00EF1D00">
        <w:t xml:space="preserve"> to the Code of Practice</w:t>
      </w:r>
      <w:r w:rsidRPr="00C20719">
        <w:t xml:space="preserve"> </w:t>
      </w:r>
      <w:r>
        <w:t>allow</w:t>
      </w:r>
      <w:r w:rsidR="00EF1D00">
        <w:t>ing</w:t>
      </w:r>
      <w:r>
        <w:t xml:space="preserve"> a carrier to refer objections to the TIO and </w:t>
      </w:r>
      <w:r w:rsidR="00EF1D00">
        <w:t>including</w:t>
      </w:r>
      <w:r>
        <w:t xml:space="preserve"> a deadline for carriers to refer objections to the TIO </w:t>
      </w:r>
      <w:r w:rsidR="00EF1D00">
        <w:t xml:space="preserve">after a landowner request in Tranche One of the reforms. </w:t>
      </w:r>
      <w:r w:rsidRPr="00C20719">
        <w:t xml:space="preserve">The exposure draft of the amended Code of Practice will be released for further consultation. </w:t>
      </w:r>
      <w:r w:rsidR="00677CF7" w:rsidRPr="005B4DC1">
        <w:t xml:space="preserve">Further information about Tranche One </w:t>
      </w:r>
      <w:r w:rsidR="00677CF7">
        <w:t>is</w:t>
      </w:r>
      <w:r w:rsidR="00677CF7" w:rsidRPr="005B4DC1">
        <w:t xml:space="preserve"> set out in the section ‘Next steps and conclusion’</w:t>
      </w:r>
      <w:r w:rsidR="009F4E43">
        <w:t>.</w:t>
      </w:r>
    </w:p>
    <w:p w14:paraId="00186381" w14:textId="05AE7B34" w:rsidR="005F6830" w:rsidRDefault="005F6830" w:rsidP="00204FAC">
      <w:pPr>
        <w:pStyle w:val="Heading3"/>
        <w:numPr>
          <w:ilvl w:val="0"/>
          <w:numId w:val="3"/>
        </w:numPr>
      </w:pPr>
      <w:bookmarkStart w:id="200" w:name="_Toc58505232"/>
      <w:bookmarkStart w:id="201" w:name="_Toc62475797"/>
      <w:r>
        <w:t>Removal of redundant equipment</w:t>
      </w:r>
      <w:bookmarkEnd w:id="194"/>
      <w:bookmarkEnd w:id="195"/>
      <w:bookmarkEnd w:id="196"/>
      <w:bookmarkEnd w:id="197"/>
      <w:bookmarkEnd w:id="198"/>
      <w:bookmarkEnd w:id="199"/>
      <w:bookmarkEnd w:id="200"/>
      <w:bookmarkEnd w:id="201"/>
    </w:p>
    <w:p w14:paraId="765EC24C" w14:textId="77777777" w:rsidR="00374C35" w:rsidRDefault="00374C35" w:rsidP="00F23567">
      <w:pPr>
        <w:pStyle w:val="Heading4"/>
      </w:pPr>
      <w:bookmarkStart w:id="202" w:name="_Toc58424280"/>
      <w:r>
        <w:t>Aim of Proposal</w:t>
      </w:r>
    </w:p>
    <w:p w14:paraId="37CFF19D" w14:textId="67BF065F" w:rsidR="004D516D" w:rsidRPr="00EF1D00" w:rsidRDefault="00585D54" w:rsidP="00D80A1A">
      <w:pPr>
        <w:pStyle w:val="Normaldisclaimerpage"/>
        <w:rPr>
          <w:sz w:val="21"/>
          <w:szCs w:val="21"/>
        </w:rPr>
      </w:pPr>
      <w:r w:rsidRPr="00EF1D00">
        <w:rPr>
          <w:sz w:val="21"/>
          <w:szCs w:val="21"/>
        </w:rPr>
        <w:t>The consultation paper sought</w:t>
      </w:r>
      <w:r w:rsidR="00B54628" w:rsidRPr="00EF1D00">
        <w:rPr>
          <w:sz w:val="21"/>
          <w:szCs w:val="21"/>
        </w:rPr>
        <w:t xml:space="preserve"> </w:t>
      </w:r>
      <w:r w:rsidR="003C284D" w:rsidRPr="00EF1D00">
        <w:rPr>
          <w:sz w:val="21"/>
          <w:szCs w:val="21"/>
        </w:rPr>
        <w:t>information</w:t>
      </w:r>
      <w:r w:rsidR="00F11B8E" w:rsidRPr="00EF1D00">
        <w:rPr>
          <w:sz w:val="21"/>
          <w:szCs w:val="21"/>
        </w:rPr>
        <w:t xml:space="preserve"> from stakeholders</w:t>
      </w:r>
      <w:r w:rsidR="00B54628" w:rsidRPr="00EF1D00">
        <w:rPr>
          <w:sz w:val="21"/>
          <w:szCs w:val="21"/>
        </w:rPr>
        <w:t xml:space="preserve"> on the prevalence</w:t>
      </w:r>
      <w:r w:rsidRPr="00EF1D00">
        <w:rPr>
          <w:sz w:val="21"/>
          <w:szCs w:val="21"/>
        </w:rPr>
        <w:t xml:space="preserve"> </w:t>
      </w:r>
      <w:r w:rsidR="00B54628" w:rsidRPr="00EF1D00">
        <w:rPr>
          <w:sz w:val="21"/>
          <w:szCs w:val="21"/>
        </w:rPr>
        <w:t xml:space="preserve">of </w:t>
      </w:r>
      <w:r w:rsidRPr="00EF1D00">
        <w:rPr>
          <w:sz w:val="21"/>
          <w:szCs w:val="21"/>
        </w:rPr>
        <w:t>redundant equipment</w:t>
      </w:r>
      <w:r w:rsidR="00F11B8E" w:rsidRPr="00EF1D00">
        <w:rPr>
          <w:sz w:val="21"/>
          <w:szCs w:val="21"/>
        </w:rPr>
        <w:t>,</w:t>
      </w:r>
      <w:r w:rsidR="00B54628" w:rsidRPr="00EF1D00">
        <w:rPr>
          <w:sz w:val="21"/>
          <w:szCs w:val="21"/>
        </w:rPr>
        <w:t xml:space="preserve"> </w:t>
      </w:r>
      <w:r w:rsidRPr="00EF1D00">
        <w:rPr>
          <w:sz w:val="21"/>
          <w:szCs w:val="21"/>
        </w:rPr>
        <w:t>and</w:t>
      </w:r>
      <w:r w:rsidR="00F11B8E" w:rsidRPr="00EF1D00">
        <w:rPr>
          <w:sz w:val="21"/>
          <w:szCs w:val="21"/>
        </w:rPr>
        <w:t xml:space="preserve"> how such redundant equipment </w:t>
      </w:r>
      <w:r w:rsidR="007427CD" w:rsidRPr="00EF1D00">
        <w:rPr>
          <w:sz w:val="21"/>
          <w:szCs w:val="21"/>
        </w:rPr>
        <w:t>negatively impacted landowner operations</w:t>
      </w:r>
      <w:r w:rsidR="00676D6C">
        <w:rPr>
          <w:sz w:val="21"/>
          <w:szCs w:val="21"/>
        </w:rPr>
        <w:t xml:space="preserve">, to assist Government </w:t>
      </w:r>
      <w:r w:rsidR="00D35FDF" w:rsidRPr="007B355A">
        <w:rPr>
          <w:sz w:val="21"/>
          <w:szCs w:val="21"/>
        </w:rPr>
        <w:t xml:space="preserve">consideration of options </w:t>
      </w:r>
      <w:r w:rsidR="003C284D" w:rsidRPr="007B355A">
        <w:rPr>
          <w:sz w:val="21"/>
          <w:szCs w:val="21"/>
        </w:rPr>
        <w:t>for</w:t>
      </w:r>
      <w:r w:rsidR="00D35FDF" w:rsidRPr="007B355A">
        <w:rPr>
          <w:sz w:val="21"/>
          <w:szCs w:val="21"/>
        </w:rPr>
        <w:t xml:space="preserve"> the treatment of redundant </w:t>
      </w:r>
      <w:r w:rsidR="003C284D" w:rsidRPr="007B355A">
        <w:rPr>
          <w:sz w:val="21"/>
          <w:szCs w:val="21"/>
        </w:rPr>
        <w:t>equipment.</w:t>
      </w:r>
      <w:bookmarkEnd w:id="202"/>
    </w:p>
    <w:p w14:paraId="17AE6570" w14:textId="77777777" w:rsidR="009F4E43" w:rsidRDefault="00C438F5" w:rsidP="00F23567">
      <w:pPr>
        <w:pStyle w:val="Heading4"/>
      </w:pPr>
      <w:bookmarkStart w:id="203" w:name="_Toc58424281"/>
      <w:r>
        <w:t>What you told us</w:t>
      </w:r>
      <w:bookmarkEnd w:id="203"/>
    </w:p>
    <w:p w14:paraId="6636F4F1" w14:textId="39F218CE" w:rsidR="009F4E43" w:rsidRDefault="003C284D" w:rsidP="009F4E43">
      <w:pPr>
        <w:pStyle w:val="Listparagraphbullets"/>
      </w:pPr>
      <w:bookmarkStart w:id="204" w:name="_Toc58424282"/>
      <w:r>
        <w:t>Submissions from l</w:t>
      </w:r>
      <w:r w:rsidR="00F11B8E">
        <w:t xml:space="preserve">andowners confirmed </w:t>
      </w:r>
      <w:r w:rsidR="004D516D" w:rsidRPr="004D516D">
        <w:t xml:space="preserve">the </w:t>
      </w:r>
      <w:r w:rsidR="00A76D26">
        <w:t>continued presence</w:t>
      </w:r>
      <w:r w:rsidR="00A76D26" w:rsidRPr="004D516D">
        <w:t xml:space="preserve"> </w:t>
      </w:r>
      <w:r w:rsidR="004D516D" w:rsidRPr="004D516D">
        <w:t>of redundant equipment</w:t>
      </w:r>
      <w:r w:rsidR="00A76D26">
        <w:t xml:space="preserve"> on land or infrastructure</w:t>
      </w:r>
      <w:r w:rsidR="004D516D" w:rsidRPr="004D516D">
        <w:t xml:space="preserve"> is </w:t>
      </w:r>
      <w:r w:rsidR="00427B7C">
        <w:t>of</w:t>
      </w:r>
      <w:r w:rsidR="004D516D" w:rsidRPr="004D516D">
        <w:t xml:space="preserve"> ongoing concern.</w:t>
      </w:r>
      <w:r w:rsidR="0064328E">
        <w:t xml:space="preserve"> </w:t>
      </w:r>
      <w:r w:rsidR="00F11B8E">
        <w:t>Landowner c</w:t>
      </w:r>
      <w:r w:rsidR="004D516D" w:rsidRPr="004D516D">
        <w:t xml:space="preserve">oncerns relate to increased safety risks in deteriorating equipment, diminished visual amenity, impairment of landowner usage of land, and </w:t>
      </w:r>
      <w:r w:rsidR="00EF1D00" w:rsidRPr="004D516D">
        <w:t>prevent</w:t>
      </w:r>
      <w:r w:rsidR="00EF1D00">
        <w:t>ing</w:t>
      </w:r>
      <w:r w:rsidR="00EF1D00" w:rsidRPr="004D516D">
        <w:t xml:space="preserve"> </w:t>
      </w:r>
      <w:r w:rsidR="00A76D26">
        <w:t xml:space="preserve">deployment of </w:t>
      </w:r>
      <w:r w:rsidR="004D516D" w:rsidRPr="004D516D">
        <w:t>newer technologies</w:t>
      </w:r>
      <w:r w:rsidR="009F4E43">
        <w:t>.</w:t>
      </w:r>
    </w:p>
    <w:p w14:paraId="0D4505FE" w14:textId="77777777" w:rsidR="009F4E43" w:rsidRDefault="00F11B8E" w:rsidP="009F4E43">
      <w:pPr>
        <w:pStyle w:val="Listparagraphbullets"/>
      </w:pPr>
      <w:r>
        <w:t>Landowners strongly support the introduction of a legislative requirement for carriers to remove redundant equipment</w:t>
      </w:r>
      <w:bookmarkEnd w:id="204"/>
      <w:r w:rsidR="009F4E43">
        <w:t>.</w:t>
      </w:r>
    </w:p>
    <w:p w14:paraId="1F49289E" w14:textId="77777777" w:rsidR="009F4E43" w:rsidRDefault="004D516D" w:rsidP="009F4E43">
      <w:pPr>
        <w:pStyle w:val="Listparagraphbullets"/>
      </w:pPr>
      <w:r w:rsidRPr="004D516D">
        <w:t xml:space="preserve">Carriers </w:t>
      </w:r>
      <w:r w:rsidR="00F11B8E">
        <w:t xml:space="preserve">indicated they </w:t>
      </w:r>
      <w:r w:rsidRPr="004D516D">
        <w:t xml:space="preserve">are willing </w:t>
      </w:r>
      <w:r w:rsidR="00585D54">
        <w:t>to</w:t>
      </w:r>
      <w:r w:rsidRPr="004D516D">
        <w:t xml:space="preserve"> support thi</w:t>
      </w:r>
      <w:r w:rsidR="00F11B8E">
        <w:t xml:space="preserve">s proposal </w:t>
      </w:r>
      <w:r w:rsidR="00A76D26">
        <w:t>if its application is limited</w:t>
      </w:r>
      <w:r w:rsidRPr="004D516D">
        <w:t xml:space="preserve"> </w:t>
      </w:r>
      <w:r w:rsidR="00A76D26">
        <w:t>to:</w:t>
      </w:r>
      <w:r w:rsidR="00A76D26" w:rsidRPr="004D516D">
        <w:t xml:space="preserve"> </w:t>
      </w:r>
      <w:r w:rsidRPr="004D516D">
        <w:t>specific types of facilities</w:t>
      </w:r>
      <w:r w:rsidR="00EF1D00">
        <w:t>;</w:t>
      </w:r>
      <w:r w:rsidRPr="004D516D">
        <w:t xml:space="preserve"> for specific classes of landowners</w:t>
      </w:r>
      <w:r w:rsidR="00EF1D00">
        <w:t>;</w:t>
      </w:r>
      <w:r w:rsidRPr="004D516D">
        <w:t xml:space="preserve"> only on request</w:t>
      </w:r>
      <w:r w:rsidR="00EF1D00">
        <w:t>;</w:t>
      </w:r>
      <w:r w:rsidRPr="004D516D">
        <w:t xml:space="preserve"> where</w:t>
      </w:r>
      <w:r w:rsidR="000F6B83">
        <w:t xml:space="preserve"> removal is reasonable</w:t>
      </w:r>
      <w:r w:rsidR="00EF1D00">
        <w:t>;</w:t>
      </w:r>
      <w:r>
        <w:t xml:space="preserve"> and the equipment is</w:t>
      </w:r>
      <w:r w:rsidR="004D3889">
        <w:t xml:space="preserve"> </w:t>
      </w:r>
      <w:r>
        <w:t>n</w:t>
      </w:r>
      <w:r w:rsidR="004D3889">
        <w:t>o</w:t>
      </w:r>
      <w:r>
        <w:t xml:space="preserve">t </w:t>
      </w:r>
      <w:r w:rsidR="00F11B8E">
        <w:t xml:space="preserve">capable of being repurposed. </w:t>
      </w:r>
      <w:r w:rsidR="0064328E">
        <w:t xml:space="preserve">Carriers are </w:t>
      </w:r>
      <w:r w:rsidR="00427B7C">
        <w:t xml:space="preserve">also </w:t>
      </w:r>
      <w:r w:rsidR="0064328E">
        <w:t>concerned this new requirement will substantially increase administrative and costs burdens</w:t>
      </w:r>
      <w:r w:rsidR="009F4E43">
        <w:t>.</w:t>
      </w:r>
    </w:p>
    <w:p w14:paraId="484D2EAB" w14:textId="77777777" w:rsidR="009F4E43" w:rsidRDefault="0064328E" w:rsidP="009F4E43">
      <w:pPr>
        <w:pStyle w:val="Listparagraphbullets"/>
      </w:pPr>
      <w:r>
        <w:t>Some carriers indicated that any requirement for removing redundant equipment should be implemented through an industry code, rather than a legislative instrument</w:t>
      </w:r>
      <w:r w:rsidR="009F4E43">
        <w:t>.</w:t>
      </w:r>
    </w:p>
    <w:p w14:paraId="7F2101F8" w14:textId="77777777" w:rsidR="009F4E43" w:rsidRDefault="00F657E3" w:rsidP="00F23567">
      <w:pPr>
        <w:pStyle w:val="Heading4"/>
      </w:pPr>
      <w:r w:rsidRPr="00F657E3">
        <w:lastRenderedPageBreak/>
        <w:t>Addressing your responses</w:t>
      </w:r>
    </w:p>
    <w:p w14:paraId="5A8AD37F" w14:textId="77777777" w:rsidR="009F4E43" w:rsidRDefault="0064328E" w:rsidP="009F4E43">
      <w:pPr>
        <w:pStyle w:val="Listparagraphbullets"/>
        <w:keepLines/>
      </w:pPr>
      <w:r>
        <w:t xml:space="preserve">The feedback we have received confirms that the management of redundant facilities is a key concern for landowners. </w:t>
      </w:r>
      <w:r w:rsidR="00A76D26">
        <w:t xml:space="preserve">This concern was </w:t>
      </w:r>
      <w:r w:rsidR="0085582C">
        <w:t xml:space="preserve">also </w:t>
      </w:r>
      <w:r w:rsidR="00A76D26">
        <w:t>recognised in the</w:t>
      </w:r>
      <w:r w:rsidR="005F7914">
        <w:t xml:space="preserve"> Standing Committee on Communications and the Arts</w:t>
      </w:r>
      <w:r w:rsidR="00A76D26">
        <w:t xml:space="preserve"> ‘Next Gen Future’ 5G inquiry, which recommended the Australian Government facilitate discussion </w:t>
      </w:r>
      <w:r w:rsidR="00EF1D00">
        <w:t xml:space="preserve">between carriers and landowners </w:t>
      </w:r>
      <w:r w:rsidR="00A76D26">
        <w:t>for managing redundant and ageing telecommunications equipment.</w:t>
      </w:r>
      <w:r w:rsidR="005F7914">
        <w:rPr>
          <w:rStyle w:val="FootnoteReference"/>
        </w:rPr>
        <w:footnoteReference w:id="3"/>
      </w:r>
    </w:p>
    <w:p w14:paraId="3FAB024C" w14:textId="30557C35" w:rsidR="009F4E43" w:rsidRDefault="00EF1D00" w:rsidP="009F4E43">
      <w:pPr>
        <w:pStyle w:val="Listparagraphbullets"/>
      </w:pPr>
      <w:r>
        <w:t xml:space="preserve">The extent of the problem </w:t>
      </w:r>
      <w:r w:rsidR="00111A1A">
        <w:t xml:space="preserve">that redundant equipment is causing is yet to be established. None of the submissions provided data or quantitative analysis of the extent of the problem on existing assets of infrastructure. </w:t>
      </w:r>
      <w:r w:rsidR="00103B7F">
        <w:t>The Department would welcome further information and evidence from stakeholders on this issue</w:t>
      </w:r>
      <w:r w:rsidR="009F4E43">
        <w:t>.</w:t>
      </w:r>
    </w:p>
    <w:p w14:paraId="33584BF8" w14:textId="77777777" w:rsidR="009F4E43" w:rsidRDefault="00C438F5" w:rsidP="00F23567">
      <w:pPr>
        <w:pStyle w:val="Heading4"/>
      </w:pPr>
      <w:r>
        <w:t xml:space="preserve">Next </w:t>
      </w:r>
      <w:r w:rsidR="00E60CB8">
        <w:t>steps</w:t>
      </w:r>
    </w:p>
    <w:p w14:paraId="1ACA9696" w14:textId="11ECD955" w:rsidR="00166CA5" w:rsidRDefault="00677CF7">
      <w:pPr>
        <w:spacing w:line="259" w:lineRule="auto"/>
      </w:pPr>
      <w:bookmarkStart w:id="205" w:name="_Toc58424284"/>
      <w:r>
        <w:t>T</w:t>
      </w:r>
      <w:r w:rsidR="00416368">
        <w:t xml:space="preserve">he Government </w:t>
      </w:r>
      <w:r w:rsidR="00111A1A">
        <w:t xml:space="preserve">supported the recommendation from the 5G inquiry to consider the treatment of redundant and ageing telecommunications equipment. The Government </w:t>
      </w:r>
      <w:r w:rsidR="00A33E4C">
        <w:t xml:space="preserve">proposes </w:t>
      </w:r>
      <w:r w:rsidR="00111A1A">
        <w:t xml:space="preserve">to implement a framework for carriers to remove redundant equipment and will consult on the </w:t>
      </w:r>
      <w:r w:rsidR="00427B7C">
        <w:t xml:space="preserve">parameters of any new requirement as part of the Tranche Two reforms. </w:t>
      </w:r>
      <w:bookmarkStart w:id="206" w:name="_Toc45545594"/>
      <w:bookmarkStart w:id="207" w:name="_Toc45642094"/>
      <w:bookmarkStart w:id="208" w:name="_Toc45649110"/>
      <w:bookmarkStart w:id="209" w:name="_Toc45713987"/>
      <w:bookmarkStart w:id="210" w:name="_Toc47090237"/>
      <w:r w:rsidR="00A631DC" w:rsidRPr="005B4DC1">
        <w:t>Further information about Tranche</w:t>
      </w:r>
      <w:r w:rsidR="00A631DC">
        <w:t>s</w:t>
      </w:r>
      <w:r w:rsidR="00A631DC" w:rsidRPr="005B4DC1">
        <w:t xml:space="preserve"> One </w:t>
      </w:r>
      <w:r w:rsidR="00A631DC">
        <w:t>and Two is</w:t>
      </w:r>
      <w:r w:rsidR="00A631DC" w:rsidRPr="005B4DC1">
        <w:t xml:space="preserve"> set out in the section ‘Next steps and conclusion’.</w:t>
      </w:r>
    </w:p>
    <w:p w14:paraId="05CEDD11" w14:textId="45122842" w:rsidR="00BF78EB" w:rsidRDefault="004D09F0" w:rsidP="00204FAC">
      <w:pPr>
        <w:pStyle w:val="Heading2"/>
        <w:numPr>
          <w:ilvl w:val="0"/>
          <w:numId w:val="6"/>
        </w:numPr>
        <w:ind w:left="357" w:hanging="357"/>
      </w:pPr>
      <w:bookmarkStart w:id="211" w:name="_Toc58505233"/>
      <w:bookmarkStart w:id="212" w:name="_Toc62475798"/>
      <w:r>
        <w:t>Facilitating s</w:t>
      </w:r>
      <w:r w:rsidR="00BF78EB">
        <w:t>ervices in line with community expectations</w:t>
      </w:r>
      <w:bookmarkEnd w:id="206"/>
      <w:bookmarkEnd w:id="207"/>
      <w:bookmarkEnd w:id="208"/>
      <w:bookmarkEnd w:id="209"/>
      <w:r>
        <w:t xml:space="preserve"> and to support economic growth</w:t>
      </w:r>
      <w:bookmarkEnd w:id="205"/>
      <w:bookmarkEnd w:id="210"/>
      <w:bookmarkEnd w:id="211"/>
      <w:bookmarkEnd w:id="212"/>
    </w:p>
    <w:p w14:paraId="5FF450F3" w14:textId="65FEA37A" w:rsidR="00BF78EB" w:rsidRDefault="005F6830" w:rsidP="00204FAC">
      <w:pPr>
        <w:pStyle w:val="Heading3"/>
        <w:numPr>
          <w:ilvl w:val="0"/>
          <w:numId w:val="4"/>
        </w:numPr>
      </w:pPr>
      <w:bookmarkStart w:id="213" w:name="_Toc45714027"/>
      <w:bookmarkStart w:id="214" w:name="_Toc45545595"/>
      <w:bookmarkStart w:id="215" w:name="_Toc45642095"/>
      <w:bookmarkStart w:id="216" w:name="_Toc45649111"/>
      <w:bookmarkStart w:id="217" w:name="_Toc45713988"/>
      <w:bookmarkStart w:id="218" w:name="_Toc47090238"/>
      <w:bookmarkStart w:id="219" w:name="_Toc58424285"/>
      <w:bookmarkStart w:id="220" w:name="_Toc58505234"/>
      <w:bookmarkStart w:id="221" w:name="_Toc62475799"/>
      <w:bookmarkEnd w:id="213"/>
      <w:r>
        <w:t>Improve coverage outcomes through better infrastructure, where</w:t>
      </w:r>
      <w:r w:rsidR="00533ED6">
        <w:t> </w:t>
      </w:r>
      <w:r>
        <w:t>safe</w:t>
      </w:r>
      <w:bookmarkEnd w:id="214"/>
      <w:bookmarkEnd w:id="215"/>
      <w:bookmarkEnd w:id="216"/>
      <w:bookmarkEnd w:id="217"/>
      <w:bookmarkEnd w:id="218"/>
      <w:bookmarkEnd w:id="219"/>
      <w:bookmarkEnd w:id="220"/>
      <w:bookmarkEnd w:id="221"/>
    </w:p>
    <w:p w14:paraId="0F3F5B8C" w14:textId="77777777" w:rsidR="00374C35" w:rsidRDefault="00374C35" w:rsidP="00D552C0">
      <w:pPr>
        <w:pStyle w:val="Heading4"/>
      </w:pPr>
      <w:bookmarkStart w:id="222" w:name="_Toc58424286"/>
      <w:r>
        <w:t>Aim of Proposal</w:t>
      </w:r>
    </w:p>
    <w:bookmarkEnd w:id="222"/>
    <w:p w14:paraId="48E3BB00" w14:textId="77777777" w:rsidR="009F4E43" w:rsidRDefault="00560661" w:rsidP="00871D70">
      <w:r>
        <w:t>A number of changes to the LIFD were proposed that would change the dimensions of existing items and introduce a new item to the Schedule t</w:t>
      </w:r>
      <w:r w:rsidR="00374C35">
        <w:t xml:space="preserve">o improve </w:t>
      </w:r>
      <w:r>
        <w:t xml:space="preserve">the </w:t>
      </w:r>
      <w:r w:rsidR="00374C35">
        <w:t>coverage</w:t>
      </w:r>
      <w:r w:rsidR="00D12F40">
        <w:t xml:space="preserve"> </w:t>
      </w:r>
      <w:r>
        <w:t xml:space="preserve">footprints </w:t>
      </w:r>
      <w:r w:rsidR="00D12F40">
        <w:t xml:space="preserve">of existing and </w:t>
      </w:r>
      <w:r>
        <w:t xml:space="preserve">future </w:t>
      </w:r>
      <w:r w:rsidR="00D12F40">
        <w:t>telecommunications services</w:t>
      </w:r>
      <w:r w:rsidR="00374C35">
        <w:t xml:space="preserve">. These proposed amendments would increase the maximum size of </w:t>
      </w:r>
      <w:r w:rsidR="00F47D00">
        <w:t xml:space="preserve">two </w:t>
      </w:r>
      <w:r w:rsidR="00D12F40">
        <w:t xml:space="preserve">existing items in the LIFD regarding </w:t>
      </w:r>
      <w:r w:rsidR="00374C35">
        <w:t xml:space="preserve">antennae protrusion and satellite dishes, and would introduce </w:t>
      </w:r>
      <w:r w:rsidR="00374C35" w:rsidRPr="00374C35">
        <w:t xml:space="preserve">radiocommunications lens antennae as a new </w:t>
      </w:r>
      <w:r w:rsidR="00374C35">
        <w:t xml:space="preserve">type of </w:t>
      </w:r>
      <w:r w:rsidR="00374C35" w:rsidRPr="00374C35">
        <w:t>low-impact facility</w:t>
      </w:r>
      <w:r w:rsidR="00374C35">
        <w:t xml:space="preserve">. </w:t>
      </w:r>
      <w:r>
        <w:t>While t</w:t>
      </w:r>
      <w:r w:rsidR="00374C35">
        <w:t xml:space="preserve">hese amendments </w:t>
      </w:r>
      <w:r w:rsidR="007427CD">
        <w:t>are</w:t>
      </w:r>
      <w:r w:rsidR="00374C35">
        <w:t xml:space="preserve"> intended to improve coverage</w:t>
      </w:r>
      <w:r>
        <w:t xml:space="preserve">, they also help </w:t>
      </w:r>
      <w:r w:rsidR="00374C35">
        <w:t>minimis</w:t>
      </w:r>
      <w:r>
        <w:t xml:space="preserve">e </w:t>
      </w:r>
      <w:r w:rsidR="00A537ED">
        <w:t>impact on visual amenity</w:t>
      </w:r>
      <w:r w:rsidR="00374C35">
        <w:t xml:space="preserve"> </w:t>
      </w:r>
      <w:r w:rsidR="00F47D00">
        <w:t>as</w:t>
      </w:r>
      <w:r w:rsidR="00374C35">
        <w:t xml:space="preserve"> the need for new, standalone facilities</w:t>
      </w:r>
      <w:r w:rsidR="00F47D00">
        <w:t xml:space="preserve"> in the same area would be reduced</w:t>
      </w:r>
      <w:r w:rsidR="009F4E43">
        <w:t>.</w:t>
      </w:r>
    </w:p>
    <w:p w14:paraId="237B4C6C" w14:textId="77777777" w:rsidR="009F4E43" w:rsidRDefault="00A01D90" w:rsidP="00D552C0">
      <w:pPr>
        <w:pStyle w:val="Heading4"/>
      </w:pPr>
      <w:bookmarkStart w:id="223" w:name="_Toc58424287"/>
      <w:r>
        <w:t>What you told us</w:t>
      </w:r>
      <w:bookmarkEnd w:id="223"/>
    </w:p>
    <w:p w14:paraId="7D06D38A" w14:textId="2DDA1C45" w:rsidR="00D679F6" w:rsidRDefault="00A537ED" w:rsidP="009F4E43">
      <w:pPr>
        <w:pStyle w:val="Listparagraphbullets"/>
      </w:pPr>
      <w:bookmarkStart w:id="224" w:name="_Toc58424288"/>
      <w:r>
        <w:t>Landowners expressed concerns with the proposal</w:t>
      </w:r>
      <w:r w:rsidR="00A96133">
        <w:t>s</w:t>
      </w:r>
      <w:r>
        <w:t xml:space="preserve">, on the grounds of </w:t>
      </w:r>
      <w:r w:rsidR="00D679F6">
        <w:t xml:space="preserve">diminished visual amenity and </w:t>
      </w:r>
      <w:r w:rsidR="00560661">
        <w:t xml:space="preserve">the </w:t>
      </w:r>
      <w:r w:rsidR="00D679F6">
        <w:t xml:space="preserve">structural integrity </w:t>
      </w:r>
      <w:r w:rsidR="00F47D00">
        <w:t>of expanded facilities</w:t>
      </w:r>
      <w:r w:rsidR="00D679F6">
        <w:t>.</w:t>
      </w:r>
    </w:p>
    <w:bookmarkEnd w:id="224"/>
    <w:p w14:paraId="32C25151" w14:textId="77777777" w:rsidR="009F4E43" w:rsidRDefault="00D679F6" w:rsidP="009F4E43">
      <w:pPr>
        <w:pStyle w:val="Listparagraphbullets"/>
      </w:pPr>
      <w:r>
        <w:t xml:space="preserve">Some landowners expressed fundamental concerns with the </w:t>
      </w:r>
      <w:r w:rsidR="007427CD">
        <w:t>LIFD</w:t>
      </w:r>
      <w:r w:rsidR="00F47D00">
        <w:t>, noting its purpose and content should be holistically reviewed</w:t>
      </w:r>
      <w:r w:rsidR="009F4E43">
        <w:t>.</w:t>
      </w:r>
    </w:p>
    <w:p w14:paraId="67F2260E" w14:textId="77777777" w:rsidR="009F4E43" w:rsidRDefault="00D679F6" w:rsidP="009F4E43">
      <w:pPr>
        <w:pStyle w:val="Listparagraphbullets"/>
      </w:pPr>
      <w:r>
        <w:t xml:space="preserve">Carriers expressed strong support for this proposal </w:t>
      </w:r>
      <w:r w:rsidR="00F47D00">
        <w:t>as</w:t>
      </w:r>
      <w:r>
        <w:t xml:space="preserve"> these amendments will improve coverage</w:t>
      </w:r>
      <w:r w:rsidR="00F47D00">
        <w:t xml:space="preserve"> footprints and</w:t>
      </w:r>
      <w:r>
        <w:t xml:space="preserve"> </w:t>
      </w:r>
      <w:r w:rsidR="00F47D00">
        <w:t xml:space="preserve">the </w:t>
      </w:r>
      <w:r>
        <w:t xml:space="preserve">quality </w:t>
      </w:r>
      <w:r w:rsidR="00F47D00">
        <w:t>of services used by all Australians</w:t>
      </w:r>
      <w:r w:rsidR="009F4E43">
        <w:t>.</w:t>
      </w:r>
    </w:p>
    <w:p w14:paraId="66EE5C4A" w14:textId="77777777" w:rsidR="009F4E43" w:rsidRDefault="00560661" w:rsidP="009F4E43">
      <w:pPr>
        <w:pStyle w:val="Listparagraphbullets"/>
      </w:pPr>
      <w:r>
        <w:lastRenderedPageBreak/>
        <w:t xml:space="preserve">The proposal </w:t>
      </w:r>
      <w:r w:rsidR="00F47D00">
        <w:t>enabl</w:t>
      </w:r>
      <w:r>
        <w:t xml:space="preserve">es </w:t>
      </w:r>
      <w:r w:rsidR="00D679F6">
        <w:t>greater co-location</w:t>
      </w:r>
      <w:r w:rsidR="00F47D00">
        <w:t xml:space="preserve"> of carrier infrastructure</w:t>
      </w:r>
      <w:r>
        <w:t xml:space="preserve"> and</w:t>
      </w:r>
      <w:r w:rsidR="00F47D00">
        <w:t xml:space="preserve"> </w:t>
      </w:r>
      <w:r w:rsidR="00D679F6">
        <w:t>reduce</w:t>
      </w:r>
      <w:r>
        <w:t>s</w:t>
      </w:r>
      <w:r w:rsidR="00D679F6">
        <w:t xml:space="preserve"> the need for new, standalone facilities. </w:t>
      </w:r>
      <w:r>
        <w:t>A reduced infrastructure footprint can be achieved by expanding the size of existing infrastructure, and this helps balance the impact on visual amenity</w:t>
      </w:r>
      <w:r w:rsidR="009F4E43">
        <w:t>.</w:t>
      </w:r>
    </w:p>
    <w:p w14:paraId="1D27C46A" w14:textId="77777777" w:rsidR="009F4E43" w:rsidRDefault="00D80A1A" w:rsidP="00D552C0">
      <w:pPr>
        <w:pStyle w:val="Heading4"/>
      </w:pPr>
      <w:r>
        <w:t>Addressing your responses</w:t>
      </w:r>
    </w:p>
    <w:p w14:paraId="744CE02C" w14:textId="054758D6" w:rsidR="009F4E43" w:rsidRDefault="0091017F" w:rsidP="009F4E43">
      <w:pPr>
        <w:pStyle w:val="Listparagraphbullets"/>
      </w:pPr>
      <w:r>
        <w:t xml:space="preserve">Statements that communities are prepared to accept a lesser quality of service in order to maintain visual amenity in their suburbs are acknowledged, however the </w:t>
      </w:r>
      <w:r w:rsidR="008006F2">
        <w:t xml:space="preserve">traffic volume of data and telecommunications usage </w:t>
      </w:r>
      <w:r>
        <w:t>in response to the COVID-19 pandemic</w:t>
      </w:r>
      <w:r w:rsidR="00103B7F">
        <w:t xml:space="preserve"> also indicates significant community demand for high-quality telecommunications services</w:t>
      </w:r>
      <w:r w:rsidR="009F4E43">
        <w:t>.</w:t>
      </w:r>
    </w:p>
    <w:p w14:paraId="08E618FD" w14:textId="77777777" w:rsidR="009F4E43" w:rsidRDefault="008006F2" w:rsidP="009F4E43">
      <w:pPr>
        <w:pStyle w:val="Listparagraphbullets"/>
      </w:pPr>
      <w:r>
        <w:t>The benefit of these proposals in expanding coverage footprints or providing greater backhaul capability for existing telecommunications services is needed in the current environment</w:t>
      </w:r>
      <w:r w:rsidR="004B5667">
        <w:t xml:space="preserve"> to assist in Australia’s recovery from the pandemic, and to support ongoing</w:t>
      </w:r>
      <w:r w:rsidR="00560661">
        <w:t>,</w:t>
      </w:r>
      <w:r w:rsidR="004B5667">
        <w:t xml:space="preserve"> changed arrangements</w:t>
      </w:r>
      <w:r w:rsidR="00560661">
        <w:t xml:space="preserve"> to the way we work, study and connect</w:t>
      </w:r>
      <w:r w:rsidR="009F4E43">
        <w:t>.</w:t>
      </w:r>
    </w:p>
    <w:p w14:paraId="22F4DB99" w14:textId="4440E6E1" w:rsidR="00F27D75" w:rsidRDefault="00F47D00" w:rsidP="009F4E43">
      <w:pPr>
        <w:pStyle w:val="Listparagraphbullets"/>
      </w:pPr>
      <w:r>
        <w:t xml:space="preserve">The concerns raised by landowners about the safety and structural integrity of expanded facilities are </w:t>
      </w:r>
      <w:r w:rsidR="008006F2">
        <w:t xml:space="preserve">able to be </w:t>
      </w:r>
      <w:r>
        <w:t xml:space="preserve">addressed by the implementation of other proposals </w:t>
      </w:r>
      <w:r w:rsidR="00103B7F">
        <w:t xml:space="preserve">in Tranche One </w:t>
      </w:r>
      <w:r>
        <w:t xml:space="preserve">such as </w:t>
      </w:r>
      <w:r w:rsidR="0091017F">
        <w:t>reinforcing the safety conditions carriers must comply with, along with the new requirement for engineering certification of facilities to be provided to landowners.</w:t>
      </w:r>
    </w:p>
    <w:p w14:paraId="2FEA2B59" w14:textId="77777777" w:rsidR="009F4E43" w:rsidRDefault="00A01D90" w:rsidP="00D552C0">
      <w:pPr>
        <w:pStyle w:val="Heading4"/>
      </w:pPr>
      <w:r>
        <w:t xml:space="preserve">Next </w:t>
      </w:r>
      <w:r w:rsidR="00E60CB8">
        <w:t>steps</w:t>
      </w:r>
    </w:p>
    <w:p w14:paraId="430B35B3" w14:textId="3730475B" w:rsidR="009F4E43" w:rsidRDefault="00EA66EB" w:rsidP="00932278">
      <w:r w:rsidRPr="00EA66EB">
        <w:t xml:space="preserve">The Government </w:t>
      </w:r>
      <w:r>
        <w:t xml:space="preserve">recognises the economic and social benefits </w:t>
      </w:r>
      <w:r w:rsidR="0098203D">
        <w:t>that</w:t>
      </w:r>
      <w:r>
        <w:t xml:space="preserve"> improved communications infrastructure </w:t>
      </w:r>
      <w:r w:rsidR="0098203D">
        <w:t xml:space="preserve">provides to the Australian community </w:t>
      </w:r>
      <w:r>
        <w:t xml:space="preserve">and </w:t>
      </w:r>
      <w:r w:rsidR="00BB782C">
        <w:t>proposes to</w:t>
      </w:r>
      <w:r w:rsidRPr="00EA66EB">
        <w:t xml:space="preserve"> implement the</w:t>
      </w:r>
      <w:r w:rsidR="00103B7F">
        <w:t>se</w:t>
      </w:r>
      <w:r w:rsidRPr="00EA66EB">
        <w:t xml:space="preserve"> changes to the </w:t>
      </w:r>
      <w:r>
        <w:t>LIFD</w:t>
      </w:r>
      <w:r w:rsidRPr="00EA66EB">
        <w:t xml:space="preserve"> in Tranche One of the reforms. The exposure draft of the amended </w:t>
      </w:r>
      <w:r>
        <w:t>LIFD</w:t>
      </w:r>
      <w:r w:rsidRPr="00EA66EB">
        <w:t xml:space="preserve"> will be released for further consultation. Further information about Tranche One is set out in the section ‘Next steps and conclusion’</w:t>
      </w:r>
      <w:r w:rsidR="009F4E43">
        <w:t>.</w:t>
      </w:r>
    </w:p>
    <w:p w14:paraId="038FE1B9" w14:textId="7E594DD1" w:rsidR="005F6830" w:rsidRDefault="005F6830" w:rsidP="00204FAC">
      <w:pPr>
        <w:pStyle w:val="Heading3"/>
        <w:numPr>
          <w:ilvl w:val="0"/>
          <w:numId w:val="4"/>
        </w:numPr>
      </w:pPr>
      <w:bookmarkStart w:id="225" w:name="_Toc45714029"/>
      <w:bookmarkStart w:id="226" w:name="_Toc45545596"/>
      <w:bookmarkStart w:id="227" w:name="_Toc45642096"/>
      <w:bookmarkStart w:id="228" w:name="_Toc45649112"/>
      <w:bookmarkStart w:id="229" w:name="_Toc45713989"/>
      <w:bookmarkStart w:id="230" w:name="_Toc47090242"/>
      <w:bookmarkStart w:id="231" w:name="_Toc58424290"/>
      <w:bookmarkStart w:id="232" w:name="_Toc58505235"/>
      <w:bookmarkStart w:id="233" w:name="_Toc62475800"/>
      <w:bookmarkEnd w:id="225"/>
      <w:r>
        <w:t>Improve coverage outcomes through tower extensions</w:t>
      </w:r>
      <w:bookmarkEnd w:id="226"/>
      <w:bookmarkEnd w:id="227"/>
      <w:bookmarkEnd w:id="228"/>
      <w:bookmarkEnd w:id="229"/>
      <w:bookmarkEnd w:id="230"/>
      <w:bookmarkEnd w:id="231"/>
      <w:bookmarkEnd w:id="232"/>
      <w:bookmarkEnd w:id="233"/>
    </w:p>
    <w:p w14:paraId="7A2009A8" w14:textId="77777777" w:rsidR="00EE70E5" w:rsidRDefault="00EE70E5" w:rsidP="00D552C0">
      <w:pPr>
        <w:pStyle w:val="Heading4"/>
      </w:pPr>
      <w:r>
        <w:t>Aim of Proposal</w:t>
      </w:r>
    </w:p>
    <w:p w14:paraId="2B3DCE55" w14:textId="77777777" w:rsidR="009F4E43" w:rsidRDefault="00516186" w:rsidP="00FF20F9">
      <w:r>
        <w:t xml:space="preserve">The consultation paper sought </w:t>
      </w:r>
      <w:r w:rsidR="00932278">
        <w:t>stakeholder</w:t>
      </w:r>
      <w:r>
        <w:t xml:space="preserve"> feedback on </w:t>
      </w:r>
      <w:r w:rsidR="00BB60AB">
        <w:t>classifying</w:t>
      </w:r>
      <w:r w:rsidR="00932278">
        <w:t xml:space="preserve"> </w:t>
      </w:r>
      <w:r w:rsidR="00CF2900">
        <w:t>tower extensions</w:t>
      </w:r>
      <w:r>
        <w:t xml:space="preserve"> up </w:t>
      </w:r>
      <w:r w:rsidR="00CF2900">
        <w:t>to 5 metres in commercial areas</w:t>
      </w:r>
      <w:r w:rsidR="004B2A01">
        <w:t xml:space="preserve"> as a low-impact activity</w:t>
      </w:r>
      <w:r w:rsidR="00CF2900">
        <w:t xml:space="preserve">. </w:t>
      </w:r>
      <w:r w:rsidR="00932278">
        <w:t xml:space="preserve">Currently, extensions of up to </w:t>
      </w:r>
      <w:r w:rsidR="004B2A01">
        <w:t xml:space="preserve">5 </w:t>
      </w:r>
      <w:r w:rsidR="00932278">
        <w:t xml:space="preserve">metres are permitted </w:t>
      </w:r>
      <w:r w:rsidR="00EA66EB">
        <w:t xml:space="preserve">on existing towers </w:t>
      </w:r>
      <w:r w:rsidR="00932278">
        <w:t xml:space="preserve">only in rural and industrial areas. </w:t>
      </w:r>
      <w:r w:rsidR="004B2A01">
        <w:t xml:space="preserve">Permitting tower extensions </w:t>
      </w:r>
      <w:r w:rsidR="00BB60AB">
        <w:t>facilitates</w:t>
      </w:r>
      <w:r w:rsidR="004B2A01">
        <w:t xml:space="preserve"> improved coverage and the </w:t>
      </w:r>
      <w:r w:rsidR="00EA66EB">
        <w:t xml:space="preserve">co-located </w:t>
      </w:r>
      <w:r w:rsidR="004B2A01">
        <w:t>deployment of new telecommunication technologies, while reducing the need for new facilities to be installed</w:t>
      </w:r>
      <w:r w:rsidR="009F4E43">
        <w:t>.</w:t>
      </w:r>
    </w:p>
    <w:p w14:paraId="6A3814D7" w14:textId="77777777" w:rsidR="009F4E43" w:rsidRDefault="00AE7754" w:rsidP="00D552C0">
      <w:pPr>
        <w:pStyle w:val="Heading4"/>
      </w:pPr>
      <w:bookmarkStart w:id="234" w:name="_Toc58424291"/>
      <w:r>
        <w:t>What you told us</w:t>
      </w:r>
      <w:bookmarkEnd w:id="234"/>
    </w:p>
    <w:p w14:paraId="7A26B788" w14:textId="458DC129" w:rsidR="009F4E43" w:rsidRDefault="00932278" w:rsidP="009F4E43">
      <w:pPr>
        <w:pStyle w:val="Listparagraphbullets"/>
      </w:pPr>
      <w:r>
        <w:t xml:space="preserve">Responses from landowners </w:t>
      </w:r>
      <w:r w:rsidR="0098203D">
        <w:t>showed primary concerns</w:t>
      </w:r>
      <w:r>
        <w:t xml:space="preserve"> relating to safety</w:t>
      </w:r>
      <w:r w:rsidR="0098203D">
        <w:t xml:space="preserve"> of the larger infrastructure</w:t>
      </w:r>
      <w:r>
        <w:t xml:space="preserve"> and visual amenity</w:t>
      </w:r>
      <w:r w:rsidR="0098203D">
        <w:t xml:space="preserve"> impacts</w:t>
      </w:r>
      <w:r w:rsidR="009F4E43">
        <w:t>.</w:t>
      </w:r>
    </w:p>
    <w:p w14:paraId="6EFA978F" w14:textId="77777777" w:rsidR="009F4E43" w:rsidRDefault="004B2A01" w:rsidP="009F4E43">
      <w:pPr>
        <w:pStyle w:val="Listparagraphbullets"/>
      </w:pPr>
      <w:r w:rsidRPr="00FF20F9">
        <w:t xml:space="preserve">There were some misconceptions amongst </w:t>
      </w:r>
      <w:r>
        <w:t xml:space="preserve">some </w:t>
      </w:r>
      <w:r w:rsidRPr="00FF20F9">
        <w:t xml:space="preserve">non-carrier stakeholders </w:t>
      </w:r>
      <w:r w:rsidR="0098203D">
        <w:t>about</w:t>
      </w:r>
      <w:r w:rsidRPr="00FF20F9">
        <w:t xml:space="preserve"> this proposal. Some stakeholders believed this was a proposal to encourage </w:t>
      </w:r>
      <w:r w:rsidR="0098203D">
        <w:t xml:space="preserve">greater </w:t>
      </w:r>
      <w:r>
        <w:t>tower</w:t>
      </w:r>
      <w:r w:rsidRPr="00FF20F9">
        <w:t xml:space="preserve"> deployment</w:t>
      </w:r>
      <w:r>
        <w:t xml:space="preserve"> </w:t>
      </w:r>
      <w:r w:rsidR="0098203D">
        <w:t xml:space="preserve">while others </w:t>
      </w:r>
      <w:r>
        <w:t>assumed this was an increase to the maximum height of new towers</w:t>
      </w:r>
      <w:r w:rsidR="009F4E43">
        <w:t>.</w:t>
      </w:r>
    </w:p>
    <w:p w14:paraId="4A7953C3" w14:textId="3A5BCE00" w:rsidR="00932278" w:rsidRDefault="00932278" w:rsidP="009F4E43">
      <w:pPr>
        <w:pStyle w:val="Listparagraphbullets"/>
      </w:pPr>
      <w:r>
        <w:t xml:space="preserve">Carriers advised that tower extensions </w:t>
      </w:r>
      <w:r w:rsidR="004B2A01">
        <w:t xml:space="preserve">will be necessary to facilitate the </w:t>
      </w:r>
      <w:r w:rsidR="004B5667">
        <w:t>co-location of telecommunications infrastructure</w:t>
      </w:r>
      <w:r w:rsidR="0098203D">
        <w:t xml:space="preserve"> in areas of higher density usage and</w:t>
      </w:r>
      <w:r w:rsidR="004B2A01">
        <w:t xml:space="preserve"> will improve coverage while again reducing the need for new</w:t>
      </w:r>
      <w:r w:rsidR="004B5667">
        <w:t>, standalone</w:t>
      </w:r>
      <w:r w:rsidR="004B2A01">
        <w:t xml:space="preserve"> facilities to be deployed.</w:t>
      </w:r>
    </w:p>
    <w:p w14:paraId="6452118A" w14:textId="77777777" w:rsidR="009F4E43" w:rsidRDefault="00D80A1A" w:rsidP="00D552C0">
      <w:pPr>
        <w:pStyle w:val="Heading4"/>
      </w:pPr>
      <w:r>
        <w:lastRenderedPageBreak/>
        <w:t>Addressing your responses</w:t>
      </w:r>
    </w:p>
    <w:p w14:paraId="16C228E8" w14:textId="048458DF" w:rsidR="0098203D" w:rsidRDefault="0098203D" w:rsidP="009F4E43">
      <w:pPr>
        <w:pStyle w:val="Listparagraphbullets"/>
        <w:keepLines/>
      </w:pPr>
      <w:r>
        <w:t>Towers and poles are unable to be specified as low-impact facilities and require development approval from local government to be installed. However, once installed the LIFD provides that carriers can extend the height of a tower using their powers and immunities if they meet certain conditions about the maximum height of the extension and the location of the tower. For example, the LIFD currently provides a maximum extension to the height of a tower located in industrial and rural areas of no greater than 5 metres. The proposal in the consultation paper sought to extend the current provision to commercial area</w:t>
      </w:r>
      <w:r w:rsidR="00103B7F">
        <w:t>s</w:t>
      </w:r>
      <w:r>
        <w:t>.</w:t>
      </w:r>
    </w:p>
    <w:p w14:paraId="5840E3D9" w14:textId="705B107A" w:rsidR="004B5667" w:rsidRDefault="00F27D75" w:rsidP="009F4E43">
      <w:pPr>
        <w:pStyle w:val="Listparagraphbullets"/>
      </w:pPr>
      <w:r>
        <w:t>Allowing tower extensions in commercial areas will have the benefit of increasing coverage in areas where there is a higher density of telecommunications usage. Concerns about diminished visual amenity are acknowledged and are largely balanced against the reduced need for additional infrastructure to be installed.</w:t>
      </w:r>
    </w:p>
    <w:p w14:paraId="10E921DC" w14:textId="6E508F9E" w:rsidR="00F27D75" w:rsidRDefault="00F27D75" w:rsidP="00DA714B">
      <w:pPr>
        <w:pStyle w:val="Listparagraphbullets"/>
        <w:spacing w:after="120"/>
      </w:pPr>
      <w:r w:rsidRPr="00F27D75">
        <w:t>The concerns raised by landowners about the safety and structural integrity of expanded facilities are able to be addressed by the implementation of other proposals</w:t>
      </w:r>
      <w:r w:rsidR="00103B7F">
        <w:t xml:space="preserve"> in Tranche One</w:t>
      </w:r>
      <w:r w:rsidRPr="00F27D75">
        <w:t xml:space="preserve"> such as reinforcing the safety conditions carriers must comply with, along with the new requirement for engineering certification of facilities to be provided to landowners.</w:t>
      </w:r>
    </w:p>
    <w:p w14:paraId="7EFE313B" w14:textId="77777777" w:rsidR="009F4E43" w:rsidRDefault="00AE7754" w:rsidP="00D552C0">
      <w:pPr>
        <w:pStyle w:val="Heading4"/>
      </w:pPr>
      <w:r>
        <w:t xml:space="preserve">Next </w:t>
      </w:r>
      <w:r w:rsidR="00E60CB8">
        <w:t>steps</w:t>
      </w:r>
    </w:p>
    <w:p w14:paraId="5FC55341" w14:textId="522E4A85" w:rsidR="009F4E43" w:rsidRDefault="00866DFA" w:rsidP="00DA714B">
      <w:pPr>
        <w:spacing w:after="120"/>
      </w:pPr>
      <w:bookmarkStart w:id="235" w:name="_Toc45706791"/>
      <w:bookmarkStart w:id="236" w:name="_Toc45707822"/>
      <w:bookmarkStart w:id="237" w:name="_Toc45709069"/>
      <w:bookmarkStart w:id="238" w:name="_Toc45709641"/>
      <w:bookmarkStart w:id="239" w:name="_Toc45713753"/>
      <w:bookmarkStart w:id="240" w:name="_Toc45713912"/>
      <w:bookmarkStart w:id="241" w:name="_Toc45713184"/>
      <w:bookmarkStart w:id="242" w:name="_Toc45713792"/>
      <w:bookmarkStart w:id="243" w:name="_Toc45713951"/>
      <w:bookmarkStart w:id="244" w:name="_Toc45713990"/>
      <w:bookmarkStart w:id="245" w:name="_Toc45714031"/>
      <w:bookmarkStart w:id="246" w:name="_Toc45645789"/>
      <w:bookmarkStart w:id="247" w:name="_Toc45649119"/>
      <w:bookmarkStart w:id="248" w:name="_Toc45651247"/>
      <w:bookmarkStart w:id="249" w:name="_Toc45645793"/>
      <w:bookmarkStart w:id="250" w:name="_Toc45649123"/>
      <w:bookmarkStart w:id="251" w:name="_Toc45651251"/>
      <w:bookmarkStart w:id="252" w:name="_Toc45645794"/>
      <w:bookmarkStart w:id="253" w:name="_Toc45649124"/>
      <w:bookmarkStart w:id="254" w:name="_Toc45651252"/>
      <w:bookmarkStart w:id="255" w:name="_Toc45645799"/>
      <w:bookmarkStart w:id="256" w:name="_Toc45649129"/>
      <w:bookmarkStart w:id="257" w:name="_Toc45651257"/>
      <w:bookmarkStart w:id="258" w:name="_Toc45645800"/>
      <w:bookmarkStart w:id="259" w:name="_Toc45649130"/>
      <w:bookmarkStart w:id="260" w:name="_Toc45651258"/>
      <w:bookmarkStart w:id="261" w:name="_Toc45645811"/>
      <w:bookmarkStart w:id="262" w:name="_Toc45649141"/>
      <w:bookmarkStart w:id="263" w:name="_Toc45651269"/>
      <w:bookmarkStart w:id="264" w:name="_Toc45645812"/>
      <w:bookmarkStart w:id="265" w:name="_Toc45649142"/>
      <w:bookmarkStart w:id="266" w:name="_Toc45651270"/>
      <w:bookmarkStart w:id="267" w:name="_Toc45645827"/>
      <w:bookmarkStart w:id="268" w:name="_Toc45649157"/>
      <w:bookmarkStart w:id="269" w:name="_Toc45651285"/>
      <w:bookmarkStart w:id="270" w:name="_Toc45645830"/>
      <w:bookmarkStart w:id="271" w:name="_Toc45649160"/>
      <w:bookmarkStart w:id="272" w:name="_Toc45651288"/>
      <w:bookmarkStart w:id="273" w:name="_Toc45645831"/>
      <w:bookmarkStart w:id="274" w:name="_Toc45649161"/>
      <w:bookmarkStart w:id="275" w:name="_Toc45651289"/>
      <w:bookmarkStart w:id="276" w:name="_Toc45545598"/>
      <w:bookmarkStart w:id="277" w:name="_Toc45642098"/>
      <w:bookmarkStart w:id="278" w:name="_Toc45649162"/>
      <w:bookmarkStart w:id="279" w:name="_Toc45713991"/>
      <w:bookmarkStart w:id="280" w:name="_Toc47090246"/>
      <w:bookmarkStart w:id="281" w:name="_Toc58424292"/>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66DFA">
        <w:t xml:space="preserve">The Government recognises the </w:t>
      </w:r>
      <w:r>
        <w:t>benefit</w:t>
      </w:r>
      <w:r w:rsidRPr="00866DFA">
        <w:t xml:space="preserve"> that </w:t>
      </w:r>
      <w:r>
        <w:t>this proposal would provide</w:t>
      </w:r>
      <w:r w:rsidRPr="00866DFA">
        <w:t xml:space="preserve"> to the Australian community and </w:t>
      </w:r>
      <w:r w:rsidR="00BB782C">
        <w:t>proposes to</w:t>
      </w:r>
      <w:r w:rsidRPr="00866DFA">
        <w:t xml:space="preserve"> implement the changes to the LIFD in Tranche One of the reforms. The exposure draft of the amended LIFD will be released for further consultation. Further information about Tranche One is set out in the section ‘Next steps and conclusion’</w:t>
      </w:r>
      <w:r w:rsidR="009F4E43">
        <w:t>.</w:t>
      </w:r>
    </w:p>
    <w:p w14:paraId="47091083" w14:textId="319FA205" w:rsidR="005F6830" w:rsidRDefault="005F6830" w:rsidP="00DA714B">
      <w:pPr>
        <w:pStyle w:val="Heading3"/>
        <w:numPr>
          <w:ilvl w:val="0"/>
          <w:numId w:val="4"/>
        </w:numPr>
      </w:pPr>
      <w:bookmarkStart w:id="282" w:name="_Toc58505236"/>
      <w:bookmarkStart w:id="283" w:name="_Toc62475801"/>
      <w:r>
        <w:t>Allowing deployment on poles rather than on utilities</w:t>
      </w:r>
      <w:bookmarkEnd w:id="276"/>
      <w:bookmarkEnd w:id="277"/>
      <w:bookmarkEnd w:id="278"/>
      <w:bookmarkEnd w:id="279"/>
      <w:bookmarkEnd w:id="280"/>
      <w:bookmarkEnd w:id="281"/>
      <w:bookmarkEnd w:id="282"/>
      <w:bookmarkEnd w:id="283"/>
    </w:p>
    <w:p w14:paraId="15D88522" w14:textId="77777777" w:rsidR="00262AA8" w:rsidRDefault="00262AA8" w:rsidP="00D552C0">
      <w:pPr>
        <w:pStyle w:val="Heading4"/>
      </w:pPr>
      <w:bookmarkStart w:id="284" w:name="_Toc58424295"/>
      <w:r>
        <w:t>Aim of Proposal</w:t>
      </w:r>
    </w:p>
    <w:p w14:paraId="6E4FC397" w14:textId="77777777" w:rsidR="009F4E43" w:rsidRDefault="00262AA8" w:rsidP="00DA714B">
      <w:pPr>
        <w:spacing w:after="120"/>
      </w:pPr>
      <w:r>
        <w:t>The deployment of 5G</w:t>
      </w:r>
      <w:r>
        <w:rPr>
          <w:szCs w:val="21"/>
        </w:rPr>
        <w:t xml:space="preserve">, particularly millimetre wave technology, </w:t>
      </w:r>
      <w:r>
        <w:t xml:space="preserve">will require </w:t>
      </w:r>
      <w:r w:rsidR="00F27D75">
        <w:t xml:space="preserve">telecommunications infrastructure to be deployed in a </w:t>
      </w:r>
      <w:r>
        <w:t xml:space="preserve">higher density </w:t>
      </w:r>
      <w:r w:rsidR="00F27D75">
        <w:t>than what is currently observed in our metropolitan and suburban environments</w:t>
      </w:r>
      <w:r>
        <w:t xml:space="preserve">. </w:t>
      </w:r>
      <w:r w:rsidR="008803F5">
        <w:t xml:space="preserve">The consultation paper tested whether </w:t>
      </w:r>
      <w:r>
        <w:t xml:space="preserve">smart poles </w:t>
      </w:r>
      <w:r w:rsidR="008803F5">
        <w:t>could be specified as a low-impact facility</w:t>
      </w:r>
      <w:r>
        <w:t xml:space="preserve"> </w:t>
      </w:r>
      <w:r w:rsidR="008803F5">
        <w:t xml:space="preserve">to help make 5G available </w:t>
      </w:r>
      <w:r w:rsidR="00866DFA">
        <w:t xml:space="preserve">to the community in a more efficient way, such as removing the need for a protracted development approval process, </w:t>
      </w:r>
      <w:r>
        <w:t>while minimising the impact on local visual amenity</w:t>
      </w:r>
      <w:r w:rsidR="009F4E43">
        <w:t>.</w:t>
      </w:r>
    </w:p>
    <w:p w14:paraId="503ECAF7" w14:textId="3EE18FA0" w:rsidR="00262AA8" w:rsidRDefault="00262AA8" w:rsidP="00D552C0">
      <w:pPr>
        <w:pStyle w:val="Heading4"/>
      </w:pPr>
      <w:r>
        <w:t>What you told us</w:t>
      </w:r>
    </w:p>
    <w:p w14:paraId="3B4482CE" w14:textId="77777777" w:rsidR="009F4E43" w:rsidRDefault="00262AA8" w:rsidP="009F4E43">
      <w:pPr>
        <w:pStyle w:val="Listparagraphbullets"/>
      </w:pPr>
      <w:r>
        <w:t xml:space="preserve">Landowners expressed concern about </w:t>
      </w:r>
      <w:r w:rsidR="008803F5">
        <w:t xml:space="preserve">specifying </w:t>
      </w:r>
      <w:r>
        <w:t xml:space="preserve">smart poles as a low-impact facility. These concerns extend to the dimensions of smart poles, visual design, costs arrangements, </w:t>
      </w:r>
      <w:r w:rsidR="00866DFA">
        <w:t xml:space="preserve">determining </w:t>
      </w:r>
      <w:r>
        <w:t xml:space="preserve">pole locations, and ownership </w:t>
      </w:r>
      <w:r w:rsidR="00866DFA">
        <w:t>matters</w:t>
      </w:r>
      <w:r w:rsidR="009F4E43">
        <w:t>.</w:t>
      </w:r>
    </w:p>
    <w:p w14:paraId="0EE3ADA4" w14:textId="77777777" w:rsidR="009F4E43" w:rsidRDefault="00866DFA" w:rsidP="009F4E43">
      <w:pPr>
        <w:pStyle w:val="Listparagraphbullets"/>
      </w:pPr>
      <w:r>
        <w:t xml:space="preserve">Carriers confirmed that the rollout of 5G will require higher density deployment and that a development approval process for each smart pole renders deployment uneconomic. </w:t>
      </w:r>
      <w:r w:rsidR="00262AA8">
        <w:t xml:space="preserve">Carriers </w:t>
      </w:r>
      <w:r w:rsidR="008803F5">
        <w:t>argue</w:t>
      </w:r>
      <w:r w:rsidR="00262AA8">
        <w:t xml:space="preserve"> that smart poles </w:t>
      </w:r>
      <w:r w:rsidR="008803F5">
        <w:t xml:space="preserve">would </w:t>
      </w:r>
      <w:r w:rsidR="00262AA8">
        <w:t>improve coverage and quality</w:t>
      </w:r>
      <w:r w:rsidR="008803F5">
        <w:t xml:space="preserve"> of service</w:t>
      </w:r>
      <w:r w:rsidR="00262AA8">
        <w:t>, while utilising a more discrete design</w:t>
      </w:r>
      <w:r w:rsidR="009F4E43">
        <w:t>.</w:t>
      </w:r>
    </w:p>
    <w:p w14:paraId="20474C2A" w14:textId="4E5ADD2C" w:rsidR="00262AA8" w:rsidRDefault="00262AA8" w:rsidP="00D552C0">
      <w:pPr>
        <w:pStyle w:val="Heading4"/>
      </w:pPr>
      <w:r>
        <w:t>Addressing your responses</w:t>
      </w:r>
    </w:p>
    <w:p w14:paraId="71F0EEEE" w14:textId="2E1B392A" w:rsidR="00262AA8" w:rsidRDefault="008803F5" w:rsidP="009F4E43">
      <w:pPr>
        <w:pStyle w:val="Listparagraphbullets"/>
        <w:keepLines/>
      </w:pPr>
      <w:r>
        <w:t xml:space="preserve">It is recognised that </w:t>
      </w:r>
      <w:r w:rsidR="00262AA8">
        <w:t>smart poles</w:t>
      </w:r>
      <w:r>
        <w:t>, or a variant thereof,</w:t>
      </w:r>
      <w:r w:rsidR="00262AA8">
        <w:t xml:space="preserve"> will be integral to the effective roll out of 5G and millimetre wave </w:t>
      </w:r>
      <w:r>
        <w:t xml:space="preserve">technologies and the development of a policy that would enable smart poles to be deployed </w:t>
      </w:r>
      <w:r w:rsidR="004D3889">
        <w:t xml:space="preserve">as low-impact facilities </w:t>
      </w:r>
      <w:r>
        <w:t xml:space="preserve">must necessarily address the </w:t>
      </w:r>
      <w:r w:rsidR="00262AA8">
        <w:t>concerns raised by landowners.</w:t>
      </w:r>
    </w:p>
    <w:p w14:paraId="22D7033D" w14:textId="77777777" w:rsidR="009F4E43" w:rsidRDefault="00E60CB8" w:rsidP="00D552C0">
      <w:pPr>
        <w:pStyle w:val="Heading4"/>
      </w:pPr>
      <w:r>
        <w:lastRenderedPageBreak/>
        <w:t>Next steps</w:t>
      </w:r>
    </w:p>
    <w:p w14:paraId="10813144" w14:textId="575CEC03" w:rsidR="00262AA8" w:rsidRDefault="00866DFA" w:rsidP="00262AA8">
      <w:r>
        <w:t xml:space="preserve">The Government’s strategy is to support the timely rollout of 5G to </w:t>
      </w:r>
      <w:r w:rsidR="006D4545">
        <w:t>enable</w:t>
      </w:r>
      <w:r>
        <w:t xml:space="preserve"> Australia’s e</w:t>
      </w:r>
      <w:r w:rsidR="006D4545">
        <w:t>conomic productivity and growth. Balancing the interests of carriers and landowners is necessary for this proposal to be able to be implemented. An</w:t>
      </w:r>
      <w:r w:rsidR="00D54A03">
        <w:t xml:space="preserve"> amendment to Schedule 3 would be needed in order to give effect to a</w:t>
      </w:r>
      <w:r w:rsidR="006D4545">
        <w:t>ny</w:t>
      </w:r>
      <w:r w:rsidR="00D54A03">
        <w:t xml:space="preserve"> proposal that would see smart poles able to be specified by the Minister as a low-impact facility. </w:t>
      </w:r>
      <w:r w:rsidR="00262AA8">
        <w:t>The</w:t>
      </w:r>
      <w:r w:rsidR="00677CF7">
        <w:t> </w:t>
      </w:r>
      <w:r w:rsidR="00262AA8">
        <w:t xml:space="preserve">Department will consider the matters raised </w:t>
      </w:r>
      <w:r w:rsidR="008803F5">
        <w:t xml:space="preserve">in submissions and </w:t>
      </w:r>
      <w:r w:rsidR="007338A5">
        <w:t xml:space="preserve">will </w:t>
      </w:r>
      <w:r w:rsidR="007F23FF">
        <w:t xml:space="preserve">consult </w:t>
      </w:r>
      <w:r>
        <w:t>further on a proposed framework</w:t>
      </w:r>
      <w:r w:rsidR="006D4545">
        <w:t xml:space="preserve"> as part of the</w:t>
      </w:r>
      <w:r w:rsidR="00D54A03">
        <w:t xml:space="preserve"> Tranche Two reforms</w:t>
      </w:r>
      <w:r w:rsidR="008803F5">
        <w:t xml:space="preserve">. </w:t>
      </w:r>
      <w:r w:rsidR="0008504D" w:rsidRPr="005B4DC1">
        <w:t>Further information about Tranche</w:t>
      </w:r>
      <w:r w:rsidR="007F23FF">
        <w:t>s</w:t>
      </w:r>
      <w:r w:rsidR="0008504D" w:rsidRPr="005B4DC1">
        <w:t xml:space="preserve"> One </w:t>
      </w:r>
      <w:r w:rsidR="007F23FF">
        <w:t xml:space="preserve">and Two </w:t>
      </w:r>
      <w:r w:rsidR="0008504D">
        <w:t>is</w:t>
      </w:r>
      <w:r w:rsidR="0008504D" w:rsidRPr="005B4DC1">
        <w:t xml:space="preserve"> set out in the section ‘Next steps and conclusion’.</w:t>
      </w:r>
    </w:p>
    <w:p w14:paraId="395BB435" w14:textId="0AB456D7" w:rsidR="005F6830" w:rsidRPr="00EE2DD1" w:rsidRDefault="005F6830" w:rsidP="00204FAC">
      <w:pPr>
        <w:pStyle w:val="Heading3"/>
        <w:numPr>
          <w:ilvl w:val="0"/>
          <w:numId w:val="4"/>
        </w:numPr>
      </w:pPr>
      <w:bookmarkStart w:id="285" w:name="_Toc45714033"/>
      <w:bookmarkStart w:id="286" w:name="_Toc45545599"/>
      <w:bookmarkStart w:id="287" w:name="_Toc45642099"/>
      <w:bookmarkStart w:id="288" w:name="_Toc45649163"/>
      <w:bookmarkStart w:id="289" w:name="_Toc45713992"/>
      <w:bookmarkStart w:id="290" w:name="_Toc47090250"/>
      <w:bookmarkStart w:id="291" w:name="_Toc58505237"/>
      <w:bookmarkStart w:id="292" w:name="_Toc62475802"/>
      <w:bookmarkEnd w:id="285"/>
      <w:r w:rsidRPr="00EE2DD1">
        <w:t>Encourage the co-location of facilities</w:t>
      </w:r>
      <w:bookmarkEnd w:id="284"/>
      <w:bookmarkEnd w:id="286"/>
      <w:bookmarkEnd w:id="287"/>
      <w:bookmarkEnd w:id="288"/>
      <w:bookmarkEnd w:id="289"/>
      <w:bookmarkEnd w:id="290"/>
      <w:bookmarkEnd w:id="291"/>
      <w:bookmarkEnd w:id="292"/>
    </w:p>
    <w:p w14:paraId="155D92C2" w14:textId="77777777" w:rsidR="00EE075A" w:rsidRDefault="00EE075A" w:rsidP="00D552C0">
      <w:pPr>
        <w:pStyle w:val="Heading4"/>
      </w:pPr>
      <w:bookmarkStart w:id="293" w:name="_Toc45713993"/>
      <w:bookmarkStart w:id="294" w:name="_Toc47090254"/>
      <w:r>
        <w:t>Aim of Proposal</w:t>
      </w:r>
    </w:p>
    <w:p w14:paraId="5EE1F307" w14:textId="36DF2A7E" w:rsidR="00084D9F" w:rsidRDefault="00EE075A" w:rsidP="009C0EAC">
      <w:r>
        <w:t xml:space="preserve">To </w:t>
      </w:r>
      <w:r w:rsidR="00D54A03">
        <w:t xml:space="preserve">help </w:t>
      </w:r>
      <w:r>
        <w:t xml:space="preserve">improve coverage and </w:t>
      </w:r>
      <w:r w:rsidR="00D54A03">
        <w:t xml:space="preserve">enable </w:t>
      </w:r>
      <w:r w:rsidR="00C92B22">
        <w:t xml:space="preserve">the deployment of 5G in high-use areas, it was proposed that the co-location </w:t>
      </w:r>
      <w:r w:rsidR="00D54A03">
        <w:t xml:space="preserve">volume </w:t>
      </w:r>
      <w:r w:rsidR="00C92B22">
        <w:t xml:space="preserve">limits </w:t>
      </w:r>
      <w:r w:rsidR="00D54A03">
        <w:t>set out in the</w:t>
      </w:r>
      <w:r w:rsidR="00C92B22">
        <w:t xml:space="preserve"> LIFD be increased. Two options were proposed</w:t>
      </w:r>
      <w:r w:rsidR="00D54A03">
        <w:t>:</w:t>
      </w:r>
      <w:r w:rsidR="00C92B22">
        <w:t xml:space="preserve"> increasing the volume limits in residential and commercial areas to 50 per cent, or increasing residential limits to 50 per cent and removing limits in commercial areas entirely.</w:t>
      </w:r>
    </w:p>
    <w:p w14:paraId="432A2A9C" w14:textId="77777777" w:rsidR="009F4E43" w:rsidRDefault="00084D9F" w:rsidP="00D552C0">
      <w:pPr>
        <w:pStyle w:val="Heading4"/>
      </w:pPr>
      <w:bookmarkStart w:id="295" w:name="_Toc58424296"/>
      <w:r>
        <w:t>What you told us</w:t>
      </w:r>
      <w:bookmarkEnd w:id="295"/>
    </w:p>
    <w:p w14:paraId="057AD87C" w14:textId="07B1983E" w:rsidR="009F4E43" w:rsidRDefault="00C92B22" w:rsidP="009F4E43">
      <w:pPr>
        <w:pStyle w:val="Listparagraphbullets"/>
      </w:pPr>
      <w:r>
        <w:t xml:space="preserve">Responses from landowners </w:t>
      </w:r>
      <w:r w:rsidR="00D54A03">
        <w:t xml:space="preserve">highlighted the need for a standard methodology to determine co-location volume be set out in the LIFD. </w:t>
      </w:r>
      <w:r>
        <w:t xml:space="preserve">While there was some support for increasing commercial area limits from 25 per cent to 50 per cent, there was little support for </w:t>
      </w:r>
      <w:r w:rsidR="00D54A03">
        <w:t xml:space="preserve">any </w:t>
      </w:r>
      <w:r>
        <w:t>increases to residential limits</w:t>
      </w:r>
      <w:r w:rsidR="009F4E43">
        <w:t>.</w:t>
      </w:r>
    </w:p>
    <w:p w14:paraId="43BA4817" w14:textId="77777777" w:rsidR="009F4E43" w:rsidRDefault="00C92B22" w:rsidP="009F4E43">
      <w:pPr>
        <w:pStyle w:val="Listparagraphbullets"/>
      </w:pPr>
      <w:r>
        <w:t xml:space="preserve">Some landowners </w:t>
      </w:r>
      <w:r w:rsidR="00D54A03">
        <w:t>were concerned about</w:t>
      </w:r>
      <w:r>
        <w:t xml:space="preserve"> the safety </w:t>
      </w:r>
      <w:r w:rsidR="00D54A03">
        <w:t xml:space="preserve">and structural integrity of infrastructure that may have additional equipment attached as a result </w:t>
      </w:r>
      <w:r>
        <w:t>of increased co-location</w:t>
      </w:r>
      <w:r w:rsidR="00D54A03">
        <w:t xml:space="preserve"> volume limits</w:t>
      </w:r>
      <w:r w:rsidR="009F4E43">
        <w:t>.</w:t>
      </w:r>
    </w:p>
    <w:p w14:paraId="46D7FDAA" w14:textId="77777777" w:rsidR="009F4E43" w:rsidRDefault="00C92B22" w:rsidP="009F4E43">
      <w:pPr>
        <w:pStyle w:val="Listparagraphbullets"/>
      </w:pPr>
      <w:r>
        <w:t xml:space="preserve">Carriers strongly support increasing residential limits to 50 per cent and removing limits in commercial areas, </w:t>
      </w:r>
      <w:r w:rsidR="00D54A03">
        <w:t xml:space="preserve">arguing </w:t>
      </w:r>
      <w:r>
        <w:t>that increased co-location will improve coverage, reduce costs, and shorten deployment timeframes</w:t>
      </w:r>
      <w:r w:rsidR="009F4E43">
        <w:t>.</w:t>
      </w:r>
    </w:p>
    <w:p w14:paraId="6F9D9E4E" w14:textId="5C6C6E80" w:rsidR="00084D9F" w:rsidRPr="00B54628" w:rsidRDefault="00D80A1A" w:rsidP="00D552C0">
      <w:pPr>
        <w:pStyle w:val="Heading4"/>
      </w:pPr>
      <w:r w:rsidRPr="00D80A1A">
        <w:t>Addressing your responses</w:t>
      </w:r>
    </w:p>
    <w:p w14:paraId="01A0C12C" w14:textId="77777777" w:rsidR="009F4E43" w:rsidRDefault="00D54A03" w:rsidP="009F4E43">
      <w:pPr>
        <w:pStyle w:val="Listparagraphbullets"/>
      </w:pPr>
      <w:r>
        <w:t>It is recognised that i</w:t>
      </w:r>
      <w:r w:rsidR="00C92B22">
        <w:t xml:space="preserve">ncreased co-location </w:t>
      </w:r>
      <w:r>
        <w:t xml:space="preserve">of telecommunications equipment on existing public infrastructure </w:t>
      </w:r>
      <w:r w:rsidR="00C92B22">
        <w:t xml:space="preserve">offers </w:t>
      </w:r>
      <w:r>
        <w:t>benefits such as</w:t>
      </w:r>
      <w:r w:rsidR="00C92B22">
        <w:t xml:space="preserve"> improve</w:t>
      </w:r>
      <w:r>
        <w:t>d local</w:t>
      </w:r>
      <w:r w:rsidR="00C92B22">
        <w:t xml:space="preserve"> coverage</w:t>
      </w:r>
      <w:r>
        <w:t xml:space="preserve"> and enables the deployment of new technologies, </w:t>
      </w:r>
      <w:r w:rsidR="00C92B22">
        <w:t xml:space="preserve">while minimising the impact </w:t>
      </w:r>
      <w:r w:rsidR="00065480">
        <w:t xml:space="preserve">that larger, standalone infrastructure has </w:t>
      </w:r>
      <w:r w:rsidR="00C92B22">
        <w:t>on visual amenity</w:t>
      </w:r>
      <w:r w:rsidR="009F4E43">
        <w:t>.</w:t>
      </w:r>
    </w:p>
    <w:p w14:paraId="40B86268" w14:textId="77777777" w:rsidR="009F4E43" w:rsidRDefault="00065480" w:rsidP="009F4E43">
      <w:pPr>
        <w:pStyle w:val="Listparagraphbullets"/>
      </w:pPr>
      <w:r>
        <w:t>The need for a standardised methodology is acknowledged and would provide carriers, landowners and the community with certainty about what and how much equipment can be attached to infrastructure</w:t>
      </w:r>
      <w:r w:rsidR="009F4E43">
        <w:t>.</w:t>
      </w:r>
    </w:p>
    <w:p w14:paraId="3AC3098A" w14:textId="77777777" w:rsidR="009F4E43" w:rsidRDefault="00065480" w:rsidP="009F4E43">
      <w:pPr>
        <w:pStyle w:val="Listparagraphbullets"/>
      </w:pPr>
      <w:r>
        <w:t>Taking into account the information provided in submissions, the existing co-location volume limits in commercial areas will be increased from 25 per cent to 50 per cent</w:t>
      </w:r>
      <w:r w:rsidR="009F4E43">
        <w:t>.</w:t>
      </w:r>
    </w:p>
    <w:p w14:paraId="1237528D" w14:textId="7CA400E3" w:rsidR="00065480" w:rsidRPr="00065480" w:rsidRDefault="00065480" w:rsidP="009F4E43">
      <w:pPr>
        <w:pStyle w:val="Listparagraphbullets"/>
      </w:pPr>
      <w:r w:rsidRPr="00065480">
        <w:t xml:space="preserve">The concerns raised by landowners about the safety and structural integrity of expanded facilities are able to be addressed by the implementation of other proposals </w:t>
      </w:r>
      <w:r w:rsidR="00103B7F">
        <w:t xml:space="preserve">in Tranche One </w:t>
      </w:r>
      <w:r w:rsidRPr="00065480">
        <w:t>such as reinforcing the safety conditions carriers must comply with, along with the new requirement for engineering certification of facilities to be provided to landowners.</w:t>
      </w:r>
    </w:p>
    <w:p w14:paraId="0C08137F" w14:textId="77777777" w:rsidR="009F4E43" w:rsidRDefault="00084D9F" w:rsidP="00D552C0">
      <w:pPr>
        <w:pStyle w:val="Heading4"/>
      </w:pPr>
      <w:r>
        <w:lastRenderedPageBreak/>
        <w:t xml:space="preserve">Next </w:t>
      </w:r>
      <w:r w:rsidR="00E60CB8">
        <w:t>steps</w:t>
      </w:r>
    </w:p>
    <w:p w14:paraId="44E9E374" w14:textId="43B18354" w:rsidR="004B6D50" w:rsidRDefault="00E83104" w:rsidP="00DA714B">
      <w:pPr>
        <w:keepLines/>
      </w:pPr>
      <w:r>
        <w:t xml:space="preserve">The Government recognises the benefit of co-locating telecommunications equipment on public infrastructure, when it is safe to do so. </w:t>
      </w:r>
      <w:r w:rsidR="00103B7F" w:rsidRPr="00103B7F">
        <w:t>The Department will continue to explore options to create a standardised co-location volume methodology with industry input. This methodology would give certainty to all stakeholders on the amount of equipment that can be attached to infrastructure.</w:t>
      </w:r>
      <w:r w:rsidR="009F4E43">
        <w:t xml:space="preserve"> </w:t>
      </w:r>
      <w:r w:rsidRPr="00E83104">
        <w:t>The exposure draft of the amended LIFD will be released for further consultation. Further information about Tranche One is set out in the section ‘Next steps and conclusion’.</w:t>
      </w:r>
      <w:bookmarkStart w:id="296" w:name="_Toc58424297"/>
      <w:bookmarkStart w:id="297" w:name="_Toc58505238"/>
    </w:p>
    <w:p w14:paraId="4A512192" w14:textId="72296968" w:rsidR="0069512C" w:rsidRDefault="0069512C" w:rsidP="004B6D50">
      <w:pPr>
        <w:pStyle w:val="Heading2"/>
      </w:pPr>
      <w:bookmarkStart w:id="298" w:name="_Toc58505239"/>
      <w:bookmarkStart w:id="299" w:name="_Toc62475803"/>
      <w:bookmarkStart w:id="300" w:name="_Toc58424298"/>
      <w:bookmarkEnd w:id="296"/>
      <w:bookmarkEnd w:id="297"/>
      <w:r>
        <w:t xml:space="preserve">Next steps and </w:t>
      </w:r>
      <w:r w:rsidR="00A62123">
        <w:t>c</w:t>
      </w:r>
      <w:r>
        <w:t>onclusion</w:t>
      </w:r>
      <w:bookmarkEnd w:id="293"/>
      <w:bookmarkEnd w:id="294"/>
      <w:bookmarkEnd w:id="298"/>
      <w:bookmarkEnd w:id="299"/>
    </w:p>
    <w:p w14:paraId="02E67484" w14:textId="25D84624" w:rsidR="00D455E5" w:rsidRDefault="00D455E5" w:rsidP="00B02605">
      <w:pPr>
        <w:spacing w:line="259" w:lineRule="auto"/>
      </w:pPr>
      <w:bookmarkStart w:id="301" w:name="_Toc58424299"/>
      <w:bookmarkStart w:id="302" w:name="_Toc45545600"/>
      <w:bookmarkStart w:id="303" w:name="_Toc45642100"/>
      <w:bookmarkStart w:id="304" w:name="_Toc45649164"/>
      <w:bookmarkStart w:id="305" w:name="_Toc45713994"/>
      <w:bookmarkStart w:id="306" w:name="_Toc47090255"/>
      <w:r w:rsidRPr="002B7FC2">
        <w:t xml:space="preserve">The </w:t>
      </w:r>
      <w:r w:rsidR="00FE0269">
        <w:t>Department</w:t>
      </w:r>
      <w:r w:rsidRPr="002B7FC2">
        <w:t xml:space="preserve"> thanks stakeholders for their insightful submissio</w:t>
      </w:r>
      <w:r w:rsidRPr="00C04A4B">
        <w:t xml:space="preserve">ns on the </w:t>
      </w:r>
      <w:r w:rsidR="00FB5857">
        <w:t>c</w:t>
      </w:r>
      <w:r>
        <w:t>onsultation paper</w:t>
      </w:r>
      <w:r w:rsidRPr="00C04A4B">
        <w:t xml:space="preserve">, and their interest and commitment to a modernised and streamlined legislative framework. The feedback received </w:t>
      </w:r>
      <w:r>
        <w:t xml:space="preserve">will allow the </w:t>
      </w:r>
      <w:r w:rsidR="00FE0269">
        <w:t>Department</w:t>
      </w:r>
      <w:r>
        <w:t xml:space="preserve"> to better determine the best means of modernising, improving and balancing the powers and immunities framework, with respect to the diverse range of relevant stakeholder interests.</w:t>
      </w:r>
      <w:bookmarkEnd w:id="301"/>
    </w:p>
    <w:p w14:paraId="6BF9AAF9" w14:textId="77777777" w:rsidR="002B5F6C" w:rsidRDefault="003F2E0A" w:rsidP="00D552C0">
      <w:pPr>
        <w:pStyle w:val="Heading3"/>
      </w:pPr>
      <w:r w:rsidRPr="0042661E">
        <w:t>Tranche One</w:t>
      </w:r>
      <w:bookmarkStart w:id="307" w:name="_Toc58424300"/>
    </w:p>
    <w:p w14:paraId="45DB5907" w14:textId="61267C40" w:rsidR="009F4E43" w:rsidRDefault="00B1213C" w:rsidP="00D0165F">
      <w:pPr>
        <w:spacing w:line="259" w:lineRule="auto"/>
      </w:pPr>
      <w:r>
        <w:t>C</w:t>
      </w:r>
      <w:r w:rsidR="00D455E5">
        <w:t xml:space="preserve">onsultation </w:t>
      </w:r>
      <w:r>
        <w:t xml:space="preserve">on matters included in Tranche One is </w:t>
      </w:r>
      <w:r w:rsidR="00FB6105">
        <w:t xml:space="preserve">proposed </w:t>
      </w:r>
      <w:r>
        <w:t xml:space="preserve">to occur </w:t>
      </w:r>
      <w:r w:rsidR="002613EE">
        <w:t xml:space="preserve">in early 2021 as the matters included in this tranche of work </w:t>
      </w:r>
      <w:r w:rsidR="001C6A44">
        <w:t>involve changes to subordinate legislation, such as the Code of Practice and the LIFD, or administrative processes, such as developing a factsheet to be made available on the Department’s website</w:t>
      </w:r>
      <w:r w:rsidR="002613EE">
        <w:t>. The consultation process will involve consideration of exposure drafts of proposed amendments to the Code of Practice and the LIFD. An outline of the matters is provided in the table below</w:t>
      </w:r>
      <w:r w:rsidR="009F4E43">
        <w:t>.</w:t>
      </w:r>
    </w:p>
    <w:p w14:paraId="14C35F59" w14:textId="77AC8C17" w:rsidR="009C0C12" w:rsidRDefault="009C0C12" w:rsidP="004B2E01">
      <w:pPr>
        <w:pStyle w:val="Tablefigureheading"/>
      </w:pPr>
      <w:bookmarkStart w:id="308" w:name="_Toc64987414"/>
      <w:bookmarkEnd w:id="307"/>
      <w:r>
        <w:t>Tranche One</w:t>
      </w:r>
      <w:r w:rsidR="009F4E43">
        <w:t>—</w:t>
      </w:r>
      <w:r w:rsidR="004B2E01">
        <w:t>Outline of matters for consideration</w:t>
      </w:r>
      <w:bookmarkEnd w:id="308"/>
    </w:p>
    <w:tbl>
      <w:tblPr>
        <w:tblStyle w:val="DefaultTable1"/>
        <w:tblW w:w="9498" w:type="dxa"/>
        <w:tblLook w:val="04E0" w:firstRow="1" w:lastRow="1" w:firstColumn="1" w:lastColumn="0" w:noHBand="0" w:noVBand="1"/>
        <w:tblCaption w:val="Trache One - Outline of matters for consideration"/>
        <w:tblDescription w:val="Tranche One—Outline of matters for consideration.&#10;&#10;Table lists the proposals from the consultation paper which will be dealt with in Tranche One. Column one describes the relevant proposals. Column two provides the specific details contained within each proposal."/>
      </w:tblPr>
      <w:tblGrid>
        <w:gridCol w:w="3969"/>
        <w:gridCol w:w="5529"/>
      </w:tblGrid>
      <w:tr w:rsidR="00870794" w:rsidRPr="008E534F" w14:paraId="0FC8A62F" w14:textId="77777777" w:rsidTr="00B1213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9" w:type="dxa"/>
            <w:shd w:val="clear" w:color="auto" w:fill="002D72"/>
          </w:tcPr>
          <w:p w14:paraId="32804DA7" w14:textId="0CEBA82A" w:rsidR="00870794" w:rsidRPr="00870794" w:rsidRDefault="004B2E01" w:rsidP="00870794">
            <w:pPr>
              <w:pStyle w:val="Tablerowcolumnheading"/>
              <w:keepNext/>
              <w:rPr>
                <w:b/>
                <w:color w:val="FFFFFF" w:themeColor="background1"/>
                <w:sz w:val="22"/>
                <w:szCs w:val="22"/>
              </w:rPr>
            </w:pPr>
            <w:r>
              <w:rPr>
                <w:b/>
                <w:color w:val="FFFFFF" w:themeColor="background1"/>
                <w:sz w:val="22"/>
                <w:szCs w:val="22"/>
              </w:rPr>
              <w:t>Proposal from consultation</w:t>
            </w:r>
            <w:r w:rsidR="00870794" w:rsidRPr="00870794">
              <w:rPr>
                <w:b/>
                <w:color w:val="FFFFFF" w:themeColor="background1"/>
                <w:sz w:val="22"/>
                <w:szCs w:val="22"/>
              </w:rPr>
              <w:t xml:space="preserve"> </w:t>
            </w:r>
          </w:p>
        </w:tc>
        <w:tc>
          <w:tcPr>
            <w:tcW w:w="5529" w:type="dxa"/>
            <w:shd w:val="clear" w:color="auto" w:fill="002D72"/>
          </w:tcPr>
          <w:p w14:paraId="7F2FDEAC" w14:textId="37F995DC" w:rsidR="00870794" w:rsidRPr="00870794" w:rsidRDefault="004B2E01" w:rsidP="00F31F42">
            <w:pPr>
              <w:pStyle w:val="Tablerowcolumnheading"/>
              <w:keepNext/>
              <w:cnfStyle w:val="100000000000" w:firstRow="1" w:lastRow="0" w:firstColumn="0" w:lastColumn="0" w:oddVBand="0" w:evenVBand="0" w:oddHBand="0" w:evenHBand="0" w:firstRowFirstColumn="0" w:firstRowLastColumn="0" w:lastRowFirstColumn="0" w:lastRowLastColumn="0"/>
              <w:rPr>
                <w:b/>
                <w:color w:val="FFFFFF" w:themeColor="background1"/>
                <w:sz w:val="22"/>
                <w:szCs w:val="22"/>
              </w:rPr>
            </w:pPr>
            <w:r>
              <w:rPr>
                <w:b/>
                <w:color w:val="FFFFFF" w:themeColor="background1"/>
                <w:sz w:val="22"/>
                <w:szCs w:val="22"/>
              </w:rPr>
              <w:t>Detail</w:t>
            </w:r>
          </w:p>
        </w:tc>
      </w:tr>
      <w:tr w:rsidR="00870794" w:rsidRPr="008E534F" w14:paraId="62F3CC06" w14:textId="77777777" w:rsidTr="00B1213C">
        <w:trPr>
          <w:cantSplit/>
        </w:trPr>
        <w:tc>
          <w:tcPr>
            <w:cnfStyle w:val="001000000000" w:firstRow="0" w:lastRow="0" w:firstColumn="1" w:lastColumn="0" w:oddVBand="0" w:evenVBand="0" w:oddHBand="0" w:evenHBand="0" w:firstRowFirstColumn="0" w:firstRowLastColumn="0" w:lastRowFirstColumn="0" w:lastRowLastColumn="0"/>
            <w:tcW w:w="3969" w:type="dxa"/>
          </w:tcPr>
          <w:p w14:paraId="1FFE80AA" w14:textId="05A70668" w:rsidR="00870794" w:rsidRPr="004B2E01" w:rsidRDefault="004B2E01" w:rsidP="004B2E01">
            <w:pPr>
              <w:pStyle w:val="Tabletext"/>
            </w:pPr>
            <w:r w:rsidRPr="004B2E01">
              <w:t>Primary safety condition</w:t>
            </w:r>
          </w:p>
        </w:tc>
        <w:tc>
          <w:tcPr>
            <w:tcW w:w="5529" w:type="dxa"/>
          </w:tcPr>
          <w:p w14:paraId="019AB6D4" w14:textId="4E425AD6" w:rsidR="00870794" w:rsidRPr="004B2E01" w:rsidRDefault="004B2E01" w:rsidP="004B2E01">
            <w:pPr>
              <w:pStyle w:val="Tabletext"/>
              <w:cnfStyle w:val="000000000000" w:firstRow="0" w:lastRow="0" w:firstColumn="0" w:lastColumn="0" w:oddVBand="0" w:evenVBand="0" w:oddHBand="0" w:evenHBand="0" w:firstRowFirstColumn="0" w:firstRowLastColumn="0" w:lastRowFirstColumn="0" w:lastRowLastColumn="0"/>
            </w:pPr>
            <w:r w:rsidRPr="004B2E01">
              <w:t xml:space="preserve">Amendment to </w:t>
            </w:r>
            <w:r w:rsidRPr="00B1213C">
              <w:rPr>
                <w:i/>
              </w:rPr>
              <w:t>Telecommunications Code of Practice 2018</w:t>
            </w:r>
          </w:p>
        </w:tc>
      </w:tr>
      <w:tr w:rsidR="004B2E01" w:rsidRPr="008E534F" w14:paraId="45F922AA" w14:textId="77777777" w:rsidTr="00B121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9" w:type="dxa"/>
          </w:tcPr>
          <w:p w14:paraId="3DE6E802" w14:textId="78C85CDF" w:rsidR="004B2E01" w:rsidRPr="004B2E01" w:rsidRDefault="004B2E01" w:rsidP="004B2E01">
            <w:pPr>
              <w:pStyle w:val="Tabletext"/>
            </w:pPr>
            <w:r w:rsidRPr="004B2E01">
              <w:t>Standard notifications</w:t>
            </w:r>
          </w:p>
        </w:tc>
        <w:tc>
          <w:tcPr>
            <w:tcW w:w="5529" w:type="dxa"/>
          </w:tcPr>
          <w:p w14:paraId="5E5F68CB" w14:textId="17DAEDEB" w:rsidR="004B2E01" w:rsidRPr="004B2E01" w:rsidRDefault="001C6A44" w:rsidP="001C6A44">
            <w:pPr>
              <w:pStyle w:val="Tabletext"/>
              <w:cnfStyle w:val="000000010000" w:firstRow="0" w:lastRow="0" w:firstColumn="0" w:lastColumn="0" w:oddVBand="0" w:evenVBand="0" w:oddHBand="0" w:evenHBand="1" w:firstRowFirstColumn="0" w:firstRowLastColumn="0" w:lastRowFirstColumn="0" w:lastRowLastColumn="0"/>
            </w:pPr>
            <w:r>
              <w:t>Development of template notice for best practice guidance, to be made available on the Department’s website</w:t>
            </w:r>
          </w:p>
        </w:tc>
      </w:tr>
      <w:tr w:rsidR="004B2E01" w:rsidRPr="008E534F" w14:paraId="68D55E37" w14:textId="77777777" w:rsidTr="00B1213C">
        <w:trPr>
          <w:cantSplit/>
        </w:trPr>
        <w:tc>
          <w:tcPr>
            <w:cnfStyle w:val="001000000000" w:firstRow="0" w:lastRow="0" w:firstColumn="1" w:lastColumn="0" w:oddVBand="0" w:evenVBand="0" w:oddHBand="0" w:evenHBand="0" w:firstRowFirstColumn="0" w:firstRowLastColumn="0" w:lastRowFirstColumn="0" w:lastRowLastColumn="0"/>
            <w:tcW w:w="3969" w:type="dxa"/>
          </w:tcPr>
          <w:p w14:paraId="01B3AD73" w14:textId="789057C1" w:rsidR="004B2E01" w:rsidRPr="004B2E01" w:rsidRDefault="004B2E01" w:rsidP="004B2E01">
            <w:pPr>
              <w:pStyle w:val="Tabletext"/>
            </w:pPr>
            <w:r w:rsidRPr="004B2E01">
              <w:t>Withdrawal of notifications</w:t>
            </w:r>
          </w:p>
        </w:tc>
        <w:tc>
          <w:tcPr>
            <w:tcW w:w="5529" w:type="dxa"/>
          </w:tcPr>
          <w:p w14:paraId="6511D883" w14:textId="20F854D5" w:rsidR="004B2E01" w:rsidRPr="008E534F" w:rsidRDefault="004B2E01" w:rsidP="004B2E01">
            <w:pPr>
              <w:pStyle w:val="Tabletext"/>
              <w:cnfStyle w:val="000000000000" w:firstRow="0" w:lastRow="0" w:firstColumn="0" w:lastColumn="0" w:oddVBand="0" w:evenVBand="0" w:oddHBand="0" w:evenHBand="0" w:firstRowFirstColumn="0" w:firstRowLastColumn="0" w:lastRowFirstColumn="0" w:lastRowLastColumn="0"/>
            </w:pPr>
            <w:r>
              <w:t xml:space="preserve">Amendment to </w:t>
            </w:r>
            <w:r w:rsidRPr="00B1213C">
              <w:rPr>
                <w:i/>
              </w:rPr>
              <w:t>Telecommunications Code of Practice 2018</w:t>
            </w:r>
          </w:p>
        </w:tc>
      </w:tr>
      <w:tr w:rsidR="004B2E01" w:rsidRPr="008E534F" w14:paraId="47AE93D7" w14:textId="77777777" w:rsidTr="00B121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9" w:type="dxa"/>
          </w:tcPr>
          <w:p w14:paraId="5C8C43E3" w14:textId="26D56339" w:rsidR="004B2E01" w:rsidRPr="004B2E01" w:rsidRDefault="004B2E01" w:rsidP="004B2E01">
            <w:pPr>
              <w:pStyle w:val="Tabletext"/>
            </w:pPr>
            <w:r w:rsidRPr="004B2E01">
              <w:t>Engineering certification</w:t>
            </w:r>
          </w:p>
        </w:tc>
        <w:tc>
          <w:tcPr>
            <w:tcW w:w="5529" w:type="dxa"/>
          </w:tcPr>
          <w:p w14:paraId="0C15487D" w14:textId="71DB3669" w:rsidR="004B2E01" w:rsidRPr="004B2E01" w:rsidRDefault="004B2E01" w:rsidP="004B2E01">
            <w:pPr>
              <w:pStyle w:val="Tabletext"/>
              <w:cnfStyle w:val="000000010000" w:firstRow="0" w:lastRow="0" w:firstColumn="0" w:lastColumn="0" w:oddVBand="0" w:evenVBand="0" w:oddHBand="0" w:evenHBand="1" w:firstRowFirstColumn="0" w:firstRowLastColumn="0" w:lastRowFirstColumn="0" w:lastRowLastColumn="0"/>
            </w:pPr>
            <w:r w:rsidRPr="004B2E01">
              <w:t xml:space="preserve">Amendment to </w:t>
            </w:r>
            <w:r w:rsidRPr="00B1213C">
              <w:rPr>
                <w:i/>
              </w:rPr>
              <w:t>Telecommunications Code of Practice 2018</w:t>
            </w:r>
          </w:p>
        </w:tc>
      </w:tr>
      <w:tr w:rsidR="00870794" w:rsidRPr="008E534F" w14:paraId="64E8FC33" w14:textId="77777777" w:rsidTr="00B1213C">
        <w:trPr>
          <w:cantSplit/>
        </w:trPr>
        <w:tc>
          <w:tcPr>
            <w:cnfStyle w:val="001000000000" w:firstRow="0" w:lastRow="0" w:firstColumn="1" w:lastColumn="0" w:oddVBand="0" w:evenVBand="0" w:oddHBand="0" w:evenHBand="0" w:firstRowFirstColumn="0" w:firstRowLastColumn="0" w:lastRowFirstColumn="0" w:lastRowLastColumn="0"/>
            <w:tcW w:w="3969" w:type="dxa"/>
          </w:tcPr>
          <w:p w14:paraId="21531997" w14:textId="162749A9" w:rsidR="00870794" w:rsidRPr="004B2E01" w:rsidRDefault="004B2E01" w:rsidP="004B2E01">
            <w:pPr>
              <w:pStyle w:val="Tabletext"/>
            </w:pPr>
            <w:r w:rsidRPr="004B2E01">
              <w:t>Clarifying objections process</w:t>
            </w:r>
          </w:p>
        </w:tc>
        <w:tc>
          <w:tcPr>
            <w:tcW w:w="5529" w:type="dxa"/>
          </w:tcPr>
          <w:p w14:paraId="0C098967" w14:textId="184FEF26" w:rsidR="00870794" w:rsidRPr="004B2E01" w:rsidRDefault="004B2E01" w:rsidP="004B2E01">
            <w:pPr>
              <w:pStyle w:val="Tabletext"/>
              <w:cnfStyle w:val="000000000000" w:firstRow="0" w:lastRow="0" w:firstColumn="0" w:lastColumn="0" w:oddVBand="0" w:evenVBand="0" w:oddHBand="0" w:evenHBand="0" w:firstRowFirstColumn="0" w:firstRowLastColumn="0" w:lastRowFirstColumn="0" w:lastRowLastColumn="0"/>
            </w:pPr>
            <w:r>
              <w:t>To be made available on the Department’s website</w:t>
            </w:r>
          </w:p>
        </w:tc>
      </w:tr>
      <w:tr w:rsidR="004B2E01" w:rsidRPr="008E534F" w14:paraId="661AA8E0" w14:textId="77777777" w:rsidTr="00B121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9" w:type="dxa"/>
          </w:tcPr>
          <w:p w14:paraId="455609DA" w14:textId="315A3FAE" w:rsidR="004B2E01" w:rsidRPr="004B2E01" w:rsidRDefault="004B2E01" w:rsidP="004B2E01">
            <w:pPr>
              <w:pStyle w:val="Tabletext"/>
            </w:pPr>
            <w:r w:rsidRPr="004B2E01">
              <w:t>Carrier referral to TIO</w:t>
            </w:r>
          </w:p>
        </w:tc>
        <w:tc>
          <w:tcPr>
            <w:tcW w:w="5529" w:type="dxa"/>
          </w:tcPr>
          <w:p w14:paraId="10C4B9DA" w14:textId="3D366CEC" w:rsidR="004B2E01" w:rsidRPr="004B2E01" w:rsidRDefault="004B2E01" w:rsidP="004B2E01">
            <w:pPr>
              <w:pStyle w:val="Tabletext"/>
              <w:cnfStyle w:val="000000010000" w:firstRow="0" w:lastRow="0" w:firstColumn="0" w:lastColumn="0" w:oddVBand="0" w:evenVBand="0" w:oddHBand="0" w:evenHBand="1" w:firstRowFirstColumn="0" w:firstRowLastColumn="0" w:lastRowFirstColumn="0" w:lastRowLastColumn="0"/>
            </w:pPr>
            <w:r w:rsidRPr="004B2E01">
              <w:t xml:space="preserve">Amendment to </w:t>
            </w:r>
            <w:r w:rsidRPr="00B1213C">
              <w:rPr>
                <w:i/>
              </w:rPr>
              <w:t>Telecommunications Code of Practice 2018</w:t>
            </w:r>
          </w:p>
        </w:tc>
      </w:tr>
      <w:tr w:rsidR="004B2E01" w:rsidRPr="008E534F" w14:paraId="04312759" w14:textId="77777777" w:rsidTr="00B1213C">
        <w:trPr>
          <w:cantSplit/>
        </w:trPr>
        <w:tc>
          <w:tcPr>
            <w:cnfStyle w:val="001000000000" w:firstRow="0" w:lastRow="0" w:firstColumn="1" w:lastColumn="0" w:oddVBand="0" w:evenVBand="0" w:oddHBand="0" w:evenHBand="0" w:firstRowFirstColumn="0" w:firstRowLastColumn="0" w:lastRowFirstColumn="0" w:lastRowLastColumn="0"/>
            <w:tcW w:w="3969" w:type="dxa"/>
          </w:tcPr>
          <w:p w14:paraId="27CD7A8F" w14:textId="2BE5A5C0" w:rsidR="004B2E01" w:rsidRPr="004B2E01" w:rsidRDefault="004B2E01" w:rsidP="004B2E01">
            <w:pPr>
              <w:pStyle w:val="Tabletext"/>
            </w:pPr>
            <w:r w:rsidRPr="004B2E01">
              <w:t>Extension to antenna protrusions</w:t>
            </w:r>
          </w:p>
        </w:tc>
        <w:tc>
          <w:tcPr>
            <w:tcW w:w="5529" w:type="dxa"/>
          </w:tcPr>
          <w:p w14:paraId="10E389FB" w14:textId="58C8DD42" w:rsidR="004B2E01" w:rsidRPr="004B2E01" w:rsidRDefault="004B2E01" w:rsidP="004B2E01">
            <w:pPr>
              <w:pStyle w:val="Tabletext"/>
              <w:cnfStyle w:val="000000000000" w:firstRow="0" w:lastRow="0" w:firstColumn="0" w:lastColumn="0" w:oddVBand="0" w:evenVBand="0" w:oddHBand="0" w:evenHBand="0" w:firstRowFirstColumn="0" w:firstRowLastColumn="0" w:lastRowFirstColumn="0" w:lastRowLastColumn="0"/>
            </w:pPr>
            <w:r>
              <w:t xml:space="preserve">Amendment to the </w:t>
            </w:r>
            <w:r w:rsidRPr="00B1213C">
              <w:rPr>
                <w:i/>
              </w:rPr>
              <w:t>Telecommunications (Low-impact Facilities) Determination 2018</w:t>
            </w:r>
          </w:p>
        </w:tc>
      </w:tr>
      <w:tr w:rsidR="004B2E01" w:rsidRPr="004B2E01" w14:paraId="00E9B5E5" w14:textId="77777777" w:rsidTr="00B121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9" w:type="dxa"/>
          </w:tcPr>
          <w:p w14:paraId="44A97D3D" w14:textId="48C4A839" w:rsidR="004B2E01" w:rsidRPr="004B2E01" w:rsidRDefault="004B2E01" w:rsidP="004B2E01">
            <w:pPr>
              <w:pStyle w:val="Tabletext"/>
            </w:pPr>
            <w:r w:rsidRPr="004B2E01">
              <w:t>Larger satellite dishes</w:t>
            </w:r>
          </w:p>
        </w:tc>
        <w:tc>
          <w:tcPr>
            <w:tcW w:w="5529" w:type="dxa"/>
          </w:tcPr>
          <w:p w14:paraId="35365864" w14:textId="3E01DEBE" w:rsidR="004B2E01" w:rsidRPr="004B2E01" w:rsidRDefault="004B2E01" w:rsidP="004B2E01">
            <w:pPr>
              <w:pStyle w:val="Tabletext"/>
              <w:cnfStyle w:val="000000010000" w:firstRow="0" w:lastRow="0" w:firstColumn="0" w:lastColumn="0" w:oddVBand="0" w:evenVBand="0" w:oddHBand="0" w:evenHBand="1" w:firstRowFirstColumn="0" w:firstRowLastColumn="0" w:lastRowFirstColumn="0" w:lastRowLastColumn="0"/>
            </w:pPr>
            <w:r w:rsidRPr="007B70DC">
              <w:t xml:space="preserve">Amendment to the </w:t>
            </w:r>
            <w:r w:rsidRPr="00B1213C">
              <w:rPr>
                <w:i/>
              </w:rPr>
              <w:t>Telecommunications (Low-impact Facilities) Determination 2018</w:t>
            </w:r>
          </w:p>
        </w:tc>
      </w:tr>
      <w:tr w:rsidR="002613EE" w:rsidRPr="004B2E01" w14:paraId="04C2056E" w14:textId="77777777" w:rsidTr="00B1213C">
        <w:trPr>
          <w:cantSplit/>
        </w:trPr>
        <w:tc>
          <w:tcPr>
            <w:cnfStyle w:val="001000000000" w:firstRow="0" w:lastRow="0" w:firstColumn="1" w:lastColumn="0" w:oddVBand="0" w:evenVBand="0" w:oddHBand="0" w:evenHBand="0" w:firstRowFirstColumn="0" w:firstRowLastColumn="0" w:lastRowFirstColumn="0" w:lastRowLastColumn="0"/>
            <w:tcW w:w="3969" w:type="dxa"/>
          </w:tcPr>
          <w:p w14:paraId="002EF2D8" w14:textId="2F818FDC" w:rsidR="002613EE" w:rsidRPr="004B2E01" w:rsidRDefault="002613EE" w:rsidP="004B2E01">
            <w:pPr>
              <w:pStyle w:val="Tabletext"/>
            </w:pPr>
            <w:r>
              <w:t>Radiocommunications lens antenna</w:t>
            </w:r>
          </w:p>
        </w:tc>
        <w:tc>
          <w:tcPr>
            <w:tcW w:w="5529" w:type="dxa"/>
          </w:tcPr>
          <w:p w14:paraId="2426EF96" w14:textId="66131B98" w:rsidR="002613EE" w:rsidRPr="007B70DC" w:rsidRDefault="002613EE" w:rsidP="004B2E01">
            <w:pPr>
              <w:pStyle w:val="Tabletext"/>
              <w:cnfStyle w:val="000000000000" w:firstRow="0" w:lastRow="0" w:firstColumn="0" w:lastColumn="0" w:oddVBand="0" w:evenVBand="0" w:oddHBand="0" w:evenHBand="0" w:firstRowFirstColumn="0" w:firstRowLastColumn="0" w:lastRowFirstColumn="0" w:lastRowLastColumn="0"/>
            </w:pPr>
            <w:r w:rsidRPr="007B70DC">
              <w:t xml:space="preserve">Amendment to the </w:t>
            </w:r>
            <w:r w:rsidRPr="00B1213C">
              <w:rPr>
                <w:i/>
              </w:rPr>
              <w:t>Telecommunications (Low-impact Facilities) Determination 2018</w:t>
            </w:r>
          </w:p>
        </w:tc>
      </w:tr>
      <w:tr w:rsidR="004B2E01" w:rsidRPr="004B2E01" w14:paraId="48AB643F" w14:textId="77777777" w:rsidTr="00B121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9" w:type="dxa"/>
          </w:tcPr>
          <w:p w14:paraId="20F3C332" w14:textId="09A5A6EB" w:rsidR="004B2E01" w:rsidRPr="004B2E01" w:rsidRDefault="004B2E01" w:rsidP="004B2E01">
            <w:pPr>
              <w:pStyle w:val="Tabletext"/>
            </w:pPr>
            <w:r w:rsidRPr="004B2E01">
              <w:t>Tower extensions</w:t>
            </w:r>
          </w:p>
        </w:tc>
        <w:tc>
          <w:tcPr>
            <w:tcW w:w="5529" w:type="dxa"/>
          </w:tcPr>
          <w:p w14:paraId="42942710" w14:textId="68CAF9C2" w:rsidR="004B2E01" w:rsidRPr="004B2E01" w:rsidRDefault="004B2E01" w:rsidP="004B2E01">
            <w:pPr>
              <w:pStyle w:val="Tabletext"/>
              <w:cnfStyle w:val="000000010000" w:firstRow="0" w:lastRow="0" w:firstColumn="0" w:lastColumn="0" w:oddVBand="0" w:evenVBand="0" w:oddHBand="0" w:evenHBand="1" w:firstRowFirstColumn="0" w:firstRowLastColumn="0" w:lastRowFirstColumn="0" w:lastRowLastColumn="0"/>
            </w:pPr>
            <w:r w:rsidRPr="007B70DC">
              <w:t xml:space="preserve">Amendment to the </w:t>
            </w:r>
            <w:r w:rsidRPr="00B1213C">
              <w:rPr>
                <w:i/>
              </w:rPr>
              <w:t>Telecommunications (Low-impact Facilities) Determination 2018</w:t>
            </w:r>
          </w:p>
        </w:tc>
      </w:tr>
      <w:tr w:rsidR="004B2E01" w:rsidRPr="004B2E01" w14:paraId="575DCAA7" w14:textId="77777777" w:rsidTr="009F62BB">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31955B" w14:textId="027A1D9A" w:rsidR="004B2E01" w:rsidRPr="004B2E01" w:rsidRDefault="004B2E01" w:rsidP="004B2E01">
            <w:pPr>
              <w:pStyle w:val="Tabletext"/>
            </w:pPr>
            <w:r w:rsidRPr="004B2E01">
              <w:t>Co-location volume limits</w:t>
            </w:r>
          </w:p>
        </w:tc>
        <w:tc>
          <w:tcPr>
            <w:tcW w:w="5529" w:type="dxa"/>
            <w:shd w:val="clear" w:color="auto" w:fill="auto"/>
          </w:tcPr>
          <w:p w14:paraId="733BC768" w14:textId="4DDC8668" w:rsidR="004B2E01" w:rsidRPr="004B2E01" w:rsidRDefault="004B2E01" w:rsidP="004B2E01">
            <w:pPr>
              <w:pStyle w:val="Tabletext"/>
              <w:cnfStyle w:val="010000000000" w:firstRow="0" w:lastRow="1" w:firstColumn="0" w:lastColumn="0" w:oddVBand="0" w:evenVBand="0" w:oddHBand="0" w:evenHBand="0" w:firstRowFirstColumn="0" w:firstRowLastColumn="0" w:lastRowFirstColumn="0" w:lastRowLastColumn="0"/>
              <w:rPr>
                <w:b w:val="0"/>
              </w:rPr>
            </w:pPr>
            <w:r w:rsidRPr="004B2E01">
              <w:rPr>
                <w:b w:val="0"/>
              </w:rPr>
              <w:t xml:space="preserve">Amendment to the </w:t>
            </w:r>
            <w:r w:rsidRPr="00B1213C">
              <w:rPr>
                <w:b w:val="0"/>
                <w:i/>
              </w:rPr>
              <w:t>Telecommunications (Low-impact Facilities) Determination 2018</w:t>
            </w:r>
          </w:p>
        </w:tc>
      </w:tr>
    </w:tbl>
    <w:p w14:paraId="1464B51B" w14:textId="747D9708" w:rsidR="003F2E0A" w:rsidRDefault="003F2E0A" w:rsidP="00D552C0">
      <w:pPr>
        <w:pStyle w:val="Heading3"/>
      </w:pPr>
      <w:r w:rsidRPr="0042661E">
        <w:lastRenderedPageBreak/>
        <w:t xml:space="preserve">Tranche </w:t>
      </w:r>
      <w:r>
        <w:t>Two</w:t>
      </w:r>
    </w:p>
    <w:p w14:paraId="32229A4A" w14:textId="1C798303" w:rsidR="009F4E43" w:rsidRDefault="002613EE" w:rsidP="002613EE">
      <w:pPr>
        <w:spacing w:line="259" w:lineRule="auto"/>
      </w:pPr>
      <w:r>
        <w:t xml:space="preserve">Consultation on matters included in Tranche Two is </w:t>
      </w:r>
      <w:r w:rsidR="00FB6105">
        <w:t xml:space="preserve">proposed </w:t>
      </w:r>
      <w:r>
        <w:t>to commence in the first half of 2021 allowing the Department time to further refine the proposals and address the issues raised in submissions to the consultation paper. Consultation is likely to focus on the detail of the policy proposals to inform</w:t>
      </w:r>
      <w:r w:rsidR="00103B7F">
        <w:t xml:space="preserve"> Government consideration in advance of</w:t>
      </w:r>
      <w:r>
        <w:t xml:space="preserve"> the legislative drafting process. It</w:t>
      </w:r>
      <w:r w:rsidR="00366720">
        <w:t> </w:t>
      </w:r>
      <w:r>
        <w:t xml:space="preserve">should be noted that further consultation will occur on the content of any draft </w:t>
      </w:r>
      <w:r w:rsidR="00103B7F">
        <w:t>legislation</w:t>
      </w:r>
      <w:r w:rsidR="009F4E43">
        <w:t>.</w:t>
      </w:r>
    </w:p>
    <w:p w14:paraId="771A7854" w14:textId="0AF34820" w:rsidR="002613EE" w:rsidRPr="002613EE" w:rsidRDefault="002613EE" w:rsidP="002613EE">
      <w:pPr>
        <w:spacing w:line="259" w:lineRule="auto"/>
      </w:pPr>
      <w:r>
        <w:t>The following table identifies the three proposals from the consultation paper that will be considered in Tranche Two.</w:t>
      </w:r>
    </w:p>
    <w:p w14:paraId="477C08FD" w14:textId="2CAA2F0C" w:rsidR="00870794" w:rsidRDefault="00870794" w:rsidP="004B2E01">
      <w:pPr>
        <w:pStyle w:val="Tablefigureheading"/>
      </w:pPr>
      <w:bookmarkStart w:id="309" w:name="_Toc64987415"/>
      <w:r>
        <w:t>Tranche Two</w:t>
      </w:r>
      <w:r w:rsidR="009F4E43">
        <w:t>—</w:t>
      </w:r>
      <w:r w:rsidR="004B2E01">
        <w:t>Outline of matters for consideration</w:t>
      </w:r>
      <w:bookmarkEnd w:id="309"/>
    </w:p>
    <w:tbl>
      <w:tblPr>
        <w:tblStyle w:val="DefaultTable1"/>
        <w:tblW w:w="9498" w:type="dxa"/>
        <w:tblLook w:val="04E0" w:firstRow="1" w:lastRow="1" w:firstColumn="1" w:lastColumn="0" w:noHBand="0" w:noVBand="1"/>
        <w:tblCaption w:val="Tranche Two – Outline of matters for consideration"/>
        <w:tblDescription w:val="Tranche Two—Outline of matters for consideration.&#10;&#10;Table lists the proposals from the consultation paper which will be dealt with in Tranche Two. Column one describes the relevant proposals. Column two provides the specific details contained within each proposal."/>
      </w:tblPr>
      <w:tblGrid>
        <w:gridCol w:w="3686"/>
        <w:gridCol w:w="5812"/>
      </w:tblGrid>
      <w:tr w:rsidR="00B1213C" w:rsidRPr="008E534F" w14:paraId="3DAF29DD" w14:textId="77777777" w:rsidTr="00DA714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shd w:val="clear" w:color="auto" w:fill="002D72"/>
          </w:tcPr>
          <w:p w14:paraId="7A78E9E4" w14:textId="77777777" w:rsidR="00B1213C" w:rsidRPr="00870794" w:rsidRDefault="00B1213C" w:rsidP="00F31F42">
            <w:pPr>
              <w:pStyle w:val="Tablerowcolumnheading"/>
              <w:keepNext/>
              <w:rPr>
                <w:b/>
                <w:color w:val="FFFFFF" w:themeColor="background1"/>
                <w:sz w:val="22"/>
                <w:szCs w:val="22"/>
              </w:rPr>
            </w:pPr>
            <w:r>
              <w:rPr>
                <w:b/>
                <w:color w:val="FFFFFF" w:themeColor="background1"/>
                <w:sz w:val="22"/>
                <w:szCs w:val="22"/>
              </w:rPr>
              <w:t>Proposal from consultation</w:t>
            </w:r>
            <w:r w:rsidRPr="00870794">
              <w:rPr>
                <w:b/>
                <w:color w:val="FFFFFF" w:themeColor="background1"/>
                <w:sz w:val="22"/>
                <w:szCs w:val="22"/>
              </w:rPr>
              <w:t xml:space="preserve"> </w:t>
            </w:r>
          </w:p>
        </w:tc>
        <w:tc>
          <w:tcPr>
            <w:tcW w:w="5812" w:type="dxa"/>
            <w:shd w:val="clear" w:color="auto" w:fill="002D72"/>
          </w:tcPr>
          <w:p w14:paraId="0BB1C3BF" w14:textId="77777777" w:rsidR="00B1213C" w:rsidRPr="00870794" w:rsidRDefault="00B1213C" w:rsidP="00F31F42">
            <w:pPr>
              <w:pStyle w:val="Tablerowcolumnheading"/>
              <w:keepNext/>
              <w:cnfStyle w:val="100000000000" w:firstRow="1" w:lastRow="0" w:firstColumn="0" w:lastColumn="0" w:oddVBand="0" w:evenVBand="0" w:oddHBand="0" w:evenHBand="0" w:firstRowFirstColumn="0" w:firstRowLastColumn="0" w:lastRowFirstColumn="0" w:lastRowLastColumn="0"/>
              <w:rPr>
                <w:b/>
                <w:color w:val="FFFFFF" w:themeColor="background1"/>
                <w:sz w:val="22"/>
                <w:szCs w:val="22"/>
              </w:rPr>
            </w:pPr>
            <w:r>
              <w:rPr>
                <w:b/>
                <w:color w:val="FFFFFF" w:themeColor="background1"/>
                <w:sz w:val="22"/>
                <w:szCs w:val="22"/>
              </w:rPr>
              <w:t>Detail</w:t>
            </w:r>
          </w:p>
        </w:tc>
      </w:tr>
      <w:tr w:rsidR="00B1213C" w:rsidRPr="008E534F" w14:paraId="4074B4EB" w14:textId="77777777" w:rsidTr="00DA714B">
        <w:trPr>
          <w:cantSplit/>
        </w:trPr>
        <w:tc>
          <w:tcPr>
            <w:cnfStyle w:val="001000000000" w:firstRow="0" w:lastRow="0" w:firstColumn="1" w:lastColumn="0" w:oddVBand="0" w:evenVBand="0" w:oddHBand="0" w:evenHBand="0" w:firstRowFirstColumn="0" w:firstRowLastColumn="0" w:lastRowFirstColumn="0" w:lastRowLastColumn="0"/>
            <w:tcW w:w="3686" w:type="dxa"/>
          </w:tcPr>
          <w:p w14:paraId="03E5D4F6" w14:textId="7D56994B" w:rsidR="00B1213C" w:rsidRPr="004B2E01" w:rsidRDefault="00B1213C" w:rsidP="00F31F42">
            <w:pPr>
              <w:pStyle w:val="Tabletext"/>
            </w:pPr>
            <w:r>
              <w:t>Extending notification timeframes</w:t>
            </w:r>
          </w:p>
        </w:tc>
        <w:tc>
          <w:tcPr>
            <w:tcW w:w="5812" w:type="dxa"/>
          </w:tcPr>
          <w:p w14:paraId="6610B2C2" w14:textId="77777777" w:rsidR="00B1213C" w:rsidRDefault="00B1213C" w:rsidP="00F31F42">
            <w:pPr>
              <w:pStyle w:val="Tabletext"/>
              <w:cnfStyle w:val="000000000000" w:firstRow="0" w:lastRow="0" w:firstColumn="0" w:lastColumn="0" w:oddVBand="0" w:evenVBand="0" w:oddHBand="0" w:evenHBand="0" w:firstRowFirstColumn="0" w:firstRowLastColumn="0" w:lastRowFirstColumn="0" w:lastRowLastColumn="0"/>
            </w:pPr>
            <w:r>
              <w:t xml:space="preserve">Amendment to Schedule 3, </w:t>
            </w:r>
            <w:r w:rsidRPr="00B1213C">
              <w:rPr>
                <w:i/>
              </w:rPr>
              <w:t>Telecommunications Act 1997</w:t>
            </w:r>
          </w:p>
          <w:p w14:paraId="4204849C" w14:textId="77777777" w:rsidR="009F4E43" w:rsidRDefault="00B1213C" w:rsidP="00F31F42">
            <w:pPr>
              <w:pStyle w:val="Tabletext"/>
              <w:cnfStyle w:val="000000000000" w:firstRow="0" w:lastRow="0" w:firstColumn="0" w:lastColumn="0" w:oddVBand="0" w:evenVBand="0" w:oddHBand="0" w:evenHBand="0" w:firstRowFirstColumn="0" w:firstRowLastColumn="0" w:lastRowFirstColumn="0" w:lastRowLastColumn="0"/>
            </w:pPr>
            <w:r>
              <w:t>Subsequent amendment to:</w:t>
            </w:r>
          </w:p>
          <w:p w14:paraId="23279465" w14:textId="2CE0AAC8" w:rsidR="00B1213C" w:rsidRPr="00B1213C" w:rsidRDefault="00B1213C" w:rsidP="00B1213C">
            <w:pPr>
              <w:pStyle w:val="Tabletextbullets"/>
              <w:cnfStyle w:val="000000000000" w:firstRow="0" w:lastRow="0" w:firstColumn="0" w:lastColumn="0" w:oddVBand="0" w:evenVBand="0" w:oddHBand="0" w:evenHBand="0" w:firstRowFirstColumn="0" w:firstRowLastColumn="0" w:lastRowFirstColumn="0" w:lastRowLastColumn="0"/>
              <w:rPr>
                <w:i/>
              </w:rPr>
            </w:pPr>
            <w:r w:rsidRPr="00B1213C">
              <w:rPr>
                <w:i/>
              </w:rPr>
              <w:t>Telecommunications Code of Practice 2018</w:t>
            </w:r>
          </w:p>
        </w:tc>
      </w:tr>
      <w:tr w:rsidR="00B1213C" w:rsidRPr="008E534F" w14:paraId="5FC2AED3" w14:textId="77777777" w:rsidTr="00DA714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584D671F" w14:textId="5AD0845A" w:rsidR="00B1213C" w:rsidRPr="004B2E01" w:rsidRDefault="00B1213C" w:rsidP="00F31F42">
            <w:pPr>
              <w:pStyle w:val="Tabletext"/>
            </w:pPr>
            <w:r>
              <w:t>Smart poles</w:t>
            </w:r>
          </w:p>
        </w:tc>
        <w:tc>
          <w:tcPr>
            <w:tcW w:w="5812" w:type="dxa"/>
          </w:tcPr>
          <w:p w14:paraId="5AA8332C" w14:textId="77777777" w:rsidR="00B1213C" w:rsidRDefault="00B1213C" w:rsidP="00B1213C">
            <w:pPr>
              <w:pStyle w:val="Tabletext"/>
              <w:cnfStyle w:val="000000010000" w:firstRow="0" w:lastRow="0" w:firstColumn="0" w:lastColumn="0" w:oddVBand="0" w:evenVBand="0" w:oddHBand="0" w:evenHBand="1" w:firstRowFirstColumn="0" w:firstRowLastColumn="0" w:lastRowFirstColumn="0" w:lastRowLastColumn="0"/>
            </w:pPr>
            <w:r>
              <w:t>Subject to additional policy development and consultation:</w:t>
            </w:r>
          </w:p>
          <w:p w14:paraId="6DA14ED0" w14:textId="4069F195" w:rsidR="00B1213C" w:rsidRPr="00B1213C" w:rsidRDefault="00B1213C" w:rsidP="00B1213C">
            <w:pPr>
              <w:pStyle w:val="Tabletext"/>
              <w:cnfStyle w:val="000000010000" w:firstRow="0" w:lastRow="0" w:firstColumn="0" w:lastColumn="0" w:oddVBand="0" w:evenVBand="0" w:oddHBand="0" w:evenHBand="1" w:firstRowFirstColumn="0" w:firstRowLastColumn="0" w:lastRowFirstColumn="0" w:lastRowLastColumn="0"/>
              <w:rPr>
                <w:i/>
              </w:rPr>
            </w:pPr>
            <w:r>
              <w:t xml:space="preserve">Amendment to Schedule 3, </w:t>
            </w:r>
            <w:r w:rsidRPr="00B1213C">
              <w:rPr>
                <w:i/>
              </w:rPr>
              <w:t>Telecommunications Act 1997</w:t>
            </w:r>
          </w:p>
          <w:p w14:paraId="008036C6" w14:textId="77777777" w:rsidR="009F4E43" w:rsidRDefault="00B1213C" w:rsidP="00B1213C">
            <w:pPr>
              <w:pStyle w:val="Tabletext"/>
              <w:cnfStyle w:val="000000010000" w:firstRow="0" w:lastRow="0" w:firstColumn="0" w:lastColumn="0" w:oddVBand="0" w:evenVBand="0" w:oddHBand="0" w:evenHBand="1" w:firstRowFirstColumn="0" w:firstRowLastColumn="0" w:lastRowFirstColumn="0" w:lastRowLastColumn="0"/>
            </w:pPr>
            <w:r>
              <w:t>Subsequent amendment to:</w:t>
            </w:r>
          </w:p>
          <w:p w14:paraId="0B77ED13" w14:textId="4260393A" w:rsidR="00B1213C" w:rsidRPr="00B1213C" w:rsidRDefault="00B1213C" w:rsidP="00B1213C">
            <w:pPr>
              <w:pStyle w:val="Tabletextbullets"/>
              <w:cnfStyle w:val="000000010000" w:firstRow="0" w:lastRow="0" w:firstColumn="0" w:lastColumn="0" w:oddVBand="0" w:evenVBand="0" w:oddHBand="0" w:evenHBand="1" w:firstRowFirstColumn="0" w:firstRowLastColumn="0" w:lastRowFirstColumn="0" w:lastRowLastColumn="0"/>
              <w:rPr>
                <w:i/>
              </w:rPr>
            </w:pPr>
            <w:r w:rsidRPr="00B1213C">
              <w:rPr>
                <w:i/>
              </w:rPr>
              <w:t>Telecommunications Code of Practice 2018</w:t>
            </w:r>
          </w:p>
          <w:p w14:paraId="2C7A029B" w14:textId="21CB27A7" w:rsidR="00B1213C" w:rsidRPr="00B1213C" w:rsidRDefault="00B1213C" w:rsidP="00B1213C">
            <w:pPr>
              <w:pStyle w:val="Tabletextbullets"/>
              <w:cnfStyle w:val="000000010000" w:firstRow="0" w:lastRow="0" w:firstColumn="0" w:lastColumn="0" w:oddVBand="0" w:evenVBand="0" w:oddHBand="0" w:evenHBand="1" w:firstRowFirstColumn="0" w:firstRowLastColumn="0" w:lastRowFirstColumn="0" w:lastRowLastColumn="0"/>
            </w:pPr>
            <w:r w:rsidRPr="00B1213C">
              <w:rPr>
                <w:i/>
              </w:rPr>
              <w:t>Telecommunications (Low-impact Facilities) Determination 2018</w:t>
            </w:r>
          </w:p>
        </w:tc>
      </w:tr>
      <w:tr w:rsidR="00B1213C" w:rsidRPr="008E534F" w14:paraId="34BFFD96" w14:textId="77777777" w:rsidTr="00DA714B">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AB9CF89" w14:textId="3209BBBF" w:rsidR="00B1213C" w:rsidRPr="004B2E01" w:rsidRDefault="00B1213C" w:rsidP="00F31F42">
            <w:pPr>
              <w:pStyle w:val="Tabletext"/>
            </w:pPr>
            <w:r>
              <w:t>Removal of redundant equipment</w:t>
            </w:r>
          </w:p>
        </w:tc>
        <w:tc>
          <w:tcPr>
            <w:tcW w:w="5812" w:type="dxa"/>
            <w:shd w:val="clear" w:color="auto" w:fill="auto"/>
          </w:tcPr>
          <w:p w14:paraId="3A3E6813" w14:textId="77777777" w:rsidR="00B1213C" w:rsidRPr="00B1213C" w:rsidRDefault="00B1213C" w:rsidP="00F31F42">
            <w:pPr>
              <w:pStyle w:val="Tabletext"/>
              <w:cnfStyle w:val="010000000000" w:firstRow="0" w:lastRow="1" w:firstColumn="0" w:lastColumn="0" w:oddVBand="0" w:evenVBand="0" w:oddHBand="0" w:evenHBand="0" w:firstRowFirstColumn="0" w:firstRowLastColumn="0" w:lastRowFirstColumn="0" w:lastRowLastColumn="0"/>
              <w:rPr>
                <w:b w:val="0"/>
              </w:rPr>
            </w:pPr>
            <w:r w:rsidRPr="00B1213C">
              <w:rPr>
                <w:b w:val="0"/>
              </w:rPr>
              <w:t>Subject to additional policy development and consultation:</w:t>
            </w:r>
          </w:p>
          <w:p w14:paraId="05CE7AC3" w14:textId="77777777" w:rsidR="00B1213C" w:rsidRPr="00B1213C" w:rsidRDefault="00B1213C" w:rsidP="00B1213C">
            <w:pPr>
              <w:pStyle w:val="Tabletext"/>
              <w:cnfStyle w:val="010000000000" w:firstRow="0" w:lastRow="1" w:firstColumn="0" w:lastColumn="0" w:oddVBand="0" w:evenVBand="0" w:oddHBand="0" w:evenHBand="0" w:firstRowFirstColumn="0" w:firstRowLastColumn="0" w:lastRowFirstColumn="0" w:lastRowLastColumn="0"/>
              <w:rPr>
                <w:b w:val="0"/>
              </w:rPr>
            </w:pPr>
            <w:r w:rsidRPr="00B1213C">
              <w:rPr>
                <w:b w:val="0"/>
              </w:rPr>
              <w:t xml:space="preserve">Amendment to Schedule 3, </w:t>
            </w:r>
            <w:r w:rsidRPr="00B1213C">
              <w:rPr>
                <w:b w:val="0"/>
                <w:i/>
              </w:rPr>
              <w:t>Telecommunications Act 1997</w:t>
            </w:r>
          </w:p>
          <w:p w14:paraId="17FE4929" w14:textId="77777777" w:rsidR="009F4E43" w:rsidRDefault="00B1213C" w:rsidP="00B1213C">
            <w:pPr>
              <w:pStyle w:val="Tabletext"/>
              <w:cnfStyle w:val="010000000000" w:firstRow="0" w:lastRow="1" w:firstColumn="0" w:lastColumn="0" w:oddVBand="0" w:evenVBand="0" w:oddHBand="0" w:evenHBand="0" w:firstRowFirstColumn="0" w:firstRowLastColumn="0" w:lastRowFirstColumn="0" w:lastRowLastColumn="0"/>
              <w:rPr>
                <w:b w:val="0"/>
              </w:rPr>
            </w:pPr>
            <w:r w:rsidRPr="00B1213C">
              <w:rPr>
                <w:b w:val="0"/>
              </w:rPr>
              <w:t>Subsequent amendment to:</w:t>
            </w:r>
          </w:p>
          <w:p w14:paraId="555B9069" w14:textId="51C1EF18" w:rsidR="00B1213C" w:rsidRPr="00B1213C" w:rsidRDefault="00B1213C" w:rsidP="00B1213C">
            <w:pPr>
              <w:pStyle w:val="Tabletextbullets"/>
              <w:cnfStyle w:val="010000000000" w:firstRow="0" w:lastRow="1" w:firstColumn="0" w:lastColumn="0" w:oddVBand="0" w:evenVBand="0" w:oddHBand="0" w:evenHBand="0" w:firstRowFirstColumn="0" w:firstRowLastColumn="0" w:lastRowFirstColumn="0" w:lastRowLastColumn="0"/>
              <w:rPr>
                <w:i/>
              </w:rPr>
            </w:pPr>
            <w:r w:rsidRPr="00B1213C">
              <w:rPr>
                <w:b w:val="0"/>
                <w:i/>
              </w:rPr>
              <w:t>Telecommunications Code of Practice 2018</w:t>
            </w:r>
          </w:p>
        </w:tc>
      </w:tr>
    </w:tbl>
    <w:p w14:paraId="32A3D0BF" w14:textId="43E6ECBE" w:rsidR="00BF78EB" w:rsidRDefault="00BF78EB" w:rsidP="00D8018C">
      <w:pPr>
        <w:pStyle w:val="Heading2"/>
        <w:pageBreakBefore/>
      </w:pPr>
      <w:bookmarkStart w:id="310" w:name="_Toc58424301"/>
      <w:bookmarkStart w:id="311" w:name="_Toc58505240"/>
      <w:bookmarkStart w:id="312" w:name="_Toc62475804"/>
      <w:bookmarkEnd w:id="300"/>
      <w:r w:rsidRPr="00D455E5">
        <w:lastRenderedPageBreak/>
        <w:t>Glossary</w:t>
      </w:r>
      <w:bookmarkEnd w:id="302"/>
      <w:bookmarkEnd w:id="303"/>
      <w:bookmarkEnd w:id="304"/>
      <w:bookmarkEnd w:id="305"/>
      <w:bookmarkEnd w:id="306"/>
      <w:bookmarkEnd w:id="310"/>
      <w:bookmarkEnd w:id="311"/>
      <w:bookmarkEnd w:id="312"/>
    </w:p>
    <w:p w14:paraId="009072AF" w14:textId="4C5A41C6" w:rsidR="001053AF" w:rsidRDefault="00D242A8" w:rsidP="001053AF">
      <w:pPr>
        <w:pStyle w:val="Tablefigureheading"/>
        <w:keepLines/>
      </w:pPr>
      <w:bookmarkStart w:id="313" w:name="_Toc49515040"/>
      <w:bookmarkStart w:id="314" w:name="_Toc64987416"/>
      <w:r>
        <w:t>Glossary of terms</w:t>
      </w:r>
      <w:bookmarkEnd w:id="313"/>
      <w:bookmarkEnd w:id="314"/>
    </w:p>
    <w:tbl>
      <w:tblPr>
        <w:tblStyle w:val="PlainTable1"/>
        <w:tblW w:w="9493" w:type="dxa"/>
        <w:tblLook w:val="04A0" w:firstRow="1" w:lastRow="0" w:firstColumn="1" w:lastColumn="0" w:noHBand="0" w:noVBand="1"/>
        <w:tblCaption w:val="Glossary of terms"/>
        <w:tblDescription w:val="Glossary of terms.&#10;&#10;Table provides the meanings for defined terms used within the document."/>
      </w:tblPr>
      <w:tblGrid>
        <w:gridCol w:w="1980"/>
        <w:gridCol w:w="7513"/>
      </w:tblGrid>
      <w:tr w:rsidR="001053AF" w:rsidRPr="00B54D18" w14:paraId="2706EA02" w14:textId="77777777" w:rsidTr="00D8018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5DCE4"/>
          </w:tcPr>
          <w:p w14:paraId="408C49B7" w14:textId="77777777" w:rsidR="001053AF" w:rsidRPr="00217C11" w:rsidRDefault="001053AF" w:rsidP="002A3779">
            <w:pPr>
              <w:pStyle w:val="Tablerowcolumnheading"/>
              <w:rPr>
                <w:b/>
              </w:rPr>
            </w:pPr>
            <w:r>
              <w:rPr>
                <w:b/>
              </w:rPr>
              <w:t>Terms</w:t>
            </w:r>
          </w:p>
        </w:tc>
        <w:tc>
          <w:tcPr>
            <w:tcW w:w="7513" w:type="dxa"/>
            <w:shd w:val="clear" w:color="auto" w:fill="D5DCE4"/>
          </w:tcPr>
          <w:p w14:paraId="60F4B66A" w14:textId="7444D7DA" w:rsidR="001053AF" w:rsidRPr="00217C11" w:rsidRDefault="00D242A8" w:rsidP="001053AF">
            <w:pPr>
              <w:pStyle w:val="Tablerowcolumnheadingcentred"/>
              <w:jc w:val="left"/>
              <w:cnfStyle w:val="100000000000" w:firstRow="1" w:lastRow="0" w:firstColumn="0" w:lastColumn="0" w:oddVBand="0" w:evenVBand="0" w:oddHBand="0" w:evenHBand="0" w:firstRowFirstColumn="0" w:firstRowLastColumn="0" w:lastRowFirstColumn="0" w:lastRowLastColumn="0"/>
              <w:rPr>
                <w:b/>
              </w:rPr>
            </w:pPr>
            <w:r>
              <w:rPr>
                <w:b/>
              </w:rPr>
              <w:t>Meaning</w:t>
            </w:r>
          </w:p>
        </w:tc>
      </w:tr>
      <w:tr w:rsidR="001053AF" w:rsidRPr="00B54D18" w14:paraId="65148B4B" w14:textId="77777777" w:rsidTr="00D801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77B6347A" w14:textId="77777777" w:rsidR="001053AF" w:rsidRPr="00217C11" w:rsidRDefault="001053AF" w:rsidP="002A3779">
            <w:pPr>
              <w:pStyle w:val="Tabletext"/>
              <w:rPr>
                <w:b w:val="0"/>
              </w:rPr>
            </w:pPr>
            <w:r>
              <w:rPr>
                <w:b w:val="0"/>
              </w:rPr>
              <w:t>The Act</w:t>
            </w:r>
          </w:p>
        </w:tc>
        <w:tc>
          <w:tcPr>
            <w:tcW w:w="7513" w:type="dxa"/>
          </w:tcPr>
          <w:p w14:paraId="240814D9" w14:textId="77777777" w:rsidR="001053AF" w:rsidRPr="00217C11" w:rsidRDefault="001053AF" w:rsidP="001053AF">
            <w:pPr>
              <w:pStyle w:val="Tabletextcentred"/>
              <w:jc w:val="left"/>
              <w:cnfStyle w:val="000000100000" w:firstRow="0" w:lastRow="0" w:firstColumn="0" w:lastColumn="0" w:oddVBand="0" w:evenVBand="0" w:oddHBand="1" w:evenHBand="0" w:firstRowFirstColumn="0" w:firstRowLastColumn="0" w:lastRowFirstColumn="0" w:lastRowLastColumn="0"/>
            </w:pPr>
            <w:r>
              <w:t>Telecommunications Act 1997</w:t>
            </w:r>
          </w:p>
        </w:tc>
      </w:tr>
      <w:tr w:rsidR="001053AF" w:rsidRPr="00B54D18" w14:paraId="0D6D09B3" w14:textId="77777777" w:rsidTr="00D8018C">
        <w:trPr>
          <w:cantSplit/>
        </w:trPr>
        <w:tc>
          <w:tcPr>
            <w:cnfStyle w:val="001000000000" w:firstRow="0" w:lastRow="0" w:firstColumn="1" w:lastColumn="0" w:oddVBand="0" w:evenVBand="0" w:oddHBand="0" w:evenHBand="0" w:firstRowFirstColumn="0" w:firstRowLastColumn="0" w:lastRowFirstColumn="0" w:lastRowLastColumn="0"/>
            <w:tcW w:w="1980" w:type="dxa"/>
          </w:tcPr>
          <w:p w14:paraId="60309A81" w14:textId="77777777" w:rsidR="001053AF" w:rsidRPr="00217C11" w:rsidRDefault="001053AF" w:rsidP="002A3779">
            <w:pPr>
              <w:pStyle w:val="Tabletext"/>
              <w:rPr>
                <w:b w:val="0"/>
              </w:rPr>
            </w:pPr>
            <w:r>
              <w:rPr>
                <w:b w:val="0"/>
              </w:rPr>
              <w:t>Carrier</w:t>
            </w:r>
          </w:p>
        </w:tc>
        <w:tc>
          <w:tcPr>
            <w:tcW w:w="7513" w:type="dxa"/>
          </w:tcPr>
          <w:p w14:paraId="43A43409" w14:textId="77777777" w:rsidR="001053AF" w:rsidRPr="00217C11" w:rsidRDefault="001053AF" w:rsidP="001053AF">
            <w:pPr>
              <w:pStyle w:val="Tabletextcentred"/>
              <w:jc w:val="left"/>
              <w:cnfStyle w:val="000000000000" w:firstRow="0" w:lastRow="0" w:firstColumn="0" w:lastColumn="0" w:oddVBand="0" w:evenVBand="0" w:oddHBand="0" w:evenHBand="0" w:firstRowFirstColumn="0" w:firstRowLastColumn="0" w:lastRowFirstColumn="0" w:lastRowLastColumn="0"/>
            </w:pPr>
            <w:r>
              <w:t>T</w:t>
            </w:r>
            <w:r w:rsidRPr="001053AF">
              <w:t>he owner of a network unit used to supply carriage services—such as telephony or internet—to the public. Must hold a carrier licence from the ACMA in accordance with the Act.</w:t>
            </w:r>
          </w:p>
        </w:tc>
      </w:tr>
      <w:tr w:rsidR="001053AF" w:rsidRPr="00B54D18" w14:paraId="61147ADA" w14:textId="77777777" w:rsidTr="00D801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2B19D5FF" w14:textId="77777777" w:rsidR="001053AF" w:rsidRPr="00217C11" w:rsidRDefault="001053AF" w:rsidP="002A3779">
            <w:pPr>
              <w:pStyle w:val="Tabletext"/>
              <w:rPr>
                <w:b w:val="0"/>
              </w:rPr>
            </w:pPr>
            <w:r>
              <w:rPr>
                <w:b w:val="0"/>
              </w:rPr>
              <w:t>Code of Practice</w:t>
            </w:r>
          </w:p>
        </w:tc>
        <w:tc>
          <w:tcPr>
            <w:tcW w:w="7513" w:type="dxa"/>
          </w:tcPr>
          <w:p w14:paraId="1933536F" w14:textId="77777777" w:rsidR="001053AF" w:rsidRPr="00217C11" w:rsidRDefault="001053AF" w:rsidP="001053AF">
            <w:pPr>
              <w:pStyle w:val="Tabletextcentred"/>
              <w:jc w:val="left"/>
              <w:cnfStyle w:val="000000100000" w:firstRow="0" w:lastRow="0" w:firstColumn="0" w:lastColumn="0" w:oddVBand="0" w:evenVBand="0" w:oddHBand="1" w:evenHBand="0" w:firstRowFirstColumn="0" w:firstRowLastColumn="0" w:lastRowFirstColumn="0" w:lastRowLastColumn="0"/>
            </w:pPr>
            <w:r>
              <w:t>Telecommunications Code of Practice 2018</w:t>
            </w:r>
          </w:p>
        </w:tc>
      </w:tr>
      <w:tr w:rsidR="001053AF" w:rsidRPr="00B54D18" w14:paraId="7E9F443F" w14:textId="77777777" w:rsidTr="00D8018C">
        <w:trPr>
          <w:cantSplit/>
        </w:trPr>
        <w:tc>
          <w:tcPr>
            <w:cnfStyle w:val="001000000000" w:firstRow="0" w:lastRow="0" w:firstColumn="1" w:lastColumn="0" w:oddVBand="0" w:evenVBand="0" w:oddHBand="0" w:evenHBand="0" w:firstRowFirstColumn="0" w:firstRowLastColumn="0" w:lastRowFirstColumn="0" w:lastRowLastColumn="0"/>
            <w:tcW w:w="1980" w:type="dxa"/>
          </w:tcPr>
          <w:p w14:paraId="2C0ECD78" w14:textId="77777777" w:rsidR="001053AF" w:rsidRDefault="001053AF" w:rsidP="002A3779">
            <w:pPr>
              <w:pStyle w:val="Tabletext"/>
              <w:rPr>
                <w:b w:val="0"/>
              </w:rPr>
            </w:pPr>
            <w:r>
              <w:rPr>
                <w:b w:val="0"/>
              </w:rPr>
              <w:t>The Department</w:t>
            </w:r>
          </w:p>
        </w:tc>
        <w:tc>
          <w:tcPr>
            <w:tcW w:w="7513" w:type="dxa"/>
          </w:tcPr>
          <w:p w14:paraId="4EED3F39" w14:textId="6F573BC0" w:rsidR="001053AF" w:rsidRPr="00217C11" w:rsidRDefault="001053AF" w:rsidP="001053AF">
            <w:pPr>
              <w:pStyle w:val="Tabletextcentred"/>
              <w:jc w:val="left"/>
              <w:cnfStyle w:val="000000000000" w:firstRow="0" w:lastRow="0" w:firstColumn="0" w:lastColumn="0" w:oddVBand="0" w:evenVBand="0" w:oddHBand="0" w:evenHBand="0" w:firstRowFirstColumn="0" w:firstRowLastColumn="0" w:lastRowFirstColumn="0" w:lastRowLastColumn="0"/>
            </w:pPr>
            <w:r>
              <w:t>The Department of Infrastructure, Transport, Regional Development and Communications</w:t>
            </w:r>
            <w:r w:rsidR="00533ED6">
              <w:t>.</w:t>
            </w:r>
          </w:p>
        </w:tc>
      </w:tr>
      <w:tr w:rsidR="001053AF" w:rsidRPr="00B54D18" w14:paraId="5B9DDF3E" w14:textId="77777777" w:rsidTr="00D801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7EA10984" w14:textId="1C18F012" w:rsidR="001053AF" w:rsidRDefault="00B02605" w:rsidP="002A3779">
            <w:pPr>
              <w:pStyle w:val="Tabletext"/>
              <w:rPr>
                <w:b w:val="0"/>
              </w:rPr>
            </w:pPr>
            <w:r>
              <w:rPr>
                <w:b w:val="0"/>
              </w:rPr>
              <w:t>Notice</w:t>
            </w:r>
          </w:p>
        </w:tc>
        <w:tc>
          <w:tcPr>
            <w:tcW w:w="7513" w:type="dxa"/>
          </w:tcPr>
          <w:p w14:paraId="02F712EE" w14:textId="092163B2" w:rsidR="001053AF" w:rsidRPr="00217C11" w:rsidRDefault="001053AF" w:rsidP="001053AF">
            <w:pPr>
              <w:pStyle w:val="Tabletextcentred"/>
              <w:jc w:val="left"/>
              <w:cnfStyle w:val="000000100000" w:firstRow="0" w:lastRow="0" w:firstColumn="0" w:lastColumn="0" w:oddVBand="0" w:evenVBand="0" w:oddHBand="1" w:evenHBand="0" w:firstRowFirstColumn="0" w:firstRowLastColumn="0" w:lastRowFirstColumn="0" w:lastRowLastColumn="0"/>
            </w:pPr>
            <w:r w:rsidRPr="001053AF">
              <w:t>Land Access Activity Notice—a notice issued by telecommunications carriers seeking entry to land to conduct activities authorised by Schedule 3 to the Act</w:t>
            </w:r>
            <w:r w:rsidR="00533ED6">
              <w:t>.</w:t>
            </w:r>
          </w:p>
        </w:tc>
      </w:tr>
      <w:tr w:rsidR="001053AF" w:rsidRPr="00B54D18" w14:paraId="6D246410" w14:textId="77777777" w:rsidTr="00D8018C">
        <w:trPr>
          <w:cantSplit/>
        </w:trPr>
        <w:tc>
          <w:tcPr>
            <w:cnfStyle w:val="001000000000" w:firstRow="0" w:lastRow="0" w:firstColumn="1" w:lastColumn="0" w:oddVBand="0" w:evenVBand="0" w:oddHBand="0" w:evenHBand="0" w:firstRowFirstColumn="0" w:firstRowLastColumn="0" w:lastRowFirstColumn="0" w:lastRowLastColumn="0"/>
            <w:tcW w:w="1980" w:type="dxa"/>
          </w:tcPr>
          <w:p w14:paraId="528A42DD" w14:textId="77777777" w:rsidR="001053AF" w:rsidRDefault="001053AF" w:rsidP="002A3779">
            <w:pPr>
              <w:pStyle w:val="Tabletext"/>
              <w:rPr>
                <w:b w:val="0"/>
              </w:rPr>
            </w:pPr>
            <w:r>
              <w:rPr>
                <w:b w:val="0"/>
              </w:rPr>
              <w:t>Landowners</w:t>
            </w:r>
          </w:p>
        </w:tc>
        <w:tc>
          <w:tcPr>
            <w:tcW w:w="7513" w:type="dxa"/>
          </w:tcPr>
          <w:p w14:paraId="1D33F400" w14:textId="77777777" w:rsidR="001053AF" w:rsidRPr="00217C11" w:rsidRDefault="001053AF" w:rsidP="001053AF">
            <w:pPr>
              <w:pStyle w:val="Tabletextcentred"/>
              <w:jc w:val="left"/>
              <w:cnfStyle w:val="000000000000" w:firstRow="0" w:lastRow="0" w:firstColumn="0" w:lastColumn="0" w:oddVBand="0" w:evenVBand="0" w:oddHBand="0" w:evenHBand="0" w:firstRowFirstColumn="0" w:firstRowLastColumn="0" w:lastRowFirstColumn="0" w:lastRowLastColumn="0"/>
            </w:pPr>
            <w:r>
              <w:t>T</w:t>
            </w:r>
            <w:r w:rsidRPr="001053AF">
              <w:t>he owner of a site or an asset where a telecommunications facility is proposed to be deployed. There are many types of landowners including government, utilities, road authorities, commercial entities and homeowners.</w:t>
            </w:r>
          </w:p>
        </w:tc>
      </w:tr>
      <w:tr w:rsidR="001053AF" w:rsidRPr="00B54D18" w14:paraId="57E2A2CA" w14:textId="77777777" w:rsidTr="00D801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281F9F44" w14:textId="77777777" w:rsidR="001053AF" w:rsidRDefault="001053AF" w:rsidP="002A3779">
            <w:pPr>
              <w:pStyle w:val="Tabletext"/>
              <w:rPr>
                <w:b w:val="0"/>
              </w:rPr>
            </w:pPr>
            <w:r>
              <w:rPr>
                <w:b w:val="0"/>
              </w:rPr>
              <w:t>LIFD</w:t>
            </w:r>
          </w:p>
        </w:tc>
        <w:tc>
          <w:tcPr>
            <w:tcW w:w="7513" w:type="dxa"/>
          </w:tcPr>
          <w:p w14:paraId="602DCB71" w14:textId="76BCE3A1" w:rsidR="001053AF" w:rsidRPr="00217C11" w:rsidRDefault="001053AF" w:rsidP="001053AF">
            <w:pPr>
              <w:pStyle w:val="Tabletextcentred"/>
              <w:jc w:val="left"/>
              <w:cnfStyle w:val="000000100000" w:firstRow="0" w:lastRow="0" w:firstColumn="0" w:lastColumn="0" w:oddVBand="0" w:evenVBand="0" w:oddHBand="1" w:evenHBand="0" w:firstRowFirstColumn="0" w:firstRowLastColumn="0" w:lastRowFirstColumn="0" w:lastRowLastColumn="0"/>
            </w:pPr>
            <w:r>
              <w:t>Telecommunications (Low-impact Facilities) Determination 2018</w:t>
            </w:r>
            <w:r w:rsidR="00533ED6">
              <w:t>.</w:t>
            </w:r>
          </w:p>
        </w:tc>
      </w:tr>
      <w:tr w:rsidR="00EC1789" w:rsidRPr="00B54D18" w14:paraId="6D7E6515" w14:textId="77777777" w:rsidTr="00D8018C">
        <w:trPr>
          <w:cantSplit/>
        </w:trPr>
        <w:tc>
          <w:tcPr>
            <w:cnfStyle w:val="001000000000" w:firstRow="0" w:lastRow="0" w:firstColumn="1" w:lastColumn="0" w:oddVBand="0" w:evenVBand="0" w:oddHBand="0" w:evenHBand="0" w:firstRowFirstColumn="0" w:firstRowLastColumn="0" w:lastRowFirstColumn="0" w:lastRowLastColumn="0"/>
            <w:tcW w:w="1980" w:type="dxa"/>
          </w:tcPr>
          <w:p w14:paraId="19319BF7" w14:textId="3C8056F7" w:rsidR="00EC1789" w:rsidRDefault="00EC1789" w:rsidP="002A3779">
            <w:pPr>
              <w:pStyle w:val="Tabletext"/>
              <w:rPr>
                <w:b w:val="0"/>
              </w:rPr>
            </w:pPr>
            <w:r>
              <w:rPr>
                <w:b w:val="0"/>
              </w:rPr>
              <w:t>PIRG</w:t>
            </w:r>
          </w:p>
        </w:tc>
        <w:tc>
          <w:tcPr>
            <w:tcW w:w="7513" w:type="dxa"/>
          </w:tcPr>
          <w:p w14:paraId="1F391F9C" w14:textId="401513D4" w:rsidR="00EC1789" w:rsidRDefault="00EC1789" w:rsidP="001053AF">
            <w:pPr>
              <w:pStyle w:val="Tabletextcentred"/>
              <w:jc w:val="left"/>
              <w:cnfStyle w:val="000000000000" w:firstRow="0" w:lastRow="0" w:firstColumn="0" w:lastColumn="0" w:oddVBand="0" w:evenVBand="0" w:oddHBand="0" w:evenHBand="0" w:firstRowFirstColumn="0" w:firstRowLastColumn="0" w:lastRowFirstColumn="0" w:lastRowLastColumn="0"/>
            </w:pPr>
            <w:r>
              <w:t>The Powers and Immunities Reference Group</w:t>
            </w:r>
          </w:p>
        </w:tc>
      </w:tr>
      <w:tr w:rsidR="001053AF" w:rsidRPr="00B54D18" w14:paraId="598860F4" w14:textId="77777777" w:rsidTr="00D801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13EC448F" w14:textId="77777777" w:rsidR="001053AF" w:rsidRDefault="001053AF" w:rsidP="002A3779">
            <w:pPr>
              <w:pStyle w:val="Tabletext"/>
              <w:rPr>
                <w:b w:val="0"/>
              </w:rPr>
            </w:pPr>
            <w:r>
              <w:rPr>
                <w:b w:val="0"/>
              </w:rPr>
              <w:t>Schedule 3</w:t>
            </w:r>
          </w:p>
        </w:tc>
        <w:tc>
          <w:tcPr>
            <w:tcW w:w="7513" w:type="dxa"/>
          </w:tcPr>
          <w:p w14:paraId="6A0EEC33" w14:textId="007DC0B0" w:rsidR="001053AF" w:rsidRPr="00217C11" w:rsidRDefault="001053AF" w:rsidP="001053AF">
            <w:pPr>
              <w:pStyle w:val="Tabletextcentred"/>
              <w:jc w:val="left"/>
              <w:cnfStyle w:val="000000100000" w:firstRow="0" w:lastRow="0" w:firstColumn="0" w:lastColumn="0" w:oddVBand="0" w:evenVBand="0" w:oddHBand="1" w:evenHBand="0" w:firstRowFirstColumn="0" w:firstRowLastColumn="0" w:lastRowFirstColumn="0" w:lastRowLastColumn="0"/>
            </w:pPr>
            <w:r>
              <w:t>Schedule 3 to the Telecommunications Act 1997, which sets out the carriers’ powers and immunities framework</w:t>
            </w:r>
            <w:r w:rsidR="00533ED6">
              <w:t>.</w:t>
            </w:r>
          </w:p>
        </w:tc>
      </w:tr>
      <w:tr w:rsidR="001053AF" w:rsidRPr="00B54D18" w14:paraId="296F27DD" w14:textId="77777777" w:rsidTr="00D8018C">
        <w:trPr>
          <w:cantSplit/>
        </w:trPr>
        <w:tc>
          <w:tcPr>
            <w:cnfStyle w:val="001000000000" w:firstRow="0" w:lastRow="0" w:firstColumn="1" w:lastColumn="0" w:oddVBand="0" w:evenVBand="0" w:oddHBand="0" w:evenHBand="0" w:firstRowFirstColumn="0" w:firstRowLastColumn="0" w:lastRowFirstColumn="0" w:lastRowLastColumn="0"/>
            <w:tcW w:w="1980" w:type="dxa"/>
          </w:tcPr>
          <w:p w14:paraId="5FFC5737" w14:textId="77777777" w:rsidR="001053AF" w:rsidRDefault="001053AF" w:rsidP="002A3779">
            <w:pPr>
              <w:pStyle w:val="Tabletext"/>
              <w:rPr>
                <w:b w:val="0"/>
              </w:rPr>
            </w:pPr>
            <w:r>
              <w:rPr>
                <w:b w:val="0"/>
              </w:rPr>
              <w:t>TIO</w:t>
            </w:r>
          </w:p>
        </w:tc>
        <w:tc>
          <w:tcPr>
            <w:tcW w:w="7513" w:type="dxa"/>
          </w:tcPr>
          <w:p w14:paraId="6EAACC5E" w14:textId="211CC412" w:rsidR="001053AF" w:rsidRPr="00217C11" w:rsidRDefault="001053AF" w:rsidP="001053AF">
            <w:pPr>
              <w:pStyle w:val="Tabletextcentred"/>
              <w:jc w:val="left"/>
              <w:cnfStyle w:val="000000000000" w:firstRow="0" w:lastRow="0" w:firstColumn="0" w:lastColumn="0" w:oddVBand="0" w:evenVBand="0" w:oddHBand="0" w:evenHBand="0" w:firstRowFirstColumn="0" w:firstRowLastColumn="0" w:lastRowFirstColumn="0" w:lastRowLastColumn="0"/>
            </w:pPr>
            <w:r>
              <w:t>Telecommunications Industry Ombudsman</w:t>
            </w:r>
            <w:r w:rsidRPr="00B43EC0">
              <w:t>—the</w:t>
            </w:r>
            <w:r>
              <w:t xml:space="preserve"> independent dispute resolution service for telecommunications consumers, which also covers some powers and immunities issues (</w:t>
            </w:r>
            <w:hyperlink r:id="rId22" w:history="1">
              <w:r w:rsidRPr="00661B8C">
                <w:rPr>
                  <w:rStyle w:val="Hyperlink"/>
                </w:rPr>
                <w:t>www.tio.com.au</w:t>
              </w:r>
            </w:hyperlink>
            <w:r w:rsidR="00533ED6">
              <w:t>).</w:t>
            </w:r>
          </w:p>
        </w:tc>
      </w:tr>
    </w:tbl>
    <w:p w14:paraId="0AA1089B" w14:textId="26ED589D" w:rsidR="00BF78EB" w:rsidRDefault="00BF78EB" w:rsidP="002A3779"/>
    <w:sectPr w:rsidR="00BF78EB" w:rsidSect="002F1A23">
      <w:headerReference w:type="even" r:id="rId23"/>
      <w:headerReference w:type="default" r:id="rId24"/>
      <w:headerReference w:type="first" r:id="rId25"/>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CE84D" w14:textId="77777777" w:rsidR="004B6D50" w:rsidRDefault="004B6D50" w:rsidP="00FC413F">
      <w:pPr>
        <w:spacing w:after="0"/>
      </w:pPr>
      <w:r>
        <w:separator/>
      </w:r>
    </w:p>
  </w:endnote>
  <w:endnote w:type="continuationSeparator" w:id="0">
    <w:p w14:paraId="32FC459F" w14:textId="77777777" w:rsidR="004B6D50" w:rsidRDefault="004B6D50" w:rsidP="00FC413F">
      <w:pPr>
        <w:spacing w:after="0"/>
      </w:pPr>
      <w:r>
        <w:continuationSeparator/>
      </w:r>
    </w:p>
  </w:endnote>
  <w:endnote w:type="continuationNotice" w:id="1">
    <w:p w14:paraId="277ED5C7" w14:textId="77777777" w:rsidR="004B6D50" w:rsidRDefault="004B6D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562D" w14:textId="77777777" w:rsidR="004B6D50" w:rsidRPr="00FC413F" w:rsidRDefault="004B6D50"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565D61E" w14:textId="06E408CC" w:rsidR="004B6D50" w:rsidRPr="00FC413F" w:rsidRDefault="004B6D50"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1E3CC8">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Improving the telecommunications powers and immunities framework</w:t>
    </w:r>
  </w:p>
  <w:p w14:paraId="2ED3E13D" w14:textId="77777777" w:rsidR="004B6D50" w:rsidRPr="00FC413F" w:rsidRDefault="001E3CC8" w:rsidP="00A82DAF">
    <w:pPr>
      <w:pStyle w:val="Footer"/>
      <w:tabs>
        <w:tab w:val="clear" w:pos="4513"/>
        <w:tab w:val="clear" w:pos="9026"/>
      </w:tabs>
      <w:ind w:left="-567"/>
      <w:jc w:val="center"/>
      <w:rPr>
        <w:rFonts w:cs="Segoe UI"/>
        <w:szCs w:val="18"/>
      </w:rPr>
    </w:pPr>
    <w:hyperlink r:id="rId1" w:history="1">
      <w:r w:rsidR="004B6D50" w:rsidRPr="00FC413F">
        <w:rPr>
          <w:rStyle w:val="Hyperlink"/>
          <w:rFonts w:cs="Segoe UI"/>
          <w:szCs w:val="18"/>
        </w:rPr>
        <w:t>infrastructure.gov.au</w:t>
      </w:r>
    </w:hyperlink>
    <w:r w:rsidR="004B6D50" w:rsidRPr="00FC413F">
      <w:rPr>
        <w:rFonts w:cs="Segoe UI"/>
        <w:noProof/>
        <w:szCs w:val="18"/>
      </w:rPr>
      <w:t xml:space="preserve"> | </w:t>
    </w:r>
    <w:hyperlink r:id="rId2" w:history="1">
      <w:r w:rsidR="004B6D50" w:rsidRPr="00FC413F">
        <w:rPr>
          <w:rStyle w:val="Hyperlink"/>
          <w:rFonts w:cs="Segoe UI"/>
          <w:szCs w:val="18"/>
        </w:rPr>
        <w:t>communications.gov.au</w:t>
      </w:r>
    </w:hyperlink>
    <w:r w:rsidR="004B6D50">
      <w:t xml:space="preserve"> | </w:t>
    </w:r>
    <w:hyperlink r:id="rId3" w:history="1">
      <w:r w:rsidR="004B6D50"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542B6" w14:textId="77777777" w:rsidR="004B6D50" w:rsidRDefault="004B6D50" w:rsidP="00FC413F">
      <w:pPr>
        <w:spacing w:after="0"/>
      </w:pPr>
      <w:r>
        <w:separator/>
      </w:r>
    </w:p>
  </w:footnote>
  <w:footnote w:type="continuationSeparator" w:id="0">
    <w:p w14:paraId="3D1A3F7D" w14:textId="77777777" w:rsidR="004B6D50" w:rsidRDefault="004B6D50" w:rsidP="00FC413F">
      <w:pPr>
        <w:spacing w:after="0"/>
      </w:pPr>
      <w:r>
        <w:continuationSeparator/>
      </w:r>
    </w:p>
  </w:footnote>
  <w:footnote w:type="continuationNotice" w:id="1">
    <w:p w14:paraId="00FCDEBA" w14:textId="77777777" w:rsidR="004B6D50" w:rsidRDefault="004B6D50">
      <w:pPr>
        <w:spacing w:after="0"/>
      </w:pPr>
    </w:p>
  </w:footnote>
  <w:footnote w:id="2">
    <w:p w14:paraId="1595CF72" w14:textId="7764FD16" w:rsidR="004B6D50" w:rsidRDefault="004B6D50">
      <w:pPr>
        <w:pStyle w:val="FootnoteText"/>
      </w:pPr>
      <w:r>
        <w:rPr>
          <w:rStyle w:val="FootnoteReference"/>
        </w:rPr>
        <w:footnoteRef/>
      </w:r>
      <w:r>
        <w:t xml:space="preserve"> Information about the 5G inquiry, submissions and the final report can be accessed</w:t>
      </w:r>
      <w:r w:rsidR="00911EAD">
        <w:t xml:space="preserve"> on the</w:t>
      </w:r>
      <w:r>
        <w:t xml:space="preserve"> </w:t>
      </w:r>
      <w:hyperlink r:id="rId1" w:history="1">
        <w:r w:rsidR="00911EAD">
          <w:rPr>
            <w:rStyle w:val="Hyperlink"/>
          </w:rPr>
          <w:t>Inquiry into 5G in Australia webpage</w:t>
        </w:r>
      </w:hyperlink>
      <w:r>
        <w:t>.</w:t>
      </w:r>
    </w:p>
  </w:footnote>
  <w:footnote w:id="3">
    <w:p w14:paraId="1BE6870C" w14:textId="4BCC918F" w:rsidR="004B6D50" w:rsidRDefault="004B6D50">
      <w:pPr>
        <w:pStyle w:val="FootnoteText"/>
      </w:pPr>
      <w:r>
        <w:rPr>
          <w:rStyle w:val="FootnoteReference"/>
        </w:rPr>
        <w:footnoteRef/>
      </w:r>
      <w:r>
        <w:t xml:space="preserve"> The Committee’s report of its inquiry into 5G in Australia can be accessed</w:t>
      </w:r>
      <w:r w:rsidR="00911EAD">
        <w:t xml:space="preserve"> on the</w:t>
      </w:r>
      <w:r>
        <w:t xml:space="preserve"> </w:t>
      </w:r>
      <w:hyperlink r:id="rId2" w:history="1">
        <w:r w:rsidR="00911EAD">
          <w:rPr>
            <w:rStyle w:val="Hyperlink"/>
          </w:rPr>
          <w:t>Next Gen Future webpage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F2E7" w14:textId="51136964" w:rsidR="004B6D50" w:rsidRDefault="004B6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39A56" w14:textId="70BEEFB3" w:rsidR="004B6D50" w:rsidRDefault="004B6D50" w:rsidP="00FC413F">
    <w:pPr>
      <w:pStyle w:val="Header"/>
      <w:tabs>
        <w:tab w:val="right" w:pos="9475"/>
      </w:tabs>
      <w:ind w:left="-1418"/>
    </w:pPr>
    <w:r>
      <w:rPr>
        <w:noProof/>
        <w:lang w:eastAsia="en-AU"/>
      </w:rPr>
      <w:drawing>
        <wp:inline distT="0" distB="0" distL="0" distR="0" wp14:anchorId="0866BA79" wp14:editId="680C7B36">
          <wp:extent cx="7570707" cy="1080198"/>
          <wp:effectExtent l="0" t="0" r="0" b="5715"/>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5904A484" w14:textId="108D1701" w:rsidR="004B6D50" w:rsidRPr="00261FFA" w:rsidRDefault="00C2716A" w:rsidP="00D47BFD">
    <w:pPr>
      <w:pStyle w:val="Header"/>
      <w:tabs>
        <w:tab w:val="clear" w:pos="4678"/>
      </w:tabs>
      <w:rPr>
        <w:rFonts w:cs="Segoe UI Light"/>
        <w:color w:val="001C40"/>
        <w:szCs w:val="18"/>
      </w:rPr>
    </w:pPr>
    <w:r>
      <w:rPr>
        <w:rFonts w:cs="Segoe UI Light"/>
        <w:szCs w:val="18"/>
      </w:rPr>
      <w:t>March</w:t>
    </w:r>
    <w:r w:rsidR="004B6D50">
      <w:rPr>
        <w:rFonts w:cs="Segoe UI Light"/>
        <w:szCs w:val="18"/>
      </w:rPr>
      <w:t xml:space="preserve"> 2021</w:t>
    </w:r>
    <w:r w:rsidR="004B6D50" w:rsidRPr="00261FFA">
      <w:rPr>
        <w:rFonts w:cs="Segoe UI Light"/>
        <w:szCs w:val="18"/>
      </w:rPr>
      <w:tab/>
    </w:r>
    <w:r w:rsidR="004B6D50" w:rsidRPr="00261FFA">
      <w:rPr>
        <w:rFonts w:cs="Segoe UI Light"/>
        <w:color w:val="001C40"/>
        <w:szCs w:val="18"/>
      </w:rPr>
      <w:fldChar w:fldCharType="begin"/>
    </w:r>
    <w:r w:rsidR="004B6D50" w:rsidRPr="00261FFA">
      <w:rPr>
        <w:rFonts w:cs="Segoe UI Light"/>
        <w:color w:val="001C40"/>
        <w:szCs w:val="18"/>
      </w:rPr>
      <w:instrText xml:space="preserve"> STYLEREF  "Heading 2—not showing"  \* MERGEFORMAT </w:instrText>
    </w:r>
    <w:r w:rsidR="004B6D50" w:rsidRPr="00261FFA">
      <w:rPr>
        <w:rFonts w:cs="Segoe UI Light"/>
        <w:color w:val="001C40"/>
        <w:szCs w:val="18"/>
      </w:rPr>
      <w:fldChar w:fldCharType="separate"/>
    </w:r>
    <w:r w:rsidR="001E3CC8" w:rsidRPr="001E3CC8">
      <w:rPr>
        <w:rFonts w:cs="Segoe UI Light"/>
        <w:b/>
        <w:bCs/>
        <w:noProof/>
        <w:color w:val="001C40"/>
        <w:szCs w:val="18"/>
        <w:lang w:val="en-US"/>
      </w:rPr>
      <w:t>Ownership</w:t>
    </w:r>
    <w:r w:rsidR="001E3CC8">
      <w:rPr>
        <w:rFonts w:cs="Segoe UI Light"/>
        <w:noProof/>
        <w:color w:val="001C40"/>
        <w:szCs w:val="18"/>
      </w:rPr>
      <w:t xml:space="preserve"> of intellectual property rights in this publication</w:t>
    </w:r>
    <w:r w:rsidR="004B6D50" w:rsidRPr="00261FFA">
      <w:rPr>
        <w:rFonts w:cs="Segoe UI Light"/>
        <w:color w:val="001C4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EBC2" w14:textId="34EBB1DE" w:rsidR="004B6D50" w:rsidRDefault="004B6D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C6C2" w14:textId="2F363771" w:rsidR="004B6D50" w:rsidRDefault="004B6D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732C6" w14:textId="4DF9AC49" w:rsidR="004B6D50" w:rsidRDefault="004B6D50" w:rsidP="00FC413F">
    <w:pPr>
      <w:pStyle w:val="Header"/>
      <w:tabs>
        <w:tab w:val="right" w:pos="9475"/>
      </w:tabs>
      <w:ind w:left="-1418"/>
    </w:pPr>
    <w:r>
      <w:rPr>
        <w:noProof/>
        <w:lang w:eastAsia="en-AU"/>
      </w:rPr>
      <w:drawing>
        <wp:inline distT="0" distB="0" distL="0" distR="0" wp14:anchorId="3F06B24A" wp14:editId="7EF299B5">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3553E26C" w14:textId="572BD115" w:rsidR="004B6D50" w:rsidRPr="00261FFA" w:rsidRDefault="00C2716A" w:rsidP="00D47BFD">
    <w:pPr>
      <w:pStyle w:val="Header"/>
      <w:tabs>
        <w:tab w:val="clear" w:pos="4678"/>
      </w:tabs>
      <w:rPr>
        <w:rFonts w:cs="Segoe UI Light"/>
        <w:color w:val="001C40"/>
        <w:szCs w:val="18"/>
      </w:rPr>
    </w:pPr>
    <w:r>
      <w:rPr>
        <w:rFonts w:cs="Segoe UI Light"/>
        <w:szCs w:val="18"/>
      </w:rPr>
      <w:t>March</w:t>
    </w:r>
    <w:r w:rsidR="004B6D50">
      <w:rPr>
        <w:rFonts w:cs="Segoe UI Light"/>
        <w:szCs w:val="18"/>
      </w:rPr>
      <w:t xml:space="preserve"> 2021</w:t>
    </w:r>
    <w:r w:rsidR="004B6D50" w:rsidRPr="00261FFA">
      <w:rPr>
        <w:rFonts w:cs="Segoe UI Light"/>
        <w:szCs w:val="18"/>
      </w:rPr>
      <w:tab/>
    </w:r>
    <w:r w:rsidR="004B6D50">
      <w:rPr>
        <w:rFonts w:cs="Segoe UI Light"/>
        <w:color w:val="001C40"/>
        <w:szCs w:val="18"/>
      </w:rPr>
      <w:fldChar w:fldCharType="begin"/>
    </w:r>
    <w:r w:rsidR="004B6D50">
      <w:rPr>
        <w:rFonts w:cs="Segoe UI Light"/>
        <w:color w:val="001C40"/>
        <w:szCs w:val="18"/>
      </w:rPr>
      <w:instrText xml:space="preserve"> STYLEREF  "Heading 2"  \* MERGEFORMAT </w:instrText>
    </w:r>
    <w:r w:rsidR="004B6D50">
      <w:rPr>
        <w:rFonts w:cs="Segoe UI Light"/>
        <w:color w:val="001C40"/>
        <w:szCs w:val="18"/>
      </w:rPr>
      <w:fldChar w:fldCharType="separate"/>
    </w:r>
    <w:r w:rsidR="001E3CC8">
      <w:rPr>
        <w:rFonts w:cs="Segoe UI Light"/>
        <w:noProof/>
        <w:color w:val="001C40"/>
        <w:szCs w:val="18"/>
      </w:rPr>
      <w:t>Glossary</w:t>
    </w:r>
    <w:r w:rsidR="004B6D50">
      <w:rPr>
        <w:rFonts w:cs="Segoe UI Light"/>
        <w:color w:val="001C40"/>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94BE" w14:textId="67FEA614" w:rsidR="004B6D50" w:rsidRDefault="004B6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41D"/>
    <w:multiLevelType w:val="hybridMultilevel"/>
    <w:tmpl w:val="D848E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A4C2A"/>
    <w:multiLevelType w:val="hybridMultilevel"/>
    <w:tmpl w:val="6D7459AC"/>
    <w:lvl w:ilvl="0" w:tplc="9418D354">
      <w:start w:val="1"/>
      <w:numFmt w:val="bullet"/>
      <w:lvlText w:val=""/>
      <w:lvlJc w:val="left"/>
      <w:pPr>
        <w:tabs>
          <w:tab w:val="num" w:pos="720"/>
        </w:tabs>
        <w:ind w:left="720" w:hanging="360"/>
      </w:pPr>
      <w:rPr>
        <w:rFonts w:ascii="Wingdings" w:hAnsi="Wingdings" w:hint="default"/>
      </w:rPr>
    </w:lvl>
    <w:lvl w:ilvl="1" w:tplc="CAF4A3DA" w:tentative="1">
      <w:start w:val="1"/>
      <w:numFmt w:val="bullet"/>
      <w:lvlText w:val=""/>
      <w:lvlJc w:val="left"/>
      <w:pPr>
        <w:tabs>
          <w:tab w:val="num" w:pos="1440"/>
        </w:tabs>
        <w:ind w:left="1440" w:hanging="360"/>
      </w:pPr>
      <w:rPr>
        <w:rFonts w:ascii="Wingdings" w:hAnsi="Wingdings" w:hint="default"/>
      </w:rPr>
    </w:lvl>
    <w:lvl w:ilvl="2" w:tplc="6A220CE2" w:tentative="1">
      <w:start w:val="1"/>
      <w:numFmt w:val="bullet"/>
      <w:lvlText w:val=""/>
      <w:lvlJc w:val="left"/>
      <w:pPr>
        <w:tabs>
          <w:tab w:val="num" w:pos="2160"/>
        </w:tabs>
        <w:ind w:left="2160" w:hanging="360"/>
      </w:pPr>
      <w:rPr>
        <w:rFonts w:ascii="Wingdings" w:hAnsi="Wingdings" w:hint="default"/>
      </w:rPr>
    </w:lvl>
    <w:lvl w:ilvl="3" w:tplc="8952B5F6" w:tentative="1">
      <w:start w:val="1"/>
      <w:numFmt w:val="bullet"/>
      <w:lvlText w:val=""/>
      <w:lvlJc w:val="left"/>
      <w:pPr>
        <w:tabs>
          <w:tab w:val="num" w:pos="2880"/>
        </w:tabs>
        <w:ind w:left="2880" w:hanging="360"/>
      </w:pPr>
      <w:rPr>
        <w:rFonts w:ascii="Wingdings" w:hAnsi="Wingdings" w:hint="default"/>
      </w:rPr>
    </w:lvl>
    <w:lvl w:ilvl="4" w:tplc="50B00508" w:tentative="1">
      <w:start w:val="1"/>
      <w:numFmt w:val="bullet"/>
      <w:lvlText w:val=""/>
      <w:lvlJc w:val="left"/>
      <w:pPr>
        <w:tabs>
          <w:tab w:val="num" w:pos="3600"/>
        </w:tabs>
        <w:ind w:left="3600" w:hanging="360"/>
      </w:pPr>
      <w:rPr>
        <w:rFonts w:ascii="Wingdings" w:hAnsi="Wingdings" w:hint="default"/>
      </w:rPr>
    </w:lvl>
    <w:lvl w:ilvl="5" w:tplc="62500CC4" w:tentative="1">
      <w:start w:val="1"/>
      <w:numFmt w:val="bullet"/>
      <w:lvlText w:val=""/>
      <w:lvlJc w:val="left"/>
      <w:pPr>
        <w:tabs>
          <w:tab w:val="num" w:pos="4320"/>
        </w:tabs>
        <w:ind w:left="4320" w:hanging="360"/>
      </w:pPr>
      <w:rPr>
        <w:rFonts w:ascii="Wingdings" w:hAnsi="Wingdings" w:hint="default"/>
      </w:rPr>
    </w:lvl>
    <w:lvl w:ilvl="6" w:tplc="36223F08" w:tentative="1">
      <w:start w:val="1"/>
      <w:numFmt w:val="bullet"/>
      <w:lvlText w:val=""/>
      <w:lvlJc w:val="left"/>
      <w:pPr>
        <w:tabs>
          <w:tab w:val="num" w:pos="5040"/>
        </w:tabs>
        <w:ind w:left="5040" w:hanging="360"/>
      </w:pPr>
      <w:rPr>
        <w:rFonts w:ascii="Wingdings" w:hAnsi="Wingdings" w:hint="default"/>
      </w:rPr>
    </w:lvl>
    <w:lvl w:ilvl="7" w:tplc="AADC2FF8" w:tentative="1">
      <w:start w:val="1"/>
      <w:numFmt w:val="bullet"/>
      <w:lvlText w:val=""/>
      <w:lvlJc w:val="left"/>
      <w:pPr>
        <w:tabs>
          <w:tab w:val="num" w:pos="5760"/>
        </w:tabs>
        <w:ind w:left="5760" w:hanging="360"/>
      </w:pPr>
      <w:rPr>
        <w:rFonts w:ascii="Wingdings" w:hAnsi="Wingdings" w:hint="default"/>
      </w:rPr>
    </w:lvl>
    <w:lvl w:ilvl="8" w:tplc="C8BEBA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95273"/>
    <w:multiLevelType w:val="hybridMultilevel"/>
    <w:tmpl w:val="BF56EB10"/>
    <w:lvl w:ilvl="0" w:tplc="83E2FFAA">
      <w:start w:val="1"/>
      <w:numFmt w:val="bullet"/>
      <w:lvlText w:val=""/>
      <w:lvlJc w:val="left"/>
      <w:pPr>
        <w:tabs>
          <w:tab w:val="num" w:pos="720"/>
        </w:tabs>
        <w:ind w:left="720" w:hanging="360"/>
      </w:pPr>
      <w:rPr>
        <w:rFonts w:ascii="Wingdings" w:hAnsi="Wingdings" w:hint="default"/>
      </w:rPr>
    </w:lvl>
    <w:lvl w:ilvl="1" w:tplc="A46C4952" w:tentative="1">
      <w:start w:val="1"/>
      <w:numFmt w:val="bullet"/>
      <w:lvlText w:val=""/>
      <w:lvlJc w:val="left"/>
      <w:pPr>
        <w:tabs>
          <w:tab w:val="num" w:pos="1440"/>
        </w:tabs>
        <w:ind w:left="1440" w:hanging="360"/>
      </w:pPr>
      <w:rPr>
        <w:rFonts w:ascii="Wingdings" w:hAnsi="Wingdings" w:hint="default"/>
      </w:rPr>
    </w:lvl>
    <w:lvl w:ilvl="2" w:tplc="554A5944" w:tentative="1">
      <w:start w:val="1"/>
      <w:numFmt w:val="bullet"/>
      <w:lvlText w:val=""/>
      <w:lvlJc w:val="left"/>
      <w:pPr>
        <w:tabs>
          <w:tab w:val="num" w:pos="2160"/>
        </w:tabs>
        <w:ind w:left="2160" w:hanging="360"/>
      </w:pPr>
      <w:rPr>
        <w:rFonts w:ascii="Wingdings" w:hAnsi="Wingdings" w:hint="default"/>
      </w:rPr>
    </w:lvl>
    <w:lvl w:ilvl="3" w:tplc="E5B83F70" w:tentative="1">
      <w:start w:val="1"/>
      <w:numFmt w:val="bullet"/>
      <w:lvlText w:val=""/>
      <w:lvlJc w:val="left"/>
      <w:pPr>
        <w:tabs>
          <w:tab w:val="num" w:pos="2880"/>
        </w:tabs>
        <w:ind w:left="2880" w:hanging="360"/>
      </w:pPr>
      <w:rPr>
        <w:rFonts w:ascii="Wingdings" w:hAnsi="Wingdings" w:hint="default"/>
      </w:rPr>
    </w:lvl>
    <w:lvl w:ilvl="4" w:tplc="2B6AC924" w:tentative="1">
      <w:start w:val="1"/>
      <w:numFmt w:val="bullet"/>
      <w:lvlText w:val=""/>
      <w:lvlJc w:val="left"/>
      <w:pPr>
        <w:tabs>
          <w:tab w:val="num" w:pos="3600"/>
        </w:tabs>
        <w:ind w:left="3600" w:hanging="360"/>
      </w:pPr>
      <w:rPr>
        <w:rFonts w:ascii="Wingdings" w:hAnsi="Wingdings" w:hint="default"/>
      </w:rPr>
    </w:lvl>
    <w:lvl w:ilvl="5" w:tplc="E82EAE58" w:tentative="1">
      <w:start w:val="1"/>
      <w:numFmt w:val="bullet"/>
      <w:lvlText w:val=""/>
      <w:lvlJc w:val="left"/>
      <w:pPr>
        <w:tabs>
          <w:tab w:val="num" w:pos="4320"/>
        </w:tabs>
        <w:ind w:left="4320" w:hanging="360"/>
      </w:pPr>
      <w:rPr>
        <w:rFonts w:ascii="Wingdings" w:hAnsi="Wingdings" w:hint="default"/>
      </w:rPr>
    </w:lvl>
    <w:lvl w:ilvl="6" w:tplc="06C61CAC" w:tentative="1">
      <w:start w:val="1"/>
      <w:numFmt w:val="bullet"/>
      <w:lvlText w:val=""/>
      <w:lvlJc w:val="left"/>
      <w:pPr>
        <w:tabs>
          <w:tab w:val="num" w:pos="5040"/>
        </w:tabs>
        <w:ind w:left="5040" w:hanging="360"/>
      </w:pPr>
      <w:rPr>
        <w:rFonts w:ascii="Wingdings" w:hAnsi="Wingdings" w:hint="default"/>
      </w:rPr>
    </w:lvl>
    <w:lvl w:ilvl="7" w:tplc="5D18B636" w:tentative="1">
      <w:start w:val="1"/>
      <w:numFmt w:val="bullet"/>
      <w:lvlText w:val=""/>
      <w:lvlJc w:val="left"/>
      <w:pPr>
        <w:tabs>
          <w:tab w:val="num" w:pos="5760"/>
        </w:tabs>
        <w:ind w:left="5760" w:hanging="360"/>
      </w:pPr>
      <w:rPr>
        <w:rFonts w:ascii="Wingdings" w:hAnsi="Wingdings" w:hint="default"/>
      </w:rPr>
    </w:lvl>
    <w:lvl w:ilvl="8" w:tplc="CCBAB2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8411B"/>
    <w:multiLevelType w:val="hybridMultilevel"/>
    <w:tmpl w:val="628AB61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6F7518"/>
    <w:multiLevelType w:val="hybridMultilevel"/>
    <w:tmpl w:val="07188AC8"/>
    <w:lvl w:ilvl="0" w:tplc="F29CEAE4">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B1066"/>
    <w:multiLevelType w:val="hybridMultilevel"/>
    <w:tmpl w:val="566A78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C9711D"/>
    <w:multiLevelType w:val="hybridMultilevel"/>
    <w:tmpl w:val="4614D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FC0A32"/>
    <w:multiLevelType w:val="hybridMultilevel"/>
    <w:tmpl w:val="B2AAAF30"/>
    <w:lvl w:ilvl="0" w:tplc="48BE1CC4">
      <w:start w:val="1"/>
      <w:numFmt w:val="upperLetter"/>
      <w:lvlText w:val="%1."/>
      <w:lvlJc w:val="left"/>
      <w:pPr>
        <w:tabs>
          <w:tab w:val="num" w:pos="720"/>
        </w:tabs>
        <w:ind w:left="720" w:hanging="360"/>
      </w:pPr>
    </w:lvl>
    <w:lvl w:ilvl="1" w:tplc="DADA912C">
      <w:start w:val="1"/>
      <w:numFmt w:val="upperLetter"/>
      <w:lvlText w:val="%2."/>
      <w:lvlJc w:val="left"/>
      <w:pPr>
        <w:tabs>
          <w:tab w:val="num" w:pos="1440"/>
        </w:tabs>
        <w:ind w:left="1440" w:hanging="360"/>
      </w:pPr>
    </w:lvl>
    <w:lvl w:ilvl="2" w:tplc="C9D471A6" w:tentative="1">
      <w:start w:val="1"/>
      <w:numFmt w:val="upperLetter"/>
      <w:lvlText w:val="%3."/>
      <w:lvlJc w:val="left"/>
      <w:pPr>
        <w:tabs>
          <w:tab w:val="num" w:pos="2160"/>
        </w:tabs>
        <w:ind w:left="2160" w:hanging="360"/>
      </w:pPr>
    </w:lvl>
    <w:lvl w:ilvl="3" w:tplc="5D1A2014" w:tentative="1">
      <w:start w:val="1"/>
      <w:numFmt w:val="upperLetter"/>
      <w:lvlText w:val="%4."/>
      <w:lvlJc w:val="left"/>
      <w:pPr>
        <w:tabs>
          <w:tab w:val="num" w:pos="2880"/>
        </w:tabs>
        <w:ind w:left="2880" w:hanging="360"/>
      </w:pPr>
    </w:lvl>
    <w:lvl w:ilvl="4" w:tplc="FF6A51CA" w:tentative="1">
      <w:start w:val="1"/>
      <w:numFmt w:val="upperLetter"/>
      <w:lvlText w:val="%5."/>
      <w:lvlJc w:val="left"/>
      <w:pPr>
        <w:tabs>
          <w:tab w:val="num" w:pos="3600"/>
        </w:tabs>
        <w:ind w:left="3600" w:hanging="360"/>
      </w:pPr>
    </w:lvl>
    <w:lvl w:ilvl="5" w:tplc="094CED76" w:tentative="1">
      <w:start w:val="1"/>
      <w:numFmt w:val="upperLetter"/>
      <w:lvlText w:val="%6."/>
      <w:lvlJc w:val="left"/>
      <w:pPr>
        <w:tabs>
          <w:tab w:val="num" w:pos="4320"/>
        </w:tabs>
        <w:ind w:left="4320" w:hanging="360"/>
      </w:pPr>
    </w:lvl>
    <w:lvl w:ilvl="6" w:tplc="5268C872" w:tentative="1">
      <w:start w:val="1"/>
      <w:numFmt w:val="upperLetter"/>
      <w:lvlText w:val="%7."/>
      <w:lvlJc w:val="left"/>
      <w:pPr>
        <w:tabs>
          <w:tab w:val="num" w:pos="5040"/>
        </w:tabs>
        <w:ind w:left="5040" w:hanging="360"/>
      </w:pPr>
    </w:lvl>
    <w:lvl w:ilvl="7" w:tplc="737E45D8" w:tentative="1">
      <w:start w:val="1"/>
      <w:numFmt w:val="upperLetter"/>
      <w:lvlText w:val="%8."/>
      <w:lvlJc w:val="left"/>
      <w:pPr>
        <w:tabs>
          <w:tab w:val="num" w:pos="5760"/>
        </w:tabs>
        <w:ind w:left="5760" w:hanging="360"/>
      </w:pPr>
    </w:lvl>
    <w:lvl w:ilvl="8" w:tplc="D6D649D6" w:tentative="1">
      <w:start w:val="1"/>
      <w:numFmt w:val="upperLetter"/>
      <w:lvlText w:val="%9."/>
      <w:lvlJc w:val="left"/>
      <w:pPr>
        <w:tabs>
          <w:tab w:val="num" w:pos="6480"/>
        </w:tabs>
        <w:ind w:left="6480" w:hanging="360"/>
      </w:pPr>
    </w:lvl>
  </w:abstractNum>
  <w:abstractNum w:abstractNumId="8" w15:restartNumberingAfterBreak="0">
    <w:nsid w:val="0D3438E8"/>
    <w:multiLevelType w:val="hybridMultilevel"/>
    <w:tmpl w:val="3A3EAE64"/>
    <w:lvl w:ilvl="0" w:tplc="F29CEAE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790016"/>
    <w:multiLevelType w:val="hybridMultilevel"/>
    <w:tmpl w:val="DE6675EE"/>
    <w:lvl w:ilvl="0" w:tplc="A7F2A30A">
      <w:start w:val="1"/>
      <w:numFmt w:val="upperLetter"/>
      <w:lvlText w:val="%1."/>
      <w:lvlJc w:val="left"/>
      <w:pPr>
        <w:tabs>
          <w:tab w:val="num" w:pos="720"/>
        </w:tabs>
        <w:ind w:left="720" w:hanging="360"/>
      </w:pPr>
    </w:lvl>
    <w:lvl w:ilvl="1" w:tplc="3C367370" w:tentative="1">
      <w:start w:val="1"/>
      <w:numFmt w:val="upperLetter"/>
      <w:lvlText w:val="%2."/>
      <w:lvlJc w:val="left"/>
      <w:pPr>
        <w:tabs>
          <w:tab w:val="num" w:pos="1440"/>
        </w:tabs>
        <w:ind w:left="1440" w:hanging="360"/>
      </w:pPr>
    </w:lvl>
    <w:lvl w:ilvl="2" w:tplc="EF88DB2A" w:tentative="1">
      <w:start w:val="1"/>
      <w:numFmt w:val="upperLetter"/>
      <w:lvlText w:val="%3."/>
      <w:lvlJc w:val="left"/>
      <w:pPr>
        <w:tabs>
          <w:tab w:val="num" w:pos="2160"/>
        </w:tabs>
        <w:ind w:left="2160" w:hanging="360"/>
      </w:pPr>
    </w:lvl>
    <w:lvl w:ilvl="3" w:tplc="76D0A5BC" w:tentative="1">
      <w:start w:val="1"/>
      <w:numFmt w:val="upperLetter"/>
      <w:lvlText w:val="%4."/>
      <w:lvlJc w:val="left"/>
      <w:pPr>
        <w:tabs>
          <w:tab w:val="num" w:pos="2880"/>
        </w:tabs>
        <w:ind w:left="2880" w:hanging="360"/>
      </w:pPr>
    </w:lvl>
    <w:lvl w:ilvl="4" w:tplc="CF3E0F8A" w:tentative="1">
      <w:start w:val="1"/>
      <w:numFmt w:val="upperLetter"/>
      <w:lvlText w:val="%5."/>
      <w:lvlJc w:val="left"/>
      <w:pPr>
        <w:tabs>
          <w:tab w:val="num" w:pos="3600"/>
        </w:tabs>
        <w:ind w:left="3600" w:hanging="360"/>
      </w:pPr>
    </w:lvl>
    <w:lvl w:ilvl="5" w:tplc="65FE531E" w:tentative="1">
      <w:start w:val="1"/>
      <w:numFmt w:val="upperLetter"/>
      <w:lvlText w:val="%6."/>
      <w:lvlJc w:val="left"/>
      <w:pPr>
        <w:tabs>
          <w:tab w:val="num" w:pos="4320"/>
        </w:tabs>
        <w:ind w:left="4320" w:hanging="360"/>
      </w:pPr>
    </w:lvl>
    <w:lvl w:ilvl="6" w:tplc="2A2AE90E" w:tentative="1">
      <w:start w:val="1"/>
      <w:numFmt w:val="upperLetter"/>
      <w:lvlText w:val="%7."/>
      <w:lvlJc w:val="left"/>
      <w:pPr>
        <w:tabs>
          <w:tab w:val="num" w:pos="5040"/>
        </w:tabs>
        <w:ind w:left="5040" w:hanging="360"/>
      </w:pPr>
    </w:lvl>
    <w:lvl w:ilvl="7" w:tplc="7EC859D8" w:tentative="1">
      <w:start w:val="1"/>
      <w:numFmt w:val="upperLetter"/>
      <w:lvlText w:val="%8."/>
      <w:lvlJc w:val="left"/>
      <w:pPr>
        <w:tabs>
          <w:tab w:val="num" w:pos="5760"/>
        </w:tabs>
        <w:ind w:left="5760" w:hanging="360"/>
      </w:pPr>
    </w:lvl>
    <w:lvl w:ilvl="8" w:tplc="144C03F0" w:tentative="1">
      <w:start w:val="1"/>
      <w:numFmt w:val="upperLetter"/>
      <w:lvlText w:val="%9."/>
      <w:lvlJc w:val="left"/>
      <w:pPr>
        <w:tabs>
          <w:tab w:val="num" w:pos="6480"/>
        </w:tabs>
        <w:ind w:left="6480" w:hanging="360"/>
      </w:pPr>
    </w:lvl>
  </w:abstractNum>
  <w:abstractNum w:abstractNumId="10" w15:restartNumberingAfterBreak="0">
    <w:nsid w:val="0DD97C7A"/>
    <w:multiLevelType w:val="hybridMultilevel"/>
    <w:tmpl w:val="5E462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571093"/>
    <w:multiLevelType w:val="hybridMultilevel"/>
    <w:tmpl w:val="66287C4C"/>
    <w:lvl w:ilvl="0" w:tplc="84F4EB8E">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215606D"/>
    <w:multiLevelType w:val="hybridMultilevel"/>
    <w:tmpl w:val="F75894A0"/>
    <w:lvl w:ilvl="0" w:tplc="EA7E60C6">
      <w:start w:val="1"/>
      <w:numFmt w:val="lowerRoman"/>
      <w:lvlText w:val="%1."/>
      <w:lvlJc w:val="left"/>
      <w:pPr>
        <w:ind w:left="1647" w:hanging="720"/>
      </w:pPr>
      <w:rPr>
        <w:rFonts w:hint="default"/>
        <w:i/>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142F07DE"/>
    <w:multiLevelType w:val="hybridMultilevel"/>
    <w:tmpl w:val="F67ECA72"/>
    <w:lvl w:ilvl="0" w:tplc="0324BEA2">
      <w:start w:val="1"/>
      <w:numFmt w:val="bullet"/>
      <w:lvlText w:val=""/>
      <w:lvlJc w:val="left"/>
      <w:pPr>
        <w:ind w:left="720" w:hanging="360"/>
      </w:pPr>
      <w:rPr>
        <w:rFonts w:ascii="Symbol" w:hAnsi="Symbol" w:hint="default"/>
        <w:color w:val="auto"/>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F70D16"/>
    <w:multiLevelType w:val="hybridMultilevel"/>
    <w:tmpl w:val="66B25A48"/>
    <w:lvl w:ilvl="0" w:tplc="D840C8F2">
      <w:start w:val="1"/>
      <w:numFmt w:val="bullet"/>
      <w:lvlText w:val=""/>
      <w:lvlJc w:val="left"/>
      <w:pPr>
        <w:tabs>
          <w:tab w:val="num" w:pos="720"/>
        </w:tabs>
        <w:ind w:left="720" w:hanging="360"/>
      </w:pPr>
      <w:rPr>
        <w:rFonts w:ascii="Wingdings" w:hAnsi="Wingdings" w:hint="default"/>
      </w:rPr>
    </w:lvl>
    <w:lvl w:ilvl="1" w:tplc="6FACABB8" w:tentative="1">
      <w:start w:val="1"/>
      <w:numFmt w:val="bullet"/>
      <w:lvlText w:val=""/>
      <w:lvlJc w:val="left"/>
      <w:pPr>
        <w:tabs>
          <w:tab w:val="num" w:pos="1440"/>
        </w:tabs>
        <w:ind w:left="1440" w:hanging="360"/>
      </w:pPr>
      <w:rPr>
        <w:rFonts w:ascii="Wingdings" w:hAnsi="Wingdings" w:hint="default"/>
      </w:rPr>
    </w:lvl>
    <w:lvl w:ilvl="2" w:tplc="66462024" w:tentative="1">
      <w:start w:val="1"/>
      <w:numFmt w:val="bullet"/>
      <w:lvlText w:val=""/>
      <w:lvlJc w:val="left"/>
      <w:pPr>
        <w:tabs>
          <w:tab w:val="num" w:pos="2160"/>
        </w:tabs>
        <w:ind w:left="2160" w:hanging="360"/>
      </w:pPr>
      <w:rPr>
        <w:rFonts w:ascii="Wingdings" w:hAnsi="Wingdings" w:hint="default"/>
      </w:rPr>
    </w:lvl>
    <w:lvl w:ilvl="3" w:tplc="591E5790" w:tentative="1">
      <w:start w:val="1"/>
      <w:numFmt w:val="bullet"/>
      <w:lvlText w:val=""/>
      <w:lvlJc w:val="left"/>
      <w:pPr>
        <w:tabs>
          <w:tab w:val="num" w:pos="2880"/>
        </w:tabs>
        <w:ind w:left="2880" w:hanging="360"/>
      </w:pPr>
      <w:rPr>
        <w:rFonts w:ascii="Wingdings" w:hAnsi="Wingdings" w:hint="default"/>
      </w:rPr>
    </w:lvl>
    <w:lvl w:ilvl="4" w:tplc="A6EC34E4" w:tentative="1">
      <w:start w:val="1"/>
      <w:numFmt w:val="bullet"/>
      <w:lvlText w:val=""/>
      <w:lvlJc w:val="left"/>
      <w:pPr>
        <w:tabs>
          <w:tab w:val="num" w:pos="3600"/>
        </w:tabs>
        <w:ind w:left="3600" w:hanging="360"/>
      </w:pPr>
      <w:rPr>
        <w:rFonts w:ascii="Wingdings" w:hAnsi="Wingdings" w:hint="default"/>
      </w:rPr>
    </w:lvl>
    <w:lvl w:ilvl="5" w:tplc="9376A556" w:tentative="1">
      <w:start w:val="1"/>
      <w:numFmt w:val="bullet"/>
      <w:lvlText w:val=""/>
      <w:lvlJc w:val="left"/>
      <w:pPr>
        <w:tabs>
          <w:tab w:val="num" w:pos="4320"/>
        </w:tabs>
        <w:ind w:left="4320" w:hanging="360"/>
      </w:pPr>
      <w:rPr>
        <w:rFonts w:ascii="Wingdings" w:hAnsi="Wingdings" w:hint="default"/>
      </w:rPr>
    </w:lvl>
    <w:lvl w:ilvl="6" w:tplc="758E31C0" w:tentative="1">
      <w:start w:val="1"/>
      <w:numFmt w:val="bullet"/>
      <w:lvlText w:val=""/>
      <w:lvlJc w:val="left"/>
      <w:pPr>
        <w:tabs>
          <w:tab w:val="num" w:pos="5040"/>
        </w:tabs>
        <w:ind w:left="5040" w:hanging="360"/>
      </w:pPr>
      <w:rPr>
        <w:rFonts w:ascii="Wingdings" w:hAnsi="Wingdings" w:hint="default"/>
      </w:rPr>
    </w:lvl>
    <w:lvl w:ilvl="7" w:tplc="0C64D0A4" w:tentative="1">
      <w:start w:val="1"/>
      <w:numFmt w:val="bullet"/>
      <w:lvlText w:val=""/>
      <w:lvlJc w:val="left"/>
      <w:pPr>
        <w:tabs>
          <w:tab w:val="num" w:pos="5760"/>
        </w:tabs>
        <w:ind w:left="5760" w:hanging="360"/>
      </w:pPr>
      <w:rPr>
        <w:rFonts w:ascii="Wingdings" w:hAnsi="Wingdings" w:hint="default"/>
      </w:rPr>
    </w:lvl>
    <w:lvl w:ilvl="8" w:tplc="9E4077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A85F1A"/>
    <w:multiLevelType w:val="hybridMultilevel"/>
    <w:tmpl w:val="438C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71961"/>
    <w:multiLevelType w:val="hybridMultilevel"/>
    <w:tmpl w:val="77FA33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24074E"/>
    <w:multiLevelType w:val="hybridMultilevel"/>
    <w:tmpl w:val="D5441776"/>
    <w:lvl w:ilvl="0" w:tplc="F29CEAE4">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92756"/>
    <w:multiLevelType w:val="hybridMultilevel"/>
    <w:tmpl w:val="513A850A"/>
    <w:lvl w:ilvl="0" w:tplc="5112A3F8">
      <w:start w:val="1"/>
      <w:numFmt w:val="bullet"/>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C77310"/>
    <w:multiLevelType w:val="hybridMultilevel"/>
    <w:tmpl w:val="03AC3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727F35"/>
    <w:multiLevelType w:val="hybridMultilevel"/>
    <w:tmpl w:val="B6AED216"/>
    <w:lvl w:ilvl="0" w:tplc="1DDE57C6">
      <w:start w:val="1"/>
      <w:numFmt w:val="bullet"/>
      <w:lvlText w:val=""/>
      <w:lvlJc w:val="left"/>
      <w:pPr>
        <w:tabs>
          <w:tab w:val="num" w:pos="720"/>
        </w:tabs>
        <w:ind w:left="720" w:hanging="360"/>
      </w:pPr>
      <w:rPr>
        <w:rFonts w:ascii="Wingdings" w:hAnsi="Wingdings" w:hint="default"/>
      </w:rPr>
    </w:lvl>
    <w:lvl w:ilvl="1" w:tplc="BE9867B0" w:tentative="1">
      <w:start w:val="1"/>
      <w:numFmt w:val="bullet"/>
      <w:lvlText w:val=""/>
      <w:lvlJc w:val="left"/>
      <w:pPr>
        <w:tabs>
          <w:tab w:val="num" w:pos="1440"/>
        </w:tabs>
        <w:ind w:left="1440" w:hanging="360"/>
      </w:pPr>
      <w:rPr>
        <w:rFonts w:ascii="Wingdings" w:hAnsi="Wingdings" w:hint="default"/>
      </w:rPr>
    </w:lvl>
    <w:lvl w:ilvl="2" w:tplc="3500A3C0" w:tentative="1">
      <w:start w:val="1"/>
      <w:numFmt w:val="bullet"/>
      <w:lvlText w:val=""/>
      <w:lvlJc w:val="left"/>
      <w:pPr>
        <w:tabs>
          <w:tab w:val="num" w:pos="2160"/>
        </w:tabs>
        <w:ind w:left="2160" w:hanging="360"/>
      </w:pPr>
      <w:rPr>
        <w:rFonts w:ascii="Wingdings" w:hAnsi="Wingdings" w:hint="default"/>
      </w:rPr>
    </w:lvl>
    <w:lvl w:ilvl="3" w:tplc="B08C91E2" w:tentative="1">
      <w:start w:val="1"/>
      <w:numFmt w:val="bullet"/>
      <w:lvlText w:val=""/>
      <w:lvlJc w:val="left"/>
      <w:pPr>
        <w:tabs>
          <w:tab w:val="num" w:pos="2880"/>
        </w:tabs>
        <w:ind w:left="2880" w:hanging="360"/>
      </w:pPr>
      <w:rPr>
        <w:rFonts w:ascii="Wingdings" w:hAnsi="Wingdings" w:hint="default"/>
      </w:rPr>
    </w:lvl>
    <w:lvl w:ilvl="4" w:tplc="06EE5BE4" w:tentative="1">
      <w:start w:val="1"/>
      <w:numFmt w:val="bullet"/>
      <w:lvlText w:val=""/>
      <w:lvlJc w:val="left"/>
      <w:pPr>
        <w:tabs>
          <w:tab w:val="num" w:pos="3600"/>
        </w:tabs>
        <w:ind w:left="3600" w:hanging="360"/>
      </w:pPr>
      <w:rPr>
        <w:rFonts w:ascii="Wingdings" w:hAnsi="Wingdings" w:hint="default"/>
      </w:rPr>
    </w:lvl>
    <w:lvl w:ilvl="5" w:tplc="9586C15A" w:tentative="1">
      <w:start w:val="1"/>
      <w:numFmt w:val="bullet"/>
      <w:lvlText w:val=""/>
      <w:lvlJc w:val="left"/>
      <w:pPr>
        <w:tabs>
          <w:tab w:val="num" w:pos="4320"/>
        </w:tabs>
        <w:ind w:left="4320" w:hanging="360"/>
      </w:pPr>
      <w:rPr>
        <w:rFonts w:ascii="Wingdings" w:hAnsi="Wingdings" w:hint="default"/>
      </w:rPr>
    </w:lvl>
    <w:lvl w:ilvl="6" w:tplc="22243CD0" w:tentative="1">
      <w:start w:val="1"/>
      <w:numFmt w:val="bullet"/>
      <w:lvlText w:val=""/>
      <w:lvlJc w:val="left"/>
      <w:pPr>
        <w:tabs>
          <w:tab w:val="num" w:pos="5040"/>
        </w:tabs>
        <w:ind w:left="5040" w:hanging="360"/>
      </w:pPr>
      <w:rPr>
        <w:rFonts w:ascii="Wingdings" w:hAnsi="Wingdings" w:hint="default"/>
      </w:rPr>
    </w:lvl>
    <w:lvl w:ilvl="7" w:tplc="5E7053F0" w:tentative="1">
      <w:start w:val="1"/>
      <w:numFmt w:val="bullet"/>
      <w:lvlText w:val=""/>
      <w:lvlJc w:val="left"/>
      <w:pPr>
        <w:tabs>
          <w:tab w:val="num" w:pos="5760"/>
        </w:tabs>
        <w:ind w:left="5760" w:hanging="360"/>
      </w:pPr>
      <w:rPr>
        <w:rFonts w:ascii="Wingdings" w:hAnsi="Wingdings" w:hint="default"/>
      </w:rPr>
    </w:lvl>
    <w:lvl w:ilvl="8" w:tplc="7D98A3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46FDF"/>
    <w:multiLevelType w:val="hybridMultilevel"/>
    <w:tmpl w:val="0F905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D510A5"/>
    <w:multiLevelType w:val="hybridMultilevel"/>
    <w:tmpl w:val="7DF0D2DA"/>
    <w:lvl w:ilvl="0" w:tplc="9EDE481C">
      <w:start w:val="1"/>
      <w:numFmt w:val="bullet"/>
      <w:lvlText w:val=""/>
      <w:lvlJc w:val="left"/>
      <w:pPr>
        <w:tabs>
          <w:tab w:val="num" w:pos="720"/>
        </w:tabs>
        <w:ind w:left="720" w:hanging="360"/>
      </w:pPr>
      <w:rPr>
        <w:rFonts w:ascii="Wingdings" w:hAnsi="Wingdings" w:hint="default"/>
      </w:rPr>
    </w:lvl>
    <w:lvl w:ilvl="1" w:tplc="B7B4E874">
      <w:start w:val="1"/>
      <w:numFmt w:val="bullet"/>
      <w:lvlText w:val=""/>
      <w:lvlJc w:val="left"/>
      <w:pPr>
        <w:tabs>
          <w:tab w:val="num" w:pos="1440"/>
        </w:tabs>
        <w:ind w:left="1440" w:hanging="360"/>
      </w:pPr>
      <w:rPr>
        <w:rFonts w:ascii="Wingdings" w:hAnsi="Wingdings" w:hint="default"/>
      </w:rPr>
    </w:lvl>
    <w:lvl w:ilvl="2" w:tplc="66286792" w:tentative="1">
      <w:start w:val="1"/>
      <w:numFmt w:val="bullet"/>
      <w:lvlText w:val=""/>
      <w:lvlJc w:val="left"/>
      <w:pPr>
        <w:tabs>
          <w:tab w:val="num" w:pos="2160"/>
        </w:tabs>
        <w:ind w:left="2160" w:hanging="360"/>
      </w:pPr>
      <w:rPr>
        <w:rFonts w:ascii="Wingdings" w:hAnsi="Wingdings" w:hint="default"/>
      </w:rPr>
    </w:lvl>
    <w:lvl w:ilvl="3" w:tplc="C4F8E8DA" w:tentative="1">
      <w:start w:val="1"/>
      <w:numFmt w:val="bullet"/>
      <w:lvlText w:val=""/>
      <w:lvlJc w:val="left"/>
      <w:pPr>
        <w:tabs>
          <w:tab w:val="num" w:pos="2880"/>
        </w:tabs>
        <w:ind w:left="2880" w:hanging="360"/>
      </w:pPr>
      <w:rPr>
        <w:rFonts w:ascii="Wingdings" w:hAnsi="Wingdings" w:hint="default"/>
      </w:rPr>
    </w:lvl>
    <w:lvl w:ilvl="4" w:tplc="A95E0560" w:tentative="1">
      <w:start w:val="1"/>
      <w:numFmt w:val="bullet"/>
      <w:lvlText w:val=""/>
      <w:lvlJc w:val="left"/>
      <w:pPr>
        <w:tabs>
          <w:tab w:val="num" w:pos="3600"/>
        </w:tabs>
        <w:ind w:left="3600" w:hanging="360"/>
      </w:pPr>
      <w:rPr>
        <w:rFonts w:ascii="Wingdings" w:hAnsi="Wingdings" w:hint="default"/>
      </w:rPr>
    </w:lvl>
    <w:lvl w:ilvl="5" w:tplc="85245E0A" w:tentative="1">
      <w:start w:val="1"/>
      <w:numFmt w:val="bullet"/>
      <w:lvlText w:val=""/>
      <w:lvlJc w:val="left"/>
      <w:pPr>
        <w:tabs>
          <w:tab w:val="num" w:pos="4320"/>
        </w:tabs>
        <w:ind w:left="4320" w:hanging="360"/>
      </w:pPr>
      <w:rPr>
        <w:rFonts w:ascii="Wingdings" w:hAnsi="Wingdings" w:hint="default"/>
      </w:rPr>
    </w:lvl>
    <w:lvl w:ilvl="6" w:tplc="F9B64756" w:tentative="1">
      <w:start w:val="1"/>
      <w:numFmt w:val="bullet"/>
      <w:lvlText w:val=""/>
      <w:lvlJc w:val="left"/>
      <w:pPr>
        <w:tabs>
          <w:tab w:val="num" w:pos="5040"/>
        </w:tabs>
        <w:ind w:left="5040" w:hanging="360"/>
      </w:pPr>
      <w:rPr>
        <w:rFonts w:ascii="Wingdings" w:hAnsi="Wingdings" w:hint="default"/>
      </w:rPr>
    </w:lvl>
    <w:lvl w:ilvl="7" w:tplc="337A43B4" w:tentative="1">
      <w:start w:val="1"/>
      <w:numFmt w:val="bullet"/>
      <w:lvlText w:val=""/>
      <w:lvlJc w:val="left"/>
      <w:pPr>
        <w:tabs>
          <w:tab w:val="num" w:pos="5760"/>
        </w:tabs>
        <w:ind w:left="5760" w:hanging="360"/>
      </w:pPr>
      <w:rPr>
        <w:rFonts w:ascii="Wingdings" w:hAnsi="Wingdings" w:hint="default"/>
      </w:rPr>
    </w:lvl>
    <w:lvl w:ilvl="8" w:tplc="DB469E4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D635FA"/>
    <w:multiLevelType w:val="hybridMultilevel"/>
    <w:tmpl w:val="06AE8E56"/>
    <w:lvl w:ilvl="0" w:tplc="B120A3DA">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2C30CE"/>
    <w:multiLevelType w:val="hybridMultilevel"/>
    <w:tmpl w:val="F828C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F40431"/>
    <w:multiLevelType w:val="hybridMultilevel"/>
    <w:tmpl w:val="E39EE208"/>
    <w:lvl w:ilvl="0" w:tplc="F29CEAE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205E41"/>
    <w:multiLevelType w:val="hybridMultilevel"/>
    <w:tmpl w:val="51D8476E"/>
    <w:lvl w:ilvl="0" w:tplc="BE30BDE8">
      <w:start w:val="1"/>
      <w:numFmt w:val="bullet"/>
      <w:lvlText w:val=""/>
      <w:lvlJc w:val="left"/>
      <w:pPr>
        <w:tabs>
          <w:tab w:val="num" w:pos="720"/>
        </w:tabs>
        <w:ind w:left="720" w:hanging="360"/>
      </w:pPr>
      <w:rPr>
        <w:rFonts w:ascii="Wingdings" w:hAnsi="Wingdings" w:hint="default"/>
      </w:rPr>
    </w:lvl>
    <w:lvl w:ilvl="1" w:tplc="05CE12D0" w:tentative="1">
      <w:start w:val="1"/>
      <w:numFmt w:val="bullet"/>
      <w:lvlText w:val=""/>
      <w:lvlJc w:val="left"/>
      <w:pPr>
        <w:tabs>
          <w:tab w:val="num" w:pos="1440"/>
        </w:tabs>
        <w:ind w:left="1440" w:hanging="360"/>
      </w:pPr>
      <w:rPr>
        <w:rFonts w:ascii="Wingdings" w:hAnsi="Wingdings" w:hint="default"/>
      </w:rPr>
    </w:lvl>
    <w:lvl w:ilvl="2" w:tplc="1CB6D97E" w:tentative="1">
      <w:start w:val="1"/>
      <w:numFmt w:val="bullet"/>
      <w:lvlText w:val=""/>
      <w:lvlJc w:val="left"/>
      <w:pPr>
        <w:tabs>
          <w:tab w:val="num" w:pos="2160"/>
        </w:tabs>
        <w:ind w:left="2160" w:hanging="360"/>
      </w:pPr>
      <w:rPr>
        <w:rFonts w:ascii="Wingdings" w:hAnsi="Wingdings" w:hint="default"/>
      </w:rPr>
    </w:lvl>
    <w:lvl w:ilvl="3" w:tplc="6D0859B2" w:tentative="1">
      <w:start w:val="1"/>
      <w:numFmt w:val="bullet"/>
      <w:lvlText w:val=""/>
      <w:lvlJc w:val="left"/>
      <w:pPr>
        <w:tabs>
          <w:tab w:val="num" w:pos="2880"/>
        </w:tabs>
        <w:ind w:left="2880" w:hanging="360"/>
      </w:pPr>
      <w:rPr>
        <w:rFonts w:ascii="Wingdings" w:hAnsi="Wingdings" w:hint="default"/>
      </w:rPr>
    </w:lvl>
    <w:lvl w:ilvl="4" w:tplc="8C343498" w:tentative="1">
      <w:start w:val="1"/>
      <w:numFmt w:val="bullet"/>
      <w:lvlText w:val=""/>
      <w:lvlJc w:val="left"/>
      <w:pPr>
        <w:tabs>
          <w:tab w:val="num" w:pos="3600"/>
        </w:tabs>
        <w:ind w:left="3600" w:hanging="360"/>
      </w:pPr>
      <w:rPr>
        <w:rFonts w:ascii="Wingdings" w:hAnsi="Wingdings" w:hint="default"/>
      </w:rPr>
    </w:lvl>
    <w:lvl w:ilvl="5" w:tplc="17C66768" w:tentative="1">
      <w:start w:val="1"/>
      <w:numFmt w:val="bullet"/>
      <w:lvlText w:val=""/>
      <w:lvlJc w:val="left"/>
      <w:pPr>
        <w:tabs>
          <w:tab w:val="num" w:pos="4320"/>
        </w:tabs>
        <w:ind w:left="4320" w:hanging="360"/>
      </w:pPr>
      <w:rPr>
        <w:rFonts w:ascii="Wingdings" w:hAnsi="Wingdings" w:hint="default"/>
      </w:rPr>
    </w:lvl>
    <w:lvl w:ilvl="6" w:tplc="77E043DA" w:tentative="1">
      <w:start w:val="1"/>
      <w:numFmt w:val="bullet"/>
      <w:lvlText w:val=""/>
      <w:lvlJc w:val="left"/>
      <w:pPr>
        <w:tabs>
          <w:tab w:val="num" w:pos="5040"/>
        </w:tabs>
        <w:ind w:left="5040" w:hanging="360"/>
      </w:pPr>
      <w:rPr>
        <w:rFonts w:ascii="Wingdings" w:hAnsi="Wingdings" w:hint="default"/>
      </w:rPr>
    </w:lvl>
    <w:lvl w:ilvl="7" w:tplc="6EEEFD4C" w:tentative="1">
      <w:start w:val="1"/>
      <w:numFmt w:val="bullet"/>
      <w:lvlText w:val=""/>
      <w:lvlJc w:val="left"/>
      <w:pPr>
        <w:tabs>
          <w:tab w:val="num" w:pos="5760"/>
        </w:tabs>
        <w:ind w:left="5760" w:hanging="360"/>
      </w:pPr>
      <w:rPr>
        <w:rFonts w:ascii="Wingdings" w:hAnsi="Wingdings" w:hint="default"/>
      </w:rPr>
    </w:lvl>
    <w:lvl w:ilvl="8" w:tplc="0786E0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3469E7"/>
    <w:multiLevelType w:val="hybridMultilevel"/>
    <w:tmpl w:val="FDD46492"/>
    <w:lvl w:ilvl="0" w:tplc="872AD44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5A1BAA"/>
    <w:multiLevelType w:val="hybridMultilevel"/>
    <w:tmpl w:val="06A8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5E30E1"/>
    <w:multiLevelType w:val="hybridMultilevel"/>
    <w:tmpl w:val="9FAAC046"/>
    <w:lvl w:ilvl="0" w:tplc="DD5C92E6">
      <w:numFmt w:val="bullet"/>
      <w:lvlText w:val=""/>
      <w:lvlJc w:val="left"/>
      <w:pPr>
        <w:ind w:left="720" w:hanging="360"/>
      </w:pPr>
      <w:rPr>
        <w:rFonts w:ascii="Symbol" w:eastAsiaTheme="minorHAnsi" w:hAnsi="Symbol" w:cstheme="minorBidi"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AE1794"/>
    <w:multiLevelType w:val="hybridMultilevel"/>
    <w:tmpl w:val="96BC496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0873DA"/>
    <w:multiLevelType w:val="hybridMultilevel"/>
    <w:tmpl w:val="8F2AA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F02188"/>
    <w:multiLevelType w:val="hybridMultilevel"/>
    <w:tmpl w:val="128865AE"/>
    <w:lvl w:ilvl="0" w:tplc="4ECA18A0">
      <w:start w:val="1"/>
      <w:numFmt w:val="upperLetter"/>
      <w:lvlText w:val="%1."/>
      <w:lvlJc w:val="left"/>
      <w:pPr>
        <w:tabs>
          <w:tab w:val="num" w:pos="720"/>
        </w:tabs>
        <w:ind w:left="720" w:hanging="360"/>
      </w:pPr>
    </w:lvl>
    <w:lvl w:ilvl="1" w:tplc="1DF0DBF8" w:tentative="1">
      <w:start w:val="1"/>
      <w:numFmt w:val="upperLetter"/>
      <w:lvlText w:val="%2."/>
      <w:lvlJc w:val="left"/>
      <w:pPr>
        <w:tabs>
          <w:tab w:val="num" w:pos="1440"/>
        </w:tabs>
        <w:ind w:left="1440" w:hanging="360"/>
      </w:pPr>
    </w:lvl>
    <w:lvl w:ilvl="2" w:tplc="492215C0" w:tentative="1">
      <w:start w:val="1"/>
      <w:numFmt w:val="upperLetter"/>
      <w:lvlText w:val="%3."/>
      <w:lvlJc w:val="left"/>
      <w:pPr>
        <w:tabs>
          <w:tab w:val="num" w:pos="2160"/>
        </w:tabs>
        <w:ind w:left="2160" w:hanging="360"/>
      </w:pPr>
    </w:lvl>
    <w:lvl w:ilvl="3" w:tplc="DD2A0D16" w:tentative="1">
      <w:start w:val="1"/>
      <w:numFmt w:val="upperLetter"/>
      <w:lvlText w:val="%4."/>
      <w:lvlJc w:val="left"/>
      <w:pPr>
        <w:tabs>
          <w:tab w:val="num" w:pos="2880"/>
        </w:tabs>
        <w:ind w:left="2880" w:hanging="360"/>
      </w:pPr>
    </w:lvl>
    <w:lvl w:ilvl="4" w:tplc="7BCA5EC8" w:tentative="1">
      <w:start w:val="1"/>
      <w:numFmt w:val="upperLetter"/>
      <w:lvlText w:val="%5."/>
      <w:lvlJc w:val="left"/>
      <w:pPr>
        <w:tabs>
          <w:tab w:val="num" w:pos="3600"/>
        </w:tabs>
        <w:ind w:left="3600" w:hanging="360"/>
      </w:pPr>
    </w:lvl>
    <w:lvl w:ilvl="5" w:tplc="B248FC70" w:tentative="1">
      <w:start w:val="1"/>
      <w:numFmt w:val="upperLetter"/>
      <w:lvlText w:val="%6."/>
      <w:lvlJc w:val="left"/>
      <w:pPr>
        <w:tabs>
          <w:tab w:val="num" w:pos="4320"/>
        </w:tabs>
        <w:ind w:left="4320" w:hanging="360"/>
      </w:pPr>
    </w:lvl>
    <w:lvl w:ilvl="6" w:tplc="F4342168" w:tentative="1">
      <w:start w:val="1"/>
      <w:numFmt w:val="upperLetter"/>
      <w:lvlText w:val="%7."/>
      <w:lvlJc w:val="left"/>
      <w:pPr>
        <w:tabs>
          <w:tab w:val="num" w:pos="5040"/>
        </w:tabs>
        <w:ind w:left="5040" w:hanging="360"/>
      </w:pPr>
    </w:lvl>
    <w:lvl w:ilvl="7" w:tplc="D8F4B3D2" w:tentative="1">
      <w:start w:val="1"/>
      <w:numFmt w:val="upperLetter"/>
      <w:lvlText w:val="%8."/>
      <w:lvlJc w:val="left"/>
      <w:pPr>
        <w:tabs>
          <w:tab w:val="num" w:pos="5760"/>
        </w:tabs>
        <w:ind w:left="5760" w:hanging="360"/>
      </w:pPr>
    </w:lvl>
    <w:lvl w:ilvl="8" w:tplc="F71C82AC" w:tentative="1">
      <w:start w:val="1"/>
      <w:numFmt w:val="upperLetter"/>
      <w:lvlText w:val="%9."/>
      <w:lvlJc w:val="left"/>
      <w:pPr>
        <w:tabs>
          <w:tab w:val="num" w:pos="6480"/>
        </w:tabs>
        <w:ind w:left="6480" w:hanging="360"/>
      </w:pPr>
    </w:lvl>
  </w:abstractNum>
  <w:abstractNum w:abstractNumId="33" w15:restartNumberingAfterBreak="0">
    <w:nsid w:val="52C76749"/>
    <w:multiLevelType w:val="hybridMultilevel"/>
    <w:tmpl w:val="5C6C12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546C7A0E"/>
    <w:multiLevelType w:val="hybridMultilevel"/>
    <w:tmpl w:val="5C1E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C7271C"/>
    <w:multiLevelType w:val="hybridMultilevel"/>
    <w:tmpl w:val="96BC496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F75305"/>
    <w:multiLevelType w:val="hybridMultilevel"/>
    <w:tmpl w:val="65724D2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51E0A8E"/>
    <w:multiLevelType w:val="hybridMultilevel"/>
    <w:tmpl w:val="57C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40ECE"/>
    <w:multiLevelType w:val="hybridMultilevel"/>
    <w:tmpl w:val="2A288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224D3A"/>
    <w:multiLevelType w:val="hybridMultilevel"/>
    <w:tmpl w:val="3FE80F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4843759"/>
    <w:multiLevelType w:val="hybridMultilevel"/>
    <w:tmpl w:val="1888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827C1C"/>
    <w:multiLevelType w:val="hybridMultilevel"/>
    <w:tmpl w:val="01601686"/>
    <w:lvl w:ilvl="0" w:tplc="5450D28A">
      <w:start w:val="1"/>
      <w:numFmt w:val="bullet"/>
      <w:lvlText w:val=""/>
      <w:lvlJc w:val="left"/>
      <w:pPr>
        <w:tabs>
          <w:tab w:val="num" w:pos="720"/>
        </w:tabs>
        <w:ind w:left="720" w:hanging="360"/>
      </w:pPr>
      <w:rPr>
        <w:rFonts w:ascii="Wingdings" w:hAnsi="Wingdings" w:hint="default"/>
      </w:rPr>
    </w:lvl>
    <w:lvl w:ilvl="1" w:tplc="A8CE9258" w:tentative="1">
      <w:start w:val="1"/>
      <w:numFmt w:val="bullet"/>
      <w:lvlText w:val=""/>
      <w:lvlJc w:val="left"/>
      <w:pPr>
        <w:tabs>
          <w:tab w:val="num" w:pos="1440"/>
        </w:tabs>
        <w:ind w:left="1440" w:hanging="360"/>
      </w:pPr>
      <w:rPr>
        <w:rFonts w:ascii="Wingdings" w:hAnsi="Wingdings" w:hint="default"/>
      </w:rPr>
    </w:lvl>
    <w:lvl w:ilvl="2" w:tplc="AB06A6FC" w:tentative="1">
      <w:start w:val="1"/>
      <w:numFmt w:val="bullet"/>
      <w:lvlText w:val=""/>
      <w:lvlJc w:val="left"/>
      <w:pPr>
        <w:tabs>
          <w:tab w:val="num" w:pos="2160"/>
        </w:tabs>
        <w:ind w:left="2160" w:hanging="360"/>
      </w:pPr>
      <w:rPr>
        <w:rFonts w:ascii="Wingdings" w:hAnsi="Wingdings" w:hint="default"/>
      </w:rPr>
    </w:lvl>
    <w:lvl w:ilvl="3" w:tplc="ADA04C26" w:tentative="1">
      <w:start w:val="1"/>
      <w:numFmt w:val="bullet"/>
      <w:lvlText w:val=""/>
      <w:lvlJc w:val="left"/>
      <w:pPr>
        <w:tabs>
          <w:tab w:val="num" w:pos="2880"/>
        </w:tabs>
        <w:ind w:left="2880" w:hanging="360"/>
      </w:pPr>
      <w:rPr>
        <w:rFonts w:ascii="Wingdings" w:hAnsi="Wingdings" w:hint="default"/>
      </w:rPr>
    </w:lvl>
    <w:lvl w:ilvl="4" w:tplc="CC0EB70C" w:tentative="1">
      <w:start w:val="1"/>
      <w:numFmt w:val="bullet"/>
      <w:lvlText w:val=""/>
      <w:lvlJc w:val="left"/>
      <w:pPr>
        <w:tabs>
          <w:tab w:val="num" w:pos="3600"/>
        </w:tabs>
        <w:ind w:left="3600" w:hanging="360"/>
      </w:pPr>
      <w:rPr>
        <w:rFonts w:ascii="Wingdings" w:hAnsi="Wingdings" w:hint="default"/>
      </w:rPr>
    </w:lvl>
    <w:lvl w:ilvl="5" w:tplc="E438E268" w:tentative="1">
      <w:start w:val="1"/>
      <w:numFmt w:val="bullet"/>
      <w:lvlText w:val=""/>
      <w:lvlJc w:val="left"/>
      <w:pPr>
        <w:tabs>
          <w:tab w:val="num" w:pos="4320"/>
        </w:tabs>
        <w:ind w:left="4320" w:hanging="360"/>
      </w:pPr>
      <w:rPr>
        <w:rFonts w:ascii="Wingdings" w:hAnsi="Wingdings" w:hint="default"/>
      </w:rPr>
    </w:lvl>
    <w:lvl w:ilvl="6" w:tplc="6B32E314" w:tentative="1">
      <w:start w:val="1"/>
      <w:numFmt w:val="bullet"/>
      <w:lvlText w:val=""/>
      <w:lvlJc w:val="left"/>
      <w:pPr>
        <w:tabs>
          <w:tab w:val="num" w:pos="5040"/>
        </w:tabs>
        <w:ind w:left="5040" w:hanging="360"/>
      </w:pPr>
      <w:rPr>
        <w:rFonts w:ascii="Wingdings" w:hAnsi="Wingdings" w:hint="default"/>
      </w:rPr>
    </w:lvl>
    <w:lvl w:ilvl="7" w:tplc="F3FC9F48" w:tentative="1">
      <w:start w:val="1"/>
      <w:numFmt w:val="bullet"/>
      <w:lvlText w:val=""/>
      <w:lvlJc w:val="left"/>
      <w:pPr>
        <w:tabs>
          <w:tab w:val="num" w:pos="5760"/>
        </w:tabs>
        <w:ind w:left="5760" w:hanging="360"/>
      </w:pPr>
      <w:rPr>
        <w:rFonts w:ascii="Wingdings" w:hAnsi="Wingdings" w:hint="default"/>
      </w:rPr>
    </w:lvl>
    <w:lvl w:ilvl="8" w:tplc="091CD84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E219D"/>
    <w:multiLevelType w:val="hybridMultilevel"/>
    <w:tmpl w:val="6CAC6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D20A3A"/>
    <w:multiLevelType w:val="hybridMultilevel"/>
    <w:tmpl w:val="114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051448"/>
    <w:multiLevelType w:val="hybridMultilevel"/>
    <w:tmpl w:val="9E50DB0C"/>
    <w:lvl w:ilvl="0" w:tplc="93325860">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533FD4"/>
    <w:multiLevelType w:val="hybridMultilevel"/>
    <w:tmpl w:val="B1E63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AC0289"/>
    <w:multiLevelType w:val="hybridMultilevel"/>
    <w:tmpl w:val="E2987CD0"/>
    <w:lvl w:ilvl="0" w:tplc="A0788D86">
      <w:start w:val="1"/>
      <w:numFmt w:val="bullet"/>
      <w:lvlText w:val=""/>
      <w:lvlJc w:val="left"/>
      <w:pPr>
        <w:tabs>
          <w:tab w:val="num" w:pos="720"/>
        </w:tabs>
        <w:ind w:left="720" w:hanging="360"/>
      </w:pPr>
      <w:rPr>
        <w:rFonts w:ascii="Wingdings" w:hAnsi="Wingdings" w:hint="default"/>
      </w:rPr>
    </w:lvl>
    <w:lvl w:ilvl="1" w:tplc="ECD4268E">
      <w:start w:val="1"/>
      <w:numFmt w:val="bullet"/>
      <w:lvlText w:val=""/>
      <w:lvlJc w:val="left"/>
      <w:pPr>
        <w:tabs>
          <w:tab w:val="num" w:pos="1440"/>
        </w:tabs>
        <w:ind w:left="1440" w:hanging="360"/>
      </w:pPr>
      <w:rPr>
        <w:rFonts w:ascii="Wingdings" w:hAnsi="Wingdings" w:hint="default"/>
      </w:rPr>
    </w:lvl>
    <w:lvl w:ilvl="2" w:tplc="684CAE3E" w:tentative="1">
      <w:start w:val="1"/>
      <w:numFmt w:val="bullet"/>
      <w:lvlText w:val=""/>
      <w:lvlJc w:val="left"/>
      <w:pPr>
        <w:tabs>
          <w:tab w:val="num" w:pos="2160"/>
        </w:tabs>
        <w:ind w:left="2160" w:hanging="360"/>
      </w:pPr>
      <w:rPr>
        <w:rFonts w:ascii="Wingdings" w:hAnsi="Wingdings" w:hint="default"/>
      </w:rPr>
    </w:lvl>
    <w:lvl w:ilvl="3" w:tplc="F3B63754" w:tentative="1">
      <w:start w:val="1"/>
      <w:numFmt w:val="bullet"/>
      <w:lvlText w:val=""/>
      <w:lvlJc w:val="left"/>
      <w:pPr>
        <w:tabs>
          <w:tab w:val="num" w:pos="2880"/>
        </w:tabs>
        <w:ind w:left="2880" w:hanging="360"/>
      </w:pPr>
      <w:rPr>
        <w:rFonts w:ascii="Wingdings" w:hAnsi="Wingdings" w:hint="default"/>
      </w:rPr>
    </w:lvl>
    <w:lvl w:ilvl="4" w:tplc="FCD0647A" w:tentative="1">
      <w:start w:val="1"/>
      <w:numFmt w:val="bullet"/>
      <w:lvlText w:val=""/>
      <w:lvlJc w:val="left"/>
      <w:pPr>
        <w:tabs>
          <w:tab w:val="num" w:pos="3600"/>
        </w:tabs>
        <w:ind w:left="3600" w:hanging="360"/>
      </w:pPr>
      <w:rPr>
        <w:rFonts w:ascii="Wingdings" w:hAnsi="Wingdings" w:hint="default"/>
      </w:rPr>
    </w:lvl>
    <w:lvl w:ilvl="5" w:tplc="035E72A2" w:tentative="1">
      <w:start w:val="1"/>
      <w:numFmt w:val="bullet"/>
      <w:lvlText w:val=""/>
      <w:lvlJc w:val="left"/>
      <w:pPr>
        <w:tabs>
          <w:tab w:val="num" w:pos="4320"/>
        </w:tabs>
        <w:ind w:left="4320" w:hanging="360"/>
      </w:pPr>
      <w:rPr>
        <w:rFonts w:ascii="Wingdings" w:hAnsi="Wingdings" w:hint="default"/>
      </w:rPr>
    </w:lvl>
    <w:lvl w:ilvl="6" w:tplc="52D2B7CA" w:tentative="1">
      <w:start w:val="1"/>
      <w:numFmt w:val="bullet"/>
      <w:lvlText w:val=""/>
      <w:lvlJc w:val="left"/>
      <w:pPr>
        <w:tabs>
          <w:tab w:val="num" w:pos="5040"/>
        </w:tabs>
        <w:ind w:left="5040" w:hanging="360"/>
      </w:pPr>
      <w:rPr>
        <w:rFonts w:ascii="Wingdings" w:hAnsi="Wingdings" w:hint="default"/>
      </w:rPr>
    </w:lvl>
    <w:lvl w:ilvl="7" w:tplc="799A759C" w:tentative="1">
      <w:start w:val="1"/>
      <w:numFmt w:val="bullet"/>
      <w:lvlText w:val=""/>
      <w:lvlJc w:val="left"/>
      <w:pPr>
        <w:tabs>
          <w:tab w:val="num" w:pos="5760"/>
        </w:tabs>
        <w:ind w:left="5760" w:hanging="360"/>
      </w:pPr>
      <w:rPr>
        <w:rFonts w:ascii="Wingdings" w:hAnsi="Wingdings" w:hint="default"/>
      </w:rPr>
    </w:lvl>
    <w:lvl w:ilvl="8" w:tplc="6E8A052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B13249"/>
    <w:multiLevelType w:val="hybridMultilevel"/>
    <w:tmpl w:val="CDBAD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
  </w:num>
  <w:num w:numId="4">
    <w:abstractNumId w:val="36"/>
  </w:num>
  <w:num w:numId="5">
    <w:abstractNumId w:val="39"/>
  </w:num>
  <w:num w:numId="6">
    <w:abstractNumId w:val="27"/>
  </w:num>
  <w:num w:numId="7">
    <w:abstractNumId w:val="45"/>
  </w:num>
  <w:num w:numId="8">
    <w:abstractNumId w:val="13"/>
  </w:num>
  <w:num w:numId="9">
    <w:abstractNumId w:val="31"/>
  </w:num>
  <w:num w:numId="10">
    <w:abstractNumId w:val="30"/>
  </w:num>
  <w:num w:numId="11">
    <w:abstractNumId w:val="12"/>
  </w:num>
  <w:num w:numId="12">
    <w:abstractNumId w:val="35"/>
  </w:num>
  <w:num w:numId="13">
    <w:abstractNumId w:val="0"/>
  </w:num>
  <w:num w:numId="14">
    <w:abstractNumId w:val="26"/>
  </w:num>
  <w:num w:numId="15">
    <w:abstractNumId w:val="41"/>
  </w:num>
  <w:num w:numId="16">
    <w:abstractNumId w:val="14"/>
  </w:num>
  <w:num w:numId="17">
    <w:abstractNumId w:val="9"/>
  </w:num>
  <w:num w:numId="18">
    <w:abstractNumId w:val="46"/>
  </w:num>
  <w:num w:numId="19">
    <w:abstractNumId w:val="2"/>
  </w:num>
  <w:num w:numId="20">
    <w:abstractNumId w:val="7"/>
  </w:num>
  <w:num w:numId="21">
    <w:abstractNumId w:val="22"/>
  </w:num>
  <w:num w:numId="22">
    <w:abstractNumId w:val="32"/>
  </w:num>
  <w:num w:numId="23">
    <w:abstractNumId w:val="1"/>
  </w:num>
  <w:num w:numId="24">
    <w:abstractNumId w:val="20"/>
  </w:num>
  <w:num w:numId="25">
    <w:abstractNumId w:val="42"/>
  </w:num>
  <w:num w:numId="26">
    <w:abstractNumId w:val="4"/>
  </w:num>
  <w:num w:numId="27">
    <w:abstractNumId w:val="8"/>
  </w:num>
  <w:num w:numId="28">
    <w:abstractNumId w:val="25"/>
  </w:num>
  <w:num w:numId="29">
    <w:abstractNumId w:val="15"/>
  </w:num>
  <w:num w:numId="30">
    <w:abstractNumId w:val="21"/>
  </w:num>
  <w:num w:numId="31">
    <w:abstractNumId w:val="38"/>
  </w:num>
  <w:num w:numId="32">
    <w:abstractNumId w:val="17"/>
  </w:num>
  <w:num w:numId="33">
    <w:abstractNumId w:val="29"/>
  </w:num>
  <w:num w:numId="34">
    <w:abstractNumId w:val="43"/>
  </w:num>
  <w:num w:numId="35">
    <w:abstractNumId w:val="40"/>
  </w:num>
  <w:num w:numId="36">
    <w:abstractNumId w:val="33"/>
  </w:num>
  <w:num w:numId="37">
    <w:abstractNumId w:val="10"/>
  </w:num>
  <w:num w:numId="38">
    <w:abstractNumId w:val="37"/>
  </w:num>
  <w:num w:numId="39">
    <w:abstractNumId w:val="19"/>
  </w:num>
  <w:num w:numId="40">
    <w:abstractNumId w:val="24"/>
  </w:num>
  <w:num w:numId="41">
    <w:abstractNumId w:val="18"/>
  </w:num>
  <w:num w:numId="42">
    <w:abstractNumId w:val="11"/>
  </w:num>
  <w:num w:numId="43">
    <w:abstractNumId w:val="16"/>
  </w:num>
  <w:num w:numId="44">
    <w:abstractNumId w:val="6"/>
  </w:num>
  <w:num w:numId="45">
    <w:abstractNumId w:val="28"/>
  </w:num>
  <w:num w:numId="46">
    <w:abstractNumId w:val="47"/>
  </w:num>
  <w:num w:numId="47">
    <w:abstractNumId w:val="34"/>
  </w:num>
  <w:num w:numId="48">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C3"/>
    <w:rsid w:val="00001845"/>
    <w:rsid w:val="0000238B"/>
    <w:rsid w:val="000037DF"/>
    <w:rsid w:val="00004930"/>
    <w:rsid w:val="00007AE2"/>
    <w:rsid w:val="00013AA2"/>
    <w:rsid w:val="00021A92"/>
    <w:rsid w:val="000271D1"/>
    <w:rsid w:val="000337D9"/>
    <w:rsid w:val="000338B2"/>
    <w:rsid w:val="000338D9"/>
    <w:rsid w:val="0003664C"/>
    <w:rsid w:val="00036CB2"/>
    <w:rsid w:val="00037269"/>
    <w:rsid w:val="000376CD"/>
    <w:rsid w:val="00037BAD"/>
    <w:rsid w:val="00040559"/>
    <w:rsid w:val="00041073"/>
    <w:rsid w:val="0004366F"/>
    <w:rsid w:val="000473E0"/>
    <w:rsid w:val="00047D27"/>
    <w:rsid w:val="00053266"/>
    <w:rsid w:val="00053F1F"/>
    <w:rsid w:val="00057A57"/>
    <w:rsid w:val="00065480"/>
    <w:rsid w:val="00070C09"/>
    <w:rsid w:val="00071517"/>
    <w:rsid w:val="000730E1"/>
    <w:rsid w:val="000740FB"/>
    <w:rsid w:val="000753DB"/>
    <w:rsid w:val="000770BB"/>
    <w:rsid w:val="000777F6"/>
    <w:rsid w:val="0008221A"/>
    <w:rsid w:val="000839E7"/>
    <w:rsid w:val="00084D9F"/>
    <w:rsid w:val="00084E36"/>
    <w:rsid w:val="0008504D"/>
    <w:rsid w:val="000852A2"/>
    <w:rsid w:val="00090E62"/>
    <w:rsid w:val="00091982"/>
    <w:rsid w:val="0009343B"/>
    <w:rsid w:val="00093728"/>
    <w:rsid w:val="000A4BD1"/>
    <w:rsid w:val="000B144A"/>
    <w:rsid w:val="000B1F05"/>
    <w:rsid w:val="000B4E25"/>
    <w:rsid w:val="000B63DC"/>
    <w:rsid w:val="000B7FA6"/>
    <w:rsid w:val="000C0244"/>
    <w:rsid w:val="000C06DA"/>
    <w:rsid w:val="000C1262"/>
    <w:rsid w:val="000C5532"/>
    <w:rsid w:val="000C6341"/>
    <w:rsid w:val="000D392B"/>
    <w:rsid w:val="000D393E"/>
    <w:rsid w:val="000D3AA8"/>
    <w:rsid w:val="000D706B"/>
    <w:rsid w:val="000D7F8A"/>
    <w:rsid w:val="000E07BD"/>
    <w:rsid w:val="000E34A2"/>
    <w:rsid w:val="000F202E"/>
    <w:rsid w:val="000F2F0D"/>
    <w:rsid w:val="000F5719"/>
    <w:rsid w:val="000F6B83"/>
    <w:rsid w:val="00101F21"/>
    <w:rsid w:val="00102DE4"/>
    <w:rsid w:val="00103B7F"/>
    <w:rsid w:val="001053AF"/>
    <w:rsid w:val="00105DA4"/>
    <w:rsid w:val="00111300"/>
    <w:rsid w:val="00111A1A"/>
    <w:rsid w:val="001138AE"/>
    <w:rsid w:val="00116DBB"/>
    <w:rsid w:val="00120C17"/>
    <w:rsid w:val="00123C87"/>
    <w:rsid w:val="00124147"/>
    <w:rsid w:val="00134799"/>
    <w:rsid w:val="00137C2D"/>
    <w:rsid w:val="00142594"/>
    <w:rsid w:val="00143648"/>
    <w:rsid w:val="0014474B"/>
    <w:rsid w:val="001449B5"/>
    <w:rsid w:val="00146206"/>
    <w:rsid w:val="00147574"/>
    <w:rsid w:val="00147ACC"/>
    <w:rsid w:val="001513FC"/>
    <w:rsid w:val="00152B19"/>
    <w:rsid w:val="00152C67"/>
    <w:rsid w:val="001537C0"/>
    <w:rsid w:val="001544D0"/>
    <w:rsid w:val="0015457F"/>
    <w:rsid w:val="0015515A"/>
    <w:rsid w:val="00155DD7"/>
    <w:rsid w:val="00161100"/>
    <w:rsid w:val="00163389"/>
    <w:rsid w:val="00163505"/>
    <w:rsid w:val="00165A1C"/>
    <w:rsid w:val="00166CA5"/>
    <w:rsid w:val="00167D02"/>
    <w:rsid w:val="00173EB5"/>
    <w:rsid w:val="00174643"/>
    <w:rsid w:val="0017587D"/>
    <w:rsid w:val="001770C2"/>
    <w:rsid w:val="00180DAA"/>
    <w:rsid w:val="00181E21"/>
    <w:rsid w:val="001822F7"/>
    <w:rsid w:val="00183616"/>
    <w:rsid w:val="001864C8"/>
    <w:rsid w:val="00187272"/>
    <w:rsid w:val="00190F94"/>
    <w:rsid w:val="0019523F"/>
    <w:rsid w:val="00195685"/>
    <w:rsid w:val="0019580D"/>
    <w:rsid w:val="00196382"/>
    <w:rsid w:val="001A0039"/>
    <w:rsid w:val="001A2513"/>
    <w:rsid w:val="001A2805"/>
    <w:rsid w:val="001B322B"/>
    <w:rsid w:val="001B6D36"/>
    <w:rsid w:val="001C1205"/>
    <w:rsid w:val="001C3A9B"/>
    <w:rsid w:val="001C52AF"/>
    <w:rsid w:val="001C6A44"/>
    <w:rsid w:val="001C6C49"/>
    <w:rsid w:val="001D3170"/>
    <w:rsid w:val="001D70E1"/>
    <w:rsid w:val="001E0152"/>
    <w:rsid w:val="001E2D0B"/>
    <w:rsid w:val="001E3CC8"/>
    <w:rsid w:val="001E427A"/>
    <w:rsid w:val="001E5F53"/>
    <w:rsid w:val="001E731E"/>
    <w:rsid w:val="001F229F"/>
    <w:rsid w:val="001F28F3"/>
    <w:rsid w:val="001F46FC"/>
    <w:rsid w:val="00202048"/>
    <w:rsid w:val="00202C4C"/>
    <w:rsid w:val="00204A64"/>
    <w:rsid w:val="00204FAC"/>
    <w:rsid w:val="002069DC"/>
    <w:rsid w:val="00210092"/>
    <w:rsid w:val="0021129B"/>
    <w:rsid w:val="0021197D"/>
    <w:rsid w:val="00212E30"/>
    <w:rsid w:val="002173DD"/>
    <w:rsid w:val="00217C11"/>
    <w:rsid w:val="0022133B"/>
    <w:rsid w:val="0022134D"/>
    <w:rsid w:val="00221B40"/>
    <w:rsid w:val="002235CA"/>
    <w:rsid w:val="00224994"/>
    <w:rsid w:val="002269DA"/>
    <w:rsid w:val="00230BE8"/>
    <w:rsid w:val="00231506"/>
    <w:rsid w:val="00231856"/>
    <w:rsid w:val="00232DD2"/>
    <w:rsid w:val="00233B86"/>
    <w:rsid w:val="00236F1B"/>
    <w:rsid w:val="00241232"/>
    <w:rsid w:val="0024308E"/>
    <w:rsid w:val="0025489A"/>
    <w:rsid w:val="00255FF7"/>
    <w:rsid w:val="00256AE0"/>
    <w:rsid w:val="002613EE"/>
    <w:rsid w:val="00261FFA"/>
    <w:rsid w:val="00262AA8"/>
    <w:rsid w:val="00264798"/>
    <w:rsid w:val="00270BB4"/>
    <w:rsid w:val="00272982"/>
    <w:rsid w:val="00273ED1"/>
    <w:rsid w:val="002749B6"/>
    <w:rsid w:val="00275E8C"/>
    <w:rsid w:val="00282E5A"/>
    <w:rsid w:val="00284EC0"/>
    <w:rsid w:val="00287C7E"/>
    <w:rsid w:val="00291EF9"/>
    <w:rsid w:val="00292A7F"/>
    <w:rsid w:val="002930A6"/>
    <w:rsid w:val="002951A4"/>
    <w:rsid w:val="00295D6F"/>
    <w:rsid w:val="002A3779"/>
    <w:rsid w:val="002A3EDC"/>
    <w:rsid w:val="002A5876"/>
    <w:rsid w:val="002A5AB5"/>
    <w:rsid w:val="002A5D01"/>
    <w:rsid w:val="002B18A2"/>
    <w:rsid w:val="002B21DC"/>
    <w:rsid w:val="002B2CAA"/>
    <w:rsid w:val="002B4E4D"/>
    <w:rsid w:val="002B4F53"/>
    <w:rsid w:val="002B5F6C"/>
    <w:rsid w:val="002B66A0"/>
    <w:rsid w:val="002B7BB8"/>
    <w:rsid w:val="002B7FC2"/>
    <w:rsid w:val="002C0A4D"/>
    <w:rsid w:val="002C1B3C"/>
    <w:rsid w:val="002C1B8E"/>
    <w:rsid w:val="002C3180"/>
    <w:rsid w:val="002C36FE"/>
    <w:rsid w:val="002C3DBA"/>
    <w:rsid w:val="002C6867"/>
    <w:rsid w:val="002D54FE"/>
    <w:rsid w:val="002E4AE0"/>
    <w:rsid w:val="002E57A4"/>
    <w:rsid w:val="002E620F"/>
    <w:rsid w:val="002F0A00"/>
    <w:rsid w:val="002F0CBD"/>
    <w:rsid w:val="002F1A23"/>
    <w:rsid w:val="002F436F"/>
    <w:rsid w:val="002F4F20"/>
    <w:rsid w:val="002F684F"/>
    <w:rsid w:val="00300077"/>
    <w:rsid w:val="00305269"/>
    <w:rsid w:val="00305E41"/>
    <w:rsid w:val="00310148"/>
    <w:rsid w:val="003102A5"/>
    <w:rsid w:val="00314264"/>
    <w:rsid w:val="0031543F"/>
    <w:rsid w:val="003155B1"/>
    <w:rsid w:val="003165FB"/>
    <w:rsid w:val="003169D1"/>
    <w:rsid w:val="003203B2"/>
    <w:rsid w:val="00323710"/>
    <w:rsid w:val="00326383"/>
    <w:rsid w:val="0032685B"/>
    <w:rsid w:val="00326B2A"/>
    <w:rsid w:val="00326FDB"/>
    <w:rsid w:val="0033089B"/>
    <w:rsid w:val="003308D8"/>
    <w:rsid w:val="00330A0B"/>
    <w:rsid w:val="00330BA6"/>
    <w:rsid w:val="00333C84"/>
    <w:rsid w:val="00336319"/>
    <w:rsid w:val="00342348"/>
    <w:rsid w:val="00343E64"/>
    <w:rsid w:val="00344C5B"/>
    <w:rsid w:val="00347D46"/>
    <w:rsid w:val="00353E88"/>
    <w:rsid w:val="003576C5"/>
    <w:rsid w:val="00363463"/>
    <w:rsid w:val="003640D3"/>
    <w:rsid w:val="003645F9"/>
    <w:rsid w:val="00364B75"/>
    <w:rsid w:val="00365513"/>
    <w:rsid w:val="00366593"/>
    <w:rsid w:val="00366720"/>
    <w:rsid w:val="003708A0"/>
    <w:rsid w:val="00371513"/>
    <w:rsid w:val="0037332A"/>
    <w:rsid w:val="00374C35"/>
    <w:rsid w:val="00375177"/>
    <w:rsid w:val="0037626C"/>
    <w:rsid w:val="00376663"/>
    <w:rsid w:val="003768DA"/>
    <w:rsid w:val="00382227"/>
    <w:rsid w:val="003855F1"/>
    <w:rsid w:val="00386095"/>
    <w:rsid w:val="00386632"/>
    <w:rsid w:val="00391F12"/>
    <w:rsid w:val="00392E2F"/>
    <w:rsid w:val="00393628"/>
    <w:rsid w:val="00394E2D"/>
    <w:rsid w:val="00396D15"/>
    <w:rsid w:val="00396DB3"/>
    <w:rsid w:val="003A5C39"/>
    <w:rsid w:val="003A7B33"/>
    <w:rsid w:val="003B073E"/>
    <w:rsid w:val="003B0F7C"/>
    <w:rsid w:val="003B258E"/>
    <w:rsid w:val="003B3FE5"/>
    <w:rsid w:val="003B4CB7"/>
    <w:rsid w:val="003B550D"/>
    <w:rsid w:val="003B6D01"/>
    <w:rsid w:val="003C284D"/>
    <w:rsid w:val="003C3148"/>
    <w:rsid w:val="003C7E70"/>
    <w:rsid w:val="003D0C7B"/>
    <w:rsid w:val="003D0E99"/>
    <w:rsid w:val="003D4209"/>
    <w:rsid w:val="003D4CFA"/>
    <w:rsid w:val="003D5F7B"/>
    <w:rsid w:val="003D71C5"/>
    <w:rsid w:val="003E26BD"/>
    <w:rsid w:val="003E3EFD"/>
    <w:rsid w:val="003E4611"/>
    <w:rsid w:val="003F2E0A"/>
    <w:rsid w:val="003F3816"/>
    <w:rsid w:val="003F6102"/>
    <w:rsid w:val="00402A74"/>
    <w:rsid w:val="00404385"/>
    <w:rsid w:val="0041153D"/>
    <w:rsid w:val="0041310B"/>
    <w:rsid w:val="0041372F"/>
    <w:rsid w:val="00416368"/>
    <w:rsid w:val="00421A57"/>
    <w:rsid w:val="00422F0D"/>
    <w:rsid w:val="00427688"/>
    <w:rsid w:val="00427B7C"/>
    <w:rsid w:val="00431998"/>
    <w:rsid w:val="0043483C"/>
    <w:rsid w:val="00436A63"/>
    <w:rsid w:val="00441869"/>
    <w:rsid w:val="00444C70"/>
    <w:rsid w:val="00446433"/>
    <w:rsid w:val="00446C11"/>
    <w:rsid w:val="00450879"/>
    <w:rsid w:val="00452105"/>
    <w:rsid w:val="004523EC"/>
    <w:rsid w:val="00453188"/>
    <w:rsid w:val="00456BAB"/>
    <w:rsid w:val="00456F82"/>
    <w:rsid w:val="004640DB"/>
    <w:rsid w:val="004641CB"/>
    <w:rsid w:val="004649AC"/>
    <w:rsid w:val="004661BA"/>
    <w:rsid w:val="004738D3"/>
    <w:rsid w:val="00473A01"/>
    <w:rsid w:val="004754CB"/>
    <w:rsid w:val="0047574E"/>
    <w:rsid w:val="00477C04"/>
    <w:rsid w:val="00485AC8"/>
    <w:rsid w:val="00485B75"/>
    <w:rsid w:val="004904C2"/>
    <w:rsid w:val="004936A7"/>
    <w:rsid w:val="0049386E"/>
    <w:rsid w:val="004971B3"/>
    <w:rsid w:val="004A08A8"/>
    <w:rsid w:val="004A1BCA"/>
    <w:rsid w:val="004A2B83"/>
    <w:rsid w:val="004A4E59"/>
    <w:rsid w:val="004A5AA8"/>
    <w:rsid w:val="004A5CDD"/>
    <w:rsid w:val="004A6712"/>
    <w:rsid w:val="004A6A4C"/>
    <w:rsid w:val="004B2A01"/>
    <w:rsid w:val="004B2E01"/>
    <w:rsid w:val="004B338A"/>
    <w:rsid w:val="004B3FB0"/>
    <w:rsid w:val="004B5167"/>
    <w:rsid w:val="004B5667"/>
    <w:rsid w:val="004B6D50"/>
    <w:rsid w:val="004C24B5"/>
    <w:rsid w:val="004C35F0"/>
    <w:rsid w:val="004C40EC"/>
    <w:rsid w:val="004C5226"/>
    <w:rsid w:val="004D09F0"/>
    <w:rsid w:val="004D2232"/>
    <w:rsid w:val="004D2BEE"/>
    <w:rsid w:val="004D3889"/>
    <w:rsid w:val="004D4AFC"/>
    <w:rsid w:val="004D516D"/>
    <w:rsid w:val="004E13D8"/>
    <w:rsid w:val="004E1E55"/>
    <w:rsid w:val="004F03AD"/>
    <w:rsid w:val="004F66AD"/>
    <w:rsid w:val="00504CF3"/>
    <w:rsid w:val="005072C4"/>
    <w:rsid w:val="00511053"/>
    <w:rsid w:val="0051388B"/>
    <w:rsid w:val="00516145"/>
    <w:rsid w:val="00516186"/>
    <w:rsid w:val="005201B8"/>
    <w:rsid w:val="00521D5C"/>
    <w:rsid w:val="00524D7C"/>
    <w:rsid w:val="0053084E"/>
    <w:rsid w:val="00531766"/>
    <w:rsid w:val="00533ED6"/>
    <w:rsid w:val="005348EB"/>
    <w:rsid w:val="00535636"/>
    <w:rsid w:val="005402DB"/>
    <w:rsid w:val="00543FE3"/>
    <w:rsid w:val="005528E0"/>
    <w:rsid w:val="005540C5"/>
    <w:rsid w:val="00554977"/>
    <w:rsid w:val="00560661"/>
    <w:rsid w:val="005624CE"/>
    <w:rsid w:val="00565D5E"/>
    <w:rsid w:val="00567763"/>
    <w:rsid w:val="00570E02"/>
    <w:rsid w:val="005710C3"/>
    <w:rsid w:val="00571777"/>
    <w:rsid w:val="00573FCA"/>
    <w:rsid w:val="005756CC"/>
    <w:rsid w:val="00581BAA"/>
    <w:rsid w:val="0058448B"/>
    <w:rsid w:val="00585D54"/>
    <w:rsid w:val="005872DD"/>
    <w:rsid w:val="00587EC9"/>
    <w:rsid w:val="00593E22"/>
    <w:rsid w:val="00596040"/>
    <w:rsid w:val="005A09FE"/>
    <w:rsid w:val="005A392E"/>
    <w:rsid w:val="005A5713"/>
    <w:rsid w:val="005B0207"/>
    <w:rsid w:val="005B2222"/>
    <w:rsid w:val="005B3204"/>
    <w:rsid w:val="005B43F7"/>
    <w:rsid w:val="005B4DC1"/>
    <w:rsid w:val="005B7B23"/>
    <w:rsid w:val="005C1794"/>
    <w:rsid w:val="005C3D38"/>
    <w:rsid w:val="005C4D16"/>
    <w:rsid w:val="005C5447"/>
    <w:rsid w:val="005D038B"/>
    <w:rsid w:val="005D2666"/>
    <w:rsid w:val="005D36CF"/>
    <w:rsid w:val="005D4FF4"/>
    <w:rsid w:val="005E1F32"/>
    <w:rsid w:val="005E1F79"/>
    <w:rsid w:val="005F1B61"/>
    <w:rsid w:val="005F3AD7"/>
    <w:rsid w:val="005F3F86"/>
    <w:rsid w:val="005F6830"/>
    <w:rsid w:val="005F7914"/>
    <w:rsid w:val="00603E86"/>
    <w:rsid w:val="006045DD"/>
    <w:rsid w:val="00605CCA"/>
    <w:rsid w:val="00611A2C"/>
    <w:rsid w:val="00613DD3"/>
    <w:rsid w:val="006146E0"/>
    <w:rsid w:val="00614B6D"/>
    <w:rsid w:val="00614F46"/>
    <w:rsid w:val="0061682A"/>
    <w:rsid w:val="00616A55"/>
    <w:rsid w:val="006213E2"/>
    <w:rsid w:val="00621B1D"/>
    <w:rsid w:val="00622AAD"/>
    <w:rsid w:val="00624098"/>
    <w:rsid w:val="0062666F"/>
    <w:rsid w:val="00630D43"/>
    <w:rsid w:val="00635902"/>
    <w:rsid w:val="00635DC2"/>
    <w:rsid w:val="00640867"/>
    <w:rsid w:val="00642C5F"/>
    <w:rsid w:val="0064328E"/>
    <w:rsid w:val="00643439"/>
    <w:rsid w:val="006452B1"/>
    <w:rsid w:val="0064715F"/>
    <w:rsid w:val="00647720"/>
    <w:rsid w:val="00650796"/>
    <w:rsid w:val="00652C7C"/>
    <w:rsid w:val="00652DA2"/>
    <w:rsid w:val="006542FA"/>
    <w:rsid w:val="00657FEA"/>
    <w:rsid w:val="00661093"/>
    <w:rsid w:val="00661B8D"/>
    <w:rsid w:val="00663B3C"/>
    <w:rsid w:val="0067443A"/>
    <w:rsid w:val="00674519"/>
    <w:rsid w:val="00674864"/>
    <w:rsid w:val="00674B20"/>
    <w:rsid w:val="006769E8"/>
    <w:rsid w:val="00676D6C"/>
    <w:rsid w:val="00677CF7"/>
    <w:rsid w:val="006801A2"/>
    <w:rsid w:val="00682F74"/>
    <w:rsid w:val="00685EE9"/>
    <w:rsid w:val="00686A8D"/>
    <w:rsid w:val="00691FA2"/>
    <w:rsid w:val="0069512C"/>
    <w:rsid w:val="00697211"/>
    <w:rsid w:val="006A0A7C"/>
    <w:rsid w:val="006A36AE"/>
    <w:rsid w:val="006A51A9"/>
    <w:rsid w:val="006A76C1"/>
    <w:rsid w:val="006B0B52"/>
    <w:rsid w:val="006B0D6D"/>
    <w:rsid w:val="006B3469"/>
    <w:rsid w:val="006B39E8"/>
    <w:rsid w:val="006B5A64"/>
    <w:rsid w:val="006C02E8"/>
    <w:rsid w:val="006C1E9B"/>
    <w:rsid w:val="006C246A"/>
    <w:rsid w:val="006C3F15"/>
    <w:rsid w:val="006C6C4A"/>
    <w:rsid w:val="006D197B"/>
    <w:rsid w:val="006D43C7"/>
    <w:rsid w:val="006D4545"/>
    <w:rsid w:val="006D77B6"/>
    <w:rsid w:val="006E077A"/>
    <w:rsid w:val="006E199B"/>
    <w:rsid w:val="006E1E77"/>
    <w:rsid w:val="006E473B"/>
    <w:rsid w:val="006F2FF6"/>
    <w:rsid w:val="0070097D"/>
    <w:rsid w:val="00700C16"/>
    <w:rsid w:val="007041D3"/>
    <w:rsid w:val="00705EA9"/>
    <w:rsid w:val="007138DF"/>
    <w:rsid w:val="00714A09"/>
    <w:rsid w:val="00716EC8"/>
    <w:rsid w:val="007252FB"/>
    <w:rsid w:val="00732C66"/>
    <w:rsid w:val="00733214"/>
    <w:rsid w:val="007338A5"/>
    <w:rsid w:val="00735889"/>
    <w:rsid w:val="0073594E"/>
    <w:rsid w:val="007368FF"/>
    <w:rsid w:val="00736AB6"/>
    <w:rsid w:val="00736EA4"/>
    <w:rsid w:val="00741226"/>
    <w:rsid w:val="00741470"/>
    <w:rsid w:val="0074199E"/>
    <w:rsid w:val="007427CD"/>
    <w:rsid w:val="00744739"/>
    <w:rsid w:val="00750F48"/>
    <w:rsid w:val="00757E98"/>
    <w:rsid w:val="00761CE3"/>
    <w:rsid w:val="00761D81"/>
    <w:rsid w:val="00762FAD"/>
    <w:rsid w:val="0076364C"/>
    <w:rsid w:val="0076367B"/>
    <w:rsid w:val="00764D85"/>
    <w:rsid w:val="00765EFA"/>
    <w:rsid w:val="00766386"/>
    <w:rsid w:val="0076696A"/>
    <w:rsid w:val="00767464"/>
    <w:rsid w:val="00772C27"/>
    <w:rsid w:val="00776C40"/>
    <w:rsid w:val="007777B3"/>
    <w:rsid w:val="007804B8"/>
    <w:rsid w:val="00780C57"/>
    <w:rsid w:val="00790F25"/>
    <w:rsid w:val="00793843"/>
    <w:rsid w:val="00793D84"/>
    <w:rsid w:val="0079788A"/>
    <w:rsid w:val="007A0363"/>
    <w:rsid w:val="007A2ACA"/>
    <w:rsid w:val="007A4696"/>
    <w:rsid w:val="007B0E4F"/>
    <w:rsid w:val="007B2848"/>
    <w:rsid w:val="007B355A"/>
    <w:rsid w:val="007B5FB8"/>
    <w:rsid w:val="007B64BB"/>
    <w:rsid w:val="007B68AB"/>
    <w:rsid w:val="007C1F40"/>
    <w:rsid w:val="007C22FC"/>
    <w:rsid w:val="007C40BF"/>
    <w:rsid w:val="007C5943"/>
    <w:rsid w:val="007D0989"/>
    <w:rsid w:val="007D5EA5"/>
    <w:rsid w:val="007D63BF"/>
    <w:rsid w:val="007E22E4"/>
    <w:rsid w:val="007E2922"/>
    <w:rsid w:val="007E2BB3"/>
    <w:rsid w:val="007E38F6"/>
    <w:rsid w:val="007E59C8"/>
    <w:rsid w:val="007E725A"/>
    <w:rsid w:val="007F23FF"/>
    <w:rsid w:val="007F7A59"/>
    <w:rsid w:val="008006F2"/>
    <w:rsid w:val="00804122"/>
    <w:rsid w:val="00804496"/>
    <w:rsid w:val="008054C6"/>
    <w:rsid w:val="00805FF2"/>
    <w:rsid w:val="00807741"/>
    <w:rsid w:val="00814C06"/>
    <w:rsid w:val="00820183"/>
    <w:rsid w:val="00822D4A"/>
    <w:rsid w:val="00822DBF"/>
    <w:rsid w:val="00823126"/>
    <w:rsid w:val="00825D9E"/>
    <w:rsid w:val="00830038"/>
    <w:rsid w:val="0083003E"/>
    <w:rsid w:val="008411FB"/>
    <w:rsid w:val="008429FF"/>
    <w:rsid w:val="008457EA"/>
    <w:rsid w:val="00845FBF"/>
    <w:rsid w:val="008466CA"/>
    <w:rsid w:val="008514B5"/>
    <w:rsid w:val="008521B5"/>
    <w:rsid w:val="00852935"/>
    <w:rsid w:val="0085582C"/>
    <w:rsid w:val="008612E6"/>
    <w:rsid w:val="00862859"/>
    <w:rsid w:val="00863442"/>
    <w:rsid w:val="00863E20"/>
    <w:rsid w:val="0086472E"/>
    <w:rsid w:val="0086503E"/>
    <w:rsid w:val="00866543"/>
    <w:rsid w:val="00866DFA"/>
    <w:rsid w:val="008675D7"/>
    <w:rsid w:val="008676BC"/>
    <w:rsid w:val="00870794"/>
    <w:rsid w:val="00871D70"/>
    <w:rsid w:val="008755CE"/>
    <w:rsid w:val="0087657E"/>
    <w:rsid w:val="00876BF8"/>
    <w:rsid w:val="00876E4D"/>
    <w:rsid w:val="008803F5"/>
    <w:rsid w:val="0088304A"/>
    <w:rsid w:val="00891D89"/>
    <w:rsid w:val="00894C75"/>
    <w:rsid w:val="0089643D"/>
    <w:rsid w:val="00896FF6"/>
    <w:rsid w:val="008A077E"/>
    <w:rsid w:val="008A165D"/>
    <w:rsid w:val="008A3B50"/>
    <w:rsid w:val="008A4FFD"/>
    <w:rsid w:val="008A59D1"/>
    <w:rsid w:val="008A6ED3"/>
    <w:rsid w:val="008A74E6"/>
    <w:rsid w:val="008A7B50"/>
    <w:rsid w:val="008A7B93"/>
    <w:rsid w:val="008B2EDE"/>
    <w:rsid w:val="008B5158"/>
    <w:rsid w:val="008B60E2"/>
    <w:rsid w:val="008B7B0C"/>
    <w:rsid w:val="008C07F6"/>
    <w:rsid w:val="008C2D07"/>
    <w:rsid w:val="008C3C3D"/>
    <w:rsid w:val="008C3EFF"/>
    <w:rsid w:val="008C7754"/>
    <w:rsid w:val="008D04D1"/>
    <w:rsid w:val="008D0854"/>
    <w:rsid w:val="008D2A2F"/>
    <w:rsid w:val="008D557B"/>
    <w:rsid w:val="008D6BEF"/>
    <w:rsid w:val="008E3015"/>
    <w:rsid w:val="008E62E8"/>
    <w:rsid w:val="008F24DE"/>
    <w:rsid w:val="008F706F"/>
    <w:rsid w:val="0090020C"/>
    <w:rsid w:val="009002B0"/>
    <w:rsid w:val="00900E83"/>
    <w:rsid w:val="00901149"/>
    <w:rsid w:val="00901F83"/>
    <w:rsid w:val="0090617E"/>
    <w:rsid w:val="00910017"/>
    <w:rsid w:val="0091017F"/>
    <w:rsid w:val="009101FB"/>
    <w:rsid w:val="009104CC"/>
    <w:rsid w:val="00910515"/>
    <w:rsid w:val="00911EAD"/>
    <w:rsid w:val="00912D17"/>
    <w:rsid w:val="009170FC"/>
    <w:rsid w:val="009202C3"/>
    <w:rsid w:val="009229F0"/>
    <w:rsid w:val="009237D0"/>
    <w:rsid w:val="00923CB2"/>
    <w:rsid w:val="00925499"/>
    <w:rsid w:val="00925E1D"/>
    <w:rsid w:val="009276A3"/>
    <w:rsid w:val="009277B3"/>
    <w:rsid w:val="009279AE"/>
    <w:rsid w:val="00932278"/>
    <w:rsid w:val="00933B82"/>
    <w:rsid w:val="00941C26"/>
    <w:rsid w:val="00945359"/>
    <w:rsid w:val="009467E0"/>
    <w:rsid w:val="00946931"/>
    <w:rsid w:val="009471BE"/>
    <w:rsid w:val="009474BE"/>
    <w:rsid w:val="00954C8C"/>
    <w:rsid w:val="00961E3D"/>
    <w:rsid w:val="00962B12"/>
    <w:rsid w:val="00967507"/>
    <w:rsid w:val="009704C1"/>
    <w:rsid w:val="009713BD"/>
    <w:rsid w:val="00971A21"/>
    <w:rsid w:val="0097318D"/>
    <w:rsid w:val="0097381D"/>
    <w:rsid w:val="00977DB1"/>
    <w:rsid w:val="0098203D"/>
    <w:rsid w:val="00985DD5"/>
    <w:rsid w:val="00986306"/>
    <w:rsid w:val="009924E5"/>
    <w:rsid w:val="00993950"/>
    <w:rsid w:val="00995747"/>
    <w:rsid w:val="009A1AB7"/>
    <w:rsid w:val="009B1A0C"/>
    <w:rsid w:val="009B2AB7"/>
    <w:rsid w:val="009C0149"/>
    <w:rsid w:val="009C07B2"/>
    <w:rsid w:val="009C0C12"/>
    <w:rsid w:val="009C0DBE"/>
    <w:rsid w:val="009C0EAC"/>
    <w:rsid w:val="009C1425"/>
    <w:rsid w:val="009C1712"/>
    <w:rsid w:val="009C1CD9"/>
    <w:rsid w:val="009C3EFB"/>
    <w:rsid w:val="009C6094"/>
    <w:rsid w:val="009D65AA"/>
    <w:rsid w:val="009D7511"/>
    <w:rsid w:val="009E09D5"/>
    <w:rsid w:val="009E13AB"/>
    <w:rsid w:val="009E5261"/>
    <w:rsid w:val="009F3716"/>
    <w:rsid w:val="009F45AA"/>
    <w:rsid w:val="009F4E43"/>
    <w:rsid w:val="009F62BB"/>
    <w:rsid w:val="00A00F7B"/>
    <w:rsid w:val="00A01677"/>
    <w:rsid w:val="00A01D90"/>
    <w:rsid w:val="00A03A5F"/>
    <w:rsid w:val="00A05E58"/>
    <w:rsid w:val="00A06AF4"/>
    <w:rsid w:val="00A10EE0"/>
    <w:rsid w:val="00A10F5F"/>
    <w:rsid w:val="00A12030"/>
    <w:rsid w:val="00A125C3"/>
    <w:rsid w:val="00A147E9"/>
    <w:rsid w:val="00A172EB"/>
    <w:rsid w:val="00A20A17"/>
    <w:rsid w:val="00A2417F"/>
    <w:rsid w:val="00A25B5B"/>
    <w:rsid w:val="00A25E58"/>
    <w:rsid w:val="00A26AB4"/>
    <w:rsid w:val="00A338FC"/>
    <w:rsid w:val="00A33E4C"/>
    <w:rsid w:val="00A34140"/>
    <w:rsid w:val="00A40D00"/>
    <w:rsid w:val="00A437BD"/>
    <w:rsid w:val="00A4387B"/>
    <w:rsid w:val="00A46AA1"/>
    <w:rsid w:val="00A4759C"/>
    <w:rsid w:val="00A515E5"/>
    <w:rsid w:val="00A537ED"/>
    <w:rsid w:val="00A5600C"/>
    <w:rsid w:val="00A57165"/>
    <w:rsid w:val="00A62123"/>
    <w:rsid w:val="00A631DC"/>
    <w:rsid w:val="00A652CE"/>
    <w:rsid w:val="00A65380"/>
    <w:rsid w:val="00A70EAE"/>
    <w:rsid w:val="00A74027"/>
    <w:rsid w:val="00A75A0E"/>
    <w:rsid w:val="00A76D26"/>
    <w:rsid w:val="00A77495"/>
    <w:rsid w:val="00A8289D"/>
    <w:rsid w:val="00A82BB5"/>
    <w:rsid w:val="00A82BCB"/>
    <w:rsid w:val="00A82DAF"/>
    <w:rsid w:val="00A84AA4"/>
    <w:rsid w:val="00A853C1"/>
    <w:rsid w:val="00A8610E"/>
    <w:rsid w:val="00A92B80"/>
    <w:rsid w:val="00A93201"/>
    <w:rsid w:val="00A95CF3"/>
    <w:rsid w:val="00A96133"/>
    <w:rsid w:val="00A96A37"/>
    <w:rsid w:val="00A97D60"/>
    <w:rsid w:val="00AA0EBA"/>
    <w:rsid w:val="00AA14B9"/>
    <w:rsid w:val="00AA242C"/>
    <w:rsid w:val="00AA45BD"/>
    <w:rsid w:val="00AA48CE"/>
    <w:rsid w:val="00AA4F5A"/>
    <w:rsid w:val="00AA74AB"/>
    <w:rsid w:val="00AA7EF3"/>
    <w:rsid w:val="00AB2610"/>
    <w:rsid w:val="00AB31B1"/>
    <w:rsid w:val="00AB445D"/>
    <w:rsid w:val="00AB6FDE"/>
    <w:rsid w:val="00AB7912"/>
    <w:rsid w:val="00AC0697"/>
    <w:rsid w:val="00AC2F69"/>
    <w:rsid w:val="00AC6B85"/>
    <w:rsid w:val="00AD5AE8"/>
    <w:rsid w:val="00AE4643"/>
    <w:rsid w:val="00AE6C95"/>
    <w:rsid w:val="00AE7754"/>
    <w:rsid w:val="00AF069C"/>
    <w:rsid w:val="00AF12C1"/>
    <w:rsid w:val="00AF1B93"/>
    <w:rsid w:val="00AF23DA"/>
    <w:rsid w:val="00AF293B"/>
    <w:rsid w:val="00AF4EC7"/>
    <w:rsid w:val="00AF5238"/>
    <w:rsid w:val="00B00D18"/>
    <w:rsid w:val="00B02073"/>
    <w:rsid w:val="00B02605"/>
    <w:rsid w:val="00B05746"/>
    <w:rsid w:val="00B1213C"/>
    <w:rsid w:val="00B12845"/>
    <w:rsid w:val="00B1295A"/>
    <w:rsid w:val="00B13B9B"/>
    <w:rsid w:val="00B14FD8"/>
    <w:rsid w:val="00B154EF"/>
    <w:rsid w:val="00B15E15"/>
    <w:rsid w:val="00B208C9"/>
    <w:rsid w:val="00B2369A"/>
    <w:rsid w:val="00B24533"/>
    <w:rsid w:val="00B25CBB"/>
    <w:rsid w:val="00B26D99"/>
    <w:rsid w:val="00B27C32"/>
    <w:rsid w:val="00B30954"/>
    <w:rsid w:val="00B31DC9"/>
    <w:rsid w:val="00B34E66"/>
    <w:rsid w:val="00B36582"/>
    <w:rsid w:val="00B40E00"/>
    <w:rsid w:val="00B47A52"/>
    <w:rsid w:val="00B51152"/>
    <w:rsid w:val="00B52563"/>
    <w:rsid w:val="00B52939"/>
    <w:rsid w:val="00B52E08"/>
    <w:rsid w:val="00B5393D"/>
    <w:rsid w:val="00B54628"/>
    <w:rsid w:val="00B57A28"/>
    <w:rsid w:val="00B60139"/>
    <w:rsid w:val="00B6212F"/>
    <w:rsid w:val="00B6600E"/>
    <w:rsid w:val="00B7002E"/>
    <w:rsid w:val="00B75378"/>
    <w:rsid w:val="00B7769E"/>
    <w:rsid w:val="00B81495"/>
    <w:rsid w:val="00B827BE"/>
    <w:rsid w:val="00B83835"/>
    <w:rsid w:val="00B85ACB"/>
    <w:rsid w:val="00B94D3D"/>
    <w:rsid w:val="00BA012B"/>
    <w:rsid w:val="00BA08B2"/>
    <w:rsid w:val="00BA14AE"/>
    <w:rsid w:val="00BA7060"/>
    <w:rsid w:val="00BA79F0"/>
    <w:rsid w:val="00BB28A9"/>
    <w:rsid w:val="00BB3968"/>
    <w:rsid w:val="00BB3AC8"/>
    <w:rsid w:val="00BB60AB"/>
    <w:rsid w:val="00BB6F8D"/>
    <w:rsid w:val="00BB782C"/>
    <w:rsid w:val="00BC051F"/>
    <w:rsid w:val="00BC0598"/>
    <w:rsid w:val="00BC129B"/>
    <w:rsid w:val="00BC1D90"/>
    <w:rsid w:val="00BC2EC0"/>
    <w:rsid w:val="00BC3EA8"/>
    <w:rsid w:val="00BD04A2"/>
    <w:rsid w:val="00BD0C48"/>
    <w:rsid w:val="00BD1DE5"/>
    <w:rsid w:val="00BD491F"/>
    <w:rsid w:val="00BD5148"/>
    <w:rsid w:val="00BE0921"/>
    <w:rsid w:val="00BE17F8"/>
    <w:rsid w:val="00BE2BC1"/>
    <w:rsid w:val="00BE5361"/>
    <w:rsid w:val="00BE6534"/>
    <w:rsid w:val="00BF0746"/>
    <w:rsid w:val="00BF0E3C"/>
    <w:rsid w:val="00BF0ED3"/>
    <w:rsid w:val="00BF614F"/>
    <w:rsid w:val="00BF6D12"/>
    <w:rsid w:val="00BF78EB"/>
    <w:rsid w:val="00C02163"/>
    <w:rsid w:val="00C04A4B"/>
    <w:rsid w:val="00C102B1"/>
    <w:rsid w:val="00C1406E"/>
    <w:rsid w:val="00C15C69"/>
    <w:rsid w:val="00C20719"/>
    <w:rsid w:val="00C22C4F"/>
    <w:rsid w:val="00C25EF4"/>
    <w:rsid w:val="00C26097"/>
    <w:rsid w:val="00C2716A"/>
    <w:rsid w:val="00C27327"/>
    <w:rsid w:val="00C275C5"/>
    <w:rsid w:val="00C3453E"/>
    <w:rsid w:val="00C36A36"/>
    <w:rsid w:val="00C36E40"/>
    <w:rsid w:val="00C37282"/>
    <w:rsid w:val="00C43010"/>
    <w:rsid w:val="00C438F5"/>
    <w:rsid w:val="00C47AEE"/>
    <w:rsid w:val="00C5025E"/>
    <w:rsid w:val="00C528FE"/>
    <w:rsid w:val="00C62177"/>
    <w:rsid w:val="00C70FE1"/>
    <w:rsid w:val="00C73426"/>
    <w:rsid w:val="00C73D63"/>
    <w:rsid w:val="00C76DE8"/>
    <w:rsid w:val="00C81BEC"/>
    <w:rsid w:val="00C827D0"/>
    <w:rsid w:val="00C9063C"/>
    <w:rsid w:val="00C91E6A"/>
    <w:rsid w:val="00C929B8"/>
    <w:rsid w:val="00C92B22"/>
    <w:rsid w:val="00C956B0"/>
    <w:rsid w:val="00C9661F"/>
    <w:rsid w:val="00C97B4C"/>
    <w:rsid w:val="00CA4CF5"/>
    <w:rsid w:val="00CA6F55"/>
    <w:rsid w:val="00CB0F78"/>
    <w:rsid w:val="00CB62FA"/>
    <w:rsid w:val="00CB6919"/>
    <w:rsid w:val="00CC15EB"/>
    <w:rsid w:val="00CC303A"/>
    <w:rsid w:val="00CC48B7"/>
    <w:rsid w:val="00CC7D95"/>
    <w:rsid w:val="00CD2ADD"/>
    <w:rsid w:val="00CD4DE2"/>
    <w:rsid w:val="00CD7269"/>
    <w:rsid w:val="00CE1896"/>
    <w:rsid w:val="00CE3EB3"/>
    <w:rsid w:val="00CE42E5"/>
    <w:rsid w:val="00CE5ED4"/>
    <w:rsid w:val="00CF0B05"/>
    <w:rsid w:val="00CF0BE8"/>
    <w:rsid w:val="00CF0F1E"/>
    <w:rsid w:val="00CF1D77"/>
    <w:rsid w:val="00CF2006"/>
    <w:rsid w:val="00CF2900"/>
    <w:rsid w:val="00CF31D3"/>
    <w:rsid w:val="00CF3F2A"/>
    <w:rsid w:val="00CF550F"/>
    <w:rsid w:val="00CF6CF5"/>
    <w:rsid w:val="00D0165F"/>
    <w:rsid w:val="00D022E6"/>
    <w:rsid w:val="00D04CA4"/>
    <w:rsid w:val="00D1005B"/>
    <w:rsid w:val="00D11009"/>
    <w:rsid w:val="00D12F40"/>
    <w:rsid w:val="00D13E49"/>
    <w:rsid w:val="00D14B94"/>
    <w:rsid w:val="00D155E2"/>
    <w:rsid w:val="00D1582B"/>
    <w:rsid w:val="00D21720"/>
    <w:rsid w:val="00D22170"/>
    <w:rsid w:val="00D22683"/>
    <w:rsid w:val="00D242A8"/>
    <w:rsid w:val="00D262ED"/>
    <w:rsid w:val="00D2654D"/>
    <w:rsid w:val="00D265EE"/>
    <w:rsid w:val="00D30FC2"/>
    <w:rsid w:val="00D31EBF"/>
    <w:rsid w:val="00D32934"/>
    <w:rsid w:val="00D35258"/>
    <w:rsid w:val="00D355FD"/>
    <w:rsid w:val="00D35E2A"/>
    <w:rsid w:val="00D35FDF"/>
    <w:rsid w:val="00D37756"/>
    <w:rsid w:val="00D455E5"/>
    <w:rsid w:val="00D45A90"/>
    <w:rsid w:val="00D4651D"/>
    <w:rsid w:val="00D47BFD"/>
    <w:rsid w:val="00D51E3B"/>
    <w:rsid w:val="00D54A03"/>
    <w:rsid w:val="00D54FEB"/>
    <w:rsid w:val="00D552C0"/>
    <w:rsid w:val="00D57360"/>
    <w:rsid w:val="00D63FCA"/>
    <w:rsid w:val="00D6438B"/>
    <w:rsid w:val="00D64922"/>
    <w:rsid w:val="00D66491"/>
    <w:rsid w:val="00D66AFF"/>
    <w:rsid w:val="00D679F6"/>
    <w:rsid w:val="00D67F07"/>
    <w:rsid w:val="00D72AE0"/>
    <w:rsid w:val="00D74192"/>
    <w:rsid w:val="00D76911"/>
    <w:rsid w:val="00D774E0"/>
    <w:rsid w:val="00D8018C"/>
    <w:rsid w:val="00D80A1A"/>
    <w:rsid w:val="00D82FB5"/>
    <w:rsid w:val="00D860D2"/>
    <w:rsid w:val="00D8667D"/>
    <w:rsid w:val="00D8739D"/>
    <w:rsid w:val="00D90B70"/>
    <w:rsid w:val="00D90E54"/>
    <w:rsid w:val="00D95467"/>
    <w:rsid w:val="00DA041B"/>
    <w:rsid w:val="00DA210E"/>
    <w:rsid w:val="00DA22DB"/>
    <w:rsid w:val="00DA31E0"/>
    <w:rsid w:val="00DA32D7"/>
    <w:rsid w:val="00DA5654"/>
    <w:rsid w:val="00DA659A"/>
    <w:rsid w:val="00DA714B"/>
    <w:rsid w:val="00DA76DC"/>
    <w:rsid w:val="00DA7C63"/>
    <w:rsid w:val="00DB1A73"/>
    <w:rsid w:val="00DB2E28"/>
    <w:rsid w:val="00DB5479"/>
    <w:rsid w:val="00DB6171"/>
    <w:rsid w:val="00DB6FFE"/>
    <w:rsid w:val="00DB7FE7"/>
    <w:rsid w:val="00DC0E68"/>
    <w:rsid w:val="00DC18BC"/>
    <w:rsid w:val="00DC7987"/>
    <w:rsid w:val="00DC7F07"/>
    <w:rsid w:val="00DD1907"/>
    <w:rsid w:val="00DD6C9E"/>
    <w:rsid w:val="00DE2EC9"/>
    <w:rsid w:val="00DF14BA"/>
    <w:rsid w:val="00DF2358"/>
    <w:rsid w:val="00DF28D5"/>
    <w:rsid w:val="00DF3E10"/>
    <w:rsid w:val="00DF4D97"/>
    <w:rsid w:val="00DF50BC"/>
    <w:rsid w:val="00DF646E"/>
    <w:rsid w:val="00DF6B02"/>
    <w:rsid w:val="00E017E3"/>
    <w:rsid w:val="00E0323B"/>
    <w:rsid w:val="00E07F8C"/>
    <w:rsid w:val="00E10937"/>
    <w:rsid w:val="00E11A39"/>
    <w:rsid w:val="00E11F93"/>
    <w:rsid w:val="00E13D23"/>
    <w:rsid w:val="00E14879"/>
    <w:rsid w:val="00E21D2E"/>
    <w:rsid w:val="00E220E4"/>
    <w:rsid w:val="00E2362B"/>
    <w:rsid w:val="00E24DFC"/>
    <w:rsid w:val="00E34003"/>
    <w:rsid w:val="00E371A1"/>
    <w:rsid w:val="00E427C0"/>
    <w:rsid w:val="00E42E06"/>
    <w:rsid w:val="00E43BCD"/>
    <w:rsid w:val="00E453EF"/>
    <w:rsid w:val="00E526A3"/>
    <w:rsid w:val="00E55DB5"/>
    <w:rsid w:val="00E577BA"/>
    <w:rsid w:val="00E60CB8"/>
    <w:rsid w:val="00E64818"/>
    <w:rsid w:val="00E7227D"/>
    <w:rsid w:val="00E729A1"/>
    <w:rsid w:val="00E762AC"/>
    <w:rsid w:val="00E76360"/>
    <w:rsid w:val="00E76BC6"/>
    <w:rsid w:val="00E80469"/>
    <w:rsid w:val="00E80E04"/>
    <w:rsid w:val="00E81DC3"/>
    <w:rsid w:val="00E82807"/>
    <w:rsid w:val="00E83104"/>
    <w:rsid w:val="00E83251"/>
    <w:rsid w:val="00E832B5"/>
    <w:rsid w:val="00E83D4A"/>
    <w:rsid w:val="00E846EA"/>
    <w:rsid w:val="00E85342"/>
    <w:rsid w:val="00E86B09"/>
    <w:rsid w:val="00E872D4"/>
    <w:rsid w:val="00E87A64"/>
    <w:rsid w:val="00E91F92"/>
    <w:rsid w:val="00E93D95"/>
    <w:rsid w:val="00E9418F"/>
    <w:rsid w:val="00E954E3"/>
    <w:rsid w:val="00E95C3A"/>
    <w:rsid w:val="00EA1EB4"/>
    <w:rsid w:val="00EA27C4"/>
    <w:rsid w:val="00EA2E77"/>
    <w:rsid w:val="00EA2F6B"/>
    <w:rsid w:val="00EA66EB"/>
    <w:rsid w:val="00EB2721"/>
    <w:rsid w:val="00EB5284"/>
    <w:rsid w:val="00EC1789"/>
    <w:rsid w:val="00ED2819"/>
    <w:rsid w:val="00ED5AFA"/>
    <w:rsid w:val="00ED5D98"/>
    <w:rsid w:val="00EE075A"/>
    <w:rsid w:val="00EE2DD1"/>
    <w:rsid w:val="00EE4BC0"/>
    <w:rsid w:val="00EE548F"/>
    <w:rsid w:val="00EE6691"/>
    <w:rsid w:val="00EE6D15"/>
    <w:rsid w:val="00EE70E5"/>
    <w:rsid w:val="00EF0A5F"/>
    <w:rsid w:val="00EF159F"/>
    <w:rsid w:val="00EF1B93"/>
    <w:rsid w:val="00EF1D00"/>
    <w:rsid w:val="00EF3E70"/>
    <w:rsid w:val="00EF5A8E"/>
    <w:rsid w:val="00F00E93"/>
    <w:rsid w:val="00F02A62"/>
    <w:rsid w:val="00F02FFB"/>
    <w:rsid w:val="00F110DE"/>
    <w:rsid w:val="00F115FF"/>
    <w:rsid w:val="00F11B8E"/>
    <w:rsid w:val="00F120B9"/>
    <w:rsid w:val="00F13796"/>
    <w:rsid w:val="00F1575F"/>
    <w:rsid w:val="00F163E1"/>
    <w:rsid w:val="00F173B8"/>
    <w:rsid w:val="00F17935"/>
    <w:rsid w:val="00F230DD"/>
    <w:rsid w:val="00F23567"/>
    <w:rsid w:val="00F250D0"/>
    <w:rsid w:val="00F265DB"/>
    <w:rsid w:val="00F270C1"/>
    <w:rsid w:val="00F27D4F"/>
    <w:rsid w:val="00F27D75"/>
    <w:rsid w:val="00F31F42"/>
    <w:rsid w:val="00F35652"/>
    <w:rsid w:val="00F36283"/>
    <w:rsid w:val="00F364D9"/>
    <w:rsid w:val="00F3687E"/>
    <w:rsid w:val="00F411DD"/>
    <w:rsid w:val="00F44C01"/>
    <w:rsid w:val="00F46C9A"/>
    <w:rsid w:val="00F47D00"/>
    <w:rsid w:val="00F50409"/>
    <w:rsid w:val="00F52363"/>
    <w:rsid w:val="00F529C7"/>
    <w:rsid w:val="00F55418"/>
    <w:rsid w:val="00F61640"/>
    <w:rsid w:val="00F61FA1"/>
    <w:rsid w:val="00F62F0C"/>
    <w:rsid w:val="00F63B60"/>
    <w:rsid w:val="00F657E3"/>
    <w:rsid w:val="00F7175F"/>
    <w:rsid w:val="00F728BC"/>
    <w:rsid w:val="00F7458F"/>
    <w:rsid w:val="00F759D5"/>
    <w:rsid w:val="00F7775A"/>
    <w:rsid w:val="00F802EC"/>
    <w:rsid w:val="00F814AD"/>
    <w:rsid w:val="00F81659"/>
    <w:rsid w:val="00F81FE2"/>
    <w:rsid w:val="00F874E3"/>
    <w:rsid w:val="00F91493"/>
    <w:rsid w:val="00F92374"/>
    <w:rsid w:val="00F961CD"/>
    <w:rsid w:val="00FA075E"/>
    <w:rsid w:val="00FA1658"/>
    <w:rsid w:val="00FA4BD8"/>
    <w:rsid w:val="00FA4D91"/>
    <w:rsid w:val="00FA7F6F"/>
    <w:rsid w:val="00FB035E"/>
    <w:rsid w:val="00FB5857"/>
    <w:rsid w:val="00FB6105"/>
    <w:rsid w:val="00FB7C91"/>
    <w:rsid w:val="00FC413F"/>
    <w:rsid w:val="00FD1A06"/>
    <w:rsid w:val="00FD290E"/>
    <w:rsid w:val="00FD3DAB"/>
    <w:rsid w:val="00FD5FDF"/>
    <w:rsid w:val="00FD70C5"/>
    <w:rsid w:val="00FE0269"/>
    <w:rsid w:val="00FE5400"/>
    <w:rsid w:val="00FE7549"/>
    <w:rsid w:val="00FF20F9"/>
    <w:rsid w:val="00FF2965"/>
    <w:rsid w:val="00FF5FDD"/>
    <w:rsid w:val="00FF6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4102772"/>
  <w15:chartTrackingRefBased/>
  <w15:docId w15:val="{DFD60D3C-F85F-4BA6-97BE-0544C72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94"/>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ED5AFA"/>
    <w:pPr>
      <w:keepNext/>
      <w:spacing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ED5AFA"/>
    <w:pPr>
      <w:keepNext/>
      <w:spacing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ED5AFA"/>
    <w:pPr>
      <w:keepNext/>
      <w:spacing w:after="120"/>
      <w:outlineLvl w:val="3"/>
    </w:pPr>
    <w:rPr>
      <w:rFonts w:ascii="Segoe UI Semibold" w:eastAsia="MingLiU" w:hAnsi="Segoe UI Semibold" w:cs="Segoe UI Semibold"/>
      <w:color w:val="4C5564"/>
      <w:sz w:val="24"/>
      <w:szCs w:val="26"/>
    </w:rPr>
  </w:style>
  <w:style w:type="paragraph" w:styleId="Heading5">
    <w:name w:val="heading 5"/>
    <w:basedOn w:val="Normal"/>
    <w:next w:val="Normal"/>
    <w:link w:val="Heading5Char"/>
    <w:uiPriority w:val="9"/>
    <w:unhideWhenUsed/>
    <w:qFormat/>
    <w:rsid w:val="00CD2ADD"/>
    <w:pPr>
      <w:keepNext/>
      <w:spacing w:before="120" w:after="120"/>
      <w:outlineLvl w:val="4"/>
    </w:pPr>
    <w:rPr>
      <w:rFonts w:ascii="Segoe UI Semibold" w:eastAsia="MingLiU" w:hAnsi="Segoe UI Semibold" w:cs="Segoe UI Semibold"/>
      <w:color w:val="4C5564"/>
      <w:sz w:val="20"/>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ind w:left="1134"/>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ED5AFA"/>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ED5AFA"/>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ED5AFA"/>
    <w:rPr>
      <w:rFonts w:ascii="Segoe UI Semibold" w:eastAsia="MingLiU" w:hAnsi="Segoe UI Semibold" w:cs="Segoe UI Semibold"/>
      <w:color w:val="4C5564"/>
      <w:sz w:val="24"/>
      <w:szCs w:val="26"/>
    </w:rPr>
  </w:style>
  <w:style w:type="character" w:customStyle="1" w:styleId="Heading5Char">
    <w:name w:val="Heading 5 Char"/>
    <w:basedOn w:val="DefaultParagraphFont"/>
    <w:link w:val="Heading5"/>
    <w:uiPriority w:val="9"/>
    <w:rsid w:val="00CD2ADD"/>
    <w:rPr>
      <w:rFonts w:ascii="Segoe UI Semibold" w:eastAsia="MingLiU" w:hAnsi="Segoe UI Semibold" w:cs="Segoe UI Semibold"/>
      <w:color w:val="4C5564"/>
      <w:sz w:val="20"/>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9F4E43"/>
    <w:pPr>
      <w:numPr>
        <w:numId w:val="48"/>
      </w:numPr>
      <w:ind w:left="567" w:hanging="567"/>
    </w:pPr>
    <w:rPr>
      <w:lang w:eastAsia="zh-TW"/>
    </w:rPr>
  </w:style>
  <w:style w:type="paragraph" w:styleId="ListParagraph">
    <w:name w:val="List Paragraph"/>
    <w:basedOn w:val="Normal"/>
    <w:uiPriority w:val="34"/>
    <w:qFormat/>
    <w:rsid w:val="00D242A8"/>
    <w:p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E80469"/>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6C6C4A"/>
    <w:pPr>
      <w:tabs>
        <w:tab w:val="left" w:pos="567"/>
        <w:tab w:val="right" w:leader="dot" w:pos="9072"/>
      </w:tabs>
      <w:spacing w:after="0"/>
      <w:ind w:left="1134" w:right="567" w:hanging="567"/>
    </w:pPr>
    <w:rPr>
      <w:sz w:val="20"/>
    </w:rPr>
  </w:style>
  <w:style w:type="paragraph" w:styleId="TOC3">
    <w:name w:val="toc 3"/>
    <w:basedOn w:val="Normal"/>
    <w:next w:val="Normal"/>
    <w:autoRedefine/>
    <w:uiPriority w:val="39"/>
    <w:unhideWhenUsed/>
    <w:rsid w:val="00E80469"/>
    <w:pPr>
      <w:tabs>
        <w:tab w:val="right" w:leader="dot" w:pos="9072"/>
      </w:tabs>
      <w:spacing w:after="0"/>
      <w:ind w:left="1701" w:right="567" w:hanging="567"/>
    </w:pPr>
    <w:rPr>
      <w:noProof/>
      <w:sz w:val="20"/>
    </w:rPr>
  </w:style>
  <w:style w:type="paragraph" w:customStyle="1" w:styleId="Normaldisclaimerpage">
    <w:name w:val="Normal—disclaimer page"/>
    <w:basedOn w:val="Normal"/>
    <w:qFormat/>
    <w:rsid w:val="002F1A23"/>
    <w:pPr>
      <w:spacing w:after="120"/>
    </w:pPr>
    <w:rPr>
      <w:sz w:val="20"/>
      <w:szCs w:val="20"/>
    </w:rPr>
  </w:style>
  <w:style w:type="character" w:styleId="CommentReference">
    <w:name w:val="annotation reference"/>
    <w:basedOn w:val="DefaultParagraphFont"/>
    <w:uiPriority w:val="99"/>
    <w:semiHidden/>
    <w:unhideWhenUsed/>
    <w:rsid w:val="004754CB"/>
    <w:rPr>
      <w:sz w:val="16"/>
      <w:szCs w:val="16"/>
    </w:rPr>
  </w:style>
  <w:style w:type="paragraph" w:styleId="CommentText">
    <w:name w:val="annotation text"/>
    <w:basedOn w:val="Normal"/>
    <w:link w:val="CommentTextChar"/>
    <w:uiPriority w:val="99"/>
    <w:semiHidden/>
    <w:unhideWhenUsed/>
    <w:rsid w:val="004754CB"/>
    <w:rPr>
      <w:sz w:val="20"/>
      <w:szCs w:val="20"/>
    </w:rPr>
  </w:style>
  <w:style w:type="character" w:customStyle="1" w:styleId="CommentTextChar">
    <w:name w:val="Comment Text Char"/>
    <w:basedOn w:val="DefaultParagraphFont"/>
    <w:link w:val="CommentText"/>
    <w:uiPriority w:val="99"/>
    <w:semiHidden/>
    <w:rsid w:val="004754CB"/>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754CB"/>
    <w:rPr>
      <w:b/>
      <w:bCs/>
    </w:rPr>
  </w:style>
  <w:style w:type="character" w:customStyle="1" w:styleId="CommentSubjectChar">
    <w:name w:val="Comment Subject Char"/>
    <w:basedOn w:val="CommentTextChar"/>
    <w:link w:val="CommentSubject"/>
    <w:uiPriority w:val="99"/>
    <w:semiHidden/>
    <w:rsid w:val="004754CB"/>
    <w:rPr>
      <w:rFonts w:ascii="Segoe UI" w:hAnsi="Segoe UI"/>
      <w:b/>
      <w:bCs/>
      <w:sz w:val="20"/>
      <w:szCs w:val="20"/>
    </w:rPr>
  </w:style>
  <w:style w:type="paragraph" w:styleId="BalloonText">
    <w:name w:val="Balloon Text"/>
    <w:basedOn w:val="Normal"/>
    <w:link w:val="BalloonTextChar"/>
    <w:uiPriority w:val="99"/>
    <w:semiHidden/>
    <w:unhideWhenUsed/>
    <w:rsid w:val="004754CB"/>
    <w:pPr>
      <w:spacing w:after="0"/>
    </w:pPr>
    <w:rPr>
      <w:rFonts w:cs="Segoe UI"/>
      <w:sz w:val="18"/>
      <w:szCs w:val="18"/>
    </w:rPr>
  </w:style>
  <w:style w:type="character" w:customStyle="1" w:styleId="BalloonTextChar">
    <w:name w:val="Balloon Text Char"/>
    <w:basedOn w:val="DefaultParagraphFont"/>
    <w:link w:val="BalloonText"/>
    <w:uiPriority w:val="99"/>
    <w:semiHidden/>
    <w:rsid w:val="004754CB"/>
    <w:rPr>
      <w:rFonts w:ascii="Segoe UI" w:hAnsi="Segoe UI" w:cs="Segoe UI"/>
      <w:sz w:val="18"/>
      <w:szCs w:val="18"/>
    </w:rPr>
  </w:style>
  <w:style w:type="table" w:styleId="TableGrid">
    <w:name w:val="Table Grid"/>
    <w:basedOn w:val="TableNormal"/>
    <w:uiPriority w:val="39"/>
    <w:rsid w:val="0067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02C3"/>
    <w:pPr>
      <w:spacing w:after="0" w:line="240" w:lineRule="auto"/>
    </w:pPr>
    <w:rPr>
      <w:rFonts w:ascii="Segoe UI" w:hAnsi="Segoe UI"/>
      <w:sz w:val="21"/>
    </w:rPr>
  </w:style>
  <w:style w:type="paragraph" w:styleId="NormalWeb">
    <w:name w:val="Normal (Web)"/>
    <w:basedOn w:val="Normal"/>
    <w:uiPriority w:val="99"/>
    <w:semiHidden/>
    <w:unhideWhenUsed/>
    <w:rsid w:val="00364B75"/>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B7FE7"/>
    <w:rPr>
      <w:color w:val="954F72" w:themeColor="followedHyperlink"/>
      <w:u w:val="single"/>
    </w:rPr>
  </w:style>
  <w:style w:type="character" w:styleId="Strong">
    <w:name w:val="Strong"/>
    <w:basedOn w:val="DefaultParagraphFont"/>
    <w:uiPriority w:val="22"/>
    <w:qFormat/>
    <w:rsid w:val="00962B12"/>
    <w:rPr>
      <w:b/>
      <w:bCs/>
    </w:rPr>
  </w:style>
  <w:style w:type="table" w:customStyle="1" w:styleId="DefaultTable1">
    <w:name w:val="Default Table 1"/>
    <w:basedOn w:val="TableNormal"/>
    <w:uiPriority w:val="99"/>
    <w:rsid w:val="00870794"/>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centred0">
    <w:name w:val="Table text—centred"/>
    <w:basedOn w:val="Tabletext"/>
    <w:next w:val="NoSpacing"/>
    <w:rsid w:val="00870794"/>
    <w:pPr>
      <w:spacing w:before="60" w:after="60"/>
      <w:jc w:val="center"/>
    </w:pPr>
    <w:rPr>
      <w:rFonts w:ascii="Calibri" w:hAnsi="Calibri"/>
    </w:rPr>
  </w:style>
  <w:style w:type="paragraph" w:customStyle="1" w:styleId="Tablerowcolumnheadingcentred0">
    <w:name w:val="Table row/column heading—centred"/>
    <w:basedOn w:val="Tablerowcolumnheading"/>
    <w:next w:val="Normal"/>
    <w:rsid w:val="00870794"/>
    <w:pPr>
      <w:spacing w:before="60" w:after="60"/>
      <w:jc w:val="center"/>
    </w:pPr>
    <w:rPr>
      <w:rFonts w:ascii="Calibri" w:eastAsiaTheme="minorHAnsi" w:hAnsi="Calibri" w:cstheme="minorBidi"/>
      <w:bCs w:val="0"/>
      <w:color w:val="auto"/>
      <w:sz w:val="22"/>
    </w:rPr>
  </w:style>
  <w:style w:type="paragraph" w:customStyle="1" w:styleId="Tabletextbullets">
    <w:name w:val="Table text—bullets"/>
    <w:basedOn w:val="Listparagraphbullets"/>
    <w:qFormat/>
    <w:rsid w:val="00870794"/>
    <w:pPr>
      <w:spacing w:before="60" w:after="60"/>
      <w:ind w:left="284" w:hanging="284"/>
    </w:pPr>
    <w:rPr>
      <w:rFonts w:ascii="Calibri" w:hAnsi="Calibri"/>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7653">
      <w:bodyDiv w:val="1"/>
      <w:marLeft w:val="0"/>
      <w:marRight w:val="0"/>
      <w:marTop w:val="0"/>
      <w:marBottom w:val="0"/>
      <w:divBdr>
        <w:top w:val="none" w:sz="0" w:space="0" w:color="auto"/>
        <w:left w:val="none" w:sz="0" w:space="0" w:color="auto"/>
        <w:bottom w:val="none" w:sz="0" w:space="0" w:color="auto"/>
        <w:right w:val="none" w:sz="0" w:space="0" w:color="auto"/>
      </w:divBdr>
      <w:divsChild>
        <w:div w:id="1546605100">
          <w:marLeft w:val="360"/>
          <w:marRight w:val="0"/>
          <w:marTop w:val="200"/>
          <w:marBottom w:val="0"/>
          <w:divBdr>
            <w:top w:val="none" w:sz="0" w:space="0" w:color="auto"/>
            <w:left w:val="none" w:sz="0" w:space="0" w:color="auto"/>
            <w:bottom w:val="none" w:sz="0" w:space="0" w:color="auto"/>
            <w:right w:val="none" w:sz="0" w:space="0" w:color="auto"/>
          </w:divBdr>
        </w:div>
      </w:divsChild>
    </w:div>
    <w:div w:id="104272781">
      <w:bodyDiv w:val="1"/>
      <w:marLeft w:val="0"/>
      <w:marRight w:val="0"/>
      <w:marTop w:val="0"/>
      <w:marBottom w:val="0"/>
      <w:divBdr>
        <w:top w:val="none" w:sz="0" w:space="0" w:color="auto"/>
        <w:left w:val="none" w:sz="0" w:space="0" w:color="auto"/>
        <w:bottom w:val="none" w:sz="0" w:space="0" w:color="auto"/>
        <w:right w:val="none" w:sz="0" w:space="0" w:color="auto"/>
      </w:divBdr>
      <w:divsChild>
        <w:div w:id="257639762">
          <w:marLeft w:val="547"/>
          <w:marRight w:val="0"/>
          <w:marTop w:val="0"/>
          <w:marBottom w:val="0"/>
          <w:divBdr>
            <w:top w:val="none" w:sz="0" w:space="0" w:color="auto"/>
            <w:left w:val="none" w:sz="0" w:space="0" w:color="auto"/>
            <w:bottom w:val="none" w:sz="0" w:space="0" w:color="auto"/>
            <w:right w:val="none" w:sz="0" w:space="0" w:color="auto"/>
          </w:divBdr>
        </w:div>
      </w:divsChild>
    </w:div>
    <w:div w:id="167671846">
      <w:bodyDiv w:val="1"/>
      <w:marLeft w:val="0"/>
      <w:marRight w:val="0"/>
      <w:marTop w:val="0"/>
      <w:marBottom w:val="0"/>
      <w:divBdr>
        <w:top w:val="none" w:sz="0" w:space="0" w:color="auto"/>
        <w:left w:val="none" w:sz="0" w:space="0" w:color="auto"/>
        <w:bottom w:val="none" w:sz="0" w:space="0" w:color="auto"/>
        <w:right w:val="none" w:sz="0" w:space="0" w:color="auto"/>
      </w:divBdr>
      <w:divsChild>
        <w:div w:id="455679685">
          <w:marLeft w:val="1080"/>
          <w:marRight w:val="0"/>
          <w:marTop w:val="100"/>
          <w:marBottom w:val="0"/>
          <w:divBdr>
            <w:top w:val="none" w:sz="0" w:space="0" w:color="auto"/>
            <w:left w:val="none" w:sz="0" w:space="0" w:color="auto"/>
            <w:bottom w:val="none" w:sz="0" w:space="0" w:color="auto"/>
            <w:right w:val="none" w:sz="0" w:space="0" w:color="auto"/>
          </w:divBdr>
        </w:div>
      </w:divsChild>
    </w:div>
    <w:div w:id="169175250">
      <w:bodyDiv w:val="1"/>
      <w:marLeft w:val="0"/>
      <w:marRight w:val="0"/>
      <w:marTop w:val="0"/>
      <w:marBottom w:val="0"/>
      <w:divBdr>
        <w:top w:val="none" w:sz="0" w:space="0" w:color="auto"/>
        <w:left w:val="none" w:sz="0" w:space="0" w:color="auto"/>
        <w:bottom w:val="none" w:sz="0" w:space="0" w:color="auto"/>
        <w:right w:val="none" w:sz="0" w:space="0" w:color="auto"/>
      </w:divBdr>
      <w:divsChild>
        <w:div w:id="505941100">
          <w:marLeft w:val="1080"/>
          <w:marRight w:val="0"/>
          <w:marTop w:val="100"/>
          <w:marBottom w:val="0"/>
          <w:divBdr>
            <w:top w:val="none" w:sz="0" w:space="0" w:color="auto"/>
            <w:left w:val="none" w:sz="0" w:space="0" w:color="auto"/>
            <w:bottom w:val="none" w:sz="0" w:space="0" w:color="auto"/>
            <w:right w:val="none" w:sz="0" w:space="0" w:color="auto"/>
          </w:divBdr>
        </w:div>
        <w:div w:id="901982835">
          <w:marLeft w:val="1080"/>
          <w:marRight w:val="0"/>
          <w:marTop w:val="100"/>
          <w:marBottom w:val="0"/>
          <w:divBdr>
            <w:top w:val="none" w:sz="0" w:space="0" w:color="auto"/>
            <w:left w:val="none" w:sz="0" w:space="0" w:color="auto"/>
            <w:bottom w:val="none" w:sz="0" w:space="0" w:color="auto"/>
            <w:right w:val="none" w:sz="0" w:space="0" w:color="auto"/>
          </w:divBdr>
        </w:div>
      </w:divsChild>
    </w:div>
    <w:div w:id="181552881">
      <w:bodyDiv w:val="1"/>
      <w:marLeft w:val="0"/>
      <w:marRight w:val="0"/>
      <w:marTop w:val="0"/>
      <w:marBottom w:val="0"/>
      <w:divBdr>
        <w:top w:val="none" w:sz="0" w:space="0" w:color="auto"/>
        <w:left w:val="none" w:sz="0" w:space="0" w:color="auto"/>
        <w:bottom w:val="none" w:sz="0" w:space="0" w:color="auto"/>
        <w:right w:val="none" w:sz="0" w:space="0" w:color="auto"/>
      </w:divBdr>
      <w:divsChild>
        <w:div w:id="999649865">
          <w:marLeft w:val="1080"/>
          <w:marRight w:val="0"/>
          <w:marTop w:val="100"/>
          <w:marBottom w:val="0"/>
          <w:divBdr>
            <w:top w:val="none" w:sz="0" w:space="0" w:color="auto"/>
            <w:left w:val="none" w:sz="0" w:space="0" w:color="auto"/>
            <w:bottom w:val="none" w:sz="0" w:space="0" w:color="auto"/>
            <w:right w:val="none" w:sz="0" w:space="0" w:color="auto"/>
          </w:divBdr>
        </w:div>
      </w:divsChild>
    </w:div>
    <w:div w:id="456408720">
      <w:bodyDiv w:val="1"/>
      <w:marLeft w:val="0"/>
      <w:marRight w:val="0"/>
      <w:marTop w:val="0"/>
      <w:marBottom w:val="0"/>
      <w:divBdr>
        <w:top w:val="none" w:sz="0" w:space="0" w:color="auto"/>
        <w:left w:val="none" w:sz="0" w:space="0" w:color="auto"/>
        <w:bottom w:val="none" w:sz="0" w:space="0" w:color="auto"/>
        <w:right w:val="none" w:sz="0" w:space="0" w:color="auto"/>
      </w:divBdr>
      <w:divsChild>
        <w:div w:id="880173597">
          <w:marLeft w:val="360"/>
          <w:marRight w:val="0"/>
          <w:marTop w:val="200"/>
          <w:marBottom w:val="0"/>
          <w:divBdr>
            <w:top w:val="none" w:sz="0" w:space="0" w:color="auto"/>
            <w:left w:val="none" w:sz="0" w:space="0" w:color="auto"/>
            <w:bottom w:val="none" w:sz="0" w:space="0" w:color="auto"/>
            <w:right w:val="none" w:sz="0" w:space="0" w:color="auto"/>
          </w:divBdr>
        </w:div>
      </w:divsChild>
    </w:div>
    <w:div w:id="497770585">
      <w:bodyDiv w:val="1"/>
      <w:marLeft w:val="0"/>
      <w:marRight w:val="0"/>
      <w:marTop w:val="0"/>
      <w:marBottom w:val="0"/>
      <w:divBdr>
        <w:top w:val="none" w:sz="0" w:space="0" w:color="auto"/>
        <w:left w:val="none" w:sz="0" w:space="0" w:color="auto"/>
        <w:bottom w:val="none" w:sz="0" w:space="0" w:color="auto"/>
        <w:right w:val="none" w:sz="0" w:space="0" w:color="auto"/>
      </w:divBdr>
      <w:divsChild>
        <w:div w:id="327289050">
          <w:marLeft w:val="1080"/>
          <w:marRight w:val="0"/>
          <w:marTop w:val="100"/>
          <w:marBottom w:val="0"/>
          <w:divBdr>
            <w:top w:val="none" w:sz="0" w:space="0" w:color="auto"/>
            <w:left w:val="none" w:sz="0" w:space="0" w:color="auto"/>
            <w:bottom w:val="none" w:sz="0" w:space="0" w:color="auto"/>
            <w:right w:val="none" w:sz="0" w:space="0" w:color="auto"/>
          </w:divBdr>
        </w:div>
      </w:divsChild>
    </w:div>
    <w:div w:id="534806280">
      <w:bodyDiv w:val="1"/>
      <w:marLeft w:val="0"/>
      <w:marRight w:val="0"/>
      <w:marTop w:val="0"/>
      <w:marBottom w:val="0"/>
      <w:divBdr>
        <w:top w:val="none" w:sz="0" w:space="0" w:color="auto"/>
        <w:left w:val="none" w:sz="0" w:space="0" w:color="auto"/>
        <w:bottom w:val="none" w:sz="0" w:space="0" w:color="auto"/>
        <w:right w:val="none" w:sz="0" w:space="0" w:color="auto"/>
      </w:divBdr>
      <w:divsChild>
        <w:div w:id="1445886548">
          <w:marLeft w:val="360"/>
          <w:marRight w:val="0"/>
          <w:marTop w:val="200"/>
          <w:marBottom w:val="0"/>
          <w:divBdr>
            <w:top w:val="none" w:sz="0" w:space="0" w:color="auto"/>
            <w:left w:val="none" w:sz="0" w:space="0" w:color="auto"/>
            <w:bottom w:val="none" w:sz="0" w:space="0" w:color="auto"/>
            <w:right w:val="none" w:sz="0" w:space="0" w:color="auto"/>
          </w:divBdr>
        </w:div>
      </w:divsChild>
    </w:div>
    <w:div w:id="714433122">
      <w:bodyDiv w:val="1"/>
      <w:marLeft w:val="0"/>
      <w:marRight w:val="0"/>
      <w:marTop w:val="0"/>
      <w:marBottom w:val="0"/>
      <w:divBdr>
        <w:top w:val="none" w:sz="0" w:space="0" w:color="auto"/>
        <w:left w:val="none" w:sz="0" w:space="0" w:color="auto"/>
        <w:bottom w:val="none" w:sz="0" w:space="0" w:color="auto"/>
        <w:right w:val="none" w:sz="0" w:space="0" w:color="auto"/>
      </w:divBdr>
    </w:div>
    <w:div w:id="742609772">
      <w:bodyDiv w:val="1"/>
      <w:marLeft w:val="0"/>
      <w:marRight w:val="0"/>
      <w:marTop w:val="0"/>
      <w:marBottom w:val="0"/>
      <w:divBdr>
        <w:top w:val="none" w:sz="0" w:space="0" w:color="auto"/>
        <w:left w:val="none" w:sz="0" w:space="0" w:color="auto"/>
        <w:bottom w:val="none" w:sz="0" w:space="0" w:color="auto"/>
        <w:right w:val="none" w:sz="0" w:space="0" w:color="auto"/>
      </w:divBdr>
      <w:divsChild>
        <w:div w:id="1062829539">
          <w:marLeft w:val="547"/>
          <w:marRight w:val="0"/>
          <w:marTop w:val="0"/>
          <w:marBottom w:val="0"/>
          <w:divBdr>
            <w:top w:val="none" w:sz="0" w:space="0" w:color="auto"/>
            <w:left w:val="none" w:sz="0" w:space="0" w:color="auto"/>
            <w:bottom w:val="none" w:sz="0" w:space="0" w:color="auto"/>
            <w:right w:val="none" w:sz="0" w:space="0" w:color="auto"/>
          </w:divBdr>
        </w:div>
      </w:divsChild>
    </w:div>
    <w:div w:id="750850489">
      <w:bodyDiv w:val="1"/>
      <w:marLeft w:val="0"/>
      <w:marRight w:val="0"/>
      <w:marTop w:val="0"/>
      <w:marBottom w:val="0"/>
      <w:divBdr>
        <w:top w:val="none" w:sz="0" w:space="0" w:color="auto"/>
        <w:left w:val="none" w:sz="0" w:space="0" w:color="auto"/>
        <w:bottom w:val="none" w:sz="0" w:space="0" w:color="auto"/>
        <w:right w:val="none" w:sz="0" w:space="0" w:color="auto"/>
      </w:divBdr>
      <w:divsChild>
        <w:div w:id="2124298468">
          <w:marLeft w:val="360"/>
          <w:marRight w:val="0"/>
          <w:marTop w:val="200"/>
          <w:marBottom w:val="0"/>
          <w:divBdr>
            <w:top w:val="none" w:sz="0" w:space="0" w:color="auto"/>
            <w:left w:val="none" w:sz="0" w:space="0" w:color="auto"/>
            <w:bottom w:val="none" w:sz="0" w:space="0" w:color="auto"/>
            <w:right w:val="none" w:sz="0" w:space="0" w:color="auto"/>
          </w:divBdr>
        </w:div>
      </w:divsChild>
    </w:div>
    <w:div w:id="805438769">
      <w:bodyDiv w:val="1"/>
      <w:marLeft w:val="0"/>
      <w:marRight w:val="0"/>
      <w:marTop w:val="0"/>
      <w:marBottom w:val="0"/>
      <w:divBdr>
        <w:top w:val="none" w:sz="0" w:space="0" w:color="auto"/>
        <w:left w:val="none" w:sz="0" w:space="0" w:color="auto"/>
        <w:bottom w:val="none" w:sz="0" w:space="0" w:color="auto"/>
        <w:right w:val="none" w:sz="0" w:space="0" w:color="auto"/>
      </w:divBdr>
      <w:divsChild>
        <w:div w:id="1671447788">
          <w:marLeft w:val="360"/>
          <w:marRight w:val="0"/>
          <w:marTop w:val="200"/>
          <w:marBottom w:val="0"/>
          <w:divBdr>
            <w:top w:val="none" w:sz="0" w:space="0" w:color="auto"/>
            <w:left w:val="none" w:sz="0" w:space="0" w:color="auto"/>
            <w:bottom w:val="none" w:sz="0" w:space="0" w:color="auto"/>
            <w:right w:val="none" w:sz="0" w:space="0" w:color="auto"/>
          </w:divBdr>
        </w:div>
      </w:divsChild>
    </w:div>
    <w:div w:id="952441821">
      <w:bodyDiv w:val="1"/>
      <w:marLeft w:val="0"/>
      <w:marRight w:val="0"/>
      <w:marTop w:val="0"/>
      <w:marBottom w:val="0"/>
      <w:divBdr>
        <w:top w:val="none" w:sz="0" w:space="0" w:color="auto"/>
        <w:left w:val="none" w:sz="0" w:space="0" w:color="auto"/>
        <w:bottom w:val="none" w:sz="0" w:space="0" w:color="auto"/>
        <w:right w:val="none" w:sz="0" w:space="0" w:color="auto"/>
      </w:divBdr>
      <w:divsChild>
        <w:div w:id="872038850">
          <w:marLeft w:val="360"/>
          <w:marRight w:val="0"/>
          <w:marTop w:val="200"/>
          <w:marBottom w:val="0"/>
          <w:divBdr>
            <w:top w:val="none" w:sz="0" w:space="0" w:color="auto"/>
            <w:left w:val="none" w:sz="0" w:space="0" w:color="auto"/>
            <w:bottom w:val="none" w:sz="0" w:space="0" w:color="auto"/>
            <w:right w:val="none" w:sz="0" w:space="0" w:color="auto"/>
          </w:divBdr>
        </w:div>
        <w:div w:id="1919436468">
          <w:marLeft w:val="360"/>
          <w:marRight w:val="0"/>
          <w:marTop w:val="200"/>
          <w:marBottom w:val="0"/>
          <w:divBdr>
            <w:top w:val="none" w:sz="0" w:space="0" w:color="auto"/>
            <w:left w:val="none" w:sz="0" w:space="0" w:color="auto"/>
            <w:bottom w:val="none" w:sz="0" w:space="0" w:color="auto"/>
            <w:right w:val="none" w:sz="0" w:space="0" w:color="auto"/>
          </w:divBdr>
        </w:div>
      </w:divsChild>
    </w:div>
    <w:div w:id="1357581260">
      <w:bodyDiv w:val="1"/>
      <w:marLeft w:val="0"/>
      <w:marRight w:val="0"/>
      <w:marTop w:val="0"/>
      <w:marBottom w:val="0"/>
      <w:divBdr>
        <w:top w:val="none" w:sz="0" w:space="0" w:color="auto"/>
        <w:left w:val="none" w:sz="0" w:space="0" w:color="auto"/>
        <w:bottom w:val="none" w:sz="0" w:space="0" w:color="auto"/>
        <w:right w:val="none" w:sz="0" w:space="0" w:color="auto"/>
      </w:divBdr>
      <w:divsChild>
        <w:div w:id="1634870940">
          <w:marLeft w:val="547"/>
          <w:marRight w:val="0"/>
          <w:marTop w:val="0"/>
          <w:marBottom w:val="0"/>
          <w:divBdr>
            <w:top w:val="none" w:sz="0" w:space="0" w:color="auto"/>
            <w:left w:val="none" w:sz="0" w:space="0" w:color="auto"/>
            <w:bottom w:val="none" w:sz="0" w:space="0" w:color="auto"/>
            <w:right w:val="none" w:sz="0" w:space="0" w:color="auto"/>
          </w:divBdr>
        </w:div>
      </w:divsChild>
    </w:div>
    <w:div w:id="1700012285">
      <w:bodyDiv w:val="1"/>
      <w:marLeft w:val="0"/>
      <w:marRight w:val="0"/>
      <w:marTop w:val="0"/>
      <w:marBottom w:val="0"/>
      <w:divBdr>
        <w:top w:val="none" w:sz="0" w:space="0" w:color="auto"/>
        <w:left w:val="none" w:sz="0" w:space="0" w:color="auto"/>
        <w:bottom w:val="none" w:sz="0" w:space="0" w:color="auto"/>
        <w:right w:val="none" w:sz="0" w:space="0" w:color="auto"/>
      </w:divBdr>
    </w:div>
    <w:div w:id="1767268522">
      <w:bodyDiv w:val="1"/>
      <w:marLeft w:val="0"/>
      <w:marRight w:val="0"/>
      <w:marTop w:val="0"/>
      <w:marBottom w:val="0"/>
      <w:divBdr>
        <w:top w:val="none" w:sz="0" w:space="0" w:color="auto"/>
        <w:left w:val="none" w:sz="0" w:space="0" w:color="auto"/>
        <w:bottom w:val="none" w:sz="0" w:space="0" w:color="auto"/>
        <w:right w:val="none" w:sz="0" w:space="0" w:color="auto"/>
      </w:divBdr>
      <w:divsChild>
        <w:div w:id="1156144187">
          <w:marLeft w:val="360"/>
          <w:marRight w:val="0"/>
          <w:marTop w:val="200"/>
          <w:marBottom w:val="0"/>
          <w:divBdr>
            <w:top w:val="none" w:sz="0" w:space="0" w:color="auto"/>
            <w:left w:val="none" w:sz="0" w:space="0" w:color="auto"/>
            <w:bottom w:val="none" w:sz="0" w:space="0" w:color="auto"/>
            <w:right w:val="none" w:sz="0" w:space="0" w:color="auto"/>
          </w:divBdr>
        </w:div>
      </w:divsChild>
    </w:div>
    <w:div w:id="1812793295">
      <w:bodyDiv w:val="1"/>
      <w:marLeft w:val="0"/>
      <w:marRight w:val="0"/>
      <w:marTop w:val="0"/>
      <w:marBottom w:val="0"/>
      <w:divBdr>
        <w:top w:val="none" w:sz="0" w:space="0" w:color="auto"/>
        <w:left w:val="none" w:sz="0" w:space="0" w:color="auto"/>
        <w:bottom w:val="none" w:sz="0" w:space="0" w:color="auto"/>
        <w:right w:val="none" w:sz="0" w:space="0" w:color="auto"/>
      </w:divBdr>
      <w:divsChild>
        <w:div w:id="1691446816">
          <w:marLeft w:val="360"/>
          <w:marRight w:val="0"/>
          <w:marTop w:val="200"/>
          <w:marBottom w:val="0"/>
          <w:divBdr>
            <w:top w:val="none" w:sz="0" w:space="0" w:color="auto"/>
            <w:left w:val="none" w:sz="0" w:space="0" w:color="auto"/>
            <w:bottom w:val="none" w:sz="0" w:space="0" w:color="auto"/>
            <w:right w:val="none" w:sz="0" w:space="0" w:color="auto"/>
          </w:divBdr>
        </w:div>
      </w:divsChild>
    </w:div>
    <w:div w:id="1819879150">
      <w:bodyDiv w:val="1"/>
      <w:marLeft w:val="0"/>
      <w:marRight w:val="0"/>
      <w:marTop w:val="0"/>
      <w:marBottom w:val="0"/>
      <w:divBdr>
        <w:top w:val="none" w:sz="0" w:space="0" w:color="auto"/>
        <w:left w:val="none" w:sz="0" w:space="0" w:color="auto"/>
        <w:bottom w:val="none" w:sz="0" w:space="0" w:color="auto"/>
        <w:right w:val="none" w:sz="0" w:space="0" w:color="auto"/>
      </w:divBdr>
      <w:divsChild>
        <w:div w:id="1752658134">
          <w:marLeft w:val="360"/>
          <w:marRight w:val="0"/>
          <w:marTop w:val="200"/>
          <w:marBottom w:val="0"/>
          <w:divBdr>
            <w:top w:val="none" w:sz="0" w:space="0" w:color="auto"/>
            <w:left w:val="none" w:sz="0" w:space="0" w:color="auto"/>
            <w:bottom w:val="none" w:sz="0" w:space="0" w:color="auto"/>
            <w:right w:val="none" w:sz="0" w:space="0" w:color="auto"/>
          </w:divBdr>
        </w:div>
      </w:divsChild>
    </w:div>
    <w:div w:id="1873885551">
      <w:bodyDiv w:val="1"/>
      <w:marLeft w:val="0"/>
      <w:marRight w:val="0"/>
      <w:marTop w:val="0"/>
      <w:marBottom w:val="0"/>
      <w:divBdr>
        <w:top w:val="none" w:sz="0" w:space="0" w:color="auto"/>
        <w:left w:val="none" w:sz="0" w:space="0" w:color="auto"/>
        <w:bottom w:val="none" w:sz="0" w:space="0" w:color="auto"/>
        <w:right w:val="none" w:sz="0" w:space="0" w:color="auto"/>
      </w:divBdr>
      <w:divsChild>
        <w:div w:id="477959582">
          <w:marLeft w:val="547"/>
          <w:marRight w:val="0"/>
          <w:marTop w:val="0"/>
          <w:marBottom w:val="0"/>
          <w:divBdr>
            <w:top w:val="none" w:sz="0" w:space="0" w:color="auto"/>
            <w:left w:val="none" w:sz="0" w:space="0" w:color="auto"/>
            <w:bottom w:val="none" w:sz="0" w:space="0" w:color="auto"/>
            <w:right w:val="none" w:sz="0" w:space="0" w:color="auto"/>
          </w:divBdr>
        </w:div>
      </w:divsChild>
    </w:div>
    <w:div w:id="1880899091">
      <w:bodyDiv w:val="1"/>
      <w:marLeft w:val="0"/>
      <w:marRight w:val="0"/>
      <w:marTop w:val="0"/>
      <w:marBottom w:val="0"/>
      <w:divBdr>
        <w:top w:val="none" w:sz="0" w:space="0" w:color="auto"/>
        <w:left w:val="none" w:sz="0" w:space="0" w:color="auto"/>
        <w:bottom w:val="none" w:sz="0" w:space="0" w:color="auto"/>
        <w:right w:val="none" w:sz="0" w:space="0" w:color="auto"/>
      </w:divBdr>
      <w:divsChild>
        <w:div w:id="765687576">
          <w:marLeft w:val="360"/>
          <w:marRight w:val="0"/>
          <w:marTop w:val="200"/>
          <w:marBottom w:val="0"/>
          <w:divBdr>
            <w:top w:val="none" w:sz="0" w:space="0" w:color="auto"/>
            <w:left w:val="none" w:sz="0" w:space="0" w:color="auto"/>
            <w:bottom w:val="none" w:sz="0" w:space="0" w:color="auto"/>
            <w:right w:val="none" w:sz="0" w:space="0" w:color="auto"/>
          </w:divBdr>
        </w:div>
      </w:divsChild>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sChild>
        <w:div w:id="1991782523">
          <w:marLeft w:val="547"/>
          <w:marRight w:val="0"/>
          <w:marTop w:val="0"/>
          <w:marBottom w:val="0"/>
          <w:divBdr>
            <w:top w:val="none" w:sz="0" w:space="0" w:color="auto"/>
            <w:left w:val="none" w:sz="0" w:space="0" w:color="auto"/>
            <w:bottom w:val="none" w:sz="0" w:space="0" w:color="auto"/>
            <w:right w:val="none" w:sz="0" w:space="0" w:color="auto"/>
          </w:divBdr>
        </w:div>
      </w:divsChild>
    </w:div>
    <w:div w:id="1942832850">
      <w:bodyDiv w:val="1"/>
      <w:marLeft w:val="0"/>
      <w:marRight w:val="0"/>
      <w:marTop w:val="0"/>
      <w:marBottom w:val="0"/>
      <w:divBdr>
        <w:top w:val="none" w:sz="0" w:space="0" w:color="auto"/>
        <w:left w:val="none" w:sz="0" w:space="0" w:color="auto"/>
        <w:bottom w:val="none" w:sz="0" w:space="0" w:color="auto"/>
        <w:right w:val="none" w:sz="0" w:space="0" w:color="auto"/>
      </w:divBdr>
      <w:divsChild>
        <w:div w:id="1038356707">
          <w:marLeft w:val="360"/>
          <w:marRight w:val="0"/>
          <w:marTop w:val="200"/>
          <w:marBottom w:val="0"/>
          <w:divBdr>
            <w:top w:val="none" w:sz="0" w:space="0" w:color="auto"/>
            <w:left w:val="none" w:sz="0" w:space="0" w:color="auto"/>
            <w:bottom w:val="none" w:sz="0" w:space="0" w:color="auto"/>
            <w:right w:val="none" w:sz="0" w:space="0" w:color="auto"/>
          </w:divBdr>
        </w:div>
      </w:divsChild>
    </w:div>
    <w:div w:id="1972788946">
      <w:bodyDiv w:val="1"/>
      <w:marLeft w:val="0"/>
      <w:marRight w:val="0"/>
      <w:marTop w:val="0"/>
      <w:marBottom w:val="0"/>
      <w:divBdr>
        <w:top w:val="none" w:sz="0" w:space="0" w:color="auto"/>
        <w:left w:val="none" w:sz="0" w:space="0" w:color="auto"/>
        <w:bottom w:val="none" w:sz="0" w:space="0" w:color="auto"/>
        <w:right w:val="none" w:sz="0" w:space="0" w:color="auto"/>
      </w:divBdr>
    </w:div>
    <w:div w:id="1984044665">
      <w:bodyDiv w:val="1"/>
      <w:marLeft w:val="0"/>
      <w:marRight w:val="0"/>
      <w:marTop w:val="0"/>
      <w:marBottom w:val="0"/>
      <w:divBdr>
        <w:top w:val="none" w:sz="0" w:space="0" w:color="auto"/>
        <w:left w:val="none" w:sz="0" w:space="0" w:color="auto"/>
        <w:bottom w:val="none" w:sz="0" w:space="0" w:color="auto"/>
        <w:right w:val="none" w:sz="0" w:space="0" w:color="auto"/>
      </w:divBdr>
    </w:div>
    <w:div w:id="2034770041">
      <w:bodyDiv w:val="1"/>
      <w:marLeft w:val="0"/>
      <w:marRight w:val="0"/>
      <w:marTop w:val="0"/>
      <w:marBottom w:val="0"/>
      <w:divBdr>
        <w:top w:val="none" w:sz="0" w:space="0" w:color="auto"/>
        <w:left w:val="none" w:sz="0" w:space="0" w:color="auto"/>
        <w:bottom w:val="none" w:sz="0" w:space="0" w:color="auto"/>
        <w:right w:val="none" w:sz="0" w:space="0" w:color="auto"/>
      </w:divBdr>
      <w:divsChild>
        <w:div w:id="707797408">
          <w:marLeft w:val="547"/>
          <w:marRight w:val="0"/>
          <w:marTop w:val="0"/>
          <w:marBottom w:val="0"/>
          <w:divBdr>
            <w:top w:val="none" w:sz="0" w:space="0" w:color="auto"/>
            <w:left w:val="none" w:sz="0" w:space="0" w:color="auto"/>
            <w:bottom w:val="none" w:sz="0" w:space="0" w:color="auto"/>
            <w:right w:val="none" w:sz="0" w:space="0" w:color="auto"/>
          </w:divBdr>
        </w:div>
      </w:divsChild>
    </w:div>
    <w:div w:id="2075659341">
      <w:bodyDiv w:val="1"/>
      <w:marLeft w:val="0"/>
      <w:marRight w:val="0"/>
      <w:marTop w:val="0"/>
      <w:marBottom w:val="0"/>
      <w:divBdr>
        <w:top w:val="none" w:sz="0" w:space="0" w:color="auto"/>
        <w:left w:val="none" w:sz="0" w:space="0" w:color="auto"/>
        <w:bottom w:val="none" w:sz="0" w:space="0" w:color="auto"/>
        <w:right w:val="none" w:sz="0" w:space="0" w:color="auto"/>
      </w:divBdr>
      <w:divsChild>
        <w:div w:id="2110470852">
          <w:marLeft w:val="360"/>
          <w:marRight w:val="0"/>
          <w:marTop w:val="200"/>
          <w:marBottom w:val="0"/>
          <w:divBdr>
            <w:top w:val="none" w:sz="0" w:space="0" w:color="auto"/>
            <w:left w:val="none" w:sz="0" w:space="0" w:color="auto"/>
            <w:bottom w:val="none" w:sz="0" w:space="0" w:color="auto"/>
            <w:right w:val="none" w:sz="0" w:space="0" w:color="auto"/>
          </w:divBdr>
        </w:div>
      </w:divsChild>
    </w:div>
    <w:div w:id="2106264023">
      <w:bodyDiv w:val="1"/>
      <w:marLeft w:val="0"/>
      <w:marRight w:val="0"/>
      <w:marTop w:val="0"/>
      <w:marBottom w:val="0"/>
      <w:divBdr>
        <w:top w:val="none" w:sz="0" w:space="0" w:color="auto"/>
        <w:left w:val="none" w:sz="0" w:space="0" w:color="auto"/>
        <w:bottom w:val="none" w:sz="0" w:space="0" w:color="auto"/>
        <w:right w:val="none" w:sz="0" w:space="0" w:color="auto"/>
      </w:divBdr>
    </w:div>
    <w:div w:id="2126804449">
      <w:bodyDiv w:val="1"/>
      <w:marLeft w:val="0"/>
      <w:marRight w:val="0"/>
      <w:marTop w:val="0"/>
      <w:marBottom w:val="0"/>
      <w:divBdr>
        <w:top w:val="none" w:sz="0" w:space="0" w:color="auto"/>
        <w:left w:val="none" w:sz="0" w:space="0" w:color="auto"/>
        <w:bottom w:val="none" w:sz="0" w:space="0" w:color="auto"/>
        <w:right w:val="none" w:sz="0" w:space="0" w:color="auto"/>
      </w:divBdr>
      <w:divsChild>
        <w:div w:id="4544498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hyperlink" Target="http://www.tio.com.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House/Communications/5G/Report" TargetMode="External"/><Relationship Id="rId1" Type="http://schemas.openxmlformats.org/officeDocument/2006/relationships/hyperlink" Target="https://www.aph.gov.au/Parliamentary_Business/Committees/House/Communications/5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F75D077-D6D5-47B2-89F2-BEB7482785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1379CEC2C27649A66BB2AEE761CF74" ma:contentTypeVersion="" ma:contentTypeDescription="PDMS Document Site Content Type" ma:contentTypeScope="" ma:versionID="72414517518fc4cb7bb06903d942a1a9">
  <xsd:schema xmlns:xsd="http://www.w3.org/2001/XMLSchema" xmlns:xs="http://www.w3.org/2001/XMLSchema" xmlns:p="http://schemas.microsoft.com/office/2006/metadata/properties" xmlns:ns2="0F75D077-D6D5-47B2-89F2-BEB748278598" targetNamespace="http://schemas.microsoft.com/office/2006/metadata/properties" ma:root="true" ma:fieldsID="1dfafaac4bdd18ddc6322199ad46d2d7" ns2:_="">
    <xsd:import namespace="0F75D077-D6D5-47B2-89F2-BEB7482785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D077-D6D5-47B2-89F2-BEB7482785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17D0-B984-4AFE-BE4A-92187AA880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75D077-D6D5-47B2-89F2-BEB74827859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8257F67-93B6-4403-BF38-28B8C6721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D077-D6D5-47B2-89F2-BEB748278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2CE07-DB7B-40FB-AAB6-35313DC2E478}">
  <ds:schemaRefs>
    <ds:schemaRef ds:uri="http://schemas.microsoft.com/sharepoint/v3/contenttype/forms"/>
  </ds:schemaRefs>
</ds:datastoreItem>
</file>

<file path=customXml/itemProps4.xml><?xml version="1.0" encoding="utf-8"?>
<ds:datastoreItem xmlns:ds="http://schemas.openxmlformats.org/officeDocument/2006/customXml" ds:itemID="{8A9BAF33-E200-4AC7-AF8E-B1F836B5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6417</Words>
  <Characters>36579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Improving the telecommunications powers and immunities framework—consultation outcomes paper</vt:lpstr>
    </vt:vector>
  </TitlesOfParts>
  <Company>Department of Infrastructure, Transport, Regional Development and Communications</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telecommunications powers and immunities framework—consultation outcomes paper</dc:title>
  <dc:subject/>
  <dc:creator>Department of Infrastructure, Transport, Regional Development and Communications</dc:creator>
  <cp:keywords/>
  <dc:description>6 May 2020</dc:description>
  <cp:lastModifiedBy>Ovington, Kathryn</cp:lastModifiedBy>
  <cp:revision>2</cp:revision>
  <cp:lastPrinted>2021-02-02T06:40:00Z</cp:lastPrinted>
  <dcterms:created xsi:type="dcterms:W3CDTF">2021-02-26T02:29:00Z</dcterms:created>
  <dcterms:modified xsi:type="dcterms:W3CDTF">2021-02-26T02:29:00Z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0x010100266966F133664895A6EE3632470D45F500371379CEC2C27649A66BB2AEE761CF74</vt:lpwstr>
  </property>
  <property fmtid="{D5CDD505-2E9C-101B-9397-08002B2CF9AE}" pid="3" name="TrimRevisionNumber">
    <vt:i4>179</vt:i4>
  </property>
</Properties>
</file>